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200" w:lineRule="exact"/>
        <w:jc w:val="center"/>
        <w:rPr>
          <w:rFonts w:ascii="华文新魏" w:hAnsi="华文仿宋" w:eastAsia="华文新魏"/>
          <w:b/>
          <w:bCs/>
          <w:color w:val="000000"/>
          <w:sz w:val="72"/>
        </w:rPr>
      </w:pPr>
      <w:bookmarkStart w:id="79" w:name="_GoBack"/>
      <w:bookmarkEnd w:id="79"/>
      <w:r>
        <w:rPr>
          <w:rFonts w:hint="eastAsia" w:ascii="华文新魏" w:hAnsi="华文仿宋" w:eastAsia="华文新魏"/>
          <w:b/>
          <w:bCs/>
          <w:color w:val="000000"/>
          <w:sz w:val="72"/>
        </w:rPr>
        <w:t>临海市政府采购</w:t>
      </w:r>
    </w:p>
    <w:p>
      <w:pPr>
        <w:adjustRightInd w:val="0"/>
        <w:snapToGrid w:val="0"/>
        <w:spacing w:line="1200" w:lineRule="exact"/>
        <w:jc w:val="center"/>
        <w:rPr>
          <w:rFonts w:ascii="华文新魏" w:hAnsi="华文仿宋" w:eastAsia="华文新魏"/>
          <w:b/>
          <w:bCs/>
          <w:color w:val="000000"/>
          <w:sz w:val="84"/>
          <w:szCs w:val="84"/>
        </w:rPr>
      </w:pPr>
      <w:r>
        <w:rPr>
          <w:rFonts w:hint="eastAsia" w:ascii="华文新魏" w:hAnsi="华文仿宋" w:eastAsia="华文新魏"/>
          <w:b/>
          <w:bCs/>
          <w:color w:val="000000"/>
          <w:sz w:val="84"/>
          <w:szCs w:val="84"/>
        </w:rPr>
        <w:t>招  标  文  件</w:t>
      </w:r>
    </w:p>
    <w:p>
      <w:pPr>
        <w:adjustRightInd w:val="0"/>
        <w:snapToGrid w:val="0"/>
        <w:rPr>
          <w:rFonts w:hint="eastAsia" w:ascii="宋体" w:hAnsi="宋体"/>
          <w:b/>
          <w:bCs/>
          <w:color w:val="00B050"/>
          <w:sz w:val="32"/>
          <w:szCs w:val="32"/>
        </w:rPr>
      </w:pPr>
    </w:p>
    <w:p>
      <w:pPr>
        <w:adjustRightInd w:val="0"/>
        <w:snapToGrid w:val="0"/>
        <w:spacing w:line="360" w:lineRule="auto"/>
        <w:ind w:left="1955" w:hanging="1955" w:hangingChars="541"/>
        <w:jc w:val="center"/>
        <w:rPr>
          <w:rFonts w:hint="eastAsia" w:ascii="宋体" w:hAnsi="宋体"/>
          <w:b/>
          <w:bCs/>
          <w:sz w:val="36"/>
          <w:szCs w:val="36"/>
        </w:rPr>
      </w:pPr>
      <w:r>
        <w:rPr>
          <w:rFonts w:hint="eastAsia" w:ascii="宋体" w:hAnsi="宋体"/>
          <w:b/>
          <w:bCs/>
          <w:sz w:val="36"/>
          <w:szCs w:val="36"/>
        </w:rPr>
        <w:t>（电子投标、不见面开标方式）</w:t>
      </w:r>
    </w:p>
    <w:p>
      <w:pPr>
        <w:adjustRightInd w:val="0"/>
        <w:snapToGrid w:val="0"/>
        <w:jc w:val="left"/>
        <w:rPr>
          <w:rFonts w:ascii="黑体" w:hAnsi="黑体" w:eastAsia="黑体"/>
          <w:b/>
          <w:bCs/>
          <w:color w:val="00B050"/>
          <w:sz w:val="32"/>
          <w:szCs w:val="32"/>
        </w:rPr>
      </w:pPr>
    </w:p>
    <w:p>
      <w:pPr>
        <w:adjustRightInd w:val="0"/>
        <w:snapToGrid w:val="0"/>
        <w:rPr>
          <w:rFonts w:ascii="黑体" w:hAnsi="黑体" w:eastAsia="黑体"/>
          <w:b/>
          <w:bCs/>
          <w:color w:val="000000"/>
          <w:sz w:val="28"/>
          <w:szCs w:val="28"/>
        </w:rPr>
      </w:pPr>
    </w:p>
    <w:p>
      <w:pPr>
        <w:adjustRightInd w:val="0"/>
        <w:snapToGrid w:val="0"/>
        <w:spacing w:line="360" w:lineRule="auto"/>
        <w:ind w:left="1521" w:hanging="1521" w:hangingChars="541"/>
        <w:rPr>
          <w:rFonts w:ascii="宋体" w:hAnsi="宋体"/>
          <w:b/>
          <w:bCs/>
          <w:color w:val="000000"/>
          <w:sz w:val="28"/>
          <w:szCs w:val="28"/>
        </w:rPr>
      </w:pPr>
      <w:r>
        <w:rPr>
          <w:rFonts w:hint="eastAsia" w:ascii="宋体" w:hAnsi="宋体"/>
          <w:b/>
          <w:bCs/>
          <w:color w:val="000000"/>
          <w:sz w:val="28"/>
          <w:szCs w:val="28"/>
        </w:rPr>
        <w:t>项目名称：</w:t>
      </w:r>
      <w:r>
        <w:rPr>
          <w:rFonts w:hint="eastAsia" w:ascii="宋体" w:hAnsi="宋体"/>
          <w:b/>
          <w:bCs/>
          <w:sz w:val="28"/>
          <w:szCs w:val="28"/>
        </w:rPr>
        <w:t>临海市大洋未来社区数字化项目</w:t>
      </w:r>
      <w:r>
        <w:rPr>
          <w:rFonts w:hint="eastAsia" w:ascii="宋体" w:hAnsi="宋体"/>
          <w:b/>
          <w:bCs/>
          <w:color w:val="000000"/>
          <w:sz w:val="28"/>
          <w:szCs w:val="28"/>
        </w:rPr>
        <w:t xml:space="preserve"> </w:t>
      </w:r>
    </w:p>
    <w:p>
      <w:pPr>
        <w:adjustRightInd w:val="0"/>
        <w:snapToGrid w:val="0"/>
        <w:spacing w:line="360" w:lineRule="auto"/>
        <w:ind w:left="1521" w:hanging="1521" w:hangingChars="541"/>
        <w:rPr>
          <w:rFonts w:hint="eastAsia" w:ascii="宋体" w:hAnsi="宋体" w:cs="Arial"/>
          <w:bCs/>
          <w:color w:val="000000"/>
          <w:sz w:val="28"/>
          <w:szCs w:val="28"/>
        </w:rPr>
      </w:pPr>
      <w:r>
        <w:rPr>
          <w:rFonts w:hint="eastAsia" w:ascii="宋体" w:hAnsi="宋体"/>
          <w:b/>
          <w:bCs/>
          <w:color w:val="000000"/>
          <w:sz w:val="28"/>
          <w:szCs w:val="28"/>
        </w:rPr>
        <w:t>项目编号：ZJHX-202122</w:t>
      </w:r>
      <w:r>
        <w:rPr>
          <w:rFonts w:hint="eastAsia" w:ascii="宋体" w:hAnsi="宋体"/>
          <w:b/>
          <w:bCs/>
          <w:sz w:val="28"/>
          <w:szCs w:val="28"/>
        </w:rPr>
        <w:t xml:space="preserve"> </w:t>
      </w:r>
    </w:p>
    <w:p>
      <w:pPr>
        <w:rPr>
          <w:rFonts w:ascii="宋体" w:hAnsi="宋体"/>
          <w:color w:val="000000"/>
          <w:sz w:val="24"/>
          <w:lang/>
        </w:rPr>
      </w:pPr>
    </w:p>
    <w:p>
      <w:pPr>
        <w:rPr>
          <w:rFonts w:ascii="宋体" w:hAnsi="宋体"/>
          <w:color w:val="000000"/>
          <w:sz w:val="24"/>
          <w:lang/>
        </w:rPr>
      </w:pPr>
    </w:p>
    <w:p>
      <w:pPr>
        <w:rPr>
          <w:rFonts w:ascii="宋体" w:hAnsi="宋体"/>
          <w:color w:val="000000"/>
          <w:sz w:val="24"/>
          <w:lang/>
        </w:rPr>
      </w:pPr>
    </w:p>
    <w:p>
      <w:pPr>
        <w:rPr>
          <w:rFonts w:ascii="宋体" w:hAnsi="宋体"/>
          <w:color w:val="000000"/>
          <w:sz w:val="24"/>
          <w:lang/>
        </w:rPr>
      </w:pPr>
    </w:p>
    <w:p>
      <w:pPr>
        <w:rPr>
          <w:rFonts w:ascii="宋体" w:hAnsi="宋体"/>
          <w:color w:val="000000"/>
          <w:sz w:val="24"/>
          <w:lang/>
        </w:rPr>
      </w:pPr>
    </w:p>
    <w:p>
      <w:pPr>
        <w:rPr>
          <w:rFonts w:ascii="宋体" w:hAnsi="宋体"/>
          <w:color w:val="000000"/>
          <w:sz w:val="24"/>
          <w:lang/>
        </w:rPr>
      </w:pPr>
    </w:p>
    <w:p>
      <w:pPr>
        <w:rPr>
          <w:rFonts w:ascii="宋体" w:hAnsi="宋体"/>
          <w:color w:val="000000"/>
          <w:sz w:val="24"/>
        </w:rPr>
      </w:pPr>
    </w:p>
    <w:p>
      <w:pPr>
        <w:adjustRightInd w:val="0"/>
        <w:snapToGrid w:val="0"/>
        <w:spacing w:line="360" w:lineRule="auto"/>
        <w:rPr>
          <w:rFonts w:hint="eastAsia" w:ascii="宋体" w:hAnsi="宋体"/>
          <w:b/>
          <w:bCs/>
          <w:color w:val="000000"/>
          <w:sz w:val="28"/>
          <w:szCs w:val="28"/>
        </w:rPr>
      </w:pPr>
    </w:p>
    <w:p>
      <w:pPr>
        <w:adjustRightInd w:val="0"/>
        <w:snapToGrid w:val="0"/>
        <w:spacing w:line="360" w:lineRule="auto"/>
        <w:rPr>
          <w:rFonts w:hint="eastAsia" w:ascii="宋体" w:hAnsi="宋体"/>
          <w:b/>
          <w:bCs/>
          <w:sz w:val="28"/>
          <w:szCs w:val="28"/>
        </w:rPr>
      </w:pPr>
      <w:r>
        <w:rPr>
          <w:rFonts w:hint="eastAsia" w:ascii="宋体" w:hAnsi="宋体"/>
          <w:b/>
          <w:bCs/>
          <w:sz w:val="28"/>
          <w:szCs w:val="28"/>
          <w:lang w:val="en-US" w:eastAsia="zh-CN"/>
        </w:rPr>
        <w:t>建设</w:t>
      </w:r>
      <w:r>
        <w:rPr>
          <w:rFonts w:hint="eastAsia" w:ascii="宋体" w:hAnsi="宋体"/>
          <w:b/>
          <w:bCs/>
          <w:sz w:val="28"/>
          <w:szCs w:val="28"/>
        </w:rPr>
        <w:t>单位：临海市住房和城乡建设局（盖章）</w:t>
      </w:r>
    </w:p>
    <w:p>
      <w:pPr>
        <w:adjustRightInd w:val="0"/>
        <w:snapToGrid w:val="0"/>
        <w:spacing w:line="360" w:lineRule="auto"/>
        <w:rPr>
          <w:rFonts w:ascii="宋体" w:hAnsi="宋体"/>
          <w:b/>
          <w:bCs/>
          <w:sz w:val="28"/>
          <w:szCs w:val="28"/>
        </w:rPr>
      </w:pPr>
      <w:r>
        <w:rPr>
          <w:rFonts w:hint="eastAsia" w:ascii="宋体" w:hAnsi="宋体"/>
          <w:b/>
          <w:bCs/>
          <w:sz w:val="28"/>
          <w:szCs w:val="28"/>
          <w:lang w:val="en-US" w:eastAsia="zh-CN"/>
        </w:rPr>
        <w:t>实施</w:t>
      </w:r>
      <w:r>
        <w:rPr>
          <w:rFonts w:hint="eastAsia" w:ascii="宋体" w:hAnsi="宋体"/>
          <w:b/>
          <w:bCs/>
          <w:sz w:val="28"/>
          <w:szCs w:val="28"/>
        </w:rPr>
        <w:t>单位：临海市城市建设发展与投资集团有限公司（盖章）</w:t>
      </w:r>
    </w:p>
    <w:p>
      <w:pPr>
        <w:adjustRightInd w:val="0"/>
        <w:snapToGrid w:val="0"/>
        <w:spacing w:line="360" w:lineRule="auto"/>
        <w:rPr>
          <w:rFonts w:ascii="宋体" w:hAnsi="宋体"/>
          <w:b/>
          <w:bCs/>
          <w:color w:val="000000"/>
          <w:sz w:val="28"/>
          <w:szCs w:val="28"/>
        </w:rPr>
      </w:pPr>
      <w:r>
        <w:rPr>
          <w:rFonts w:hint="eastAsia" w:ascii="宋体" w:hAnsi="宋体"/>
          <w:b/>
          <w:bCs/>
          <w:color w:val="000000"/>
          <w:sz w:val="28"/>
          <w:szCs w:val="28"/>
        </w:rPr>
        <w:t>代理机构：浙江华夏工程管理有限公司</w:t>
      </w:r>
      <w:r>
        <w:rPr>
          <w:rFonts w:hint="eastAsia" w:ascii="宋体" w:hAnsi="宋体"/>
          <w:b/>
          <w:bCs/>
          <w:sz w:val="28"/>
          <w:szCs w:val="28"/>
        </w:rPr>
        <w:t>（盖章）</w:t>
      </w:r>
    </w:p>
    <w:p>
      <w:pPr>
        <w:spacing w:line="500" w:lineRule="atLeast"/>
        <w:jc w:val="center"/>
        <w:rPr>
          <w:rFonts w:ascii="宋体" w:hAnsi="宋体"/>
          <w:b/>
          <w:bCs/>
          <w:color w:val="000000"/>
          <w:sz w:val="30"/>
        </w:rPr>
      </w:pPr>
    </w:p>
    <w:p>
      <w:pPr>
        <w:spacing w:line="500" w:lineRule="atLeast"/>
        <w:jc w:val="center"/>
        <w:rPr>
          <w:rFonts w:ascii="宋体" w:hAnsi="宋体"/>
          <w:b/>
          <w:bCs/>
          <w:color w:val="000000"/>
          <w:sz w:val="30"/>
        </w:rPr>
      </w:pPr>
    </w:p>
    <w:p>
      <w:pPr>
        <w:spacing w:line="500" w:lineRule="atLeast"/>
        <w:jc w:val="center"/>
        <w:rPr>
          <w:rFonts w:hint="eastAsia" w:ascii="宋体" w:hAnsi="宋体"/>
          <w:b/>
          <w:bCs/>
          <w:color w:val="000000"/>
          <w:sz w:val="30"/>
        </w:rPr>
      </w:pPr>
    </w:p>
    <w:p>
      <w:pPr>
        <w:spacing w:line="500" w:lineRule="atLeast"/>
        <w:jc w:val="center"/>
        <w:rPr>
          <w:rFonts w:hint="eastAsia" w:ascii="宋体" w:hAnsi="宋体"/>
          <w:b/>
          <w:bCs/>
          <w:color w:val="000000"/>
          <w:sz w:val="30"/>
        </w:rPr>
      </w:pPr>
    </w:p>
    <w:p>
      <w:pPr>
        <w:spacing w:line="500" w:lineRule="atLeast"/>
        <w:rPr>
          <w:rFonts w:hint="eastAsia" w:ascii="宋体" w:hAnsi="宋体"/>
          <w:b/>
          <w:bCs/>
          <w:color w:val="000000"/>
          <w:sz w:val="30"/>
        </w:rPr>
      </w:pPr>
    </w:p>
    <w:p>
      <w:pPr>
        <w:spacing w:line="500" w:lineRule="atLeast"/>
        <w:ind w:firstLine="3204" w:firstLineChars="1140"/>
        <w:rPr>
          <w:rFonts w:hint="eastAsia"/>
          <w:color w:val="000000"/>
          <w:sz w:val="28"/>
          <w:szCs w:val="28"/>
        </w:rPr>
      </w:pPr>
      <w:r>
        <w:rPr>
          <w:rFonts w:hint="eastAsia" w:ascii="宋体" w:hAnsi="宋体"/>
          <w:b/>
          <w:bCs/>
          <w:color w:val="000000"/>
          <w:sz w:val="28"/>
          <w:szCs w:val="28"/>
        </w:rPr>
        <w:t>二0二一年</w:t>
      </w:r>
      <w:r>
        <w:rPr>
          <w:rFonts w:hint="eastAsia" w:ascii="宋体" w:hAnsi="宋体"/>
          <w:b/>
          <w:bCs/>
          <w:color w:val="000000"/>
          <w:sz w:val="28"/>
          <w:szCs w:val="28"/>
          <w:lang w:val="en-US" w:eastAsia="zh-CN"/>
        </w:rPr>
        <w:t>十一</w:t>
      </w:r>
      <w:r>
        <w:rPr>
          <w:rFonts w:hint="eastAsia" w:ascii="宋体" w:hAnsi="宋体"/>
          <w:b/>
          <w:bCs/>
          <w:color w:val="000000"/>
          <w:sz w:val="28"/>
          <w:szCs w:val="28"/>
        </w:rPr>
        <w:t xml:space="preserve">月 </w:t>
      </w:r>
    </w:p>
    <w:p>
      <w:pPr>
        <w:pStyle w:val="27"/>
        <w:spacing w:before="156" w:after="156" w:line="360" w:lineRule="auto"/>
        <w:jc w:val="center"/>
        <w:rPr>
          <w:rFonts w:hint="eastAsia" w:ascii="创艺简标宋" w:hAnsi="宋体" w:eastAsia="创艺简标宋"/>
          <w:color w:val="000000"/>
          <w:sz w:val="44"/>
          <w:szCs w:val="44"/>
        </w:rPr>
      </w:pPr>
    </w:p>
    <w:p>
      <w:pPr>
        <w:pStyle w:val="27"/>
        <w:spacing w:before="156" w:after="156" w:line="360" w:lineRule="auto"/>
        <w:jc w:val="center"/>
        <w:rPr>
          <w:rFonts w:hint="eastAsia" w:ascii="创艺简标宋" w:hAnsi="宋体" w:eastAsia="创艺简标宋"/>
          <w:color w:val="000000"/>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020" w:right="1587" w:bottom="850" w:left="1587" w:header="851" w:footer="992" w:gutter="0"/>
          <w:cols w:space="720" w:num="1"/>
          <w:rtlGutter w:val="1"/>
          <w:docGrid w:type="lines" w:linePitch="312" w:charSpace="0"/>
        </w:sectPr>
      </w:pPr>
    </w:p>
    <w:p>
      <w:pPr>
        <w:pStyle w:val="27"/>
        <w:spacing w:before="156" w:after="156" w:line="360" w:lineRule="auto"/>
        <w:jc w:val="center"/>
        <w:rPr>
          <w:rFonts w:ascii="创艺简标宋" w:hAnsi="宋体" w:eastAsia="创艺简标宋"/>
          <w:color w:val="000000"/>
          <w:sz w:val="44"/>
          <w:szCs w:val="44"/>
        </w:rPr>
      </w:pPr>
      <w:r>
        <w:rPr>
          <w:rFonts w:hint="eastAsia" w:ascii="创艺简标宋" w:hAnsi="宋体" w:eastAsia="创艺简标宋"/>
          <w:color w:val="000000"/>
          <w:sz w:val="44"/>
          <w:szCs w:val="44"/>
        </w:rPr>
        <w:t>目    录</w:t>
      </w:r>
    </w:p>
    <w:p>
      <w:pPr>
        <w:pStyle w:val="34"/>
        <w:tabs>
          <w:tab w:val="left" w:pos="6120"/>
        </w:tabs>
        <w:spacing w:line="480" w:lineRule="auto"/>
        <w:rPr>
          <w:rFonts w:ascii="宋体" w:hAnsi="宋体"/>
          <w:b/>
          <w:color w:val="000000"/>
          <w:sz w:val="28"/>
          <w:szCs w:val="28"/>
        </w:rPr>
      </w:pPr>
    </w:p>
    <w:p>
      <w:pPr>
        <w:pStyle w:val="34"/>
        <w:tabs>
          <w:tab w:val="left" w:pos="6120"/>
        </w:tabs>
        <w:spacing w:line="480" w:lineRule="auto"/>
        <w:rPr>
          <w:rFonts w:ascii="宋体" w:hAnsi="宋体"/>
          <w:b/>
          <w:color w:val="000000"/>
          <w:sz w:val="28"/>
          <w:szCs w:val="28"/>
        </w:rPr>
      </w:pPr>
      <w:r>
        <w:rPr>
          <w:rFonts w:ascii="宋体" w:hAnsi="宋体"/>
          <w:b/>
          <w:color w:val="000000"/>
          <w:sz w:val="28"/>
          <w:szCs w:val="28"/>
        </w:rPr>
        <w:tab/>
      </w:r>
    </w:p>
    <w:p>
      <w:pPr>
        <w:tabs>
          <w:tab w:val="left" w:pos="1050"/>
          <w:tab w:val="right" w:leader="dot" w:pos="9060"/>
        </w:tabs>
        <w:spacing w:line="480" w:lineRule="auto"/>
        <w:rPr>
          <w:rFonts w:ascii="宋体" w:hAnsi="宋体"/>
          <w:sz w:val="28"/>
          <w:szCs w:val="28"/>
          <w:lang/>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TOC \o "1-3" \h \z \u</w:instrText>
      </w:r>
      <w:r>
        <w:rPr>
          <w:rFonts w:ascii="宋体" w:hAnsi="宋体"/>
          <w:sz w:val="28"/>
          <w:szCs w:val="28"/>
        </w:rPr>
        <w:instrText xml:space="preserve"> </w:instrText>
      </w:r>
      <w:r>
        <w:rPr>
          <w:rFonts w:ascii="宋体" w:hAnsi="宋体"/>
          <w:sz w:val="28"/>
          <w:szCs w:val="28"/>
        </w:rPr>
        <w:fldChar w:fldCharType="separate"/>
      </w:r>
      <w:r>
        <w:rPr>
          <w:rFonts w:ascii="宋体" w:hAnsi="宋体"/>
          <w:sz w:val="28"/>
          <w:szCs w:val="28"/>
          <w:lang/>
        </w:rPr>
        <w:fldChar w:fldCharType="begin"/>
      </w:r>
      <w:r>
        <w:rPr>
          <w:rFonts w:ascii="宋体" w:hAnsi="宋体"/>
          <w:sz w:val="28"/>
          <w:szCs w:val="28"/>
          <w:lang/>
        </w:rPr>
        <w:instrText xml:space="preserve"> HYPERLINK \l "_Toc415818395" </w:instrText>
      </w:r>
      <w:r>
        <w:rPr>
          <w:rFonts w:ascii="宋体" w:hAnsi="宋体"/>
          <w:sz w:val="28"/>
          <w:szCs w:val="28"/>
          <w:lang/>
        </w:rPr>
        <w:fldChar w:fldCharType="separate"/>
      </w:r>
      <w:r>
        <w:rPr>
          <w:rFonts w:hint="eastAsia" w:ascii="宋体" w:hAnsi="宋体"/>
          <w:sz w:val="28"/>
          <w:szCs w:val="28"/>
          <w:lang/>
        </w:rPr>
        <w:t>第一章</w:t>
      </w:r>
      <w:r>
        <w:rPr>
          <w:rFonts w:ascii="宋体" w:hAnsi="宋体"/>
          <w:sz w:val="28"/>
          <w:szCs w:val="28"/>
          <w:lang/>
        </w:rPr>
        <w:tab/>
      </w:r>
      <w:r>
        <w:rPr>
          <w:rFonts w:hint="eastAsia" w:ascii="宋体" w:hAnsi="宋体"/>
          <w:sz w:val="28"/>
          <w:szCs w:val="28"/>
          <w:lang/>
        </w:rPr>
        <w:t>投标邀请</w:t>
      </w:r>
      <w:r>
        <w:rPr>
          <w:rFonts w:ascii="宋体" w:hAnsi="宋体"/>
          <w:sz w:val="28"/>
          <w:szCs w:val="28"/>
          <w:lang/>
        </w:rPr>
        <w:tab/>
      </w:r>
      <w:r>
        <w:rPr>
          <w:rFonts w:hint="eastAsia" w:ascii="宋体" w:hAnsi="宋体"/>
          <w:sz w:val="28"/>
          <w:szCs w:val="28"/>
        </w:rPr>
        <w:t>2</w:t>
      </w:r>
      <w:r>
        <w:rPr>
          <w:rFonts w:ascii="宋体" w:hAnsi="宋体"/>
          <w:sz w:val="28"/>
          <w:szCs w:val="28"/>
          <w:lang/>
        </w:rPr>
        <w:fldChar w:fldCharType="end"/>
      </w:r>
    </w:p>
    <w:p>
      <w:pPr>
        <w:tabs>
          <w:tab w:val="left" w:pos="1050"/>
          <w:tab w:val="right" w:leader="dot" w:pos="9060"/>
        </w:tabs>
        <w:spacing w:line="480" w:lineRule="auto"/>
        <w:rPr>
          <w:rFonts w:ascii="宋体" w:hAnsi="宋体"/>
          <w:sz w:val="28"/>
          <w:szCs w:val="28"/>
          <w:lang/>
        </w:rPr>
      </w:pPr>
      <w:r>
        <w:rPr>
          <w:rFonts w:ascii="宋体" w:hAnsi="宋体"/>
          <w:sz w:val="28"/>
          <w:szCs w:val="28"/>
          <w:lang/>
        </w:rPr>
        <w:fldChar w:fldCharType="begin"/>
      </w:r>
      <w:r>
        <w:rPr>
          <w:rFonts w:ascii="宋体" w:hAnsi="宋体"/>
          <w:sz w:val="28"/>
          <w:szCs w:val="28"/>
          <w:lang/>
        </w:rPr>
        <w:instrText xml:space="preserve"> HYPERLINK \l "_Toc415818396" </w:instrText>
      </w:r>
      <w:r>
        <w:rPr>
          <w:rFonts w:ascii="宋体" w:hAnsi="宋体"/>
          <w:sz w:val="28"/>
          <w:szCs w:val="28"/>
          <w:lang/>
        </w:rPr>
        <w:fldChar w:fldCharType="separate"/>
      </w:r>
      <w:r>
        <w:rPr>
          <w:rFonts w:hint="eastAsia" w:ascii="宋体" w:hAnsi="宋体"/>
          <w:sz w:val="28"/>
          <w:szCs w:val="28"/>
          <w:lang/>
        </w:rPr>
        <w:t>第二章</w:t>
      </w:r>
      <w:r>
        <w:rPr>
          <w:rFonts w:ascii="宋体" w:hAnsi="宋体"/>
          <w:sz w:val="28"/>
          <w:szCs w:val="28"/>
          <w:lang/>
        </w:rPr>
        <w:tab/>
      </w:r>
      <w:r>
        <w:rPr>
          <w:rFonts w:hint="eastAsia" w:ascii="宋体" w:hAnsi="宋体"/>
          <w:bCs/>
          <w:sz w:val="28"/>
          <w:szCs w:val="28"/>
          <w:lang/>
        </w:rPr>
        <w:t>招</w:t>
      </w:r>
      <w:r>
        <w:rPr>
          <w:rFonts w:hint="eastAsia" w:ascii="宋体" w:hAnsi="宋体"/>
          <w:sz w:val="28"/>
          <w:szCs w:val="28"/>
          <w:lang/>
        </w:rPr>
        <w:t>标需求</w:t>
      </w:r>
      <w:r>
        <w:rPr>
          <w:rFonts w:ascii="宋体" w:hAnsi="宋体"/>
          <w:sz w:val="28"/>
          <w:szCs w:val="28"/>
          <w:lang/>
        </w:rPr>
        <w:tab/>
      </w:r>
      <w:r>
        <w:rPr>
          <w:rFonts w:hint="eastAsia" w:ascii="宋体" w:hAnsi="宋体"/>
          <w:sz w:val="28"/>
          <w:szCs w:val="28"/>
        </w:rPr>
        <w:t>6</w:t>
      </w:r>
      <w:r>
        <w:rPr>
          <w:rFonts w:ascii="宋体" w:hAnsi="宋体"/>
          <w:sz w:val="28"/>
          <w:szCs w:val="28"/>
          <w:lang/>
        </w:rPr>
        <w:fldChar w:fldCharType="end"/>
      </w:r>
    </w:p>
    <w:p>
      <w:pPr>
        <w:tabs>
          <w:tab w:val="right" w:leader="dot" w:pos="9060"/>
        </w:tabs>
        <w:spacing w:line="480" w:lineRule="auto"/>
        <w:rPr>
          <w:rFonts w:hint="eastAsia" w:ascii="宋体" w:hAnsi="宋体" w:eastAsia="宋体"/>
          <w:sz w:val="28"/>
          <w:szCs w:val="28"/>
          <w:lang w:eastAsia="zh-CN"/>
        </w:rPr>
      </w:pPr>
      <w:r>
        <w:rPr>
          <w:rFonts w:ascii="宋体" w:hAnsi="宋体"/>
          <w:sz w:val="28"/>
          <w:szCs w:val="28"/>
          <w:lang/>
        </w:rPr>
        <w:fldChar w:fldCharType="begin"/>
      </w:r>
      <w:r>
        <w:rPr>
          <w:rFonts w:ascii="宋体" w:hAnsi="宋体"/>
          <w:sz w:val="28"/>
          <w:szCs w:val="28"/>
          <w:lang/>
        </w:rPr>
        <w:instrText xml:space="preserve"> HYPERLINK \l "_Toc415818397" </w:instrText>
      </w:r>
      <w:r>
        <w:rPr>
          <w:rFonts w:ascii="宋体" w:hAnsi="宋体"/>
          <w:sz w:val="28"/>
          <w:szCs w:val="28"/>
          <w:lang/>
        </w:rPr>
        <w:fldChar w:fldCharType="separate"/>
      </w:r>
      <w:r>
        <w:rPr>
          <w:rFonts w:hint="eastAsia" w:ascii="宋体" w:hAnsi="宋体"/>
          <w:sz w:val="28"/>
          <w:szCs w:val="28"/>
          <w:lang/>
        </w:rPr>
        <w:t>第三章 投标人须知</w:t>
      </w:r>
      <w:r>
        <w:rPr>
          <w:rFonts w:ascii="宋体" w:hAnsi="宋体"/>
          <w:sz w:val="28"/>
          <w:szCs w:val="28"/>
          <w:lang/>
        </w:rPr>
        <w:tab/>
      </w:r>
      <w:r>
        <w:rPr>
          <w:rFonts w:hint="eastAsia" w:ascii="宋体" w:hAnsi="宋体"/>
          <w:sz w:val="28"/>
          <w:szCs w:val="28"/>
        </w:rPr>
        <w:t>1</w:t>
      </w:r>
      <w:r>
        <w:rPr>
          <w:rFonts w:ascii="宋体" w:hAnsi="宋体"/>
          <w:sz w:val="28"/>
          <w:szCs w:val="28"/>
          <w:lang/>
        </w:rPr>
        <w:fldChar w:fldCharType="end"/>
      </w:r>
      <w:r>
        <w:rPr>
          <w:rFonts w:hint="eastAsia" w:ascii="宋体" w:hAnsi="宋体"/>
          <w:sz w:val="28"/>
          <w:szCs w:val="28"/>
        </w:rPr>
        <w:t>2</w:t>
      </w:r>
      <w:r>
        <w:rPr>
          <w:rFonts w:hint="eastAsia" w:ascii="宋体" w:hAnsi="宋体"/>
          <w:sz w:val="28"/>
          <w:szCs w:val="28"/>
          <w:lang w:val="en-US" w:eastAsia="zh-CN"/>
        </w:rPr>
        <w:t>0</w:t>
      </w:r>
    </w:p>
    <w:p>
      <w:pPr>
        <w:tabs>
          <w:tab w:val="right" w:leader="dot" w:pos="9060"/>
        </w:tabs>
        <w:spacing w:line="480" w:lineRule="auto"/>
        <w:rPr>
          <w:rFonts w:hint="eastAsia" w:ascii="宋体" w:hAnsi="宋体" w:eastAsia="宋体"/>
          <w:sz w:val="28"/>
          <w:szCs w:val="28"/>
          <w:lang w:eastAsia="zh-CN"/>
        </w:rPr>
      </w:pPr>
      <w:r>
        <w:rPr>
          <w:rFonts w:ascii="宋体" w:hAnsi="宋体"/>
          <w:sz w:val="28"/>
          <w:szCs w:val="28"/>
          <w:lang/>
        </w:rPr>
        <w:fldChar w:fldCharType="begin"/>
      </w:r>
      <w:r>
        <w:rPr>
          <w:rFonts w:ascii="宋体" w:hAnsi="宋体"/>
          <w:sz w:val="28"/>
          <w:szCs w:val="28"/>
          <w:lang/>
        </w:rPr>
        <w:instrText xml:space="preserve"> HYPERLINK \l "_Toc415818398" </w:instrText>
      </w:r>
      <w:r>
        <w:rPr>
          <w:rFonts w:ascii="宋体" w:hAnsi="宋体"/>
          <w:sz w:val="28"/>
          <w:szCs w:val="28"/>
          <w:lang/>
        </w:rPr>
        <w:fldChar w:fldCharType="separate"/>
      </w:r>
      <w:r>
        <w:rPr>
          <w:rFonts w:hint="eastAsia" w:ascii="宋体" w:hAnsi="宋体"/>
          <w:sz w:val="28"/>
          <w:szCs w:val="28"/>
          <w:lang/>
        </w:rPr>
        <w:t>第四章</w:t>
      </w:r>
      <w:r>
        <w:rPr>
          <w:rFonts w:ascii="宋体" w:hAnsi="宋体"/>
          <w:sz w:val="28"/>
          <w:szCs w:val="28"/>
          <w:lang/>
        </w:rPr>
        <w:t xml:space="preserve"> </w:t>
      </w:r>
      <w:r>
        <w:rPr>
          <w:rFonts w:hint="eastAsia" w:ascii="宋体" w:hAnsi="宋体"/>
          <w:sz w:val="28"/>
          <w:szCs w:val="28"/>
          <w:lang/>
        </w:rPr>
        <w:t>评标办法</w:t>
      </w:r>
      <w:bookmarkStart w:id="0" w:name="_Hlt480442210"/>
      <w:bookmarkStart w:id="1" w:name="_Hlt480442209"/>
      <w:r>
        <w:rPr>
          <w:rFonts w:hint="eastAsia" w:ascii="宋体" w:hAnsi="宋体"/>
          <w:sz w:val="28"/>
          <w:szCs w:val="28"/>
          <w:lang/>
        </w:rPr>
        <w:t>及</w:t>
      </w:r>
      <w:bookmarkEnd w:id="0"/>
      <w:bookmarkEnd w:id="1"/>
      <w:r>
        <w:rPr>
          <w:rFonts w:hint="eastAsia" w:ascii="宋体" w:hAnsi="宋体"/>
          <w:sz w:val="28"/>
          <w:szCs w:val="28"/>
          <w:lang/>
        </w:rPr>
        <w:t>评分标准</w:t>
      </w:r>
      <w:r>
        <w:rPr>
          <w:rFonts w:ascii="宋体" w:hAnsi="宋体"/>
          <w:sz w:val="28"/>
          <w:szCs w:val="28"/>
          <w:lang/>
        </w:rPr>
        <w:tab/>
      </w:r>
      <w:r>
        <w:rPr>
          <w:rFonts w:hint="eastAsia" w:ascii="宋体" w:hAnsi="宋体"/>
          <w:sz w:val="28"/>
          <w:szCs w:val="28"/>
        </w:rPr>
        <w:t>1</w:t>
      </w:r>
      <w:r>
        <w:rPr>
          <w:rFonts w:ascii="宋体" w:hAnsi="宋体"/>
          <w:sz w:val="28"/>
          <w:szCs w:val="28"/>
          <w:lang/>
        </w:rPr>
        <w:fldChar w:fldCharType="end"/>
      </w:r>
      <w:r>
        <w:rPr>
          <w:rFonts w:hint="eastAsia" w:ascii="宋体" w:hAnsi="宋体"/>
          <w:sz w:val="28"/>
          <w:szCs w:val="28"/>
        </w:rPr>
        <w:t>3</w:t>
      </w:r>
      <w:r>
        <w:rPr>
          <w:rFonts w:hint="eastAsia" w:ascii="宋体" w:hAnsi="宋体"/>
          <w:sz w:val="28"/>
          <w:szCs w:val="28"/>
          <w:lang w:val="en-US" w:eastAsia="zh-CN"/>
        </w:rPr>
        <w:t>2</w:t>
      </w:r>
    </w:p>
    <w:p>
      <w:pPr>
        <w:tabs>
          <w:tab w:val="right" w:leader="dot" w:pos="9060"/>
        </w:tabs>
        <w:spacing w:line="480" w:lineRule="auto"/>
        <w:rPr>
          <w:rFonts w:hint="default" w:ascii="宋体" w:hAnsi="宋体" w:eastAsia="宋体"/>
          <w:sz w:val="28"/>
          <w:szCs w:val="28"/>
          <w:lang w:val="en-US" w:eastAsia="zh-CN"/>
        </w:rPr>
      </w:pPr>
      <w:r>
        <w:rPr>
          <w:rFonts w:ascii="宋体" w:hAnsi="宋体"/>
          <w:sz w:val="28"/>
          <w:szCs w:val="28"/>
          <w:lang/>
        </w:rPr>
        <w:fldChar w:fldCharType="begin"/>
      </w:r>
      <w:r>
        <w:rPr>
          <w:rFonts w:ascii="宋体" w:hAnsi="宋体"/>
          <w:sz w:val="28"/>
          <w:szCs w:val="28"/>
          <w:lang/>
        </w:rPr>
        <w:instrText xml:space="preserve"> HYPERLINK \l "_Toc415818399" </w:instrText>
      </w:r>
      <w:r>
        <w:rPr>
          <w:rFonts w:ascii="宋体" w:hAnsi="宋体"/>
          <w:sz w:val="28"/>
          <w:szCs w:val="28"/>
          <w:lang/>
        </w:rPr>
        <w:fldChar w:fldCharType="separate"/>
      </w:r>
      <w:r>
        <w:rPr>
          <w:rFonts w:hint="eastAsia" w:ascii="宋体" w:hAnsi="宋体"/>
          <w:sz w:val="28"/>
          <w:szCs w:val="28"/>
          <w:lang/>
        </w:rPr>
        <w:t>第五章 合同主要条款</w:t>
      </w:r>
      <w:r>
        <w:rPr>
          <w:rFonts w:ascii="宋体" w:hAnsi="宋体"/>
          <w:sz w:val="28"/>
          <w:szCs w:val="28"/>
          <w:lang/>
        </w:rPr>
        <w:tab/>
      </w:r>
      <w:r>
        <w:rPr>
          <w:rFonts w:hint="eastAsia" w:ascii="宋体" w:hAnsi="宋体"/>
          <w:sz w:val="28"/>
          <w:szCs w:val="28"/>
        </w:rPr>
        <w:t>1</w:t>
      </w:r>
      <w:r>
        <w:rPr>
          <w:rFonts w:ascii="宋体" w:hAnsi="宋体"/>
          <w:sz w:val="28"/>
          <w:szCs w:val="28"/>
          <w:lang/>
        </w:rPr>
        <w:fldChar w:fldCharType="end"/>
      </w:r>
      <w:r>
        <w:rPr>
          <w:rFonts w:hint="eastAsia" w:ascii="宋体" w:hAnsi="宋体"/>
          <w:sz w:val="28"/>
          <w:szCs w:val="28"/>
          <w:lang w:val="en-US" w:eastAsia="zh-CN"/>
        </w:rPr>
        <w:t>39</w:t>
      </w:r>
    </w:p>
    <w:p>
      <w:pPr>
        <w:tabs>
          <w:tab w:val="right" w:leader="dot" w:pos="9060"/>
        </w:tabs>
        <w:spacing w:line="480" w:lineRule="auto"/>
        <w:rPr>
          <w:rFonts w:hint="eastAsia" w:ascii="宋体" w:hAnsi="宋体" w:eastAsia="宋体"/>
          <w:sz w:val="28"/>
          <w:szCs w:val="28"/>
          <w:lang w:eastAsia="zh-CN"/>
        </w:rPr>
      </w:pPr>
      <w:r>
        <w:rPr>
          <w:rFonts w:ascii="宋体" w:hAnsi="宋体"/>
          <w:sz w:val="28"/>
          <w:szCs w:val="28"/>
          <w:lang/>
        </w:rPr>
        <w:fldChar w:fldCharType="begin"/>
      </w:r>
      <w:r>
        <w:rPr>
          <w:rFonts w:ascii="宋体" w:hAnsi="宋体"/>
          <w:sz w:val="28"/>
          <w:szCs w:val="28"/>
          <w:lang/>
        </w:rPr>
        <w:instrText xml:space="preserve"> HYPERLINK \l "_Toc415818400" </w:instrText>
      </w:r>
      <w:r>
        <w:rPr>
          <w:rFonts w:ascii="宋体" w:hAnsi="宋体"/>
          <w:sz w:val="28"/>
          <w:szCs w:val="28"/>
          <w:lang/>
        </w:rPr>
        <w:fldChar w:fldCharType="separate"/>
      </w:r>
      <w:r>
        <w:rPr>
          <w:rFonts w:hint="eastAsia" w:ascii="宋体" w:hAnsi="宋体"/>
          <w:sz w:val="28"/>
          <w:szCs w:val="28"/>
          <w:lang/>
        </w:rPr>
        <w:t>第六章 投标文件格式</w:t>
      </w:r>
      <w:r>
        <w:rPr>
          <w:rFonts w:ascii="宋体" w:hAnsi="宋体"/>
          <w:sz w:val="28"/>
          <w:szCs w:val="28"/>
          <w:lang/>
        </w:rPr>
        <w:tab/>
      </w:r>
      <w:r>
        <w:rPr>
          <w:rFonts w:hint="eastAsia" w:ascii="宋体" w:hAnsi="宋体"/>
          <w:sz w:val="28"/>
          <w:szCs w:val="28"/>
        </w:rPr>
        <w:t>1</w:t>
      </w:r>
      <w:r>
        <w:rPr>
          <w:rFonts w:ascii="宋体" w:hAnsi="宋体"/>
          <w:sz w:val="28"/>
          <w:szCs w:val="28"/>
          <w:lang/>
        </w:rPr>
        <w:fldChar w:fldCharType="end"/>
      </w:r>
      <w:r>
        <w:rPr>
          <w:rFonts w:hint="eastAsia" w:ascii="宋体" w:hAnsi="宋体"/>
          <w:sz w:val="28"/>
          <w:szCs w:val="28"/>
        </w:rPr>
        <w:t>4</w:t>
      </w:r>
      <w:r>
        <w:rPr>
          <w:rFonts w:hint="eastAsia" w:ascii="宋体" w:hAnsi="宋体"/>
          <w:sz w:val="28"/>
          <w:szCs w:val="28"/>
          <w:lang w:val="en-US" w:eastAsia="zh-CN"/>
        </w:rPr>
        <w:t>3</w:t>
      </w:r>
    </w:p>
    <w:p>
      <w:pPr>
        <w:tabs>
          <w:tab w:val="right" w:leader="dot" w:pos="9060"/>
        </w:tabs>
        <w:spacing w:line="480" w:lineRule="auto"/>
        <w:ind w:left="420" w:leftChars="200"/>
        <w:rPr>
          <w:rFonts w:hint="eastAsia" w:ascii="宋体" w:hAnsi="宋体" w:eastAsia="宋体"/>
          <w:sz w:val="28"/>
          <w:szCs w:val="28"/>
          <w:lang w:eastAsia="zh-CN"/>
        </w:rPr>
      </w:pPr>
      <w:r>
        <w:rPr>
          <w:rFonts w:ascii="宋体" w:hAnsi="宋体"/>
          <w:sz w:val="28"/>
          <w:szCs w:val="28"/>
          <w:lang/>
        </w:rPr>
        <w:fldChar w:fldCharType="begin"/>
      </w:r>
      <w:r>
        <w:rPr>
          <w:rFonts w:ascii="宋体" w:hAnsi="宋体"/>
          <w:sz w:val="28"/>
          <w:szCs w:val="28"/>
          <w:lang/>
        </w:rPr>
        <w:instrText xml:space="preserve"> HYPERLINK \l "_Toc415818401" </w:instrText>
      </w:r>
      <w:r>
        <w:rPr>
          <w:rFonts w:ascii="宋体" w:hAnsi="宋体"/>
          <w:sz w:val="28"/>
          <w:szCs w:val="28"/>
          <w:lang/>
        </w:rPr>
        <w:fldChar w:fldCharType="separate"/>
      </w:r>
      <w:r>
        <w:rPr>
          <w:rFonts w:hint="eastAsia" w:ascii="宋体" w:hAnsi="宋体"/>
          <w:bCs/>
          <w:sz w:val="28"/>
          <w:szCs w:val="28"/>
          <w:lang/>
        </w:rPr>
        <w:t>一、</w:t>
      </w:r>
      <w:r>
        <w:rPr>
          <w:rFonts w:hint="eastAsia" w:ascii="宋体" w:hAnsi="宋体"/>
          <w:bCs/>
          <w:sz w:val="28"/>
          <w:szCs w:val="28"/>
        </w:rPr>
        <w:t>资格响应文件格式</w:t>
      </w:r>
      <w:r>
        <w:rPr>
          <w:rFonts w:ascii="宋体" w:hAnsi="宋体"/>
          <w:sz w:val="28"/>
          <w:szCs w:val="28"/>
          <w:lang/>
        </w:rPr>
        <w:tab/>
      </w:r>
      <w:r>
        <w:rPr>
          <w:rFonts w:hint="eastAsia" w:ascii="宋体" w:hAnsi="宋体"/>
          <w:sz w:val="28"/>
          <w:szCs w:val="28"/>
        </w:rPr>
        <w:t>1</w:t>
      </w:r>
      <w:r>
        <w:rPr>
          <w:rFonts w:ascii="宋体" w:hAnsi="宋体"/>
          <w:sz w:val="28"/>
          <w:szCs w:val="28"/>
          <w:lang/>
        </w:rPr>
        <w:fldChar w:fldCharType="end"/>
      </w:r>
      <w:r>
        <w:rPr>
          <w:rFonts w:hint="eastAsia" w:ascii="宋体" w:hAnsi="宋体"/>
          <w:sz w:val="28"/>
          <w:szCs w:val="28"/>
        </w:rPr>
        <w:t>4</w:t>
      </w:r>
      <w:r>
        <w:rPr>
          <w:rFonts w:hint="eastAsia" w:ascii="宋体" w:hAnsi="宋体"/>
          <w:sz w:val="28"/>
          <w:szCs w:val="28"/>
          <w:lang w:val="en-US" w:eastAsia="zh-CN"/>
        </w:rPr>
        <w:t>3</w:t>
      </w:r>
    </w:p>
    <w:p>
      <w:pPr>
        <w:tabs>
          <w:tab w:val="right" w:leader="dot" w:pos="9060"/>
        </w:tabs>
        <w:spacing w:line="480" w:lineRule="auto"/>
        <w:ind w:left="420" w:leftChars="200"/>
        <w:rPr>
          <w:rFonts w:hint="eastAsia" w:ascii="宋体" w:hAnsi="宋体" w:eastAsia="宋体"/>
          <w:sz w:val="28"/>
          <w:szCs w:val="28"/>
          <w:lang w:eastAsia="zh-CN"/>
        </w:rPr>
      </w:pPr>
      <w:r>
        <w:rPr>
          <w:rFonts w:ascii="宋体" w:hAnsi="宋体"/>
          <w:sz w:val="28"/>
          <w:szCs w:val="28"/>
          <w:lang/>
        </w:rPr>
        <w:fldChar w:fldCharType="begin"/>
      </w:r>
      <w:r>
        <w:rPr>
          <w:rFonts w:ascii="宋体" w:hAnsi="宋体"/>
          <w:sz w:val="28"/>
          <w:szCs w:val="28"/>
          <w:lang/>
        </w:rPr>
        <w:instrText xml:space="preserve"> HYPERLINK \l "_Toc415818402" </w:instrText>
      </w:r>
      <w:r>
        <w:rPr>
          <w:rFonts w:ascii="宋体" w:hAnsi="宋体"/>
          <w:sz w:val="28"/>
          <w:szCs w:val="28"/>
          <w:lang/>
        </w:rPr>
        <w:fldChar w:fldCharType="separate"/>
      </w:r>
      <w:r>
        <w:rPr>
          <w:rFonts w:hint="eastAsia" w:ascii="宋体" w:hAnsi="宋体"/>
          <w:bCs/>
          <w:sz w:val="28"/>
          <w:szCs w:val="28"/>
          <w:lang/>
        </w:rPr>
        <w:t>二、商务技术文件格式</w:t>
      </w:r>
      <w:r>
        <w:rPr>
          <w:rFonts w:ascii="宋体" w:hAnsi="宋体"/>
          <w:sz w:val="28"/>
          <w:szCs w:val="28"/>
          <w:lang/>
        </w:rPr>
        <w:tab/>
      </w:r>
      <w:r>
        <w:rPr>
          <w:rFonts w:hint="eastAsia" w:ascii="宋体" w:hAnsi="宋体"/>
          <w:sz w:val="28"/>
          <w:szCs w:val="28"/>
        </w:rPr>
        <w:t>1</w:t>
      </w:r>
      <w:r>
        <w:rPr>
          <w:rFonts w:ascii="宋体" w:hAnsi="宋体"/>
          <w:sz w:val="28"/>
          <w:szCs w:val="28"/>
          <w:lang/>
        </w:rPr>
        <w:fldChar w:fldCharType="end"/>
      </w:r>
      <w:r>
        <w:rPr>
          <w:rFonts w:hint="eastAsia" w:ascii="宋体" w:hAnsi="宋体"/>
          <w:sz w:val="28"/>
          <w:szCs w:val="28"/>
        </w:rPr>
        <w:t>4</w:t>
      </w:r>
      <w:r>
        <w:rPr>
          <w:rFonts w:hint="eastAsia" w:ascii="宋体" w:hAnsi="宋体"/>
          <w:sz w:val="28"/>
          <w:szCs w:val="28"/>
          <w:lang w:val="en-US" w:eastAsia="zh-CN"/>
        </w:rPr>
        <w:t>6</w:t>
      </w:r>
    </w:p>
    <w:p>
      <w:pPr>
        <w:tabs>
          <w:tab w:val="right" w:leader="dot" w:pos="9060"/>
        </w:tabs>
        <w:spacing w:line="480" w:lineRule="auto"/>
        <w:ind w:left="420" w:leftChars="200"/>
        <w:rPr>
          <w:rFonts w:hint="eastAsia" w:ascii="宋体" w:hAnsi="宋体" w:eastAsia="宋体"/>
          <w:sz w:val="28"/>
          <w:szCs w:val="28"/>
          <w:lang w:eastAsia="zh-CN"/>
        </w:rPr>
      </w:pPr>
      <w:r>
        <w:rPr>
          <w:rFonts w:ascii="宋体" w:hAnsi="宋体"/>
          <w:sz w:val="28"/>
          <w:szCs w:val="28"/>
          <w:lang/>
        </w:rPr>
        <w:fldChar w:fldCharType="begin"/>
      </w:r>
      <w:r>
        <w:rPr>
          <w:rFonts w:ascii="宋体" w:hAnsi="宋体"/>
          <w:sz w:val="28"/>
          <w:szCs w:val="28"/>
          <w:lang/>
        </w:rPr>
        <w:instrText xml:space="preserve"> HYPERLINK \l "_Toc415818403" </w:instrText>
      </w:r>
      <w:r>
        <w:rPr>
          <w:rFonts w:ascii="宋体" w:hAnsi="宋体"/>
          <w:sz w:val="28"/>
          <w:szCs w:val="28"/>
          <w:lang/>
        </w:rPr>
        <w:fldChar w:fldCharType="separate"/>
      </w:r>
      <w:r>
        <w:rPr>
          <w:rFonts w:hint="eastAsia" w:ascii="宋体" w:hAnsi="宋体"/>
          <w:sz w:val="28"/>
          <w:szCs w:val="28"/>
          <w:lang/>
        </w:rPr>
        <w:t>三、报价文件格式</w:t>
      </w:r>
      <w:r>
        <w:rPr>
          <w:rFonts w:ascii="宋体" w:hAnsi="宋体"/>
          <w:sz w:val="28"/>
          <w:szCs w:val="28"/>
          <w:lang/>
        </w:rPr>
        <w:tab/>
      </w:r>
      <w:r>
        <w:rPr>
          <w:rFonts w:hint="eastAsia" w:ascii="宋体" w:hAnsi="宋体"/>
          <w:sz w:val="28"/>
          <w:szCs w:val="28"/>
        </w:rPr>
        <w:t>1</w:t>
      </w:r>
      <w:r>
        <w:rPr>
          <w:rFonts w:ascii="宋体" w:hAnsi="宋体"/>
          <w:sz w:val="28"/>
          <w:szCs w:val="28"/>
          <w:lang/>
        </w:rPr>
        <w:fldChar w:fldCharType="end"/>
      </w:r>
      <w:r>
        <w:rPr>
          <w:rFonts w:hint="eastAsia" w:ascii="宋体" w:hAnsi="宋体"/>
          <w:sz w:val="28"/>
          <w:szCs w:val="28"/>
        </w:rPr>
        <w:t>5</w:t>
      </w:r>
      <w:r>
        <w:rPr>
          <w:rFonts w:hint="eastAsia" w:ascii="宋体" w:hAnsi="宋体"/>
          <w:sz w:val="28"/>
          <w:szCs w:val="28"/>
          <w:lang w:val="en-US" w:eastAsia="zh-CN"/>
        </w:rPr>
        <w:t>5</w:t>
      </w:r>
    </w:p>
    <w:p>
      <w:pPr>
        <w:pStyle w:val="34"/>
        <w:spacing w:line="480" w:lineRule="auto"/>
        <w:rPr>
          <w:rFonts w:ascii="宋体" w:hAnsi="宋体"/>
          <w:b/>
          <w:color w:val="000000"/>
          <w:sz w:val="24"/>
        </w:rPr>
      </w:pPr>
      <w:r>
        <w:rPr>
          <w:rFonts w:ascii="宋体" w:hAnsi="宋体"/>
          <w:sz w:val="28"/>
          <w:szCs w:val="28"/>
        </w:rPr>
        <w:fldChar w:fldCharType="end"/>
      </w:r>
    </w:p>
    <w:p>
      <w:pPr>
        <w:pStyle w:val="34"/>
        <w:tabs>
          <w:tab w:val="right" w:leader="dot" w:pos="8720"/>
        </w:tabs>
        <w:spacing w:line="800" w:lineRule="exact"/>
        <w:rPr>
          <w:rFonts w:ascii="Calibri" w:hAnsi="Calibri"/>
          <w:color w:val="000000"/>
          <w:szCs w:val="22"/>
          <w:lang/>
        </w:rPr>
      </w:pPr>
      <w:r>
        <w:rPr>
          <w:rFonts w:hint="eastAsia" w:ascii="宋体" w:hAnsi="宋体"/>
          <w:color w:val="000000"/>
          <w:sz w:val="28"/>
          <w:szCs w:val="28"/>
        </w:rPr>
        <w:fldChar w:fldCharType="begin"/>
      </w:r>
      <w:r>
        <w:rPr>
          <w:rFonts w:hint="eastAsia" w:ascii="宋体" w:hAnsi="宋体"/>
          <w:color w:val="000000"/>
          <w:sz w:val="28"/>
          <w:szCs w:val="28"/>
        </w:rPr>
        <w:instrText xml:space="preserve"> TOC \o "1-3" \h \z \u </w:instrText>
      </w:r>
      <w:r>
        <w:rPr>
          <w:rFonts w:hint="eastAsia" w:ascii="宋体" w:hAnsi="宋体"/>
          <w:color w:val="000000"/>
          <w:sz w:val="28"/>
          <w:szCs w:val="28"/>
        </w:rPr>
        <w:fldChar w:fldCharType="separate"/>
      </w:r>
      <w:r>
        <w:rPr>
          <w:rFonts w:hint="eastAsia"/>
          <w:color w:val="000000"/>
          <w:sz w:val="28"/>
          <w:szCs w:val="28"/>
          <w:lang/>
        </w:rPr>
        <w:t xml:space="preserve"> </w:t>
      </w:r>
      <w:r>
        <w:rPr>
          <w:rFonts w:hint="eastAsia"/>
          <w:sz w:val="28"/>
          <w:szCs w:val="28"/>
          <w:lang/>
        </w:rPr>
        <w:t xml:space="preserve"> </w:t>
      </w:r>
    </w:p>
    <w:p>
      <w:pPr>
        <w:spacing w:beforeLines="50" w:line="360" w:lineRule="auto"/>
        <w:rPr>
          <w:rFonts w:ascii="宋体" w:hAnsi="宋体"/>
          <w:b/>
          <w:color w:val="000000"/>
          <w:sz w:val="28"/>
          <w:szCs w:val="28"/>
        </w:rPr>
      </w:pPr>
      <w:r>
        <w:rPr>
          <w:rFonts w:hint="eastAsia" w:ascii="宋体" w:hAnsi="宋体"/>
          <w:color w:val="000000"/>
          <w:sz w:val="28"/>
          <w:szCs w:val="28"/>
        </w:rPr>
        <w:fldChar w:fldCharType="end"/>
      </w:r>
    </w:p>
    <w:p>
      <w:pPr>
        <w:pStyle w:val="27"/>
        <w:snapToGrid w:val="0"/>
        <w:spacing w:before="156" w:after="156" w:line="240" w:lineRule="auto"/>
        <w:jc w:val="center"/>
        <w:outlineLvl w:val="0"/>
        <w:rPr>
          <w:rFonts w:hAnsi="宋体"/>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pStyle w:val="27"/>
        <w:snapToGrid w:val="0"/>
        <w:spacing w:before="156" w:after="156" w:line="240" w:lineRule="auto"/>
        <w:jc w:val="center"/>
        <w:outlineLvl w:val="0"/>
        <w:rPr>
          <w:rFonts w:hint="eastAsia" w:ascii="黑体" w:hAnsi="宋体" w:eastAsia="黑体"/>
          <w:b/>
          <w:color w:val="000000"/>
          <w:sz w:val="30"/>
          <w:szCs w:val="30"/>
        </w:rPr>
      </w:pPr>
      <w:r>
        <w:rPr>
          <w:rFonts w:hint="eastAsia"/>
          <w:color w:val="000000"/>
        </w:rPr>
        <w:br w:type="page"/>
      </w:r>
      <w:bookmarkStart w:id="2" w:name="_Toc466534747"/>
      <w:r>
        <w:rPr>
          <w:rFonts w:hint="eastAsia"/>
          <w:b/>
          <w:color w:val="000000"/>
          <w:sz w:val="30"/>
          <w:szCs w:val="30"/>
        </w:rPr>
        <w:t>第一章  投标邀请</w:t>
      </w:r>
      <w:bookmarkEnd w:id="2"/>
    </w:p>
    <w:p>
      <w:pPr>
        <w:snapToGrid w:val="0"/>
        <w:spacing w:line="380" w:lineRule="exact"/>
        <w:ind w:firstLine="480" w:firstLineChars="200"/>
        <w:rPr>
          <w:rFonts w:ascii="宋体" w:hAnsi="宋体" w:cs="Arial"/>
          <w:color w:val="000000"/>
          <w:sz w:val="24"/>
        </w:rPr>
      </w:pPr>
      <w:r>
        <w:rPr>
          <w:rFonts w:ascii="Arial" w:hAnsi="Arial" w:cs="Arial"/>
          <w:color w:val="000000"/>
          <w:sz w:val="24"/>
        </w:rPr>
        <w:t>根据《中华人民共和国政府采购法》</w:t>
      </w:r>
      <w:r>
        <w:rPr>
          <w:rFonts w:hint="eastAsia" w:ascii="Arial" w:hAnsi="Arial" w:cs="Arial"/>
          <w:color w:val="000000"/>
          <w:sz w:val="24"/>
        </w:rPr>
        <w:t>、《中华人民共和国政府采购法实施条例》、</w:t>
      </w:r>
      <w:r>
        <w:rPr>
          <w:rFonts w:ascii="Arial" w:hAnsi="Arial" w:cs="Arial"/>
          <w:color w:val="000000"/>
          <w:kern w:val="0"/>
          <w:sz w:val="24"/>
        </w:rPr>
        <w:t>《政府采购货物与服务招标投标管理办法</w:t>
      </w:r>
      <w:r>
        <w:rPr>
          <w:rFonts w:ascii="宋体" w:hAnsi="宋体" w:cs="Arial"/>
          <w:color w:val="000000"/>
          <w:kern w:val="0"/>
          <w:sz w:val="24"/>
        </w:rPr>
        <w:t>》</w:t>
      </w:r>
      <w:r>
        <w:rPr>
          <w:rFonts w:ascii="宋体" w:hAnsi="宋体" w:cs="Arial"/>
          <w:color w:val="000000"/>
          <w:sz w:val="24"/>
        </w:rPr>
        <w:t>等规定，</w:t>
      </w:r>
      <w:r>
        <w:rPr>
          <w:rFonts w:ascii="宋体" w:hAnsi="宋体" w:cs="Arial"/>
          <w:sz w:val="24"/>
        </w:rPr>
        <w:t>经</w:t>
      </w:r>
      <w:r>
        <w:rPr>
          <w:rFonts w:ascii="宋体" w:hAnsi="宋体" w:cs="Arial"/>
          <w:b/>
          <w:sz w:val="24"/>
        </w:rPr>
        <w:t>临海市</w:t>
      </w:r>
      <w:r>
        <w:rPr>
          <w:rFonts w:hint="eastAsia" w:ascii="宋体" w:hAnsi="宋体" w:cs="Arial"/>
          <w:b/>
          <w:sz w:val="24"/>
        </w:rPr>
        <w:t>财政局</w:t>
      </w:r>
      <w:r>
        <w:rPr>
          <w:rFonts w:ascii="宋体" w:hAnsi="宋体" w:cs="Arial"/>
          <w:sz w:val="24"/>
        </w:rPr>
        <w:t>批准，</w:t>
      </w:r>
      <w:r>
        <w:rPr>
          <w:rFonts w:ascii="宋体" w:hAnsi="宋体" w:cs="Arial"/>
          <w:color w:val="000000"/>
          <w:sz w:val="24"/>
        </w:rPr>
        <w:t>受</w:t>
      </w:r>
      <w:r>
        <w:rPr>
          <w:rFonts w:hint="eastAsia" w:ascii="Arial" w:hAnsi="Arial" w:cs="Arial"/>
          <w:color w:val="000000"/>
          <w:kern w:val="0"/>
          <w:sz w:val="24"/>
        </w:rPr>
        <w:t>临海市住房和城乡建设局</w:t>
      </w:r>
      <w:r>
        <w:rPr>
          <w:rFonts w:hint="eastAsia" w:ascii="Arial" w:hAnsi="Arial" w:cs="Arial"/>
          <w:color w:val="000000"/>
          <w:kern w:val="0"/>
          <w:sz w:val="24"/>
          <w:lang w:eastAsia="zh-CN"/>
        </w:rPr>
        <w:t>、</w:t>
      </w:r>
      <w:r>
        <w:rPr>
          <w:rFonts w:hint="eastAsia" w:ascii="Arial" w:hAnsi="Arial" w:cs="Arial"/>
          <w:color w:val="000000"/>
          <w:kern w:val="0"/>
          <w:sz w:val="24"/>
        </w:rPr>
        <w:t>临海市城市建设发展与投资集团有限公司</w:t>
      </w:r>
      <w:r>
        <w:rPr>
          <w:rFonts w:hint="eastAsia" w:ascii="宋体" w:hAnsi="宋体" w:cs="Arial"/>
          <w:color w:val="000000"/>
          <w:sz w:val="24"/>
        </w:rPr>
        <w:t>委</w:t>
      </w:r>
      <w:r>
        <w:rPr>
          <w:rFonts w:ascii="宋体" w:hAnsi="宋体" w:cs="Arial"/>
          <w:color w:val="000000"/>
          <w:sz w:val="24"/>
        </w:rPr>
        <w:t>托，</w:t>
      </w:r>
      <w:r>
        <w:rPr>
          <w:rFonts w:hint="eastAsia" w:ascii="宋体" w:hAnsi="宋体" w:cs="Arial"/>
          <w:color w:val="000000"/>
          <w:sz w:val="24"/>
        </w:rPr>
        <w:t>现</w:t>
      </w:r>
      <w:r>
        <w:rPr>
          <w:rFonts w:ascii="宋体" w:hAnsi="宋体" w:cs="Arial"/>
          <w:color w:val="000000"/>
          <w:sz w:val="24"/>
        </w:rPr>
        <w:t>就</w:t>
      </w:r>
      <w:r>
        <w:rPr>
          <w:rFonts w:hint="eastAsia" w:ascii="Arial" w:hAnsi="Arial" w:cs="Arial"/>
          <w:color w:val="000000"/>
          <w:kern w:val="0"/>
          <w:sz w:val="24"/>
        </w:rPr>
        <w:t>临海市大洋未来社区数字化项目</w:t>
      </w:r>
      <w:r>
        <w:rPr>
          <w:rFonts w:hint="eastAsia" w:ascii="宋体" w:hAnsi="宋体"/>
          <w:b/>
          <w:color w:val="000000"/>
          <w:sz w:val="24"/>
        </w:rPr>
        <w:t>采购</w:t>
      </w:r>
      <w:r>
        <w:rPr>
          <w:rFonts w:hint="eastAsia" w:ascii="宋体" w:hAnsi="宋体"/>
          <w:color w:val="000000"/>
          <w:sz w:val="24"/>
        </w:rPr>
        <w:t>进行</w:t>
      </w:r>
      <w:r>
        <w:rPr>
          <w:rFonts w:ascii="宋体" w:hAnsi="宋体" w:cs="Arial"/>
          <w:color w:val="000000"/>
          <w:sz w:val="24"/>
        </w:rPr>
        <w:t>公开招标，</w:t>
      </w:r>
      <w:r>
        <w:rPr>
          <w:rFonts w:ascii="宋体" w:hAnsi="宋体" w:cs="Arial"/>
          <w:color w:val="000000"/>
          <w:kern w:val="0"/>
          <w:sz w:val="24"/>
        </w:rPr>
        <w:t>欢迎</w:t>
      </w:r>
      <w:r>
        <w:rPr>
          <w:rFonts w:hint="eastAsia" w:ascii="宋体" w:hAnsi="宋体" w:cs="Arial"/>
          <w:color w:val="000000"/>
          <w:kern w:val="0"/>
          <w:sz w:val="24"/>
        </w:rPr>
        <w:t>具备本项目投标人的</w:t>
      </w:r>
      <w:r>
        <w:rPr>
          <w:rFonts w:hint="eastAsia" w:ascii="宋体" w:hAnsi="宋体" w:cs="Arial"/>
          <w:kern w:val="0"/>
          <w:sz w:val="24"/>
        </w:rPr>
        <w:t>资格要</w:t>
      </w:r>
      <w:r>
        <w:rPr>
          <w:rFonts w:hint="eastAsia" w:ascii="宋体" w:hAnsi="宋体" w:cs="Arial"/>
          <w:color w:val="000000"/>
          <w:kern w:val="0"/>
          <w:sz w:val="24"/>
        </w:rPr>
        <w:t>求且能够及时</w:t>
      </w:r>
      <w:r>
        <w:rPr>
          <w:rFonts w:ascii="宋体" w:hAnsi="宋体" w:cs="Arial"/>
          <w:color w:val="000000"/>
          <w:kern w:val="0"/>
          <w:sz w:val="24"/>
        </w:rPr>
        <w:t>提供</w:t>
      </w:r>
      <w:r>
        <w:rPr>
          <w:rFonts w:hint="eastAsia" w:ascii="宋体" w:hAnsi="宋体" w:cs="Arial"/>
          <w:color w:val="000000"/>
          <w:kern w:val="0"/>
          <w:sz w:val="24"/>
        </w:rPr>
        <w:t>相关货物及服务的投标人前来</w:t>
      </w:r>
      <w:r>
        <w:rPr>
          <w:rFonts w:ascii="宋体" w:hAnsi="宋体" w:cs="Arial"/>
          <w:color w:val="000000"/>
          <w:kern w:val="0"/>
          <w:sz w:val="24"/>
        </w:rPr>
        <w:t>投标。</w:t>
      </w:r>
    </w:p>
    <w:p>
      <w:pPr>
        <w:pStyle w:val="43"/>
        <w:snapToGrid w:val="0"/>
        <w:spacing w:before="0" w:beforeAutospacing="0" w:after="0" w:afterAutospacing="0" w:line="380" w:lineRule="exact"/>
        <w:rPr>
          <w:rFonts w:cs="Arial"/>
          <w:color w:val="000000"/>
        </w:rPr>
      </w:pPr>
      <w:r>
        <w:rPr>
          <w:rFonts w:cs="Arial"/>
          <w:b/>
          <w:bCs/>
          <w:color w:val="000000"/>
        </w:rPr>
        <w:t>1</w:t>
      </w:r>
      <w:r>
        <w:rPr>
          <w:rFonts w:cs="Arial"/>
          <w:color w:val="000000"/>
        </w:rPr>
        <w:t>.</w:t>
      </w:r>
      <w:r>
        <w:rPr>
          <w:rFonts w:cs="Arial"/>
          <w:b/>
          <w:bCs/>
          <w:color w:val="000000"/>
        </w:rPr>
        <w:t>项目概况</w:t>
      </w:r>
    </w:p>
    <w:p>
      <w:pPr>
        <w:pStyle w:val="43"/>
        <w:snapToGrid w:val="0"/>
        <w:spacing w:before="0" w:beforeAutospacing="0" w:after="0" w:afterAutospacing="0" w:line="380" w:lineRule="exact"/>
        <w:rPr>
          <w:rFonts w:hint="eastAsia"/>
        </w:rPr>
      </w:pPr>
      <w:r>
        <w:t>项目名称：</w:t>
      </w:r>
      <w:r>
        <w:rPr>
          <w:rFonts w:hint="eastAsia" w:ascii="Arial" w:hAnsi="Arial" w:cs="Arial"/>
          <w:color w:val="000000"/>
        </w:rPr>
        <w:t>临海市大洋未来社区数字化项目</w:t>
      </w:r>
      <w:r>
        <w:rPr>
          <w:rFonts w:hint="eastAsia"/>
        </w:rPr>
        <w:t xml:space="preserve"> </w:t>
      </w:r>
    </w:p>
    <w:p>
      <w:pPr>
        <w:pStyle w:val="43"/>
        <w:snapToGrid w:val="0"/>
        <w:spacing w:before="0" w:beforeAutospacing="0" w:after="0" w:afterAutospacing="0" w:line="380" w:lineRule="exact"/>
        <w:rPr>
          <w:rFonts w:hint="eastAsia" w:ascii="Arial" w:hAnsi="Arial" w:cs="Arial"/>
          <w:color w:val="000000"/>
        </w:rPr>
      </w:pPr>
      <w:r>
        <w:rPr>
          <w:rFonts w:hint="eastAsia"/>
          <w:lang w:val="en-US" w:eastAsia="zh-CN"/>
        </w:rPr>
        <w:t>建设</w:t>
      </w:r>
      <w:r>
        <w:t>单位：</w:t>
      </w:r>
      <w:r>
        <w:rPr>
          <w:rFonts w:hint="eastAsia" w:ascii="Arial" w:hAnsi="Arial" w:cs="Arial"/>
          <w:color w:val="000000"/>
        </w:rPr>
        <w:t>临海市住房和城乡建设局</w:t>
      </w:r>
    </w:p>
    <w:p>
      <w:pPr>
        <w:pStyle w:val="43"/>
        <w:snapToGrid w:val="0"/>
        <w:spacing w:before="0" w:beforeAutospacing="0" w:after="0" w:afterAutospacing="0" w:line="380" w:lineRule="exact"/>
        <w:rPr>
          <w:rFonts w:hint="eastAsia"/>
        </w:rPr>
      </w:pPr>
      <w:r>
        <w:rPr>
          <w:rFonts w:hint="eastAsia" w:ascii="Arial" w:hAnsi="Arial" w:cs="Arial"/>
          <w:color w:val="000000"/>
          <w:lang w:val="en-US" w:eastAsia="zh-CN"/>
        </w:rPr>
        <w:t>实施单位：</w:t>
      </w:r>
      <w:r>
        <w:rPr>
          <w:rFonts w:hint="eastAsia" w:ascii="Arial" w:hAnsi="Arial" w:cs="Arial"/>
          <w:color w:val="000000"/>
        </w:rPr>
        <w:t>临海市城市建设发展与投资集团有限公司</w:t>
      </w:r>
      <w:r>
        <w:rPr>
          <w:rFonts w:hint="eastAsia"/>
        </w:rPr>
        <w:t xml:space="preserve"> </w:t>
      </w:r>
    </w:p>
    <w:p>
      <w:pPr>
        <w:pStyle w:val="43"/>
        <w:snapToGrid w:val="0"/>
        <w:spacing w:before="0" w:beforeAutospacing="0" w:after="0" w:afterAutospacing="0" w:line="380" w:lineRule="exact"/>
        <w:rPr>
          <w:rFonts w:hint="eastAsia" w:cs="Arial"/>
        </w:rPr>
      </w:pPr>
      <w:r>
        <w:rPr>
          <w:rFonts w:cs="Arial"/>
        </w:rPr>
        <w:t>采购规模及内容概述：</w:t>
      </w:r>
      <w:r>
        <w:rPr>
          <w:rFonts w:hint="eastAsia" w:ascii="Arial" w:hAnsi="Arial" w:cs="Arial"/>
          <w:color w:val="000000"/>
        </w:rPr>
        <w:t>临海市大洋未来社区</w:t>
      </w:r>
      <w:r>
        <w:rPr>
          <w:rFonts w:hint="eastAsia" w:ascii="Arial" w:hAnsi="Arial" w:cs="Arial"/>
          <w:color w:val="000000"/>
        </w:rPr>
        <w:t>数字化建设（详见第二章招标需求）</w:t>
      </w:r>
      <w:r>
        <w:rPr>
          <w:rFonts w:hint="eastAsia" w:cs="Arial"/>
        </w:rPr>
        <w:t>。</w:t>
      </w:r>
    </w:p>
    <w:p>
      <w:pPr>
        <w:snapToGrid w:val="0"/>
        <w:spacing w:line="380" w:lineRule="exact"/>
        <w:rPr>
          <w:rFonts w:hint="eastAsia" w:ascii="宋体" w:hAnsi="宋体" w:cs="Arial"/>
          <w:color w:val="auto"/>
          <w:kern w:val="0"/>
          <w:sz w:val="24"/>
        </w:rPr>
      </w:pPr>
      <w:r>
        <w:rPr>
          <w:rFonts w:hint="eastAsia" w:ascii="宋体" w:hAnsi="宋体" w:cs="Arial"/>
          <w:color w:val="auto"/>
          <w:kern w:val="0"/>
          <w:sz w:val="24"/>
        </w:rPr>
        <w:t>采购预算：16</w:t>
      </w:r>
      <w:r>
        <w:rPr>
          <w:rFonts w:hint="eastAsia" w:ascii="宋体" w:hAnsi="宋体" w:cs="Arial"/>
          <w:color w:val="auto"/>
          <w:kern w:val="0"/>
          <w:sz w:val="24"/>
          <w:lang w:val="en-US" w:eastAsia="zh-CN"/>
        </w:rPr>
        <w:t>50</w:t>
      </w:r>
      <w:r>
        <w:rPr>
          <w:rFonts w:hint="eastAsia" w:ascii="宋体" w:hAnsi="宋体" w:cs="Arial"/>
          <w:color w:val="auto"/>
          <w:kern w:val="0"/>
          <w:sz w:val="24"/>
        </w:rPr>
        <w:t>万元</w:t>
      </w:r>
    </w:p>
    <w:p>
      <w:pPr>
        <w:snapToGrid w:val="0"/>
        <w:spacing w:line="380" w:lineRule="exact"/>
        <w:rPr>
          <w:rFonts w:ascii="宋体" w:hAnsi="宋体" w:cs="Arial"/>
          <w:color w:val="auto"/>
          <w:kern w:val="0"/>
          <w:sz w:val="24"/>
        </w:rPr>
      </w:pPr>
      <w:r>
        <w:rPr>
          <w:rFonts w:hint="eastAsia" w:ascii="宋体" w:hAnsi="宋体" w:cs="Arial"/>
          <w:color w:val="auto"/>
          <w:kern w:val="0"/>
          <w:sz w:val="24"/>
        </w:rPr>
        <w:t>最高限价：1620万元（其中软件最高限价565万元，硬件最高限价845万元，其他报价最高限价210万元）</w:t>
      </w:r>
    </w:p>
    <w:p>
      <w:pPr>
        <w:snapToGrid w:val="0"/>
        <w:spacing w:line="380" w:lineRule="exact"/>
        <w:rPr>
          <w:rFonts w:ascii="宋体" w:hAnsi="宋体" w:cs="Arial"/>
          <w:color w:val="auto"/>
          <w:kern w:val="0"/>
          <w:sz w:val="24"/>
        </w:rPr>
      </w:pPr>
      <w:r>
        <w:rPr>
          <w:rFonts w:ascii="宋体" w:hAnsi="宋体" w:cs="Arial"/>
          <w:color w:val="auto"/>
          <w:kern w:val="0"/>
          <w:sz w:val="24"/>
        </w:rPr>
        <w:t>采购组织类型：</w:t>
      </w:r>
      <w:r>
        <w:rPr>
          <w:rFonts w:hint="eastAsia" w:ascii="宋体" w:hAnsi="宋体" w:cs="Arial"/>
          <w:color w:val="auto"/>
          <w:kern w:val="0"/>
          <w:sz w:val="24"/>
        </w:rPr>
        <w:t>分散采购</w:t>
      </w:r>
    </w:p>
    <w:p>
      <w:pPr>
        <w:pStyle w:val="43"/>
        <w:snapToGrid w:val="0"/>
        <w:spacing w:before="0" w:beforeAutospacing="0" w:after="0" w:afterAutospacing="0" w:line="380" w:lineRule="exact"/>
        <w:rPr>
          <w:rFonts w:cs="Arial"/>
          <w:color w:val="auto"/>
        </w:rPr>
      </w:pPr>
      <w:r>
        <w:rPr>
          <w:rFonts w:cs="Arial"/>
          <w:color w:val="auto"/>
        </w:rPr>
        <w:t>采购标段数：</w:t>
      </w:r>
      <w:r>
        <w:rPr>
          <w:rFonts w:hint="eastAsia" w:cs="Arial"/>
          <w:color w:val="auto"/>
        </w:rPr>
        <w:t>1</w:t>
      </w:r>
    </w:p>
    <w:p>
      <w:pPr>
        <w:pStyle w:val="43"/>
        <w:snapToGrid w:val="0"/>
        <w:spacing w:before="0" w:beforeAutospacing="0" w:after="0" w:afterAutospacing="0" w:line="380" w:lineRule="exact"/>
        <w:rPr>
          <w:rFonts w:cs="Arial"/>
          <w:color w:val="auto"/>
        </w:rPr>
      </w:pPr>
      <w:r>
        <w:rPr>
          <w:rFonts w:cs="Arial"/>
          <w:color w:val="auto"/>
        </w:rPr>
        <w:t>采购方式：公开招标</w:t>
      </w:r>
    </w:p>
    <w:p>
      <w:pPr>
        <w:widowControl/>
        <w:snapToGrid w:val="0"/>
        <w:spacing w:line="380" w:lineRule="exact"/>
        <w:jc w:val="left"/>
        <w:rPr>
          <w:rFonts w:hint="eastAsia" w:ascii="宋体" w:hAnsi="宋体" w:cs="宋体"/>
          <w:color w:val="000000"/>
          <w:kern w:val="0"/>
          <w:sz w:val="24"/>
        </w:rPr>
      </w:pPr>
      <w:r>
        <w:rPr>
          <w:rFonts w:hint="eastAsia" w:cs="宋体"/>
          <w:bCs/>
          <w:color w:val="auto"/>
          <w:sz w:val="28"/>
          <w:szCs w:val="28"/>
          <w:shd w:val="pct10" w:color="auto" w:fill="FFFFFF"/>
        </w:rPr>
        <w:t>▲</w:t>
      </w:r>
      <w:r>
        <w:rPr>
          <w:rFonts w:cs="Arial"/>
          <w:b/>
          <w:color w:val="auto"/>
          <w:sz w:val="24"/>
        </w:rPr>
        <w:t>工期：</w:t>
      </w:r>
      <w:r>
        <w:rPr>
          <w:rFonts w:hint="eastAsia" w:ascii="宋体" w:hAnsi="宋体" w:cs="宋体"/>
          <w:color w:val="auto"/>
          <w:kern w:val="0"/>
          <w:sz w:val="24"/>
        </w:rPr>
        <w:t>硬</w:t>
      </w:r>
      <w:r>
        <w:rPr>
          <w:rFonts w:hint="eastAsia" w:ascii="宋体" w:hAnsi="宋体" w:cs="宋体"/>
          <w:color w:val="000000"/>
          <w:kern w:val="0"/>
          <w:sz w:val="24"/>
        </w:rPr>
        <w:t>件工期：配合装修和市政工程进度，但不得影响其他专业工程进度。</w:t>
      </w:r>
    </w:p>
    <w:p>
      <w:pPr>
        <w:pStyle w:val="43"/>
        <w:snapToGrid w:val="0"/>
        <w:spacing w:before="0" w:beforeAutospacing="0" w:after="0" w:afterAutospacing="0" w:line="380" w:lineRule="exact"/>
        <w:rPr>
          <w:rFonts w:hint="eastAsia" w:cs="宋体"/>
          <w:b/>
        </w:rPr>
      </w:pPr>
      <w:r>
        <w:rPr>
          <w:rFonts w:hint="eastAsia" w:cs="宋体"/>
          <w:color w:val="000000"/>
        </w:rPr>
        <w:t>软件工期：社区3D建模、驾驶舱以及多跨亮点要在2021年12月底前基本完成，具备初步展示效果，其他系统在合同签订后120天内完成系统开发并部署应用。</w:t>
      </w:r>
    </w:p>
    <w:p>
      <w:pPr>
        <w:pStyle w:val="43"/>
        <w:snapToGrid w:val="0"/>
        <w:spacing w:before="0" w:beforeAutospacing="0" w:after="0" w:afterAutospacing="0" w:line="380" w:lineRule="exact"/>
        <w:rPr>
          <w:rFonts w:cs="宋体"/>
          <w:b/>
        </w:rPr>
      </w:pPr>
      <w:r>
        <w:rPr>
          <w:rFonts w:hint="eastAsia" w:cs="宋体"/>
          <w:b/>
        </w:rPr>
        <w:t>采购文件公告期限：5个工作日</w:t>
      </w:r>
    </w:p>
    <w:p>
      <w:pPr>
        <w:pStyle w:val="43"/>
        <w:snapToGrid w:val="0"/>
        <w:spacing w:before="0" w:beforeAutospacing="0" w:after="0" w:afterAutospacing="0" w:line="380" w:lineRule="exact"/>
        <w:rPr>
          <w:rFonts w:cs="Arial"/>
        </w:rPr>
      </w:pPr>
      <w:r>
        <w:rPr>
          <w:rFonts w:cs="Arial"/>
        </w:rPr>
        <w:t>该项目已具备条件，现对该项目进行公开招标。</w:t>
      </w:r>
    </w:p>
    <w:p>
      <w:pPr>
        <w:snapToGrid w:val="0"/>
        <w:spacing w:line="380" w:lineRule="exact"/>
        <w:rPr>
          <w:rFonts w:ascii="宋体" w:hAnsi="宋体" w:cs="Arial"/>
          <w:b/>
          <w:bCs/>
          <w:kern w:val="0"/>
          <w:sz w:val="24"/>
        </w:rPr>
      </w:pPr>
      <w:r>
        <w:rPr>
          <w:rFonts w:ascii="宋体" w:hAnsi="宋体" w:cs="Arial"/>
          <w:b/>
          <w:bCs/>
          <w:kern w:val="0"/>
          <w:sz w:val="24"/>
        </w:rPr>
        <w:t>2.投标人资格要求</w:t>
      </w:r>
    </w:p>
    <w:p>
      <w:pPr>
        <w:snapToGrid w:val="0"/>
        <w:spacing w:line="380" w:lineRule="exact"/>
        <w:rPr>
          <w:rFonts w:ascii="宋体" w:hAnsi="宋体" w:cs="Arial"/>
          <w:kern w:val="0"/>
          <w:sz w:val="24"/>
        </w:rPr>
      </w:pPr>
      <w:r>
        <w:rPr>
          <w:rFonts w:hint="eastAsia" w:ascii="宋体" w:hAnsi="宋体" w:cs="Arial"/>
          <w:kern w:val="0"/>
          <w:sz w:val="24"/>
        </w:rPr>
        <w:t>（1）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80" w:lineRule="exact"/>
        <w:rPr>
          <w:rFonts w:ascii="宋体" w:hAnsi="宋体" w:cs="Arial"/>
          <w:kern w:val="0"/>
          <w:sz w:val="24"/>
        </w:rPr>
      </w:pPr>
      <w:r>
        <w:rPr>
          <w:rFonts w:hint="eastAsia" w:ascii="宋体" w:hAnsi="宋体" w:cs="Arial"/>
          <w:kern w:val="0"/>
          <w:sz w:val="24"/>
        </w:rPr>
        <w:t>（2）具有与本采购项目相适应的商品经营或服务能力的投标人</w:t>
      </w:r>
      <w:r>
        <w:rPr>
          <w:rFonts w:ascii="宋体" w:hAnsi="宋体" w:cs="Arial"/>
          <w:kern w:val="0"/>
          <w:sz w:val="24"/>
        </w:rPr>
        <w:t>；</w:t>
      </w:r>
    </w:p>
    <w:p>
      <w:pPr>
        <w:snapToGrid w:val="0"/>
        <w:spacing w:line="380" w:lineRule="exact"/>
        <w:rPr>
          <w:rFonts w:hint="eastAsia" w:ascii="宋体" w:hAnsi="宋体" w:cs="Arial"/>
          <w:kern w:val="0"/>
          <w:sz w:val="24"/>
        </w:rPr>
      </w:pPr>
      <w:r>
        <w:rPr>
          <w:rFonts w:hint="eastAsia" w:ascii="宋体" w:hAnsi="宋体" w:cs="Arial"/>
          <w:kern w:val="0"/>
          <w:sz w:val="24"/>
        </w:rPr>
        <w:t>（3）</w:t>
      </w:r>
      <w:r>
        <w:rPr>
          <w:rFonts w:hint="eastAsia" w:ascii="宋体" w:hAnsi="宋体" w:cs="Arial"/>
          <w:color w:val="auto"/>
          <w:kern w:val="0"/>
          <w:sz w:val="24"/>
        </w:rPr>
        <w:t>具有基础电信业务运营许可证的运营商或其分支机构，或者具有广电传输工程业务经营资格能力的广电企事业法人单位；</w:t>
      </w:r>
    </w:p>
    <w:p>
      <w:pPr>
        <w:snapToGrid w:val="0"/>
        <w:spacing w:line="380" w:lineRule="exact"/>
        <w:rPr>
          <w:rFonts w:hint="eastAsia" w:ascii="宋体" w:hAnsi="宋体" w:cs="Arial"/>
          <w:b/>
          <w:bCs/>
          <w:color w:val="00B050"/>
          <w:kern w:val="0"/>
          <w:sz w:val="24"/>
        </w:rPr>
      </w:pPr>
      <w:r>
        <w:rPr>
          <w:rFonts w:ascii="宋体" w:hAnsi="宋体" w:cs="Arial"/>
          <w:kern w:val="0"/>
          <w:sz w:val="24"/>
        </w:rPr>
        <w:t>（</w:t>
      </w:r>
      <w:r>
        <w:rPr>
          <w:rFonts w:hint="eastAsia" w:ascii="宋体" w:hAnsi="宋体" w:cs="Arial"/>
          <w:kern w:val="0"/>
          <w:sz w:val="24"/>
          <w:lang w:val="en-US" w:eastAsia="zh-CN"/>
        </w:rPr>
        <w:t>4</w:t>
      </w:r>
      <w:r>
        <w:rPr>
          <w:rFonts w:ascii="宋体" w:hAnsi="宋体" w:cs="Arial"/>
          <w:kern w:val="0"/>
          <w:sz w:val="24"/>
        </w:rPr>
        <w:t>）本项目不接受联合体投标。</w:t>
      </w:r>
    </w:p>
    <w:p>
      <w:pPr>
        <w:snapToGrid w:val="0"/>
        <w:spacing w:line="380" w:lineRule="exact"/>
        <w:rPr>
          <w:rFonts w:ascii="宋体" w:hAnsi="宋体" w:cs="Arial"/>
          <w:b/>
          <w:bCs/>
          <w:color w:val="000000"/>
          <w:kern w:val="0"/>
          <w:sz w:val="24"/>
        </w:rPr>
      </w:pPr>
      <w:r>
        <w:rPr>
          <w:rFonts w:ascii="宋体" w:hAnsi="宋体" w:cs="Arial"/>
          <w:b/>
          <w:bCs/>
          <w:color w:val="000000"/>
          <w:kern w:val="0"/>
          <w:sz w:val="24"/>
        </w:rPr>
        <w:t>3.报名</w:t>
      </w:r>
    </w:p>
    <w:p>
      <w:pPr>
        <w:snapToGrid w:val="0"/>
        <w:spacing w:line="38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本项目无需报名，</w:t>
      </w:r>
      <w:bookmarkStart w:id="3" w:name="_Hlk59307647"/>
      <w:r>
        <w:rPr>
          <w:rFonts w:hint="eastAsia" w:ascii="宋体" w:hAnsi="宋体" w:cs="Arial"/>
          <w:b/>
          <w:bCs/>
          <w:kern w:val="0"/>
          <w:sz w:val="24"/>
          <w:u w:val="single"/>
          <w:shd w:val="pct10" w:color="auto" w:fill="FFFFFF"/>
        </w:rPr>
        <w:t>投标人须到临海市公共资源交易中心网站</w:t>
      </w:r>
    </w:p>
    <w:p>
      <w:pPr>
        <w:snapToGrid w:val="0"/>
        <w:spacing w:line="38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w:t>
      </w:r>
      <w:r>
        <w:rPr>
          <w:rFonts w:ascii="宋体" w:hAnsi="宋体" w:cs="Arial"/>
          <w:b/>
          <w:bCs/>
          <w:kern w:val="0"/>
          <w:sz w:val="24"/>
          <w:u w:val="single"/>
          <w:shd w:val="pct10" w:color="auto" w:fill="FFFFFF"/>
        </w:rPr>
        <w:t>http://www.linhai.gov.cn/ggzyjy/</w:t>
      </w:r>
      <w:r>
        <w:rPr>
          <w:rFonts w:hint="eastAsia" w:ascii="宋体" w:hAnsi="宋体" w:cs="Arial"/>
          <w:b/>
          <w:bCs/>
          <w:kern w:val="0"/>
          <w:sz w:val="24"/>
          <w:u w:val="single"/>
          <w:shd w:val="pct10" w:color="auto" w:fill="FFFFFF"/>
        </w:rPr>
        <w:t>）注册</w:t>
      </w:r>
      <w:bookmarkEnd w:id="3"/>
      <w:r>
        <w:rPr>
          <w:rFonts w:hint="eastAsia" w:ascii="宋体" w:hAnsi="宋体" w:cs="Arial"/>
          <w:b/>
          <w:bCs/>
          <w:kern w:val="0"/>
          <w:sz w:val="24"/>
          <w:u w:val="single"/>
          <w:shd w:val="pct10" w:color="auto" w:fill="FFFFFF"/>
        </w:rPr>
        <w:t>、提交审核通过后可参加投标，注册、审核联系电话：0576-85280675。投标人未在临海市公共资源交易中心网站完成注册而造成无法登陆临海市公共资源交易中心网站—-每日直播平台--后台和无法发布开标后系列公告等产生的后果由投标人自行承担。</w:t>
      </w:r>
    </w:p>
    <w:p>
      <w:pPr>
        <w:snapToGrid w:val="0"/>
        <w:spacing w:line="380" w:lineRule="exact"/>
        <w:rPr>
          <w:rFonts w:ascii="宋体" w:hAnsi="宋体" w:cs="Arial"/>
          <w:b/>
          <w:bCs/>
          <w:color w:val="000000"/>
          <w:kern w:val="0"/>
          <w:sz w:val="24"/>
        </w:rPr>
      </w:pPr>
      <w:r>
        <w:rPr>
          <w:rFonts w:ascii="宋体" w:hAnsi="宋体" w:cs="Arial"/>
          <w:b/>
          <w:bCs/>
          <w:color w:val="000000"/>
          <w:kern w:val="0"/>
          <w:sz w:val="24"/>
        </w:rPr>
        <w:t>4.招标文件的获取</w:t>
      </w:r>
    </w:p>
    <w:p>
      <w:pPr>
        <w:snapToGrid w:val="0"/>
        <w:spacing w:line="380" w:lineRule="exact"/>
        <w:rPr>
          <w:rFonts w:ascii="宋体" w:hAnsi="宋体" w:cs="Arial"/>
          <w:color w:val="000000"/>
          <w:kern w:val="0"/>
          <w:sz w:val="24"/>
        </w:rPr>
      </w:pPr>
      <w:r>
        <w:rPr>
          <w:rFonts w:ascii="宋体" w:hAnsi="宋体" w:cs="Arial"/>
          <w:color w:val="000000"/>
          <w:kern w:val="0"/>
          <w:sz w:val="24"/>
        </w:rPr>
        <w:t>采购文件售价：免费</w:t>
      </w:r>
    </w:p>
    <w:p>
      <w:pPr>
        <w:snapToGrid w:val="0"/>
        <w:spacing w:line="380" w:lineRule="exact"/>
        <w:rPr>
          <w:rFonts w:hint="eastAsia" w:ascii="宋体" w:hAnsi="宋体" w:cs="Arial"/>
          <w:bCs/>
          <w:sz w:val="24"/>
        </w:rPr>
      </w:pPr>
      <w:r>
        <w:rPr>
          <w:rFonts w:hint="eastAsia" w:ascii="宋体" w:hAnsi="宋体" w:cs="Arial"/>
          <w:bCs/>
          <w:sz w:val="24"/>
        </w:rPr>
        <w:t>获取方式：凡有意参加投标者，在202</w:t>
      </w:r>
      <w:r>
        <w:rPr>
          <w:rFonts w:ascii="宋体" w:hAnsi="宋体" w:cs="Arial"/>
          <w:bCs/>
          <w:sz w:val="24"/>
        </w:rPr>
        <w:t>1</w:t>
      </w:r>
      <w:r>
        <w:rPr>
          <w:rFonts w:hint="eastAsia" w:ascii="宋体" w:hAnsi="宋体" w:cs="Arial"/>
          <w:bCs/>
          <w:sz w:val="24"/>
        </w:rPr>
        <w:t>年</w:t>
      </w:r>
      <w:r>
        <w:rPr>
          <w:rFonts w:hint="eastAsia" w:ascii="宋体" w:hAnsi="宋体" w:cs="Arial"/>
          <w:bCs/>
          <w:sz w:val="24"/>
          <w:lang w:val="en-US" w:eastAsia="zh-CN"/>
        </w:rPr>
        <w:t>1</w:t>
      </w:r>
      <w:r>
        <w:rPr>
          <w:rFonts w:hint="eastAsia" w:ascii="宋体" w:hAnsi="宋体" w:cs="Arial"/>
          <w:bCs/>
          <w:sz w:val="24"/>
          <w:lang w:val="en-US" w:eastAsia="zh-CN"/>
        </w:rPr>
        <w:t>2</w:t>
      </w:r>
      <w:r>
        <w:rPr>
          <w:rFonts w:hint="eastAsia" w:ascii="宋体" w:hAnsi="宋体" w:cs="Arial"/>
          <w:bCs/>
          <w:sz w:val="24"/>
        </w:rPr>
        <w:t>月</w:t>
      </w:r>
      <w:r>
        <w:rPr>
          <w:rFonts w:hint="eastAsia" w:ascii="宋体" w:hAnsi="宋体" w:cs="Arial"/>
          <w:bCs/>
          <w:sz w:val="24"/>
          <w:lang w:val="en-US" w:eastAsia="zh-CN"/>
        </w:rPr>
        <w:t>1</w:t>
      </w:r>
      <w:r>
        <w:rPr>
          <w:rFonts w:hint="eastAsia" w:ascii="宋体" w:hAnsi="宋体" w:cs="Arial"/>
          <w:bCs/>
          <w:sz w:val="24"/>
          <w:lang w:val="en-US" w:eastAsia="zh-CN"/>
        </w:rPr>
        <w:t>6</w:t>
      </w:r>
      <w:r>
        <w:rPr>
          <w:rFonts w:hint="eastAsia" w:ascii="宋体" w:hAnsi="宋体" w:cs="Arial"/>
          <w:bCs/>
          <w:sz w:val="24"/>
        </w:rPr>
        <w:t>日</w:t>
      </w:r>
      <w:r>
        <w:rPr>
          <w:rFonts w:ascii="宋体" w:hAnsi="宋体" w:cs="Arial"/>
          <w:bCs/>
          <w:sz w:val="24"/>
        </w:rPr>
        <w:t>8</w:t>
      </w:r>
      <w:r>
        <w:rPr>
          <w:rFonts w:hint="eastAsia" w:ascii="宋体" w:hAnsi="宋体" w:cs="Arial"/>
          <w:bCs/>
          <w:sz w:val="24"/>
        </w:rPr>
        <w:t>:</w:t>
      </w:r>
      <w:r>
        <w:rPr>
          <w:rFonts w:ascii="宋体" w:hAnsi="宋体" w:cs="Arial"/>
          <w:bCs/>
          <w:sz w:val="24"/>
        </w:rPr>
        <w:t>3</w:t>
      </w:r>
      <w:r>
        <w:rPr>
          <w:rFonts w:hint="eastAsia" w:ascii="宋体" w:hAnsi="宋体" w:cs="Arial"/>
          <w:bCs/>
          <w:sz w:val="24"/>
        </w:rPr>
        <w:t>0前，到临海市公共资源交易中心网站注册审核通过后可自行下载采购文件或到浙江政府采购网（网址</w:t>
      </w:r>
      <w:r>
        <w:fldChar w:fldCharType="begin"/>
      </w:r>
      <w:r>
        <w:instrText xml:space="preserve"> HYPERLINK " </w:instrText>
      </w:r>
      <w:r>
        <w:rPr>
          <w:rFonts w:ascii="宋体" w:hAnsi="宋体" w:cs="Arial"/>
          <w:bCs/>
          <w:sz w:val="24"/>
          <w:u w:val="single"/>
        </w:rPr>
        <w:instrText xml:space="preserve">https://zfcg.czt.zj.gov.cn/</w:instrText>
      </w:r>
      <w:r>
        <w:instrText xml:space="preserve">" </w:instrText>
      </w:r>
      <w:r>
        <w:fldChar w:fldCharType="separate"/>
      </w:r>
      <w:r>
        <w:rPr>
          <w:rStyle w:val="55"/>
        </w:rPr>
        <w:t xml:space="preserve"> </w:t>
      </w:r>
      <w:r>
        <w:rPr>
          <w:rStyle w:val="55"/>
          <w:rFonts w:ascii="宋体" w:hAnsi="宋体" w:cs="Arial"/>
          <w:bCs/>
          <w:sz w:val="24"/>
        </w:rPr>
        <w:t>https://zfcg.czt.zj.gov.cn/</w:t>
      </w:r>
      <w:r>
        <w:fldChar w:fldCharType="end"/>
      </w:r>
      <w:r>
        <w:rPr>
          <w:rFonts w:ascii="宋体" w:hAnsi="宋体" w:cs="Arial"/>
          <w:bCs/>
          <w:sz w:val="24"/>
          <w:u w:val="single"/>
        </w:rPr>
        <w:t xml:space="preserve"> </w:t>
      </w:r>
      <w:r>
        <w:rPr>
          <w:rFonts w:hint="eastAsia" w:ascii="宋体" w:hAnsi="宋体" w:cs="Arial"/>
          <w:bCs/>
          <w:sz w:val="24"/>
        </w:rPr>
        <w:t>）上获取。</w:t>
      </w:r>
    </w:p>
    <w:p>
      <w:pPr>
        <w:pStyle w:val="43"/>
        <w:snapToGrid w:val="0"/>
        <w:spacing w:before="0" w:beforeAutospacing="0" w:after="0" w:afterAutospacing="0" w:line="380" w:lineRule="exact"/>
        <w:rPr>
          <w:rFonts w:hint="eastAsia" w:ascii="Arial" w:hAnsi="Arial" w:cs="Arial"/>
        </w:rPr>
      </w:pPr>
      <w:r>
        <w:rPr>
          <w:rFonts w:ascii="Arial" w:hAnsi="Arial" w:cs="Arial"/>
        </w:rPr>
        <w:t>招标文件答疑：</w:t>
      </w:r>
      <w:r>
        <w:rPr>
          <w:rFonts w:ascii="Arial" w:hAnsi="Arial" w:cs="Arial"/>
          <w:b/>
        </w:rPr>
        <w:t>投标人</w:t>
      </w:r>
      <w:r>
        <w:rPr>
          <w:rFonts w:hint="eastAsia" w:ascii="Arial" w:hAnsi="Arial" w:cs="Arial"/>
          <w:b/>
        </w:rPr>
        <w:t>对采购文件提出质疑的，应当在获取采购文件或者采购文件公告期限届满之日起7个工作日内以书面形式提出，否则被质疑人可不予接受。</w:t>
      </w:r>
    </w:p>
    <w:p>
      <w:pPr>
        <w:pStyle w:val="43"/>
        <w:snapToGrid w:val="0"/>
        <w:spacing w:before="0" w:beforeAutospacing="0" w:after="0" w:afterAutospacing="0" w:line="380" w:lineRule="exact"/>
        <w:rPr>
          <w:rFonts w:hint="eastAsia" w:cs="Arial"/>
        </w:rPr>
      </w:pPr>
      <w:r>
        <w:rPr>
          <w:rFonts w:cs="Arial"/>
          <w:b/>
          <w:bCs/>
        </w:rPr>
        <w:t>5.投标保证金</w:t>
      </w:r>
    </w:p>
    <w:p>
      <w:pPr>
        <w:snapToGrid w:val="0"/>
        <w:spacing w:line="380" w:lineRule="exact"/>
        <w:rPr>
          <w:rFonts w:hint="eastAsia" w:ascii="宋体" w:hAnsi="宋体"/>
          <w:b/>
          <w:sz w:val="24"/>
        </w:rPr>
      </w:pPr>
      <w:r>
        <w:rPr>
          <w:rFonts w:hint="eastAsia" w:ascii="宋体" w:hAnsi="宋体"/>
          <w:b/>
          <w:sz w:val="24"/>
        </w:rPr>
        <w:t>本项目不收取投标保证金。</w:t>
      </w:r>
    </w:p>
    <w:p>
      <w:pPr>
        <w:snapToGrid w:val="0"/>
        <w:spacing w:line="380" w:lineRule="exact"/>
        <w:rPr>
          <w:rFonts w:hint="eastAsia" w:ascii="宋体" w:hAnsi="宋体" w:cs="Arial"/>
          <w:b/>
          <w:bCs/>
          <w:kern w:val="0"/>
          <w:sz w:val="24"/>
        </w:rPr>
      </w:pPr>
      <w:r>
        <w:rPr>
          <w:rFonts w:hint="eastAsia" w:ascii="宋体" w:hAnsi="宋体"/>
          <w:b/>
          <w:sz w:val="24"/>
        </w:rPr>
        <w:t>6</w:t>
      </w:r>
      <w:r>
        <w:rPr>
          <w:rFonts w:ascii="宋体" w:hAnsi="宋体" w:cs="Arial"/>
          <w:b/>
          <w:bCs/>
          <w:kern w:val="0"/>
          <w:sz w:val="24"/>
        </w:rPr>
        <w:t>.</w:t>
      </w:r>
      <w:r>
        <w:rPr>
          <w:rFonts w:hint="eastAsia" w:ascii="宋体" w:hAnsi="宋体" w:cs="Arial"/>
          <w:b/>
          <w:bCs/>
          <w:kern w:val="0"/>
          <w:sz w:val="24"/>
        </w:rPr>
        <w:t>投标说明</w:t>
      </w:r>
    </w:p>
    <w:p>
      <w:pPr>
        <w:snapToGrid w:val="0"/>
        <w:spacing w:line="380" w:lineRule="exact"/>
        <w:rPr>
          <w:rFonts w:hint="eastAsia" w:ascii="宋体" w:hAnsi="宋体" w:cs="Arial"/>
          <w:kern w:val="0"/>
          <w:sz w:val="24"/>
          <w:u w:val="single"/>
        </w:rPr>
      </w:pPr>
      <w:r>
        <w:rPr>
          <w:rFonts w:hint="eastAsia" w:ascii="宋体" w:hAnsi="宋体" w:cs="Arial"/>
          <w:kern w:val="0"/>
          <w:sz w:val="24"/>
          <w:u w:val="singl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pPr>
        <w:snapToGrid w:val="0"/>
        <w:spacing w:line="380" w:lineRule="exact"/>
        <w:rPr>
          <w:rFonts w:hint="eastAsia"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2</w:t>
      </w:r>
      <w:r>
        <w:rPr>
          <w:rFonts w:hint="eastAsia" w:ascii="宋体" w:hAnsi="宋体" w:cs="Arial"/>
          <w:kern w:val="0"/>
          <w:sz w:val="24"/>
          <w:u w:val="single"/>
        </w:rPr>
        <w:t>）投标人通过政采云平台电子投标工具制作投标文件，电子投标工具请投标人自行前往浙江政府采购网下载并安装，（下载网址：</w:t>
      </w:r>
      <w:r>
        <w:rPr>
          <w:rFonts w:ascii="宋体" w:hAnsi="宋体" w:cs="Arial"/>
          <w:kern w:val="0"/>
          <w:sz w:val="24"/>
          <w:u w:val="single"/>
        </w:rPr>
        <w:fldChar w:fldCharType="begin"/>
      </w:r>
      <w:r>
        <w:rPr>
          <w:rFonts w:ascii="宋体" w:hAnsi="宋体" w:cs="Arial"/>
          <w:kern w:val="0"/>
          <w:sz w:val="24"/>
          <w:u w:val="single"/>
        </w:rPr>
        <w:instrText xml:space="preserve"> HYPERLINK "https://customer.zcygov.cn/CA-driver-download?utm=web-login-front.75ab4087.0.0.f8e5d230c7c411ea9e54c97a8e384567" </w:instrText>
      </w:r>
      <w:r>
        <w:rPr>
          <w:rFonts w:ascii="宋体" w:hAnsi="宋体" w:cs="Arial"/>
          <w:kern w:val="0"/>
          <w:sz w:val="24"/>
          <w:u w:val="single"/>
        </w:rPr>
        <w:fldChar w:fldCharType="separate"/>
      </w:r>
      <w:r>
        <w:rPr>
          <w:rStyle w:val="55"/>
          <w:rFonts w:ascii="宋体" w:hAnsi="宋体" w:cs="Arial"/>
          <w:color w:val="auto"/>
          <w:kern w:val="0"/>
          <w:sz w:val="24"/>
        </w:rPr>
        <w:t>https://customer.zcygov.cn/CA-driver-download?utm=web-login-front.75ab4087.0.0.f8e5d230c7c411ea9e54c97a8e384567</w:t>
      </w:r>
      <w:r>
        <w:rPr>
          <w:rFonts w:ascii="宋体" w:hAnsi="宋体" w:cs="Arial"/>
          <w:kern w:val="0"/>
          <w:sz w:val="24"/>
          <w:u w:val="single"/>
        </w:rPr>
        <w:fldChar w:fldCharType="end"/>
      </w:r>
      <w:r>
        <w:rPr>
          <w:rFonts w:hint="eastAsia" w:ascii="宋体" w:hAnsi="宋体" w:cs="Arial"/>
          <w:kern w:val="0"/>
          <w:sz w:val="24"/>
          <w:u w:val="single"/>
        </w:rPr>
        <w:t>）电子投标具体流程详见本招标公告附件：“政采云投标人项目采购-电子招投标操作指南.pdf”。</w:t>
      </w:r>
    </w:p>
    <w:p>
      <w:pPr>
        <w:snapToGrid w:val="0"/>
        <w:spacing w:line="380" w:lineRule="exact"/>
        <w:rPr>
          <w:rFonts w:hint="eastAsia"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3</w:t>
      </w:r>
      <w:r>
        <w:rPr>
          <w:rFonts w:hint="eastAsia" w:ascii="宋体" w:hAnsi="宋体" w:cs="Arial"/>
          <w:kern w:val="0"/>
          <w:sz w:val="24"/>
          <w:u w:val="single"/>
        </w:rPr>
        <w:t>）投标人应在开标前完成CA数字证书办理。（办理流程详见</w:t>
      </w:r>
      <w:r>
        <w:rPr>
          <w:rFonts w:ascii="宋体" w:hAnsi="宋体" w:cs="Arial"/>
          <w:kern w:val="0"/>
          <w:sz w:val="24"/>
          <w:u w:val="single"/>
        </w:rPr>
        <w:fldChar w:fldCharType="begin"/>
      </w:r>
      <w:r>
        <w:rPr>
          <w:rFonts w:ascii="宋体" w:hAnsi="宋体" w:cs="Arial"/>
          <w:kern w:val="0"/>
          <w:sz w:val="24"/>
          <w:u w:val="single"/>
        </w:rPr>
        <w:instrText xml:space="preserve"> HYPERLINK "https://middle.zcygov.cn/ca/apply/edit" </w:instrText>
      </w:r>
      <w:r>
        <w:rPr>
          <w:rFonts w:ascii="宋体" w:hAnsi="宋体" w:cs="Arial"/>
          <w:kern w:val="0"/>
          <w:sz w:val="24"/>
          <w:u w:val="single"/>
        </w:rPr>
        <w:fldChar w:fldCharType="separate"/>
      </w:r>
      <w:r>
        <w:rPr>
          <w:rStyle w:val="55"/>
          <w:rFonts w:ascii="宋体" w:hAnsi="宋体" w:cs="Arial"/>
          <w:color w:val="auto"/>
          <w:kern w:val="0"/>
          <w:sz w:val="24"/>
        </w:rPr>
        <w:t>https://middle.zcygov.cn/ca/apply/edit</w:t>
      </w:r>
      <w:r>
        <w:rPr>
          <w:rFonts w:ascii="宋体" w:hAnsi="宋体" w:cs="Arial"/>
          <w:kern w:val="0"/>
          <w:sz w:val="24"/>
          <w:u w:val="single"/>
        </w:rPr>
        <w:fldChar w:fldCharType="end"/>
      </w:r>
      <w:r>
        <w:rPr>
          <w:rFonts w:hint="eastAsia" w:ascii="宋体" w:hAnsi="宋体" w:cs="Arial"/>
          <w:kern w:val="0"/>
          <w:sz w:val="24"/>
          <w:u w:val="single"/>
        </w:rPr>
        <w:t>，完成CA数字证书办理预计一周左右，请各投标人自行把握时间，汇信客服电话：400-888-4636，天谷客服电话：400-087-8198）。</w:t>
      </w:r>
    </w:p>
    <w:p>
      <w:pPr>
        <w:snapToGrid w:val="0"/>
        <w:spacing w:line="380" w:lineRule="exact"/>
        <w:rPr>
          <w:rFonts w:ascii="宋体" w:hAnsi="宋体" w:cs="Arial"/>
          <w:b/>
          <w:bCs/>
          <w:kern w:val="0"/>
          <w:sz w:val="24"/>
          <w:u w:val="single"/>
          <w:shd w:val="pct10" w:color="auto" w:fill="FFFFFF"/>
        </w:rPr>
      </w:pPr>
      <w:r>
        <w:rPr>
          <w:rFonts w:hint="eastAsia" w:ascii="宋体" w:hAnsi="宋体" w:cs="Arial"/>
          <w:kern w:val="0"/>
          <w:sz w:val="24"/>
          <w:u w:val="single"/>
        </w:rPr>
        <w:t>（</w:t>
      </w:r>
      <w:r>
        <w:rPr>
          <w:rFonts w:ascii="宋体" w:hAnsi="宋体" w:cs="Arial"/>
          <w:kern w:val="0"/>
          <w:sz w:val="24"/>
          <w:u w:val="single"/>
        </w:rPr>
        <w:t>4</w:t>
      </w:r>
      <w:r>
        <w:rPr>
          <w:rFonts w:hint="eastAsia" w:ascii="宋体" w:hAnsi="宋体" w:cs="Arial"/>
          <w:kern w:val="0"/>
          <w:sz w:val="24"/>
          <w:u w:val="single"/>
        </w:rPr>
        <w:t>）投标人应当在投标截止时间前完成电子投标文件的传输递交，并可以补充、修改或者撤回电子投标文件。补充或者修改电子投标文件的，应当先行撤回原文件，补充、修改后重新传输递交。</w:t>
      </w:r>
      <w:r>
        <w:rPr>
          <w:rFonts w:hint="eastAsia" w:ascii="宋体" w:hAnsi="宋体" w:cs="Arial"/>
          <w:b/>
          <w:bCs/>
          <w:kern w:val="0"/>
          <w:sz w:val="24"/>
          <w:u w:val="single"/>
        </w:rPr>
        <w:t>投标截止时间后传输、递交的投标文件，将被拒收。</w:t>
      </w:r>
    </w:p>
    <w:p>
      <w:pPr>
        <w:snapToGrid w:val="0"/>
        <w:spacing w:line="380" w:lineRule="exact"/>
        <w:rPr>
          <w:rFonts w:hint="eastAsia"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（5）本招标文件中关于电子招投标内容、流程如与政采云系统中最新的内容、操作不一致的，以政采云系统中的要求为准。</w:t>
      </w:r>
    </w:p>
    <w:p>
      <w:pPr>
        <w:snapToGrid w:val="0"/>
        <w:spacing w:line="380" w:lineRule="exact"/>
        <w:rPr>
          <w:rFonts w:hint="eastAsia"/>
          <w:b/>
          <w:sz w:val="24"/>
        </w:rPr>
      </w:pPr>
      <w:r>
        <w:rPr>
          <w:rFonts w:ascii="宋体" w:hAnsi="宋体"/>
          <w:b/>
          <w:sz w:val="24"/>
        </w:rPr>
        <w:t>7</w:t>
      </w:r>
      <w:r>
        <w:rPr>
          <w:rFonts w:ascii="宋体" w:hAnsi="宋体" w:cs="Arial"/>
          <w:b/>
          <w:kern w:val="0"/>
          <w:sz w:val="24"/>
        </w:rPr>
        <w:t>.</w:t>
      </w:r>
      <w:r>
        <w:rPr>
          <w:rFonts w:hint="eastAsia"/>
          <w:b/>
          <w:sz w:val="24"/>
        </w:rPr>
        <w:t>投标文件的组成、效力</w:t>
      </w:r>
    </w:p>
    <w:p>
      <w:pPr>
        <w:snapToGrid w:val="0"/>
        <w:spacing w:line="380" w:lineRule="exact"/>
        <w:rPr>
          <w:rFonts w:hint="eastAsia"/>
          <w:sz w:val="24"/>
        </w:rPr>
      </w:pPr>
      <w:r>
        <w:rPr>
          <w:rFonts w:hint="eastAsia"/>
          <w:sz w:val="24"/>
        </w:rPr>
        <w:t>（1）本项目实行电子投标，投标人应准备电子投标文件，本项目线下无需提供任何备份投标文件。电子投标文件，按政采云平台项目采购--电子招投标操作指南及本招标文件要求编制。</w:t>
      </w:r>
    </w:p>
    <w:p>
      <w:pPr>
        <w:snapToGrid w:val="0"/>
        <w:spacing w:line="380" w:lineRule="exact"/>
        <w:rPr>
          <w:rFonts w:hint="eastAsia"/>
          <w:sz w:val="24"/>
        </w:rPr>
      </w:pPr>
      <w:r>
        <w:rPr>
          <w:rFonts w:hint="eastAsia"/>
          <w:sz w:val="24"/>
        </w:rPr>
        <w:t>（</w:t>
      </w:r>
      <w:r>
        <w:rPr>
          <w:sz w:val="24"/>
        </w:rPr>
        <w:t>2</w:t>
      </w:r>
      <w:r>
        <w:rPr>
          <w:rFonts w:hint="eastAsia"/>
          <w:sz w:val="24"/>
        </w:rPr>
        <w:t>）未在</w:t>
      </w:r>
      <w:r>
        <w:rPr>
          <w:rFonts w:hint="eastAsia" w:ascii="宋体" w:hAnsi="宋体" w:cs="Arial"/>
          <w:kern w:val="0"/>
          <w:sz w:val="24"/>
        </w:rPr>
        <w:t>“政府采购云平台”</w:t>
      </w:r>
      <w:r>
        <w:rPr>
          <w:rFonts w:hint="eastAsia"/>
          <w:sz w:val="24"/>
        </w:rPr>
        <w:t>传输递交电子投标文件的，投标无效。</w:t>
      </w:r>
    </w:p>
    <w:p>
      <w:pPr>
        <w:snapToGrid w:val="0"/>
        <w:spacing w:line="380" w:lineRule="exact"/>
        <w:rPr>
          <w:rFonts w:ascii="宋体" w:hAnsi="宋体"/>
          <w:sz w:val="24"/>
        </w:rPr>
      </w:pPr>
      <w:r>
        <w:rPr>
          <w:rFonts w:ascii="宋体" w:hAnsi="宋体"/>
          <w:b/>
          <w:sz w:val="24"/>
        </w:rPr>
        <w:t>8.投标截止时间及</w:t>
      </w:r>
      <w:r>
        <w:rPr>
          <w:rFonts w:hint="eastAsia" w:ascii="宋体" w:hAnsi="宋体"/>
          <w:b/>
          <w:sz w:val="24"/>
        </w:rPr>
        <w:t>电子</w:t>
      </w:r>
      <w:r>
        <w:rPr>
          <w:rFonts w:ascii="宋体" w:hAnsi="宋体"/>
          <w:b/>
          <w:sz w:val="24"/>
        </w:rPr>
        <w:t>投标文件的递交</w:t>
      </w:r>
    </w:p>
    <w:p>
      <w:pPr>
        <w:snapToGrid w:val="0"/>
        <w:spacing w:line="380" w:lineRule="exact"/>
        <w:rPr>
          <w:rFonts w:ascii="宋体" w:hAnsi="宋体" w:cs="Arial"/>
          <w:kern w:val="0"/>
          <w:sz w:val="24"/>
        </w:rPr>
      </w:pPr>
      <w:r>
        <w:rPr>
          <w:rFonts w:hint="eastAsia" w:ascii="宋体" w:hAnsi="宋体" w:cs="Arial"/>
          <w:b/>
          <w:bCs/>
          <w:color w:val="000000"/>
          <w:kern w:val="0"/>
          <w:sz w:val="24"/>
        </w:rPr>
        <w:t>电子投标文件</w:t>
      </w:r>
      <w:r>
        <w:rPr>
          <w:rFonts w:ascii="宋体" w:hAnsi="宋体"/>
          <w:b/>
          <w:color w:val="000000"/>
          <w:sz w:val="24"/>
        </w:rPr>
        <w:t>投标截止时间</w:t>
      </w:r>
      <w:r>
        <w:rPr>
          <w:rFonts w:hint="eastAsia" w:ascii="宋体" w:hAnsi="宋体"/>
          <w:b/>
          <w:color w:val="000000"/>
          <w:sz w:val="24"/>
        </w:rPr>
        <w:t>：202</w:t>
      </w:r>
      <w:r>
        <w:rPr>
          <w:rFonts w:ascii="宋体" w:hAnsi="宋体"/>
          <w:b/>
          <w:color w:val="000000"/>
          <w:sz w:val="24"/>
        </w:rPr>
        <w:t>1</w:t>
      </w:r>
      <w:r>
        <w:rPr>
          <w:rFonts w:hint="eastAsia" w:ascii="宋体" w:hAnsi="宋体"/>
          <w:b/>
          <w:color w:val="000000"/>
          <w:sz w:val="24"/>
        </w:rPr>
        <w:t>年</w:t>
      </w:r>
      <w:r>
        <w:rPr>
          <w:rFonts w:hint="eastAsia" w:ascii="宋体" w:hAnsi="宋体"/>
          <w:b/>
          <w:color w:val="000000"/>
          <w:sz w:val="24"/>
          <w:lang w:val="en-US" w:eastAsia="zh-CN"/>
        </w:rPr>
        <w:t>1</w:t>
      </w:r>
      <w:r>
        <w:rPr>
          <w:rFonts w:hint="eastAsia" w:ascii="宋体" w:hAnsi="宋体"/>
          <w:b/>
          <w:color w:val="000000"/>
          <w:sz w:val="24"/>
          <w:lang w:val="en-US" w:eastAsia="zh-CN"/>
        </w:rPr>
        <w:t>2</w:t>
      </w:r>
      <w:r>
        <w:rPr>
          <w:rFonts w:hint="eastAsia" w:ascii="宋体" w:hAnsi="宋体"/>
          <w:b/>
          <w:color w:val="000000"/>
          <w:sz w:val="24"/>
        </w:rPr>
        <w:t>月</w:t>
      </w:r>
      <w:r>
        <w:rPr>
          <w:rFonts w:hint="eastAsia" w:ascii="宋体" w:hAnsi="宋体"/>
          <w:b/>
          <w:color w:val="000000"/>
          <w:sz w:val="24"/>
          <w:lang w:val="en-US" w:eastAsia="zh-CN"/>
        </w:rPr>
        <w:t>1</w:t>
      </w:r>
      <w:r>
        <w:rPr>
          <w:rFonts w:hint="eastAsia" w:ascii="宋体" w:hAnsi="宋体"/>
          <w:b/>
          <w:color w:val="000000"/>
          <w:sz w:val="24"/>
          <w:lang w:val="en-US" w:eastAsia="zh-CN"/>
        </w:rPr>
        <w:t>6</w:t>
      </w:r>
      <w:r>
        <w:rPr>
          <w:rFonts w:hint="eastAsia" w:ascii="宋体" w:hAnsi="宋体"/>
          <w:b/>
          <w:color w:val="000000"/>
          <w:sz w:val="24"/>
        </w:rPr>
        <w:t>日</w:t>
      </w:r>
      <w:r>
        <w:rPr>
          <w:rFonts w:ascii="宋体" w:hAnsi="宋体"/>
          <w:b/>
          <w:color w:val="000000"/>
          <w:sz w:val="24"/>
        </w:rPr>
        <w:t>8</w:t>
      </w:r>
      <w:r>
        <w:rPr>
          <w:rFonts w:hint="eastAsia" w:ascii="宋体" w:hAnsi="宋体"/>
          <w:b/>
          <w:color w:val="000000"/>
          <w:sz w:val="24"/>
        </w:rPr>
        <w:t>:</w:t>
      </w:r>
      <w:r>
        <w:rPr>
          <w:rFonts w:ascii="宋体" w:hAnsi="宋体"/>
          <w:b/>
          <w:color w:val="000000"/>
          <w:sz w:val="24"/>
        </w:rPr>
        <w:t>3</w:t>
      </w:r>
      <w:r>
        <w:rPr>
          <w:rFonts w:hint="eastAsia" w:ascii="宋体" w:hAnsi="宋体"/>
          <w:b/>
          <w:color w:val="000000"/>
          <w:sz w:val="24"/>
        </w:rPr>
        <w:t>0分00秒，</w:t>
      </w:r>
      <w:r>
        <w:rPr>
          <w:rFonts w:hint="eastAsia" w:ascii="宋体" w:hAnsi="宋体" w:cs="Arial"/>
          <w:color w:val="000000"/>
          <w:kern w:val="0"/>
          <w:sz w:val="24"/>
        </w:rPr>
        <w:t>投标人应于投标截止时间之前将电子投标文件上传到“政府采购云平台”</w:t>
      </w:r>
      <w:r>
        <w:rPr>
          <w:rFonts w:hint="eastAsia" w:ascii="宋体" w:hAnsi="宋体" w:cs="Arial"/>
          <w:kern w:val="0"/>
          <w:sz w:val="24"/>
        </w:rPr>
        <w:t>。投标截止时间前未完成传输电子投标文件的</w:t>
      </w:r>
      <w:r>
        <w:rPr>
          <w:rFonts w:hint="eastAsia"/>
          <w:sz w:val="24"/>
        </w:rPr>
        <w:t>，投标无效。</w:t>
      </w:r>
    </w:p>
    <w:p>
      <w:pPr>
        <w:snapToGrid w:val="0"/>
        <w:spacing w:line="380" w:lineRule="exact"/>
        <w:rPr>
          <w:rFonts w:ascii="宋体" w:hAnsi="宋体"/>
          <w:b/>
          <w:sz w:val="24"/>
        </w:rPr>
      </w:pPr>
      <w:r>
        <w:rPr>
          <w:rFonts w:hint="eastAsia" w:ascii="宋体" w:hAnsi="宋体"/>
          <w:b/>
          <w:sz w:val="24"/>
        </w:rPr>
        <w:t>9</w:t>
      </w:r>
      <w:r>
        <w:rPr>
          <w:rFonts w:ascii="宋体" w:hAnsi="宋体"/>
          <w:b/>
          <w:sz w:val="24"/>
        </w:rPr>
        <w:t>.</w:t>
      </w:r>
      <w:r>
        <w:rPr>
          <w:rFonts w:hint="eastAsia" w:ascii="宋体" w:hAnsi="宋体"/>
          <w:b/>
          <w:sz w:val="24"/>
        </w:rPr>
        <w:t xml:space="preserve">临海市公共资源交易办公管理系统及开评标期间出现网络故障或停电时的应急处理措施： </w:t>
      </w:r>
      <w:r>
        <w:rPr>
          <w:rFonts w:ascii="宋体" w:hAnsi="宋体"/>
          <w:b/>
          <w:sz w:val="24"/>
        </w:rPr>
        <w:t xml:space="preserve">     </w:t>
      </w:r>
    </w:p>
    <w:p>
      <w:pPr>
        <w:snapToGrid w:val="0"/>
        <w:spacing w:line="380" w:lineRule="exact"/>
        <w:rPr>
          <w:rFonts w:ascii="宋体" w:hAnsi="宋体"/>
          <w:bCs/>
          <w:sz w:val="24"/>
        </w:rPr>
      </w:pPr>
      <w:r>
        <w:rPr>
          <w:rFonts w:hint="eastAsia" w:ascii="宋体" w:hAnsi="宋体"/>
          <w:bCs/>
          <w:sz w:val="24"/>
        </w:rPr>
        <w:t>（1）开评标期间出现网络故障或停电如短时间内（半天内）可以排除并能恢复正常使用的，为不耽误项目进度，招标人（代理机构）经项目行政监管部门批准后可宣布待故障排除后再进行正常开标活动；</w:t>
      </w:r>
    </w:p>
    <w:p>
      <w:pPr>
        <w:snapToGrid w:val="0"/>
        <w:spacing w:line="380" w:lineRule="exact"/>
        <w:rPr>
          <w:rFonts w:hint="eastAsia" w:ascii="宋体" w:hAnsi="宋体"/>
          <w:bCs/>
          <w:sz w:val="24"/>
        </w:rPr>
      </w:pPr>
      <w:r>
        <w:rPr>
          <w:rFonts w:hint="eastAsia" w:ascii="宋体" w:hAnsi="宋体"/>
          <w:bCs/>
          <w:sz w:val="24"/>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pPr>
        <w:snapToGrid w:val="0"/>
        <w:spacing w:line="380" w:lineRule="exact"/>
        <w:rPr>
          <w:rFonts w:ascii="宋体" w:hAnsi="宋体"/>
          <w:sz w:val="24"/>
        </w:rPr>
      </w:pPr>
      <w:r>
        <w:rPr>
          <w:rFonts w:ascii="宋体" w:hAnsi="宋体"/>
          <w:b/>
          <w:sz w:val="24"/>
        </w:rPr>
        <w:t>10.开标</w:t>
      </w:r>
    </w:p>
    <w:p>
      <w:pPr>
        <w:snapToGrid w:val="0"/>
        <w:spacing w:line="380" w:lineRule="exact"/>
        <w:rPr>
          <w:rFonts w:ascii="宋体" w:hAnsi="宋体"/>
          <w:sz w:val="24"/>
        </w:rPr>
      </w:pPr>
      <w:r>
        <w:rPr>
          <w:rFonts w:ascii="宋体" w:hAnsi="宋体"/>
          <w:sz w:val="24"/>
        </w:rPr>
        <w:t>开标时间：</w:t>
      </w:r>
      <w:r>
        <w:rPr>
          <w:rFonts w:ascii="宋体" w:hAnsi="宋体"/>
          <w:b/>
          <w:sz w:val="24"/>
        </w:rPr>
        <w:t>2021年</w:t>
      </w:r>
      <w:r>
        <w:rPr>
          <w:rFonts w:hint="eastAsia" w:ascii="宋体" w:hAnsi="宋体"/>
          <w:b/>
          <w:sz w:val="24"/>
          <w:lang w:val="en-US" w:eastAsia="zh-CN"/>
        </w:rPr>
        <w:t>1</w:t>
      </w:r>
      <w:r>
        <w:rPr>
          <w:rFonts w:hint="eastAsia" w:ascii="宋体" w:hAnsi="宋体"/>
          <w:b/>
          <w:sz w:val="24"/>
          <w:lang w:val="en-US" w:eastAsia="zh-CN"/>
        </w:rPr>
        <w:t>2</w:t>
      </w:r>
      <w:r>
        <w:rPr>
          <w:rFonts w:hint="eastAsia" w:ascii="宋体" w:hAnsi="宋体"/>
          <w:b/>
          <w:sz w:val="24"/>
        </w:rPr>
        <w:t>月</w:t>
      </w:r>
      <w:r>
        <w:rPr>
          <w:rFonts w:hint="eastAsia" w:ascii="宋体" w:hAnsi="宋体"/>
          <w:b/>
          <w:sz w:val="24"/>
          <w:lang w:val="en-US" w:eastAsia="zh-CN"/>
        </w:rPr>
        <w:t>1</w:t>
      </w:r>
      <w:r>
        <w:rPr>
          <w:rFonts w:hint="eastAsia" w:ascii="宋体" w:hAnsi="宋体"/>
          <w:b/>
          <w:sz w:val="24"/>
          <w:lang w:val="en-US" w:eastAsia="zh-CN"/>
        </w:rPr>
        <w:t>6</w:t>
      </w:r>
      <w:r>
        <w:rPr>
          <w:rFonts w:hint="eastAsia" w:ascii="宋体" w:hAnsi="宋体"/>
          <w:b/>
          <w:sz w:val="24"/>
        </w:rPr>
        <w:t>日</w:t>
      </w:r>
      <w:r>
        <w:rPr>
          <w:rFonts w:ascii="宋体" w:hAnsi="宋体"/>
          <w:b/>
          <w:sz w:val="24"/>
        </w:rPr>
        <w:t>8:30时</w:t>
      </w:r>
      <w:r>
        <w:rPr>
          <w:rFonts w:ascii="宋体" w:hAnsi="宋体"/>
          <w:sz w:val="24"/>
        </w:rPr>
        <w:t>。</w:t>
      </w:r>
      <w:r>
        <w:rPr>
          <w:rFonts w:ascii="宋体" w:hAnsi="宋体"/>
          <w:sz w:val="24"/>
        </w:rPr>
        <w:br w:type="textWrapping"/>
      </w:r>
      <w:r>
        <w:rPr>
          <w:rFonts w:ascii="宋体" w:hAnsi="宋体"/>
          <w:sz w:val="24"/>
        </w:rPr>
        <w:t>开标地点：</w:t>
      </w:r>
      <w:r>
        <w:rPr>
          <w:rFonts w:hint="eastAsia" w:ascii="宋体" w:hAnsi="宋体"/>
          <w:sz w:val="24"/>
        </w:rPr>
        <w:t>“政府采购云平台”线上开标、线下直播开标室：</w:t>
      </w:r>
      <w:r>
        <w:rPr>
          <w:sz w:val="24"/>
        </w:rPr>
        <w:t>临海市公共资源交易中心</w:t>
      </w:r>
      <w:r>
        <w:rPr>
          <w:rFonts w:hint="eastAsia" w:ascii="宋体" w:hAnsi="宋体"/>
          <w:sz w:val="24"/>
        </w:rPr>
        <w:t>B区一楼</w:t>
      </w:r>
      <w:r>
        <w:rPr>
          <w:rFonts w:hint="eastAsia" w:ascii="宋体" w:hAnsi="宋体"/>
          <w:sz w:val="24"/>
          <w:lang w:val="en-US" w:eastAsia="zh-CN"/>
        </w:rPr>
        <w:t>二</w:t>
      </w:r>
      <w:r>
        <w:rPr>
          <w:rFonts w:hint="eastAsia" w:ascii="宋体" w:hAnsi="宋体"/>
          <w:sz w:val="24"/>
        </w:rPr>
        <w:t>号开标室</w:t>
      </w:r>
      <w:r>
        <w:rPr>
          <w:rFonts w:ascii="宋体" w:hAnsi="宋体"/>
          <w:sz w:val="24"/>
        </w:rPr>
        <w:t>（临海市</w:t>
      </w:r>
      <w:r>
        <w:rPr>
          <w:rFonts w:hint="eastAsia" w:ascii="宋体" w:hAnsi="宋体"/>
          <w:sz w:val="24"/>
        </w:rPr>
        <w:t>凯歌路6</w:t>
      </w:r>
      <w:r>
        <w:rPr>
          <w:rFonts w:ascii="宋体" w:hAnsi="宋体"/>
          <w:sz w:val="24"/>
        </w:rPr>
        <w:t>号）</w:t>
      </w:r>
    </w:p>
    <w:p>
      <w:pPr>
        <w:snapToGrid w:val="0"/>
        <w:spacing w:line="380" w:lineRule="exact"/>
        <w:rPr>
          <w:rFonts w:ascii="宋体" w:hAnsi="宋体"/>
          <w:b/>
          <w:color w:val="000000"/>
          <w:sz w:val="24"/>
          <w:u w:val="single"/>
          <w:shd w:val="pct10" w:color="auto" w:fill="FFFFFF"/>
        </w:rPr>
      </w:pPr>
      <w:r>
        <w:rPr>
          <w:rFonts w:hint="eastAsia" w:ascii="宋体" w:hAnsi="宋体"/>
          <w:b/>
          <w:sz w:val="24"/>
          <w:u w:val="single"/>
          <w:shd w:val="pct10" w:color="auto" w:fill="FFFFFF"/>
        </w:rPr>
        <w:t>开标时间后30分钟内（具体时间以政采云系统</w:t>
      </w:r>
      <w:bookmarkStart w:id="4" w:name="_Hlk59625364"/>
      <w:r>
        <w:rPr>
          <w:rFonts w:hint="eastAsia" w:ascii="宋体" w:hAnsi="宋体"/>
          <w:b/>
          <w:sz w:val="24"/>
          <w:u w:val="single"/>
          <w:shd w:val="pct10" w:color="auto" w:fill="FFFFFF"/>
        </w:rPr>
        <w:t>显示的</w:t>
      </w:r>
      <w:bookmarkEnd w:id="4"/>
      <w:r>
        <w:rPr>
          <w:rFonts w:hint="eastAsia" w:ascii="宋体" w:hAnsi="宋体"/>
          <w:b/>
          <w:sz w:val="24"/>
          <w:u w:val="single"/>
          <w:shd w:val="pct10" w:color="auto" w:fill="FFFFFF"/>
        </w:rPr>
        <w:t>解密截止时间为准），投标人须登录“政采云”平台，用“项目采购-开标评标”功能解密投标文件，</w:t>
      </w:r>
      <w:bookmarkStart w:id="5" w:name="_Hlk59625972"/>
      <w:r>
        <w:rPr>
          <w:rFonts w:hint="eastAsia" w:ascii="宋体" w:hAnsi="宋体"/>
          <w:b/>
          <w:sz w:val="24"/>
          <w:u w:val="single"/>
          <w:shd w:val="pct10" w:color="auto" w:fill="FFFFFF"/>
        </w:rPr>
        <w:t>投标人未按时解</w:t>
      </w:r>
      <w:r>
        <w:rPr>
          <w:rFonts w:hint="eastAsia" w:ascii="宋体" w:hAnsi="宋体"/>
          <w:b/>
          <w:color w:val="000000"/>
          <w:sz w:val="24"/>
          <w:u w:val="single"/>
          <w:shd w:val="pct10" w:color="auto" w:fill="FFFFFF"/>
        </w:rPr>
        <w:t>密或解密失败的，</w:t>
      </w:r>
      <w:r>
        <w:rPr>
          <w:rFonts w:hint="eastAsia"/>
          <w:b/>
          <w:color w:val="000000"/>
          <w:sz w:val="24"/>
          <w:u w:val="single"/>
          <w:shd w:val="pct10" w:color="auto" w:fill="FFFFFF"/>
        </w:rPr>
        <w:t xml:space="preserve">其投标文件为无效标。 </w:t>
      </w:r>
    </w:p>
    <w:bookmarkEnd w:id="5"/>
    <w:p>
      <w:pPr>
        <w:snapToGrid w:val="0"/>
        <w:spacing w:line="380" w:lineRule="exact"/>
        <w:rPr>
          <w:rFonts w:ascii="宋体" w:hAnsi="宋体"/>
          <w:color w:val="000000"/>
          <w:sz w:val="24"/>
        </w:rPr>
      </w:pPr>
      <w:r>
        <w:rPr>
          <w:rFonts w:ascii="宋体" w:hAnsi="宋体"/>
          <w:b/>
          <w:color w:val="000000"/>
          <w:sz w:val="24"/>
        </w:rPr>
        <w:t>11.发布公告的媒介</w:t>
      </w:r>
      <w:r>
        <w:rPr>
          <w:rFonts w:ascii="宋体" w:hAnsi="宋体"/>
          <w:color w:val="000000"/>
          <w:sz w:val="24"/>
        </w:rPr>
        <w:br w:type="textWrapping"/>
      </w:r>
      <w:r>
        <w:rPr>
          <w:rFonts w:ascii="宋体" w:hAnsi="宋体"/>
          <w:color w:val="000000"/>
          <w:sz w:val="24"/>
        </w:rPr>
        <w:t>本次招标公告同时在</w:t>
      </w:r>
      <w:r>
        <w:rPr>
          <w:rFonts w:ascii="宋体" w:hAnsi="宋体"/>
          <w:color w:val="000000"/>
          <w:sz w:val="24"/>
        </w:rPr>
        <w:fldChar w:fldCharType="begin"/>
      </w:r>
      <w:r>
        <w:rPr>
          <w:rFonts w:ascii="宋体" w:hAnsi="宋体"/>
          <w:color w:val="000000"/>
          <w:sz w:val="24"/>
        </w:rPr>
        <w:instrText xml:space="preserve"> HYPERLINK "http://www.zjzfcg.gov.cn/new/" </w:instrText>
      </w:r>
      <w:r>
        <w:rPr>
          <w:rFonts w:ascii="宋体" w:hAnsi="宋体"/>
          <w:color w:val="000000"/>
          <w:sz w:val="24"/>
        </w:rPr>
        <w:fldChar w:fldCharType="separate"/>
      </w:r>
      <w:r>
        <w:rPr>
          <w:rStyle w:val="55"/>
          <w:color w:val="000000"/>
          <w:sz w:val="24"/>
        </w:rPr>
        <w:t>浙江省政府采购网</w:t>
      </w:r>
      <w:r>
        <w:rPr>
          <w:rFonts w:ascii="宋体" w:hAnsi="宋体"/>
          <w:color w:val="000000"/>
          <w:sz w:val="24"/>
        </w:rPr>
        <w:fldChar w:fldCharType="end"/>
      </w:r>
      <w:r>
        <w:rPr>
          <w:rFonts w:ascii="宋体" w:hAnsi="宋体"/>
          <w:color w:val="000000"/>
          <w:sz w:val="24"/>
        </w:rPr>
        <w:t>、</w:t>
      </w:r>
      <w:r>
        <w:rPr>
          <w:rFonts w:ascii="宋体" w:hAnsi="宋体"/>
          <w:color w:val="000000"/>
          <w:sz w:val="24"/>
          <w:u w:val="single"/>
        </w:rPr>
        <w:fldChar w:fldCharType="begin"/>
      </w:r>
      <w:r>
        <w:rPr>
          <w:rFonts w:ascii="宋体" w:hAnsi="宋体"/>
          <w:color w:val="000000"/>
          <w:sz w:val="24"/>
          <w:u w:val="single"/>
        </w:rPr>
        <w:instrText xml:space="preserve"> HYPERLINK "http://www.lhzfcg.gov.cn" </w:instrText>
      </w:r>
      <w:r>
        <w:rPr>
          <w:rFonts w:ascii="宋体" w:hAnsi="宋体"/>
          <w:color w:val="000000"/>
          <w:sz w:val="24"/>
          <w:u w:val="single"/>
        </w:rPr>
        <w:fldChar w:fldCharType="separate"/>
      </w:r>
      <w:r>
        <w:rPr>
          <w:color w:val="000000"/>
          <w:sz w:val="24"/>
          <w:u w:val="single"/>
        </w:rPr>
        <w:t>临海市公共资源交易中心</w:t>
      </w:r>
      <w:r>
        <w:rPr>
          <w:rStyle w:val="55"/>
          <w:color w:val="000000"/>
          <w:sz w:val="24"/>
        </w:rPr>
        <w:t>网</w:t>
      </w:r>
      <w:r>
        <w:rPr>
          <w:rFonts w:ascii="宋体" w:hAnsi="宋体"/>
          <w:color w:val="000000"/>
          <w:sz w:val="24"/>
          <w:u w:val="single"/>
        </w:rPr>
        <w:fldChar w:fldCharType="end"/>
      </w:r>
      <w:r>
        <w:rPr>
          <w:rFonts w:ascii="宋体" w:hAnsi="宋体"/>
          <w:color w:val="000000"/>
          <w:sz w:val="24"/>
        </w:rPr>
        <w:t>上发布。</w:t>
      </w:r>
    </w:p>
    <w:p>
      <w:pPr>
        <w:snapToGrid w:val="0"/>
        <w:spacing w:line="380" w:lineRule="exact"/>
        <w:rPr>
          <w:rFonts w:hint="eastAsia" w:ascii="宋体" w:hAnsi="宋体"/>
          <w:b/>
          <w:color w:val="000000"/>
          <w:sz w:val="24"/>
        </w:rPr>
      </w:pPr>
      <w:r>
        <w:rPr>
          <w:rFonts w:ascii="宋体" w:hAnsi="宋体"/>
          <w:b/>
          <w:color w:val="000000"/>
          <w:sz w:val="24"/>
        </w:rPr>
        <w:t>12、</w:t>
      </w:r>
      <w:r>
        <w:rPr>
          <w:rFonts w:hint="eastAsia" w:ascii="宋体" w:hAnsi="宋体"/>
          <w:b/>
          <w:color w:val="000000"/>
          <w:sz w:val="24"/>
        </w:rPr>
        <w:t>其他事项</w:t>
      </w:r>
    </w:p>
    <w:p>
      <w:pPr>
        <w:snapToGrid w:val="0"/>
        <w:spacing w:line="380" w:lineRule="exact"/>
        <w:ind w:firstLine="120" w:firstLineChars="50"/>
        <w:rPr>
          <w:rFonts w:hint="eastAsia"/>
          <w:b/>
          <w:color w:val="000000"/>
          <w:u w:val="single"/>
          <w:shd w:val="pct10" w:color="auto" w:fill="FFFFFF"/>
        </w:rPr>
      </w:pPr>
      <w:r>
        <w:rPr>
          <w:rFonts w:hint="eastAsia"/>
          <w:b/>
          <w:color w:val="000000"/>
          <w:sz w:val="24"/>
          <w:u w:val="single"/>
          <w:shd w:val="pct10" w:color="auto" w:fill="FFFFFF"/>
        </w:rPr>
        <w:t>（</w:t>
      </w:r>
      <w:r>
        <w:rPr>
          <w:b/>
          <w:color w:val="000000"/>
          <w:sz w:val="24"/>
          <w:u w:val="single"/>
          <w:shd w:val="pct10" w:color="auto" w:fill="FFFFFF"/>
        </w:rPr>
        <w:t>1</w:t>
      </w:r>
      <w:r>
        <w:rPr>
          <w:rFonts w:hint="eastAsia"/>
          <w:b/>
          <w:color w:val="000000"/>
          <w:sz w:val="24"/>
          <w:u w:val="single"/>
          <w:shd w:val="pct10" w:color="auto" w:fill="FFFFFF"/>
        </w:rPr>
        <w:t>）本项目询标将通过政采云视频询标系统协助进行问题澄清。投标人登录政采云系统-----进入开标大厅---进入本项目----就可以进入政采云视频询标系统。政采云视频询标系统在询标时需要投标人电脑配置有摄像头、音箱和必要的网络带宽，请投标人开标前予以提前准备，以免延误询标（浏览器建议用谷歌浏览器，网络带宽不少于50兆，请勿用无线，以免出现卡顿现象；</w:t>
      </w:r>
      <w:r>
        <w:rPr>
          <w:rFonts w:hint="eastAsia"/>
          <w:b/>
          <w:color w:val="FF0000"/>
          <w:sz w:val="24"/>
          <w:u w:val="single"/>
          <w:shd w:val="pct10" w:color="auto" w:fill="FFFFFF"/>
        </w:rPr>
        <w:t>摄像头建议用中档及以上摄像头，以利于询标时的画面质量；音箱请提前予以调试，以避免询标时出现没有声音现象）</w:t>
      </w:r>
      <w:r>
        <w:rPr>
          <w:rFonts w:hint="eastAsia"/>
          <w:b/>
          <w:color w:val="000000"/>
          <w:sz w:val="24"/>
          <w:u w:val="single"/>
          <w:shd w:val="pct10" w:color="auto" w:fill="FFFFFF"/>
        </w:rPr>
        <w:t>。政采云视频会议系统目前不支持手机客户端。</w:t>
      </w:r>
    </w:p>
    <w:p>
      <w:pPr>
        <w:adjustRightInd w:val="0"/>
        <w:snapToGrid w:val="0"/>
        <w:spacing w:line="380" w:lineRule="exact"/>
        <w:ind w:firstLine="118" w:firstLineChars="49"/>
        <w:rPr>
          <w:rFonts w:hint="eastAsia" w:ascii="宋体" w:hAnsi="宋体" w:cs="Arial"/>
          <w:bCs/>
          <w:sz w:val="24"/>
        </w:rPr>
      </w:pPr>
      <w:r>
        <w:rPr>
          <w:rFonts w:hint="eastAsia" w:ascii="宋体" w:hAnsi="宋体" w:cs="Arial"/>
          <w:b/>
          <w:sz w:val="24"/>
        </w:rPr>
        <w:t>（</w:t>
      </w:r>
      <w:r>
        <w:rPr>
          <w:rFonts w:ascii="宋体" w:hAnsi="宋体" w:cs="Arial"/>
          <w:bCs/>
          <w:sz w:val="24"/>
        </w:rPr>
        <w:t>2</w:t>
      </w:r>
      <w:r>
        <w:rPr>
          <w:rFonts w:hint="eastAsia" w:ascii="宋体" w:hAnsi="宋体" w:cs="Arial"/>
          <w:bCs/>
          <w:sz w:val="24"/>
        </w:rPr>
        <w:t>）</w:t>
      </w:r>
      <w:r>
        <w:rPr>
          <w:rFonts w:ascii="ˎ̥" w:hAnsi="ˎ̥"/>
          <w:bCs/>
          <w:sz w:val="24"/>
        </w:rPr>
        <w:t>除注明要求进口产品外,投标时进口产品比例不得超过50%</w:t>
      </w:r>
      <w:r>
        <w:rPr>
          <w:rFonts w:hint="eastAsia" w:ascii="宋体" w:hAnsi="宋体" w:cs="Arial"/>
          <w:bCs/>
          <w:sz w:val="24"/>
        </w:rPr>
        <w:t>；</w:t>
      </w:r>
    </w:p>
    <w:p>
      <w:pPr>
        <w:snapToGrid w:val="0"/>
        <w:spacing w:line="380" w:lineRule="exact"/>
        <w:ind w:firstLine="120" w:firstLineChars="50"/>
        <w:rPr>
          <w:bCs/>
          <w:sz w:val="24"/>
        </w:rPr>
      </w:pPr>
      <w:r>
        <w:rPr>
          <w:rFonts w:hint="eastAsia" w:ascii="宋体" w:hAnsi="宋体" w:cs="Arial"/>
          <w:bCs/>
          <w:sz w:val="24"/>
        </w:rPr>
        <w:t>（</w:t>
      </w:r>
      <w:r>
        <w:rPr>
          <w:rFonts w:ascii="宋体" w:hAnsi="宋体" w:cs="Arial"/>
          <w:bCs/>
          <w:sz w:val="24"/>
        </w:rPr>
        <w:t>3</w:t>
      </w:r>
      <w:r>
        <w:rPr>
          <w:rFonts w:hint="eastAsia" w:ascii="宋体" w:hAnsi="宋体" w:cs="Arial"/>
          <w:bCs/>
          <w:sz w:val="24"/>
        </w:rPr>
        <w:t>）</w:t>
      </w:r>
      <w:r>
        <w:rPr>
          <w:rFonts w:hint="eastAsia"/>
          <w:bCs/>
          <w:sz w:val="24"/>
        </w:rPr>
        <w:t>根据《浙江省政府采购供应商注册及诚信管理暂行办法》浙财采监字【2009】28号文件，请各投标投标人及时办理浙江政府采购网“政府采购正式供应商”的注册手续。</w:t>
      </w:r>
    </w:p>
    <w:p>
      <w:pPr>
        <w:snapToGrid w:val="0"/>
        <w:spacing w:line="380" w:lineRule="exact"/>
        <w:rPr>
          <w:rFonts w:hint="eastAsia" w:ascii="宋体" w:hAnsi="宋体"/>
          <w:color w:val="000000"/>
          <w:sz w:val="24"/>
        </w:rPr>
      </w:pPr>
      <w:r>
        <w:rPr>
          <w:rFonts w:hint="eastAsia" w:ascii="宋体" w:hAnsi="宋体"/>
          <w:b/>
          <w:sz w:val="24"/>
        </w:rPr>
        <w:t>1</w:t>
      </w:r>
      <w:r>
        <w:rPr>
          <w:rFonts w:ascii="宋体" w:hAnsi="宋体"/>
          <w:b/>
          <w:sz w:val="24"/>
        </w:rPr>
        <w:t>3</w:t>
      </w:r>
      <w:r>
        <w:rPr>
          <w:rFonts w:hint="eastAsia" w:ascii="宋体" w:hAnsi="宋体"/>
          <w:b/>
          <w:sz w:val="24"/>
        </w:rPr>
        <w:t>、</w:t>
      </w:r>
      <w:r>
        <w:rPr>
          <w:rFonts w:ascii="宋体" w:hAnsi="宋体"/>
          <w:b/>
          <w:sz w:val="24"/>
        </w:rPr>
        <w:t>联系方式</w:t>
      </w:r>
      <w:r>
        <w:rPr>
          <w:rFonts w:ascii="宋体" w:hAnsi="宋体"/>
          <w:sz w:val="24"/>
        </w:rPr>
        <w:br w:type="textWrapping"/>
      </w:r>
      <w:r>
        <w:rPr>
          <w:rFonts w:hint="eastAsia" w:ascii="宋体" w:hAnsi="宋体"/>
          <w:color w:val="000000"/>
          <w:sz w:val="24"/>
        </w:rPr>
        <w:t>采购代理机构：浙江华夏工程管理有限公司</w:t>
      </w:r>
      <w:r>
        <w:rPr>
          <w:rFonts w:hint="eastAsia" w:ascii="宋体" w:hAnsi="宋体"/>
          <w:color w:val="000000"/>
          <w:sz w:val="24"/>
        </w:rPr>
        <w:br w:type="textWrapping"/>
      </w:r>
      <w:r>
        <w:rPr>
          <w:rFonts w:hint="eastAsia" w:ascii="宋体" w:hAnsi="宋体"/>
          <w:color w:val="000000"/>
          <w:sz w:val="24"/>
        </w:rPr>
        <w:t xml:space="preserve">地址: 临海市商业街389号 </w:t>
      </w:r>
    </w:p>
    <w:p>
      <w:pPr>
        <w:snapToGrid w:val="0"/>
        <w:spacing w:line="380" w:lineRule="exact"/>
        <w:rPr>
          <w:rFonts w:ascii="宋体" w:hAnsi="宋体"/>
          <w:color w:val="000000"/>
          <w:sz w:val="24"/>
        </w:rPr>
      </w:pPr>
      <w:r>
        <w:rPr>
          <w:rFonts w:hint="eastAsia" w:ascii="宋体" w:hAnsi="宋体"/>
          <w:color w:val="000000"/>
          <w:sz w:val="24"/>
        </w:rPr>
        <w:t>联系人: 王女士  电话及传真: 18805869299/0576-85126158  邮编: 317000</w:t>
      </w:r>
    </w:p>
    <w:p>
      <w:pPr>
        <w:snapToGrid w:val="0"/>
        <w:spacing w:line="380" w:lineRule="exact"/>
        <w:rPr>
          <w:rFonts w:hint="eastAsia" w:ascii="宋体" w:hAnsi="宋体"/>
          <w:color w:val="000000"/>
          <w:sz w:val="24"/>
        </w:rPr>
      </w:pPr>
      <w:r>
        <w:rPr>
          <w:rFonts w:hint="eastAsia" w:ascii="宋体" w:hAnsi="宋体"/>
          <w:color w:val="000000"/>
          <w:sz w:val="24"/>
        </w:rPr>
        <w:t>电子邮箱:</w:t>
      </w:r>
      <w:r>
        <w:rPr>
          <w:rFonts w:hint="eastAsia" w:ascii="宋体" w:hAnsi="宋体"/>
          <w:color w:val="000000"/>
          <w:sz w:val="24"/>
        </w:rPr>
        <w:fldChar w:fldCharType="begin"/>
      </w:r>
      <w:r>
        <w:rPr>
          <w:rFonts w:hint="eastAsia" w:ascii="宋体" w:hAnsi="宋体"/>
          <w:color w:val="000000"/>
          <w:sz w:val="24"/>
        </w:rPr>
        <w:instrText xml:space="preserve"> HYPERLINK "mailto:lhzb.gov.cn@163.com" </w:instrText>
      </w:r>
      <w:r>
        <w:rPr>
          <w:rFonts w:hint="eastAsia" w:ascii="宋体" w:hAnsi="宋体"/>
          <w:color w:val="000000"/>
          <w:sz w:val="24"/>
        </w:rPr>
        <w:fldChar w:fldCharType="separate"/>
      </w:r>
      <w:r>
        <w:rPr>
          <w:rFonts w:hint="eastAsia" w:ascii="宋体" w:hAnsi="宋体"/>
          <w:color w:val="000000"/>
          <w:sz w:val="24"/>
        </w:rPr>
        <w:fldChar w:fldCharType="end"/>
      </w:r>
      <w:r>
        <w:rPr>
          <w:rFonts w:hint="eastAsia" w:ascii="宋体" w:hAnsi="宋体"/>
          <w:color w:val="000000"/>
          <w:sz w:val="24"/>
        </w:rPr>
        <w:t xml:space="preserve"> </w:t>
      </w:r>
      <w:r>
        <w:rPr>
          <w:rFonts w:hint="eastAsia" w:ascii="宋体" w:hAnsi="宋体"/>
          <w:color w:val="000000"/>
          <w:sz w:val="24"/>
        </w:rPr>
        <w:fldChar w:fldCharType="begin"/>
      </w:r>
      <w:r>
        <w:rPr>
          <w:rFonts w:hint="eastAsia" w:ascii="宋体" w:hAnsi="宋体"/>
          <w:color w:val="000000"/>
          <w:sz w:val="24"/>
        </w:rPr>
        <w:instrText xml:space="preserve"> HYPERLINK "mailto:1074731998@qq.com" </w:instrText>
      </w:r>
      <w:r>
        <w:rPr>
          <w:rFonts w:hint="eastAsia" w:ascii="宋体" w:hAnsi="宋体"/>
          <w:color w:val="000000"/>
          <w:sz w:val="24"/>
        </w:rPr>
        <w:fldChar w:fldCharType="separate"/>
      </w:r>
      <w:r>
        <w:rPr>
          <w:rFonts w:hint="eastAsia" w:ascii="宋体" w:hAnsi="宋体"/>
          <w:color w:val="000000"/>
          <w:sz w:val="24"/>
        </w:rPr>
        <w:t>1074731998@qq.com</w:t>
      </w:r>
      <w:r>
        <w:rPr>
          <w:rFonts w:hint="eastAsia" w:ascii="宋体" w:hAnsi="宋体"/>
          <w:color w:val="000000"/>
          <w:sz w:val="24"/>
        </w:rPr>
        <w:fldChar w:fldCharType="end"/>
      </w:r>
      <w:r>
        <w:rPr>
          <w:rFonts w:hint="eastAsia" w:ascii="宋体" w:hAnsi="宋体"/>
          <w:color w:val="000000"/>
          <w:sz w:val="24"/>
        </w:rPr>
        <w:fldChar w:fldCharType="begin"/>
      </w:r>
      <w:r>
        <w:rPr>
          <w:rFonts w:hint="eastAsia" w:ascii="宋体" w:hAnsi="宋体"/>
          <w:color w:val="000000"/>
          <w:sz w:val="24"/>
        </w:rPr>
        <w:instrText xml:space="preserve"> HYPERLINK "mailto:lhzb.gov.cn@163.com" </w:instrText>
      </w:r>
      <w:r>
        <w:rPr>
          <w:rFonts w:hint="eastAsia" w:ascii="宋体" w:hAnsi="宋体"/>
          <w:color w:val="000000"/>
          <w:sz w:val="24"/>
        </w:rPr>
        <w:fldChar w:fldCharType="separate"/>
      </w:r>
      <w:r>
        <w:rPr>
          <w:rFonts w:hint="eastAsia" w:ascii="宋体" w:hAnsi="宋体"/>
          <w:color w:val="000000"/>
          <w:sz w:val="24"/>
        </w:rPr>
        <w:fldChar w:fldCharType="end"/>
      </w:r>
      <w:r>
        <w:rPr>
          <w:rFonts w:hint="eastAsia" w:ascii="宋体" w:hAnsi="宋体"/>
          <w:color w:val="000000"/>
          <w:sz w:val="24"/>
        </w:rPr>
        <w:t xml:space="preserve"> </w:t>
      </w:r>
    </w:p>
    <w:p>
      <w:pPr>
        <w:snapToGrid w:val="0"/>
        <w:spacing w:line="380" w:lineRule="exact"/>
        <w:rPr>
          <w:rFonts w:hint="eastAsia" w:ascii="宋体" w:hAnsi="宋体"/>
          <w:b/>
          <w:sz w:val="24"/>
        </w:rPr>
      </w:pPr>
      <w:r>
        <w:rPr>
          <w:rFonts w:hint="eastAsia" w:ascii="宋体" w:hAnsi="宋体"/>
          <w:sz w:val="24"/>
          <w:lang w:val="en-US" w:eastAsia="zh-CN"/>
        </w:rPr>
        <w:t>建设</w:t>
      </w:r>
      <w:r>
        <w:rPr>
          <w:rFonts w:ascii="宋体" w:hAnsi="宋体"/>
          <w:sz w:val="24"/>
        </w:rPr>
        <w:t>单位</w:t>
      </w:r>
      <w:r>
        <w:rPr>
          <w:rFonts w:hint="eastAsia" w:ascii="宋体" w:hAnsi="宋体"/>
          <w:b/>
          <w:sz w:val="24"/>
        </w:rPr>
        <w:t>（采购需求咨询、接收质疑函）</w:t>
      </w:r>
    </w:p>
    <w:p>
      <w:pPr>
        <w:snapToGrid w:val="0"/>
        <w:spacing w:line="380" w:lineRule="exact"/>
        <w:rPr>
          <w:rFonts w:hint="eastAsia" w:ascii="宋体" w:hAnsi="宋体"/>
          <w:color w:val="000000"/>
          <w:sz w:val="24"/>
        </w:rPr>
      </w:pPr>
      <w:r>
        <w:rPr>
          <w:rFonts w:ascii="宋体" w:hAnsi="宋体"/>
          <w:sz w:val="24"/>
        </w:rPr>
        <w:t>联系人</w:t>
      </w:r>
      <w:r>
        <w:rPr>
          <w:rFonts w:hint="eastAsia" w:ascii="宋体" w:hAnsi="宋体"/>
          <w:color w:val="000000"/>
          <w:sz w:val="24"/>
        </w:rPr>
        <w:t>：卢先生   电话：13738602203</w:t>
      </w:r>
    </w:p>
    <w:p>
      <w:pPr>
        <w:spacing w:line="400" w:lineRule="exact"/>
        <w:rPr>
          <w:rFonts w:hint="eastAsia" w:ascii="宋体" w:hAnsi="宋体"/>
          <w:b/>
          <w:sz w:val="24"/>
        </w:rPr>
      </w:pPr>
      <w:r>
        <w:rPr>
          <w:rFonts w:hint="eastAsia" w:ascii="宋体" w:hAnsi="宋体" w:eastAsia="宋体" w:cs="Times New Roman"/>
          <w:sz w:val="24"/>
          <w:lang w:val="en-US" w:eastAsia="zh-CN"/>
        </w:rPr>
        <w:t>实施单位</w:t>
      </w:r>
      <w:r>
        <w:rPr>
          <w:rFonts w:hint="eastAsia" w:ascii="宋体" w:hAnsi="宋体"/>
          <w:b/>
          <w:sz w:val="24"/>
        </w:rPr>
        <w:t>（采购需求咨询、接收质疑函）</w:t>
      </w:r>
    </w:p>
    <w:p>
      <w:pPr>
        <w:spacing w:line="400" w:lineRule="exact"/>
        <w:rPr>
          <w:rFonts w:ascii="宋体" w:hAnsi="宋体"/>
          <w:color w:val="000000"/>
        </w:rPr>
      </w:pPr>
      <w:r>
        <w:rPr>
          <w:rFonts w:ascii="宋体" w:hAnsi="宋体"/>
          <w:sz w:val="24"/>
        </w:rPr>
        <w:t>联系人</w:t>
      </w:r>
      <w:r>
        <w:rPr>
          <w:rFonts w:hint="eastAsia" w:ascii="宋体" w:hAnsi="宋体"/>
          <w:color w:val="000000"/>
          <w:sz w:val="24"/>
        </w:rPr>
        <w:t>：金先生   电话：0576-89361529</w:t>
      </w:r>
      <w:r>
        <w:rPr>
          <w:rFonts w:ascii="宋体" w:hAnsi="宋体"/>
          <w:b/>
          <w:color w:val="000000"/>
          <w:sz w:val="24"/>
        </w:rPr>
        <w:br w:type="page"/>
      </w:r>
      <w:r>
        <w:rPr>
          <w:rFonts w:hint="eastAsia" w:ascii="宋体" w:hAnsi="宋体"/>
          <w:b/>
          <w:color w:val="000000"/>
          <w:sz w:val="24"/>
        </w:rPr>
        <w:t>附件</w:t>
      </w:r>
    </w:p>
    <w:p>
      <w:pPr>
        <w:spacing w:line="400" w:lineRule="exact"/>
        <w:ind w:firstLine="723" w:firstLineChars="300"/>
        <w:jc w:val="center"/>
        <w:rPr>
          <w:rFonts w:ascii="宋体" w:hAnsi="宋体"/>
          <w:b/>
          <w:sz w:val="24"/>
        </w:rPr>
      </w:pPr>
      <w:r>
        <w:rPr>
          <w:rFonts w:hint="eastAsia" w:ascii="宋体" w:hAnsi="宋体"/>
          <w:b/>
          <w:sz w:val="24"/>
        </w:rPr>
        <w:t>政府采购支持中小企业信用融资相关事项的通知</w:t>
      </w:r>
    </w:p>
    <w:p>
      <w:pPr>
        <w:spacing w:line="400" w:lineRule="exact"/>
        <w:ind w:firstLine="720" w:firstLineChars="300"/>
        <w:jc w:val="center"/>
        <w:rPr>
          <w:rFonts w:hint="eastAsia" w:ascii="宋体" w:hAnsi="宋体"/>
          <w:bCs/>
          <w:color w:val="000000"/>
          <w:sz w:val="24"/>
        </w:rPr>
      </w:pPr>
    </w:p>
    <w:p>
      <w:pPr>
        <w:spacing w:line="400" w:lineRule="exact"/>
        <w:ind w:firstLine="720" w:firstLineChars="300"/>
        <w:rPr>
          <w:rFonts w:ascii="宋体" w:hAnsi="宋体"/>
          <w:bCs/>
          <w:color w:val="000000"/>
          <w:sz w:val="24"/>
        </w:rPr>
      </w:pPr>
      <w:r>
        <w:rPr>
          <w:rFonts w:hint="eastAsia" w:ascii="宋体" w:hAnsi="宋体"/>
          <w:bCs/>
          <w:color w:val="000000"/>
          <w:sz w:val="24"/>
        </w:rPr>
        <w:t>为了充分发挥政府采购政策功能,进一步支持和促进中小企业发展，临海市财政局向临海市金融（保险）系统发起了“政采贷”、“政采保”融资服务倡议，得到了全市16家银行、1家保险公司响应，投标人若有融资意向，请同以下银行（保险）联系人对接。</w:t>
      </w:r>
    </w:p>
    <w:p>
      <w:pPr>
        <w:widowControl/>
        <w:spacing w:line="360" w:lineRule="auto"/>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政采保联系方式</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noWrap w:val="0"/>
            <w:vAlign w:val="center"/>
          </w:tcPr>
          <w:p>
            <w:pPr>
              <w:widowControl/>
              <w:spacing w:line="360" w:lineRule="auto"/>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阳光财产保险股份有限公司临海支公司</w:t>
            </w:r>
          </w:p>
        </w:tc>
        <w:tc>
          <w:tcPr>
            <w:tcW w:w="3341" w:type="dxa"/>
            <w:noWrap w:val="0"/>
            <w:vAlign w:val="center"/>
          </w:tcPr>
          <w:p>
            <w:pPr>
              <w:widowControl/>
              <w:spacing w:line="360" w:lineRule="auto"/>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合同（质量）履约按履约保证金年费率1%（1.5%</w:t>
            </w:r>
            <w:r>
              <w:rPr>
                <w:rFonts w:ascii="宋体" w:hAnsi="宋体" w:cs="宋体"/>
                <w:color w:val="000000"/>
                <w:kern w:val="0"/>
                <w:sz w:val="22"/>
                <w:szCs w:val="22"/>
              </w:rPr>
              <w:t>）</w:t>
            </w:r>
            <w:r>
              <w:rPr>
                <w:rFonts w:hint="eastAsia" w:ascii="宋体" w:hAnsi="宋体" w:cs="宋体"/>
                <w:color w:val="000000"/>
                <w:kern w:val="0"/>
                <w:sz w:val="22"/>
                <w:szCs w:val="22"/>
              </w:rPr>
              <w:t>，每单保函最低保险费为500元(300元)。</w:t>
            </w:r>
          </w:p>
        </w:tc>
        <w:tc>
          <w:tcPr>
            <w:tcW w:w="1134" w:type="dxa"/>
            <w:noWrap w:val="0"/>
            <w:vAlign w:val="center"/>
          </w:tcPr>
          <w:p>
            <w:pPr>
              <w:widowControl/>
              <w:spacing w:line="360" w:lineRule="auto"/>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谢芬芬</w:t>
            </w:r>
          </w:p>
        </w:tc>
        <w:tc>
          <w:tcPr>
            <w:tcW w:w="1751" w:type="dxa"/>
            <w:noWrap w:val="0"/>
            <w:vAlign w:val="center"/>
          </w:tcPr>
          <w:p>
            <w:pPr>
              <w:widowControl/>
              <w:spacing w:line="360" w:lineRule="auto"/>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13586026113（微信同号）</w:t>
            </w:r>
          </w:p>
        </w:tc>
      </w:tr>
    </w:tbl>
    <w:p>
      <w:pPr>
        <w:spacing w:line="400" w:lineRule="exact"/>
        <w:ind w:firstLine="720" w:firstLineChars="300"/>
        <w:rPr>
          <w:rFonts w:hint="eastAsia" w:ascii="宋体" w:hAnsi="宋体"/>
          <w:bCs/>
          <w:color w:val="000000"/>
          <w:sz w:val="24"/>
        </w:rPr>
      </w:pPr>
    </w:p>
    <w:p>
      <w:pPr>
        <w:widowControl/>
        <w:spacing w:line="360" w:lineRule="auto"/>
        <w:jc w:val="center"/>
        <w:textAlignment w:val="center"/>
        <w:rPr>
          <w:rFonts w:hint="eastAsia" w:ascii="宋体" w:hAnsi="宋体" w:cs="宋体"/>
          <w:b/>
          <w:bCs/>
          <w:color w:val="000000"/>
          <w:kern w:val="0"/>
          <w:sz w:val="24"/>
        </w:rPr>
      </w:pPr>
      <w:r>
        <w:rPr>
          <w:rFonts w:hint="eastAsia" w:ascii="宋体" w:hAnsi="宋体" w:cs="宋体"/>
          <w:b/>
          <w:bCs/>
          <w:color w:val="000000"/>
          <w:kern w:val="0"/>
          <w:sz w:val="24"/>
        </w:rPr>
        <w:t>政采贷联系方式</w:t>
      </w:r>
    </w:p>
    <w:tbl>
      <w:tblPr>
        <w:tblStyle w:val="48"/>
        <w:tblW w:w="0" w:type="auto"/>
        <w:tblInd w:w="0" w:type="dxa"/>
        <w:tblLayout w:type="fixed"/>
        <w:tblCellMar>
          <w:top w:w="15" w:type="dxa"/>
          <w:left w:w="15" w:type="dxa"/>
          <w:bottom w:w="15" w:type="dxa"/>
          <w:right w:w="15" w:type="dxa"/>
        </w:tblCellMar>
      </w:tblPr>
      <w:tblGrid>
        <w:gridCol w:w="793"/>
        <w:gridCol w:w="1380"/>
        <w:gridCol w:w="2237"/>
        <w:gridCol w:w="1842"/>
        <w:gridCol w:w="2026"/>
      </w:tblGrid>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b/>
                <w:bCs/>
                <w:color w:val="000000"/>
                <w:kern w:val="0"/>
                <w:sz w:val="24"/>
              </w:rPr>
            </w:pPr>
            <w:r>
              <w:rPr>
                <w:rFonts w:hint="eastAsia" w:ascii="宋体" w:hAnsi="宋体" w:cs="宋体"/>
                <w:b/>
                <w:bCs/>
                <w:color w:val="000000"/>
                <w:kern w:val="0"/>
                <w:sz w:val="24"/>
              </w:rPr>
              <w:t>序号</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b/>
                <w:bCs/>
                <w:color w:val="000000"/>
                <w:kern w:val="0"/>
                <w:sz w:val="24"/>
              </w:rPr>
            </w:pPr>
            <w:r>
              <w:rPr>
                <w:rFonts w:hint="eastAsia" w:ascii="宋体" w:hAnsi="宋体" w:cs="宋体"/>
                <w:b/>
                <w:bCs/>
                <w:color w:val="000000"/>
                <w:kern w:val="0"/>
                <w:sz w:val="24"/>
              </w:rPr>
              <w:t>银行简称</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b/>
                <w:bCs/>
                <w:color w:val="000000"/>
                <w:kern w:val="0"/>
                <w:sz w:val="24"/>
              </w:rPr>
            </w:pPr>
            <w:r>
              <w:rPr>
                <w:rFonts w:hint="eastAsia" w:ascii="宋体" w:hAnsi="宋体" w:cs="宋体"/>
                <w:b/>
                <w:bCs/>
                <w:color w:val="000000"/>
                <w:kern w:val="0"/>
                <w:sz w:val="24"/>
              </w:rPr>
              <w:t>贷款年利率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b/>
                <w:bCs/>
                <w:color w:val="000000"/>
                <w:kern w:val="0"/>
                <w:sz w:val="24"/>
              </w:rPr>
            </w:pPr>
            <w:r>
              <w:rPr>
                <w:rFonts w:hint="eastAsia" w:ascii="宋体" w:hAnsi="宋体" w:cs="宋体"/>
                <w:b/>
                <w:bCs/>
                <w:color w:val="000000"/>
                <w:kern w:val="0"/>
                <w:sz w:val="24"/>
              </w:rPr>
              <w:t>政采贷联系人</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b/>
                <w:bCs/>
                <w:color w:val="000000"/>
                <w:kern w:val="0"/>
                <w:sz w:val="24"/>
              </w:rPr>
            </w:pPr>
            <w:r>
              <w:rPr>
                <w:rFonts w:hint="eastAsia" w:ascii="宋体" w:hAnsi="宋体" w:cs="宋体"/>
                <w:b/>
                <w:bCs/>
                <w:color w:val="000000"/>
                <w:kern w:val="0"/>
                <w:sz w:val="24"/>
              </w:rPr>
              <w:t>联系电话</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工商银行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 xml:space="preserve"> 3.8%起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王 益</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ascii="宋体" w:hAnsi="宋体" w:cs="宋体"/>
                <w:color w:val="000000"/>
                <w:kern w:val="0"/>
                <w:sz w:val="24"/>
              </w:rPr>
              <w:t>13586102266</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农业银行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 xml:space="preserve"> 3.8%起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朱科科</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15858680022</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中国银行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 xml:space="preserve"> 3.85%起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钱玲红</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13666860933</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建设银行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4.35%起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王  昕</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13706553056</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浦发银行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4.785%起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郑  强</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15988990003</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兴业银行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4.0%起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方成纲</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15267208988</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泰隆银行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5.4%起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何安青</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13586122727</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浙商银行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ascii="宋体" w:hAnsi="宋体" w:cs="宋体"/>
                <w:color w:val="000000"/>
                <w:kern w:val="0"/>
                <w:sz w:val="24"/>
              </w:rPr>
              <w:t>5.00</w:t>
            </w:r>
            <w:r>
              <w:rPr>
                <w:rFonts w:hint="eastAsia" w:ascii="宋体" w:hAnsi="宋体" w:cs="宋体"/>
                <w:color w:val="000000"/>
                <w:kern w:val="0"/>
                <w:sz w:val="24"/>
              </w:rPr>
              <w:t>%起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陈双双</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13666868989</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农发银行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2.85%起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金和平</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13705760213</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光大银行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 xml:space="preserve"> 3.9 %起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王玲敏</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15068686860</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湖商银行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4.8%起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叶丰恺</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18657661866</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邮储银行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3.85%起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黄梦雅</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18906767388</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温州银行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4.35%起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何宗富</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15967009253</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交通银行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 xml:space="preserve"> 3.85 %起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章  彪</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13989622482</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民生银行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 xml:space="preserve"> 3.85 %起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王都旺</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13676697833</w:t>
            </w:r>
          </w:p>
        </w:tc>
      </w:tr>
      <w:tr>
        <w:tblPrEx>
          <w:tblCellMar>
            <w:top w:w="15" w:type="dxa"/>
            <w:left w:w="15" w:type="dxa"/>
            <w:bottom w:w="15" w:type="dxa"/>
            <w:right w:w="15" w:type="dxa"/>
          </w:tblCellMar>
        </w:tblPrEx>
        <w:trPr>
          <w:trHeight w:val="39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宁波银行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4.785%起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冯晶晶</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13736200193</w:t>
            </w:r>
          </w:p>
        </w:tc>
      </w:tr>
    </w:tbl>
    <w:p>
      <w:pPr>
        <w:rPr>
          <w:rFonts w:hint="eastAsia" w:ascii="宋体" w:hAnsi="宋体"/>
          <w:b/>
          <w:color w:val="00B050"/>
        </w:rPr>
      </w:pPr>
    </w:p>
    <w:p>
      <w:pPr>
        <w:spacing w:line="400" w:lineRule="exact"/>
        <w:jc w:val="center"/>
        <w:rPr>
          <w:rFonts w:hint="eastAsia" w:ascii="宋体" w:hAnsi="宋体"/>
          <w:b/>
          <w:color w:val="000000"/>
          <w:sz w:val="24"/>
        </w:rPr>
      </w:pPr>
      <w:bookmarkStart w:id="6" w:name="_Toc466534748"/>
      <w:bookmarkStart w:id="7" w:name="_Toc467749357"/>
      <w:r>
        <w:rPr>
          <w:rFonts w:hint="eastAsia" w:ascii="宋体" w:hAnsi="宋体"/>
          <w:b/>
          <w:color w:val="000000"/>
          <w:sz w:val="36"/>
          <w:szCs w:val="36"/>
        </w:rPr>
        <w:t>第二章   招标需求</w:t>
      </w:r>
    </w:p>
    <w:bookmarkEnd w:id="6"/>
    <w:bookmarkEnd w:id="7"/>
    <w:p>
      <w:pPr>
        <w:pStyle w:val="3"/>
        <w:adjustRightInd w:val="0"/>
        <w:snapToGrid w:val="0"/>
        <w:spacing w:before="0" w:after="0" w:line="440" w:lineRule="exact"/>
      </w:pPr>
      <w:r>
        <w:rPr>
          <w:rFonts w:hint="eastAsia" w:ascii="宋体" w:hAnsi="宋体" w:eastAsia="宋体" w:cs="宋体"/>
          <w:sz w:val="24"/>
          <w:szCs w:val="24"/>
        </w:rPr>
        <w:t>一、采购清单</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151"/>
        <w:gridCol w:w="954"/>
        <w:gridCol w:w="1100"/>
        <w:gridCol w:w="702"/>
        <w:gridCol w:w="664"/>
        <w:gridCol w:w="677"/>
        <w:gridCol w:w="2065"/>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671" w:type="dxa"/>
            <w:noWrap w:val="0"/>
            <w:vAlign w:val="center"/>
          </w:tcPr>
          <w:p>
            <w:pPr>
              <w:tabs>
                <w:tab w:val="left" w:pos="8280"/>
              </w:tabs>
              <w:autoSpaceDE w:val="0"/>
              <w:autoSpaceDN w:val="0"/>
              <w:adjustRightInd w:val="0"/>
              <w:snapToGrid w:val="0"/>
              <w:spacing w:line="440" w:lineRule="exact"/>
              <w:jc w:val="center"/>
              <w:rPr>
                <w:rFonts w:hint="eastAsia" w:ascii="宋体" w:hAnsi="宋体" w:cs="宋体"/>
                <w:b/>
                <w:szCs w:val="21"/>
              </w:rPr>
            </w:pPr>
            <w:r>
              <w:rPr>
                <w:rFonts w:hint="eastAsia" w:ascii="宋体" w:hAnsi="宋体" w:cs="宋体"/>
                <w:b/>
                <w:szCs w:val="21"/>
              </w:rPr>
              <w:t>标段号</w:t>
            </w:r>
          </w:p>
        </w:tc>
        <w:tc>
          <w:tcPr>
            <w:tcW w:w="1151" w:type="dxa"/>
            <w:noWrap w:val="0"/>
            <w:vAlign w:val="center"/>
          </w:tcPr>
          <w:p>
            <w:pPr>
              <w:tabs>
                <w:tab w:val="left" w:pos="8280"/>
              </w:tabs>
              <w:autoSpaceDE w:val="0"/>
              <w:autoSpaceDN w:val="0"/>
              <w:adjustRightInd w:val="0"/>
              <w:snapToGrid w:val="0"/>
              <w:spacing w:line="440" w:lineRule="exact"/>
              <w:jc w:val="center"/>
              <w:rPr>
                <w:rFonts w:hint="eastAsia" w:ascii="宋体" w:hAnsi="宋体" w:cs="宋体"/>
                <w:b/>
                <w:szCs w:val="21"/>
              </w:rPr>
            </w:pPr>
            <w:r>
              <w:rPr>
                <w:rFonts w:hint="eastAsia" w:ascii="宋体" w:hAnsi="宋体" w:cs="宋体"/>
                <w:b/>
                <w:szCs w:val="21"/>
              </w:rPr>
              <w:t>项目名称</w:t>
            </w:r>
          </w:p>
        </w:tc>
        <w:tc>
          <w:tcPr>
            <w:tcW w:w="954" w:type="dxa"/>
            <w:noWrap w:val="0"/>
            <w:vAlign w:val="center"/>
          </w:tcPr>
          <w:p>
            <w:pPr>
              <w:tabs>
                <w:tab w:val="left" w:pos="8280"/>
              </w:tabs>
              <w:autoSpaceDE w:val="0"/>
              <w:autoSpaceDN w:val="0"/>
              <w:adjustRightInd w:val="0"/>
              <w:snapToGrid w:val="0"/>
              <w:spacing w:line="440" w:lineRule="exact"/>
              <w:jc w:val="center"/>
              <w:rPr>
                <w:rFonts w:hint="eastAsia" w:ascii="宋体" w:hAnsi="宋体" w:cs="宋体"/>
                <w:b/>
                <w:szCs w:val="21"/>
              </w:rPr>
            </w:pPr>
            <w:r>
              <w:rPr>
                <w:rFonts w:hint="eastAsia" w:ascii="宋体" w:hAnsi="宋体" w:cs="宋体"/>
                <w:b/>
                <w:szCs w:val="21"/>
              </w:rPr>
              <w:t>预算价</w:t>
            </w:r>
          </w:p>
          <w:p>
            <w:pPr>
              <w:tabs>
                <w:tab w:val="left" w:pos="8280"/>
              </w:tabs>
              <w:autoSpaceDE w:val="0"/>
              <w:autoSpaceDN w:val="0"/>
              <w:adjustRightInd w:val="0"/>
              <w:snapToGrid w:val="0"/>
              <w:spacing w:line="440" w:lineRule="exact"/>
              <w:jc w:val="center"/>
              <w:rPr>
                <w:rFonts w:hint="eastAsia" w:ascii="宋体" w:hAnsi="宋体" w:cs="宋体"/>
                <w:b/>
                <w:szCs w:val="21"/>
              </w:rPr>
            </w:pPr>
            <w:r>
              <w:rPr>
                <w:rFonts w:hint="eastAsia" w:ascii="宋体" w:hAnsi="宋体" w:cs="宋体"/>
                <w:b/>
                <w:szCs w:val="21"/>
              </w:rPr>
              <w:t>（万元）</w:t>
            </w:r>
          </w:p>
        </w:tc>
        <w:tc>
          <w:tcPr>
            <w:tcW w:w="1100" w:type="dxa"/>
            <w:noWrap w:val="0"/>
            <w:vAlign w:val="center"/>
          </w:tcPr>
          <w:p>
            <w:pPr>
              <w:tabs>
                <w:tab w:val="left" w:pos="8280"/>
              </w:tabs>
              <w:autoSpaceDE w:val="0"/>
              <w:autoSpaceDN w:val="0"/>
              <w:adjustRightInd w:val="0"/>
              <w:snapToGrid w:val="0"/>
              <w:spacing w:line="440" w:lineRule="exact"/>
              <w:jc w:val="center"/>
              <w:rPr>
                <w:rFonts w:ascii="宋体" w:hAnsi="宋体" w:cs="宋体"/>
                <w:b/>
                <w:szCs w:val="21"/>
              </w:rPr>
            </w:pPr>
            <w:r>
              <w:rPr>
                <w:rFonts w:hint="eastAsia" w:ascii="宋体" w:hAnsi="宋体" w:cs="宋体"/>
                <w:b/>
                <w:szCs w:val="21"/>
              </w:rPr>
              <w:t>最高限价（万元）</w:t>
            </w:r>
          </w:p>
        </w:tc>
        <w:tc>
          <w:tcPr>
            <w:tcW w:w="702" w:type="dxa"/>
            <w:noWrap w:val="0"/>
            <w:vAlign w:val="center"/>
          </w:tcPr>
          <w:p>
            <w:pPr>
              <w:tabs>
                <w:tab w:val="left" w:pos="8280"/>
              </w:tabs>
              <w:autoSpaceDE w:val="0"/>
              <w:autoSpaceDN w:val="0"/>
              <w:adjustRightInd w:val="0"/>
              <w:snapToGrid w:val="0"/>
              <w:spacing w:line="440" w:lineRule="exact"/>
              <w:jc w:val="center"/>
              <w:rPr>
                <w:rFonts w:hint="eastAsia" w:ascii="宋体" w:hAnsi="宋体" w:cs="宋体"/>
                <w:b/>
                <w:szCs w:val="21"/>
              </w:rPr>
            </w:pPr>
            <w:r>
              <w:rPr>
                <w:rFonts w:hint="eastAsia" w:ascii="宋体" w:hAnsi="宋体" w:cs="宋体"/>
                <w:b/>
                <w:szCs w:val="21"/>
              </w:rPr>
              <w:t>数量</w:t>
            </w:r>
          </w:p>
        </w:tc>
        <w:tc>
          <w:tcPr>
            <w:tcW w:w="664" w:type="dxa"/>
            <w:noWrap w:val="0"/>
            <w:vAlign w:val="center"/>
          </w:tcPr>
          <w:p>
            <w:pPr>
              <w:tabs>
                <w:tab w:val="left" w:pos="8280"/>
              </w:tabs>
              <w:autoSpaceDE w:val="0"/>
              <w:autoSpaceDN w:val="0"/>
              <w:adjustRightInd w:val="0"/>
              <w:snapToGrid w:val="0"/>
              <w:spacing w:line="440" w:lineRule="exact"/>
              <w:jc w:val="center"/>
              <w:rPr>
                <w:rFonts w:hint="eastAsia" w:ascii="宋体" w:hAnsi="宋体" w:cs="宋体"/>
                <w:b/>
                <w:szCs w:val="21"/>
              </w:rPr>
            </w:pPr>
            <w:r>
              <w:rPr>
                <w:rFonts w:hint="eastAsia" w:ascii="宋体" w:hAnsi="宋体" w:cs="宋体"/>
                <w:b/>
                <w:szCs w:val="21"/>
              </w:rPr>
              <w:t>数量</w:t>
            </w:r>
          </w:p>
        </w:tc>
        <w:tc>
          <w:tcPr>
            <w:tcW w:w="677" w:type="dxa"/>
            <w:noWrap w:val="0"/>
            <w:vAlign w:val="center"/>
          </w:tcPr>
          <w:p>
            <w:pPr>
              <w:tabs>
                <w:tab w:val="left" w:pos="8280"/>
              </w:tabs>
              <w:autoSpaceDE w:val="0"/>
              <w:autoSpaceDN w:val="0"/>
              <w:adjustRightInd w:val="0"/>
              <w:snapToGrid w:val="0"/>
              <w:spacing w:line="440" w:lineRule="exact"/>
              <w:jc w:val="center"/>
              <w:rPr>
                <w:rFonts w:hint="eastAsia" w:ascii="宋体" w:hAnsi="宋体" w:cs="宋体"/>
                <w:b/>
                <w:szCs w:val="21"/>
              </w:rPr>
            </w:pPr>
            <w:r>
              <w:rPr>
                <w:rFonts w:hint="eastAsia" w:ascii="宋体" w:hAnsi="宋体" w:cs="宋体"/>
                <w:b/>
                <w:szCs w:val="21"/>
              </w:rPr>
              <w:t>单位</w:t>
            </w:r>
          </w:p>
        </w:tc>
        <w:tc>
          <w:tcPr>
            <w:tcW w:w="2065" w:type="dxa"/>
            <w:noWrap w:val="0"/>
            <w:vAlign w:val="center"/>
          </w:tcPr>
          <w:p>
            <w:pPr>
              <w:tabs>
                <w:tab w:val="left" w:pos="8280"/>
              </w:tabs>
              <w:autoSpaceDE w:val="0"/>
              <w:autoSpaceDN w:val="0"/>
              <w:adjustRightInd w:val="0"/>
              <w:snapToGrid w:val="0"/>
              <w:spacing w:line="440" w:lineRule="exact"/>
              <w:jc w:val="center"/>
              <w:rPr>
                <w:rFonts w:hint="eastAsia" w:ascii="宋体" w:hAnsi="宋体" w:cs="宋体"/>
                <w:b/>
                <w:szCs w:val="21"/>
              </w:rPr>
            </w:pPr>
            <w:r>
              <w:rPr>
                <w:rFonts w:hint="eastAsia" w:ascii="宋体" w:hAnsi="宋体" w:cs="宋体"/>
                <w:b/>
                <w:szCs w:val="21"/>
              </w:rPr>
              <w:t>服务交付期</w:t>
            </w:r>
          </w:p>
        </w:tc>
        <w:tc>
          <w:tcPr>
            <w:tcW w:w="1059" w:type="dxa"/>
            <w:noWrap w:val="0"/>
            <w:vAlign w:val="center"/>
          </w:tcPr>
          <w:p>
            <w:pPr>
              <w:tabs>
                <w:tab w:val="left" w:pos="8280"/>
              </w:tabs>
              <w:autoSpaceDE w:val="0"/>
              <w:autoSpaceDN w:val="0"/>
              <w:adjustRightInd w:val="0"/>
              <w:snapToGrid w:val="0"/>
              <w:spacing w:line="440" w:lineRule="exact"/>
              <w:jc w:val="center"/>
              <w:rPr>
                <w:rFonts w:hint="eastAsia" w:ascii="宋体" w:hAnsi="宋体" w:cs="宋体"/>
                <w:b/>
                <w:szCs w:val="21"/>
              </w:rPr>
            </w:pPr>
            <w:r>
              <w:rPr>
                <w:rFonts w:hint="eastAsia" w:ascii="宋体" w:hAnsi="宋体" w:cs="宋体"/>
                <w:b/>
                <w:szCs w:val="21"/>
              </w:rPr>
              <w:t>交付地点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671" w:type="dxa"/>
            <w:noWrap w:val="0"/>
            <w:vAlign w:val="center"/>
          </w:tcPr>
          <w:p>
            <w:pPr>
              <w:tabs>
                <w:tab w:val="left" w:pos="8280"/>
              </w:tabs>
              <w:autoSpaceDE w:val="0"/>
              <w:autoSpaceDN w:val="0"/>
              <w:adjustRightInd w:val="0"/>
              <w:snapToGrid w:val="0"/>
              <w:spacing w:line="440" w:lineRule="exact"/>
              <w:jc w:val="center"/>
              <w:rPr>
                <w:rFonts w:hint="eastAsia" w:ascii="宋体" w:hAnsi="宋体" w:cs="宋体"/>
                <w:szCs w:val="21"/>
              </w:rPr>
            </w:pPr>
            <w:r>
              <w:rPr>
                <w:rFonts w:hint="eastAsia" w:ascii="宋体" w:hAnsi="宋体" w:cs="宋体"/>
                <w:szCs w:val="21"/>
              </w:rPr>
              <w:t>1</w:t>
            </w:r>
          </w:p>
        </w:tc>
        <w:tc>
          <w:tcPr>
            <w:tcW w:w="1151" w:type="dxa"/>
            <w:noWrap w:val="0"/>
            <w:vAlign w:val="center"/>
          </w:tcPr>
          <w:p>
            <w:pPr>
              <w:adjustRightInd w:val="0"/>
              <w:snapToGrid w:val="0"/>
              <w:spacing w:line="440" w:lineRule="exact"/>
              <w:jc w:val="center"/>
              <w:rPr>
                <w:rFonts w:hint="eastAsia" w:ascii="宋体" w:hAnsi="宋体" w:cs="宋体"/>
                <w:szCs w:val="21"/>
              </w:rPr>
            </w:pPr>
            <w:r>
              <w:rPr>
                <w:rFonts w:hint="eastAsia" w:ascii="宋体" w:hAnsi="宋体" w:cs="宋体"/>
                <w:szCs w:val="21"/>
              </w:rPr>
              <w:t>临海市大洋未来社区数字化项目</w:t>
            </w:r>
          </w:p>
        </w:tc>
        <w:tc>
          <w:tcPr>
            <w:tcW w:w="954" w:type="dxa"/>
            <w:noWrap w:val="0"/>
            <w:vAlign w:val="center"/>
          </w:tcPr>
          <w:p>
            <w:pPr>
              <w:adjustRightInd w:val="0"/>
              <w:snapToGrid w:val="0"/>
              <w:spacing w:line="440" w:lineRule="exact"/>
              <w:jc w:val="center"/>
              <w:rPr>
                <w:rFonts w:hint="default" w:ascii="宋体" w:hAnsi="宋体" w:eastAsia="宋体" w:cs="宋体"/>
                <w:szCs w:val="21"/>
                <w:lang w:val="en-US" w:eastAsia="zh-CN"/>
              </w:rPr>
            </w:pPr>
            <w:r>
              <w:rPr>
                <w:rFonts w:hint="eastAsia" w:ascii="宋体" w:hAnsi="宋体" w:cs="宋体"/>
                <w:color w:val="auto"/>
                <w:szCs w:val="21"/>
              </w:rPr>
              <w:t>16</w:t>
            </w:r>
            <w:r>
              <w:rPr>
                <w:rFonts w:hint="eastAsia" w:ascii="宋体" w:hAnsi="宋体" w:cs="宋体"/>
                <w:color w:val="auto"/>
                <w:szCs w:val="21"/>
                <w:lang w:val="en-US" w:eastAsia="zh-CN"/>
              </w:rPr>
              <w:t>50</w:t>
            </w:r>
          </w:p>
        </w:tc>
        <w:tc>
          <w:tcPr>
            <w:tcW w:w="1100" w:type="dxa"/>
            <w:noWrap w:val="0"/>
            <w:vAlign w:val="center"/>
          </w:tcPr>
          <w:p>
            <w:pPr>
              <w:adjustRightInd w:val="0"/>
              <w:snapToGrid w:val="0"/>
              <w:jc w:val="center"/>
              <w:rPr>
                <w:rFonts w:hint="eastAsia" w:ascii="宋体" w:hAnsi="宋体" w:cs="宋体"/>
                <w:szCs w:val="21"/>
              </w:rPr>
            </w:pPr>
            <w:r>
              <w:rPr>
                <w:rFonts w:hint="eastAsia" w:ascii="宋体" w:hAnsi="宋体" w:cs="宋体"/>
                <w:szCs w:val="21"/>
              </w:rPr>
              <w:t>1620万元（其中软件最高限价565万元，硬件最高限价845万元，其他报价最高限价210万元）</w:t>
            </w:r>
          </w:p>
        </w:tc>
        <w:tc>
          <w:tcPr>
            <w:tcW w:w="702" w:type="dxa"/>
            <w:noWrap w:val="0"/>
            <w:vAlign w:val="center"/>
          </w:tcPr>
          <w:p>
            <w:pPr>
              <w:adjustRightInd w:val="0"/>
              <w:snapToGrid w:val="0"/>
              <w:spacing w:line="440" w:lineRule="exact"/>
              <w:jc w:val="center"/>
              <w:rPr>
                <w:rFonts w:hint="eastAsia" w:ascii="宋体" w:hAnsi="宋体" w:cs="宋体"/>
                <w:szCs w:val="21"/>
              </w:rPr>
            </w:pPr>
            <w:r>
              <w:rPr>
                <w:rFonts w:hint="eastAsia" w:ascii="宋体" w:hAnsi="宋体" w:cs="宋体"/>
                <w:szCs w:val="21"/>
              </w:rPr>
              <w:t>1</w:t>
            </w:r>
          </w:p>
        </w:tc>
        <w:tc>
          <w:tcPr>
            <w:tcW w:w="664" w:type="dxa"/>
            <w:noWrap w:val="0"/>
            <w:vAlign w:val="center"/>
          </w:tcPr>
          <w:p>
            <w:pPr>
              <w:adjustRightInd w:val="0"/>
              <w:snapToGrid w:val="0"/>
              <w:spacing w:line="440" w:lineRule="exact"/>
              <w:jc w:val="center"/>
              <w:rPr>
                <w:rFonts w:hint="eastAsia" w:ascii="宋体" w:hAnsi="宋体" w:cs="宋体"/>
                <w:szCs w:val="21"/>
              </w:rPr>
            </w:pPr>
            <w:r>
              <w:rPr>
                <w:rFonts w:hint="eastAsia" w:ascii="宋体" w:hAnsi="宋体" w:cs="宋体"/>
                <w:szCs w:val="21"/>
              </w:rPr>
              <w:t>1</w:t>
            </w:r>
          </w:p>
        </w:tc>
        <w:tc>
          <w:tcPr>
            <w:tcW w:w="677" w:type="dxa"/>
            <w:noWrap w:val="0"/>
            <w:vAlign w:val="center"/>
          </w:tcPr>
          <w:p>
            <w:pPr>
              <w:adjustRightInd w:val="0"/>
              <w:snapToGrid w:val="0"/>
              <w:spacing w:line="440" w:lineRule="exact"/>
              <w:jc w:val="center"/>
              <w:rPr>
                <w:rFonts w:hint="eastAsia" w:ascii="宋体" w:hAnsi="宋体" w:cs="宋体"/>
                <w:szCs w:val="21"/>
                <w:highlight w:val="yellow"/>
              </w:rPr>
            </w:pPr>
            <w:r>
              <w:rPr>
                <w:rFonts w:hint="eastAsia" w:ascii="宋体" w:hAnsi="宋体" w:cs="宋体"/>
                <w:szCs w:val="21"/>
              </w:rPr>
              <w:t>批</w:t>
            </w:r>
          </w:p>
        </w:tc>
        <w:tc>
          <w:tcPr>
            <w:tcW w:w="2065" w:type="dxa"/>
            <w:noWrap w:val="0"/>
            <w:vAlign w:val="center"/>
          </w:tcPr>
          <w:p>
            <w:pPr>
              <w:adjustRightInd w:val="0"/>
              <w:snapToGrid w:val="0"/>
              <w:jc w:val="center"/>
              <w:rPr>
                <w:rFonts w:hint="eastAsia" w:ascii="宋体" w:hAnsi="宋体" w:cs="宋体"/>
                <w:szCs w:val="21"/>
              </w:rPr>
            </w:pPr>
            <w:r>
              <w:rPr>
                <w:rFonts w:hint="eastAsia" w:ascii="宋体" w:hAnsi="宋体" w:cs="宋体"/>
                <w:szCs w:val="21"/>
              </w:rPr>
              <w:t>硬件工期：配合装修和市政工程进度，但不得影响其他专业工程进度。</w:t>
            </w:r>
          </w:p>
          <w:p>
            <w:pPr>
              <w:adjustRightInd w:val="0"/>
              <w:snapToGrid w:val="0"/>
              <w:jc w:val="center"/>
              <w:rPr>
                <w:rFonts w:hint="eastAsia" w:ascii="宋体" w:hAnsi="宋体" w:cs="宋体"/>
                <w:szCs w:val="21"/>
                <w:highlight w:val="yellow"/>
              </w:rPr>
            </w:pPr>
            <w:r>
              <w:rPr>
                <w:rFonts w:hint="eastAsia" w:ascii="宋体" w:hAnsi="宋体" w:cs="宋体"/>
                <w:szCs w:val="21"/>
              </w:rPr>
              <w:t>软件工期：社区3D建模、驾驶舱以及多跨亮点要在2021年12月底前基本完成，具备初步展示效果，其他系统在合同签订后120天内完成系统开发并部署应用。</w:t>
            </w:r>
          </w:p>
        </w:tc>
        <w:tc>
          <w:tcPr>
            <w:tcW w:w="1059" w:type="dxa"/>
            <w:noWrap w:val="0"/>
            <w:vAlign w:val="center"/>
          </w:tcPr>
          <w:p>
            <w:pPr>
              <w:adjustRightInd w:val="0"/>
              <w:snapToGrid w:val="0"/>
              <w:spacing w:line="440" w:lineRule="exact"/>
              <w:jc w:val="center"/>
              <w:rPr>
                <w:rFonts w:hint="eastAsia" w:ascii="宋体" w:hAnsi="宋体" w:cs="宋体"/>
                <w:bCs/>
                <w:szCs w:val="21"/>
              </w:rPr>
            </w:pPr>
            <w:r>
              <w:rPr>
                <w:rFonts w:hint="eastAsia" w:ascii="宋体" w:hAnsi="宋体" w:cs="宋体"/>
                <w:szCs w:val="21"/>
              </w:rPr>
              <w:t>采购人指定地点</w:t>
            </w:r>
          </w:p>
        </w:tc>
      </w:tr>
    </w:tbl>
    <w:p>
      <w:pPr>
        <w:adjustRightInd w:val="0"/>
        <w:snapToGrid w:val="0"/>
        <w:spacing w:line="440" w:lineRule="exact"/>
        <w:jc w:val="center"/>
        <w:rPr>
          <w:rFonts w:hint="eastAsia" w:ascii="宋体" w:hAnsi="宋体"/>
          <w:b/>
          <w:bCs/>
          <w:sz w:val="24"/>
        </w:rPr>
      </w:pPr>
    </w:p>
    <w:p>
      <w:pPr>
        <w:adjustRightInd w:val="0"/>
        <w:snapToGrid w:val="0"/>
        <w:spacing w:line="440" w:lineRule="exact"/>
        <w:jc w:val="center"/>
        <w:rPr>
          <w:rFonts w:hint="eastAsia" w:ascii="宋体" w:hAnsi="宋体"/>
          <w:b/>
          <w:bCs/>
          <w:sz w:val="24"/>
        </w:rPr>
      </w:pPr>
      <w:r>
        <w:rPr>
          <w:rFonts w:hint="eastAsia" w:ascii="宋体" w:hAnsi="宋体"/>
          <w:b/>
          <w:bCs/>
          <w:sz w:val="24"/>
        </w:rPr>
        <w:t>建设总表</w:t>
      </w:r>
    </w:p>
    <w:tbl>
      <w:tblPr>
        <w:tblStyle w:val="48"/>
        <w:tblW w:w="0" w:type="auto"/>
        <w:tblInd w:w="93" w:type="dxa"/>
        <w:tblLayout w:type="fixed"/>
        <w:tblCellMar>
          <w:top w:w="0" w:type="dxa"/>
          <w:left w:w="108" w:type="dxa"/>
          <w:bottom w:w="0" w:type="dxa"/>
          <w:right w:w="108" w:type="dxa"/>
        </w:tblCellMar>
      </w:tblPr>
      <w:tblGrid>
        <w:gridCol w:w="658"/>
        <w:gridCol w:w="2903"/>
        <w:gridCol w:w="4634"/>
        <w:gridCol w:w="658"/>
      </w:tblGrid>
      <w:tr>
        <w:tblPrEx>
          <w:tblCellMar>
            <w:top w:w="0" w:type="dxa"/>
            <w:left w:w="108" w:type="dxa"/>
            <w:bottom w:w="0" w:type="dxa"/>
            <w:right w:w="108" w:type="dxa"/>
          </w:tblCellMar>
        </w:tblPrEx>
        <w:trPr>
          <w:trHeight w:val="414"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序号</w:t>
            </w:r>
          </w:p>
        </w:tc>
        <w:tc>
          <w:tcPr>
            <w:tcW w:w="753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清单</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备注</w:t>
            </w:r>
          </w:p>
        </w:tc>
      </w:tr>
      <w:tr>
        <w:tblPrEx>
          <w:tblCellMar>
            <w:top w:w="0" w:type="dxa"/>
            <w:left w:w="108" w:type="dxa"/>
            <w:bottom w:w="0" w:type="dxa"/>
            <w:right w:w="108" w:type="dxa"/>
          </w:tblCellMar>
        </w:tblPrEx>
        <w:trPr>
          <w:trHeight w:val="460" w:hRule="atLeast"/>
        </w:trPr>
        <w:tc>
          <w:tcPr>
            <w:tcW w:w="819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一、软件清单</w:t>
            </w:r>
          </w:p>
        </w:tc>
        <w:tc>
          <w:tcPr>
            <w:tcW w:w="658"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全域应用能力中心底座</w:t>
            </w:r>
          </w:p>
        </w:tc>
        <w:tc>
          <w:tcPr>
            <w:tcW w:w="4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业务中台</w:t>
            </w:r>
          </w:p>
        </w:tc>
        <w:tc>
          <w:tcPr>
            <w:tcW w:w="658"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2"/>
                <w:szCs w:val="22"/>
              </w:rPr>
            </w:pPr>
          </w:p>
        </w:tc>
        <w:tc>
          <w:tcPr>
            <w:tcW w:w="4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数据中台</w:t>
            </w:r>
          </w:p>
        </w:tc>
        <w:tc>
          <w:tcPr>
            <w:tcW w:w="658"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2"/>
                <w:szCs w:val="22"/>
              </w:rPr>
            </w:pPr>
          </w:p>
        </w:tc>
        <w:tc>
          <w:tcPr>
            <w:tcW w:w="4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AIOT中台</w:t>
            </w:r>
          </w:p>
        </w:tc>
        <w:tc>
          <w:tcPr>
            <w:tcW w:w="658"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社区微脑（驾驶舱）</w:t>
            </w:r>
          </w:p>
        </w:tc>
        <w:tc>
          <w:tcPr>
            <w:tcW w:w="4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大数据可视化渲染平台</w:t>
            </w:r>
          </w:p>
        </w:tc>
        <w:tc>
          <w:tcPr>
            <w:tcW w:w="658"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2"/>
                <w:szCs w:val="22"/>
              </w:rPr>
            </w:pPr>
          </w:p>
        </w:tc>
        <w:tc>
          <w:tcPr>
            <w:tcW w:w="4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GIS数据服务、模型制作服务和场景定制融合服务</w:t>
            </w:r>
          </w:p>
        </w:tc>
        <w:tc>
          <w:tcPr>
            <w:tcW w:w="658"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212"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2"/>
                <w:szCs w:val="22"/>
              </w:rPr>
            </w:pPr>
          </w:p>
        </w:tc>
        <w:tc>
          <w:tcPr>
            <w:tcW w:w="4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设计服务</w:t>
            </w:r>
          </w:p>
        </w:tc>
        <w:tc>
          <w:tcPr>
            <w:tcW w:w="658"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w:t>
            </w: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2"/>
                <w:szCs w:val="22"/>
              </w:rPr>
            </w:pPr>
          </w:p>
        </w:tc>
        <w:tc>
          <w:tcPr>
            <w:tcW w:w="4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业务数据对接服务</w:t>
            </w:r>
          </w:p>
        </w:tc>
        <w:tc>
          <w:tcPr>
            <w:tcW w:w="658"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w:t>
            </w: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2"/>
                <w:szCs w:val="22"/>
              </w:rPr>
            </w:pPr>
          </w:p>
        </w:tc>
        <w:tc>
          <w:tcPr>
            <w:tcW w:w="4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场景功能定制开发服务</w:t>
            </w:r>
          </w:p>
        </w:tc>
        <w:tc>
          <w:tcPr>
            <w:tcW w:w="658"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智慧服务系统</w:t>
            </w:r>
          </w:p>
        </w:tc>
        <w:tc>
          <w:tcPr>
            <w:tcW w:w="4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邻里服务应用</w:t>
            </w:r>
          </w:p>
        </w:tc>
        <w:tc>
          <w:tcPr>
            <w:tcW w:w="658"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2"/>
                <w:szCs w:val="22"/>
              </w:rPr>
            </w:pPr>
          </w:p>
        </w:tc>
        <w:tc>
          <w:tcPr>
            <w:tcW w:w="4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教育服务应用</w:t>
            </w:r>
          </w:p>
        </w:tc>
        <w:tc>
          <w:tcPr>
            <w:tcW w:w="658"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w:t>
            </w: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2"/>
                <w:szCs w:val="22"/>
              </w:rPr>
            </w:pPr>
          </w:p>
        </w:tc>
        <w:tc>
          <w:tcPr>
            <w:tcW w:w="4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健康服务应用</w:t>
            </w:r>
          </w:p>
        </w:tc>
        <w:tc>
          <w:tcPr>
            <w:tcW w:w="658"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2"/>
                <w:szCs w:val="22"/>
              </w:rPr>
            </w:pPr>
          </w:p>
        </w:tc>
        <w:tc>
          <w:tcPr>
            <w:tcW w:w="4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创业服务应用</w:t>
            </w:r>
          </w:p>
        </w:tc>
        <w:tc>
          <w:tcPr>
            <w:tcW w:w="658"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w:t>
            </w: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2"/>
                <w:szCs w:val="22"/>
              </w:rPr>
            </w:pPr>
          </w:p>
        </w:tc>
        <w:tc>
          <w:tcPr>
            <w:tcW w:w="4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交通管理应用</w:t>
            </w:r>
          </w:p>
        </w:tc>
        <w:tc>
          <w:tcPr>
            <w:tcW w:w="658"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w:t>
            </w: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2"/>
                <w:szCs w:val="22"/>
              </w:rPr>
            </w:pPr>
          </w:p>
        </w:tc>
        <w:tc>
          <w:tcPr>
            <w:tcW w:w="4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能源管理应用</w:t>
            </w:r>
          </w:p>
        </w:tc>
        <w:tc>
          <w:tcPr>
            <w:tcW w:w="658"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2"/>
                <w:szCs w:val="22"/>
              </w:rPr>
            </w:pPr>
          </w:p>
        </w:tc>
        <w:tc>
          <w:tcPr>
            <w:tcW w:w="4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社区服务应用</w:t>
            </w:r>
          </w:p>
        </w:tc>
        <w:tc>
          <w:tcPr>
            <w:tcW w:w="658"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16</w:t>
            </w: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2"/>
                <w:szCs w:val="22"/>
              </w:rPr>
            </w:pPr>
          </w:p>
        </w:tc>
        <w:tc>
          <w:tcPr>
            <w:tcW w:w="4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社区治理应用</w:t>
            </w:r>
          </w:p>
        </w:tc>
        <w:tc>
          <w:tcPr>
            <w:tcW w:w="658"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438" w:hRule="atLeast"/>
        </w:trPr>
        <w:tc>
          <w:tcPr>
            <w:tcW w:w="819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二、硬件清单</w:t>
            </w:r>
          </w:p>
        </w:tc>
        <w:tc>
          <w:tcPr>
            <w:tcW w:w="658"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2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未来邻里</w:t>
            </w:r>
          </w:p>
        </w:tc>
        <w:tc>
          <w:tcPr>
            <w:tcW w:w="4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LED信息发布</w:t>
            </w:r>
          </w:p>
        </w:tc>
        <w:tc>
          <w:tcPr>
            <w:tcW w:w="658"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2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未来教育</w:t>
            </w:r>
          </w:p>
        </w:tc>
        <w:tc>
          <w:tcPr>
            <w:tcW w:w="4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多媒体教室</w:t>
            </w:r>
          </w:p>
        </w:tc>
        <w:tc>
          <w:tcPr>
            <w:tcW w:w="658"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未来健康</w:t>
            </w:r>
          </w:p>
        </w:tc>
        <w:tc>
          <w:tcPr>
            <w:tcW w:w="4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康洋小屋</w:t>
            </w:r>
          </w:p>
        </w:tc>
        <w:tc>
          <w:tcPr>
            <w:tcW w:w="658"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2"/>
                <w:szCs w:val="22"/>
              </w:rPr>
            </w:pPr>
          </w:p>
        </w:tc>
        <w:tc>
          <w:tcPr>
            <w:tcW w:w="4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体育健康</w:t>
            </w:r>
          </w:p>
        </w:tc>
        <w:tc>
          <w:tcPr>
            <w:tcW w:w="658"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2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未来创业</w:t>
            </w:r>
          </w:p>
        </w:tc>
        <w:tc>
          <w:tcPr>
            <w:tcW w:w="4634"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创业培训会议室</w:t>
            </w:r>
          </w:p>
        </w:tc>
        <w:tc>
          <w:tcPr>
            <w:tcW w:w="658"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2903" w:type="dxa"/>
            <w:vMerge w:val="restart"/>
            <w:tcBorders>
              <w:top w:val="single" w:color="000000" w:sz="4" w:space="0"/>
              <w:left w:val="single" w:color="000000" w:sz="4" w:space="0"/>
              <w:bottom w:val="single" w:color="000000" w:sz="4" w:space="0"/>
              <w:right w:val="single" w:color="auto" w:sz="0"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未来交通</w:t>
            </w:r>
          </w:p>
        </w:tc>
        <w:tc>
          <w:tcPr>
            <w:tcW w:w="4634" w:type="dxa"/>
            <w:tcBorders>
              <w:top w:val="single" w:color="auto" w:sz="4" w:space="0"/>
              <w:left w:val="single" w:color="auto" w:sz="0" w:space="0"/>
              <w:bottom w:val="single" w:color="auto" w:sz="4" w:space="0"/>
              <w:right w:val="single" w:color="auto" w:sz="0" w:space="0"/>
            </w:tcBorders>
            <w:noWrap w:val="0"/>
            <w:vAlign w:val="bottom"/>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停车管理</w:t>
            </w:r>
          </w:p>
        </w:tc>
        <w:tc>
          <w:tcPr>
            <w:tcW w:w="658" w:type="dxa"/>
            <w:tcBorders>
              <w:top w:val="single" w:color="000000" w:sz="4" w:space="0"/>
              <w:left w:val="single" w:color="auto" w:sz="0" w:space="0"/>
              <w:bottom w:val="single" w:color="000000" w:sz="4" w:space="0"/>
              <w:right w:val="single" w:color="000000" w:sz="4" w:space="0"/>
            </w:tcBorders>
            <w:noWrap w:val="0"/>
            <w:vAlign w:val="bottom"/>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w:t>
            </w: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2"/>
                <w:szCs w:val="22"/>
              </w:rPr>
            </w:pPr>
          </w:p>
        </w:tc>
        <w:tc>
          <w:tcPr>
            <w:tcW w:w="4634"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人员出入口管理</w:t>
            </w:r>
          </w:p>
        </w:tc>
        <w:tc>
          <w:tcPr>
            <w:tcW w:w="658"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未来低碳</w:t>
            </w:r>
          </w:p>
        </w:tc>
        <w:tc>
          <w:tcPr>
            <w:tcW w:w="4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充电桩</w:t>
            </w:r>
          </w:p>
        </w:tc>
        <w:tc>
          <w:tcPr>
            <w:tcW w:w="658"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w:t>
            </w: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2"/>
                <w:szCs w:val="22"/>
              </w:rPr>
            </w:pPr>
          </w:p>
        </w:tc>
        <w:tc>
          <w:tcPr>
            <w:tcW w:w="4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智能照明</w:t>
            </w:r>
          </w:p>
        </w:tc>
        <w:tc>
          <w:tcPr>
            <w:tcW w:w="658"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未来服务</w:t>
            </w:r>
          </w:p>
        </w:tc>
        <w:tc>
          <w:tcPr>
            <w:tcW w:w="4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视频监控</w:t>
            </w:r>
          </w:p>
        </w:tc>
        <w:tc>
          <w:tcPr>
            <w:tcW w:w="658"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w:t>
            </w: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2"/>
                <w:szCs w:val="22"/>
              </w:rPr>
            </w:pPr>
          </w:p>
        </w:tc>
        <w:tc>
          <w:tcPr>
            <w:tcW w:w="4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周界安防</w:t>
            </w:r>
          </w:p>
        </w:tc>
        <w:tc>
          <w:tcPr>
            <w:tcW w:w="658"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2"/>
                <w:szCs w:val="22"/>
              </w:rPr>
            </w:pPr>
          </w:p>
        </w:tc>
        <w:tc>
          <w:tcPr>
            <w:tcW w:w="4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居家安防</w:t>
            </w:r>
          </w:p>
        </w:tc>
        <w:tc>
          <w:tcPr>
            <w:tcW w:w="658"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未来治理</w:t>
            </w:r>
          </w:p>
        </w:tc>
        <w:tc>
          <w:tcPr>
            <w:tcW w:w="4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会议室</w:t>
            </w:r>
          </w:p>
        </w:tc>
        <w:tc>
          <w:tcPr>
            <w:tcW w:w="658"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w:t>
            </w: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2"/>
                <w:szCs w:val="22"/>
              </w:rPr>
            </w:pPr>
          </w:p>
        </w:tc>
        <w:tc>
          <w:tcPr>
            <w:tcW w:w="4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展示中心</w:t>
            </w:r>
          </w:p>
        </w:tc>
        <w:tc>
          <w:tcPr>
            <w:tcW w:w="658"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基础建设</w:t>
            </w:r>
          </w:p>
        </w:tc>
        <w:tc>
          <w:tcPr>
            <w:tcW w:w="4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综合布线</w:t>
            </w:r>
          </w:p>
        </w:tc>
        <w:tc>
          <w:tcPr>
            <w:tcW w:w="658"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16</w:t>
            </w: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2"/>
                <w:szCs w:val="22"/>
              </w:rPr>
            </w:pPr>
          </w:p>
        </w:tc>
        <w:tc>
          <w:tcPr>
            <w:tcW w:w="4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综合管路</w:t>
            </w:r>
          </w:p>
        </w:tc>
        <w:tc>
          <w:tcPr>
            <w:tcW w:w="658"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17</w:t>
            </w: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2"/>
                <w:szCs w:val="22"/>
              </w:rPr>
            </w:pPr>
          </w:p>
        </w:tc>
        <w:tc>
          <w:tcPr>
            <w:tcW w:w="4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机房设备</w:t>
            </w:r>
          </w:p>
        </w:tc>
        <w:tc>
          <w:tcPr>
            <w:tcW w:w="658"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w:t>
            </w:r>
          </w:p>
        </w:tc>
        <w:tc>
          <w:tcPr>
            <w:tcW w:w="753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施工</w:t>
            </w:r>
          </w:p>
        </w:tc>
        <w:tc>
          <w:tcPr>
            <w:tcW w:w="658"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417" w:hRule="atLeast"/>
        </w:trPr>
        <w:tc>
          <w:tcPr>
            <w:tcW w:w="819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三、其他</w:t>
            </w:r>
          </w:p>
        </w:tc>
        <w:tc>
          <w:tcPr>
            <w:tcW w:w="658"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线路、云资源及安全建设</w:t>
            </w:r>
          </w:p>
        </w:tc>
        <w:tc>
          <w:tcPr>
            <w:tcW w:w="4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线路</w:t>
            </w:r>
          </w:p>
        </w:tc>
        <w:tc>
          <w:tcPr>
            <w:tcW w:w="658"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三年</w:t>
            </w:r>
          </w:p>
        </w:tc>
      </w:tr>
      <w:tr>
        <w:tblPrEx>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2"/>
                <w:szCs w:val="22"/>
              </w:rPr>
            </w:pPr>
          </w:p>
        </w:tc>
        <w:tc>
          <w:tcPr>
            <w:tcW w:w="4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云主机租赁</w:t>
            </w:r>
          </w:p>
        </w:tc>
        <w:tc>
          <w:tcPr>
            <w:tcW w:w="658"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一年</w:t>
            </w:r>
          </w:p>
        </w:tc>
      </w:tr>
      <w:tr>
        <w:tblPrEx>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2"/>
                <w:szCs w:val="22"/>
              </w:rPr>
            </w:pPr>
          </w:p>
        </w:tc>
        <w:tc>
          <w:tcPr>
            <w:tcW w:w="46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云安全租赁</w:t>
            </w:r>
          </w:p>
        </w:tc>
        <w:tc>
          <w:tcPr>
            <w:tcW w:w="658"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一年</w:t>
            </w:r>
          </w:p>
        </w:tc>
      </w:tr>
      <w:tr>
        <w:tblPrEx>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等保测评和软件第三方测评</w:t>
            </w:r>
          </w:p>
        </w:tc>
        <w:tc>
          <w:tcPr>
            <w:tcW w:w="4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二级等保测评</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三年</w:t>
            </w:r>
          </w:p>
        </w:tc>
      </w:tr>
      <w:tr>
        <w:tblPrEx>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2"/>
                <w:szCs w:val="22"/>
              </w:rPr>
            </w:pPr>
          </w:p>
        </w:tc>
        <w:tc>
          <w:tcPr>
            <w:tcW w:w="4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软件第三方测评</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2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运营及系统维护</w:t>
            </w:r>
          </w:p>
        </w:tc>
        <w:tc>
          <w:tcPr>
            <w:tcW w:w="46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运营及系统维护，包含两名人员为期三年驻点服务</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三年</w:t>
            </w:r>
          </w:p>
        </w:tc>
      </w:tr>
    </w:tbl>
    <w:p>
      <w:pPr>
        <w:pStyle w:val="3"/>
        <w:adjustRightInd w:val="0"/>
        <w:snapToGrid w:val="0"/>
        <w:spacing w:before="0" w:after="0" w:line="440" w:lineRule="exact"/>
      </w:pPr>
      <w:r>
        <w:rPr>
          <w:rFonts w:hint="eastAsia" w:ascii="宋体" w:hAnsi="宋体" w:eastAsia="宋体" w:cs="宋体"/>
          <w:sz w:val="24"/>
          <w:szCs w:val="24"/>
        </w:rPr>
        <w:t>二、项目背景</w:t>
      </w:r>
    </w:p>
    <w:p>
      <w:pPr>
        <w:adjustRightInd w:val="0"/>
        <w:snapToGrid w:val="0"/>
        <w:spacing w:line="440" w:lineRule="exact"/>
        <w:ind w:firstLine="420" w:firstLineChars="200"/>
      </w:pPr>
      <w:r>
        <w:rPr>
          <w:rFonts w:hint="eastAsia"/>
        </w:rPr>
        <w:t>2019年浙江省政府工作报告首次提出“未来社区”这一概念。3月，浙江省政府正式印发《浙江省未来社区建设试点工作方案》。未来社区以满足人民美好生活向往为中心，旨在构建未来邻里、教育、健康、创业、建筑、交通、低碳、服务、治理九大场景创新有机统一的新人居空间。</w:t>
      </w:r>
    </w:p>
    <w:p>
      <w:pPr>
        <w:adjustRightInd w:val="0"/>
        <w:snapToGrid w:val="0"/>
        <w:spacing w:line="440" w:lineRule="exact"/>
      </w:pPr>
      <w:r>
        <w:rPr>
          <w:rFonts w:hint="eastAsia"/>
        </w:rPr>
        <w:t>2021年，省委省政府把未来社区建设理念和要求贯穿到城市有机更新全过程，加快推动从个案“试点”到面上推广。因此，未来社区创建类型进一步丰富，主要分为整合提升类、全拆重建类、拆改结合类、规划新建类和全域类五大类。</w:t>
      </w:r>
    </w:p>
    <w:p>
      <w:pPr>
        <w:adjustRightInd w:val="0"/>
        <w:snapToGrid w:val="0"/>
        <w:spacing w:line="440" w:lineRule="exact"/>
      </w:pPr>
      <w:r>
        <w:rPr>
          <w:rFonts w:hint="eastAsia"/>
        </w:rPr>
        <w:t>2021年5月，大洋未来社区作为整合提升类入选2021年未来社区创建名单。</w:t>
      </w:r>
    </w:p>
    <w:p>
      <w:pPr>
        <w:pStyle w:val="3"/>
        <w:adjustRightInd w:val="0"/>
        <w:snapToGrid w:val="0"/>
        <w:spacing w:before="0" w:after="0" w:line="440" w:lineRule="exact"/>
      </w:pPr>
      <w:r>
        <w:rPr>
          <w:rFonts w:hint="eastAsia" w:ascii="宋体" w:hAnsi="宋体" w:eastAsia="宋体" w:cs="宋体"/>
          <w:sz w:val="24"/>
          <w:szCs w:val="24"/>
        </w:rPr>
        <w:t>三、建设目标</w:t>
      </w:r>
    </w:p>
    <w:p>
      <w:pPr>
        <w:adjustRightInd w:val="0"/>
        <w:snapToGrid w:val="0"/>
        <w:spacing w:line="440" w:lineRule="exact"/>
        <w:ind w:firstLine="480"/>
      </w:pPr>
      <w:r>
        <w:rPr>
          <w:rFonts w:hint="eastAsia"/>
        </w:rPr>
        <w:t>根据《省发展改革委省建设厅关于开展2021年度未来社区创建的通知》，大洋未来社区属于整合提升类项目，整体遵循“古城新意，大洋新居”，主要以数字化智慧化改造和“补短板”式“三化九场景”功能嵌入为主，整合社区现有运营资源，增补优质社区公共服务配套，重塑社区生活圈活力，落实未来社区数字社会建设要求，实现场景“线上”智慧化功能全实现、服务应用实施单元全覆盖，并逐步向规划单元延伸覆盖；“查漏补缺”优化完善软场景设施配置，灵活采取补建、购置、置换、租赁、改造等方式配套相关设施，全面响应约束性指标要求，保障场景设施的普惠共享性，满足向社区全体群众开放要求，确保实现10分钟社区生活圈功能；参照硬场景建设标准要求，酌情实施社区环境和硬件设施的改造提升。做厚生态本底，注重内涵提升，在实践中探索中小城市未来社区的创新模式和实现路径。</w:t>
      </w:r>
    </w:p>
    <w:p>
      <w:pPr>
        <w:adjustRightInd w:val="0"/>
        <w:snapToGrid w:val="0"/>
        <w:spacing w:line="440" w:lineRule="exact"/>
        <w:ind w:firstLine="480"/>
      </w:pPr>
      <w:r>
        <w:rPr>
          <w:rFonts w:hint="eastAsia"/>
        </w:rPr>
        <w:t>结合未来社区九大场景需求，致力打造一套当前技术领先、未来可持续迭代的，满足居民、政府、物业等对象服务的未来社区智慧服务管理系统，同时利用大数据相关应用，实现事件的提前预知、预警、预判，赋能政府精细化治理，实现各级管理跨部门协同。同时通过丰富的数字化业态应用丰富居民生活配套、满足人民对美好生活的向往。</w:t>
      </w:r>
    </w:p>
    <w:p>
      <w:pPr>
        <w:pStyle w:val="3"/>
        <w:adjustRightInd w:val="0"/>
        <w:snapToGrid w:val="0"/>
        <w:spacing w:before="0" w:after="0" w:line="440" w:lineRule="exact"/>
      </w:pPr>
      <w:r>
        <w:rPr>
          <w:rFonts w:hint="eastAsia" w:ascii="宋体" w:hAnsi="宋体" w:eastAsia="宋体" w:cs="宋体"/>
          <w:sz w:val="24"/>
          <w:szCs w:val="24"/>
        </w:rPr>
        <w:t>四、建设内容</w:t>
      </w:r>
    </w:p>
    <w:p>
      <w:pPr>
        <w:adjustRightInd w:val="0"/>
        <w:snapToGrid w:val="0"/>
        <w:spacing w:line="440" w:lineRule="exact"/>
        <w:ind w:firstLine="480"/>
      </w:pPr>
      <w:r>
        <w:rPr>
          <w:rFonts w:hint="eastAsia"/>
        </w:rPr>
        <w:t>项目主要建设内容包括大洋未来社区智慧服务应用和未来社区九大场景应用建设，其中智慧服务应用按照省厅未来社区要求的标准进行建设，包括数据仓、数字驾驶舱、云计算资源、AIOT中台、数据中台、业务中台、治理端应用、服务端应用、运营端应用、未来社区应用门户上架、数字孪生三维模型平台等内容，同时与省级未来社区数字平台、CIM平台进行对接。</w:t>
      </w:r>
    </w:p>
    <w:p>
      <w:pPr>
        <w:adjustRightInd w:val="0"/>
        <w:snapToGrid w:val="0"/>
        <w:spacing w:line="440" w:lineRule="exact"/>
        <w:ind w:firstLine="480"/>
      </w:pPr>
      <w:r>
        <w:rPr>
          <w:rFonts w:hint="eastAsia"/>
        </w:rPr>
        <w:t>重点打造未来邻里（文化）、未来教育、未来健康（养老）三大特色场景，并配套建设相关基础智能化硬件，主要包括视频监控、周界安防、展示中心、多媒体教室、康洋小屋、车辆管理、人员出入口管理、充电桩、基础网络、机房等。</w:t>
      </w:r>
    </w:p>
    <w:p>
      <w:pPr>
        <w:adjustRightInd w:val="0"/>
        <w:snapToGrid w:val="0"/>
        <w:spacing w:line="440" w:lineRule="exact"/>
        <w:ind w:firstLine="480"/>
      </w:pPr>
      <w:r>
        <w:rPr>
          <w:rFonts w:hint="eastAsia"/>
        </w:rPr>
        <w:t>针对项目现状及不足，通过与街道、社区及住建局，发改局，大洋街道，卫健局，教育局，民政局，宣传部，人社局，文广旅体局等有关部门充分沟通，着力打造大洋未来社区以下特色场景：</w:t>
      </w:r>
    </w:p>
    <w:p>
      <w:pPr>
        <w:adjustRightInd w:val="0"/>
        <w:snapToGrid w:val="0"/>
        <w:spacing w:line="440" w:lineRule="exact"/>
        <w:ind w:firstLine="480"/>
      </w:pPr>
      <w:r>
        <w:rPr>
          <w:rFonts w:hint="eastAsia"/>
        </w:rPr>
        <w:t>1、未来邻里场景</w:t>
      </w:r>
    </w:p>
    <w:p>
      <w:pPr>
        <w:adjustRightInd w:val="0"/>
        <w:snapToGrid w:val="0"/>
        <w:spacing w:line="440" w:lineRule="exact"/>
        <w:ind w:firstLine="480"/>
      </w:pPr>
      <w:r>
        <w:rPr>
          <w:rFonts w:hint="eastAsia"/>
        </w:rPr>
        <w:t>打造临洋之道、临洋之帮、临洋之家等众多社区文化特色场景；聚焦“国家大事+社区小事”，作为市级融媒体中心在未来社区的下沉式系统，主要为社区居民提供时政资讯、热点新闻、政策宣传的推送，以及其他各类信息服务，打造社区居民的新闻资讯掌中宝。大洋未来社区版志愿浙江，重点通过流程再造，创新打造邻里之间需求与服务精准对接的互助式志愿服务，更准落地在未来社区，居民享受数字化志愿服务。</w:t>
      </w:r>
    </w:p>
    <w:p>
      <w:pPr>
        <w:adjustRightInd w:val="0"/>
        <w:snapToGrid w:val="0"/>
        <w:spacing w:line="440" w:lineRule="exact"/>
        <w:ind w:firstLine="480"/>
      </w:pPr>
      <w:r>
        <w:rPr>
          <w:rFonts w:hint="eastAsia"/>
        </w:rPr>
        <w:t>2、未来教育场景</w:t>
      </w:r>
    </w:p>
    <w:p>
      <w:pPr>
        <w:adjustRightInd w:val="0"/>
        <w:snapToGrid w:val="0"/>
        <w:spacing w:line="440" w:lineRule="exact"/>
        <w:ind w:firstLine="480"/>
      </w:pPr>
      <w:r>
        <w:rPr>
          <w:rFonts w:hint="eastAsia"/>
        </w:rPr>
        <w:t>打造终身学习的教育理念，开展乐学课堂、颐养课堂、党员教育等全龄段的幸福学堂。整合优质教育资源，建设全龄在线教育系统，号召社区离退休教师回课堂，开展多种样式的课程，以直播+现场参与的方式，为社区居民提供学习服务，运用多媒体教室录播功能将相关课程进行资源沉淀，同时将相关资源上传至在线教育系统，方便居民在空闲时间进行学习。建设大洋社区智慧教育体系，数据共享，赋能镇/街，县域教育大脑，实现省/市/区交互和跨部门协同，形成多层级、多维度人口教育服务数据。通过数据的收集与分析，可以确认各类课堂参与度，活跃度，街道/社务可针对性组织教育资源进入社区，有的放矢的服务居民，提升居民满意度。</w:t>
      </w:r>
    </w:p>
    <w:p>
      <w:pPr>
        <w:adjustRightInd w:val="0"/>
        <w:snapToGrid w:val="0"/>
        <w:spacing w:line="440" w:lineRule="exact"/>
        <w:ind w:firstLine="480"/>
      </w:pPr>
      <w:r>
        <w:rPr>
          <w:rFonts w:hint="eastAsia"/>
        </w:rPr>
        <w:t>3、未来健康场景</w:t>
      </w:r>
    </w:p>
    <w:p>
      <w:pPr>
        <w:adjustRightInd w:val="0"/>
        <w:snapToGrid w:val="0"/>
        <w:spacing w:line="440" w:lineRule="exact"/>
        <w:ind w:firstLine="480"/>
      </w:pPr>
      <w:r>
        <w:rPr>
          <w:rFonts w:hint="eastAsia"/>
        </w:rPr>
        <w:t>基于社区居民老龄化为主的需求，打造“康养结合”的社区服务模式，建设居民健康管理、远程就医、智慧养老、智慧健身等多项服务。建立涵盖社区居民全龄段健康档案体系，实现家庭医生签约、慢性病管理、家庭医生随访等服务。建设健康管理，实现居民健康智能检测、健康评估、健康干预，构建健康管理自循环。建设远程就医服务，通过对接健康台州、大洋街道卫生院，实现线上预约挂号、名医专家坐诊查询、远程问诊、智能药柜取药等服务。对接民政智慧养老平台，实现养老食堂就餐、线上点餐、适老服务、养老超市等服务。消除老年人数字壁垒，享受智慧养老服务，落地社区，享受数字化成果。</w:t>
      </w:r>
    </w:p>
    <w:p>
      <w:pPr>
        <w:adjustRightInd w:val="0"/>
        <w:snapToGrid w:val="0"/>
        <w:spacing w:line="440" w:lineRule="exact"/>
        <w:ind w:firstLine="480"/>
      </w:pPr>
      <w:r>
        <w:rPr>
          <w:rFonts w:hint="eastAsia"/>
        </w:rPr>
        <w:t>从数据的需求方入手，将服务对象从终端群体扩展为关联群体，使服务环节中的每个群体都能够各取所需，把大洋未来社区打造成一个多级共享、多方联动、多维服务的综合型智慧社区。</w:t>
      </w:r>
    </w:p>
    <w:p>
      <w:pPr>
        <w:adjustRightInd w:val="0"/>
        <w:snapToGrid w:val="0"/>
        <w:spacing w:line="440" w:lineRule="exact"/>
        <w:ind w:firstLine="480"/>
      </w:pPr>
      <w:r>
        <w:rPr>
          <w:rFonts w:hint="eastAsia"/>
        </w:rPr>
        <w:t>大洋未来社区系统，旨在打通“居民-物业-社区-街道”四级数字化管理体系，弱化“物业、业委会、社区”管理三张皮问题，让物业、居民参与到基层治理过程中，让基层治理数据变活，让基层治理有效下沉，构建、四级联动的新常态。</w:t>
      </w:r>
    </w:p>
    <w:p>
      <w:pPr>
        <w:adjustRightInd w:val="0"/>
        <w:snapToGrid w:val="0"/>
        <w:spacing w:line="440" w:lineRule="exact"/>
        <w:ind w:firstLine="480"/>
      </w:pPr>
      <w:r>
        <w:rPr>
          <w:rFonts w:hint="eastAsia"/>
        </w:rPr>
        <w:t>在机制体系建立健全的基础上，实现四级联动新常态度后，即可逐步拓展应用场景。以多部门、多业务、多数据融合为契机，调研分析大洋街道管理、服务中现存的痛点、难点，利用数字化手段，以场景化的思路逐步深化应用。</w:t>
      </w:r>
    </w:p>
    <w:p>
      <w:pPr>
        <w:pStyle w:val="3"/>
        <w:rPr>
          <w:highlight w:val="yellow"/>
        </w:rPr>
        <w:sectPr>
          <w:footerReference r:id="rId9" w:type="default"/>
          <w:pgSz w:w="11906" w:h="16838"/>
          <w:pgMar w:top="1020" w:right="1587" w:bottom="850" w:left="1587" w:header="851" w:footer="992" w:gutter="0"/>
          <w:pgNumType w:start="1"/>
          <w:cols w:space="720" w:num="1"/>
          <w:rtlGutter w:val="1"/>
          <w:docGrid w:type="lines" w:linePitch="312" w:charSpace="0"/>
        </w:sectPr>
      </w:pPr>
    </w:p>
    <w:p>
      <w:pPr>
        <w:pStyle w:val="3"/>
        <w:snapToGrid w:val="0"/>
        <w:spacing w:before="0" w:after="0" w:line="440" w:lineRule="exact"/>
        <w:rPr>
          <w:highlight w:val="yellow"/>
        </w:rPr>
      </w:pPr>
      <w:r>
        <w:rPr>
          <w:rFonts w:hint="eastAsia" w:ascii="宋体" w:hAnsi="宋体" w:eastAsia="宋体" w:cs="宋体"/>
          <w:sz w:val="24"/>
          <w:szCs w:val="24"/>
        </w:rPr>
        <w:t>五、技术要求</w:t>
      </w:r>
    </w:p>
    <w:p>
      <w:pPr>
        <w:pStyle w:val="4"/>
        <w:snapToGrid w:val="0"/>
        <w:spacing w:before="0" w:after="0" w:line="440" w:lineRule="exact"/>
      </w:pPr>
      <w:r>
        <w:rPr>
          <w:rFonts w:hint="eastAsia" w:ascii="宋体" w:hAnsi="宋体" w:eastAsia="宋体" w:cs="宋体"/>
          <w:sz w:val="24"/>
          <w:szCs w:val="24"/>
        </w:rPr>
        <w:t>全域应用能力中心底座</w:t>
      </w:r>
    </w:p>
    <w:tbl>
      <w:tblPr>
        <w:tblStyle w:val="48"/>
        <w:tblW w:w="0" w:type="auto"/>
        <w:tblInd w:w="0" w:type="dxa"/>
        <w:tblLayout w:type="fixed"/>
        <w:tblCellMar>
          <w:top w:w="0" w:type="dxa"/>
          <w:left w:w="108" w:type="dxa"/>
          <w:bottom w:w="0" w:type="dxa"/>
          <w:right w:w="108" w:type="dxa"/>
        </w:tblCellMar>
      </w:tblPr>
      <w:tblGrid>
        <w:gridCol w:w="468"/>
        <w:gridCol w:w="729"/>
        <w:gridCol w:w="768"/>
        <w:gridCol w:w="699"/>
        <w:gridCol w:w="759"/>
        <w:gridCol w:w="10751"/>
      </w:tblGrid>
      <w:tr>
        <w:tblPrEx>
          <w:tblCellMar>
            <w:top w:w="0" w:type="dxa"/>
            <w:left w:w="108" w:type="dxa"/>
            <w:bottom w:w="0" w:type="dxa"/>
            <w:right w:w="108" w:type="dxa"/>
          </w:tblCellMar>
        </w:tblPrEx>
        <w:trPr>
          <w:trHeight w:val="300" w:hRule="atLeast"/>
        </w:trPr>
        <w:tc>
          <w:tcPr>
            <w:tcW w:w="46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729"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宋体" w:hAnsi="宋体" w:cs="宋体"/>
                <w:b/>
                <w:bCs/>
                <w:color w:val="000000"/>
                <w:kern w:val="0"/>
                <w:sz w:val="20"/>
                <w:szCs w:val="20"/>
              </w:rPr>
            </w:pPr>
            <w:r>
              <w:rPr>
                <w:rFonts w:hint="eastAsia" w:ascii="宋体" w:hAnsi="宋体" w:cs="宋体"/>
                <w:b/>
                <w:bCs/>
                <w:color w:val="000000"/>
                <w:kern w:val="0"/>
                <w:sz w:val="20"/>
                <w:szCs w:val="20"/>
              </w:rPr>
              <w:t>应用</w:t>
            </w:r>
          </w:p>
        </w:tc>
        <w:tc>
          <w:tcPr>
            <w:tcW w:w="2226" w:type="dxa"/>
            <w:gridSpan w:val="3"/>
            <w:tcBorders>
              <w:top w:val="single" w:color="auto" w:sz="4" w:space="0"/>
              <w:left w:val="nil"/>
              <w:bottom w:val="single" w:color="auto" w:sz="4" w:space="0"/>
              <w:right w:val="single" w:color="auto" w:sz="4" w:space="0"/>
            </w:tcBorders>
            <w:noWrap w:val="0"/>
            <w:vAlign w:val="center"/>
          </w:tcPr>
          <w:p>
            <w:pPr>
              <w:widowControl/>
              <w:snapToGrid w:val="0"/>
              <w:jc w:val="center"/>
              <w:rPr>
                <w:rFonts w:ascii="宋体" w:hAnsi="宋体" w:cs="宋体"/>
                <w:b/>
                <w:bCs/>
                <w:color w:val="000000"/>
                <w:kern w:val="0"/>
                <w:sz w:val="20"/>
                <w:szCs w:val="20"/>
              </w:rPr>
            </w:pPr>
            <w:r>
              <w:rPr>
                <w:rFonts w:hint="eastAsia" w:ascii="宋体" w:hAnsi="宋体" w:cs="宋体"/>
                <w:b/>
                <w:bCs/>
                <w:color w:val="000000"/>
                <w:kern w:val="0"/>
                <w:sz w:val="20"/>
                <w:szCs w:val="20"/>
              </w:rPr>
              <w:t>功能模块</w:t>
            </w:r>
          </w:p>
        </w:tc>
        <w:tc>
          <w:tcPr>
            <w:tcW w:w="10751"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宋体" w:hAnsi="宋体" w:cs="宋体"/>
                <w:b/>
                <w:bCs/>
                <w:color w:val="000000"/>
                <w:kern w:val="0"/>
                <w:sz w:val="20"/>
                <w:szCs w:val="20"/>
              </w:rPr>
            </w:pPr>
            <w:r>
              <w:rPr>
                <w:rFonts w:hint="eastAsia" w:ascii="宋体" w:hAnsi="宋体" w:cs="宋体"/>
                <w:b/>
                <w:bCs/>
                <w:color w:val="000000"/>
                <w:kern w:val="0"/>
                <w:sz w:val="20"/>
                <w:szCs w:val="20"/>
              </w:rPr>
              <w:t>功能描述</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 </w:t>
            </w:r>
          </w:p>
        </w:tc>
        <w:tc>
          <w:tcPr>
            <w:tcW w:w="729"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业务中台</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通用中心</w:t>
            </w: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用户体系</w:t>
            </w:r>
          </w:p>
        </w:tc>
        <w:tc>
          <w:tcPr>
            <w:tcW w:w="10751" w:type="dxa"/>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支持系统所有用户的管理，包括管理人员账号和居民账号。</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 </w:t>
            </w:r>
          </w:p>
        </w:tc>
        <w:tc>
          <w:tcPr>
            <w:tcW w:w="72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组织架构</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支持对管理人员组织架构的统一维护管理，从而进行组织架构内人员的管理权限分配。</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3 </w:t>
            </w:r>
          </w:p>
        </w:tc>
        <w:tc>
          <w:tcPr>
            <w:tcW w:w="72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角色管理</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支持账号、角色和权限的三级管理。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 支持对系统内各业务模块进行角色的权限划分，不同角色配置不同的管理使用权；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 支持账号与角色的自定义分配；</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 支持角色继承。</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4 </w:t>
            </w:r>
          </w:p>
        </w:tc>
        <w:tc>
          <w:tcPr>
            <w:tcW w:w="72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字典管理</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支持对系统内的数据进行字段维护和管理，包括居民类别、车辆类别、房源类别和信息来源等。</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5 </w:t>
            </w:r>
          </w:p>
        </w:tc>
        <w:tc>
          <w:tcPr>
            <w:tcW w:w="72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脱敏管理</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支持管理和设置敏感词汇。</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6 </w:t>
            </w:r>
          </w:p>
        </w:tc>
        <w:tc>
          <w:tcPr>
            <w:tcW w:w="72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项目配置</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支持对系统内的资产审批业务进行开启和关闭的权限管控。</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7 </w:t>
            </w:r>
          </w:p>
        </w:tc>
        <w:tc>
          <w:tcPr>
            <w:tcW w:w="72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审批配置</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支持系统内空间资产管理、合同审批业务等审批流程的自定义配置。</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8 </w:t>
            </w:r>
          </w:p>
        </w:tc>
        <w:tc>
          <w:tcPr>
            <w:tcW w:w="72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合同配置</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(1) 支持合同模板中的基础信息、合同日期、金额比例根据合同审批自动生成，且支持模板重要字段的拖拉拽；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 支持字段的自定义添加。</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9 </w:t>
            </w:r>
          </w:p>
        </w:tc>
        <w:tc>
          <w:tcPr>
            <w:tcW w:w="72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业务配置</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(1) 支持与物联网系统的接入信息配置；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 支持支付账户秘钥信息的配置管理和维护。</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10 </w:t>
            </w:r>
          </w:p>
        </w:tc>
        <w:tc>
          <w:tcPr>
            <w:tcW w:w="72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多租户管理</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(1) 支持不同租户的数据隔离；</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 支持租户个性化的权限管理 。</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12 </w:t>
            </w:r>
          </w:p>
        </w:tc>
        <w:tc>
          <w:tcPr>
            <w:tcW w:w="72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768"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auto"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接口管理</w:t>
            </w:r>
          </w:p>
        </w:tc>
        <w:tc>
          <w:tcPr>
            <w:tcW w:w="10751" w:type="dxa"/>
            <w:tcBorders>
              <w:top w:val="nil"/>
              <w:left w:val="nil"/>
              <w:bottom w:val="single" w:color="auto"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支持统一API接口的服务，用于社区后续软件和硬件的对接。</w:t>
            </w:r>
          </w:p>
        </w:tc>
      </w:tr>
      <w:tr>
        <w:tblPrEx>
          <w:tblCellMar>
            <w:top w:w="0" w:type="dxa"/>
            <w:left w:w="108" w:type="dxa"/>
            <w:bottom w:w="0" w:type="dxa"/>
            <w:right w:w="108" w:type="dxa"/>
          </w:tblCellMar>
        </w:tblPrEx>
        <w:trPr>
          <w:trHeight w:val="300" w:hRule="atLeast"/>
        </w:trPr>
        <w:tc>
          <w:tcPr>
            <w:tcW w:w="4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13 </w:t>
            </w:r>
          </w:p>
        </w:tc>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76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Web端后台管理系统</w:t>
            </w:r>
          </w:p>
        </w:tc>
        <w:tc>
          <w:tcPr>
            <w:tcW w:w="107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支持网页版系统登录，管理系统操作人员的不同权限的登录及各项系统业务数据的管理功能；支持系统内二级功能菜单管理和跳转。</w:t>
            </w:r>
          </w:p>
        </w:tc>
      </w:tr>
      <w:tr>
        <w:tblPrEx>
          <w:tblCellMar>
            <w:top w:w="0" w:type="dxa"/>
            <w:left w:w="108" w:type="dxa"/>
            <w:bottom w:w="0" w:type="dxa"/>
            <w:right w:w="108" w:type="dxa"/>
          </w:tblCellMar>
        </w:tblPrEx>
        <w:trPr>
          <w:trHeight w:val="300" w:hRule="atLeast"/>
        </w:trPr>
        <w:tc>
          <w:tcPr>
            <w:tcW w:w="4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14 </w:t>
            </w:r>
          </w:p>
        </w:tc>
        <w:tc>
          <w:tcPr>
            <w:tcW w:w="729"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768" w:type="dxa"/>
            <w:vMerge w:val="restart"/>
            <w:tcBorders>
              <w:top w:val="single" w:color="auto" w:sz="4" w:space="0"/>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业务中心</w:t>
            </w:r>
          </w:p>
        </w:tc>
        <w:tc>
          <w:tcPr>
            <w:tcW w:w="1458" w:type="dxa"/>
            <w:gridSpan w:val="2"/>
            <w:tcBorders>
              <w:top w:val="single" w:color="auto"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API网关</w:t>
            </w:r>
          </w:p>
        </w:tc>
        <w:tc>
          <w:tcPr>
            <w:tcW w:w="10751" w:type="dxa"/>
            <w:tcBorders>
              <w:top w:val="single" w:color="auto" w:sz="4" w:space="0"/>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通过统一的API网关进行服务能力的共享，提供发布、管理、保护和监控API的能力，实现跨系统、跨协议的服务能力互通。根据业务场景进行通用能力与上层应用的本地化实施建设。</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15 </w:t>
            </w:r>
          </w:p>
        </w:tc>
        <w:tc>
          <w:tcPr>
            <w:tcW w:w="72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76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应用管理服务</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基于通用能力中心提供的组件，构建统一的应用服务，支撑前台的业务流程。根据业务场景进行通用能力与上层应用的本地化实施建设。</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16 </w:t>
            </w:r>
          </w:p>
        </w:tc>
        <w:tc>
          <w:tcPr>
            <w:tcW w:w="72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768" w:type="dxa"/>
            <w:vMerge w:val="continue"/>
            <w:tcBorders>
              <w:top w:val="nil"/>
              <w:left w:val="single" w:color="000000" w:sz="4" w:space="0"/>
              <w:bottom w:val="single" w:color="auto"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auto"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密钥授权服务</w:t>
            </w:r>
          </w:p>
        </w:tc>
        <w:tc>
          <w:tcPr>
            <w:tcW w:w="10751" w:type="dxa"/>
            <w:tcBorders>
              <w:top w:val="nil"/>
              <w:left w:val="nil"/>
              <w:bottom w:val="single" w:color="auto"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用于发行和管理社区内所有的用户的密钥，进行密钥统一管理。根据业务场景进行通用能力与上层应用的本地化实施建设。</w:t>
            </w:r>
          </w:p>
        </w:tc>
      </w:tr>
      <w:tr>
        <w:tblPrEx>
          <w:tblCellMar>
            <w:top w:w="0" w:type="dxa"/>
            <w:left w:w="108" w:type="dxa"/>
            <w:bottom w:w="0" w:type="dxa"/>
            <w:right w:w="108" w:type="dxa"/>
          </w:tblCellMar>
        </w:tblPrEx>
        <w:trPr>
          <w:trHeight w:val="300" w:hRule="atLeast"/>
        </w:trPr>
        <w:tc>
          <w:tcPr>
            <w:tcW w:w="4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17 </w:t>
            </w:r>
          </w:p>
        </w:tc>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76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消息服务</w:t>
            </w:r>
          </w:p>
        </w:tc>
        <w:tc>
          <w:tcPr>
            <w:tcW w:w="107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可以管理所有通过系统分发消息的消息源，支持消息源的注册、编辑等功能，通过消息源的注册、发布、审批等功能对外提供消息分发接口，实现各类业务系统消息分发。根据业务场景进行通用能力与上层应用的本地化实施建设。</w:t>
            </w:r>
          </w:p>
        </w:tc>
      </w:tr>
      <w:tr>
        <w:tblPrEx>
          <w:tblCellMar>
            <w:top w:w="0" w:type="dxa"/>
            <w:left w:w="108" w:type="dxa"/>
            <w:bottom w:w="0" w:type="dxa"/>
            <w:right w:w="108" w:type="dxa"/>
          </w:tblCellMar>
        </w:tblPrEx>
        <w:trPr>
          <w:trHeight w:val="300" w:hRule="atLeast"/>
        </w:trPr>
        <w:tc>
          <w:tcPr>
            <w:tcW w:w="4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18 </w:t>
            </w:r>
          </w:p>
        </w:tc>
        <w:tc>
          <w:tcPr>
            <w:tcW w:w="729"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768" w:type="dxa"/>
            <w:vMerge w:val="restart"/>
            <w:tcBorders>
              <w:top w:val="single" w:color="auto" w:sz="4" w:space="0"/>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领域中心</w:t>
            </w:r>
          </w:p>
        </w:tc>
        <w:tc>
          <w:tcPr>
            <w:tcW w:w="1458" w:type="dxa"/>
            <w:gridSpan w:val="2"/>
            <w:tcBorders>
              <w:top w:val="single" w:color="auto"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消息中心</w:t>
            </w:r>
          </w:p>
        </w:tc>
        <w:tc>
          <w:tcPr>
            <w:tcW w:w="10751" w:type="dxa"/>
            <w:tcBorders>
              <w:top w:val="single" w:color="auto" w:sz="4" w:space="0"/>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消息中心提供短信、微信、站内信多种通道的管理和对接，以及对应渠道模板管理。通过配置实现灵活的消息触达。通知服务为用户提供消息分发情况监测的功能，并在发送失败时进行报警。提供系统配置与日志下载/管理接口，方便进行配置和日志审计。根据业务场景进行通用能力与上层应用的本地化实施建设。</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19 </w:t>
            </w:r>
          </w:p>
        </w:tc>
        <w:tc>
          <w:tcPr>
            <w:tcW w:w="72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76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积分中心</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支持各类积分信息的统一管理，以积分银行的概念构建虚拟银行，不同应用通过积分汇率把积分的产生和消亡汇聚到积分银行里，统一积分运营，用积分窜起服务。</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20 </w:t>
            </w:r>
          </w:p>
        </w:tc>
        <w:tc>
          <w:tcPr>
            <w:tcW w:w="72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76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工单中心</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工单中心是社区用户和社区服务者对接的桥梁，社区用户点入服务台与客服产生互动时会生成工单。不同应用产生的工单通过开放系统接口汇聚在工单中心，服务台负责人和管理员可以查看工单详情，并导出历史数据。</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21 </w:t>
            </w:r>
          </w:p>
        </w:tc>
        <w:tc>
          <w:tcPr>
            <w:tcW w:w="72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76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活动中心</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对项目涉及的各类服务进行统一管理，支持活动类型分类、可指定活动可参与对象、审批规则、制定通知公告等，可定制调查问卷等。根据上层应用，沉淀相应能力到业务中台，并进行全领域共享。</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22 </w:t>
            </w:r>
          </w:p>
        </w:tc>
        <w:tc>
          <w:tcPr>
            <w:tcW w:w="72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76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用户中心</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不同应用间共用一套社区档案，整合不同应用间的用户管理功能，使管理员可以一次维护，多应用共享。</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23 </w:t>
            </w:r>
          </w:p>
        </w:tc>
        <w:tc>
          <w:tcPr>
            <w:tcW w:w="72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76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告警中心</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作为系统基础能力，提供标准API接口，供上层应用调用。支撑各类应用及设备产生的告警、处理功能，可对应用、设备、设施、事件等异常情况指定告警对象、方式、内容等。</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24 </w:t>
            </w:r>
          </w:p>
        </w:tc>
        <w:tc>
          <w:tcPr>
            <w:tcW w:w="72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数据中台</w:t>
            </w:r>
          </w:p>
        </w:tc>
        <w:tc>
          <w:tcPr>
            <w:tcW w:w="2226" w:type="dxa"/>
            <w:gridSpan w:val="3"/>
            <w:tcBorders>
              <w:top w:val="single" w:color="000000" w:sz="4" w:space="0"/>
              <w:left w:val="single" w:color="000000" w:sz="4" w:space="0"/>
              <w:bottom w:val="single" w:color="auto"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数据采集</w:t>
            </w:r>
          </w:p>
        </w:tc>
        <w:tc>
          <w:tcPr>
            <w:tcW w:w="10751" w:type="dxa"/>
            <w:tcBorders>
              <w:top w:val="nil"/>
              <w:left w:val="nil"/>
              <w:bottom w:val="single" w:color="auto"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提供可跨异构数据源的采集和集成能力，采用批量同步、增量同步、数据转换、整库迁移的同步方式及方案，将不同业务系统的业务数据统一集成，实现安全、稳定、灵活、快速地全领域数据汇聚，便于后续数据开发治理。</w:t>
            </w:r>
          </w:p>
        </w:tc>
      </w:tr>
      <w:tr>
        <w:tblPrEx>
          <w:tblCellMar>
            <w:top w:w="0" w:type="dxa"/>
            <w:left w:w="108" w:type="dxa"/>
            <w:bottom w:w="0" w:type="dxa"/>
            <w:right w:w="108" w:type="dxa"/>
          </w:tblCellMar>
        </w:tblPrEx>
        <w:trPr>
          <w:trHeight w:val="300" w:hRule="atLeast"/>
        </w:trPr>
        <w:tc>
          <w:tcPr>
            <w:tcW w:w="4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25 </w:t>
            </w:r>
          </w:p>
        </w:tc>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2226"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数据存储</w:t>
            </w:r>
          </w:p>
        </w:tc>
        <w:tc>
          <w:tcPr>
            <w:tcW w:w="107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照不同的应用和数据需求，采用不同的数据库和其他存储组件。事务型业务，存在大量的增、删、改、查操作，采用关系型数据库进行存储；分析型业务，需要满足大数据量的并行分析，采用分布式的分析型数据库进行存储。视频类的数据，提供高效的视频库，支撑上层应用对视频的读取、回放、快进等能力</w:t>
            </w:r>
          </w:p>
        </w:tc>
      </w:tr>
      <w:tr>
        <w:tblPrEx>
          <w:tblCellMar>
            <w:top w:w="0" w:type="dxa"/>
            <w:left w:w="108" w:type="dxa"/>
            <w:bottom w:w="0" w:type="dxa"/>
            <w:right w:w="108" w:type="dxa"/>
          </w:tblCellMar>
        </w:tblPrEx>
        <w:trPr>
          <w:trHeight w:val="300" w:hRule="atLeast"/>
        </w:trPr>
        <w:tc>
          <w:tcPr>
            <w:tcW w:w="4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26 </w:t>
            </w:r>
          </w:p>
        </w:tc>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768" w:type="dxa"/>
            <w:vMerge w:val="restart"/>
            <w:tcBorders>
              <w:top w:val="single" w:color="auto" w:sz="4" w:space="0"/>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数据支撑</w:t>
            </w:r>
          </w:p>
        </w:tc>
        <w:tc>
          <w:tcPr>
            <w:tcW w:w="1458" w:type="dxa"/>
            <w:gridSpan w:val="2"/>
            <w:tcBorders>
              <w:top w:val="single" w:color="auto"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数据开发</w:t>
            </w:r>
          </w:p>
        </w:tc>
        <w:tc>
          <w:tcPr>
            <w:tcW w:w="10751" w:type="dxa"/>
            <w:tcBorders>
              <w:top w:val="single" w:color="auto" w:sz="4" w:space="0"/>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数据开发是指基于智慧社区主题场景及数据源，从而设计指标逻辑，制作工作流，实现各级别的任务调度和逻辑控制的数据应用场景。</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27 </w:t>
            </w:r>
          </w:p>
        </w:tc>
        <w:tc>
          <w:tcPr>
            <w:tcW w:w="72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76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数据交换</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是按照统一的标准和规范，将政务、社区、建筑、交通、邻里等数据资源汇总到大数据平台，实现大洋未来社区信息资源的汇聚和传递，满足各个业务场景对批量和实时信息的横向交换和纵向传递的需求，同时对城市大脑、一体化智能化公共数据平台提供数据上传和数据下载。数据交换要保障数据在传输过程中“不错、不丢、不重”。</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28 </w:t>
            </w:r>
          </w:p>
        </w:tc>
        <w:tc>
          <w:tcPr>
            <w:tcW w:w="72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76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任务调度</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将数据仓内的数据处理任务按照定时、依赖关系进行配置；调度引擎将按照任务编排规则，对任务进行调度执行。任务调度支持跨系统调度和任务的依赖。支持定时调度、任务触发、依赖等能力。</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29 </w:t>
            </w:r>
          </w:p>
        </w:tc>
        <w:tc>
          <w:tcPr>
            <w:tcW w:w="72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76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数据可视化</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利用图形、图像处理、计算机视觉以及用户界面，通过表达、建模以及对立体、表面、属性以及动画的显示，对数据加以可视化解释。它借助图形化的手段，清晰有效地传达与沟通信息，帮助我们从信息中提取知识、从知识中收获价值。</w:t>
            </w:r>
          </w:p>
        </w:tc>
      </w:tr>
      <w:tr>
        <w:tblPrEx>
          <w:tblCellMar>
            <w:top w:w="0" w:type="dxa"/>
            <w:left w:w="108" w:type="dxa"/>
            <w:bottom w:w="0" w:type="dxa"/>
            <w:right w:w="108" w:type="dxa"/>
          </w:tblCellMar>
        </w:tblPrEx>
        <w:trPr>
          <w:trHeight w:val="564"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30 </w:t>
            </w:r>
          </w:p>
        </w:tc>
        <w:tc>
          <w:tcPr>
            <w:tcW w:w="72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768" w:type="dxa"/>
            <w:vMerge w:val="continue"/>
            <w:tcBorders>
              <w:top w:val="nil"/>
              <w:left w:val="single" w:color="000000" w:sz="4" w:space="0"/>
              <w:bottom w:val="single" w:color="auto"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auto"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数据服务</w:t>
            </w:r>
          </w:p>
        </w:tc>
        <w:tc>
          <w:tcPr>
            <w:tcW w:w="10751" w:type="dxa"/>
            <w:tcBorders>
              <w:top w:val="nil"/>
              <w:left w:val="nil"/>
              <w:bottom w:val="single" w:color="auto"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数据服务旨在为社区搭建统一的数据服务总线，帮助社区统一管理对内对外的API服务。数据服务模块可提供快速将数据表生成API的能力，同时支持快速注册现有的API至数据服务系统，进行统一的管理和发布。</w:t>
            </w:r>
          </w:p>
        </w:tc>
      </w:tr>
      <w:tr>
        <w:tblPrEx>
          <w:tblCellMar>
            <w:top w:w="0" w:type="dxa"/>
            <w:left w:w="108" w:type="dxa"/>
            <w:bottom w:w="0" w:type="dxa"/>
            <w:right w:w="108" w:type="dxa"/>
          </w:tblCellMar>
        </w:tblPrEx>
        <w:trPr>
          <w:trHeight w:val="300" w:hRule="atLeast"/>
        </w:trPr>
        <w:tc>
          <w:tcPr>
            <w:tcW w:w="4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31 </w:t>
            </w:r>
          </w:p>
        </w:tc>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768"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数据治理</w:t>
            </w:r>
          </w:p>
        </w:tc>
        <w:tc>
          <w:tcPr>
            <w:tcW w:w="699"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元数据</w:t>
            </w:r>
          </w:p>
        </w:tc>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技术元数据</w:t>
            </w:r>
          </w:p>
        </w:tc>
        <w:tc>
          <w:tcPr>
            <w:tcW w:w="107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技术元数据，通过自动采集集群的集群信息，任务信息、模型信息等，使开发人员了解，有哪些数据库，库中有哪些模型。以及这些数据库的基本信息，支撑数据的开发和可视化。</w:t>
            </w:r>
          </w:p>
        </w:tc>
      </w:tr>
      <w:tr>
        <w:tblPrEx>
          <w:tblCellMar>
            <w:top w:w="0" w:type="dxa"/>
            <w:left w:w="108" w:type="dxa"/>
            <w:bottom w:w="0" w:type="dxa"/>
            <w:right w:w="108" w:type="dxa"/>
          </w:tblCellMar>
        </w:tblPrEx>
        <w:trPr>
          <w:trHeight w:val="300" w:hRule="atLeast"/>
        </w:trPr>
        <w:tc>
          <w:tcPr>
            <w:tcW w:w="4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32 </w:t>
            </w:r>
          </w:p>
        </w:tc>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768" w:type="dxa"/>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699" w:type="dxa"/>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759" w:type="dxa"/>
            <w:tcBorders>
              <w:top w:val="single" w:color="auto"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业务元数据</w:t>
            </w:r>
          </w:p>
        </w:tc>
        <w:tc>
          <w:tcPr>
            <w:tcW w:w="10751" w:type="dxa"/>
            <w:tcBorders>
              <w:top w:val="single" w:color="auto" w:sz="4" w:space="0"/>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业务元数据，实现业务术语和数据库实体的对应关系。通过通用术语表定义企业级通用的术语和数据库中的表、字段之间的关系。通过自定义术语表定义自己或者本部门私有的术语和数据库中的表、字段之间的关系。通过业务属性和实体的对应关系配置，解决口径不统一的问题，达到理解统一、口径统一。</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33 </w:t>
            </w:r>
          </w:p>
        </w:tc>
        <w:tc>
          <w:tcPr>
            <w:tcW w:w="72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76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数据标准</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制定数据标准，规范各系统间的数据分类、定义、模型和取值，保证系统间数据的一致性、准确性和可靠性，为实现集中化的大数据管理和共享创造条件；指导数据仓库建设更加标准化，规范化。</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34 </w:t>
            </w:r>
          </w:p>
        </w:tc>
        <w:tc>
          <w:tcPr>
            <w:tcW w:w="72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76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数据质量</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数据质量管理是指对数据从计划、获取、存储、共享、维护、应用、消亡生命周期的每个阶段里可能引发的各类数据治理问题，进行识别、度量、监控、预警等一系列管理活动，并通过改善和提高组织的管理水平使得数据治理获得进一步提高。</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35 </w:t>
            </w:r>
          </w:p>
        </w:tc>
        <w:tc>
          <w:tcPr>
            <w:tcW w:w="72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76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数据安全</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数据安全模块针对数据资产的管理提供数据识别、敏感数据发现、数据分类分级、脱敏、访问监控等能力。同时数据安全也针对数据中台使用者进行用户权限管理，提供数据安全等级，方便管理者进行数据权限的管控。支持动态脱敏技术，数据存储不加密、不脱敏，但是通过查询语句查询出的数据将按照配置的脱敏规则，进行脱敏(例如：姓名字段“*”号代替)，实时脱敏能力大于1000条/秒。</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36 </w:t>
            </w:r>
          </w:p>
        </w:tc>
        <w:tc>
          <w:tcPr>
            <w:tcW w:w="72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76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数据生命周期</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根据数据所处的不同阶段、不同分层、数据内容等，制定相应的数据生命周期，定期自动清理、降低数据管理成本、获得最大数据价值。</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37 </w:t>
            </w:r>
          </w:p>
        </w:tc>
        <w:tc>
          <w:tcPr>
            <w:tcW w:w="72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768" w:type="dxa"/>
            <w:vMerge w:val="restart"/>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数据计算和分析</w:t>
            </w: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邻里数据模型</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1、新闻政策基础数据：对接临海发布、政府门户网站，为临洋之道提供基础的新闻、政策资源内容；</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2、家系列数据：对接宣传部家头条系统板块、临海发布；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3、临洋之帮数据：对接宣传部邻里帮系统板块、掌心临海系统板块；</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4、临洋之家数据：对接文广旅体局文e家数据；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5、基础数据模型：系统自循环板块数据，包含社区通知数据、活动数据、社团信息数据、好物共享数据等；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6、积分体系模型：建设居民积分体系，制定积分体系评分模型，支持多种应用场景下积分的获取及兑换。</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38 </w:t>
            </w:r>
          </w:p>
        </w:tc>
        <w:tc>
          <w:tcPr>
            <w:tcW w:w="72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76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教育数据模型</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1、图书馆基础数据模型：对接临海图书馆图书管理系统、门禁系统等，获取居民借书、还书、进出馆记录数据，以及未来社区服务系统侧心愿单数据等；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2、在线教育系统数据模型：课程表数据、课程预约数据、课程资源数据、直播数据等；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幸福学堂数据模型：党员教育、乐学课堂、颐养课堂、社团教学数据。</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39 </w:t>
            </w:r>
          </w:p>
        </w:tc>
        <w:tc>
          <w:tcPr>
            <w:tcW w:w="72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768" w:type="dxa"/>
            <w:vMerge w:val="continue"/>
            <w:tcBorders>
              <w:top w:val="nil"/>
              <w:left w:val="single" w:color="000000" w:sz="4" w:space="0"/>
              <w:bottom w:val="single" w:color="auto"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auto"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健康数据模型</w:t>
            </w:r>
          </w:p>
        </w:tc>
        <w:tc>
          <w:tcPr>
            <w:tcW w:w="10751" w:type="dxa"/>
            <w:tcBorders>
              <w:top w:val="nil"/>
              <w:left w:val="nil"/>
              <w:bottom w:val="single" w:color="auto"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1、建立社区居民全生命周期健康电子档案，接入临海市卫生健康局；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2、支持联动康洋小屋，通过监测数据来构建完整的健康档案以及慢病监控；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3、医疗平台数据模型：预约挂号、名医名院介绍、在线问诊数据，智能药柜对接运行数据；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3、支持对接临海居家养老大数据平台，创建“系统+服务+老人+终端”的智慧养老服务模式，实现“线上下单，老人线下体验服务”的功能。</w:t>
            </w:r>
          </w:p>
        </w:tc>
      </w:tr>
      <w:tr>
        <w:tblPrEx>
          <w:tblCellMar>
            <w:top w:w="0" w:type="dxa"/>
            <w:left w:w="108" w:type="dxa"/>
            <w:bottom w:w="0" w:type="dxa"/>
            <w:right w:w="108" w:type="dxa"/>
          </w:tblCellMar>
        </w:tblPrEx>
        <w:trPr>
          <w:trHeight w:val="300" w:hRule="atLeast"/>
        </w:trPr>
        <w:tc>
          <w:tcPr>
            <w:tcW w:w="4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40 </w:t>
            </w:r>
          </w:p>
        </w:tc>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76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创业数据模型</w:t>
            </w:r>
          </w:p>
        </w:tc>
        <w:tc>
          <w:tcPr>
            <w:tcW w:w="107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1、共享双创空间基础数据、会议室预约数据、会议室智能硬件的应用数据，建设“双创”空间，为创业者提供创业空间；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2、建立金融服务一张图，包括银行优惠政策、金融小微贷款系统对接，运行相关数据。</w:t>
            </w:r>
          </w:p>
        </w:tc>
      </w:tr>
      <w:tr>
        <w:tblPrEx>
          <w:tblCellMar>
            <w:top w:w="0" w:type="dxa"/>
            <w:left w:w="108" w:type="dxa"/>
            <w:bottom w:w="0" w:type="dxa"/>
            <w:right w:w="108" w:type="dxa"/>
          </w:tblCellMar>
        </w:tblPrEx>
        <w:trPr>
          <w:trHeight w:val="300" w:hRule="atLeast"/>
        </w:trPr>
        <w:tc>
          <w:tcPr>
            <w:tcW w:w="4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41 </w:t>
            </w:r>
          </w:p>
        </w:tc>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768" w:type="dxa"/>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auto"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建筑数据模型</w:t>
            </w:r>
          </w:p>
        </w:tc>
        <w:tc>
          <w:tcPr>
            <w:tcW w:w="10751" w:type="dxa"/>
            <w:tcBorders>
              <w:top w:val="single" w:color="auto" w:sz="4" w:space="0"/>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构建未来社区三维系统，以数字信息模型对社区建筑进行数字身份证建设，实现了对建筑的数字化管理；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2、根据项目实际情况，按需补充将城市道路设施、市政设施、通信设施、感知设施、车辆等数字化信息；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3、根据项目实际调研情况，支持IOT物联网设备数据的接入，实现对建设状态信息的采集和分析。</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42 </w:t>
            </w:r>
          </w:p>
        </w:tc>
        <w:tc>
          <w:tcPr>
            <w:tcW w:w="72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76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交通数据模型</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1、智慧停车：接入社区智慧停车数据，对停车资源、车辆进出信息进行对接，并能根据消费情况进行车位、车辆的画像分析；</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2、消防通道违停管理：接入社区监控告警数据，对违停车辆信息进行对接，并能推送违停情况给物业管理人员，同时告知车主及时驶离。统计违停数据、业务处理数据信息。</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43 </w:t>
            </w:r>
          </w:p>
        </w:tc>
        <w:tc>
          <w:tcPr>
            <w:tcW w:w="72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76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低碳数据模型</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1、智慧照明：接入智慧照明管理系统，展示路灯设备的在线率、亮灯率、能耗等数据；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2、充电桩：接入智能充电桩管理系统，展示对充电点位数的统计，以及充电桩报警监测；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公共用水用电：统计总用水量、公共用水计量数据接入及账单缴费、各（类）地块用水占比、公区的建筑用电统计、建筑用电趋势、分项用电占比、智慧照明发电、充电桩用电数据接入及展示、其他公共用电等内容监测。</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44 </w:t>
            </w:r>
          </w:p>
        </w:tc>
        <w:tc>
          <w:tcPr>
            <w:tcW w:w="72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76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服务数据模型</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1、物业管理基础数据模型：通知发布情况、报修工单处理情况、物业费用账单及缴纳数据、计量表、运行设备、服务评价、装修、租赁信息等数据构成；</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2、全域安防数据模型：社区全域安防监控、高空抛物、巡更巡检、道闸门禁等数据信息。</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45 </w:t>
            </w:r>
          </w:p>
        </w:tc>
        <w:tc>
          <w:tcPr>
            <w:tcW w:w="72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76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治理数据模型</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1、党建基础数据模型：党组织信息、党员信息、党建活动信息、党建学习、党建积分数据构成；</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2、业主自治数据模型：涵盖随手拍事件流转模型、业委会信息、业主投票数据信息；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3、社区应急管控数据模型：基础管控的一人一档、一车一档、一房一档、一位一档、事件中心数据信息；重点管控的重点人员监控、走失人员查找数据信息。</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46 </w:t>
            </w:r>
          </w:p>
        </w:tc>
        <w:tc>
          <w:tcPr>
            <w:tcW w:w="72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AIOT中台</w:t>
            </w:r>
          </w:p>
        </w:tc>
        <w:tc>
          <w:tcPr>
            <w:tcW w:w="768" w:type="dxa"/>
            <w:vMerge w:val="restart"/>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智能设备接入方式</w:t>
            </w: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直连接入</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支持设备以MQTT、CoAP\LwM2M、HTTP、TCP等四种协议，通过设备直接的方式接入物联网系统。</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47 </w:t>
            </w:r>
          </w:p>
        </w:tc>
        <w:tc>
          <w:tcPr>
            <w:tcW w:w="72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76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通过边缘网关接入</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针对部分设备无法通过直连方式接入到系统，系统也支持此类设备挂载在网关上，作为网关的子设备，由网关代为接入至系统。</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48 </w:t>
            </w:r>
          </w:p>
        </w:tc>
        <w:tc>
          <w:tcPr>
            <w:tcW w:w="72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76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第三方平台接入</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支持第三方平台通过MQTT（S）、HTTP（S）的方式接入。设备接入第三方平台，第三方平台再接入物联网平台，执行设备注册、设备激活、设备数据上报等业务。当下发命令时，应用调用物联网平台开放的API，物联网平台将指令下发给第三方平台，第三方平台再将指令下发给设备终端。</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49 </w:t>
            </w:r>
          </w:p>
        </w:tc>
        <w:tc>
          <w:tcPr>
            <w:tcW w:w="72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76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多网络接入</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支持有线和无线的接入方式，如固定宽带、2G/3G/4G/5G、NB-IoT、WIFI、Cat.1等。</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50 </w:t>
            </w:r>
          </w:p>
        </w:tc>
        <w:tc>
          <w:tcPr>
            <w:tcW w:w="72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76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多类型接入</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支持多样化的设备类型，如传感器、边缘网关、行业终端、智能设备、DTU、消费电子、模组固件等，支持多行业终端接入，如智慧水务、智慧工地、智慧土方、智慧环保等。</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51 </w:t>
            </w:r>
          </w:p>
        </w:tc>
        <w:tc>
          <w:tcPr>
            <w:tcW w:w="72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768" w:type="dxa"/>
            <w:vMerge w:val="restart"/>
            <w:tcBorders>
              <w:top w:val="nil"/>
              <w:left w:val="single" w:color="000000" w:sz="4" w:space="0"/>
              <w:bottom w:val="single" w:color="auto"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智能设备接入管理</w:t>
            </w:r>
          </w:p>
        </w:tc>
        <w:tc>
          <w:tcPr>
            <w:tcW w:w="1458" w:type="dxa"/>
            <w:gridSpan w:val="2"/>
            <w:tcBorders>
              <w:top w:val="single" w:color="000000" w:sz="4" w:space="0"/>
              <w:left w:val="nil"/>
              <w:bottom w:val="single" w:color="auto"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通讯协议</w:t>
            </w:r>
          </w:p>
        </w:tc>
        <w:tc>
          <w:tcPr>
            <w:tcW w:w="10751" w:type="dxa"/>
            <w:tcBorders>
              <w:top w:val="nil"/>
              <w:left w:val="nil"/>
              <w:bottom w:val="single" w:color="auto"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物联网系统支持多种通讯协议，包括如MQTT、CoAP/LwM2M、HTTP、TCP等，也支持其他协议通过适配方式接入。</w:t>
            </w:r>
          </w:p>
        </w:tc>
      </w:tr>
      <w:tr>
        <w:tblPrEx>
          <w:tblCellMar>
            <w:top w:w="0" w:type="dxa"/>
            <w:left w:w="108" w:type="dxa"/>
            <w:bottom w:w="0" w:type="dxa"/>
            <w:right w:w="108" w:type="dxa"/>
          </w:tblCellMar>
        </w:tblPrEx>
        <w:trPr>
          <w:trHeight w:val="300" w:hRule="atLeast"/>
        </w:trPr>
        <w:tc>
          <w:tcPr>
            <w:tcW w:w="4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52 </w:t>
            </w:r>
          </w:p>
        </w:tc>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76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MQTT协议</w:t>
            </w:r>
          </w:p>
        </w:tc>
        <w:tc>
          <w:tcPr>
            <w:tcW w:w="107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物联网系统支持设备使用MQTT协议接入。MQTT是基于TCP/IP协议栈构建的异步通信消息协议，是一种轻量级的发布/订阅信息传输协议。MQTT在时间和空间上，将消息发送者与接受者分离，可以在不可靠的网络环境中进行扩展。适用于设备硬件存储空间有限或网络带宽有限的场景。</w:t>
            </w:r>
          </w:p>
        </w:tc>
      </w:tr>
      <w:tr>
        <w:tblPrEx>
          <w:tblCellMar>
            <w:top w:w="0" w:type="dxa"/>
            <w:left w:w="108" w:type="dxa"/>
            <w:bottom w:w="0" w:type="dxa"/>
            <w:right w:w="108" w:type="dxa"/>
          </w:tblCellMar>
        </w:tblPrEx>
        <w:trPr>
          <w:trHeight w:val="300" w:hRule="atLeast"/>
        </w:trPr>
        <w:tc>
          <w:tcPr>
            <w:tcW w:w="4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53 </w:t>
            </w:r>
          </w:p>
        </w:tc>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768" w:type="dxa"/>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auto"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CoAP/LwM2M</w:t>
            </w:r>
          </w:p>
        </w:tc>
        <w:tc>
          <w:tcPr>
            <w:tcW w:w="10751" w:type="dxa"/>
            <w:tcBorders>
              <w:top w:val="single" w:color="auto" w:sz="4" w:space="0"/>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物联网系统支持CoAP/LwM2M协议连接通信。CoAP协议适用在资源受限的低功耗设备上，尤其是NB-IoT的设备使用。LwM2M（LightweightMachinetoMachine）协议是基于传输层CoAP协议的应用层协议，该协议是由OMA（OpenMobileAlliance）提出并定义的适用于资源有限的终端设备管理的轻量级物联网协议，主要面向基于蜂窝的窄带物联网（NarrowBandInternetofThings,NB-IoT）场景下物联网应用，聚焦于低功耗广覆盖物联网市场，是一种可在全球范围内广泛应用的新兴技术。</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54 </w:t>
            </w:r>
          </w:p>
        </w:tc>
        <w:tc>
          <w:tcPr>
            <w:tcW w:w="72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76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HTTP协议</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物联网系统支持HTTP协议规范。</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55 </w:t>
            </w:r>
          </w:p>
        </w:tc>
        <w:tc>
          <w:tcPr>
            <w:tcW w:w="72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76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TCP协议</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物联网系统支持TCP协议直接接入，用户通过数据解析，使用自定义脚本的方式完成对设备数据的解析。</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56 </w:t>
            </w:r>
          </w:p>
        </w:tc>
        <w:tc>
          <w:tcPr>
            <w:tcW w:w="72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76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协议适配</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在特定场景下，有些设备可能无法直接接入物联网系统。此时，需要使用适配协议SDK，快速构建桥接服务，搭建设备或系统与物联网系统的双向数据通道。</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57 </w:t>
            </w:r>
          </w:p>
        </w:tc>
        <w:tc>
          <w:tcPr>
            <w:tcW w:w="72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76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物网协同</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物网协同提供物网关系管理、物联网卡资费查询、物联网用量查询等功能，实现“设备+网络”统一管理。</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58 </w:t>
            </w:r>
          </w:p>
        </w:tc>
        <w:tc>
          <w:tcPr>
            <w:tcW w:w="72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76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应用场景</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物联网系统可以实现设备与物联网卡的统一管理，适用于设备故障排查、物联网卡通信用量使用情况查询等，可有效提高设备的运维效率。基于设备采集的业务数据及网络参数数据，系统提供定位、离网、超套风险评估等功能。</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59 </w:t>
            </w:r>
          </w:p>
        </w:tc>
        <w:tc>
          <w:tcPr>
            <w:tcW w:w="72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76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核心能力</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物网信息：系统提供物网关系管理、设备通信状态、资费计划、用量使用情况查询等，帮助用户提高设备运维、运营效率；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故障处理：构建从管道至云端，从信令至行为，从异常风险威胁至管控拦截的全流程物联网业务异常管控体系；</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网络状态统计：具备设备网络状态检测能力，可查询设备蜂窝网络的会话信息；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LBS定位：提供基于基站的定位服务，设备接入即可查看位置信息。</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60 </w:t>
            </w:r>
          </w:p>
        </w:tc>
        <w:tc>
          <w:tcPr>
            <w:tcW w:w="72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76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设备安全管理</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设备安全管理是指物联网系统对接入系统的设备进行接入鉴权。对于不同接入方式的设备，接入鉴权方式也不同。</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61 </w:t>
            </w:r>
          </w:p>
        </w:tc>
        <w:tc>
          <w:tcPr>
            <w:tcW w:w="72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768" w:type="dxa"/>
            <w:vMerge w:val="restart"/>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物模型</w:t>
            </w: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物模型管理</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物联网系统提供物模型作为定义设备的数据模型，从属性、事件、服务三个维度进行配置，对设备的功能进行定义和描述。系统提供配置界面进行配置，配置完成后对数据模型进行发布，系统根据模型，自动生成协议解析代码对上传数据进行解析，若设备采用TCP协议接入系统，则需用户自己编写解析脚本，实现设备数据与物模型数据对应。系统支持二进制码流和JSON数据格式数据的解析。系统预置了多个行业领域100多个标准物模型，主要包含智慧城市的智慧消防、智慧水务、公共基础设施等，实现各行业终端设备数据接入标准化。</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62 </w:t>
            </w:r>
          </w:p>
        </w:tc>
        <w:tc>
          <w:tcPr>
            <w:tcW w:w="72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76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物模型定义</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物模型是设备在云端的功能描述，包括设备的属性、事件和服务。物联网系统通过定义一种物的描述语言来描述物模型，称之为TDL（即ThingDescriptionLanguage），采用JSON格式。</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63 </w:t>
            </w:r>
          </w:p>
        </w:tc>
        <w:tc>
          <w:tcPr>
            <w:tcW w:w="72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768" w:type="dxa"/>
            <w:vMerge w:val="continue"/>
            <w:tcBorders>
              <w:top w:val="nil"/>
              <w:left w:val="single" w:color="000000" w:sz="4" w:space="0"/>
              <w:bottom w:val="single" w:color="auto"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auto"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物模型格式</w:t>
            </w:r>
          </w:p>
        </w:tc>
        <w:tc>
          <w:tcPr>
            <w:tcW w:w="10751" w:type="dxa"/>
            <w:tcBorders>
              <w:top w:val="nil"/>
              <w:left w:val="nil"/>
              <w:bottom w:val="single" w:color="auto"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在设备品类的功能定义页面，单击查看物模型，查看JSON格式的TDL。</w:t>
            </w:r>
          </w:p>
        </w:tc>
      </w:tr>
      <w:tr>
        <w:tblPrEx>
          <w:tblCellMar>
            <w:top w:w="0" w:type="dxa"/>
            <w:left w:w="108" w:type="dxa"/>
            <w:bottom w:w="0" w:type="dxa"/>
            <w:right w:w="108" w:type="dxa"/>
          </w:tblCellMar>
        </w:tblPrEx>
        <w:trPr>
          <w:trHeight w:val="300" w:hRule="atLeast"/>
        </w:trPr>
        <w:tc>
          <w:tcPr>
            <w:tcW w:w="4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64 </w:t>
            </w:r>
          </w:p>
        </w:tc>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76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物模型编辑</w:t>
            </w:r>
          </w:p>
        </w:tc>
        <w:tc>
          <w:tcPr>
            <w:tcW w:w="107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系统提供物模型编辑功能，在系统预制的物模型不满足用户实际运用场景时，用户可在标准物模型的基础上自定义添加属性、事件和服务。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物模型支持标准化物模型，也支持在标准化物模型基础上修改或添加自定义物模型特征，也支持标准化映射模式自定义物模型。</w:t>
            </w:r>
          </w:p>
        </w:tc>
      </w:tr>
      <w:tr>
        <w:tblPrEx>
          <w:tblCellMar>
            <w:top w:w="0" w:type="dxa"/>
            <w:left w:w="108" w:type="dxa"/>
            <w:bottom w:w="0" w:type="dxa"/>
            <w:right w:w="108" w:type="dxa"/>
          </w:tblCellMar>
        </w:tblPrEx>
        <w:trPr>
          <w:trHeight w:val="300" w:hRule="atLeast"/>
        </w:trPr>
        <w:tc>
          <w:tcPr>
            <w:tcW w:w="4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65 </w:t>
            </w:r>
          </w:p>
        </w:tc>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768" w:type="dxa"/>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auto"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物模型发布</w:t>
            </w:r>
          </w:p>
        </w:tc>
        <w:tc>
          <w:tcPr>
            <w:tcW w:w="10751" w:type="dxa"/>
            <w:tcBorders>
              <w:top w:val="single" w:color="auto" w:sz="4" w:space="0"/>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系统提供物模型发布功能，在产品物模型定义完成后，用户可选择发布物模型，此后无法再修改物模型，如若想修改可撤销发布。</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66 </w:t>
            </w:r>
          </w:p>
        </w:tc>
        <w:tc>
          <w:tcPr>
            <w:tcW w:w="72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76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设备品类创建</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用户的最大资源集为设备品类，设备品类下资源包括设备、设备数据、设备权限、数据触发规则以及基于设备数据的应用等多种资源，用户可以创建多个设备品类。</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67 </w:t>
            </w:r>
          </w:p>
        </w:tc>
        <w:tc>
          <w:tcPr>
            <w:tcW w:w="72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768" w:type="dxa"/>
            <w:vMerge w:val="restart"/>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设备管理</w:t>
            </w: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设备全生命周期管理</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新建设备（设备注册）：通过新建设备功能，实现一个实际设备对应一个物联网系统设备。系统提供单个设备新建、批量导入以及自动生成三种方式，同时用户可以通过API或者控制台的途径新建设备，刚新建的设备为未激活状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设备激活：即设备端首次接入物联网系统，系统会记录该时间作为设备激活时间；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设备上线：即设备端接入物联网系统，设备状态显示为在线；</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设备下线：即设备端断开与物联网系统的连接，设备状态显示为离线；</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禁用设备：即禁止设备接入物联网系统；</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启用设备，即重新启用已被禁用设备，允许设备重新接入物联网系统。</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设备删除：将设备从物联网系统中删除。设备从物联网系统删除后，与该设备关联的其他信息也一并删除，将无法通过物联网系统执行与该设备关联的任何操作。</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68 </w:t>
            </w:r>
          </w:p>
        </w:tc>
        <w:tc>
          <w:tcPr>
            <w:tcW w:w="72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76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设备分组</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物联网系统通过标签实现设备分组功能，可以通过设备分组来进行跨产品管理设备。分组是一系列设备的集合，用户可以对应用下所有设备，根据区域、类型等不同规则进行分类建立分组，以便实现对海量设备的精细化管理。系统支持标签的增删改查操作，通过对设备打标签，可以快速筛选设备。在注册设备时为设备选择标签，或者在已经注册设备的“设备详情”中为设备选择标签，这样就可以在“所有设备”列表中通过标签筛选设备。</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69 </w:t>
            </w:r>
          </w:p>
        </w:tc>
        <w:tc>
          <w:tcPr>
            <w:tcW w:w="72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76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批量处理能力</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设备管理支持批量注册/新建设备，批量禁用/启用设备，批量删除设备，批量设置属性，批量调用设备服务。</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70 </w:t>
            </w:r>
          </w:p>
        </w:tc>
        <w:tc>
          <w:tcPr>
            <w:tcW w:w="72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76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拓扑关系</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物联网系统支持设备直连，也支持设备挂载在网关上，作为网关的子设备，由网关直连。网关与子设备的关系称为拓扑关系。拓扑关系可用于如接入Wi-Fi网关、蓝牙网关、ZigBee网关等场景。</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71 </w:t>
            </w:r>
          </w:p>
        </w:tc>
        <w:tc>
          <w:tcPr>
            <w:tcW w:w="72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76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地图服务</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物联网系统支持对设备的地址进行管理，设备在新建后可在设备详情页补充设备的地理位置信息，此外系统也会记录设备接入时的IP地址并进行定位，设备也可以通过物模型中地理位置信息的属性进行上报。</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72 </w:t>
            </w:r>
          </w:p>
        </w:tc>
        <w:tc>
          <w:tcPr>
            <w:tcW w:w="72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76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文件管理</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物联网系统支持对文件上传和下载功能，设备可通过HTTP/2流通道方式将文件上传至系统，用户也可从系统下载、删除文件。</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73 </w:t>
            </w:r>
          </w:p>
        </w:tc>
        <w:tc>
          <w:tcPr>
            <w:tcW w:w="72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76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设备数字影像</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设备数字影像，即设备影子，是一个JSON文档，系统为每个设备分配一个设备影子，用于存储设备上报属性和期望属性信息，缓存设备状态。</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74 </w:t>
            </w:r>
          </w:p>
        </w:tc>
        <w:tc>
          <w:tcPr>
            <w:tcW w:w="72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768" w:type="dxa"/>
            <w:vMerge w:val="continue"/>
            <w:tcBorders>
              <w:top w:val="nil"/>
              <w:left w:val="single" w:color="000000" w:sz="4" w:space="0"/>
              <w:bottom w:val="single" w:color="auto"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auto"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数据存储</w:t>
            </w:r>
          </w:p>
        </w:tc>
        <w:tc>
          <w:tcPr>
            <w:tcW w:w="10751" w:type="dxa"/>
            <w:tcBorders>
              <w:top w:val="nil"/>
              <w:left w:val="nil"/>
              <w:bottom w:val="single" w:color="auto"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系统提供提设备数据接收、命令下发功能和设备历史数据存储备份能力，可存储设备30天的历史数据，同时提供历史数据查看，导出等功能。</w:t>
            </w:r>
          </w:p>
        </w:tc>
      </w:tr>
      <w:tr>
        <w:tblPrEx>
          <w:tblCellMar>
            <w:top w:w="0" w:type="dxa"/>
            <w:left w:w="108" w:type="dxa"/>
            <w:bottom w:w="0" w:type="dxa"/>
            <w:right w:w="108" w:type="dxa"/>
          </w:tblCellMar>
        </w:tblPrEx>
        <w:trPr>
          <w:trHeight w:val="300" w:hRule="atLeast"/>
        </w:trPr>
        <w:tc>
          <w:tcPr>
            <w:tcW w:w="4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75 </w:t>
            </w:r>
          </w:p>
        </w:tc>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76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设备信息获取及下行控制</w:t>
            </w:r>
          </w:p>
        </w:tc>
        <w:tc>
          <w:tcPr>
            <w:tcW w:w="107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支持通过系统对接或直连终端设备上报获取设备信息；支持对物联网终端设备进行控制命令的下发操作，支持在设备管理系统进行单个设备或批量设备的下行控制，同时支持通过API接口由具有控制权限的其他业务系统对终端设备进行控制。</w:t>
            </w:r>
          </w:p>
        </w:tc>
      </w:tr>
      <w:tr>
        <w:tblPrEx>
          <w:tblCellMar>
            <w:top w:w="0" w:type="dxa"/>
            <w:left w:w="108" w:type="dxa"/>
            <w:bottom w:w="0" w:type="dxa"/>
            <w:right w:w="108" w:type="dxa"/>
          </w:tblCellMar>
        </w:tblPrEx>
        <w:trPr>
          <w:trHeight w:val="300" w:hRule="atLeast"/>
        </w:trPr>
        <w:tc>
          <w:tcPr>
            <w:tcW w:w="4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76 </w:t>
            </w:r>
          </w:p>
        </w:tc>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768" w:type="dxa"/>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auto"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固件升级</w:t>
            </w:r>
          </w:p>
        </w:tc>
        <w:tc>
          <w:tcPr>
            <w:tcW w:w="10751" w:type="dxa"/>
            <w:tcBorders>
              <w:top w:val="single" w:color="auto" w:sz="4" w:space="0"/>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支持通过OTA方式进行设备固件升级。升级前先在控制台上传新的固件，并将固件升级消息推送给设备，设备即可在线升级。固件升级支持bin、tar、gz、tar.gz、zip、gzip类型的文件；使用一个固件，可同时发起多个批次升级；使用不同固件，可对同一个待升级版本发起多个动态升级批次；设备在线时可以立即接收到升级通知；不在线的设备下次上线时，系统会再次推送升级通知。</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77 </w:t>
            </w:r>
          </w:p>
        </w:tc>
        <w:tc>
          <w:tcPr>
            <w:tcW w:w="72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768" w:type="dxa"/>
            <w:vMerge w:val="restart"/>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规则引擎</w:t>
            </w: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基于规则引擎的数据转发</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数据转发为用户提供数据流转的服务，帮助用户将设备消息进行筛选与分发，用户可以自定义数据筛选规则，转换数据格式，并将数据转发至北向应用中。通过该功能，减少了上层应用的数据处理量，继而提高了上层数据处理效率。目前支持HTTP推送将设备数据转发至第三方应用、消息队列订阅设备数据。</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78 </w:t>
            </w:r>
          </w:p>
        </w:tc>
        <w:tc>
          <w:tcPr>
            <w:tcW w:w="72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76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基于规则引擎的场景联动</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景联动是指通过条件触发，基于可视化的方式设定规则，实现设备联动与故障告警等业务场景。</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79 </w:t>
            </w:r>
          </w:p>
        </w:tc>
        <w:tc>
          <w:tcPr>
            <w:tcW w:w="72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76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基于规则引擎的告警管理</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针对物联网设备本身的运行情况进行监控和告警，系统提供不同维度的告警规则配置功能，包括设备离线、设备故障、低电量等维度的告警类型。</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80 </w:t>
            </w:r>
          </w:p>
        </w:tc>
        <w:tc>
          <w:tcPr>
            <w:tcW w:w="72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768" w:type="dxa"/>
            <w:vMerge w:val="restart"/>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运维管理</w:t>
            </w: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在线联调</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可设置模拟推送的内容、可选择推送方式</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81 </w:t>
            </w:r>
          </w:p>
        </w:tc>
        <w:tc>
          <w:tcPr>
            <w:tcW w:w="72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76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实时监控</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物联网系统提供在线设备数量、上下行消息数量、规则引擎流转消息次数、设备网络状态等指标数据的实时监控功能。同时，支持配置云监控报警规则，对物联网系统数据进行监控和报警。</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82 </w:t>
            </w:r>
          </w:p>
        </w:tc>
        <w:tc>
          <w:tcPr>
            <w:tcW w:w="72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768" w:type="dxa"/>
            <w:vMerge w:val="restart"/>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日志服务</w:t>
            </w: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系统日志</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系统日志记录了用户在系统的相关操作（只记录增、删、改操作，不记录查操作），比如在系统创建产品、删除设备等。</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83 </w:t>
            </w:r>
          </w:p>
        </w:tc>
        <w:tc>
          <w:tcPr>
            <w:tcW w:w="72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76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设备日志</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设备日志记录了设备与系统的交互。比如设备上传数据到系统、系统下发指令到设备等。</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84 </w:t>
            </w:r>
          </w:p>
        </w:tc>
        <w:tc>
          <w:tcPr>
            <w:tcW w:w="72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76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应用日志</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应用日志记录了第三方应用调系统API的操作。比如查看产品列表：product/listProducts。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支持日志搜索：日志的搜索是精确搜索，不支持模糊搜索。</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85 </w:t>
            </w:r>
          </w:p>
        </w:tc>
        <w:tc>
          <w:tcPr>
            <w:tcW w:w="72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768" w:type="dxa"/>
            <w:vMerge w:val="restart"/>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开放接口</w:t>
            </w: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开放API</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物联网系统提供非常丰富的开发接口可供第三方应用调用，包括提供云端管理产品、设备、分组、Topic、规则、设备影子等API接口，和从云端发布消息的API接口。向API的服务端地址发送HTTPS/HTTPGET或POST请求，并按照API接口说明，在请求中加入相应请求参数来调用API。物联网系统根据请求的处理情况，返回处理结果。</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86 </w:t>
            </w:r>
          </w:p>
        </w:tc>
        <w:tc>
          <w:tcPr>
            <w:tcW w:w="72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76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消息队列服务</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消息队列服务为物联网系统与应用服务器之间提供安全、标准化的消息通道。消息队列服务是一款企业级消息中间件，使用统一的消息接入机制，并具备消息发布订阅、Topic管理、用户权限管理、资源统计、监控报警等基础功能，以及消息轨迹、网络隔离等高级特性，为企业数据管理提供统一的消息通道。</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87 </w:t>
            </w:r>
          </w:p>
        </w:tc>
        <w:tc>
          <w:tcPr>
            <w:tcW w:w="72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76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HTTP客户端</w:t>
            </w:r>
          </w:p>
        </w:tc>
        <w:tc>
          <w:tcPr>
            <w:tcW w:w="10751"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把系统作为客户端，将设备相关信息以HTTP/HTTPS请求的方式，发送给第三方应用服务器，并支持在客户端中加载证书（服务器提供）。</w:t>
            </w:r>
          </w:p>
        </w:tc>
      </w:tr>
      <w:tr>
        <w:tblPrEx>
          <w:tblCellMar>
            <w:top w:w="0" w:type="dxa"/>
            <w:left w:w="108" w:type="dxa"/>
            <w:bottom w:w="0" w:type="dxa"/>
            <w:right w:w="108" w:type="dxa"/>
          </w:tblCellMar>
        </w:tblPrEx>
        <w:trPr>
          <w:trHeight w:val="300" w:hRule="atLeast"/>
        </w:trPr>
        <w:tc>
          <w:tcPr>
            <w:tcW w:w="468" w:type="dxa"/>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88 </w:t>
            </w:r>
          </w:p>
        </w:tc>
        <w:tc>
          <w:tcPr>
            <w:tcW w:w="72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768" w:type="dxa"/>
            <w:vMerge w:val="restart"/>
            <w:tcBorders>
              <w:top w:val="nil"/>
              <w:left w:val="single" w:color="000000" w:sz="4" w:space="0"/>
              <w:bottom w:val="single" w:color="auto"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统计报表</w:t>
            </w:r>
          </w:p>
        </w:tc>
        <w:tc>
          <w:tcPr>
            <w:tcW w:w="1458" w:type="dxa"/>
            <w:gridSpan w:val="2"/>
            <w:tcBorders>
              <w:top w:val="single" w:color="000000" w:sz="4" w:space="0"/>
              <w:left w:val="nil"/>
              <w:bottom w:val="single" w:color="auto"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设备统计</w:t>
            </w:r>
          </w:p>
        </w:tc>
        <w:tc>
          <w:tcPr>
            <w:tcW w:w="10751" w:type="dxa"/>
            <w:tcBorders>
              <w:top w:val="nil"/>
              <w:left w:val="nil"/>
              <w:bottom w:val="single" w:color="auto"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在设备统计报表上点击某个设备点位可以直接查看该设备最近一天的数据，可展示设备型号中的功能定义，展示对应的属性的值（以曲线或者表格的方式进行展示）。用户也可以检索到对应设备，查看设备详情</w:t>
            </w:r>
          </w:p>
        </w:tc>
      </w:tr>
      <w:tr>
        <w:tblPrEx>
          <w:tblCellMar>
            <w:top w:w="0" w:type="dxa"/>
            <w:left w:w="108" w:type="dxa"/>
            <w:bottom w:w="0" w:type="dxa"/>
            <w:right w:w="108" w:type="dxa"/>
          </w:tblCellMar>
        </w:tblPrEx>
        <w:trPr>
          <w:trHeight w:val="300" w:hRule="atLeast"/>
        </w:trPr>
        <w:tc>
          <w:tcPr>
            <w:tcW w:w="4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89 </w:t>
            </w:r>
          </w:p>
        </w:tc>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76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58"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数据统计</w:t>
            </w:r>
          </w:p>
        </w:tc>
        <w:tc>
          <w:tcPr>
            <w:tcW w:w="107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数据统计报表汇聚的物联感知数据、社会开放数据、政府存量数据，围绕数据呈现，进行数据基于GIS、图表等数字呈现手段等可视化配置编排工具，直观展示包括收发消息统计、API调用统计、命令状态统计以及物联感知数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数据统计报表提供了可视化编排工具，通过优异的可视化报表、图形化定义方式，可以使用户非常方便控制报表中内容的精确布局，也可以很方便地制作各种不同维度的报表内容。将包括表格、地图分布、文本内容等有用、关键的信息集成在看板上。</w:t>
            </w:r>
          </w:p>
        </w:tc>
      </w:tr>
    </w:tbl>
    <w:p>
      <w:pPr>
        <w:ind w:firstLine="480"/>
      </w:pPr>
    </w:p>
    <w:p>
      <w:pPr>
        <w:pStyle w:val="4"/>
        <w:spacing w:before="0" w:after="0" w:line="440" w:lineRule="exact"/>
      </w:pPr>
      <w:r>
        <w:rPr>
          <w:rFonts w:hint="eastAsia" w:ascii="宋体" w:hAnsi="宋体" w:eastAsia="宋体" w:cs="宋体"/>
          <w:sz w:val="24"/>
          <w:szCs w:val="24"/>
        </w:rPr>
        <w:t>社区微脑</w:t>
      </w:r>
    </w:p>
    <w:tbl>
      <w:tblPr>
        <w:tblStyle w:val="48"/>
        <w:tblW w:w="0" w:type="auto"/>
        <w:tblInd w:w="0" w:type="dxa"/>
        <w:tblLayout w:type="fixed"/>
        <w:tblCellMar>
          <w:top w:w="0" w:type="dxa"/>
          <w:left w:w="108" w:type="dxa"/>
          <w:bottom w:w="0" w:type="dxa"/>
          <w:right w:w="108" w:type="dxa"/>
        </w:tblCellMar>
      </w:tblPr>
      <w:tblGrid>
        <w:gridCol w:w="475"/>
        <w:gridCol w:w="1755"/>
        <w:gridCol w:w="1401"/>
        <w:gridCol w:w="1175"/>
        <w:gridCol w:w="9368"/>
      </w:tblGrid>
      <w:tr>
        <w:tblPrEx>
          <w:tblCellMar>
            <w:top w:w="0" w:type="dxa"/>
            <w:left w:w="108" w:type="dxa"/>
            <w:bottom w:w="0" w:type="dxa"/>
            <w:right w:w="108" w:type="dxa"/>
          </w:tblCellMar>
        </w:tblPrEx>
        <w:trPr>
          <w:trHeight w:val="300" w:hRule="atLeast"/>
        </w:trPr>
        <w:tc>
          <w:tcPr>
            <w:tcW w:w="4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b/>
                <w:bCs/>
                <w:color w:val="000000"/>
                <w:kern w:val="0"/>
                <w:sz w:val="20"/>
                <w:szCs w:val="20"/>
              </w:rPr>
            </w:pPr>
            <w:r>
              <w:rPr>
                <w:rFonts w:hint="eastAsia" w:ascii="宋体" w:hAnsi="宋体" w:cs="宋体"/>
                <w:b/>
                <w:bCs/>
                <w:color w:val="000000"/>
                <w:kern w:val="0"/>
                <w:sz w:val="20"/>
                <w:szCs w:val="20"/>
              </w:rPr>
              <w:t>应用</w:t>
            </w:r>
          </w:p>
        </w:tc>
        <w:tc>
          <w:tcPr>
            <w:tcW w:w="2576" w:type="dxa"/>
            <w:gridSpan w:val="2"/>
            <w:tcBorders>
              <w:top w:val="single" w:color="auto" w:sz="4" w:space="0"/>
              <w:left w:val="nil"/>
              <w:bottom w:val="single" w:color="auto" w:sz="4" w:space="0"/>
              <w:right w:val="single" w:color="auto" w:sz="4" w:space="0"/>
            </w:tcBorders>
            <w:noWrap w:val="0"/>
            <w:vAlign w:val="center"/>
          </w:tcPr>
          <w:p>
            <w:pPr>
              <w:widowControl/>
              <w:snapToGrid w:val="0"/>
              <w:jc w:val="center"/>
              <w:rPr>
                <w:rFonts w:ascii="宋体" w:hAnsi="宋体" w:cs="宋体"/>
                <w:b/>
                <w:bCs/>
                <w:color w:val="000000"/>
                <w:kern w:val="0"/>
                <w:sz w:val="20"/>
                <w:szCs w:val="20"/>
              </w:rPr>
            </w:pPr>
            <w:r>
              <w:rPr>
                <w:rFonts w:hint="eastAsia" w:ascii="宋体" w:hAnsi="宋体" w:cs="宋体"/>
                <w:b/>
                <w:bCs/>
                <w:color w:val="000000"/>
                <w:kern w:val="0"/>
                <w:sz w:val="20"/>
                <w:szCs w:val="20"/>
              </w:rPr>
              <w:t>功能模块</w:t>
            </w:r>
          </w:p>
        </w:tc>
        <w:tc>
          <w:tcPr>
            <w:tcW w:w="9368"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宋体" w:hAnsi="宋体" w:cs="宋体"/>
                <w:b/>
                <w:bCs/>
                <w:color w:val="000000"/>
                <w:kern w:val="0"/>
                <w:sz w:val="20"/>
                <w:szCs w:val="20"/>
              </w:rPr>
            </w:pPr>
            <w:r>
              <w:rPr>
                <w:rFonts w:hint="eastAsia" w:ascii="宋体" w:hAnsi="宋体" w:cs="宋体"/>
                <w:b/>
                <w:bCs/>
                <w:color w:val="000000"/>
                <w:kern w:val="0"/>
                <w:sz w:val="20"/>
                <w:szCs w:val="20"/>
              </w:rPr>
              <w:t>功能描述</w:t>
            </w:r>
          </w:p>
        </w:tc>
      </w:tr>
      <w:tr>
        <w:tblPrEx>
          <w:tblCellMar>
            <w:top w:w="0" w:type="dxa"/>
            <w:left w:w="108" w:type="dxa"/>
            <w:bottom w:w="0" w:type="dxa"/>
            <w:right w:w="108" w:type="dxa"/>
          </w:tblCellMar>
        </w:tblPrEx>
        <w:trPr>
          <w:trHeight w:val="300" w:hRule="atLeast"/>
        </w:trPr>
        <w:tc>
          <w:tcPr>
            <w:tcW w:w="475"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 xml:space="preserve">1 </w:t>
            </w:r>
          </w:p>
        </w:tc>
        <w:tc>
          <w:tcPr>
            <w:tcW w:w="1755" w:type="dxa"/>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大数据可视化渲染系统</w:t>
            </w:r>
          </w:p>
        </w:tc>
        <w:tc>
          <w:tcPr>
            <w:tcW w:w="1401" w:type="dxa"/>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大数据可视化渲染系统(大数据分析决策系统)</w:t>
            </w:r>
          </w:p>
        </w:tc>
        <w:tc>
          <w:tcPr>
            <w:tcW w:w="1175" w:type="dxa"/>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368" w:type="dxa"/>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提供大数据可视化渲染系统(大数据分析决策系统)，包括：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1、服务后台管理；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2、场景与数据发布管理；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3、系统基础组件；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4、可视化场景渲染能力；</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图表分析能力等。针对使用者决策需求，基于其已有的数据沉淀，运用可视化软件技术，将行业数据转化为二、三维图形、图像，并运用颜色、透视、动画和观察视点的实时改变等视觉表现形式，最大限度地帮助决策者聚焦目标对象，从时间、空间、位置等多维层面洞察事物的运动轨迹和内部结构；模块特点多维直观、视觉炫酷、虚拟真实。</w:t>
            </w:r>
          </w:p>
        </w:tc>
      </w:tr>
      <w:tr>
        <w:tblPrEx>
          <w:tblCellMar>
            <w:top w:w="0" w:type="dxa"/>
            <w:left w:w="108" w:type="dxa"/>
            <w:bottom w:w="0" w:type="dxa"/>
            <w:right w:w="108" w:type="dxa"/>
          </w:tblCellMar>
        </w:tblPrEx>
        <w:trPr>
          <w:trHeight w:val="300" w:hRule="atLeast"/>
        </w:trPr>
        <w:tc>
          <w:tcPr>
            <w:tcW w:w="475"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 xml:space="preserve">2 </w:t>
            </w:r>
          </w:p>
        </w:tc>
        <w:tc>
          <w:tcPr>
            <w:tcW w:w="1755" w:type="dxa"/>
            <w:vMerge w:val="restart"/>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GIS数据服务、模型制作服务和场景定制融合服务</w:t>
            </w:r>
          </w:p>
        </w:tc>
        <w:tc>
          <w:tcPr>
            <w:tcW w:w="1401" w:type="dxa"/>
            <w:vMerge w:val="restart"/>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模型制作服务</w:t>
            </w:r>
          </w:p>
        </w:tc>
        <w:tc>
          <w:tcPr>
            <w:tcW w:w="1175" w:type="dxa"/>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室外人工模型制作</w:t>
            </w:r>
          </w:p>
        </w:tc>
        <w:tc>
          <w:tcPr>
            <w:tcW w:w="9368"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精细程度按照客户需求以及行业标准L1-L4进行制作</w:t>
            </w:r>
          </w:p>
        </w:tc>
      </w:tr>
      <w:tr>
        <w:tblPrEx>
          <w:tblCellMar>
            <w:top w:w="0" w:type="dxa"/>
            <w:left w:w="108" w:type="dxa"/>
            <w:bottom w:w="0" w:type="dxa"/>
            <w:right w:w="108" w:type="dxa"/>
          </w:tblCellMar>
        </w:tblPrEx>
        <w:trPr>
          <w:trHeight w:val="300" w:hRule="atLeast"/>
        </w:trPr>
        <w:tc>
          <w:tcPr>
            <w:tcW w:w="475"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 xml:space="preserve">3 </w:t>
            </w:r>
          </w:p>
        </w:tc>
        <w:tc>
          <w:tcPr>
            <w:tcW w:w="1755"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0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175" w:type="dxa"/>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室内人工模型制作</w:t>
            </w:r>
          </w:p>
        </w:tc>
        <w:tc>
          <w:tcPr>
            <w:tcW w:w="9368"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精细程度按照客户需求以及行业标准L1-L4进行制作</w:t>
            </w:r>
          </w:p>
        </w:tc>
      </w:tr>
      <w:tr>
        <w:tblPrEx>
          <w:tblCellMar>
            <w:top w:w="0" w:type="dxa"/>
            <w:left w:w="108" w:type="dxa"/>
            <w:bottom w:w="0" w:type="dxa"/>
            <w:right w:w="108" w:type="dxa"/>
          </w:tblCellMar>
        </w:tblPrEx>
        <w:trPr>
          <w:trHeight w:val="300" w:hRule="atLeast"/>
        </w:trPr>
        <w:tc>
          <w:tcPr>
            <w:tcW w:w="475"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 xml:space="preserve">4 </w:t>
            </w:r>
          </w:p>
        </w:tc>
        <w:tc>
          <w:tcPr>
            <w:tcW w:w="1755" w:type="dxa"/>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设计服务</w:t>
            </w:r>
          </w:p>
        </w:tc>
        <w:tc>
          <w:tcPr>
            <w:tcW w:w="1401" w:type="dxa"/>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界面和UI设计</w:t>
            </w:r>
          </w:p>
        </w:tc>
        <w:tc>
          <w:tcPr>
            <w:tcW w:w="1175" w:type="dxa"/>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界面和UI设计</w:t>
            </w:r>
          </w:p>
        </w:tc>
        <w:tc>
          <w:tcPr>
            <w:tcW w:w="9368"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整个系统UI图表、图标的画面带有科技感的操控</w:t>
            </w:r>
          </w:p>
        </w:tc>
      </w:tr>
      <w:tr>
        <w:tblPrEx>
          <w:tblCellMar>
            <w:top w:w="0" w:type="dxa"/>
            <w:left w:w="108" w:type="dxa"/>
            <w:bottom w:w="0" w:type="dxa"/>
            <w:right w:w="108" w:type="dxa"/>
          </w:tblCellMar>
        </w:tblPrEx>
        <w:trPr>
          <w:trHeight w:val="300" w:hRule="atLeast"/>
        </w:trPr>
        <w:tc>
          <w:tcPr>
            <w:tcW w:w="475"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 xml:space="preserve">5 </w:t>
            </w:r>
          </w:p>
        </w:tc>
        <w:tc>
          <w:tcPr>
            <w:tcW w:w="1755" w:type="dxa"/>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业务数据对接服务</w:t>
            </w:r>
          </w:p>
        </w:tc>
        <w:tc>
          <w:tcPr>
            <w:tcW w:w="1401" w:type="dxa"/>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业务调研</w:t>
            </w:r>
          </w:p>
        </w:tc>
        <w:tc>
          <w:tcPr>
            <w:tcW w:w="1175" w:type="dxa"/>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数据调研及手工录入指标</w:t>
            </w:r>
          </w:p>
        </w:tc>
        <w:tc>
          <w:tcPr>
            <w:tcW w:w="9368"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具体根据业主对接数据需求提供数据对接服务，按照省一体化智能化公共数据系统的数据归集要求，提供相应的数据归集功能。</w:t>
            </w:r>
          </w:p>
        </w:tc>
      </w:tr>
      <w:tr>
        <w:tblPrEx>
          <w:tblCellMar>
            <w:top w:w="0" w:type="dxa"/>
            <w:left w:w="108" w:type="dxa"/>
            <w:bottom w:w="0" w:type="dxa"/>
            <w:right w:w="108" w:type="dxa"/>
          </w:tblCellMar>
        </w:tblPrEx>
        <w:trPr>
          <w:trHeight w:val="300" w:hRule="atLeast"/>
        </w:trPr>
        <w:tc>
          <w:tcPr>
            <w:tcW w:w="475"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 xml:space="preserve">6 </w:t>
            </w:r>
          </w:p>
        </w:tc>
        <w:tc>
          <w:tcPr>
            <w:tcW w:w="1755" w:type="dxa"/>
            <w:vMerge w:val="restart"/>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场景功能定制开发服务</w:t>
            </w:r>
          </w:p>
        </w:tc>
        <w:tc>
          <w:tcPr>
            <w:tcW w:w="1401" w:type="dxa"/>
            <w:vMerge w:val="restart"/>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大屏展示</w:t>
            </w:r>
          </w:p>
        </w:tc>
        <w:tc>
          <w:tcPr>
            <w:tcW w:w="1175" w:type="dxa"/>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未来邻里</w:t>
            </w:r>
          </w:p>
        </w:tc>
        <w:tc>
          <w:tcPr>
            <w:tcW w:w="9368"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3D可视化展示邻里场景中洋葱圈、活动管理、好物共享等相关数据指标</w:t>
            </w:r>
          </w:p>
        </w:tc>
      </w:tr>
      <w:tr>
        <w:tblPrEx>
          <w:tblCellMar>
            <w:top w:w="0" w:type="dxa"/>
            <w:left w:w="108" w:type="dxa"/>
            <w:bottom w:w="0" w:type="dxa"/>
            <w:right w:w="108" w:type="dxa"/>
          </w:tblCellMar>
        </w:tblPrEx>
        <w:trPr>
          <w:trHeight w:val="300" w:hRule="atLeast"/>
        </w:trPr>
        <w:tc>
          <w:tcPr>
            <w:tcW w:w="475"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 xml:space="preserve">7 </w:t>
            </w:r>
          </w:p>
        </w:tc>
        <w:tc>
          <w:tcPr>
            <w:tcW w:w="1755"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0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175" w:type="dxa"/>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未来教育</w:t>
            </w:r>
          </w:p>
        </w:tc>
        <w:tc>
          <w:tcPr>
            <w:tcW w:w="9368"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3D可视化展示教育场景中图书借阅、教育课程等相关数据指标</w:t>
            </w:r>
          </w:p>
        </w:tc>
      </w:tr>
      <w:tr>
        <w:tblPrEx>
          <w:tblCellMar>
            <w:top w:w="0" w:type="dxa"/>
            <w:left w:w="108" w:type="dxa"/>
            <w:bottom w:w="0" w:type="dxa"/>
            <w:right w:w="108" w:type="dxa"/>
          </w:tblCellMar>
        </w:tblPrEx>
        <w:trPr>
          <w:trHeight w:val="300" w:hRule="atLeast"/>
        </w:trPr>
        <w:tc>
          <w:tcPr>
            <w:tcW w:w="475" w:type="dxa"/>
            <w:tcBorders>
              <w:top w:val="nil"/>
              <w:left w:val="single" w:color="000000" w:sz="4" w:space="0"/>
              <w:bottom w:val="single" w:color="auto"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 xml:space="preserve">8 </w:t>
            </w:r>
          </w:p>
        </w:tc>
        <w:tc>
          <w:tcPr>
            <w:tcW w:w="1755" w:type="dxa"/>
            <w:vMerge w:val="continue"/>
            <w:tcBorders>
              <w:top w:val="nil"/>
              <w:left w:val="single" w:color="000000" w:sz="4" w:space="0"/>
              <w:bottom w:val="single" w:color="auto"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01" w:type="dxa"/>
            <w:vMerge w:val="continue"/>
            <w:tcBorders>
              <w:top w:val="nil"/>
              <w:left w:val="single" w:color="000000" w:sz="4" w:space="0"/>
              <w:bottom w:val="single" w:color="auto"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175" w:type="dxa"/>
            <w:tcBorders>
              <w:top w:val="single" w:color="000000" w:sz="4" w:space="0"/>
              <w:left w:val="nil"/>
              <w:bottom w:val="single" w:color="auto"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未来健康</w:t>
            </w:r>
          </w:p>
        </w:tc>
        <w:tc>
          <w:tcPr>
            <w:tcW w:w="9368" w:type="dxa"/>
            <w:tcBorders>
              <w:top w:val="nil"/>
              <w:left w:val="nil"/>
              <w:bottom w:val="single" w:color="auto"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3D可视化展示健康场景中健康档案、健康监测、名医名院、颐乐养老相关数据指标</w:t>
            </w:r>
          </w:p>
        </w:tc>
      </w:tr>
      <w:tr>
        <w:tblPrEx>
          <w:tblCellMar>
            <w:top w:w="0" w:type="dxa"/>
            <w:left w:w="108" w:type="dxa"/>
            <w:bottom w:w="0" w:type="dxa"/>
            <w:right w:w="108" w:type="dxa"/>
          </w:tblCellMar>
        </w:tblPrEx>
        <w:trPr>
          <w:trHeight w:val="300" w:hRule="atLeast"/>
        </w:trPr>
        <w:tc>
          <w:tcPr>
            <w:tcW w:w="4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 xml:space="preserve">9 </w:t>
            </w: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0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未来创业</w:t>
            </w:r>
          </w:p>
        </w:tc>
        <w:tc>
          <w:tcPr>
            <w:tcW w:w="936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3D可视化展示创业场景中线上双创、空间管理、金融贷款等相关数据指标</w:t>
            </w:r>
          </w:p>
        </w:tc>
      </w:tr>
      <w:tr>
        <w:tblPrEx>
          <w:tblCellMar>
            <w:top w:w="0" w:type="dxa"/>
            <w:left w:w="108" w:type="dxa"/>
            <w:bottom w:w="0" w:type="dxa"/>
            <w:right w:w="108" w:type="dxa"/>
          </w:tblCellMar>
        </w:tblPrEx>
        <w:trPr>
          <w:trHeight w:val="300" w:hRule="atLeast"/>
        </w:trPr>
        <w:tc>
          <w:tcPr>
            <w:tcW w:w="475" w:type="dxa"/>
            <w:tcBorders>
              <w:top w:val="single" w:color="auto" w:sz="4" w:space="0"/>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 xml:space="preserve">10 </w:t>
            </w:r>
          </w:p>
        </w:tc>
        <w:tc>
          <w:tcPr>
            <w:tcW w:w="1755" w:type="dxa"/>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01" w:type="dxa"/>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175" w:type="dxa"/>
            <w:tcBorders>
              <w:top w:val="single" w:color="auto"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未来交通</w:t>
            </w:r>
          </w:p>
        </w:tc>
        <w:tc>
          <w:tcPr>
            <w:tcW w:w="9368" w:type="dxa"/>
            <w:tcBorders>
              <w:top w:val="single" w:color="auto" w:sz="4" w:space="0"/>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3D可视化展示交通场景中智能停车、门禁管理、居民畅行等相关数据指标</w:t>
            </w:r>
          </w:p>
        </w:tc>
      </w:tr>
      <w:tr>
        <w:tblPrEx>
          <w:tblCellMar>
            <w:top w:w="0" w:type="dxa"/>
            <w:left w:w="108" w:type="dxa"/>
            <w:bottom w:w="0" w:type="dxa"/>
            <w:right w:w="108" w:type="dxa"/>
          </w:tblCellMar>
        </w:tblPrEx>
        <w:trPr>
          <w:trHeight w:val="300" w:hRule="atLeast"/>
        </w:trPr>
        <w:tc>
          <w:tcPr>
            <w:tcW w:w="475"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 xml:space="preserve">11 </w:t>
            </w:r>
          </w:p>
        </w:tc>
        <w:tc>
          <w:tcPr>
            <w:tcW w:w="1755"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0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175" w:type="dxa"/>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未来低碳</w:t>
            </w:r>
          </w:p>
        </w:tc>
        <w:tc>
          <w:tcPr>
            <w:tcW w:w="9368"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3D可视化展示低碳场景中智慧照明、充电桩管理、能源管理等相关数据指标</w:t>
            </w:r>
          </w:p>
        </w:tc>
      </w:tr>
      <w:tr>
        <w:tblPrEx>
          <w:tblCellMar>
            <w:top w:w="0" w:type="dxa"/>
            <w:left w:w="108" w:type="dxa"/>
            <w:bottom w:w="0" w:type="dxa"/>
            <w:right w:w="108" w:type="dxa"/>
          </w:tblCellMar>
        </w:tblPrEx>
        <w:trPr>
          <w:trHeight w:val="300" w:hRule="atLeast"/>
        </w:trPr>
        <w:tc>
          <w:tcPr>
            <w:tcW w:w="475"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 xml:space="preserve">12 </w:t>
            </w:r>
          </w:p>
        </w:tc>
        <w:tc>
          <w:tcPr>
            <w:tcW w:w="1755"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0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175" w:type="dxa"/>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未来服务</w:t>
            </w:r>
          </w:p>
        </w:tc>
        <w:tc>
          <w:tcPr>
            <w:tcW w:w="9368"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3D可视化展示服务场景中巡更巡检、物业缴费、物业管理等相关数据指标</w:t>
            </w:r>
          </w:p>
        </w:tc>
      </w:tr>
      <w:tr>
        <w:tblPrEx>
          <w:tblCellMar>
            <w:top w:w="0" w:type="dxa"/>
            <w:left w:w="108" w:type="dxa"/>
            <w:bottom w:w="0" w:type="dxa"/>
            <w:right w:w="108" w:type="dxa"/>
          </w:tblCellMar>
        </w:tblPrEx>
        <w:trPr>
          <w:trHeight w:val="300" w:hRule="atLeast"/>
        </w:trPr>
        <w:tc>
          <w:tcPr>
            <w:tcW w:w="475"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 xml:space="preserve">13 </w:t>
            </w:r>
          </w:p>
        </w:tc>
        <w:tc>
          <w:tcPr>
            <w:tcW w:w="1755"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0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175" w:type="dxa"/>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未来治理</w:t>
            </w:r>
          </w:p>
        </w:tc>
        <w:tc>
          <w:tcPr>
            <w:tcW w:w="9368"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3D可视化展示治理场景中社区党建、业主自治、应急管控、城市服务相关数据指标</w:t>
            </w:r>
          </w:p>
        </w:tc>
      </w:tr>
      <w:tr>
        <w:tblPrEx>
          <w:tblCellMar>
            <w:top w:w="0" w:type="dxa"/>
            <w:left w:w="108" w:type="dxa"/>
            <w:bottom w:w="0" w:type="dxa"/>
            <w:right w:w="108" w:type="dxa"/>
          </w:tblCellMar>
        </w:tblPrEx>
        <w:trPr>
          <w:trHeight w:val="300" w:hRule="atLeast"/>
        </w:trPr>
        <w:tc>
          <w:tcPr>
            <w:tcW w:w="475"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 xml:space="preserve">14 </w:t>
            </w:r>
          </w:p>
        </w:tc>
        <w:tc>
          <w:tcPr>
            <w:tcW w:w="1755"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color w:val="000000"/>
                <w:kern w:val="0"/>
                <w:sz w:val="20"/>
                <w:szCs w:val="20"/>
              </w:rPr>
            </w:pPr>
          </w:p>
        </w:tc>
        <w:tc>
          <w:tcPr>
            <w:tcW w:w="1401" w:type="dxa"/>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远程触控</w:t>
            </w:r>
          </w:p>
        </w:tc>
        <w:tc>
          <w:tcPr>
            <w:tcW w:w="1175" w:type="dxa"/>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远程程序开发</w:t>
            </w:r>
          </w:p>
        </w:tc>
        <w:tc>
          <w:tcPr>
            <w:tcW w:w="9368"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开发平板远程控制交互界面</w:t>
            </w:r>
          </w:p>
        </w:tc>
      </w:tr>
    </w:tbl>
    <w:p/>
    <w:p>
      <w:pPr>
        <w:pStyle w:val="4"/>
        <w:spacing w:before="0" w:after="0" w:line="440" w:lineRule="exact"/>
      </w:pPr>
      <w:r>
        <w:rPr>
          <w:rFonts w:hint="eastAsia" w:ascii="宋体" w:hAnsi="宋体" w:eastAsia="宋体" w:cs="宋体"/>
          <w:sz w:val="24"/>
          <w:szCs w:val="24"/>
        </w:rPr>
        <w:t>智慧服务系统</w:t>
      </w:r>
    </w:p>
    <w:tbl>
      <w:tblPr>
        <w:tblStyle w:val="48"/>
        <w:tblW w:w="0" w:type="auto"/>
        <w:tblInd w:w="0" w:type="dxa"/>
        <w:tblLayout w:type="fixed"/>
        <w:tblCellMar>
          <w:top w:w="0" w:type="dxa"/>
          <w:left w:w="108" w:type="dxa"/>
          <w:bottom w:w="0" w:type="dxa"/>
          <w:right w:w="108" w:type="dxa"/>
        </w:tblCellMar>
      </w:tblPr>
      <w:tblGrid>
        <w:gridCol w:w="540"/>
        <w:gridCol w:w="652"/>
        <w:gridCol w:w="1031"/>
        <w:gridCol w:w="1258"/>
        <w:gridCol w:w="2095"/>
        <w:gridCol w:w="8599"/>
      </w:tblGrid>
      <w:tr>
        <w:tblPrEx>
          <w:tblCellMar>
            <w:top w:w="0" w:type="dxa"/>
            <w:left w:w="108" w:type="dxa"/>
            <w:bottom w:w="0" w:type="dxa"/>
            <w:right w:w="108" w:type="dxa"/>
          </w:tblCellMar>
        </w:tblPrEx>
        <w:trPr>
          <w:trHeight w:val="30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b/>
                <w:bCs/>
                <w:kern w:val="0"/>
                <w:sz w:val="20"/>
                <w:szCs w:val="20"/>
              </w:rPr>
            </w:pPr>
            <w:r>
              <w:rPr>
                <w:rFonts w:hint="eastAsia" w:ascii="宋体" w:hAnsi="宋体" w:cs="宋体"/>
                <w:b/>
                <w:bCs/>
                <w:kern w:val="0"/>
                <w:sz w:val="20"/>
                <w:szCs w:val="20"/>
              </w:rPr>
              <w:t>序号</w:t>
            </w:r>
          </w:p>
        </w:tc>
        <w:tc>
          <w:tcPr>
            <w:tcW w:w="652"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宋体" w:hAnsi="宋体" w:cs="宋体"/>
                <w:b/>
                <w:bCs/>
                <w:kern w:val="0"/>
                <w:sz w:val="20"/>
                <w:szCs w:val="20"/>
              </w:rPr>
            </w:pPr>
            <w:r>
              <w:rPr>
                <w:rFonts w:hint="eastAsia" w:ascii="宋体" w:hAnsi="宋体" w:cs="宋体"/>
                <w:b/>
                <w:bCs/>
                <w:kern w:val="0"/>
                <w:sz w:val="20"/>
                <w:szCs w:val="20"/>
              </w:rPr>
              <w:t>应用</w:t>
            </w:r>
          </w:p>
        </w:tc>
        <w:tc>
          <w:tcPr>
            <w:tcW w:w="4384" w:type="dxa"/>
            <w:gridSpan w:val="3"/>
            <w:tcBorders>
              <w:top w:val="single" w:color="auto" w:sz="4" w:space="0"/>
              <w:left w:val="nil"/>
              <w:bottom w:val="single" w:color="auto" w:sz="4" w:space="0"/>
              <w:right w:val="single" w:color="auto" w:sz="4" w:space="0"/>
            </w:tcBorders>
            <w:noWrap w:val="0"/>
            <w:vAlign w:val="center"/>
          </w:tcPr>
          <w:p>
            <w:pPr>
              <w:widowControl/>
              <w:snapToGrid w:val="0"/>
              <w:jc w:val="center"/>
              <w:rPr>
                <w:rFonts w:ascii="宋体" w:hAnsi="宋体" w:cs="宋体"/>
                <w:b/>
                <w:bCs/>
                <w:kern w:val="0"/>
                <w:sz w:val="20"/>
                <w:szCs w:val="20"/>
              </w:rPr>
            </w:pPr>
            <w:r>
              <w:rPr>
                <w:rFonts w:hint="eastAsia" w:ascii="宋体" w:hAnsi="宋体" w:cs="宋体"/>
                <w:b/>
                <w:bCs/>
                <w:kern w:val="0"/>
                <w:sz w:val="20"/>
                <w:szCs w:val="20"/>
              </w:rPr>
              <w:t>功能模块</w:t>
            </w:r>
          </w:p>
        </w:tc>
        <w:tc>
          <w:tcPr>
            <w:tcW w:w="8599"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宋体" w:hAnsi="宋体" w:cs="宋体"/>
                <w:b/>
                <w:bCs/>
                <w:kern w:val="0"/>
                <w:sz w:val="20"/>
                <w:szCs w:val="20"/>
              </w:rPr>
            </w:pPr>
            <w:r>
              <w:rPr>
                <w:rFonts w:hint="eastAsia" w:ascii="宋体" w:hAnsi="宋体" w:cs="宋体"/>
                <w:b/>
                <w:bCs/>
                <w:kern w:val="0"/>
                <w:sz w:val="20"/>
                <w:szCs w:val="20"/>
              </w:rPr>
              <w:t>功能描述</w:t>
            </w:r>
          </w:p>
        </w:tc>
      </w:tr>
      <w:tr>
        <w:tblPrEx>
          <w:tblCellMar>
            <w:top w:w="0" w:type="dxa"/>
            <w:left w:w="108" w:type="dxa"/>
            <w:bottom w:w="0" w:type="dxa"/>
            <w:right w:w="108" w:type="dxa"/>
          </w:tblCellMar>
        </w:tblPrEx>
        <w:trPr>
          <w:trHeight w:val="300" w:hRule="atLeast"/>
        </w:trPr>
        <w:tc>
          <w:tcPr>
            <w:tcW w:w="5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 </w:t>
            </w:r>
          </w:p>
        </w:tc>
        <w:tc>
          <w:tcPr>
            <w:tcW w:w="652" w:type="dxa"/>
            <w:vMerge w:val="restart"/>
            <w:tcBorders>
              <w:top w:val="single" w:color="000000" w:sz="4" w:space="0"/>
              <w:left w:val="single" w:color="000000" w:sz="4" w:space="0"/>
              <w:bottom w:val="single" w:color="000000" w:sz="4" w:space="0"/>
              <w:right w:val="nil"/>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邻里服务应用</w:t>
            </w:r>
          </w:p>
        </w:tc>
        <w:tc>
          <w:tcPr>
            <w:tcW w:w="1031" w:type="dxa"/>
            <w:vMerge w:val="restart"/>
            <w:tcBorders>
              <w:top w:val="single" w:color="000000" w:sz="4" w:space="0"/>
              <w:left w:val="single" w:color="000000" w:sz="4" w:space="0"/>
              <w:bottom w:val="nil"/>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信息发布</w:t>
            </w: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资讯新闻</w:t>
            </w:r>
          </w:p>
        </w:tc>
        <w:tc>
          <w:tcPr>
            <w:tcW w:w="8599" w:type="dxa"/>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支持社区新闻和消息公告，满足社区管理方向社区人员定向通知。</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 </w:t>
            </w:r>
          </w:p>
        </w:tc>
        <w:tc>
          <w:tcPr>
            <w:tcW w:w="652" w:type="dxa"/>
            <w:vMerge w:val="continue"/>
            <w:tcBorders>
              <w:top w:val="single" w:color="000000"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社区活动</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能够创建活动信息，并发布到用户端，提供个用户进行查看。</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3 </w:t>
            </w:r>
          </w:p>
        </w:tc>
        <w:tc>
          <w:tcPr>
            <w:tcW w:w="652" w:type="dxa"/>
            <w:vMerge w:val="continue"/>
            <w:tcBorders>
              <w:top w:val="single" w:color="000000"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日常通知发布</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包括放假通知、恶劣天气预警、停水停电、物业通知等。</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4 </w:t>
            </w:r>
          </w:p>
        </w:tc>
        <w:tc>
          <w:tcPr>
            <w:tcW w:w="652" w:type="dxa"/>
            <w:vMerge w:val="continue"/>
            <w:tcBorders>
              <w:top w:val="single" w:color="000000"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周边信息</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支持在线上传所在社区的基本信息、周边各类配套单位的相关信息。</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5 </w:t>
            </w:r>
          </w:p>
        </w:tc>
        <w:tc>
          <w:tcPr>
            <w:tcW w:w="652" w:type="dxa"/>
            <w:vMerge w:val="continue"/>
            <w:tcBorders>
              <w:top w:val="single" w:color="000000"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auto" w:fill="auto"/>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运营位管理</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(1)支持运营位的预约、审核</w:t>
            </w:r>
            <w:r>
              <w:rPr>
                <w:rFonts w:hint="eastAsia" w:ascii="宋体" w:hAnsi="宋体" w:cs="宋体"/>
                <w:kern w:val="0"/>
                <w:sz w:val="20"/>
                <w:szCs w:val="20"/>
              </w:rPr>
              <w:br w:type="textWrapping"/>
            </w:r>
            <w:r>
              <w:rPr>
                <w:rFonts w:hint="eastAsia" w:ascii="宋体" w:hAnsi="宋体" w:cs="宋体"/>
                <w:kern w:val="0"/>
                <w:sz w:val="20"/>
                <w:szCs w:val="20"/>
              </w:rPr>
              <w:t>(2)支持运营位自动上架下架</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6 </w:t>
            </w:r>
          </w:p>
        </w:tc>
        <w:tc>
          <w:tcPr>
            <w:tcW w:w="652" w:type="dxa"/>
            <w:vMerge w:val="continue"/>
            <w:tcBorders>
              <w:top w:val="single" w:color="000000"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大洋文化信息模块</w:t>
            </w:r>
            <w:r>
              <w:rPr>
                <w:rFonts w:hint="eastAsia" w:ascii="宋体" w:hAnsi="宋体" w:cs="宋体"/>
                <w:kern w:val="0"/>
                <w:sz w:val="20"/>
                <w:szCs w:val="20"/>
              </w:rPr>
              <w:br w:type="textWrapping"/>
            </w:r>
            <w:r>
              <w:rPr>
                <w:rFonts w:hint="eastAsia" w:ascii="宋体" w:hAnsi="宋体" w:cs="宋体"/>
                <w:kern w:val="0"/>
                <w:sz w:val="20"/>
                <w:szCs w:val="20"/>
              </w:rPr>
              <w:t xml:space="preserve"> (临洋之道)</w:t>
            </w:r>
          </w:p>
        </w:tc>
        <w:tc>
          <w:tcPr>
            <w:tcW w:w="1258" w:type="dxa"/>
            <w:vMerge w:val="restart"/>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新闻版块</w:t>
            </w:r>
          </w:p>
        </w:tc>
        <w:tc>
          <w:tcPr>
            <w:tcW w:w="2095" w:type="dxa"/>
            <w:vMerge w:val="restart"/>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分时政要闻、社区风采、社区党建、温暖社邻等类型展示</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建设社区新闻发布模块，社区管理人员可通过系统在线发布相关的实事、热点、社区动态等新闻内容。移动端可按“社区风采、社区党建、温暖社邻等类型进行内容分类展示，居民可在线阅读相关新闻内容。</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7 </w:t>
            </w:r>
          </w:p>
        </w:tc>
        <w:tc>
          <w:tcPr>
            <w:tcW w:w="652" w:type="dxa"/>
            <w:vMerge w:val="continue"/>
            <w:tcBorders>
              <w:top w:val="single" w:color="000000"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nil"/>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2095"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对接“临海发布”系统，获取时事要闻内容。</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8 </w:t>
            </w:r>
          </w:p>
        </w:tc>
        <w:tc>
          <w:tcPr>
            <w:tcW w:w="652" w:type="dxa"/>
            <w:vMerge w:val="continue"/>
            <w:tcBorders>
              <w:top w:val="single" w:color="000000"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nil"/>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2095"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对接“文明临海”系统，分享精神文明建设活动和成效；</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9 </w:t>
            </w:r>
          </w:p>
        </w:tc>
        <w:tc>
          <w:tcPr>
            <w:tcW w:w="652" w:type="dxa"/>
            <w:vMerge w:val="continue"/>
            <w:tcBorders>
              <w:top w:val="single" w:color="000000"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nil"/>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2095"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对接幸福大洋社区公众号，了解社区邻里事件/活动等。</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10 </w:t>
            </w:r>
          </w:p>
        </w:tc>
        <w:tc>
          <w:tcPr>
            <w:tcW w:w="652" w:type="dxa"/>
            <w:vMerge w:val="continue"/>
            <w:tcBorders>
              <w:top w:val="single" w:color="000000"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vMerge w:val="restart"/>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政策板块</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对接临海门户网站，获取各类政策内容。</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11 </w:t>
            </w:r>
          </w:p>
        </w:tc>
        <w:tc>
          <w:tcPr>
            <w:tcW w:w="652" w:type="dxa"/>
            <w:vMerge w:val="continue"/>
            <w:tcBorders>
              <w:top w:val="single" w:color="000000"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vMerge w:val="continue"/>
            <w:tcBorders>
              <w:top w:val="single" w:color="000000" w:sz="4" w:space="0"/>
              <w:left w:val="nil"/>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支持政策管理，可对获取政策进行分类管理，按照不同的行业类别进行归纳发布；</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12 </w:t>
            </w:r>
          </w:p>
        </w:tc>
        <w:tc>
          <w:tcPr>
            <w:tcW w:w="652" w:type="dxa"/>
            <w:vMerge w:val="continue"/>
            <w:tcBorders>
              <w:top w:val="single" w:color="000000"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vMerge w:val="continue"/>
            <w:tcBorders>
              <w:top w:val="single" w:color="000000" w:sz="4" w:space="0"/>
              <w:left w:val="nil"/>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支持筛选查询，可根据政策发布层级，政策类别，发布时间等进行筛选查询；</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auto"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13 </w:t>
            </w:r>
          </w:p>
        </w:tc>
        <w:tc>
          <w:tcPr>
            <w:tcW w:w="652" w:type="dxa"/>
            <w:vMerge w:val="continue"/>
            <w:tcBorders>
              <w:top w:val="single" w:color="000000" w:sz="4" w:space="0"/>
              <w:left w:val="single" w:color="000000" w:sz="4" w:space="0"/>
              <w:bottom w:val="single" w:color="auto"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vMerge w:val="continue"/>
            <w:tcBorders>
              <w:top w:val="single" w:color="000000" w:sz="4" w:space="0"/>
              <w:left w:val="nil"/>
              <w:bottom w:val="single" w:color="auto"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8599" w:type="dxa"/>
            <w:tcBorders>
              <w:top w:val="nil"/>
              <w:left w:val="nil"/>
              <w:bottom w:val="single" w:color="auto"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支持关键字查询，可查询关键字筛选有相应标题的政策。</w:t>
            </w:r>
          </w:p>
        </w:tc>
      </w:tr>
      <w:tr>
        <w:tblPrEx>
          <w:tblCellMar>
            <w:top w:w="0" w:type="dxa"/>
            <w:left w:w="108" w:type="dxa"/>
            <w:bottom w:w="0" w:type="dxa"/>
            <w:right w:w="108" w:type="dxa"/>
          </w:tblCellMar>
        </w:tblPrEx>
        <w:trPr>
          <w:trHeight w:val="300" w:hRule="atLeast"/>
        </w:trPr>
        <w:tc>
          <w:tcPr>
            <w:tcW w:w="5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14 </w:t>
            </w:r>
          </w:p>
        </w:tc>
        <w:tc>
          <w:tcPr>
            <w:tcW w:w="65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宣传部家系列对接</w:t>
            </w:r>
          </w:p>
        </w:tc>
        <w:tc>
          <w:tcPr>
            <w:tcW w:w="20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家故事</w:t>
            </w:r>
          </w:p>
        </w:tc>
        <w:tc>
          <w:tcPr>
            <w:tcW w:w="859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开辟数字化专栏，展示新时代未来社区的新风貌，分享社区居民在学习、创业等方面的暖心故事，打造熟人社会，增进互动交流，进一步凝心聚力。</w:t>
            </w:r>
          </w:p>
        </w:tc>
      </w:tr>
      <w:tr>
        <w:tblPrEx>
          <w:tblCellMar>
            <w:top w:w="0" w:type="dxa"/>
            <w:left w:w="108" w:type="dxa"/>
            <w:bottom w:w="0" w:type="dxa"/>
            <w:right w:w="108" w:type="dxa"/>
          </w:tblCellMar>
        </w:tblPrEx>
        <w:trPr>
          <w:trHeight w:val="300" w:hRule="atLeast"/>
        </w:trPr>
        <w:tc>
          <w:tcPr>
            <w:tcW w:w="540" w:type="dxa"/>
            <w:tcBorders>
              <w:top w:val="single" w:color="auto" w:sz="4" w:space="0"/>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15 </w:t>
            </w:r>
          </w:p>
        </w:tc>
        <w:tc>
          <w:tcPr>
            <w:tcW w:w="652" w:type="dxa"/>
            <w:vMerge w:val="continue"/>
            <w:tcBorders>
              <w:top w:val="single" w:color="auto"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continue"/>
            <w:tcBorders>
              <w:top w:val="single" w:color="auto" w:sz="4" w:space="0"/>
              <w:left w:val="nil"/>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2095" w:type="dxa"/>
            <w:tcBorders>
              <w:top w:val="single" w:color="auto"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家记忆</w:t>
            </w:r>
          </w:p>
        </w:tc>
        <w:tc>
          <w:tcPr>
            <w:tcW w:w="8599" w:type="dxa"/>
            <w:tcBorders>
              <w:top w:val="single" w:color="auto" w:sz="4" w:space="0"/>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社区的前世今生，以老照片、旧视频等形式，对社区的历史传承、特色文化、民俗风貌、地方美食的数字化展示，增强社区群众的共同文化体认。</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16 </w:t>
            </w:r>
          </w:p>
        </w:tc>
        <w:tc>
          <w:tcPr>
            <w:tcW w:w="652" w:type="dxa"/>
            <w:vMerge w:val="continue"/>
            <w:tcBorders>
              <w:top w:val="single" w:color="000000"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nil"/>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2095" w:type="dxa"/>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家活动</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线上组织社区邻里活动，社区讲座；可实现线上社区活动预告发布。加强社区活动、社区讲座的共享，使社区居民能快速了解到社区的分类活动及参与。</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17 </w:t>
            </w:r>
          </w:p>
        </w:tc>
        <w:tc>
          <w:tcPr>
            <w:tcW w:w="652" w:type="dxa"/>
            <w:vMerge w:val="continue"/>
            <w:tcBorders>
              <w:top w:val="single" w:color="000000"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nil"/>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2095" w:type="dxa"/>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家有礼</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展示社务公开、社区党建、各类讲座、文体文艺活动的信息动态。同时，也作为社区新时代文化实践的云平台，动态展示社区风采、和睦邻里、社区好人、文明家庭等。</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18 </w:t>
            </w:r>
          </w:p>
        </w:tc>
        <w:tc>
          <w:tcPr>
            <w:tcW w:w="652" w:type="dxa"/>
            <w:vMerge w:val="continue"/>
            <w:tcBorders>
              <w:top w:val="single" w:color="000000"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restart"/>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调查问卷</w:t>
            </w:r>
          </w:p>
        </w:tc>
        <w:tc>
          <w:tcPr>
            <w:tcW w:w="2095" w:type="dxa"/>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基础信息设置</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可选择调查类型、调查对象、发布范围、有效时间，填写调查名称、封面、简介、协议这些基础信息。</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19 </w:t>
            </w:r>
          </w:p>
        </w:tc>
        <w:tc>
          <w:tcPr>
            <w:tcW w:w="652" w:type="dxa"/>
            <w:vMerge w:val="continue"/>
            <w:tcBorders>
              <w:top w:val="single" w:color="000000"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nil"/>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2095" w:type="dxa"/>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问题设置</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可进行问卷问题新增，共有单选、多选、填空三个类型，单选、多选可设置补充问题，其中单选可设置分数。</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20 </w:t>
            </w:r>
          </w:p>
        </w:tc>
        <w:tc>
          <w:tcPr>
            <w:tcW w:w="652" w:type="dxa"/>
            <w:vMerge w:val="continue"/>
            <w:tcBorders>
              <w:top w:val="single" w:color="000000"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nil"/>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2095" w:type="dxa"/>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逻辑设计</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支持对各项问题进行逻辑上的关联。</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21 </w:t>
            </w:r>
          </w:p>
        </w:tc>
        <w:tc>
          <w:tcPr>
            <w:tcW w:w="652" w:type="dxa"/>
            <w:vMerge w:val="continue"/>
            <w:tcBorders>
              <w:top w:val="single" w:color="000000"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nil"/>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2095" w:type="dxa"/>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问卷发布</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可设置发布群体，支持对个别标签下的用户推送问卷，例如社区业主。</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22 </w:t>
            </w:r>
          </w:p>
        </w:tc>
        <w:tc>
          <w:tcPr>
            <w:tcW w:w="652" w:type="dxa"/>
            <w:vMerge w:val="continue"/>
            <w:tcBorders>
              <w:top w:val="single" w:color="000000"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restart"/>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大洋志愿者服务模块</w:t>
            </w:r>
            <w:r>
              <w:rPr>
                <w:rFonts w:hint="eastAsia" w:ascii="宋体" w:hAnsi="宋体" w:cs="宋体"/>
                <w:kern w:val="0"/>
                <w:sz w:val="20"/>
                <w:szCs w:val="20"/>
              </w:rPr>
              <w:br w:type="textWrapping"/>
            </w:r>
            <w:r>
              <w:rPr>
                <w:rFonts w:hint="eastAsia" w:ascii="宋体" w:hAnsi="宋体" w:cs="宋体"/>
                <w:kern w:val="0"/>
                <w:sz w:val="20"/>
                <w:szCs w:val="20"/>
              </w:rPr>
              <w:t>（临洋之帮）</w:t>
            </w:r>
          </w:p>
        </w:tc>
        <w:tc>
          <w:tcPr>
            <w:tcW w:w="1258" w:type="dxa"/>
            <w:vMerge w:val="restart"/>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邻里互助</w:t>
            </w:r>
          </w:p>
        </w:tc>
        <w:tc>
          <w:tcPr>
            <w:tcW w:w="2095" w:type="dxa"/>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意愿广场</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实现意愿发布通道以及居民所有服务意愿的广场，根据居民的意愿设置服务类型，居民可以通过选择相关的类型在线发布所能服务的意愿。对于有需要的居民则可以在意愿广场中选择符合自身的服务类型来点单，实现意愿与需求的精准对接。</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23 </w:t>
            </w:r>
          </w:p>
        </w:tc>
        <w:tc>
          <w:tcPr>
            <w:tcW w:w="652" w:type="dxa"/>
            <w:vMerge w:val="continue"/>
            <w:tcBorders>
              <w:top w:val="single" w:color="000000"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2095" w:type="dxa"/>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需求发布</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实现居民需求发布通道，根据居民的需求，设置求助类型，居民可以结合自己的需求，通过选择相关的求助类型（关爱助老、接送孩子、爱心义剪等）、愿意付出的积分、期望服务时间等发布需求意向，对于有意愿能帮助的居民则可以自主选择自己想帮助的对象、可帮扶的时间及地点，实行帮扶服务。服务后，帮扶的居民则可以获得对应的积分。</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24 </w:t>
            </w:r>
          </w:p>
        </w:tc>
        <w:tc>
          <w:tcPr>
            <w:tcW w:w="652" w:type="dxa"/>
            <w:vMerge w:val="continue"/>
            <w:tcBorders>
              <w:top w:val="single" w:color="000000"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2095" w:type="dxa"/>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WE志愿小站</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集约周边的商铺，通过与周边的商铺对接，让周边商铺有意愿的都可以成为志愿服务阵地，破解志愿服务时间、空间、任务受限难题。</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25 </w:t>
            </w:r>
          </w:p>
        </w:tc>
        <w:tc>
          <w:tcPr>
            <w:tcW w:w="652" w:type="dxa"/>
            <w:vMerge w:val="continue"/>
            <w:tcBorders>
              <w:top w:val="single" w:color="000000"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2095" w:type="dxa"/>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一健帮扶</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联合卫生、民政等部门所能提供的资源，以及社区、物业等资源，为有需要的居民提供帮扶咨询服务。通过在线展示帮扶资源的联系方式，对于有需要的居民则可以及时联系到对应的服务机构。</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26 </w:t>
            </w:r>
          </w:p>
        </w:tc>
        <w:tc>
          <w:tcPr>
            <w:tcW w:w="652" w:type="dxa"/>
            <w:vMerge w:val="continue"/>
            <w:tcBorders>
              <w:top w:val="single" w:color="000000"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2095" w:type="dxa"/>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心理援助</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结合社区的心里咨询室，以未成年人、孤寡老人、残疾人等群体心理健康为重点，提供线上线下结合的心理咨询、陪聊等志愿服务，打造有温度的社区心理咨询及援助服务系统。</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27 </w:t>
            </w:r>
          </w:p>
        </w:tc>
        <w:tc>
          <w:tcPr>
            <w:tcW w:w="652" w:type="dxa"/>
            <w:vMerge w:val="continue"/>
            <w:tcBorders>
              <w:top w:val="single" w:color="000000"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restart"/>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志愿服务四单制（掌心临海）</w:t>
            </w:r>
          </w:p>
        </w:tc>
        <w:tc>
          <w:tcPr>
            <w:tcW w:w="2095" w:type="dxa"/>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志愿服务</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通过志愿服务通道，居民可以通过参与志愿报名、公益宣讲服务、福利兑换等志愿内容。</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auto"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28 </w:t>
            </w:r>
          </w:p>
        </w:tc>
        <w:tc>
          <w:tcPr>
            <w:tcW w:w="652" w:type="dxa"/>
            <w:vMerge w:val="continue"/>
            <w:tcBorders>
              <w:top w:val="single" w:color="000000" w:sz="4" w:space="0"/>
              <w:left w:val="single" w:color="000000" w:sz="4" w:space="0"/>
              <w:bottom w:val="single" w:color="auto"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auto"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single" w:color="000000" w:sz="4" w:space="0"/>
              <w:bottom w:val="single" w:color="auto"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2095" w:type="dxa"/>
            <w:tcBorders>
              <w:top w:val="nil"/>
              <w:left w:val="nil"/>
              <w:bottom w:val="single" w:color="auto"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微心愿单</w:t>
            </w:r>
          </w:p>
        </w:tc>
        <w:tc>
          <w:tcPr>
            <w:tcW w:w="8599" w:type="dxa"/>
            <w:tcBorders>
              <w:top w:val="nil"/>
              <w:left w:val="nil"/>
              <w:bottom w:val="single" w:color="auto"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发布发布，微心愿获得审核后，则在微心愿广场展示，居民可以结合自身的条件，选择满足广场内居民发起的微心愿。支持发布文明风貌及曝光社区陋习。</w:t>
            </w:r>
          </w:p>
        </w:tc>
      </w:tr>
      <w:tr>
        <w:tblPrEx>
          <w:tblCellMar>
            <w:top w:w="0" w:type="dxa"/>
            <w:left w:w="108" w:type="dxa"/>
            <w:bottom w:w="0" w:type="dxa"/>
            <w:right w:w="108" w:type="dxa"/>
          </w:tblCellMar>
        </w:tblPrEx>
        <w:trPr>
          <w:trHeight w:val="300" w:hRule="atLeast"/>
        </w:trPr>
        <w:tc>
          <w:tcPr>
            <w:tcW w:w="5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29 </w:t>
            </w:r>
          </w:p>
        </w:tc>
        <w:tc>
          <w:tcPr>
            <w:tcW w:w="65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大洋文化活动模块</w:t>
            </w:r>
            <w:r>
              <w:rPr>
                <w:rFonts w:hint="eastAsia" w:ascii="宋体" w:hAnsi="宋体" w:cs="宋体"/>
                <w:kern w:val="0"/>
                <w:sz w:val="20"/>
                <w:szCs w:val="20"/>
              </w:rPr>
              <w:br w:type="textWrapping"/>
            </w:r>
            <w:r>
              <w:rPr>
                <w:rFonts w:hint="eastAsia" w:ascii="宋体" w:hAnsi="宋体" w:cs="宋体"/>
                <w:kern w:val="0"/>
                <w:sz w:val="20"/>
                <w:szCs w:val="20"/>
              </w:rPr>
              <w:t>（临洋之家）</w:t>
            </w:r>
          </w:p>
        </w:tc>
        <w:tc>
          <w:tcPr>
            <w:tcW w:w="1258"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文化展示</w:t>
            </w:r>
          </w:p>
        </w:tc>
        <w:tc>
          <w:tcPr>
            <w:tcW w:w="20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网上书房</w:t>
            </w:r>
          </w:p>
        </w:tc>
        <w:tc>
          <w:tcPr>
            <w:tcW w:w="859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对接文E家系统，展示线上图书馆，为居民提供儿童文学、法律、哲学、宗教、历史传记、艺术文学、小说等多种类型的电子书/电子期刊/有声读物等多种书目，可随时在线学习，丰富居民文化生活。</w:t>
            </w:r>
          </w:p>
        </w:tc>
      </w:tr>
      <w:tr>
        <w:tblPrEx>
          <w:tblCellMar>
            <w:top w:w="0" w:type="dxa"/>
            <w:left w:w="108" w:type="dxa"/>
            <w:bottom w:w="0" w:type="dxa"/>
            <w:right w:w="108" w:type="dxa"/>
          </w:tblCellMar>
        </w:tblPrEx>
        <w:trPr>
          <w:trHeight w:val="300" w:hRule="atLeast"/>
        </w:trPr>
        <w:tc>
          <w:tcPr>
            <w:tcW w:w="540" w:type="dxa"/>
            <w:tcBorders>
              <w:top w:val="single" w:color="auto" w:sz="4" w:space="0"/>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30 </w:t>
            </w:r>
          </w:p>
        </w:tc>
        <w:tc>
          <w:tcPr>
            <w:tcW w:w="652" w:type="dxa"/>
            <w:vMerge w:val="continue"/>
            <w:tcBorders>
              <w:top w:val="single" w:color="auto"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2095" w:type="dxa"/>
            <w:tcBorders>
              <w:top w:val="single" w:color="auto"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精品资源</w:t>
            </w:r>
          </w:p>
        </w:tc>
        <w:tc>
          <w:tcPr>
            <w:tcW w:w="8599" w:type="dxa"/>
            <w:tcBorders>
              <w:top w:val="single" w:color="auto" w:sz="4" w:space="0"/>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对接文E家系统，通过图片、视频、音频的方式展示精品的文化内容，提供社区居民学习。</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31 </w:t>
            </w:r>
          </w:p>
        </w:tc>
        <w:tc>
          <w:tcPr>
            <w:tcW w:w="652" w:type="dxa"/>
            <w:vMerge w:val="continue"/>
            <w:tcBorders>
              <w:top w:val="single" w:color="000000"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2095" w:type="dxa"/>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数字展厅</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对接文E家系统，线上展示科学技术、自然地理、艺术创作、历史文物、社区生活等内容，形成居民的线上展厅。</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32 </w:t>
            </w:r>
          </w:p>
        </w:tc>
        <w:tc>
          <w:tcPr>
            <w:tcW w:w="652" w:type="dxa"/>
            <w:vMerge w:val="continue"/>
            <w:tcBorders>
              <w:top w:val="single" w:color="000000"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2095" w:type="dxa"/>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共享课堂</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对接文E家系统，提供戏曲、声乐、舞蹈、文学等线上课程视频，可以供居民陶冶情操，丰富社区文化。</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33 </w:t>
            </w:r>
          </w:p>
        </w:tc>
        <w:tc>
          <w:tcPr>
            <w:tcW w:w="652" w:type="dxa"/>
            <w:vMerge w:val="continue"/>
            <w:tcBorders>
              <w:top w:val="single" w:color="000000"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restart"/>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社团文化</w:t>
            </w:r>
          </w:p>
        </w:tc>
        <w:tc>
          <w:tcPr>
            <w:tcW w:w="2095" w:type="dxa"/>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话题</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社区居民可通过小程序参与或发起社区话题互动。</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34 </w:t>
            </w:r>
          </w:p>
        </w:tc>
        <w:tc>
          <w:tcPr>
            <w:tcW w:w="652" w:type="dxa"/>
            <w:vMerge w:val="continue"/>
            <w:tcBorders>
              <w:top w:val="single" w:color="000000"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2095" w:type="dxa"/>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社群</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社区居民通过小程序可组建或选择社群，共同参与交流。</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35 </w:t>
            </w:r>
          </w:p>
        </w:tc>
        <w:tc>
          <w:tcPr>
            <w:tcW w:w="652" w:type="dxa"/>
            <w:vMerge w:val="continue"/>
            <w:tcBorders>
              <w:top w:val="single" w:color="000000"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2095" w:type="dxa"/>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文化达人</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鼓励社区居民参与话题讨论，分享技能。</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36 </w:t>
            </w:r>
          </w:p>
        </w:tc>
        <w:tc>
          <w:tcPr>
            <w:tcW w:w="652" w:type="dxa"/>
            <w:vMerge w:val="continue"/>
            <w:tcBorders>
              <w:top w:val="single" w:color="000000"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restart"/>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临洋地图</w:t>
            </w: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文化一张图</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展示大洋未来社区内及周边3千米范围内的文化场馆、文化建筑、文化公园等文化场所布局地理位置信息描点，居民可以通过社区文化一张图参与文化活动，了解临海历史变迁，突显文化传承。</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37 </w:t>
            </w:r>
          </w:p>
        </w:tc>
        <w:tc>
          <w:tcPr>
            <w:tcW w:w="652" w:type="dxa"/>
            <w:vMerge w:val="continue"/>
            <w:tcBorders>
              <w:top w:val="single" w:color="000000"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志愿一张图</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提供周边3千米一定范围内志愿服务“一图掌握”，让各类宣讲、文艺、培训、康养等志愿活动都能一图查找、一键参与，居民能够就近就便做志愿、享服务，实现“随手做志愿”场景。</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38 </w:t>
            </w:r>
          </w:p>
        </w:tc>
        <w:tc>
          <w:tcPr>
            <w:tcW w:w="652" w:type="dxa"/>
            <w:vMerge w:val="continue"/>
            <w:tcBorders>
              <w:top w:val="single" w:color="000000"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学习一张图</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展示周边3千米范围内各类学校、培训机构以及博物馆、美术馆、科技馆等公共场所的名称、空间位置、活动等信息，建立学习信息“一图概览”，居民可以通过学习地图，了解周边学习资源布局情况，匹配合适的学习资源。</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39 </w:t>
            </w:r>
          </w:p>
        </w:tc>
        <w:tc>
          <w:tcPr>
            <w:tcW w:w="652" w:type="dxa"/>
            <w:vMerge w:val="continue"/>
            <w:tcBorders>
              <w:top w:val="single" w:color="000000"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图书一张图</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提供大洋未来社区周边5千米范围图书馆、共享书房等与图书相关场馆落位布局，为居民塑造丰富的精神文化生活提供便捷的查询和导航服务。</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40 </w:t>
            </w:r>
          </w:p>
        </w:tc>
        <w:tc>
          <w:tcPr>
            <w:tcW w:w="652" w:type="dxa"/>
            <w:vMerge w:val="continue"/>
            <w:tcBorders>
              <w:top w:val="single" w:color="000000"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健康一张图</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把大洋社区周边3千米范围医院、药店、健身服务机构、体育健身场馆等分门别类地“浓缩”成一张电子索引地图中图，给居民在享受健康服务上带来了极大的便利，使健康服务“触手可及”，健康生活“尽在掌握”。</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41 </w:t>
            </w:r>
          </w:p>
        </w:tc>
        <w:tc>
          <w:tcPr>
            <w:tcW w:w="652" w:type="dxa"/>
            <w:vMerge w:val="continue"/>
            <w:tcBorders>
              <w:top w:val="single" w:color="000000"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养老一张图</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集合周边3千米范围示范型老年食堂、养老服务中心以及养老机构等养老资源，养老信息“一图展示”，居民可以通过地图上的查询功能，便捷查找、快速匹配适合的养老服务。</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42 </w:t>
            </w:r>
          </w:p>
        </w:tc>
        <w:tc>
          <w:tcPr>
            <w:tcW w:w="652" w:type="dxa"/>
            <w:vMerge w:val="continue"/>
            <w:tcBorders>
              <w:top w:val="single" w:color="000000"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生活服务一张图</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提供社区周边3千米范围的菜市场、家政、保洁、商超等生活服务资源分类地理位置信息展示，便于居民可以快速查找相关的生活服务资源，需求精准匹配，让社区生活更为便利。</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auto"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43 </w:t>
            </w:r>
          </w:p>
        </w:tc>
        <w:tc>
          <w:tcPr>
            <w:tcW w:w="652" w:type="dxa"/>
            <w:vMerge w:val="continue"/>
            <w:tcBorders>
              <w:top w:val="single" w:color="000000" w:sz="4" w:space="0"/>
              <w:left w:val="single" w:color="000000" w:sz="4" w:space="0"/>
              <w:bottom w:val="single" w:color="auto"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auto"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auto"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社区空间一张图</w:t>
            </w:r>
          </w:p>
        </w:tc>
        <w:tc>
          <w:tcPr>
            <w:tcW w:w="8599" w:type="dxa"/>
            <w:tcBorders>
              <w:top w:val="nil"/>
              <w:left w:val="nil"/>
              <w:bottom w:val="single" w:color="auto"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提供社区内邻里中心、直播教室、儿童乐园等共享空间基础落位，传递地理位置信息，提供导航指引。让社区空间能获得更充分的利用，社区组织的邻里活动获得更多居民的参与，从而带动社区的活力，构造远近不如近邻的和谐氛围。</w:t>
            </w:r>
          </w:p>
        </w:tc>
      </w:tr>
      <w:tr>
        <w:tblPrEx>
          <w:tblCellMar>
            <w:top w:w="0" w:type="dxa"/>
            <w:left w:w="108" w:type="dxa"/>
            <w:bottom w:w="0" w:type="dxa"/>
            <w:right w:w="108" w:type="dxa"/>
          </w:tblCellMar>
        </w:tblPrEx>
        <w:trPr>
          <w:trHeight w:val="300" w:hRule="atLeast"/>
        </w:trPr>
        <w:tc>
          <w:tcPr>
            <w:tcW w:w="5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44 </w:t>
            </w:r>
          </w:p>
        </w:tc>
        <w:tc>
          <w:tcPr>
            <w:tcW w:w="65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法律服务一张图</w:t>
            </w:r>
          </w:p>
        </w:tc>
        <w:tc>
          <w:tcPr>
            <w:tcW w:w="859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展示大洋社区周边5千米范围的律师事务所、法律援助等相关提供法律服务的机构落位信息。当居民需要获得法律资源的时候，能够有快速查询的通道。</w:t>
            </w:r>
          </w:p>
        </w:tc>
      </w:tr>
      <w:tr>
        <w:tblPrEx>
          <w:tblCellMar>
            <w:top w:w="0" w:type="dxa"/>
            <w:left w:w="108" w:type="dxa"/>
            <w:bottom w:w="0" w:type="dxa"/>
            <w:right w:w="108" w:type="dxa"/>
          </w:tblCellMar>
        </w:tblPrEx>
        <w:trPr>
          <w:trHeight w:val="300" w:hRule="atLeast"/>
        </w:trPr>
        <w:tc>
          <w:tcPr>
            <w:tcW w:w="540" w:type="dxa"/>
            <w:tcBorders>
              <w:top w:val="single" w:color="auto" w:sz="4" w:space="0"/>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45 </w:t>
            </w:r>
          </w:p>
        </w:tc>
        <w:tc>
          <w:tcPr>
            <w:tcW w:w="652" w:type="dxa"/>
            <w:vMerge w:val="continue"/>
            <w:tcBorders>
              <w:top w:val="single" w:color="auto"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auto"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党建一张图</w:t>
            </w:r>
          </w:p>
        </w:tc>
        <w:tc>
          <w:tcPr>
            <w:tcW w:w="8599" w:type="dxa"/>
            <w:tcBorders>
              <w:top w:val="single" w:color="auto" w:sz="4" w:space="0"/>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提供周边5千米范围党群服务中心、党组织机构、党史展馆等党性教育落位信息，居民可以线上获取导航路线，线下实地参观，通过实地党性教育学习、党建活动的参与，让更多的居民在互动中感受红色党史文化熏陶。</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46 </w:t>
            </w:r>
          </w:p>
        </w:tc>
        <w:tc>
          <w:tcPr>
            <w:tcW w:w="652" w:type="dxa"/>
            <w:vMerge w:val="continue"/>
            <w:tcBorders>
              <w:top w:val="single" w:color="000000"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金融服务一张图</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展示社区周边3千米范围的银行、保险、债券、融资服务机构等金融服务点位地理信息，为社区创业者快速查找适合所需的金融机构，获取普惠信贷支持、日常消费信贷支持、保险服务、债券服务等，助力初始创业，履行银金融服务机构的社会责任。</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47 </w:t>
            </w:r>
          </w:p>
        </w:tc>
        <w:tc>
          <w:tcPr>
            <w:tcW w:w="652" w:type="dxa"/>
            <w:vMerge w:val="continue"/>
            <w:tcBorders>
              <w:top w:val="single" w:color="000000"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nil"/>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旅游一张图</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汇聚临海市范围的旅游、住宿、旅行社等旅游资源，实现旅游资源“一张图”显示。居民可以通过旅游一张图，随时了解周边的旅游基本信息情况，为居民的旅游出行提供参考和决策依据。</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48 </w:t>
            </w:r>
          </w:p>
        </w:tc>
        <w:tc>
          <w:tcPr>
            <w:tcW w:w="652" w:type="dxa"/>
            <w:vMerge w:val="continue"/>
            <w:tcBorders>
              <w:top w:val="single" w:color="000000"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活动管理</w:t>
            </w: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活动发起</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当管理员需要从后台发布项目活动时，可在此进行活动的发起操作。用系统设置活动分类，发起活动内容，项目设置活动班次。</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49 </w:t>
            </w:r>
          </w:p>
        </w:tc>
        <w:tc>
          <w:tcPr>
            <w:tcW w:w="652" w:type="dxa"/>
            <w:vMerge w:val="continue"/>
            <w:tcBorders>
              <w:top w:val="single" w:color="000000"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活动报名</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用户可在小程序端进行查看，报名等操作，管理后台可展示、审核报名人信息。</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50 </w:t>
            </w:r>
          </w:p>
        </w:tc>
        <w:tc>
          <w:tcPr>
            <w:tcW w:w="652" w:type="dxa"/>
            <w:vMerge w:val="continue"/>
            <w:tcBorders>
              <w:top w:val="single" w:color="000000"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活动签到</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活动报名成功后会生成二维码，管理员可在活动当天在管理员移动端扫描用户二维码签到。</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51 </w:t>
            </w:r>
          </w:p>
        </w:tc>
        <w:tc>
          <w:tcPr>
            <w:tcW w:w="652" w:type="dxa"/>
            <w:vMerge w:val="continue"/>
            <w:tcBorders>
              <w:top w:val="single" w:color="000000"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活动日报</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记录每日的活动详情，生成活动记录。</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52 </w:t>
            </w:r>
          </w:p>
        </w:tc>
        <w:tc>
          <w:tcPr>
            <w:tcW w:w="652" w:type="dxa"/>
            <w:vMerge w:val="continue"/>
            <w:tcBorders>
              <w:top w:val="single" w:color="000000"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restart"/>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积分管理</w:t>
            </w: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积分类型</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通过对场景的归类，可以将整个邻里积分分类为：贡献积分、健康积分、学习积分、公益积分。</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53 </w:t>
            </w:r>
          </w:p>
        </w:tc>
        <w:tc>
          <w:tcPr>
            <w:tcW w:w="652" w:type="dxa"/>
            <w:vMerge w:val="continue"/>
            <w:tcBorders>
              <w:top w:val="single" w:color="000000"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积分规则/积分获取配置</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主要通过在小程序上的行为操作作为积分的获取路径。其中贡献积分主要以在系统上参与互动，包括在小程序上的系列操作（譬如：登录、签到、评论、点赞等），意见被采纳，举报采纳，部分支付行为等所产生的积分；健康积分主要以参与健康活动讲座、参与健康检测、运动健身等健康行为所产生的积分；学习积分主要以学习讲座培训、图书学习等学习教育相关行为所产生的积分；公益积分主要以参与志愿活动、志愿互助等公益类行为所产生的积分。</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auto"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54 </w:t>
            </w:r>
          </w:p>
        </w:tc>
        <w:tc>
          <w:tcPr>
            <w:tcW w:w="652" w:type="dxa"/>
            <w:vMerge w:val="continue"/>
            <w:tcBorders>
              <w:top w:val="single" w:color="000000" w:sz="4" w:space="0"/>
              <w:left w:val="single" w:color="000000" w:sz="4" w:space="0"/>
              <w:bottom w:val="single" w:color="auto"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auto"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auto"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积分规则/积分消耗配置</w:t>
            </w:r>
          </w:p>
        </w:tc>
        <w:tc>
          <w:tcPr>
            <w:tcW w:w="8599" w:type="dxa"/>
            <w:tcBorders>
              <w:top w:val="nil"/>
              <w:left w:val="nil"/>
              <w:bottom w:val="single" w:color="auto"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对于居民所获得的积分，可以通过线上+线下的形式，进行积分的消耗。线上消耗主要用于线上场景的支付，譬如需要获得志愿服务、参与部分需要支付积分的活动、场馆预约积分抵扣、部分需要积分支付的服务等形式；线下消耗更多通过积分商城来实现，譬如积分兑换大米/油等实物礼品、兑换相应的物业服务、兑换商城优惠券等方式。通过线上+线下的形式，实现积分的消耗闭环。</w:t>
            </w:r>
          </w:p>
        </w:tc>
      </w:tr>
      <w:tr>
        <w:tblPrEx>
          <w:tblCellMar>
            <w:top w:w="0" w:type="dxa"/>
            <w:left w:w="108" w:type="dxa"/>
            <w:bottom w:w="0" w:type="dxa"/>
            <w:right w:w="108" w:type="dxa"/>
          </w:tblCellMar>
        </w:tblPrEx>
        <w:trPr>
          <w:trHeight w:val="300" w:hRule="atLeast"/>
        </w:trPr>
        <w:tc>
          <w:tcPr>
            <w:tcW w:w="5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55 </w:t>
            </w:r>
          </w:p>
        </w:tc>
        <w:tc>
          <w:tcPr>
            <w:tcW w:w="65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积分监管</w:t>
            </w:r>
          </w:p>
        </w:tc>
        <w:tc>
          <w:tcPr>
            <w:tcW w:w="859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主要为了保证积分的价值，使得积分能够在整个积分生态下自运转循环。通过统一在积分银行系统中心进行监管，通过积分平衡设计，后台对各种场景积分生成的管理，从而控制各类积分的获取的数量，从根源上控制各类积分的发放。同时，对于积分贡献、健康、学习、公益所产生的的积分直接汇总到积分池中，可无差别的进行使用，通过线上、线下的方式来作为积分消耗调控，最终保障积分的价值平衡。</w:t>
            </w:r>
          </w:p>
        </w:tc>
      </w:tr>
      <w:tr>
        <w:tblPrEx>
          <w:tblCellMar>
            <w:top w:w="0" w:type="dxa"/>
            <w:left w:w="108" w:type="dxa"/>
            <w:bottom w:w="0" w:type="dxa"/>
            <w:right w:w="108" w:type="dxa"/>
          </w:tblCellMar>
        </w:tblPrEx>
        <w:trPr>
          <w:trHeight w:val="300" w:hRule="atLeast"/>
        </w:trPr>
        <w:tc>
          <w:tcPr>
            <w:tcW w:w="540" w:type="dxa"/>
            <w:tcBorders>
              <w:top w:val="single" w:color="auto" w:sz="4" w:space="0"/>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56 </w:t>
            </w:r>
          </w:p>
        </w:tc>
        <w:tc>
          <w:tcPr>
            <w:tcW w:w="652" w:type="dxa"/>
            <w:vMerge w:val="continue"/>
            <w:tcBorders>
              <w:top w:val="single" w:color="auto"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restart"/>
            <w:tcBorders>
              <w:top w:val="single" w:color="auto" w:sz="4" w:space="0"/>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洋葱圈</w:t>
            </w:r>
          </w:p>
        </w:tc>
        <w:tc>
          <w:tcPr>
            <w:tcW w:w="3353" w:type="dxa"/>
            <w:gridSpan w:val="2"/>
            <w:tcBorders>
              <w:top w:val="single" w:color="auto"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圈申请</w:t>
            </w:r>
          </w:p>
        </w:tc>
        <w:tc>
          <w:tcPr>
            <w:tcW w:w="8599" w:type="dxa"/>
            <w:tcBorders>
              <w:top w:val="single" w:color="auto" w:sz="4" w:space="0"/>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支持社区达人、爱好者发起人可以在线申请成立新的圈群体，申请后经过社区后台的审核，方可前端展示。</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57 </w:t>
            </w:r>
          </w:p>
        </w:tc>
        <w:tc>
          <w:tcPr>
            <w:tcW w:w="652" w:type="dxa"/>
            <w:vMerge w:val="continue"/>
            <w:tcBorders>
              <w:top w:val="single" w:color="000000"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圈活动</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圈主及圈管理员可不定期在相应圈（书法圈、手工圈、音乐圈、舞蹈圈）发布相应活动，居民或者圈爱好者可在小程序端查看或选择参加报名。</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58 </w:t>
            </w:r>
          </w:p>
        </w:tc>
        <w:tc>
          <w:tcPr>
            <w:tcW w:w="652" w:type="dxa"/>
            <w:vMerge w:val="continue"/>
            <w:tcBorders>
              <w:top w:val="single" w:color="000000"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圈资源</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圈主及圈管理员可不定期在相应圈发布圈相关的文章、内容，居民可在小程序端在线查看，方便对相应圈感兴趣的居民学习。</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59 </w:t>
            </w:r>
          </w:p>
        </w:tc>
        <w:tc>
          <w:tcPr>
            <w:tcW w:w="652" w:type="dxa"/>
            <w:vMerge w:val="continue"/>
            <w:tcBorders>
              <w:top w:val="single" w:color="000000"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圈专家</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将圈内有影响力、达人专家的相关人物信息进行展示，便于提供圈内的互助、互动。</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60 </w:t>
            </w:r>
          </w:p>
        </w:tc>
        <w:tc>
          <w:tcPr>
            <w:tcW w:w="652" w:type="dxa"/>
            <w:vMerge w:val="continue"/>
            <w:tcBorders>
              <w:top w:val="single" w:color="000000"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圈排名</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居民通过参加圈内报到、参加圈活动、浏览圈资源文章等都会获取到不等的积分奖励，系统会按照圈内人员积分的高低生成在相应圈的排名，激励社区居民多多参加社区活动。</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61 </w:t>
            </w:r>
          </w:p>
        </w:tc>
        <w:tc>
          <w:tcPr>
            <w:tcW w:w="652" w:type="dxa"/>
            <w:vMerge w:val="continue"/>
            <w:tcBorders>
              <w:top w:val="single" w:color="000000"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圈风采</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展示圈内成员所组织过的活动、圈的精神风貌，传递该圈的人文信息。</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62 </w:t>
            </w:r>
          </w:p>
        </w:tc>
        <w:tc>
          <w:tcPr>
            <w:tcW w:w="652" w:type="dxa"/>
            <w:vMerge w:val="continue"/>
            <w:tcBorders>
              <w:top w:val="single" w:color="000000"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圈报到</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圈内成员每天在线报到，提升圈内活跃。</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63 </w:t>
            </w:r>
          </w:p>
        </w:tc>
        <w:tc>
          <w:tcPr>
            <w:tcW w:w="652" w:type="dxa"/>
            <w:vMerge w:val="continue"/>
            <w:tcBorders>
              <w:top w:val="single" w:color="000000" w:sz="4" w:space="0"/>
              <w:left w:val="single" w:color="000000" w:sz="4" w:space="0"/>
              <w:bottom w:val="single" w:color="000000" w:sz="4" w:space="0"/>
              <w:right w:val="nil"/>
            </w:tcBorders>
            <w:shd w:val="clear" w:color="auto" w:fill="auto"/>
            <w:noWrap w:val="0"/>
            <w:vAlign w:val="center"/>
          </w:tcPr>
          <w:p>
            <w:pPr>
              <w:widowControl/>
              <w:snapToGrid w:val="0"/>
              <w:jc w:val="left"/>
              <w:rPr>
                <w:rFonts w:ascii="宋体" w:hAnsi="宋体" w:cs="宋体"/>
                <w:kern w:val="0"/>
                <w:sz w:val="20"/>
                <w:szCs w:val="20"/>
              </w:rPr>
            </w:pPr>
          </w:p>
        </w:tc>
        <w:tc>
          <w:tcPr>
            <w:tcW w:w="4384"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好物共享</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实现社区居民间闲散资源的共享利用。依托于现有共享空间，社区居民线上提交物品共享申请，填写物品分类、图片等，社区工作人员审核通过后线下放置到共享空间，供其他居民使用。提供共享资源的社区居民可以获取邻里积分，其他居民线上登记使用记录后，在规定时间内即可使用该物品，归还后由工作人员修改物品状态。</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64 </w:t>
            </w:r>
          </w:p>
        </w:tc>
        <w:tc>
          <w:tcPr>
            <w:tcW w:w="652" w:type="dxa"/>
            <w:vMerge w:val="restart"/>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教育服务应用</w:t>
            </w:r>
          </w:p>
        </w:tc>
        <w:tc>
          <w:tcPr>
            <w:tcW w:w="1031" w:type="dxa"/>
            <w:vMerge w:val="restart"/>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大洋书房</w:t>
            </w: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图书借阅</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社区内已建立城市书房，可利用现有的系统和平台对接，同步社区居民图书借阅、热门书籍等信息统计，并与积分系统打通，实现积分借阅等功能。通过对接大洋图书管理系统小程序，居民可直接查询大洋图书馆内的书籍信息，同时可以进行的借阅查询、图书续借等操作。</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65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阅读心愿单</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社区居民通过手机端提交心愿单，系统自动统计居民最想借阅的书籍，并与图书馆进行对接，图书上架大洋书房后，系统会自动通知社区居民。</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66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restart"/>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在线教育管理模块</w:t>
            </w: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居民学习档案</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对学习过程进行规范管理和记录，形成个性化的居民终身学习电子档案，支持居民终身学习电子档案大数据分析功能，建立居民学习满意度实时反馈机制。</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67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需求发布</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提供居民学习需求发布的功能，居民通过手机端提交学习需求，系统对居民发布的信息进行统计，便于安排相应类型的课程，课程开启预约后，将会自动通知相应居民。</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68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课程表</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社区管理人员通过整合各类课程资源，形成周课程表，在系统进行发布，社区居民可以通过手机端查看课程表信息。</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69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课程预约</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社区居民根据系统发布的课程信息，结合自身的兴趣爱好，进行在线报名。社区管理人员可在系统查看各个课程的居民预约情况，并结合预约情况进行耗材的准备。</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auto"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70 </w:t>
            </w:r>
          </w:p>
        </w:tc>
        <w:tc>
          <w:tcPr>
            <w:tcW w:w="652" w:type="dxa"/>
            <w:vMerge w:val="continue"/>
            <w:tcBorders>
              <w:top w:val="nil"/>
              <w:left w:val="single" w:color="000000" w:sz="4" w:space="0"/>
              <w:bottom w:val="single" w:color="auto"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auto"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auto"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课程评价</w:t>
            </w:r>
          </w:p>
        </w:tc>
        <w:tc>
          <w:tcPr>
            <w:tcW w:w="8599" w:type="dxa"/>
            <w:tcBorders>
              <w:top w:val="nil"/>
              <w:left w:val="nil"/>
              <w:bottom w:val="single" w:color="auto"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社区居民参与课程学习后，可对授课的教师、课程质量等进行在线评。</w:t>
            </w:r>
          </w:p>
        </w:tc>
      </w:tr>
      <w:tr>
        <w:tblPrEx>
          <w:tblCellMar>
            <w:top w:w="0" w:type="dxa"/>
            <w:left w:w="108" w:type="dxa"/>
            <w:bottom w:w="0" w:type="dxa"/>
            <w:right w:w="108" w:type="dxa"/>
          </w:tblCellMar>
        </w:tblPrEx>
        <w:trPr>
          <w:trHeight w:val="300" w:hRule="atLeast"/>
        </w:trPr>
        <w:tc>
          <w:tcPr>
            <w:tcW w:w="5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71 </w:t>
            </w:r>
          </w:p>
        </w:tc>
        <w:tc>
          <w:tcPr>
            <w:tcW w:w="65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教学资源库</w:t>
            </w:r>
          </w:p>
        </w:tc>
        <w:tc>
          <w:tcPr>
            <w:tcW w:w="859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对接国家中小学网络云平台，提供课程学习资源（包含小学、初中、高中全学科）、专题教育资源（包含防疫教育、心理健康教育、品德教育、生命与安全教育、家庭教育、经典阅读等）。</w:t>
            </w:r>
          </w:p>
        </w:tc>
      </w:tr>
      <w:tr>
        <w:tblPrEx>
          <w:tblCellMar>
            <w:top w:w="0" w:type="dxa"/>
            <w:left w:w="108" w:type="dxa"/>
            <w:bottom w:w="0" w:type="dxa"/>
            <w:right w:w="108" w:type="dxa"/>
          </w:tblCellMar>
        </w:tblPrEx>
        <w:trPr>
          <w:trHeight w:val="300" w:hRule="atLeast"/>
        </w:trPr>
        <w:tc>
          <w:tcPr>
            <w:tcW w:w="540" w:type="dxa"/>
            <w:tcBorders>
              <w:top w:val="single" w:color="auto" w:sz="4" w:space="0"/>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72 </w:t>
            </w:r>
          </w:p>
        </w:tc>
        <w:tc>
          <w:tcPr>
            <w:tcW w:w="652" w:type="dxa"/>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8599" w:type="dxa"/>
            <w:tcBorders>
              <w:top w:val="single" w:color="auto" w:sz="4" w:space="0"/>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录播资源：在邻里中心三楼多媒体教室，录制现场直播、教育培训等活动的视频，形成录播资源。</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73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记录观看的历史信息，可以随时断点续看。为用户提供学习时长全程记录，可以直接转换积分兑换，可实现收藏课程一键直达。</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74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现场直播</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管理邀请中等职业技术学校的优秀教师、社区教师等进行直播授课（包括健康讲座、文化教育、技能培训、养老养生、普法教育、防诈骗教育、信息化技能培训等多种类型的讲座），社区居民可以通过手机端进行实时观看，直播的视频可以录制成资源，同步到教学资源库，居民可以通过手机端随时查看课程。</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75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课程上传</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进入后台管理，选择功能设置，在功能设置里把“课程”模块的开启按钮打开，点击“添加课程”，即可选择本地需要上传的文档，完成上传。</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76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课程查看</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点击课程菜单，进入课程单元页面，根据分类可进行个人要学习的课程查看。</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77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课程计时</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在课程单元页面，可查看所学课程的总进度、每个单元的完成状态、累计学习时间等。</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78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restart"/>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共享学习</w:t>
            </w: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互助学习小组</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结合居民学习轨迹、兴趣特长等，引导居民形成互助学习小组，进而成立相应的学习圈，与邻里场景中的“洋葱圈”实现跨场景联动。</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79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社区达人资源库</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组建社区达人资源库，开展非遗技艺传承、艺术特长传授、专业技术分享、生活技巧交流等线下教育活动。</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80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学习积分管理</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依托居民全龄在线教育系统，对课程学习数据进行学习积分管理，以学习积分、授课积分激发居民参与教育活动积极性。</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8</w:t>
            </w:r>
            <w:r>
              <w:rPr>
                <w:rFonts w:ascii="宋体" w:hAnsi="宋体" w:cs="宋体"/>
                <w:kern w:val="0"/>
                <w:sz w:val="20"/>
                <w:szCs w:val="20"/>
              </w:rPr>
              <w:t>1</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成教、职业技能资源</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购买成教、职业技能资源，上传至全龄在线教育系统，社区居民都可观看学习。</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82 </w:t>
            </w:r>
          </w:p>
        </w:tc>
        <w:tc>
          <w:tcPr>
            <w:tcW w:w="652" w:type="dxa"/>
            <w:vMerge w:val="restart"/>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健康服务应用</w:t>
            </w:r>
          </w:p>
        </w:tc>
        <w:tc>
          <w:tcPr>
            <w:tcW w:w="1031" w:type="dxa"/>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健康档案</w:t>
            </w: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健康档案</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梳理社区居民人口档案，与卫健局对接形成社区居民专属电子健康档案，同时整合健康小屋检测数据，打造真正动态的个人健康档案数据，包括慢病管理、血糖、血脂、心率等数据，作为持续的健康管理服务的重要数据依据。</w:t>
            </w:r>
            <w:r>
              <w:rPr>
                <w:rFonts w:hint="eastAsia" w:ascii="宋体" w:hAnsi="宋体" w:cs="宋体"/>
                <w:kern w:val="0"/>
                <w:sz w:val="20"/>
                <w:szCs w:val="20"/>
              </w:rPr>
              <w:br w:type="textWrapping"/>
            </w:r>
            <w:r>
              <w:rPr>
                <w:rFonts w:hint="eastAsia" w:ascii="宋体" w:hAnsi="宋体" w:cs="宋体"/>
                <w:kern w:val="0"/>
                <w:sz w:val="20"/>
                <w:szCs w:val="20"/>
              </w:rPr>
              <w:t>居民可以实时查看自己的问诊、挂号等病历信息，同时可以便捷维护自己的健康信息、健康数据、体检报告等。便于用户实时掌握自身健康状态。</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auto"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83 </w:t>
            </w:r>
          </w:p>
        </w:tc>
        <w:tc>
          <w:tcPr>
            <w:tcW w:w="652" w:type="dxa"/>
            <w:vMerge w:val="continue"/>
            <w:tcBorders>
              <w:top w:val="nil"/>
              <w:left w:val="single" w:color="000000" w:sz="4" w:space="0"/>
              <w:bottom w:val="single" w:color="auto"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restart"/>
            <w:tcBorders>
              <w:top w:val="nil"/>
              <w:left w:val="single" w:color="000000" w:sz="4" w:space="0"/>
              <w:bottom w:val="single" w:color="auto"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康洋小屋</w:t>
            </w:r>
          </w:p>
        </w:tc>
        <w:tc>
          <w:tcPr>
            <w:tcW w:w="3353" w:type="dxa"/>
            <w:gridSpan w:val="2"/>
            <w:tcBorders>
              <w:top w:val="single" w:color="000000" w:sz="4" w:space="0"/>
              <w:left w:val="nil"/>
              <w:bottom w:val="single" w:color="auto"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健康监测</w:t>
            </w:r>
          </w:p>
        </w:tc>
        <w:tc>
          <w:tcPr>
            <w:tcW w:w="8599" w:type="dxa"/>
            <w:tcBorders>
              <w:top w:val="nil"/>
              <w:left w:val="nil"/>
              <w:bottom w:val="single" w:color="auto"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康洋小屋中配置体征测量设备一体机，居民可以自主检测身高、体重、血压等，测量数据会与居民的电子健康档案实时同步，为远程诊疗提供数据参考。</w:t>
            </w:r>
          </w:p>
        </w:tc>
      </w:tr>
      <w:tr>
        <w:tblPrEx>
          <w:tblCellMar>
            <w:top w:w="0" w:type="dxa"/>
            <w:left w:w="108" w:type="dxa"/>
            <w:bottom w:w="0" w:type="dxa"/>
            <w:right w:w="108" w:type="dxa"/>
          </w:tblCellMar>
        </w:tblPrEx>
        <w:trPr>
          <w:trHeight w:val="300" w:hRule="atLeast"/>
        </w:trPr>
        <w:tc>
          <w:tcPr>
            <w:tcW w:w="5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84 </w:t>
            </w:r>
          </w:p>
        </w:tc>
        <w:tc>
          <w:tcPr>
            <w:tcW w:w="65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健康评估</w:t>
            </w:r>
          </w:p>
        </w:tc>
        <w:tc>
          <w:tcPr>
            <w:tcW w:w="20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中医体质检测</w:t>
            </w:r>
          </w:p>
        </w:tc>
        <w:tc>
          <w:tcPr>
            <w:tcW w:w="8599"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居民可以在“大洋未来社区”小程序自主选择模型疾病，如、中医体质检测，健康状态自测、慢性疲劳评估、健康手册等，通过问卷量表，对居民的危险因素、危险权重等内容进行收集。结合使用的专业健康检测设备所监测的信息数据，进行综合统计分析，得出居民的健康评估报告，做好长期的健康监护及指导。</w:t>
            </w:r>
          </w:p>
        </w:tc>
      </w:tr>
      <w:tr>
        <w:tblPrEx>
          <w:tblCellMar>
            <w:top w:w="0" w:type="dxa"/>
            <w:left w:w="108" w:type="dxa"/>
            <w:bottom w:w="0" w:type="dxa"/>
            <w:right w:w="108" w:type="dxa"/>
          </w:tblCellMar>
        </w:tblPrEx>
        <w:trPr>
          <w:trHeight w:val="300" w:hRule="atLeast"/>
        </w:trPr>
        <w:tc>
          <w:tcPr>
            <w:tcW w:w="5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85 </w:t>
            </w:r>
          </w:p>
        </w:tc>
        <w:tc>
          <w:tcPr>
            <w:tcW w:w="65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20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健康状态自测</w:t>
            </w:r>
          </w:p>
        </w:tc>
        <w:tc>
          <w:tcPr>
            <w:tcW w:w="85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r>
      <w:tr>
        <w:tblPrEx>
          <w:tblCellMar>
            <w:top w:w="0" w:type="dxa"/>
            <w:left w:w="108" w:type="dxa"/>
            <w:bottom w:w="0" w:type="dxa"/>
            <w:right w:w="108" w:type="dxa"/>
          </w:tblCellMar>
        </w:tblPrEx>
        <w:trPr>
          <w:trHeight w:val="300" w:hRule="atLeast"/>
        </w:trPr>
        <w:tc>
          <w:tcPr>
            <w:tcW w:w="5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86 </w:t>
            </w:r>
          </w:p>
        </w:tc>
        <w:tc>
          <w:tcPr>
            <w:tcW w:w="65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20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慢性疲劳评估</w:t>
            </w:r>
          </w:p>
        </w:tc>
        <w:tc>
          <w:tcPr>
            <w:tcW w:w="85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r>
      <w:tr>
        <w:tblPrEx>
          <w:tblCellMar>
            <w:top w:w="0" w:type="dxa"/>
            <w:left w:w="108" w:type="dxa"/>
            <w:bottom w:w="0" w:type="dxa"/>
            <w:right w:w="108" w:type="dxa"/>
          </w:tblCellMar>
        </w:tblPrEx>
        <w:trPr>
          <w:trHeight w:val="300" w:hRule="atLeast"/>
        </w:trPr>
        <w:tc>
          <w:tcPr>
            <w:tcW w:w="5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87 </w:t>
            </w:r>
          </w:p>
        </w:tc>
        <w:tc>
          <w:tcPr>
            <w:tcW w:w="65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20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健康手册</w:t>
            </w:r>
          </w:p>
        </w:tc>
        <w:tc>
          <w:tcPr>
            <w:tcW w:w="85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r>
      <w:tr>
        <w:tblPrEx>
          <w:tblCellMar>
            <w:top w:w="0" w:type="dxa"/>
            <w:left w:w="108" w:type="dxa"/>
            <w:bottom w:w="0" w:type="dxa"/>
            <w:right w:w="108" w:type="dxa"/>
          </w:tblCellMar>
        </w:tblPrEx>
        <w:trPr>
          <w:trHeight w:val="300" w:hRule="atLeast"/>
        </w:trPr>
        <w:tc>
          <w:tcPr>
            <w:tcW w:w="540" w:type="dxa"/>
            <w:tcBorders>
              <w:top w:val="single" w:color="auto" w:sz="4" w:space="0"/>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88 </w:t>
            </w:r>
          </w:p>
        </w:tc>
        <w:tc>
          <w:tcPr>
            <w:tcW w:w="652" w:type="dxa"/>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restart"/>
            <w:tcBorders>
              <w:top w:val="single" w:color="auto" w:sz="4" w:space="0"/>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健康干预</w:t>
            </w:r>
          </w:p>
        </w:tc>
        <w:tc>
          <w:tcPr>
            <w:tcW w:w="2095" w:type="dxa"/>
            <w:tcBorders>
              <w:top w:val="single" w:color="auto"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膳食干预处方</w:t>
            </w:r>
          </w:p>
        </w:tc>
        <w:tc>
          <w:tcPr>
            <w:tcW w:w="8599" w:type="dxa"/>
            <w:vMerge w:val="restart"/>
            <w:tcBorders>
              <w:top w:val="single" w:color="auto" w:sz="4" w:space="0"/>
              <w:left w:val="single" w:color="000000" w:sz="4" w:space="0"/>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系统结合居民的健康检测数据、居民的基本信息数据、居民的健康评估状况数据、居家养老中心管理师对居民饮食的维护，自动生成膳食干预处方、运动干预处方、心理干预处方，提供居民量身定制的方案。居民可通过“大洋未来社区”小程序查看针对个人的膳食建议、运动建议、心理建议，合理改善个人生活方式。</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89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2095" w:type="dxa"/>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运动干预处方</w:t>
            </w:r>
          </w:p>
        </w:tc>
        <w:tc>
          <w:tcPr>
            <w:tcW w:w="8599" w:type="dxa"/>
            <w:vMerge w:val="continue"/>
            <w:tcBorders>
              <w:top w:val="nil"/>
              <w:left w:val="single" w:color="000000" w:sz="4" w:space="0"/>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90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2095" w:type="dxa"/>
            <w:tcBorders>
              <w:top w:val="nil"/>
              <w:left w:val="nil"/>
              <w:bottom w:val="nil"/>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心理干预处方</w:t>
            </w:r>
          </w:p>
        </w:tc>
        <w:tc>
          <w:tcPr>
            <w:tcW w:w="8599" w:type="dxa"/>
            <w:vMerge w:val="continue"/>
            <w:tcBorders>
              <w:top w:val="nil"/>
              <w:left w:val="single" w:color="000000" w:sz="4" w:space="0"/>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91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智慧医疗模块</w:t>
            </w:r>
          </w:p>
        </w:tc>
        <w:tc>
          <w:tcPr>
            <w:tcW w:w="3353"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预约挂号</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对接健康台州，提供台州地区各级医院的挂号资源，方便居民在小程序或康洋小屋服务终端上为自己及认证家人预约挂号。</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92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名医名院介绍</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对接健康台州，将每家医院的特色科室、专家坐诊时间系统上重点介绍，定期更新，居民可以通过小程序或线下电子屏，查看到各医院特色科室及坐诊专家等信息。</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93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nil"/>
              <w:left w:val="nil"/>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健康档案</w:t>
            </w:r>
          </w:p>
        </w:tc>
        <w:tc>
          <w:tcPr>
            <w:tcW w:w="8599" w:type="dxa"/>
            <w:tcBorders>
              <w:top w:val="nil"/>
              <w:left w:val="nil"/>
              <w:bottom w:val="single" w:color="000000" w:sz="4" w:space="0"/>
              <w:right w:val="nil"/>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可查询健康档案、检验检查报告、体检报告。</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94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nil"/>
              <w:left w:val="nil"/>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在线支付</w:t>
            </w:r>
          </w:p>
        </w:tc>
        <w:tc>
          <w:tcPr>
            <w:tcW w:w="8599" w:type="dxa"/>
            <w:tcBorders>
              <w:top w:val="nil"/>
              <w:left w:val="nil"/>
              <w:bottom w:val="single" w:color="000000" w:sz="4" w:space="0"/>
              <w:right w:val="nil"/>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实现诊疗费的自费和医保脱卡支付。</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95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nil"/>
              <w:left w:val="nil"/>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亲情账户</w:t>
            </w:r>
          </w:p>
        </w:tc>
        <w:tc>
          <w:tcPr>
            <w:tcW w:w="8599" w:type="dxa"/>
            <w:tcBorders>
              <w:top w:val="nil"/>
              <w:left w:val="nil"/>
              <w:bottom w:val="single" w:color="000000" w:sz="4" w:space="0"/>
              <w:right w:val="nil"/>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添加自己的父母、子女以及其他亲人为成员，可关注他们的体征测量结果，还可以查询他们的健康档案，包括查看就诊记录、用药清单、检查报告。</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96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nil"/>
              <w:left w:val="nil"/>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在线问诊</w:t>
            </w:r>
          </w:p>
        </w:tc>
        <w:tc>
          <w:tcPr>
            <w:tcW w:w="8599" w:type="dxa"/>
            <w:tcBorders>
              <w:top w:val="nil"/>
              <w:left w:val="nil"/>
              <w:bottom w:val="single" w:color="000000" w:sz="4" w:space="0"/>
              <w:right w:val="nil"/>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整合临海市第一人民医院医疗资源，打造远程线上问诊模式，居民可通过在线视频或上传图文、视频等资料，由后台市一医院医生远程问诊，如符合在线复诊要求的患者，在发起在线会诊申请并完成预约挂号支付后，同样可享受医生提供的在线复诊服务。医生可基于患者就诊记录充分了解患者病情之后进行诊断与记录，并调用在线处方功能为患者开具处方完成当次诊疗行为。服务结束后，居民可对针对本次服务进行评价。</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97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restart"/>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互联网诊疗平台</w:t>
            </w:r>
          </w:p>
        </w:tc>
        <w:tc>
          <w:tcPr>
            <w:tcW w:w="2095" w:type="dxa"/>
            <w:vMerge w:val="restart"/>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患者问诊</w:t>
            </w:r>
          </w:p>
        </w:tc>
        <w:tc>
          <w:tcPr>
            <w:tcW w:w="8599" w:type="dxa"/>
            <w:tcBorders>
              <w:top w:val="single" w:color="auto" w:sz="4" w:space="0"/>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问诊主页:互联网诊疗平台的主页，展示平台的诊疗业务、诊疗科室、问诊医生等功能模块。</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98 </w:t>
            </w:r>
          </w:p>
        </w:tc>
        <w:tc>
          <w:tcPr>
            <w:tcW w:w="652" w:type="dxa"/>
            <w:vMerge w:val="continue"/>
            <w:tcBorders>
              <w:top w:val="nil"/>
              <w:left w:val="single" w:color="000000" w:sz="4" w:space="0"/>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nil"/>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2095"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8599" w:type="dxa"/>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医生主页：展示医生的介绍信息、诊疗业务以及居民评价。</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99 </w:t>
            </w:r>
          </w:p>
        </w:tc>
        <w:tc>
          <w:tcPr>
            <w:tcW w:w="652" w:type="dxa"/>
            <w:vMerge w:val="continue"/>
            <w:tcBorders>
              <w:top w:val="nil"/>
              <w:left w:val="single" w:color="000000" w:sz="4" w:space="0"/>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nil"/>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2095"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8599" w:type="dxa"/>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医院主页：居民了解医院信息的窗口，包括医院介绍、医院诊疗业务、诊疗科室以及问诊医生，不同的医院可能会提供不同的诊疗业务</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100 </w:t>
            </w:r>
          </w:p>
        </w:tc>
        <w:tc>
          <w:tcPr>
            <w:tcW w:w="652" w:type="dxa"/>
            <w:vMerge w:val="continue"/>
            <w:tcBorders>
              <w:top w:val="nil"/>
              <w:left w:val="single" w:color="000000" w:sz="4" w:space="0"/>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nil"/>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2095"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8599" w:type="dxa"/>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在线问诊：提供互联网问诊服务相关功能，居民可以根据实际应用场景，选择健康咨询、用药咨询以及在线复诊服务。</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101 </w:t>
            </w:r>
          </w:p>
        </w:tc>
        <w:tc>
          <w:tcPr>
            <w:tcW w:w="652" w:type="dxa"/>
            <w:vMerge w:val="continue"/>
            <w:tcBorders>
              <w:top w:val="nil"/>
              <w:left w:val="single" w:color="000000" w:sz="4" w:space="0"/>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nil"/>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2095"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8599" w:type="dxa"/>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专家咨询：提供本地医生以及长三角互联网医院医生资源的咨询服务，支持医生与居民通过图文咨询的方式实现同步或异步沟通</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auto"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102 </w:t>
            </w:r>
          </w:p>
        </w:tc>
        <w:tc>
          <w:tcPr>
            <w:tcW w:w="652" w:type="dxa"/>
            <w:vMerge w:val="continue"/>
            <w:tcBorders>
              <w:top w:val="nil"/>
              <w:left w:val="single" w:color="000000" w:sz="4" w:space="0"/>
              <w:bottom w:val="single" w:color="auto"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nil"/>
              <w:bottom w:val="single" w:color="auto"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2095"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8599" w:type="dxa"/>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在线支付：基于健康一卡通平台，将现有多种支付方式、支付渠道、多个资金通道进行统一整合规划，建立统一的支付标准，面向医疗机构咨询费用、复诊费用以及会诊费用等账单的在线结算，支持自费结算和医保脱卡结算。</w:t>
            </w:r>
          </w:p>
        </w:tc>
      </w:tr>
      <w:tr>
        <w:tblPrEx>
          <w:tblCellMar>
            <w:top w:w="0" w:type="dxa"/>
            <w:left w:w="108" w:type="dxa"/>
            <w:bottom w:w="0" w:type="dxa"/>
            <w:right w:w="108" w:type="dxa"/>
          </w:tblCellMar>
        </w:tblPrEx>
        <w:trPr>
          <w:trHeight w:val="300" w:hRule="atLeast"/>
        </w:trPr>
        <w:tc>
          <w:tcPr>
            <w:tcW w:w="5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103 </w:t>
            </w:r>
          </w:p>
        </w:tc>
        <w:tc>
          <w:tcPr>
            <w:tcW w:w="6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20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859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用户管理：建立居民用户账户体系，提供针对在线服务用户的统一注册、登录、登出以及修改密码的功能，居民可以添加就诊人并进行人脸识别实名认证，同时支持添加就诊人的就诊卡，可用于互联网诊疗、医保支付等。</w:t>
            </w:r>
          </w:p>
        </w:tc>
      </w:tr>
      <w:tr>
        <w:tblPrEx>
          <w:tblCellMar>
            <w:top w:w="0" w:type="dxa"/>
            <w:left w:w="108" w:type="dxa"/>
            <w:bottom w:w="0" w:type="dxa"/>
            <w:right w:w="108" w:type="dxa"/>
          </w:tblCellMar>
        </w:tblPrEx>
        <w:trPr>
          <w:trHeight w:val="300" w:hRule="atLeast"/>
        </w:trPr>
        <w:tc>
          <w:tcPr>
            <w:tcW w:w="540" w:type="dxa"/>
            <w:tcBorders>
              <w:top w:val="single" w:color="auto" w:sz="4" w:space="0"/>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104 </w:t>
            </w:r>
          </w:p>
        </w:tc>
        <w:tc>
          <w:tcPr>
            <w:tcW w:w="652"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continue"/>
            <w:tcBorders>
              <w:top w:val="single" w:color="auto" w:sz="4" w:space="0"/>
              <w:left w:val="nil"/>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20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8599" w:type="dxa"/>
            <w:tcBorders>
              <w:top w:val="single" w:color="auto" w:sz="4" w:space="0"/>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问诊订单：可以查看互联网医院的所有健康咨询、在线复诊以及用药咨询的订单信息。</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105 </w:t>
            </w:r>
          </w:p>
        </w:tc>
        <w:tc>
          <w:tcPr>
            <w:tcW w:w="652" w:type="dxa"/>
            <w:vMerge w:val="continue"/>
            <w:tcBorders>
              <w:top w:val="nil"/>
              <w:left w:val="single" w:color="000000" w:sz="4" w:space="0"/>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nil"/>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2095"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8599" w:type="dxa"/>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远程会诊：用户可以查看主治医生申请的远程会诊订单，包括会诊的时间、会诊的医院、会诊服务医生、会诊费用以及会诊状态等信息。</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106 </w:t>
            </w:r>
          </w:p>
        </w:tc>
        <w:tc>
          <w:tcPr>
            <w:tcW w:w="652" w:type="dxa"/>
            <w:vMerge w:val="continue"/>
            <w:tcBorders>
              <w:top w:val="nil"/>
              <w:left w:val="single" w:color="000000" w:sz="4" w:space="0"/>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nil"/>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2095"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8599" w:type="dxa"/>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消息提醒：包含预约就诊提醒、医生接诊提醒、问诊结束提醒、医生未接诊提醒、医生退诊提醒、医生停诊提醒、会诊开始提醒、会诊审核不通过提醒。</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107 </w:t>
            </w:r>
          </w:p>
        </w:tc>
        <w:tc>
          <w:tcPr>
            <w:tcW w:w="652" w:type="dxa"/>
            <w:vMerge w:val="continue"/>
            <w:tcBorders>
              <w:top w:val="nil"/>
              <w:left w:val="single" w:color="000000" w:sz="4" w:space="0"/>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nil"/>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2095" w:type="dxa"/>
            <w:vMerge w:val="restart"/>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医生会诊</w:t>
            </w:r>
          </w:p>
        </w:tc>
        <w:tc>
          <w:tcPr>
            <w:tcW w:w="8599" w:type="dxa"/>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工作站主页：医生在互联网医院坐诊时，可以通过医生工作站主页，查看所有诊疗业务相关的数据</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108 </w:t>
            </w:r>
          </w:p>
        </w:tc>
        <w:tc>
          <w:tcPr>
            <w:tcW w:w="652" w:type="dxa"/>
            <w:vMerge w:val="continue"/>
            <w:tcBorders>
              <w:top w:val="nil"/>
              <w:left w:val="single" w:color="000000" w:sz="4" w:space="0"/>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nil"/>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2095"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8599" w:type="dxa"/>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在线接诊：包含待处理列表、接诊审核、在线问诊、结束问诊、在线退诊。</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109 </w:t>
            </w:r>
          </w:p>
        </w:tc>
        <w:tc>
          <w:tcPr>
            <w:tcW w:w="652" w:type="dxa"/>
            <w:vMerge w:val="continue"/>
            <w:tcBorders>
              <w:top w:val="nil"/>
              <w:left w:val="single" w:color="000000" w:sz="4" w:space="0"/>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nil"/>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2095"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8599" w:type="dxa"/>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患者资料调阅：通过和台州一卡通平台的对接，增加居民资料调阅模块，医生可以在问诊过程中，查看居民的相关信息及病情资料。</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110 </w:t>
            </w:r>
          </w:p>
        </w:tc>
        <w:tc>
          <w:tcPr>
            <w:tcW w:w="652" w:type="dxa"/>
            <w:vMerge w:val="continue"/>
            <w:tcBorders>
              <w:top w:val="nil"/>
              <w:left w:val="single" w:color="000000" w:sz="4" w:space="0"/>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nil"/>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2095"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8599" w:type="dxa"/>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病历处方：根据居民的不同问诊场景，提供不同的处方药品目录，从而方便居民更加便捷的取药。</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111 </w:t>
            </w:r>
          </w:p>
        </w:tc>
        <w:tc>
          <w:tcPr>
            <w:tcW w:w="652" w:type="dxa"/>
            <w:vMerge w:val="continue"/>
            <w:tcBorders>
              <w:top w:val="nil"/>
              <w:left w:val="single" w:color="000000" w:sz="4" w:space="0"/>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nil"/>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2095"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8599" w:type="dxa"/>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预约转诊：根据居民病情，医生可以帮居民预约转诊到上级医疗机构，医生可以直接查询上级医疗机构的各科室的号源排班信息</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112 </w:t>
            </w:r>
          </w:p>
        </w:tc>
        <w:tc>
          <w:tcPr>
            <w:tcW w:w="652" w:type="dxa"/>
            <w:vMerge w:val="continue"/>
            <w:tcBorders>
              <w:top w:val="nil"/>
              <w:left w:val="single" w:color="000000" w:sz="4" w:space="0"/>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nil"/>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2095"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8599" w:type="dxa"/>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历史问诊：医生可以查看互联网医院的所有居民健康咨询、在线复诊以及用药咨询的订单信息</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113 </w:t>
            </w:r>
          </w:p>
        </w:tc>
        <w:tc>
          <w:tcPr>
            <w:tcW w:w="652" w:type="dxa"/>
            <w:vMerge w:val="continue"/>
            <w:tcBorders>
              <w:top w:val="nil"/>
              <w:left w:val="single" w:color="000000" w:sz="4" w:space="0"/>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nil"/>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2095"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8599" w:type="dxa"/>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远程会诊：主治医生或服务医生可以查看远程会诊的订单，包括居民信息、会诊的时间、会诊的医院、会诊服务医生、会诊费用以及会诊状态等信息。</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114 </w:t>
            </w:r>
          </w:p>
        </w:tc>
        <w:tc>
          <w:tcPr>
            <w:tcW w:w="652" w:type="dxa"/>
            <w:vMerge w:val="continue"/>
            <w:tcBorders>
              <w:top w:val="nil"/>
              <w:left w:val="single" w:color="000000" w:sz="4" w:space="0"/>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nil"/>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2095"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8599" w:type="dxa"/>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用户管理：提供针对在线服务用户的统一注册、登录、登出以及修改密码功能的同时，增加医生查看账号信息以及执业信息的功能。</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115 </w:t>
            </w:r>
          </w:p>
        </w:tc>
        <w:tc>
          <w:tcPr>
            <w:tcW w:w="652" w:type="dxa"/>
            <w:vMerge w:val="continue"/>
            <w:tcBorders>
              <w:top w:val="nil"/>
              <w:left w:val="single" w:color="000000" w:sz="4" w:space="0"/>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nil"/>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2095"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8599" w:type="dxa"/>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消息提醒：针对一些关键业务节点消息推送提醒。</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116 </w:t>
            </w:r>
          </w:p>
        </w:tc>
        <w:tc>
          <w:tcPr>
            <w:tcW w:w="652" w:type="dxa"/>
            <w:vMerge w:val="continue"/>
            <w:tcBorders>
              <w:top w:val="nil"/>
              <w:left w:val="single" w:color="000000" w:sz="4" w:space="0"/>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nil"/>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2095" w:type="dxa"/>
            <w:vMerge w:val="restart"/>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医院管理</w:t>
            </w:r>
          </w:p>
        </w:tc>
        <w:tc>
          <w:tcPr>
            <w:tcW w:w="8599" w:type="dxa"/>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基础信息管理：包含角色管理、账号管理功能。</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117 </w:t>
            </w:r>
          </w:p>
        </w:tc>
        <w:tc>
          <w:tcPr>
            <w:tcW w:w="652" w:type="dxa"/>
            <w:vMerge w:val="continue"/>
            <w:tcBorders>
              <w:top w:val="nil"/>
              <w:left w:val="single" w:color="000000" w:sz="4" w:space="0"/>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nil"/>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2095"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8599" w:type="dxa"/>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医院管理：可以管理医院基础信息、互联网医院信息、互联网诊疗业务等。</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118 </w:t>
            </w:r>
          </w:p>
        </w:tc>
        <w:tc>
          <w:tcPr>
            <w:tcW w:w="652" w:type="dxa"/>
            <w:vMerge w:val="continue"/>
            <w:tcBorders>
              <w:top w:val="nil"/>
              <w:left w:val="single" w:color="000000" w:sz="4" w:space="0"/>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nil"/>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2095"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8599" w:type="dxa"/>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药品管理：可以管理药品信息、药品目录对码信息。</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119 </w:t>
            </w:r>
          </w:p>
        </w:tc>
        <w:tc>
          <w:tcPr>
            <w:tcW w:w="652" w:type="dxa"/>
            <w:vMerge w:val="continue"/>
            <w:tcBorders>
              <w:top w:val="nil"/>
              <w:left w:val="single" w:color="000000" w:sz="4" w:space="0"/>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nil"/>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2095"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8599" w:type="dxa"/>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医生管理：可以管理医生排班、药师审方排班、医生诊疗业务、医生信息、医生评价。</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120 </w:t>
            </w:r>
          </w:p>
        </w:tc>
        <w:tc>
          <w:tcPr>
            <w:tcW w:w="652" w:type="dxa"/>
            <w:vMerge w:val="continue"/>
            <w:tcBorders>
              <w:top w:val="nil"/>
              <w:left w:val="single" w:color="000000" w:sz="4" w:space="0"/>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nil"/>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2095"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8599" w:type="dxa"/>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数据统计：可以统计问诊量、问诊收入、处方数量、会诊量、会诊收入。</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121 </w:t>
            </w:r>
          </w:p>
        </w:tc>
        <w:tc>
          <w:tcPr>
            <w:tcW w:w="652" w:type="dxa"/>
            <w:vMerge w:val="continue"/>
            <w:tcBorders>
              <w:top w:val="nil"/>
              <w:left w:val="single" w:color="000000" w:sz="4" w:space="0"/>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nil"/>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2095"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8599" w:type="dxa"/>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订单管理：可以管理问诊订单、会诊订单、退款记录。</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auto"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122 </w:t>
            </w:r>
          </w:p>
        </w:tc>
        <w:tc>
          <w:tcPr>
            <w:tcW w:w="652" w:type="dxa"/>
            <w:vMerge w:val="continue"/>
            <w:tcBorders>
              <w:top w:val="nil"/>
              <w:left w:val="single" w:color="000000" w:sz="4" w:space="0"/>
              <w:bottom w:val="single" w:color="auto"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nil"/>
              <w:bottom w:val="single" w:color="auto"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2095"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8599" w:type="dxa"/>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医院处方管理：可以进行处方查询、处方审核、处方审核提醒、自动审方配置。</w:t>
            </w:r>
          </w:p>
        </w:tc>
      </w:tr>
      <w:tr>
        <w:tblPrEx>
          <w:tblCellMar>
            <w:top w:w="0" w:type="dxa"/>
            <w:left w:w="108" w:type="dxa"/>
            <w:bottom w:w="0" w:type="dxa"/>
            <w:right w:w="108" w:type="dxa"/>
          </w:tblCellMar>
        </w:tblPrEx>
        <w:trPr>
          <w:trHeight w:val="300" w:hRule="atLeast"/>
        </w:trPr>
        <w:tc>
          <w:tcPr>
            <w:tcW w:w="5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123 </w:t>
            </w:r>
          </w:p>
        </w:tc>
        <w:tc>
          <w:tcPr>
            <w:tcW w:w="6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云药房系统</w:t>
            </w:r>
          </w:p>
        </w:tc>
        <w:tc>
          <w:tcPr>
            <w:tcW w:w="20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药柜机取药</w:t>
            </w:r>
          </w:p>
        </w:tc>
        <w:tc>
          <w:tcPr>
            <w:tcW w:w="859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我的处方：根据身份证号查询居民在处方共享中心的处方信息，并通过列表进行展示，同时居民可以查看处方的详情。</w:t>
            </w:r>
          </w:p>
        </w:tc>
      </w:tr>
      <w:tr>
        <w:tblPrEx>
          <w:tblCellMar>
            <w:top w:w="0" w:type="dxa"/>
            <w:left w:w="108" w:type="dxa"/>
            <w:bottom w:w="0" w:type="dxa"/>
            <w:right w:w="108" w:type="dxa"/>
          </w:tblCellMar>
        </w:tblPrEx>
        <w:trPr>
          <w:trHeight w:val="300" w:hRule="atLeast"/>
        </w:trPr>
        <w:tc>
          <w:tcPr>
            <w:tcW w:w="540" w:type="dxa"/>
            <w:tcBorders>
              <w:top w:val="single" w:color="auto" w:sz="4" w:space="0"/>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124 </w:t>
            </w:r>
          </w:p>
        </w:tc>
        <w:tc>
          <w:tcPr>
            <w:tcW w:w="652"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continue"/>
            <w:tcBorders>
              <w:top w:val="single" w:color="auto" w:sz="4" w:space="0"/>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20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8599" w:type="dxa"/>
            <w:tcBorders>
              <w:top w:val="single" w:color="auto" w:sz="4" w:space="0"/>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药品下单:可以进行药品信息查询、创建订单、处方流转等。</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125 </w:t>
            </w:r>
          </w:p>
        </w:tc>
        <w:tc>
          <w:tcPr>
            <w:tcW w:w="652" w:type="dxa"/>
            <w:vMerge w:val="continue"/>
            <w:tcBorders>
              <w:top w:val="nil"/>
              <w:left w:val="single" w:color="000000" w:sz="4" w:space="0"/>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continue"/>
            <w:tcBorders>
              <w:top w:val="single" w:color="auto" w:sz="4" w:space="0"/>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2095"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8599" w:type="dxa"/>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在线支付：基于健康一卡通平台，将现有多种支付方式、支付渠道、多个资金通道进行统一整合规划，建立统一的支付标准，支持医保脱卡结算。</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126 </w:t>
            </w:r>
          </w:p>
        </w:tc>
        <w:tc>
          <w:tcPr>
            <w:tcW w:w="652" w:type="dxa"/>
            <w:vMerge w:val="continue"/>
            <w:tcBorders>
              <w:top w:val="nil"/>
              <w:left w:val="single" w:color="000000" w:sz="4" w:space="0"/>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continue"/>
            <w:tcBorders>
              <w:top w:val="single" w:color="auto" w:sz="4" w:space="0"/>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2095"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8599" w:type="dxa"/>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药品订单：可以进行订单查询、取消订单、取药码取药等操作。</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127 </w:t>
            </w:r>
          </w:p>
        </w:tc>
        <w:tc>
          <w:tcPr>
            <w:tcW w:w="652" w:type="dxa"/>
            <w:vMerge w:val="continue"/>
            <w:tcBorders>
              <w:top w:val="nil"/>
              <w:left w:val="single" w:color="000000" w:sz="4" w:space="0"/>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continue"/>
            <w:tcBorders>
              <w:top w:val="single" w:color="auto" w:sz="4" w:space="0"/>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2095"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8599" w:type="dxa"/>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消息提醒：根据购药完成时间和处方单的用药天数，在药品即将用完前，系统会发送消息提醒用户进行续方。</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128 </w:t>
            </w:r>
          </w:p>
        </w:tc>
        <w:tc>
          <w:tcPr>
            <w:tcW w:w="652" w:type="dxa"/>
            <w:vMerge w:val="continue"/>
            <w:tcBorders>
              <w:top w:val="nil"/>
              <w:left w:val="single" w:color="000000" w:sz="4" w:space="0"/>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continue"/>
            <w:tcBorders>
              <w:top w:val="single" w:color="auto" w:sz="4" w:space="0"/>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2095" w:type="dxa"/>
            <w:vMerge w:val="restart"/>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药品管理</w:t>
            </w:r>
          </w:p>
        </w:tc>
        <w:tc>
          <w:tcPr>
            <w:tcW w:w="8599" w:type="dxa"/>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基础信息管理：可以管理角色、账号信息。</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129 </w:t>
            </w:r>
          </w:p>
        </w:tc>
        <w:tc>
          <w:tcPr>
            <w:tcW w:w="652" w:type="dxa"/>
            <w:vMerge w:val="continue"/>
            <w:tcBorders>
              <w:top w:val="nil"/>
              <w:left w:val="single" w:color="000000" w:sz="4" w:space="0"/>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continue"/>
            <w:tcBorders>
              <w:top w:val="single" w:color="auto" w:sz="4" w:space="0"/>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2095"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8599" w:type="dxa"/>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药品管理：可以管理药品信息、药品目录对码信息。</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130 </w:t>
            </w:r>
          </w:p>
        </w:tc>
        <w:tc>
          <w:tcPr>
            <w:tcW w:w="652" w:type="dxa"/>
            <w:vMerge w:val="continue"/>
            <w:tcBorders>
              <w:top w:val="nil"/>
              <w:left w:val="single" w:color="000000" w:sz="4" w:space="0"/>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continue"/>
            <w:tcBorders>
              <w:top w:val="single" w:color="auto" w:sz="4" w:space="0"/>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2095"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8599" w:type="dxa"/>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数据统计：可以统计药品收入、药品销量。</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131 </w:t>
            </w:r>
          </w:p>
        </w:tc>
        <w:tc>
          <w:tcPr>
            <w:tcW w:w="652" w:type="dxa"/>
            <w:vMerge w:val="continue"/>
            <w:tcBorders>
              <w:top w:val="nil"/>
              <w:left w:val="single" w:color="000000" w:sz="4" w:space="0"/>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continue"/>
            <w:tcBorders>
              <w:top w:val="single" w:color="auto" w:sz="4" w:space="0"/>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2095"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8599" w:type="dxa"/>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订单管理：可以查看药品订单、处方、接单审核等操作。</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132 </w:t>
            </w:r>
          </w:p>
        </w:tc>
        <w:tc>
          <w:tcPr>
            <w:tcW w:w="652" w:type="dxa"/>
            <w:vMerge w:val="continue"/>
            <w:tcBorders>
              <w:top w:val="nil"/>
              <w:left w:val="single" w:color="000000" w:sz="4" w:space="0"/>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continue"/>
            <w:tcBorders>
              <w:top w:val="single" w:color="auto" w:sz="4" w:space="0"/>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2095"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8599" w:type="dxa"/>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消息提醒：居民提交药品订单后，云药房管理端会进行语音提醒。</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133 </w:t>
            </w:r>
          </w:p>
        </w:tc>
        <w:tc>
          <w:tcPr>
            <w:tcW w:w="652" w:type="dxa"/>
            <w:vMerge w:val="continue"/>
            <w:tcBorders>
              <w:top w:val="nil"/>
              <w:left w:val="single" w:color="000000" w:sz="4" w:space="0"/>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restart"/>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处方共享中心</w:t>
            </w:r>
          </w:p>
        </w:tc>
        <w:tc>
          <w:tcPr>
            <w:tcW w:w="2095" w:type="dxa"/>
            <w:vMerge w:val="restart"/>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处方共享中心</w:t>
            </w:r>
          </w:p>
        </w:tc>
        <w:tc>
          <w:tcPr>
            <w:tcW w:w="8599" w:type="dxa"/>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处方共享：可以进行处方上传、处方信息查询、处方状态同步、处方状态更新、处方撤销等操作。</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134 </w:t>
            </w:r>
          </w:p>
        </w:tc>
        <w:tc>
          <w:tcPr>
            <w:tcW w:w="652" w:type="dxa"/>
            <w:vMerge w:val="continue"/>
            <w:tcBorders>
              <w:top w:val="nil"/>
              <w:left w:val="single" w:color="000000" w:sz="4" w:space="0"/>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2095"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8599" w:type="dxa"/>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数据标准：可以根据省处方平台处方数据标准进行管理；使用国家统一的ICD-10疾病编码；使用国家统一的药品编码（YPID5.0）；基于国家药品编码，定义互联网医院的药品目录；基于国家药品编码，定义处方外配的药品目录；可以对一些常用的数据值域字典进行管理维护</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135 </w:t>
            </w:r>
          </w:p>
        </w:tc>
        <w:tc>
          <w:tcPr>
            <w:tcW w:w="652" w:type="dxa"/>
            <w:vMerge w:val="continue"/>
            <w:tcBorders>
              <w:top w:val="nil"/>
              <w:left w:val="single" w:color="000000" w:sz="4" w:space="0"/>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restart"/>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互联网监管服务平台</w:t>
            </w:r>
          </w:p>
        </w:tc>
        <w:tc>
          <w:tcPr>
            <w:tcW w:w="2095" w:type="dxa"/>
            <w:vMerge w:val="restart"/>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互联网监管服务</w:t>
            </w:r>
          </w:p>
        </w:tc>
        <w:tc>
          <w:tcPr>
            <w:tcW w:w="8599" w:type="dxa"/>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资质准入管理：监管平台针对互联网诊疗平台和云药房管理的运营合规进行严格的准入管理。</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136 </w:t>
            </w:r>
          </w:p>
        </w:tc>
        <w:tc>
          <w:tcPr>
            <w:tcW w:w="652" w:type="dxa"/>
            <w:vMerge w:val="continue"/>
            <w:tcBorders>
              <w:top w:val="nil"/>
              <w:left w:val="single" w:color="000000" w:sz="4" w:space="0"/>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2095"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8599" w:type="dxa"/>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核心业务管理：业务监管中心针对医疗机构的诊疗业务、诊疗科室、医生诊疗业务进行备案管理。</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137 </w:t>
            </w:r>
          </w:p>
        </w:tc>
        <w:tc>
          <w:tcPr>
            <w:tcW w:w="652" w:type="dxa"/>
            <w:vMerge w:val="continue"/>
            <w:tcBorders>
              <w:top w:val="nil"/>
              <w:left w:val="single" w:color="000000" w:sz="4" w:space="0"/>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2095"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8599" w:type="dxa"/>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实时预警管理：在准入管理及各类核心业务管理过程中，依据设置好的规则及阈值系统提供实时预警。</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138 </w:t>
            </w:r>
          </w:p>
        </w:tc>
        <w:tc>
          <w:tcPr>
            <w:tcW w:w="652" w:type="dxa"/>
            <w:vMerge w:val="continue"/>
            <w:tcBorders>
              <w:top w:val="nil"/>
              <w:left w:val="single" w:color="000000" w:sz="4" w:space="0"/>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2095"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8599" w:type="dxa"/>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监管分析管理：互联网监管平台运用大数据技术对互联网医疗机构的在线问诊、开具处方、病历书写、远程会诊等环节。</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139 </w:t>
            </w:r>
          </w:p>
        </w:tc>
        <w:tc>
          <w:tcPr>
            <w:tcW w:w="652" w:type="dxa"/>
            <w:vMerge w:val="continue"/>
            <w:tcBorders>
              <w:top w:val="nil"/>
              <w:left w:val="single" w:color="000000" w:sz="4" w:space="0"/>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2095"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8599" w:type="dxa"/>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平台信息管理：互联网监管平台进行严格的分级管理，通过对不同的监管机构分配不同的系统操作权限，实现监管人员的分级管理，从而实现互联网诊疗及处方配送等相关业务的分级监管</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140 </w:t>
            </w:r>
          </w:p>
        </w:tc>
        <w:tc>
          <w:tcPr>
            <w:tcW w:w="652" w:type="dxa"/>
            <w:vMerge w:val="continue"/>
            <w:tcBorders>
              <w:top w:val="nil"/>
              <w:left w:val="single" w:color="000000" w:sz="4" w:space="0"/>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restart"/>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数据对接集成</w:t>
            </w:r>
          </w:p>
        </w:tc>
        <w:tc>
          <w:tcPr>
            <w:tcW w:w="2095" w:type="dxa"/>
            <w:vMerge w:val="restart"/>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系统集成对接</w:t>
            </w:r>
          </w:p>
        </w:tc>
        <w:tc>
          <w:tcPr>
            <w:tcW w:w="8599" w:type="dxa"/>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医院信息平台对接：通过与临海市第一人民医院信息系统的充分对接，可以为互联网诊疗的居民进行在线建档、诊疗挂号等。</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auto"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141 </w:t>
            </w:r>
          </w:p>
        </w:tc>
        <w:tc>
          <w:tcPr>
            <w:tcW w:w="652" w:type="dxa"/>
            <w:vMerge w:val="continue"/>
            <w:tcBorders>
              <w:top w:val="nil"/>
              <w:left w:val="single" w:color="000000" w:sz="4" w:space="0"/>
              <w:bottom w:val="single" w:color="auto"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2095"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8599" w:type="dxa"/>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医院药房进销存系统对接：通过与临海市第一人民医院药房进销存系统对接，可以同步临海市第一人民医院药房系统内的药品库存、价格等信息，并对临海市第一人民医院药房系统的药品编码与云药房的药品目录编码进行关联。</w:t>
            </w:r>
          </w:p>
        </w:tc>
      </w:tr>
      <w:tr>
        <w:tblPrEx>
          <w:tblCellMar>
            <w:top w:w="0" w:type="dxa"/>
            <w:left w:w="108" w:type="dxa"/>
            <w:bottom w:w="0" w:type="dxa"/>
            <w:right w:w="108" w:type="dxa"/>
          </w:tblCellMar>
        </w:tblPrEx>
        <w:trPr>
          <w:trHeight w:val="300" w:hRule="atLeast"/>
        </w:trPr>
        <w:tc>
          <w:tcPr>
            <w:tcW w:w="5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142 </w:t>
            </w:r>
          </w:p>
        </w:tc>
        <w:tc>
          <w:tcPr>
            <w:tcW w:w="6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20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859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医保结算系统对接：在医保政策条件允许的情况下，基于台州一卡通平台，通过与医保结算系统的对接，实现医疗费用医保脱卡结算。</w:t>
            </w:r>
          </w:p>
        </w:tc>
      </w:tr>
      <w:tr>
        <w:tblPrEx>
          <w:tblCellMar>
            <w:top w:w="0" w:type="dxa"/>
            <w:left w:w="108" w:type="dxa"/>
            <w:bottom w:w="0" w:type="dxa"/>
            <w:right w:w="108" w:type="dxa"/>
          </w:tblCellMar>
        </w:tblPrEx>
        <w:trPr>
          <w:trHeight w:val="300" w:hRule="atLeast"/>
        </w:trPr>
        <w:tc>
          <w:tcPr>
            <w:tcW w:w="540" w:type="dxa"/>
            <w:tcBorders>
              <w:top w:val="single" w:color="auto" w:sz="4" w:space="0"/>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143 </w:t>
            </w:r>
          </w:p>
        </w:tc>
        <w:tc>
          <w:tcPr>
            <w:tcW w:w="652"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continue"/>
            <w:tcBorders>
              <w:top w:val="single" w:color="auto" w:sz="4" w:space="0"/>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20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8599" w:type="dxa"/>
            <w:tcBorders>
              <w:top w:val="single" w:color="auto" w:sz="4" w:space="0"/>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电子签名对接：通过与电子签章系统的对接，为接入的互联网医院以较低的投入实现通过自动调用电子签章系统实现自动盖章，无需人为介入，实现数据高效协同。</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144 </w:t>
            </w:r>
          </w:p>
        </w:tc>
        <w:tc>
          <w:tcPr>
            <w:tcW w:w="652" w:type="dxa"/>
            <w:vMerge w:val="continue"/>
            <w:tcBorders>
              <w:top w:val="nil"/>
              <w:left w:val="single" w:color="000000" w:sz="4" w:space="0"/>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2095"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8599" w:type="dxa"/>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临海市第一人民医院互联网医院：预留接口，对接临海市第一人民医院互联网医院系统。</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145 </w:t>
            </w:r>
          </w:p>
        </w:tc>
        <w:tc>
          <w:tcPr>
            <w:tcW w:w="652" w:type="dxa"/>
            <w:vMerge w:val="continue"/>
            <w:tcBorders>
              <w:top w:val="nil"/>
              <w:left w:val="single" w:color="000000" w:sz="4" w:space="0"/>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2095"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8599" w:type="dxa"/>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监管平台对接：通过与省互联网医院监管平台的对接，可以将互联网医院的相关数据同步到省平台，从而实现互联网医院相关业务的监管。</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146 </w:t>
            </w:r>
          </w:p>
        </w:tc>
        <w:tc>
          <w:tcPr>
            <w:tcW w:w="652" w:type="dxa"/>
            <w:vMerge w:val="continue"/>
            <w:tcBorders>
              <w:top w:val="nil"/>
              <w:left w:val="single" w:color="000000" w:sz="4" w:space="0"/>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2095"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8599" w:type="dxa"/>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省处方共享平台对接：通过与省处方平台的对接，可以将互联网医院的处方同步到省平台，从而实现互联网医院的处方监管。</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147 </w:t>
            </w:r>
          </w:p>
        </w:tc>
        <w:tc>
          <w:tcPr>
            <w:tcW w:w="652" w:type="dxa"/>
            <w:vMerge w:val="continue"/>
            <w:tcBorders>
              <w:top w:val="nil"/>
              <w:left w:val="single" w:color="000000" w:sz="4" w:space="0"/>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2095"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8599" w:type="dxa"/>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CA签章：预留接口对接临海市第一人民医院CA签章。</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148 </w:t>
            </w:r>
          </w:p>
        </w:tc>
        <w:tc>
          <w:tcPr>
            <w:tcW w:w="652" w:type="dxa"/>
            <w:vMerge w:val="continue"/>
            <w:tcBorders>
              <w:top w:val="nil"/>
              <w:left w:val="single" w:color="000000" w:sz="4" w:space="0"/>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2095" w:type="dxa"/>
            <w:vMerge w:val="restart"/>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台州一卡通服务集成</w:t>
            </w:r>
          </w:p>
        </w:tc>
        <w:tc>
          <w:tcPr>
            <w:tcW w:w="8599" w:type="dxa"/>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医保脱卡结算服务：在医保政策条件允许的情况下，基于台州一卡通平台，通过与医保结算系统的对接，实现医疗费用医保脱卡结算。</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149 </w:t>
            </w:r>
          </w:p>
        </w:tc>
        <w:tc>
          <w:tcPr>
            <w:tcW w:w="652" w:type="dxa"/>
            <w:vMerge w:val="continue"/>
            <w:tcBorders>
              <w:top w:val="nil"/>
              <w:left w:val="single" w:color="000000" w:sz="4" w:space="0"/>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2095"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8599" w:type="dxa"/>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自费支付服务：支付管理平台提供标准开放的接口，将多种支付方式、支付渠道、多个资金通道进行统一整合规划，建立统一的支付标准。</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150 </w:t>
            </w:r>
          </w:p>
        </w:tc>
        <w:tc>
          <w:tcPr>
            <w:tcW w:w="652" w:type="dxa"/>
            <w:vMerge w:val="continue"/>
            <w:tcBorders>
              <w:top w:val="nil"/>
              <w:left w:val="single" w:color="000000" w:sz="4" w:space="0"/>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2095"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8599" w:type="dxa"/>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人脸识别服务：基于台州一卡通人脸识别服务，可以提供实名认证的人脸识别以及医保脱卡支付的人脸识别。</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151 </w:t>
            </w:r>
          </w:p>
        </w:tc>
        <w:tc>
          <w:tcPr>
            <w:tcW w:w="652" w:type="dxa"/>
            <w:vMerge w:val="continue"/>
            <w:tcBorders>
              <w:top w:val="nil"/>
              <w:left w:val="single" w:color="000000" w:sz="4" w:space="0"/>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2095"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8599" w:type="dxa"/>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用户体系对接：通过台州一卡通的用户授权登录后，居民在互联网医院平台进行在线问诊或云药房系统购买处方药品时，可以用医保在线支付。</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152 </w:t>
            </w:r>
          </w:p>
        </w:tc>
        <w:tc>
          <w:tcPr>
            <w:tcW w:w="652" w:type="dxa"/>
            <w:vMerge w:val="continue"/>
            <w:tcBorders>
              <w:top w:val="nil"/>
              <w:left w:val="single" w:color="000000" w:sz="4" w:space="0"/>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2095"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8599" w:type="dxa"/>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患者资料共享：对接台州一卡通平台，实现居民健康档案、检验检查报告、影像文件、门诊记录、住院记录的共享调阅。</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153 </w:t>
            </w:r>
          </w:p>
        </w:tc>
        <w:tc>
          <w:tcPr>
            <w:tcW w:w="652" w:type="dxa"/>
            <w:vMerge w:val="continue"/>
            <w:tcBorders>
              <w:top w:val="nil"/>
              <w:left w:val="single" w:color="000000" w:sz="4" w:space="0"/>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2095"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8599" w:type="dxa"/>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预约挂号服务：通过与台州一卡通平台的对接，在医生在线接诊过程中，可以实现帮助居民进行预约转诊的挂号。</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154 </w:t>
            </w:r>
          </w:p>
        </w:tc>
        <w:tc>
          <w:tcPr>
            <w:tcW w:w="652" w:type="dxa"/>
            <w:vMerge w:val="continue"/>
            <w:tcBorders>
              <w:top w:val="nil"/>
              <w:left w:val="single" w:color="000000" w:sz="4" w:space="0"/>
              <w:bottom w:val="single" w:color="000000" w:sz="4" w:space="0"/>
              <w:right w:val="single" w:color="000000" w:sz="4" w:space="0"/>
            </w:tcBorders>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2095"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p>
        </w:tc>
        <w:tc>
          <w:tcPr>
            <w:tcW w:w="8599" w:type="dxa"/>
            <w:tcBorders>
              <w:top w:val="nil"/>
              <w:left w:val="nil"/>
              <w:bottom w:val="single" w:color="auto" w:sz="4" w:space="0"/>
              <w:right w:val="single" w:color="auto" w:sz="4" w:space="0"/>
            </w:tcBorders>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消息推送服务：调用台州一卡通平台的消息推送服务，可以实现互联网医院平台和云药房系统的消息推送功能。</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155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restart"/>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颐乐养老</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洋老食堂</w:t>
            </w:r>
          </w:p>
        </w:tc>
        <w:tc>
          <w:tcPr>
            <w:tcW w:w="2095" w:type="dxa"/>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菜谱展示</w:t>
            </w:r>
          </w:p>
        </w:tc>
        <w:tc>
          <w:tcPr>
            <w:tcW w:w="8599" w:type="dxa"/>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结合老人的营养膳食需求，配置每周营养餐普</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156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2095" w:type="dxa"/>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线上点餐</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结合老人需要，可以在线点餐</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157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2095" w:type="dxa"/>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订单配送</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查看订单的配送信息情况，及时跟踪订单配送</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auto"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158 </w:t>
            </w:r>
          </w:p>
        </w:tc>
        <w:tc>
          <w:tcPr>
            <w:tcW w:w="652" w:type="dxa"/>
            <w:vMerge w:val="continue"/>
            <w:tcBorders>
              <w:top w:val="nil"/>
              <w:left w:val="single" w:color="000000" w:sz="4" w:space="0"/>
              <w:bottom w:val="single" w:color="auto"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auto"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auto"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养老超市</w:t>
            </w:r>
          </w:p>
        </w:tc>
        <w:tc>
          <w:tcPr>
            <w:tcW w:w="8599" w:type="dxa"/>
            <w:tcBorders>
              <w:top w:val="nil"/>
              <w:left w:val="nil"/>
              <w:bottom w:val="single" w:color="auto"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对接民政局的临海市智慧养老服务与监管平台，老人或子女可通过“大洋未来社区”小程序的养老超市，下单购买相关居家上门服务，包括紧急援助、协助进餐送餐助餐、上门助浴、修剪指/趾甲等服务，实现“线上下单，老人线下体验服务”的功能。</w:t>
            </w:r>
          </w:p>
        </w:tc>
      </w:tr>
      <w:tr>
        <w:tblPrEx>
          <w:tblCellMar>
            <w:top w:w="0" w:type="dxa"/>
            <w:left w:w="108" w:type="dxa"/>
            <w:bottom w:w="0" w:type="dxa"/>
            <w:right w:w="108" w:type="dxa"/>
          </w:tblCellMar>
        </w:tblPrEx>
        <w:trPr>
          <w:trHeight w:val="300" w:hRule="atLeast"/>
        </w:trPr>
        <w:tc>
          <w:tcPr>
            <w:tcW w:w="5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159 </w:t>
            </w:r>
          </w:p>
        </w:tc>
        <w:tc>
          <w:tcPr>
            <w:tcW w:w="65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独居老人安全保障</w:t>
            </w:r>
          </w:p>
        </w:tc>
        <w:tc>
          <w:tcPr>
            <w:tcW w:w="859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通过社区智慧服务系统记录老人用水数据，实现24小时智能抄表，并将数据通过物联网系统传至云端。若出现数据异常，系统就会将告警信息及时反馈给物业社区街道人员和家属手机端，由社工或者志愿者上门查看，确认老人情况。</w:t>
            </w:r>
          </w:p>
        </w:tc>
      </w:tr>
      <w:tr>
        <w:tblPrEx>
          <w:tblCellMar>
            <w:top w:w="0" w:type="dxa"/>
            <w:left w:w="108" w:type="dxa"/>
            <w:bottom w:w="0" w:type="dxa"/>
            <w:right w:w="108" w:type="dxa"/>
          </w:tblCellMar>
        </w:tblPrEx>
        <w:trPr>
          <w:trHeight w:val="300" w:hRule="atLeast"/>
        </w:trPr>
        <w:tc>
          <w:tcPr>
            <w:tcW w:w="540" w:type="dxa"/>
            <w:tcBorders>
              <w:top w:val="single" w:color="auto" w:sz="4" w:space="0"/>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160 </w:t>
            </w:r>
          </w:p>
        </w:tc>
        <w:tc>
          <w:tcPr>
            <w:tcW w:w="652" w:type="dxa"/>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auto"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享优待</w:t>
            </w:r>
          </w:p>
        </w:tc>
        <w:tc>
          <w:tcPr>
            <w:tcW w:w="8599" w:type="dxa"/>
            <w:tcBorders>
              <w:top w:val="single" w:color="auto" w:sz="4" w:space="0"/>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对接民政局的老年优待清单、为老服务清单，通过社区智慧服务系统将老年优待与福利清单手册、组织宣讲课程信息定点推送给相关社区老人及其家人，同时亦可同步给社区信息发布大屏展示。</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161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restart"/>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智慧健身</w:t>
            </w: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线上预约</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社区管理员可发布健身场馆信息，居民可以通过”大洋未来社区“小程序进行线上预约健身器材及健身场地。预约审核后，居民可在规定的时间，根据二维码/人脸门禁进入使用场地。社区管理员可根据所属项目、订单编号、订单状态查找订单信息。</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162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健身通知</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通过社区智慧服务系统记录居民预约数据、健身器材使用数据、居民运动数据，包括运动时间、运动项目、运动总消耗热量等，用于分析各居民喜好、常规时间安排，及时提醒居民健身器械及健身场地的预定情况，在居民的日常健身时间定点通知。</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163 </w:t>
            </w:r>
          </w:p>
        </w:tc>
        <w:tc>
          <w:tcPr>
            <w:tcW w:w="652" w:type="dxa"/>
            <w:vMerge w:val="restart"/>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创业服务应用</w:t>
            </w:r>
          </w:p>
        </w:tc>
        <w:tc>
          <w:tcPr>
            <w:tcW w:w="1031" w:type="dxa"/>
            <w:vMerge w:val="restart"/>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场地空间管理</w:t>
            </w:r>
          </w:p>
        </w:tc>
        <w:tc>
          <w:tcPr>
            <w:tcW w:w="1258" w:type="dxa"/>
            <w:vMerge w:val="restart"/>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会议室预约</w:t>
            </w:r>
          </w:p>
        </w:tc>
        <w:tc>
          <w:tcPr>
            <w:tcW w:w="2095" w:type="dxa"/>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会议室维护管理</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支持共享会议室信息的维护，包括面积、图片、位置、价格等，并在用户端进行展示，提供预定服务。</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164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2095" w:type="dxa"/>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会议室预定</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支持在移动端对会议室信息进行查看，并选择相应的会议室进行预定，预定时需支付预定金。</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165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2095" w:type="dxa"/>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预定记录</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支持查看预定记录，包含预定销控表。</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166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2095" w:type="dxa"/>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收费管理</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支持预定会议室，进行收费操作。</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167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其他场馆预约</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支持运营人员发布各场馆开放信息，如篮球场、党群活动中心等，用户可在移动端查看可预约时段和空闲时段，并使用线上预约服务。预约成功后，用户可在相应时间段内扫码进入场馆，并在规定时间内使用该场地。管理员可根据所属场馆、订单编号、订单状态等查找预约信息，并可对单个场馆的信息进行编辑。</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168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金融小微贷款</w:t>
            </w: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金融小微贷款</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与当地银行机构对接，为社区创业人士提供金融小微贷款服务，创业前期可发起线上创业项目小微贷款申请，专业人员审核通过后，可提供金融小微贷款服务，减轻社区创业人士的创业前期资金压力，加速优秀项目孵化。</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169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restart"/>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公共服务</w:t>
            </w: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公共交通</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支持和现有微巴士对接；为社区提供公共交通线路的名称、地址、导航、详细图文信息的通道。</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170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第三方服务</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包括送水、搬运、保洁、物品寄收等工作。</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171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客服热线</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发布客服热线，方便用户联系咨询。</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auto"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172 </w:t>
            </w:r>
          </w:p>
        </w:tc>
        <w:tc>
          <w:tcPr>
            <w:tcW w:w="652" w:type="dxa"/>
            <w:vMerge w:val="restart"/>
            <w:tcBorders>
              <w:top w:val="nil"/>
              <w:left w:val="single" w:color="000000" w:sz="4" w:space="0"/>
              <w:bottom w:val="single" w:color="auto"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交通管理应用</w:t>
            </w:r>
          </w:p>
        </w:tc>
        <w:tc>
          <w:tcPr>
            <w:tcW w:w="1031" w:type="dxa"/>
            <w:vMerge w:val="restart"/>
            <w:tcBorders>
              <w:top w:val="nil"/>
              <w:left w:val="single" w:color="000000" w:sz="4" w:space="0"/>
              <w:bottom w:val="single" w:color="auto"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停车管理模块</w:t>
            </w:r>
          </w:p>
        </w:tc>
        <w:tc>
          <w:tcPr>
            <w:tcW w:w="3353" w:type="dxa"/>
            <w:gridSpan w:val="2"/>
            <w:tcBorders>
              <w:top w:val="single" w:color="000000" w:sz="4" w:space="0"/>
              <w:left w:val="nil"/>
              <w:bottom w:val="single" w:color="auto"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停车管理模块接口对接</w:t>
            </w:r>
          </w:p>
        </w:tc>
        <w:tc>
          <w:tcPr>
            <w:tcW w:w="8599" w:type="dxa"/>
            <w:tcBorders>
              <w:top w:val="nil"/>
              <w:left w:val="nil"/>
              <w:bottom w:val="single" w:color="auto"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对接停车管理系统，实现对车辆的管控自动抓拍并区分“内部车”，“外部车”等不同车辆类型，实现车辆区分管理。</w:t>
            </w:r>
          </w:p>
        </w:tc>
      </w:tr>
      <w:tr>
        <w:tblPrEx>
          <w:tblCellMar>
            <w:top w:w="0" w:type="dxa"/>
            <w:left w:w="108" w:type="dxa"/>
            <w:bottom w:w="0" w:type="dxa"/>
            <w:right w:w="108" w:type="dxa"/>
          </w:tblCellMar>
        </w:tblPrEx>
        <w:trPr>
          <w:trHeight w:val="300" w:hRule="atLeast"/>
        </w:trPr>
        <w:tc>
          <w:tcPr>
            <w:tcW w:w="5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173 </w:t>
            </w:r>
          </w:p>
        </w:tc>
        <w:tc>
          <w:tcPr>
            <w:tcW w:w="65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车行管理看板</w:t>
            </w:r>
          </w:p>
        </w:tc>
        <w:tc>
          <w:tcPr>
            <w:tcW w:w="859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对接出入口车辆放行管理系统，提供整体的车辆数据，包括收费情况统计、车辆通行数据、设备运行情况。</w:t>
            </w:r>
            <w:r>
              <w:rPr>
                <w:rFonts w:hint="eastAsia" w:ascii="宋体" w:hAnsi="宋体" w:cs="宋体"/>
                <w:kern w:val="0"/>
                <w:sz w:val="20"/>
                <w:szCs w:val="20"/>
              </w:rPr>
              <w:br w:type="textWrapping"/>
            </w:r>
            <w:r>
              <w:rPr>
                <w:rFonts w:hint="eastAsia" w:ascii="宋体" w:hAnsi="宋体" w:cs="宋体"/>
                <w:kern w:val="0"/>
                <w:sz w:val="20"/>
                <w:szCs w:val="20"/>
              </w:rPr>
              <w:t>(1)停车场道闸设备运行状态，在线状态、当日开闸次数、人工开闸次数、开闸时间等。</w:t>
            </w:r>
            <w:r>
              <w:rPr>
                <w:rFonts w:hint="eastAsia" w:ascii="宋体" w:hAnsi="宋体" w:cs="宋体"/>
                <w:kern w:val="0"/>
                <w:sz w:val="20"/>
                <w:szCs w:val="20"/>
              </w:rPr>
              <w:br w:type="textWrapping"/>
            </w:r>
            <w:r>
              <w:rPr>
                <w:rFonts w:hint="eastAsia" w:ascii="宋体" w:hAnsi="宋体" w:cs="宋体"/>
                <w:kern w:val="0"/>
                <w:sz w:val="20"/>
                <w:szCs w:val="20"/>
              </w:rPr>
              <w:t>(2)实时监测停车系统运行状态、预警信息上报</w:t>
            </w:r>
          </w:p>
        </w:tc>
      </w:tr>
      <w:tr>
        <w:tblPrEx>
          <w:tblCellMar>
            <w:top w:w="0" w:type="dxa"/>
            <w:left w:w="108" w:type="dxa"/>
            <w:bottom w:w="0" w:type="dxa"/>
            <w:right w:w="108" w:type="dxa"/>
          </w:tblCellMar>
        </w:tblPrEx>
        <w:trPr>
          <w:trHeight w:val="300" w:hRule="atLeast"/>
        </w:trPr>
        <w:tc>
          <w:tcPr>
            <w:tcW w:w="540" w:type="dxa"/>
            <w:tcBorders>
              <w:top w:val="single" w:color="auto" w:sz="4" w:space="0"/>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174 </w:t>
            </w:r>
          </w:p>
        </w:tc>
        <w:tc>
          <w:tcPr>
            <w:tcW w:w="652" w:type="dxa"/>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auto"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停车场配置</w:t>
            </w:r>
          </w:p>
        </w:tc>
        <w:tc>
          <w:tcPr>
            <w:tcW w:w="8599" w:type="dxa"/>
            <w:tcBorders>
              <w:top w:val="single" w:color="auto" w:sz="4" w:space="0"/>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对接出入口车辆放行管理系统，实现对停车场的在线同步、管理。</w:t>
            </w:r>
            <w:r>
              <w:rPr>
                <w:rFonts w:hint="eastAsia" w:ascii="宋体" w:hAnsi="宋体" w:cs="宋体"/>
                <w:kern w:val="0"/>
                <w:sz w:val="20"/>
                <w:szCs w:val="20"/>
              </w:rPr>
              <w:br w:type="textWrapping"/>
            </w:r>
            <w:r>
              <w:rPr>
                <w:rFonts w:hint="eastAsia" w:ascii="宋体" w:hAnsi="宋体" w:cs="宋体"/>
                <w:kern w:val="0"/>
                <w:sz w:val="20"/>
                <w:szCs w:val="20"/>
              </w:rPr>
              <w:t>(1)支持对车位分区设置</w:t>
            </w:r>
            <w:r>
              <w:rPr>
                <w:rFonts w:hint="eastAsia" w:ascii="宋体" w:hAnsi="宋体" w:cs="宋体"/>
                <w:kern w:val="0"/>
                <w:sz w:val="20"/>
                <w:szCs w:val="20"/>
              </w:rPr>
              <w:br w:type="textWrapping"/>
            </w:r>
            <w:r>
              <w:rPr>
                <w:rFonts w:hint="eastAsia" w:ascii="宋体" w:hAnsi="宋体" w:cs="宋体"/>
                <w:kern w:val="0"/>
                <w:sz w:val="20"/>
                <w:szCs w:val="20"/>
              </w:rPr>
              <w:t>(2)支持从其他系统同步车位，也支持后台添加车位</w:t>
            </w:r>
            <w:r>
              <w:rPr>
                <w:rFonts w:hint="eastAsia" w:ascii="宋体" w:hAnsi="宋体" w:cs="宋体"/>
                <w:kern w:val="0"/>
                <w:sz w:val="20"/>
                <w:szCs w:val="20"/>
              </w:rPr>
              <w:br w:type="textWrapping"/>
            </w:r>
            <w:r>
              <w:rPr>
                <w:rFonts w:hint="eastAsia" w:ascii="宋体" w:hAnsi="宋体" w:cs="宋体"/>
                <w:kern w:val="0"/>
                <w:sz w:val="20"/>
                <w:szCs w:val="20"/>
              </w:rPr>
              <w:t>(3)支持车位的批量编辑操作</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175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车位管理</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对接出入口车辆放行管理系统，停车场内车位进行分配或解绑，关联车主后可进行延期维护。</w:t>
            </w:r>
            <w:r>
              <w:rPr>
                <w:rFonts w:hint="eastAsia" w:ascii="宋体" w:hAnsi="宋体" w:cs="宋体"/>
                <w:kern w:val="0"/>
                <w:sz w:val="20"/>
                <w:szCs w:val="20"/>
              </w:rPr>
              <w:br w:type="textWrapping"/>
            </w:r>
            <w:r>
              <w:rPr>
                <w:rFonts w:hint="eastAsia" w:ascii="宋体" w:hAnsi="宋体" w:cs="宋体"/>
                <w:kern w:val="0"/>
                <w:sz w:val="20"/>
                <w:szCs w:val="20"/>
              </w:rPr>
              <w:t>(1)支持固定车位、流动车位、临停车位分类管理</w:t>
            </w:r>
            <w:r>
              <w:rPr>
                <w:rFonts w:hint="eastAsia" w:ascii="宋体" w:hAnsi="宋体" w:cs="宋体"/>
                <w:kern w:val="0"/>
                <w:sz w:val="20"/>
                <w:szCs w:val="20"/>
              </w:rPr>
              <w:br w:type="textWrapping"/>
            </w:r>
            <w:r>
              <w:rPr>
                <w:rFonts w:hint="eastAsia" w:ascii="宋体" w:hAnsi="宋体" w:cs="宋体"/>
                <w:kern w:val="0"/>
                <w:sz w:val="20"/>
                <w:szCs w:val="20"/>
              </w:rPr>
              <w:t>(2)支持车位申请，审批管理</w:t>
            </w:r>
            <w:r>
              <w:rPr>
                <w:rFonts w:hint="eastAsia" w:ascii="宋体" w:hAnsi="宋体" w:cs="宋体"/>
                <w:kern w:val="0"/>
                <w:sz w:val="20"/>
                <w:szCs w:val="20"/>
              </w:rPr>
              <w:br w:type="textWrapping"/>
            </w:r>
            <w:r>
              <w:rPr>
                <w:rFonts w:hint="eastAsia" w:ascii="宋体" w:hAnsi="宋体" w:cs="宋体"/>
                <w:kern w:val="0"/>
                <w:sz w:val="20"/>
                <w:szCs w:val="20"/>
              </w:rPr>
              <w:t>(3)支持车位续签，退租等审批管理</w:t>
            </w:r>
            <w:r>
              <w:rPr>
                <w:rFonts w:hint="eastAsia" w:ascii="宋体" w:hAnsi="宋体" w:cs="宋体"/>
                <w:kern w:val="0"/>
                <w:sz w:val="20"/>
                <w:szCs w:val="20"/>
              </w:rPr>
              <w:br w:type="textWrapping"/>
            </w:r>
            <w:r>
              <w:rPr>
                <w:rFonts w:hint="eastAsia" w:ascii="宋体" w:hAnsi="宋体" w:cs="宋体"/>
                <w:kern w:val="0"/>
                <w:sz w:val="20"/>
                <w:szCs w:val="20"/>
              </w:rPr>
              <w:t>(4)支持车辆信息变更，附属车信息管理</w:t>
            </w:r>
            <w:r>
              <w:rPr>
                <w:rFonts w:hint="eastAsia" w:ascii="宋体" w:hAnsi="宋体" w:cs="宋体"/>
                <w:kern w:val="0"/>
                <w:sz w:val="20"/>
                <w:szCs w:val="20"/>
              </w:rPr>
              <w:br w:type="textWrapping"/>
            </w:r>
            <w:r>
              <w:rPr>
                <w:rFonts w:hint="eastAsia" w:ascii="宋体" w:hAnsi="宋体" w:cs="宋体"/>
                <w:kern w:val="0"/>
                <w:sz w:val="20"/>
                <w:szCs w:val="20"/>
              </w:rPr>
              <w:t>(5)支持固定车位的分配管理</w:t>
            </w:r>
            <w:r>
              <w:rPr>
                <w:rFonts w:hint="eastAsia" w:ascii="宋体" w:hAnsi="宋体" w:cs="宋体"/>
                <w:kern w:val="0"/>
                <w:sz w:val="20"/>
                <w:szCs w:val="20"/>
              </w:rPr>
              <w:br w:type="textWrapping"/>
            </w:r>
            <w:r>
              <w:rPr>
                <w:rFonts w:hint="eastAsia" w:ascii="宋体" w:hAnsi="宋体" w:cs="宋体"/>
                <w:kern w:val="0"/>
                <w:sz w:val="20"/>
                <w:szCs w:val="20"/>
              </w:rPr>
              <w:t>(6)支持奖励车位的管理与分配</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176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车位审批管理</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对接出入口车辆放行管理系统，实现停车场内车位的审批管理。</w:t>
            </w:r>
            <w:r>
              <w:rPr>
                <w:rFonts w:hint="eastAsia" w:ascii="宋体" w:hAnsi="宋体" w:cs="宋体"/>
                <w:kern w:val="0"/>
                <w:sz w:val="20"/>
                <w:szCs w:val="20"/>
              </w:rPr>
              <w:br w:type="textWrapping"/>
            </w:r>
            <w:r>
              <w:rPr>
                <w:rFonts w:hint="eastAsia" w:ascii="宋体" w:hAnsi="宋体" w:cs="宋体"/>
                <w:kern w:val="0"/>
                <w:sz w:val="20"/>
                <w:szCs w:val="20"/>
              </w:rPr>
              <w:t>(1)支持车位申请的审核人员配置</w:t>
            </w:r>
            <w:r>
              <w:rPr>
                <w:rFonts w:hint="eastAsia" w:ascii="宋体" w:hAnsi="宋体" w:cs="宋体"/>
                <w:kern w:val="0"/>
                <w:sz w:val="20"/>
                <w:szCs w:val="20"/>
              </w:rPr>
              <w:br w:type="textWrapping"/>
            </w:r>
            <w:r>
              <w:rPr>
                <w:rFonts w:hint="eastAsia" w:ascii="宋体" w:hAnsi="宋体" w:cs="宋体"/>
                <w:kern w:val="0"/>
                <w:sz w:val="20"/>
                <w:szCs w:val="20"/>
              </w:rPr>
              <w:t>(2)支持车位类型的管理</w:t>
            </w:r>
            <w:r>
              <w:rPr>
                <w:rFonts w:hint="eastAsia" w:ascii="宋体" w:hAnsi="宋体" w:cs="宋体"/>
                <w:kern w:val="0"/>
                <w:sz w:val="20"/>
                <w:szCs w:val="20"/>
              </w:rPr>
              <w:br w:type="textWrapping"/>
            </w:r>
            <w:r>
              <w:rPr>
                <w:rFonts w:hint="eastAsia" w:ascii="宋体" w:hAnsi="宋体" w:cs="宋体"/>
                <w:kern w:val="0"/>
                <w:sz w:val="20"/>
                <w:szCs w:val="20"/>
              </w:rPr>
              <w:t>(3)支持车位申请的管理，是否开放办理，车位阈值自动关闭申请</w:t>
            </w:r>
            <w:r>
              <w:rPr>
                <w:rFonts w:hint="eastAsia" w:ascii="宋体" w:hAnsi="宋体" w:cs="宋体"/>
                <w:kern w:val="0"/>
                <w:sz w:val="20"/>
                <w:szCs w:val="20"/>
              </w:rPr>
              <w:br w:type="textWrapping"/>
            </w:r>
            <w:r>
              <w:rPr>
                <w:rFonts w:hint="eastAsia" w:ascii="宋体" w:hAnsi="宋体" w:cs="宋体"/>
                <w:kern w:val="0"/>
                <w:sz w:val="20"/>
                <w:szCs w:val="20"/>
              </w:rPr>
              <w:t>(4)车位的资费标准设置，不同车位类型不同收费标准，同一车位类型多个套餐标准</w:t>
            </w:r>
            <w:r>
              <w:rPr>
                <w:rFonts w:hint="eastAsia" w:ascii="宋体" w:hAnsi="宋体" w:cs="宋体"/>
                <w:kern w:val="0"/>
                <w:sz w:val="20"/>
                <w:szCs w:val="20"/>
              </w:rPr>
              <w:br w:type="textWrapping"/>
            </w:r>
            <w:r>
              <w:rPr>
                <w:rFonts w:hint="eastAsia" w:ascii="宋体" w:hAnsi="宋体" w:cs="宋体"/>
                <w:kern w:val="0"/>
                <w:sz w:val="20"/>
                <w:szCs w:val="20"/>
              </w:rPr>
              <w:t>(5)临停车费的设置管理</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177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停车优惠券</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对接出入口车辆放行管理系统，支持优惠券池管理，以及优惠券发放明细管理，了解优惠券使用情况。</w:t>
            </w:r>
            <w:r>
              <w:rPr>
                <w:rFonts w:hint="eastAsia" w:ascii="宋体" w:hAnsi="宋体" w:cs="宋体"/>
                <w:kern w:val="0"/>
                <w:sz w:val="20"/>
                <w:szCs w:val="20"/>
              </w:rPr>
              <w:br w:type="textWrapping"/>
            </w:r>
            <w:r>
              <w:rPr>
                <w:rFonts w:hint="eastAsia" w:ascii="宋体" w:hAnsi="宋体" w:cs="宋体"/>
                <w:kern w:val="0"/>
                <w:sz w:val="20"/>
                <w:szCs w:val="20"/>
              </w:rPr>
              <w:t>(1)支持定向发放优惠券</w:t>
            </w:r>
            <w:r>
              <w:rPr>
                <w:rFonts w:hint="eastAsia" w:ascii="宋体" w:hAnsi="宋体" w:cs="宋体"/>
                <w:kern w:val="0"/>
                <w:sz w:val="20"/>
                <w:szCs w:val="20"/>
              </w:rPr>
              <w:br w:type="textWrapping"/>
            </w:r>
            <w:r>
              <w:rPr>
                <w:rFonts w:hint="eastAsia" w:ascii="宋体" w:hAnsi="宋体" w:cs="宋体"/>
                <w:kern w:val="0"/>
                <w:sz w:val="20"/>
                <w:szCs w:val="20"/>
              </w:rPr>
              <w:t>(2)支持手机端使用优惠券自动减免缴费</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178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黑名单管理</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对接出入口车辆放行管理系统，支持设置车辆黑名单，不允许进出社区</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179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车辆余位统计（预留功能）</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对接出入口车辆放行管理系统，支持对停车场的车辆统计，空余车位统计。</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180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临停缴费记录（预留功能）</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对接出入口车辆放行管理系统，支持对停车场的所有临停收费数据的详细统计。</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181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月卡车辆统计（预留功能）</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对接出入口车辆放行管理系统，支持对停车场内所有月卡车辆信息的统计。</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182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月卡缴费信息统计（预留功能）</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对接出入口车辆放行管理系统，支持对停车场内的月卡续费数据的详细统计。</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auto"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183 </w:t>
            </w:r>
          </w:p>
        </w:tc>
        <w:tc>
          <w:tcPr>
            <w:tcW w:w="652" w:type="dxa"/>
            <w:vMerge w:val="continue"/>
            <w:tcBorders>
              <w:top w:val="nil"/>
              <w:left w:val="single" w:color="000000" w:sz="4" w:space="0"/>
              <w:bottom w:val="single" w:color="auto"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auto"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auto"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出入车辆查询（预留功能）</w:t>
            </w:r>
          </w:p>
        </w:tc>
        <w:tc>
          <w:tcPr>
            <w:tcW w:w="8599" w:type="dxa"/>
            <w:tcBorders>
              <w:top w:val="nil"/>
              <w:left w:val="nil"/>
              <w:bottom w:val="single" w:color="auto"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对接出入口车辆放行管理系统，支持对停车场进出的车辆详细信息进行统计。</w:t>
            </w:r>
          </w:p>
        </w:tc>
      </w:tr>
      <w:tr>
        <w:tblPrEx>
          <w:tblCellMar>
            <w:top w:w="0" w:type="dxa"/>
            <w:left w:w="108" w:type="dxa"/>
            <w:bottom w:w="0" w:type="dxa"/>
            <w:right w:w="108" w:type="dxa"/>
          </w:tblCellMar>
        </w:tblPrEx>
        <w:trPr>
          <w:trHeight w:val="300" w:hRule="atLeast"/>
        </w:trPr>
        <w:tc>
          <w:tcPr>
            <w:tcW w:w="5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184 </w:t>
            </w:r>
          </w:p>
        </w:tc>
        <w:tc>
          <w:tcPr>
            <w:tcW w:w="65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消防通道违停监测</w:t>
            </w:r>
          </w:p>
        </w:tc>
        <w:tc>
          <w:tcPr>
            <w:tcW w:w="1258"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违停处理</w:t>
            </w:r>
          </w:p>
        </w:tc>
        <w:tc>
          <w:tcPr>
            <w:tcW w:w="20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违停抓拍</w:t>
            </w:r>
          </w:p>
        </w:tc>
        <w:tc>
          <w:tcPr>
            <w:tcW w:w="859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对于占用消防通道的车辆，通过系统的智能算法可实现实时预警、抓拍，并在邻里中心一楼社区监控中心的监控大屏上显示警告。</w:t>
            </w:r>
          </w:p>
        </w:tc>
      </w:tr>
      <w:tr>
        <w:tblPrEx>
          <w:tblCellMar>
            <w:top w:w="0" w:type="dxa"/>
            <w:left w:w="108" w:type="dxa"/>
            <w:bottom w:w="0" w:type="dxa"/>
            <w:right w:w="108" w:type="dxa"/>
          </w:tblCellMar>
        </w:tblPrEx>
        <w:trPr>
          <w:trHeight w:val="300" w:hRule="atLeast"/>
        </w:trPr>
        <w:tc>
          <w:tcPr>
            <w:tcW w:w="540" w:type="dxa"/>
            <w:tcBorders>
              <w:top w:val="single" w:color="auto" w:sz="4" w:space="0"/>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185 </w:t>
            </w:r>
          </w:p>
        </w:tc>
        <w:tc>
          <w:tcPr>
            <w:tcW w:w="652" w:type="dxa"/>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2095" w:type="dxa"/>
            <w:tcBorders>
              <w:top w:val="single" w:color="auto"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违停登记</w:t>
            </w:r>
          </w:p>
        </w:tc>
        <w:tc>
          <w:tcPr>
            <w:tcW w:w="8599" w:type="dxa"/>
            <w:tcBorders>
              <w:top w:val="single" w:color="auto" w:sz="4" w:space="0"/>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若车主长时间未驶离消防通道，物业管理人员可以对车辆进行违停登记，扣除车主响应的积分，若情节严重的，可将车辆信息记录到系统黑名单。</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186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2095" w:type="dxa"/>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违停处理</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对占用消防通道的车辆，系统将自动发动推送提醒车主尽快驶离</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187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restart"/>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门禁管理</w:t>
            </w: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门禁服务</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对接基础门禁管理系统，通过接入多种门禁设备，采用多种门禁出入方式（单向门禁、双向门禁、人脸、刷卡+二维码），实现人员身份识别、出入管控等智能应用，主要提供门禁权限管理、事件管理、门禁状态查看、门禁远程控制、人员出入记录实时展示、远程呼叫对讲等应用。</w:t>
            </w:r>
            <w:r>
              <w:rPr>
                <w:rFonts w:hint="eastAsia" w:ascii="宋体" w:hAnsi="宋体" w:cs="宋体"/>
                <w:kern w:val="0"/>
                <w:sz w:val="20"/>
                <w:szCs w:val="20"/>
              </w:rPr>
              <w:br w:type="textWrapping"/>
            </w:r>
            <w:r>
              <w:rPr>
                <w:rFonts w:hint="eastAsia" w:ascii="宋体" w:hAnsi="宋体" w:cs="宋体"/>
                <w:kern w:val="0"/>
                <w:sz w:val="20"/>
                <w:szCs w:val="20"/>
              </w:rPr>
              <w:t>通过模型系统可以查看门禁的相关信息，并在模型当中显示当前门禁的状态，同时，根据门禁提供的信息，可以显示楼层当前的人数以及人员的身份。</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188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访客申请</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满足移动端访客申请，生成访客码并分享给访客；同时满足在物业管理端随时查看访客数据，通过门禁的管控，实时同步业主/访客的出入门禁的记录，做到出入有迹可查，针对陌生人重点防范，降低风险。</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189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临行访客管理</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未预约临行人员到访后，物业人员采用管理端查询受访业主信息/登记来访人员姓名、手机号、车牌信息，系统发送消息通知业主（满足推送通知/短信通知等）。</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190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restart"/>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居民畅行</w:t>
            </w: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实名认证</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社区居民可通过对个人信息、房屋信息、车牌信息、车位等信息进行实名认证，管理员可通过后台进行批量管理和查询。满足管理员编辑或删除用户信息，社区居民可实时在手机端进行信息的变更。</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191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人脸录入</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社区居民可通过移动端录入个人人脸信息，该信息可绑定社区内所有具备人脸识别的硬件，信息可做到同步发送与告警。</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192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家人管理</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社区居民身份已认证成功后，可以批量绑定家人信息，代录入后家属确认后，录入人脸信息；同时可实现生成邀约码图片发送给家人，家人通过支付宝扫码二维码自主填写信息。</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193 </w:t>
            </w:r>
          </w:p>
        </w:tc>
        <w:tc>
          <w:tcPr>
            <w:tcW w:w="652" w:type="dxa"/>
            <w:vMerge w:val="restart"/>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能源管理应用</w:t>
            </w:r>
          </w:p>
        </w:tc>
        <w:tc>
          <w:tcPr>
            <w:tcW w:w="1031" w:type="dxa"/>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智慧照明模块</w:t>
            </w: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对接</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对接智慧照明系统，实现对路灯的管控，包括路灯运行状态的监测、电量能耗等信息数据的获取。</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194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充电桩模块</w:t>
            </w: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对接</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对接充电桩系统，实现对充电设备运行状态的监测、电量能耗等信息数据的获取。</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195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restart"/>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能源管理</w:t>
            </w: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电量能耗统计</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电量能耗统计：社区服务中心用电统计、用电趋势、分项用电占比、智慧照明发电、充电桩用电数据接入及展示、其他公共用电等。</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auto"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196 </w:t>
            </w:r>
          </w:p>
        </w:tc>
        <w:tc>
          <w:tcPr>
            <w:tcW w:w="652" w:type="dxa"/>
            <w:vMerge w:val="continue"/>
            <w:tcBorders>
              <w:top w:val="nil"/>
              <w:left w:val="single" w:color="000000" w:sz="4" w:space="0"/>
              <w:bottom w:val="single" w:color="auto"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auto"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auto"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用水统计</w:t>
            </w:r>
          </w:p>
        </w:tc>
        <w:tc>
          <w:tcPr>
            <w:tcW w:w="8599" w:type="dxa"/>
            <w:tcBorders>
              <w:top w:val="nil"/>
              <w:left w:val="nil"/>
              <w:bottom w:val="single" w:color="auto"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总用水量、公共用水计量数据接入及账单缴费、各（类）地块用水占比。</w:t>
            </w:r>
          </w:p>
        </w:tc>
      </w:tr>
      <w:tr>
        <w:tblPrEx>
          <w:tblCellMar>
            <w:top w:w="0" w:type="dxa"/>
            <w:left w:w="108" w:type="dxa"/>
            <w:bottom w:w="0" w:type="dxa"/>
            <w:right w:w="108" w:type="dxa"/>
          </w:tblCellMar>
        </w:tblPrEx>
        <w:trPr>
          <w:trHeight w:val="300" w:hRule="atLeast"/>
        </w:trPr>
        <w:tc>
          <w:tcPr>
            <w:tcW w:w="5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197 </w:t>
            </w:r>
          </w:p>
        </w:tc>
        <w:tc>
          <w:tcPr>
            <w:tcW w:w="652"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社区服务应用</w:t>
            </w:r>
          </w:p>
        </w:tc>
        <w:tc>
          <w:tcPr>
            <w:tcW w:w="10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社区安全防护</w:t>
            </w:r>
          </w:p>
        </w:tc>
        <w:tc>
          <w:tcPr>
            <w:tcW w:w="3353"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高空抛物</w:t>
            </w:r>
          </w:p>
        </w:tc>
        <w:tc>
          <w:tcPr>
            <w:tcW w:w="859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通过安装高分辨率星光+高空抛物摄像机对社区楼宇分层覆盖，前端无缝监控、常态威慑；后端视频取证，精准追溯，有效防范高空抛物，彻底拒绝社区上空的痛点。</w:t>
            </w:r>
          </w:p>
        </w:tc>
      </w:tr>
      <w:tr>
        <w:tblPrEx>
          <w:tblCellMar>
            <w:top w:w="0" w:type="dxa"/>
            <w:left w:w="108" w:type="dxa"/>
            <w:bottom w:w="0" w:type="dxa"/>
            <w:right w:w="108" w:type="dxa"/>
          </w:tblCellMar>
        </w:tblPrEx>
        <w:trPr>
          <w:trHeight w:val="300" w:hRule="atLeast"/>
        </w:trPr>
        <w:tc>
          <w:tcPr>
            <w:tcW w:w="5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198 </w:t>
            </w:r>
          </w:p>
        </w:tc>
        <w:tc>
          <w:tcPr>
            <w:tcW w:w="65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物业管理模块</w:t>
            </w:r>
          </w:p>
        </w:tc>
        <w:tc>
          <w:tcPr>
            <w:tcW w:w="1258"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设施设备管理</w:t>
            </w:r>
          </w:p>
        </w:tc>
        <w:tc>
          <w:tcPr>
            <w:tcW w:w="20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管理服务报表</w:t>
            </w:r>
          </w:p>
        </w:tc>
        <w:tc>
          <w:tcPr>
            <w:tcW w:w="859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为管理方提供社区内整体管理类事务的统计报表，快速了解核心关键的管理指标情况。</w:t>
            </w:r>
          </w:p>
        </w:tc>
      </w:tr>
      <w:tr>
        <w:tblPrEx>
          <w:tblCellMar>
            <w:top w:w="0" w:type="dxa"/>
            <w:left w:w="108" w:type="dxa"/>
            <w:bottom w:w="0" w:type="dxa"/>
            <w:right w:w="108" w:type="dxa"/>
          </w:tblCellMar>
        </w:tblPrEx>
        <w:trPr>
          <w:trHeight w:val="300" w:hRule="atLeast"/>
        </w:trPr>
        <w:tc>
          <w:tcPr>
            <w:tcW w:w="540" w:type="dxa"/>
            <w:tcBorders>
              <w:top w:val="single" w:color="auto" w:sz="4" w:space="0"/>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199 </w:t>
            </w:r>
          </w:p>
        </w:tc>
        <w:tc>
          <w:tcPr>
            <w:tcW w:w="652" w:type="dxa"/>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2095" w:type="dxa"/>
            <w:tcBorders>
              <w:top w:val="single" w:color="auto"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工单管理</w:t>
            </w:r>
          </w:p>
        </w:tc>
        <w:tc>
          <w:tcPr>
            <w:tcW w:w="8599" w:type="dxa"/>
            <w:tcBorders>
              <w:top w:val="single" w:color="auto" w:sz="4" w:space="0"/>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为管理方提供各类工单的处理功能，实现快速响应，高效解决 ；</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200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2095" w:type="dxa"/>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其他设备设施管理</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支持物联网设备和非物联网设备的管理和维护，包括设备基本信息、安装地址、过保时间等。</w:t>
            </w:r>
            <w:r>
              <w:rPr>
                <w:rFonts w:hint="eastAsia" w:ascii="宋体" w:hAnsi="宋体" w:cs="宋体"/>
                <w:kern w:val="0"/>
                <w:sz w:val="20"/>
                <w:szCs w:val="20"/>
              </w:rPr>
              <w:br w:type="textWrapping"/>
            </w:r>
            <w:r>
              <w:rPr>
                <w:rFonts w:hint="eastAsia" w:ascii="宋体" w:hAnsi="宋体" w:cs="宋体"/>
                <w:kern w:val="0"/>
                <w:sz w:val="20"/>
                <w:szCs w:val="20"/>
              </w:rPr>
              <w:t>(1) 支持对同品类设备进行批量设置过保时间；</w:t>
            </w:r>
            <w:r>
              <w:rPr>
                <w:rFonts w:hint="eastAsia" w:ascii="宋体" w:hAnsi="宋体" w:cs="宋体"/>
                <w:kern w:val="0"/>
                <w:sz w:val="20"/>
                <w:szCs w:val="20"/>
              </w:rPr>
              <w:br w:type="textWrapping"/>
            </w:r>
            <w:r>
              <w:rPr>
                <w:rFonts w:hint="eastAsia" w:ascii="宋体" w:hAnsi="宋体" w:cs="宋体"/>
                <w:kern w:val="0"/>
                <w:sz w:val="20"/>
                <w:szCs w:val="20"/>
              </w:rPr>
              <w:t>(2) 支持查看设备的基础信息、报修记录统计和离线记录；</w:t>
            </w:r>
            <w:r>
              <w:rPr>
                <w:rFonts w:hint="eastAsia" w:ascii="宋体" w:hAnsi="宋体" w:cs="宋体"/>
                <w:kern w:val="0"/>
                <w:sz w:val="20"/>
                <w:szCs w:val="20"/>
              </w:rPr>
              <w:br w:type="textWrapping"/>
            </w:r>
            <w:r>
              <w:rPr>
                <w:rFonts w:hint="eastAsia" w:ascii="宋体" w:hAnsi="宋体" w:cs="宋体"/>
                <w:kern w:val="0"/>
                <w:sz w:val="20"/>
                <w:szCs w:val="20"/>
              </w:rPr>
              <w:t>(3) 支持设备的过保预警和离线预警配置，可定向设置预警推送人员。</w:t>
            </w:r>
            <w:r>
              <w:rPr>
                <w:rFonts w:hint="eastAsia" w:ascii="宋体" w:hAnsi="宋体" w:cs="宋体"/>
                <w:kern w:val="0"/>
                <w:sz w:val="20"/>
                <w:szCs w:val="20"/>
              </w:rPr>
              <w:br w:type="textWrapping"/>
            </w:r>
            <w:r>
              <w:rPr>
                <w:rFonts w:hint="eastAsia" w:ascii="宋体" w:hAnsi="宋体" w:cs="宋体"/>
                <w:kern w:val="0"/>
                <w:sz w:val="20"/>
                <w:szCs w:val="20"/>
              </w:rPr>
              <w:t>(4) 支持设备关联房间</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201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2095" w:type="dxa"/>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预警管理</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支持社区物管人员查看和跟踪系统自发的预警信息，包括设备故障、设备离线和发生异常情况。</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202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报事报修</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对用户提交的物业报修信息进行统计和查看，能够查看所有物业报修的工单处理情况、工单所处阶段、工单处理结果及评价</w:t>
            </w:r>
            <w:r>
              <w:rPr>
                <w:rFonts w:hint="eastAsia" w:ascii="宋体" w:hAnsi="宋体" w:cs="宋体"/>
                <w:kern w:val="0"/>
                <w:sz w:val="20"/>
                <w:szCs w:val="20"/>
              </w:rPr>
              <w:br w:type="textWrapping"/>
            </w:r>
            <w:r>
              <w:rPr>
                <w:rFonts w:hint="eastAsia" w:ascii="宋体" w:hAnsi="宋体" w:cs="宋体"/>
                <w:kern w:val="0"/>
                <w:sz w:val="20"/>
                <w:szCs w:val="20"/>
              </w:rPr>
              <w:t>(1) 支持配置报事报修流程中的处理人是否具有转派权限；</w:t>
            </w:r>
            <w:r>
              <w:rPr>
                <w:rFonts w:hint="eastAsia" w:ascii="宋体" w:hAnsi="宋体" w:cs="宋体"/>
                <w:kern w:val="0"/>
                <w:sz w:val="20"/>
                <w:szCs w:val="20"/>
              </w:rPr>
              <w:br w:type="textWrapping"/>
            </w:r>
            <w:r>
              <w:rPr>
                <w:rFonts w:hint="eastAsia" w:ascii="宋体" w:hAnsi="宋体" w:cs="宋体"/>
                <w:kern w:val="0"/>
                <w:sz w:val="20"/>
                <w:szCs w:val="20"/>
              </w:rPr>
              <w:t>(2) 报修区域包括室内报修和公共区域报修，支持选择地点到楼层房间。</w:t>
            </w:r>
            <w:r>
              <w:rPr>
                <w:rFonts w:hint="eastAsia" w:ascii="宋体" w:hAnsi="宋体" w:cs="宋体"/>
                <w:kern w:val="0"/>
                <w:sz w:val="20"/>
                <w:szCs w:val="20"/>
              </w:rPr>
              <w:br w:type="textWrapping"/>
            </w:r>
            <w:r>
              <w:rPr>
                <w:rFonts w:hint="eastAsia" w:ascii="宋体" w:hAnsi="宋体" w:cs="宋体"/>
                <w:kern w:val="0"/>
                <w:sz w:val="20"/>
                <w:szCs w:val="20"/>
              </w:rPr>
              <w:t>(3) 用户除了可上报企业维修之外，还可以参与反馈项目公共维修和项目内发现的各类公共问题，通过图文方式提交给物业，并可预约处理时间；用户在线及时了解和跟踪处理情况反馈，包括是谁在处理，处理的阶段性反馈是什么；在工单完成后用户可对处理结果进行打分，还可以通过图文的方式发表评论；</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203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restart"/>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日常巡检</w:t>
            </w:r>
          </w:p>
        </w:tc>
        <w:tc>
          <w:tcPr>
            <w:tcW w:w="2095" w:type="dxa"/>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日常巡检</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按计划对设施设备进行巡检，记录巡检结果；支持在巡检过程中上报发现的问题；</w:t>
            </w:r>
            <w:r>
              <w:rPr>
                <w:rFonts w:hint="eastAsia" w:ascii="宋体" w:hAnsi="宋体" w:cs="宋体"/>
                <w:kern w:val="0"/>
                <w:sz w:val="20"/>
                <w:szCs w:val="20"/>
              </w:rPr>
              <w:br w:type="textWrapping"/>
            </w:r>
            <w:r>
              <w:rPr>
                <w:rFonts w:hint="eastAsia" w:ascii="宋体" w:hAnsi="宋体" w:cs="宋体"/>
                <w:kern w:val="0"/>
                <w:sz w:val="20"/>
                <w:szCs w:val="20"/>
              </w:rPr>
              <w:t>(1) 巡检记录支持按设备、巡检状态、巡检人员、巡检结果进行筛查，导出日常巡检和随机巡检记录；</w:t>
            </w:r>
            <w:r>
              <w:rPr>
                <w:rFonts w:hint="eastAsia" w:ascii="宋体" w:hAnsi="宋体" w:cs="宋体"/>
                <w:kern w:val="0"/>
                <w:sz w:val="20"/>
                <w:szCs w:val="20"/>
              </w:rPr>
              <w:br w:type="textWrapping"/>
            </w:r>
            <w:r>
              <w:rPr>
                <w:rFonts w:hint="eastAsia" w:ascii="宋体" w:hAnsi="宋体" w:cs="宋体"/>
                <w:kern w:val="0"/>
                <w:sz w:val="20"/>
                <w:szCs w:val="20"/>
              </w:rPr>
              <w:t>(2) 巡检周期支持按年检、月检、周检和日检进行自定义计划创建；</w:t>
            </w:r>
            <w:r>
              <w:rPr>
                <w:rFonts w:hint="eastAsia" w:ascii="宋体" w:hAnsi="宋体" w:cs="宋体"/>
                <w:kern w:val="0"/>
                <w:sz w:val="20"/>
                <w:szCs w:val="20"/>
              </w:rPr>
              <w:br w:type="textWrapping"/>
            </w:r>
            <w:r>
              <w:rPr>
                <w:rFonts w:hint="eastAsia" w:ascii="宋体" w:hAnsi="宋体" w:cs="宋体"/>
                <w:kern w:val="0"/>
                <w:sz w:val="20"/>
                <w:szCs w:val="20"/>
              </w:rPr>
              <w:t>(3) 支持自定义配置是否延续巡检，若选择延续，系统自动在固定；周期时间生成巡检计划</w:t>
            </w:r>
            <w:r>
              <w:rPr>
                <w:rFonts w:hint="eastAsia" w:ascii="宋体" w:hAnsi="宋体" w:cs="宋体"/>
                <w:kern w:val="0"/>
                <w:sz w:val="20"/>
                <w:szCs w:val="20"/>
              </w:rPr>
              <w:br w:type="textWrapping"/>
            </w:r>
            <w:r>
              <w:rPr>
                <w:rFonts w:hint="eastAsia" w:ascii="宋体" w:hAnsi="宋体" w:cs="宋体"/>
                <w:kern w:val="0"/>
                <w:sz w:val="20"/>
                <w:szCs w:val="20"/>
              </w:rPr>
              <w:t>(4) 支持首页扫码巡检；</w:t>
            </w:r>
            <w:r>
              <w:rPr>
                <w:rFonts w:hint="eastAsia" w:ascii="宋体" w:hAnsi="宋体" w:cs="宋体"/>
                <w:kern w:val="0"/>
                <w:sz w:val="20"/>
                <w:szCs w:val="20"/>
              </w:rPr>
              <w:br w:type="textWrapping"/>
            </w:r>
            <w:r>
              <w:rPr>
                <w:rFonts w:hint="eastAsia" w:ascii="宋体" w:hAnsi="宋体" w:cs="宋体"/>
                <w:kern w:val="0"/>
                <w:sz w:val="20"/>
                <w:szCs w:val="20"/>
              </w:rPr>
              <w:t>(5) 支持自定义配置设备巡检码。</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auto"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204 </w:t>
            </w:r>
          </w:p>
        </w:tc>
        <w:tc>
          <w:tcPr>
            <w:tcW w:w="652" w:type="dxa"/>
            <w:vMerge w:val="continue"/>
            <w:tcBorders>
              <w:top w:val="nil"/>
              <w:left w:val="single" w:color="000000" w:sz="4" w:space="0"/>
              <w:bottom w:val="single" w:color="auto"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auto"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single" w:color="000000" w:sz="4" w:space="0"/>
              <w:bottom w:val="single" w:color="auto"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2095" w:type="dxa"/>
            <w:tcBorders>
              <w:top w:val="nil"/>
              <w:left w:val="nil"/>
              <w:bottom w:val="single" w:color="auto"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日常巡查</w:t>
            </w:r>
          </w:p>
        </w:tc>
        <w:tc>
          <w:tcPr>
            <w:tcW w:w="8599" w:type="dxa"/>
            <w:tcBorders>
              <w:top w:val="nil"/>
              <w:left w:val="nil"/>
              <w:bottom w:val="single" w:color="auto"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按计划进行项目巡查，记录巡查结果，巡查方式根据需要可以设置为蓝牙巡查或二维码巡查，巡查有过程指导，支持离线巡查和离线 保存，当联网后再上传；支持在巡查过程中上报发现的问题。</w:t>
            </w:r>
          </w:p>
        </w:tc>
      </w:tr>
      <w:tr>
        <w:tblPrEx>
          <w:tblCellMar>
            <w:top w:w="0" w:type="dxa"/>
            <w:left w:w="108" w:type="dxa"/>
            <w:bottom w:w="0" w:type="dxa"/>
            <w:right w:w="108" w:type="dxa"/>
          </w:tblCellMar>
        </w:tblPrEx>
        <w:trPr>
          <w:trHeight w:val="300" w:hRule="atLeast"/>
        </w:trPr>
        <w:tc>
          <w:tcPr>
            <w:tcW w:w="5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205 </w:t>
            </w:r>
          </w:p>
        </w:tc>
        <w:tc>
          <w:tcPr>
            <w:tcW w:w="65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20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电子巡更</w:t>
            </w:r>
          </w:p>
        </w:tc>
        <w:tc>
          <w:tcPr>
            <w:tcW w:w="859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支持社区内物管人员根据物业巡更点或巡更路线设定巡更任务，管理方可查看任务考核情况和巡更详情，可通过移动终端支持巡更记录</w:t>
            </w:r>
            <w:r>
              <w:rPr>
                <w:rFonts w:hint="eastAsia" w:ascii="宋体" w:hAnsi="宋体" w:cs="宋体"/>
                <w:kern w:val="0"/>
                <w:sz w:val="20"/>
                <w:szCs w:val="20"/>
              </w:rPr>
              <w:br w:type="textWrapping"/>
            </w:r>
            <w:r>
              <w:rPr>
                <w:rFonts w:hint="eastAsia" w:ascii="宋体" w:hAnsi="宋体" w:cs="宋体"/>
                <w:kern w:val="0"/>
                <w:sz w:val="20"/>
                <w:szCs w:val="20"/>
              </w:rPr>
              <w:t>(1) 支持按巡更点查看巡更记录；</w:t>
            </w:r>
            <w:r>
              <w:rPr>
                <w:rFonts w:hint="eastAsia" w:ascii="宋体" w:hAnsi="宋体" w:cs="宋体"/>
                <w:kern w:val="0"/>
                <w:sz w:val="20"/>
                <w:szCs w:val="20"/>
              </w:rPr>
              <w:br w:type="textWrapping"/>
            </w:r>
            <w:r>
              <w:rPr>
                <w:rFonts w:hint="eastAsia" w:ascii="宋体" w:hAnsi="宋体" w:cs="宋体"/>
                <w:kern w:val="0"/>
                <w:sz w:val="20"/>
                <w:szCs w:val="20"/>
              </w:rPr>
              <w:t>(2) 支持按需更计划查看巡更记录；</w:t>
            </w:r>
            <w:r>
              <w:rPr>
                <w:rFonts w:hint="eastAsia" w:ascii="宋体" w:hAnsi="宋体" w:cs="宋体"/>
                <w:kern w:val="0"/>
                <w:sz w:val="20"/>
                <w:szCs w:val="20"/>
              </w:rPr>
              <w:br w:type="textWrapping"/>
            </w:r>
            <w:r>
              <w:rPr>
                <w:rFonts w:hint="eastAsia" w:ascii="宋体" w:hAnsi="宋体" w:cs="宋体"/>
                <w:kern w:val="0"/>
                <w:sz w:val="20"/>
                <w:szCs w:val="20"/>
              </w:rPr>
              <w:t>(3) 巡更计划的创建支持按乱序点或路线进行设置；</w:t>
            </w:r>
            <w:r>
              <w:rPr>
                <w:rFonts w:hint="eastAsia" w:ascii="宋体" w:hAnsi="宋体" w:cs="宋体"/>
                <w:kern w:val="0"/>
                <w:sz w:val="20"/>
                <w:szCs w:val="20"/>
              </w:rPr>
              <w:br w:type="textWrapping"/>
            </w:r>
            <w:r>
              <w:rPr>
                <w:rFonts w:hint="eastAsia" w:ascii="宋体" w:hAnsi="宋体" w:cs="宋体"/>
                <w:kern w:val="0"/>
                <w:sz w:val="20"/>
                <w:szCs w:val="20"/>
              </w:rPr>
              <w:t>(4) 支持巡更超时时间的设置；</w:t>
            </w:r>
            <w:r>
              <w:rPr>
                <w:rFonts w:hint="eastAsia" w:ascii="宋体" w:hAnsi="宋体" w:cs="宋体"/>
                <w:kern w:val="0"/>
                <w:sz w:val="20"/>
                <w:szCs w:val="20"/>
              </w:rPr>
              <w:br w:type="textWrapping"/>
            </w:r>
            <w:r>
              <w:rPr>
                <w:rFonts w:hint="eastAsia" w:ascii="宋体" w:hAnsi="宋体" w:cs="宋体"/>
                <w:kern w:val="0"/>
                <w:sz w:val="20"/>
                <w:szCs w:val="20"/>
              </w:rPr>
              <w:t>(5) 巡更周期支持按周和日巡进行自定义计划创建；</w:t>
            </w:r>
            <w:r>
              <w:rPr>
                <w:rFonts w:hint="eastAsia" w:ascii="宋体" w:hAnsi="宋体" w:cs="宋体"/>
                <w:kern w:val="0"/>
                <w:sz w:val="20"/>
                <w:szCs w:val="20"/>
              </w:rPr>
              <w:br w:type="textWrapping"/>
            </w:r>
            <w:r>
              <w:rPr>
                <w:rFonts w:hint="eastAsia" w:ascii="宋体" w:hAnsi="宋体" w:cs="宋体"/>
                <w:kern w:val="0"/>
                <w:sz w:val="20"/>
                <w:szCs w:val="20"/>
              </w:rPr>
              <w:t>(6) 支持自定义配置是否延续巡更，若选择延续，系统自动在固定周期时间生成巡更计划；</w:t>
            </w:r>
          </w:p>
        </w:tc>
      </w:tr>
      <w:tr>
        <w:tblPrEx>
          <w:tblCellMar>
            <w:top w:w="0" w:type="dxa"/>
            <w:left w:w="108" w:type="dxa"/>
            <w:bottom w:w="0" w:type="dxa"/>
            <w:right w:w="108" w:type="dxa"/>
          </w:tblCellMar>
        </w:tblPrEx>
        <w:trPr>
          <w:trHeight w:val="300" w:hRule="atLeast"/>
        </w:trPr>
        <w:tc>
          <w:tcPr>
            <w:tcW w:w="540" w:type="dxa"/>
            <w:tcBorders>
              <w:top w:val="single" w:color="auto" w:sz="4" w:space="0"/>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206 </w:t>
            </w:r>
          </w:p>
        </w:tc>
        <w:tc>
          <w:tcPr>
            <w:tcW w:w="652" w:type="dxa"/>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2095" w:type="dxa"/>
            <w:tcBorders>
              <w:top w:val="single" w:color="auto"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日常维保</w:t>
            </w:r>
          </w:p>
        </w:tc>
        <w:tc>
          <w:tcPr>
            <w:tcW w:w="8599" w:type="dxa"/>
            <w:tcBorders>
              <w:top w:val="single" w:color="auto" w:sz="4" w:space="0"/>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按计划对设施设备进行维保，记录维保结果；支持在维保过程中上报发现的问题。</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207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装修管理</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支持装修申请的报备和审批功能，以及日常装修管理工作的情况信息录入。</w:t>
            </w:r>
            <w:r>
              <w:rPr>
                <w:rFonts w:hint="eastAsia" w:ascii="宋体" w:hAnsi="宋体" w:cs="宋体"/>
                <w:kern w:val="0"/>
                <w:sz w:val="20"/>
                <w:szCs w:val="20"/>
              </w:rPr>
              <w:br w:type="textWrapping"/>
            </w:r>
            <w:r>
              <w:rPr>
                <w:rFonts w:hint="eastAsia" w:ascii="宋体" w:hAnsi="宋体" w:cs="宋体"/>
                <w:kern w:val="0"/>
                <w:sz w:val="20"/>
                <w:szCs w:val="20"/>
              </w:rPr>
              <w:t>(1) 支持审批材料的归集</w:t>
            </w:r>
            <w:r>
              <w:rPr>
                <w:rFonts w:hint="eastAsia" w:ascii="宋体" w:hAnsi="宋体" w:cs="宋体"/>
                <w:kern w:val="0"/>
                <w:sz w:val="20"/>
                <w:szCs w:val="20"/>
              </w:rPr>
              <w:br w:type="textWrapping"/>
            </w:r>
            <w:r>
              <w:rPr>
                <w:rFonts w:hint="eastAsia" w:ascii="宋体" w:hAnsi="宋体" w:cs="宋体"/>
                <w:kern w:val="0"/>
                <w:sz w:val="20"/>
                <w:szCs w:val="20"/>
              </w:rPr>
              <w:t>(2) 支持装修费用的归集</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208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社区通知</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工作人员可在管理后台发布和管理公告通知，包括日常通知、活动告知、政策、福利等内容。发布后小区居民可在小程序上接收和查看最新的社区公告。同时可这次将社区公告在小程序首页做轮播展示，以增加社区公告通知曝光和触达率。</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209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物业缴费</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物业工作人员通过配置账单生成规则或者自主上传添加相应的账单信息。</w:t>
            </w:r>
            <w:r>
              <w:rPr>
                <w:rFonts w:hint="eastAsia" w:ascii="宋体" w:hAnsi="宋体" w:cs="宋体"/>
                <w:kern w:val="0"/>
                <w:sz w:val="20"/>
                <w:szCs w:val="20"/>
              </w:rPr>
              <w:br w:type="textWrapping"/>
            </w:r>
            <w:r>
              <w:rPr>
                <w:rFonts w:hint="eastAsia" w:ascii="宋体" w:hAnsi="宋体" w:cs="宋体"/>
                <w:kern w:val="0"/>
                <w:sz w:val="20"/>
                <w:szCs w:val="20"/>
              </w:rPr>
              <w:t>住户根据自己所在的房屋，查看相应的账单，可通过线上/线下完成缴费。</w:t>
            </w:r>
            <w:r>
              <w:rPr>
                <w:rFonts w:hint="eastAsia" w:ascii="宋体" w:hAnsi="宋体" w:cs="宋体"/>
                <w:kern w:val="0"/>
                <w:sz w:val="20"/>
                <w:szCs w:val="20"/>
              </w:rPr>
              <w:br w:type="textWrapping"/>
            </w:r>
            <w:r>
              <w:rPr>
                <w:rFonts w:hint="eastAsia" w:ascii="宋体" w:hAnsi="宋体" w:cs="宋体"/>
                <w:kern w:val="0"/>
                <w:sz w:val="20"/>
                <w:szCs w:val="20"/>
              </w:rPr>
              <w:t>物业工作人员对账款可以进行复核、核销等管理，同时还支持在线打印催缴单、收款收据等；可多维度统计分析账单数据信息。</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210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催缴通知单</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对于未按期缴纳物业费的，系统自动生成催缴通知单，可支持业主在线查看，及管理人员后台下载催缴通知单功能。</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211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计量表管理</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公摊区域的水电能耗物业人员抄表，支持批量导入导出，支持按月/季度/年维度统计分析</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212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自动开票</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自动开出相关收费电子发票（物业费、其他费用），发送到居民系统或邮箱。</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213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物业考核</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(1) 提供考核数据统计，以及考核指标的配置，实现社区内管理事务的有效考核和标准执行的落地，通过对管理事务的各类指标进行监测，提供不同时间维度下的数据看板及考核排名。</w:t>
            </w:r>
            <w:r>
              <w:rPr>
                <w:rFonts w:hint="eastAsia" w:ascii="宋体" w:hAnsi="宋体" w:cs="宋体"/>
                <w:kern w:val="0"/>
                <w:sz w:val="20"/>
                <w:szCs w:val="20"/>
              </w:rPr>
              <w:br w:type="textWrapping"/>
            </w:r>
            <w:r>
              <w:rPr>
                <w:rFonts w:hint="eastAsia" w:ascii="宋体" w:hAnsi="宋体" w:cs="宋体"/>
                <w:kern w:val="0"/>
                <w:sz w:val="20"/>
                <w:szCs w:val="20"/>
              </w:rPr>
              <w:t>(2) 支持通过问卷形式调查物业服务的满意程度。</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214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服务评分</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住户可对小区的环境及物业服务做出评价，评价每月可进行一次，同时物业公司服务信息和评分信息在住户端进行展示。物业可对住户的评分结果不断提升服务。</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215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投诉表扬</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居民在线发布投诉和表扬信息，物业工作人员收到后可进行相应的处理。</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216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咨询建议</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提供居民在线咨询和建议入口，物业工作人员收到到在后台进行相应的跟进和处理。</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217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物品领用</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居民可申请借用物业公司的相关工具等。可在系统端提交工单，物业工作人员确认后可前去领用。</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218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物业管家</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管理管家团队人员信息，配置管家的管辖范围及服务信息，居民对管家的服务可进行评价，根据评价结果表扬或促进管家的服务。</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219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消息推送</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新工单、新任务产生时，在管理端会自动生成一条提醒消息。</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auto"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220 </w:t>
            </w:r>
          </w:p>
        </w:tc>
        <w:tc>
          <w:tcPr>
            <w:tcW w:w="652" w:type="dxa"/>
            <w:vMerge w:val="continue"/>
            <w:tcBorders>
              <w:top w:val="nil"/>
              <w:left w:val="single" w:color="000000" w:sz="4" w:space="0"/>
              <w:bottom w:val="single" w:color="auto"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auto"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restart"/>
            <w:tcBorders>
              <w:top w:val="nil"/>
              <w:left w:val="single" w:color="000000" w:sz="4" w:space="0"/>
              <w:bottom w:val="single" w:color="auto"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办公自动化</w:t>
            </w:r>
          </w:p>
        </w:tc>
        <w:tc>
          <w:tcPr>
            <w:tcW w:w="2095" w:type="dxa"/>
            <w:tcBorders>
              <w:top w:val="nil"/>
              <w:left w:val="nil"/>
              <w:bottom w:val="single" w:color="auto"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文件传阅</w:t>
            </w:r>
          </w:p>
        </w:tc>
        <w:tc>
          <w:tcPr>
            <w:tcW w:w="8599" w:type="dxa"/>
            <w:tcBorders>
              <w:top w:val="nil"/>
              <w:left w:val="nil"/>
              <w:bottom w:val="single" w:color="auto"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支持上传文件，传阅给多人，可了解接受者的查阅情况。</w:t>
            </w:r>
          </w:p>
        </w:tc>
      </w:tr>
      <w:tr>
        <w:tblPrEx>
          <w:tblCellMar>
            <w:top w:w="0" w:type="dxa"/>
            <w:left w:w="108" w:type="dxa"/>
            <w:bottom w:w="0" w:type="dxa"/>
            <w:right w:w="108" w:type="dxa"/>
          </w:tblCellMar>
        </w:tblPrEx>
        <w:trPr>
          <w:trHeight w:val="300" w:hRule="atLeast"/>
        </w:trPr>
        <w:tc>
          <w:tcPr>
            <w:tcW w:w="5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221 </w:t>
            </w:r>
          </w:p>
        </w:tc>
        <w:tc>
          <w:tcPr>
            <w:tcW w:w="65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20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工作推进</w:t>
            </w:r>
          </w:p>
        </w:tc>
        <w:tc>
          <w:tcPr>
            <w:tcW w:w="859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支持发起项目工作推进，采购申请推进</w:t>
            </w:r>
            <w:r>
              <w:rPr>
                <w:rFonts w:hint="eastAsia" w:ascii="宋体" w:hAnsi="宋体" w:cs="宋体"/>
                <w:kern w:val="0"/>
                <w:sz w:val="20"/>
                <w:szCs w:val="20"/>
              </w:rPr>
              <w:br w:type="textWrapping"/>
            </w:r>
            <w:r>
              <w:rPr>
                <w:rFonts w:hint="eastAsia" w:ascii="宋体" w:hAnsi="宋体" w:cs="宋体"/>
                <w:kern w:val="0"/>
                <w:sz w:val="20"/>
                <w:szCs w:val="20"/>
              </w:rPr>
              <w:t>支持申请通过后，发起验收申请</w:t>
            </w:r>
            <w:r>
              <w:rPr>
                <w:rFonts w:hint="eastAsia" w:ascii="宋体" w:hAnsi="宋体" w:cs="宋体"/>
                <w:kern w:val="0"/>
                <w:sz w:val="20"/>
                <w:szCs w:val="20"/>
              </w:rPr>
              <w:br w:type="textWrapping"/>
            </w:r>
            <w:r>
              <w:rPr>
                <w:rFonts w:hint="eastAsia" w:ascii="宋体" w:hAnsi="宋体" w:cs="宋体"/>
                <w:kern w:val="0"/>
                <w:sz w:val="20"/>
                <w:szCs w:val="20"/>
              </w:rPr>
              <w:t>支持灵活的审批配置，抄送相关人员</w:t>
            </w:r>
          </w:p>
        </w:tc>
      </w:tr>
      <w:tr>
        <w:tblPrEx>
          <w:tblCellMar>
            <w:top w:w="0" w:type="dxa"/>
            <w:left w:w="108" w:type="dxa"/>
            <w:bottom w:w="0" w:type="dxa"/>
            <w:right w:w="108" w:type="dxa"/>
          </w:tblCellMar>
        </w:tblPrEx>
        <w:trPr>
          <w:trHeight w:val="300" w:hRule="atLeast"/>
        </w:trPr>
        <w:tc>
          <w:tcPr>
            <w:tcW w:w="540" w:type="dxa"/>
            <w:tcBorders>
              <w:top w:val="single" w:color="auto" w:sz="4" w:space="0"/>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222 </w:t>
            </w:r>
          </w:p>
        </w:tc>
        <w:tc>
          <w:tcPr>
            <w:tcW w:w="652" w:type="dxa"/>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2095" w:type="dxa"/>
            <w:tcBorders>
              <w:top w:val="single" w:color="auto" w:sz="4" w:space="0"/>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盖章申请</w:t>
            </w:r>
          </w:p>
        </w:tc>
        <w:tc>
          <w:tcPr>
            <w:tcW w:w="8599" w:type="dxa"/>
            <w:tcBorders>
              <w:top w:val="single" w:color="auto" w:sz="4" w:space="0"/>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支持发起用印盖章申请，打印审批单</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223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restart"/>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人事管理</w:t>
            </w:r>
          </w:p>
        </w:tc>
        <w:tc>
          <w:tcPr>
            <w:tcW w:w="2095"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员工信息管理</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支持对员工信息进行管理，包括员工姓名、手机号、证件号码和项目权限信息等；项目内员工可申请关联部门，管理员可在线审核该用户是否为组织内成员，并一键通过用户关联部门的申请，将员工关联进组织（部门），并且可以把成员移动至任一组织（部门）架构下 。</w:t>
            </w:r>
            <w:r>
              <w:rPr>
                <w:rFonts w:hint="eastAsia" w:ascii="宋体" w:hAnsi="宋体" w:cs="宋体"/>
                <w:kern w:val="0"/>
                <w:sz w:val="20"/>
                <w:szCs w:val="20"/>
              </w:rPr>
              <w:br w:type="textWrapping"/>
            </w:r>
            <w:r>
              <w:rPr>
                <w:rFonts w:hint="eastAsia" w:ascii="宋体" w:hAnsi="宋体" w:cs="宋体"/>
                <w:kern w:val="0"/>
                <w:sz w:val="20"/>
                <w:szCs w:val="20"/>
              </w:rPr>
              <w:t>支持人事档案上传和下载</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224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2095"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考勤考核</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考勤考核标准支持多级自定义规则，通过考勤考核指标的配置，实现社区内管理事务的有效考勤考核和标准执行的落地。</w:t>
            </w:r>
            <w:r>
              <w:rPr>
                <w:rFonts w:hint="eastAsia" w:ascii="宋体" w:hAnsi="宋体" w:cs="宋体"/>
                <w:kern w:val="0"/>
                <w:sz w:val="20"/>
                <w:szCs w:val="20"/>
              </w:rPr>
              <w:br w:type="textWrapping"/>
            </w:r>
            <w:r>
              <w:rPr>
                <w:rFonts w:hint="eastAsia" w:ascii="宋体" w:hAnsi="宋体" w:cs="宋体"/>
                <w:kern w:val="0"/>
                <w:sz w:val="20"/>
                <w:szCs w:val="20"/>
              </w:rPr>
              <w:t>(1) 支持选配考勤人员；</w:t>
            </w:r>
            <w:r>
              <w:rPr>
                <w:rFonts w:hint="eastAsia" w:ascii="宋体" w:hAnsi="宋体" w:cs="宋体"/>
                <w:kern w:val="0"/>
                <w:sz w:val="20"/>
                <w:szCs w:val="20"/>
              </w:rPr>
              <w:br w:type="textWrapping"/>
            </w:r>
            <w:r>
              <w:rPr>
                <w:rFonts w:hint="eastAsia" w:ascii="宋体" w:hAnsi="宋体" w:cs="宋体"/>
                <w:kern w:val="0"/>
                <w:sz w:val="20"/>
                <w:szCs w:val="20"/>
              </w:rPr>
              <w:t>(2) 支持不同社区设置不同考勤地点；</w:t>
            </w:r>
            <w:r>
              <w:rPr>
                <w:rFonts w:hint="eastAsia" w:ascii="宋体" w:hAnsi="宋体" w:cs="宋体"/>
                <w:kern w:val="0"/>
                <w:sz w:val="20"/>
                <w:szCs w:val="20"/>
              </w:rPr>
              <w:br w:type="textWrapping"/>
            </w:r>
            <w:r>
              <w:rPr>
                <w:rFonts w:hint="eastAsia" w:ascii="宋体" w:hAnsi="宋体" w:cs="宋体"/>
                <w:kern w:val="0"/>
                <w:sz w:val="20"/>
                <w:szCs w:val="20"/>
              </w:rPr>
              <w:t>(3) 支持导出考勤记录 。</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225 </w:t>
            </w:r>
          </w:p>
        </w:tc>
        <w:tc>
          <w:tcPr>
            <w:tcW w:w="652" w:type="dxa"/>
            <w:vMerge w:val="restart"/>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社区治理应用</w:t>
            </w:r>
          </w:p>
        </w:tc>
        <w:tc>
          <w:tcPr>
            <w:tcW w:w="1031" w:type="dxa"/>
            <w:vMerge w:val="restart"/>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社区党建</w:t>
            </w: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党组织管理</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查看及管理党组织，包括新增组织、编辑组织、删除组织，组织成员管理，包括姓名、性别、党内职务、党员类型、党龄，可支持新增、查看、删除。</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226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党员管理</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查看党员列表，包括姓名、性别、手机号、支部名称、党内职务、出生日期、入党日期、转正日期，可支持新增、编辑、删除、批量导入。</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227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党群服务</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包含对服务岗管理、任务管理、任务审核</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228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党建问卷</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支持发起在线问卷调查，题型多样，后台自动统计结果。</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229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在线党建</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为党员提供移动端在线党课功能，管理后台可配置党课内容支持视频及文档等媒介格式，并可进行课程测评；对学习进度、测评结果进行统一管理。</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230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restart"/>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党建活动</w:t>
            </w:r>
          </w:p>
        </w:tc>
        <w:tc>
          <w:tcPr>
            <w:tcW w:w="2095" w:type="dxa"/>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党员活动管理</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活动主题、活动状态、开放组织、活动地点、报名截止时间、活动人数、报名人数，可实现顶置、显示、新增、详情、删除。</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231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2095" w:type="dxa"/>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成果分享</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党建活动成果分享，居民可以参与互动评论，点赞</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232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restart"/>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党建引导</w:t>
            </w:r>
          </w:p>
        </w:tc>
        <w:tc>
          <w:tcPr>
            <w:tcW w:w="2095" w:type="dxa"/>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党员任务</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1）认领先锋岗任务；2）查看所属党员先锋岗的任务；3）管理我的任务，根据任务状态，待完成、审核中、已审核、已取消查看任务列表；4）查看任务审核情况；5）提交完成任务完成信息。</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233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2095" w:type="dxa"/>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成果分享</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查看组织内党员的成果分享、发表成果分享</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234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2095" w:type="dxa"/>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党员亮身份</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查看党组织部门的党员名单信息，结合小区平面分布图的形式来呈现。</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auto"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235 </w:t>
            </w:r>
          </w:p>
        </w:tc>
        <w:tc>
          <w:tcPr>
            <w:tcW w:w="652" w:type="dxa"/>
            <w:vMerge w:val="continue"/>
            <w:tcBorders>
              <w:top w:val="nil"/>
              <w:left w:val="single" w:color="000000" w:sz="4" w:space="0"/>
              <w:bottom w:val="single" w:color="auto"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auto"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single" w:color="000000" w:sz="4" w:space="0"/>
              <w:bottom w:val="single" w:color="auto"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2095" w:type="dxa"/>
            <w:tcBorders>
              <w:top w:val="nil"/>
              <w:left w:val="nil"/>
              <w:bottom w:val="single" w:color="auto"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我的组织</w:t>
            </w:r>
          </w:p>
        </w:tc>
        <w:tc>
          <w:tcPr>
            <w:tcW w:w="8599" w:type="dxa"/>
            <w:tcBorders>
              <w:top w:val="nil"/>
              <w:left w:val="nil"/>
              <w:bottom w:val="single" w:color="auto"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查看归属组织及任职组织</w:t>
            </w:r>
          </w:p>
        </w:tc>
      </w:tr>
      <w:tr>
        <w:tblPrEx>
          <w:tblCellMar>
            <w:top w:w="0" w:type="dxa"/>
            <w:left w:w="108" w:type="dxa"/>
            <w:bottom w:w="0" w:type="dxa"/>
            <w:right w:w="108" w:type="dxa"/>
          </w:tblCellMar>
        </w:tblPrEx>
        <w:trPr>
          <w:trHeight w:val="300" w:hRule="atLeast"/>
        </w:trPr>
        <w:tc>
          <w:tcPr>
            <w:tcW w:w="5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236 </w:t>
            </w:r>
          </w:p>
        </w:tc>
        <w:tc>
          <w:tcPr>
            <w:tcW w:w="65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业主自治</w:t>
            </w:r>
          </w:p>
        </w:tc>
        <w:tc>
          <w:tcPr>
            <w:tcW w:w="1258"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随手拍</w:t>
            </w:r>
          </w:p>
        </w:tc>
        <w:tc>
          <w:tcPr>
            <w:tcW w:w="20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一键上报</w:t>
            </w:r>
          </w:p>
        </w:tc>
        <w:tc>
          <w:tcPr>
            <w:tcW w:w="859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可对小区内安全隐患、治安类、环境卫生等内容，居民可以在线进行事件线索的上报，同时可查看上报事件的处理情况。</w:t>
            </w:r>
          </w:p>
        </w:tc>
      </w:tr>
      <w:tr>
        <w:tblPrEx>
          <w:tblCellMar>
            <w:top w:w="0" w:type="dxa"/>
            <w:left w:w="108" w:type="dxa"/>
            <w:bottom w:w="0" w:type="dxa"/>
            <w:right w:w="108" w:type="dxa"/>
          </w:tblCellMar>
        </w:tblPrEx>
        <w:trPr>
          <w:trHeight w:val="300" w:hRule="atLeast"/>
        </w:trPr>
        <w:tc>
          <w:tcPr>
            <w:tcW w:w="540" w:type="dxa"/>
            <w:tcBorders>
              <w:top w:val="single" w:color="auto" w:sz="4" w:space="0"/>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237 </w:t>
            </w:r>
          </w:p>
        </w:tc>
        <w:tc>
          <w:tcPr>
            <w:tcW w:w="652" w:type="dxa"/>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2095" w:type="dxa"/>
            <w:tcBorders>
              <w:top w:val="single" w:color="auto"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待办事件</w:t>
            </w:r>
          </w:p>
        </w:tc>
        <w:tc>
          <w:tcPr>
            <w:tcW w:w="8599" w:type="dxa"/>
            <w:tcBorders>
              <w:top w:val="single" w:color="auto" w:sz="4" w:space="0"/>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收集住户上报或者事件模型自动生成的事件信息，对相应的事件进行分派、处理。</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238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2095" w:type="dxa"/>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事件统计</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按事件类别、事件来源、事件处理状态维度进行统计分析。</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239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2095" w:type="dxa"/>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事件模型</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配置事件模型，按不同的事件类别可配置事件的处理流转流程，也可按事件模型能力（如全域AI安防）来配置事件。</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240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业委会</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管理小区业委会成员信息，包括业委会人员姓名、联系电话、工作单位等信息。</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241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业主投票</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投票（含问卷）的增、删、改、查，投票结果的统计查看；可配置参与投票人员的类型。</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242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restart"/>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社区应急管控</w:t>
            </w:r>
          </w:p>
        </w:tc>
        <w:tc>
          <w:tcPr>
            <w:tcW w:w="1258" w:type="dxa"/>
            <w:vMerge w:val="restart"/>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基础管控</w:t>
            </w:r>
          </w:p>
        </w:tc>
        <w:tc>
          <w:tcPr>
            <w:tcW w:w="2095" w:type="dxa"/>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一人一档</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用户档案，包括姓名、身份证号、手机号、关联信息（关联人员、关联房屋、关联车辆、关联车位），可满足跳转详情查看关联信息。</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243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2095" w:type="dxa"/>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一房一档</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房屋档案，包括小区、苑期区、楼栋、单元、门牌号、标签，可满足跳转详情查看关联信息。</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244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2095" w:type="dxa"/>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一车一档</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车辆档案，包括车牌号、联系人、车辆类型、有效期，可满足跳转详情查看关联信息。</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245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2095" w:type="dxa"/>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社区看板</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社区人、房、车、事件、资源等基础数据统计。</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246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2095" w:type="dxa"/>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事件中心</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事件的分派、处理，也可满足自主上报事件。街道社区工作所需处置的相关事件，有相关事件产生会以通知的形式自动提醒处理人，处理人可在查看事件的详细信息并基于这些信息对事件做出响应。</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247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restart"/>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重点监控</w:t>
            </w:r>
          </w:p>
        </w:tc>
        <w:tc>
          <w:tcPr>
            <w:tcW w:w="2095" w:type="dxa"/>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重点老人/小孩的离园监控</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对于社区80岁以上的老年群体、3岁以下的小孩群体，通过建立重点群体的人脸库信息，后台进行系统标记，社区监控与重点人员关联，动态监测。当出现重点人群离开社区范围的时候，系统自动抓拍，发起预警提醒，预警信息自动同步到社区安保人员，以及通过短信的方式发送到家人，进行人为的干预。</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248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25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2095" w:type="dxa"/>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人群走失的查找</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对于社区走失的人员，系统可以通过居民提供的人脸信息，结合监控进行走失人群比对，快速查找走失人群的行动轨迹的。</w:t>
            </w:r>
          </w:p>
        </w:tc>
      </w:tr>
      <w:tr>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249 </w:t>
            </w:r>
          </w:p>
        </w:tc>
        <w:tc>
          <w:tcPr>
            <w:tcW w:w="65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napToGrid w:val="0"/>
              <w:jc w:val="left"/>
              <w:rPr>
                <w:rFonts w:ascii="宋体" w:hAnsi="宋体" w:cs="宋体"/>
                <w:kern w:val="0"/>
                <w:sz w:val="20"/>
                <w:szCs w:val="20"/>
              </w:rPr>
            </w:pPr>
          </w:p>
        </w:tc>
        <w:tc>
          <w:tcPr>
            <w:tcW w:w="1031" w:type="dxa"/>
            <w:tcBorders>
              <w:top w:val="nil"/>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城市服务在身边</w:t>
            </w:r>
          </w:p>
        </w:tc>
        <w:tc>
          <w:tcPr>
            <w:tcW w:w="3353" w:type="dxa"/>
            <w:gridSpan w:val="2"/>
            <w:tcBorders>
              <w:top w:val="single" w:color="000000" w:sz="4" w:space="0"/>
              <w:left w:val="nil"/>
              <w:bottom w:val="single" w:color="000000" w:sz="4" w:space="0"/>
              <w:right w:val="single" w:color="000000" w:sz="4" w:space="0"/>
            </w:tcBorders>
            <w:shd w:val="clear" w:color="000000" w:fill="FFFFFF"/>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城市服务在身边</w:t>
            </w:r>
          </w:p>
        </w:tc>
        <w:tc>
          <w:tcPr>
            <w:tcW w:w="8599" w:type="dxa"/>
            <w:tcBorders>
              <w:top w:val="nil"/>
              <w:left w:val="nil"/>
              <w:bottom w:val="single" w:color="000000" w:sz="4" w:space="0"/>
              <w:right w:val="single" w:color="000000" w:sz="4" w:space="0"/>
            </w:tcBorders>
            <w:shd w:val="clear" w:color="000000" w:fill="FFFFFF"/>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基于“最多跑一次”改革，为未来社区居民提供基础政务民生服务自助办理。如证明打印、公共缴费支付、公共服务等各类政务服务，居民可选择在大洋未来式社区自助服务厅内的自助机器进行操作，同时可在未来社区小程序中办理基础政务，实现政务服务办理高效化、便捷化以及人性化。</w:t>
            </w:r>
          </w:p>
        </w:tc>
      </w:tr>
    </w:tbl>
    <w:p/>
    <w:p/>
    <w:p>
      <w:pPr>
        <w:pStyle w:val="4"/>
        <w:spacing w:before="0" w:after="0" w:line="440" w:lineRule="exact"/>
      </w:pPr>
      <w:r>
        <w:rPr>
          <w:rFonts w:hint="eastAsia" w:ascii="宋体" w:hAnsi="宋体" w:eastAsia="宋体" w:cs="宋体"/>
          <w:sz w:val="24"/>
          <w:szCs w:val="24"/>
        </w:rPr>
        <w:t>硬件系统</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425"/>
        <w:gridCol w:w="417"/>
        <w:gridCol w:w="1241"/>
        <w:gridCol w:w="8222"/>
        <w:gridCol w:w="724"/>
        <w:gridCol w:w="472"/>
        <w:gridCol w:w="675"/>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84" w:type="dxa"/>
            <w:noWrap w:val="0"/>
            <w:vAlign w:val="center"/>
          </w:tcPr>
          <w:p>
            <w:pPr>
              <w:widowControl/>
              <w:snapToGrid w:val="0"/>
              <w:jc w:val="left"/>
              <w:rPr>
                <w:rFonts w:ascii="宋体" w:hAnsi="宋体" w:eastAsia="Times New Roman" w:cs="宋体"/>
                <w:kern w:val="0"/>
                <w:sz w:val="20"/>
                <w:szCs w:val="20"/>
              </w:rPr>
            </w:pPr>
          </w:p>
        </w:tc>
        <w:tc>
          <w:tcPr>
            <w:tcW w:w="12176" w:type="dxa"/>
            <w:gridSpan w:val="7"/>
            <w:noWrap w:val="0"/>
            <w:vAlign w:val="center"/>
          </w:tcPr>
          <w:p>
            <w:pPr>
              <w:widowControl/>
              <w:snapToGrid w:val="0"/>
              <w:jc w:val="center"/>
              <w:rPr>
                <w:rFonts w:ascii="等线" w:hAnsi="等线" w:eastAsia="等线" w:cs="宋体"/>
                <w:b/>
                <w:bCs/>
                <w:kern w:val="0"/>
                <w:sz w:val="20"/>
                <w:szCs w:val="20"/>
              </w:rPr>
            </w:pPr>
            <w:r>
              <w:rPr>
                <w:rFonts w:hint="eastAsia" w:ascii="宋体" w:hAnsi="宋体" w:cs="宋体"/>
                <w:b/>
                <w:bCs/>
                <w:kern w:val="0"/>
                <w:sz w:val="20"/>
                <w:szCs w:val="20"/>
              </w:rPr>
              <w:t>硬件建设清单</w:t>
            </w:r>
          </w:p>
        </w:tc>
        <w:tc>
          <w:tcPr>
            <w:tcW w:w="1414" w:type="dxa"/>
            <w:noWrap w:val="0"/>
            <w:vAlign w:val="center"/>
          </w:tcPr>
          <w:p>
            <w:pPr>
              <w:widowControl/>
              <w:snapToGrid w:val="0"/>
              <w:jc w:val="center"/>
              <w:rPr>
                <w:rFonts w:ascii="等线" w:hAnsi="等线" w:eastAsia="等线"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b/>
                <w:bCs/>
                <w:kern w:val="0"/>
                <w:sz w:val="20"/>
                <w:szCs w:val="20"/>
              </w:rPr>
            </w:pPr>
            <w:r>
              <w:rPr>
                <w:rFonts w:hint="eastAsia" w:ascii="宋体" w:hAnsi="宋体" w:cs="宋体"/>
                <w:b/>
                <w:bCs/>
                <w:kern w:val="0"/>
                <w:sz w:val="20"/>
                <w:szCs w:val="20"/>
              </w:rPr>
              <w:t>序号</w:t>
            </w:r>
          </w:p>
        </w:tc>
        <w:tc>
          <w:tcPr>
            <w:tcW w:w="842" w:type="dxa"/>
            <w:gridSpan w:val="2"/>
            <w:noWrap w:val="0"/>
            <w:vAlign w:val="center"/>
          </w:tcPr>
          <w:p>
            <w:pPr>
              <w:widowControl/>
              <w:snapToGrid w:val="0"/>
              <w:jc w:val="center"/>
              <w:rPr>
                <w:rFonts w:ascii="宋体" w:hAnsi="宋体" w:cs="宋体"/>
                <w:b/>
                <w:bCs/>
                <w:kern w:val="0"/>
                <w:sz w:val="20"/>
                <w:szCs w:val="20"/>
              </w:rPr>
            </w:pPr>
            <w:r>
              <w:rPr>
                <w:rFonts w:hint="eastAsia" w:ascii="宋体" w:hAnsi="宋体" w:cs="宋体"/>
                <w:b/>
                <w:bCs/>
                <w:kern w:val="0"/>
                <w:sz w:val="20"/>
                <w:szCs w:val="20"/>
              </w:rPr>
              <w:t>场景</w:t>
            </w:r>
          </w:p>
        </w:tc>
        <w:tc>
          <w:tcPr>
            <w:tcW w:w="1241" w:type="dxa"/>
            <w:noWrap w:val="0"/>
            <w:vAlign w:val="center"/>
          </w:tcPr>
          <w:p>
            <w:pPr>
              <w:widowControl/>
              <w:snapToGrid w:val="0"/>
              <w:jc w:val="left"/>
              <w:rPr>
                <w:rFonts w:ascii="宋体" w:hAnsi="宋体" w:cs="宋体"/>
                <w:b/>
                <w:bCs/>
                <w:kern w:val="0"/>
                <w:sz w:val="20"/>
                <w:szCs w:val="20"/>
              </w:rPr>
            </w:pPr>
            <w:r>
              <w:rPr>
                <w:rFonts w:hint="eastAsia" w:ascii="宋体" w:hAnsi="宋体" w:cs="宋体"/>
                <w:b/>
                <w:bCs/>
                <w:kern w:val="0"/>
                <w:sz w:val="20"/>
                <w:szCs w:val="20"/>
              </w:rPr>
              <w:t>产品名称</w:t>
            </w:r>
          </w:p>
        </w:tc>
        <w:tc>
          <w:tcPr>
            <w:tcW w:w="8222" w:type="dxa"/>
            <w:noWrap w:val="0"/>
            <w:vAlign w:val="center"/>
          </w:tcPr>
          <w:p>
            <w:pPr>
              <w:widowControl/>
              <w:snapToGrid w:val="0"/>
              <w:jc w:val="left"/>
              <w:rPr>
                <w:rFonts w:ascii="宋体" w:hAnsi="宋体" w:cs="宋体"/>
                <w:b/>
                <w:bCs/>
                <w:kern w:val="0"/>
                <w:sz w:val="20"/>
                <w:szCs w:val="20"/>
              </w:rPr>
            </w:pPr>
            <w:r>
              <w:rPr>
                <w:rFonts w:hint="eastAsia" w:ascii="宋体" w:hAnsi="宋体" w:cs="宋体"/>
                <w:b/>
                <w:bCs/>
                <w:kern w:val="0"/>
                <w:sz w:val="20"/>
                <w:szCs w:val="20"/>
              </w:rPr>
              <w:t>功能描述</w:t>
            </w:r>
          </w:p>
        </w:tc>
        <w:tc>
          <w:tcPr>
            <w:tcW w:w="724" w:type="dxa"/>
            <w:noWrap w:val="0"/>
            <w:vAlign w:val="center"/>
          </w:tcPr>
          <w:p>
            <w:pPr>
              <w:widowControl/>
              <w:snapToGrid w:val="0"/>
              <w:jc w:val="center"/>
              <w:rPr>
                <w:rFonts w:ascii="宋体" w:hAnsi="宋体" w:cs="宋体"/>
                <w:b/>
                <w:bCs/>
                <w:kern w:val="0"/>
                <w:sz w:val="20"/>
                <w:szCs w:val="20"/>
              </w:rPr>
            </w:pPr>
            <w:r>
              <w:rPr>
                <w:rFonts w:hint="eastAsia" w:ascii="宋体" w:hAnsi="宋体" w:cs="宋体"/>
                <w:b/>
                <w:bCs/>
                <w:kern w:val="0"/>
                <w:sz w:val="20"/>
                <w:szCs w:val="20"/>
              </w:rPr>
              <w:t>数量</w:t>
            </w:r>
          </w:p>
        </w:tc>
        <w:tc>
          <w:tcPr>
            <w:tcW w:w="472" w:type="dxa"/>
            <w:noWrap w:val="0"/>
            <w:vAlign w:val="center"/>
          </w:tcPr>
          <w:p>
            <w:pPr>
              <w:widowControl/>
              <w:snapToGrid w:val="0"/>
              <w:jc w:val="center"/>
              <w:rPr>
                <w:rFonts w:ascii="宋体" w:hAnsi="宋体" w:cs="宋体"/>
                <w:b/>
                <w:bCs/>
                <w:kern w:val="0"/>
                <w:sz w:val="20"/>
                <w:szCs w:val="20"/>
              </w:rPr>
            </w:pPr>
            <w:r>
              <w:rPr>
                <w:rFonts w:hint="eastAsia" w:ascii="宋体" w:hAnsi="宋体" w:cs="宋体"/>
                <w:b/>
                <w:bCs/>
                <w:kern w:val="0"/>
                <w:sz w:val="20"/>
                <w:szCs w:val="20"/>
              </w:rPr>
              <w:t>单位</w:t>
            </w:r>
          </w:p>
        </w:tc>
        <w:tc>
          <w:tcPr>
            <w:tcW w:w="675" w:type="dxa"/>
            <w:noWrap w:val="0"/>
            <w:vAlign w:val="center"/>
          </w:tcPr>
          <w:p>
            <w:pPr>
              <w:widowControl/>
              <w:snapToGrid w:val="0"/>
              <w:jc w:val="center"/>
              <w:rPr>
                <w:rFonts w:ascii="宋体" w:hAnsi="宋体" w:cs="宋体"/>
                <w:b/>
                <w:bCs/>
                <w:kern w:val="0"/>
                <w:sz w:val="20"/>
                <w:szCs w:val="20"/>
              </w:rPr>
            </w:pPr>
            <w:r>
              <w:rPr>
                <w:rFonts w:hint="eastAsia" w:ascii="宋体" w:hAnsi="宋体" w:cs="宋体"/>
                <w:b/>
                <w:bCs/>
                <w:kern w:val="0"/>
                <w:sz w:val="20"/>
                <w:szCs w:val="20"/>
              </w:rPr>
              <w:t>备注</w:t>
            </w:r>
          </w:p>
        </w:tc>
        <w:tc>
          <w:tcPr>
            <w:tcW w:w="1414" w:type="dxa"/>
            <w:noWrap w:val="0"/>
            <w:vAlign w:val="center"/>
          </w:tcPr>
          <w:p>
            <w:pPr>
              <w:widowControl/>
              <w:snapToGrid w:val="0"/>
              <w:jc w:val="center"/>
              <w:rPr>
                <w:rFonts w:ascii="宋体" w:hAnsi="宋体" w:cs="宋体"/>
                <w:b/>
                <w:bCs/>
                <w:kern w:val="0"/>
                <w:sz w:val="20"/>
                <w:szCs w:val="20"/>
              </w:rPr>
            </w:pPr>
            <w:r>
              <w:rPr>
                <w:rFonts w:hint="eastAsia" w:ascii="宋体" w:hAnsi="宋体" w:cs="宋体"/>
                <w:b/>
                <w:bCs/>
                <w:kern w:val="0"/>
                <w:sz w:val="20"/>
                <w:szCs w:val="20"/>
              </w:rPr>
              <w:t>推荐品牌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25" w:type="dxa"/>
            <w:vMerge w:val="restart"/>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未来邻里</w:t>
            </w:r>
          </w:p>
        </w:tc>
        <w:tc>
          <w:tcPr>
            <w:tcW w:w="417" w:type="dxa"/>
            <w:vMerge w:val="restart"/>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LED信息发布</w:t>
            </w: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LED显示屏</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像素封装 SMD</w:t>
            </w:r>
            <w:r>
              <w:rPr>
                <w:rFonts w:hint="eastAsia" w:ascii="宋体" w:hAnsi="宋体" w:cs="宋体"/>
                <w:kern w:val="0"/>
                <w:sz w:val="20"/>
                <w:szCs w:val="20"/>
              </w:rPr>
              <w:br w:type="textWrapping"/>
            </w:r>
            <w:r>
              <w:rPr>
                <w:rFonts w:hint="eastAsia" w:ascii="宋体" w:hAnsi="宋体" w:cs="宋体"/>
                <w:kern w:val="0"/>
                <w:sz w:val="20"/>
                <w:szCs w:val="20"/>
              </w:rPr>
              <w:t>像素构成 1R1G1B</w:t>
            </w:r>
            <w:r>
              <w:rPr>
                <w:rFonts w:hint="eastAsia" w:ascii="宋体" w:hAnsi="宋体" w:cs="宋体"/>
                <w:kern w:val="0"/>
                <w:sz w:val="20"/>
                <w:szCs w:val="20"/>
              </w:rPr>
              <w:br w:type="textWrapping"/>
            </w:r>
            <w:r>
              <w:rPr>
                <w:rFonts w:hint="eastAsia" w:ascii="宋体" w:hAnsi="宋体" w:cs="宋体"/>
                <w:kern w:val="0"/>
                <w:sz w:val="20"/>
                <w:szCs w:val="20"/>
              </w:rPr>
              <w:t>像素间距（mm） 4</w:t>
            </w:r>
            <w:r>
              <w:rPr>
                <w:rFonts w:hint="eastAsia" w:ascii="宋体" w:hAnsi="宋体" w:cs="宋体"/>
                <w:kern w:val="0"/>
                <w:sz w:val="20"/>
                <w:szCs w:val="20"/>
              </w:rPr>
              <w:br w:type="textWrapping"/>
            </w:r>
            <w:r>
              <w:rPr>
                <w:rFonts w:hint="eastAsia" w:ascii="宋体" w:hAnsi="宋体" w:cs="宋体"/>
                <w:kern w:val="0"/>
                <w:sz w:val="20"/>
                <w:szCs w:val="20"/>
              </w:rPr>
              <w:t>驱动方式 1/10 扫描，恒流驱动</w:t>
            </w:r>
            <w:r>
              <w:rPr>
                <w:rFonts w:hint="eastAsia" w:ascii="宋体" w:hAnsi="宋体" w:cs="宋体"/>
                <w:kern w:val="0"/>
                <w:sz w:val="20"/>
                <w:szCs w:val="20"/>
              </w:rPr>
              <w:br w:type="textWrapping"/>
            </w:r>
            <w:r>
              <w:rPr>
                <w:rFonts w:hint="eastAsia" w:ascii="宋体" w:hAnsi="宋体" w:cs="宋体"/>
                <w:kern w:val="0"/>
                <w:sz w:val="20"/>
                <w:szCs w:val="20"/>
              </w:rPr>
              <w:t>防护等级 正面 IP65</w:t>
            </w:r>
            <w:r>
              <w:rPr>
                <w:rFonts w:hint="eastAsia" w:ascii="宋体" w:hAnsi="宋体" w:cs="宋体"/>
                <w:kern w:val="0"/>
                <w:sz w:val="20"/>
                <w:szCs w:val="20"/>
              </w:rPr>
              <w:br w:type="textWrapping"/>
            </w:r>
            <w:r>
              <w:rPr>
                <w:rFonts w:hint="eastAsia" w:ascii="宋体" w:hAnsi="宋体" w:cs="宋体"/>
                <w:kern w:val="0"/>
                <w:sz w:val="20"/>
                <w:szCs w:val="20"/>
              </w:rPr>
              <w:t>光学性能参数</w:t>
            </w:r>
            <w:r>
              <w:rPr>
                <w:rFonts w:hint="eastAsia" w:ascii="宋体" w:hAnsi="宋体" w:cs="宋体"/>
                <w:kern w:val="0"/>
                <w:sz w:val="20"/>
                <w:szCs w:val="20"/>
              </w:rPr>
              <w:br w:type="textWrapping"/>
            </w:r>
            <w:r>
              <w:rPr>
                <w:rFonts w:hint="eastAsia" w:ascii="宋体" w:hAnsi="宋体" w:cs="宋体"/>
                <w:kern w:val="0"/>
                <w:sz w:val="20"/>
                <w:szCs w:val="20"/>
              </w:rPr>
              <w:t>亮度（cd/m2） ≥4500cd/㎡</w:t>
            </w:r>
            <w:r>
              <w:rPr>
                <w:rFonts w:hint="eastAsia" w:ascii="宋体" w:hAnsi="宋体" w:cs="宋体"/>
                <w:kern w:val="0"/>
                <w:sz w:val="20"/>
                <w:szCs w:val="20"/>
              </w:rPr>
              <w:br w:type="textWrapping"/>
            </w:r>
            <w:r>
              <w:rPr>
                <w:rFonts w:hint="eastAsia" w:ascii="宋体" w:hAnsi="宋体" w:cs="宋体"/>
                <w:kern w:val="0"/>
                <w:sz w:val="20"/>
                <w:szCs w:val="20"/>
              </w:rPr>
              <w:t>亮度均匀性 ≥97%</w:t>
            </w:r>
            <w:r>
              <w:rPr>
                <w:rFonts w:hint="eastAsia" w:ascii="宋体" w:hAnsi="宋体" w:cs="宋体"/>
                <w:kern w:val="0"/>
                <w:sz w:val="20"/>
                <w:szCs w:val="20"/>
              </w:rPr>
              <w:br w:type="textWrapping"/>
            </w:r>
            <w:r>
              <w:rPr>
                <w:rFonts w:hint="eastAsia" w:ascii="宋体" w:hAnsi="宋体" w:cs="宋体"/>
                <w:kern w:val="0"/>
                <w:sz w:val="20"/>
                <w:szCs w:val="20"/>
              </w:rPr>
              <w:t>色温 3500-9300K</w:t>
            </w:r>
            <w:r>
              <w:rPr>
                <w:rFonts w:hint="eastAsia" w:ascii="宋体" w:hAnsi="宋体" w:cs="宋体"/>
                <w:kern w:val="0"/>
                <w:sz w:val="20"/>
                <w:szCs w:val="20"/>
              </w:rPr>
              <w:br w:type="textWrapping"/>
            </w:r>
            <w:r>
              <w:rPr>
                <w:rFonts w:hint="eastAsia" w:ascii="宋体" w:hAnsi="宋体" w:cs="宋体"/>
                <w:kern w:val="0"/>
                <w:sz w:val="20"/>
                <w:szCs w:val="20"/>
              </w:rPr>
              <w:t>视角（°） 水平 120，垂直 120</w:t>
            </w:r>
            <w:r>
              <w:rPr>
                <w:rFonts w:hint="eastAsia" w:ascii="宋体" w:hAnsi="宋体" w:cs="宋体"/>
                <w:kern w:val="0"/>
                <w:sz w:val="20"/>
                <w:szCs w:val="20"/>
              </w:rPr>
              <w:br w:type="textWrapping"/>
            </w:r>
            <w:r>
              <w:rPr>
                <w:rFonts w:hint="eastAsia" w:ascii="宋体" w:hAnsi="宋体" w:cs="宋体"/>
                <w:kern w:val="0"/>
                <w:sz w:val="20"/>
                <w:szCs w:val="20"/>
              </w:rPr>
              <w:t>最佳视距（m） ≥4</w:t>
            </w:r>
            <w:r>
              <w:rPr>
                <w:rFonts w:hint="eastAsia" w:ascii="宋体" w:hAnsi="宋体" w:cs="宋体"/>
                <w:kern w:val="0"/>
                <w:sz w:val="20"/>
                <w:szCs w:val="20"/>
              </w:rPr>
              <w:br w:type="textWrapping"/>
            </w:r>
            <w:r>
              <w:rPr>
                <w:rFonts w:hint="eastAsia" w:ascii="宋体" w:hAnsi="宋体" w:cs="宋体"/>
                <w:kern w:val="0"/>
                <w:sz w:val="20"/>
                <w:szCs w:val="20"/>
              </w:rPr>
              <w:t>模组间隙（mm） ＜0.4</w:t>
            </w:r>
            <w:r>
              <w:rPr>
                <w:rFonts w:hint="eastAsia" w:ascii="宋体" w:hAnsi="宋体" w:cs="宋体"/>
                <w:kern w:val="0"/>
                <w:sz w:val="20"/>
                <w:szCs w:val="20"/>
              </w:rPr>
              <w:br w:type="textWrapping"/>
            </w:r>
            <w:r>
              <w:rPr>
                <w:rFonts w:hint="eastAsia" w:ascii="宋体" w:hAnsi="宋体" w:cs="宋体"/>
                <w:kern w:val="0"/>
                <w:sz w:val="20"/>
                <w:szCs w:val="20"/>
              </w:rPr>
              <w:t>盲点率 小于万分之一</w:t>
            </w:r>
            <w:r>
              <w:rPr>
                <w:rFonts w:hint="eastAsia" w:ascii="宋体" w:hAnsi="宋体" w:cs="宋体"/>
                <w:kern w:val="0"/>
                <w:sz w:val="20"/>
                <w:szCs w:val="20"/>
              </w:rPr>
              <w:br w:type="textWrapping"/>
            </w:r>
            <w:r>
              <w:rPr>
                <w:rFonts w:hint="eastAsia" w:ascii="宋体" w:hAnsi="宋体" w:cs="宋体"/>
                <w:kern w:val="0"/>
                <w:sz w:val="20"/>
                <w:szCs w:val="20"/>
              </w:rPr>
              <w:t>最大功耗（W/m2） 750</w:t>
            </w:r>
            <w:r>
              <w:rPr>
                <w:rFonts w:hint="eastAsia" w:ascii="宋体" w:hAnsi="宋体" w:cs="宋体"/>
                <w:kern w:val="0"/>
                <w:sz w:val="20"/>
                <w:szCs w:val="20"/>
              </w:rPr>
              <w:br w:type="textWrapping"/>
            </w:r>
            <w:r>
              <w:rPr>
                <w:rFonts w:hint="eastAsia" w:ascii="宋体" w:hAnsi="宋体" w:cs="宋体"/>
                <w:kern w:val="0"/>
                <w:sz w:val="20"/>
                <w:szCs w:val="20"/>
              </w:rPr>
              <w:t>平均功耗（W/m2） 250</w:t>
            </w:r>
            <w:r>
              <w:rPr>
                <w:rFonts w:hint="eastAsia" w:ascii="宋体" w:hAnsi="宋体" w:cs="宋体"/>
                <w:kern w:val="0"/>
                <w:sz w:val="20"/>
                <w:szCs w:val="20"/>
              </w:rPr>
              <w:br w:type="textWrapping"/>
            </w:r>
            <w:r>
              <w:rPr>
                <w:rFonts w:hint="eastAsia" w:ascii="宋体" w:hAnsi="宋体" w:cs="宋体"/>
                <w:kern w:val="0"/>
                <w:sz w:val="20"/>
                <w:szCs w:val="20"/>
              </w:rPr>
              <w:t>换帧频率（帧/秒） ≥60</w:t>
            </w:r>
            <w:r>
              <w:rPr>
                <w:rFonts w:hint="eastAsia" w:ascii="宋体" w:hAnsi="宋体" w:cs="宋体"/>
                <w:kern w:val="0"/>
                <w:sz w:val="20"/>
                <w:szCs w:val="20"/>
              </w:rPr>
              <w:br w:type="textWrapping"/>
            </w:r>
            <w:r>
              <w:rPr>
                <w:rFonts w:hint="eastAsia" w:ascii="宋体" w:hAnsi="宋体" w:cs="宋体"/>
                <w:kern w:val="0"/>
                <w:sz w:val="20"/>
                <w:szCs w:val="20"/>
              </w:rPr>
              <w:t>刷新频率（Hz） ≥1920</w:t>
            </w:r>
            <w:r>
              <w:rPr>
                <w:rFonts w:hint="eastAsia" w:ascii="宋体" w:hAnsi="宋体" w:cs="宋体"/>
                <w:kern w:val="0"/>
                <w:sz w:val="20"/>
                <w:szCs w:val="20"/>
              </w:rPr>
              <w:br w:type="textWrapping"/>
            </w:r>
            <w:r>
              <w:rPr>
                <w:rFonts w:hint="eastAsia" w:ascii="宋体" w:hAnsi="宋体" w:cs="宋体"/>
                <w:kern w:val="0"/>
                <w:sz w:val="20"/>
                <w:szCs w:val="20"/>
              </w:rPr>
              <w:t>亮度调节 256 级手动/自动</w:t>
            </w:r>
            <w:r>
              <w:rPr>
                <w:rFonts w:hint="eastAsia" w:ascii="宋体" w:hAnsi="宋体" w:cs="宋体"/>
                <w:kern w:val="0"/>
                <w:sz w:val="20"/>
                <w:szCs w:val="20"/>
              </w:rPr>
              <w:br w:type="textWrapping"/>
            </w:r>
            <w:r>
              <w:rPr>
                <w:rFonts w:hint="eastAsia" w:ascii="宋体" w:hAnsi="宋体" w:cs="宋体"/>
                <w:kern w:val="0"/>
                <w:sz w:val="20"/>
                <w:szCs w:val="20"/>
              </w:rPr>
              <w:t>工作温度范围（℃） -20 至 50</w:t>
            </w:r>
            <w:r>
              <w:rPr>
                <w:rFonts w:hint="eastAsia" w:ascii="宋体" w:hAnsi="宋体" w:cs="宋体"/>
                <w:kern w:val="0"/>
                <w:sz w:val="20"/>
                <w:szCs w:val="20"/>
              </w:rPr>
              <w:br w:type="textWrapping"/>
            </w:r>
            <w:r>
              <w:rPr>
                <w:rFonts w:hint="eastAsia" w:ascii="宋体" w:hAnsi="宋体" w:cs="宋体"/>
                <w:kern w:val="0"/>
                <w:sz w:val="20"/>
                <w:szCs w:val="20"/>
              </w:rPr>
              <w:t>工作湿度范围（RH） 10 - 90%</w:t>
            </w:r>
            <w:r>
              <w:rPr>
                <w:rFonts w:hint="eastAsia" w:ascii="宋体" w:hAnsi="宋体" w:cs="宋体"/>
                <w:kern w:val="0"/>
                <w:sz w:val="20"/>
                <w:szCs w:val="20"/>
              </w:rPr>
              <w:br w:type="textWrapping"/>
            </w:r>
            <w:r>
              <w:rPr>
                <w:rFonts w:hint="eastAsia" w:ascii="宋体" w:hAnsi="宋体" w:cs="宋体"/>
                <w:kern w:val="0"/>
                <w:sz w:val="20"/>
                <w:szCs w:val="20"/>
              </w:rPr>
              <w:t>显示屏符合CQC3158-2016《LED显示单元节能认证技术规范》。</w:t>
            </w:r>
          </w:p>
          <w:p>
            <w:pPr>
              <w:widowControl/>
              <w:snapToGrid w:val="0"/>
              <w:jc w:val="left"/>
              <w:rPr>
                <w:rFonts w:ascii="宋体" w:hAnsi="宋体" w:cs="宋体"/>
                <w:b/>
                <w:bCs/>
                <w:kern w:val="0"/>
                <w:sz w:val="20"/>
                <w:szCs w:val="20"/>
              </w:rPr>
            </w:pPr>
            <w:r>
              <w:rPr>
                <w:rFonts w:hint="eastAsia" w:ascii="宋体" w:hAnsi="宋体" w:cs="宋体"/>
                <w:b/>
                <w:bCs/>
                <w:kern w:val="0"/>
                <w:sz w:val="20"/>
                <w:szCs w:val="20"/>
              </w:rPr>
              <w:t>具有电源过流、短路、过压、欠压、断电保护功能，分布上电措施；阻燃系统具有烟雾报警和温升报警功能；具有动态扫描方式LED显示屏驱动电路保护功能（提供封面具有ilac-MRA、CNAS、CMA、标识盖章的权威检测报告）</w:t>
            </w:r>
          </w:p>
          <w:p>
            <w:pPr>
              <w:widowControl/>
              <w:snapToGrid w:val="0"/>
              <w:jc w:val="left"/>
              <w:rPr>
                <w:rFonts w:hint="eastAsia" w:ascii="宋体" w:hAnsi="宋体" w:cs="宋体"/>
                <w:kern w:val="0"/>
                <w:sz w:val="20"/>
                <w:szCs w:val="20"/>
              </w:rPr>
            </w:pPr>
            <w:r>
              <w:rPr>
                <w:rFonts w:hint="eastAsia" w:ascii="宋体" w:hAnsi="宋体" w:cs="宋体"/>
                <w:kern w:val="0"/>
                <w:sz w:val="20"/>
                <w:szCs w:val="20"/>
              </w:rPr>
              <w:t>支持电源PFC功能，支持主动式PFC功能，电源功率因数≥0.95（满载）</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23.5</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广场大屏</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洲明、海康威视、利亚德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发送卡</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信号输入 1 路 DVI，1 路 HDMI，1 路 DP，1 路 VGA</w:t>
            </w:r>
            <w:r>
              <w:rPr>
                <w:rFonts w:hint="eastAsia" w:ascii="宋体" w:hAnsi="宋体" w:cs="宋体"/>
                <w:kern w:val="0"/>
                <w:sz w:val="20"/>
                <w:szCs w:val="20"/>
              </w:rPr>
              <w:br w:type="textWrapping"/>
            </w:r>
            <w:r>
              <w:rPr>
                <w:rFonts w:hint="eastAsia" w:ascii="宋体" w:hAnsi="宋体" w:cs="宋体"/>
                <w:kern w:val="0"/>
                <w:sz w:val="20"/>
                <w:szCs w:val="20"/>
              </w:rPr>
              <w:t>信号输出 4 路网口输出，1 路 DVI 输出</w:t>
            </w:r>
            <w:r>
              <w:rPr>
                <w:rFonts w:hint="eastAsia" w:ascii="宋体" w:hAnsi="宋体" w:cs="宋体"/>
                <w:kern w:val="0"/>
                <w:sz w:val="20"/>
                <w:szCs w:val="20"/>
              </w:rPr>
              <w:br w:type="textWrapping"/>
            </w:r>
            <w:r>
              <w:rPr>
                <w:rFonts w:hint="eastAsia" w:ascii="宋体" w:hAnsi="宋体" w:cs="宋体"/>
                <w:kern w:val="0"/>
                <w:sz w:val="20"/>
                <w:szCs w:val="20"/>
              </w:rPr>
              <w:t>信号控制 USB</w:t>
            </w:r>
            <w:r>
              <w:rPr>
                <w:rFonts w:hint="eastAsia" w:ascii="宋体" w:hAnsi="宋体" w:cs="宋体"/>
                <w:kern w:val="0"/>
                <w:sz w:val="20"/>
                <w:szCs w:val="20"/>
              </w:rPr>
              <w:br w:type="textWrapping"/>
            </w:r>
            <w:r>
              <w:rPr>
                <w:rFonts w:hint="eastAsia" w:ascii="宋体" w:hAnsi="宋体" w:cs="宋体"/>
                <w:kern w:val="0"/>
                <w:sz w:val="20"/>
                <w:szCs w:val="20"/>
              </w:rPr>
              <w:t>最大带载分辨率 2048×1152@60Hz 或 1920×1200@60Hz</w:t>
            </w:r>
            <w:r>
              <w:rPr>
                <w:rFonts w:hint="eastAsia" w:ascii="宋体" w:hAnsi="宋体" w:cs="宋体"/>
                <w:kern w:val="0"/>
                <w:sz w:val="20"/>
                <w:szCs w:val="20"/>
              </w:rPr>
              <w:br w:type="textWrapping"/>
            </w:r>
            <w:r>
              <w:rPr>
                <w:rFonts w:hint="eastAsia" w:ascii="宋体" w:hAnsi="宋体" w:cs="宋体"/>
                <w:kern w:val="0"/>
                <w:sz w:val="20"/>
                <w:szCs w:val="20"/>
              </w:rPr>
              <w:t>换帧频率(Hz) 60</w:t>
            </w:r>
            <w:r>
              <w:rPr>
                <w:rFonts w:hint="eastAsia" w:ascii="宋体" w:hAnsi="宋体" w:cs="宋体"/>
                <w:kern w:val="0"/>
                <w:sz w:val="20"/>
                <w:szCs w:val="20"/>
              </w:rPr>
              <w:br w:type="textWrapping"/>
            </w:r>
            <w:r>
              <w:rPr>
                <w:rFonts w:hint="eastAsia" w:ascii="宋体" w:hAnsi="宋体" w:cs="宋体"/>
                <w:kern w:val="0"/>
                <w:sz w:val="20"/>
                <w:szCs w:val="20"/>
              </w:rPr>
              <w:t>刷新率(Hz) 3840</w:t>
            </w:r>
            <w:r>
              <w:rPr>
                <w:rFonts w:hint="eastAsia" w:ascii="宋体" w:hAnsi="宋体" w:cs="宋体"/>
                <w:kern w:val="0"/>
                <w:sz w:val="20"/>
                <w:szCs w:val="20"/>
              </w:rPr>
              <w:br w:type="textWrapping"/>
            </w:r>
            <w:r>
              <w:rPr>
                <w:rFonts w:hint="eastAsia" w:ascii="宋体" w:hAnsi="宋体" w:cs="宋体"/>
                <w:kern w:val="0"/>
                <w:sz w:val="20"/>
                <w:szCs w:val="20"/>
              </w:rPr>
              <w:t>处理深度(bits) 16</w:t>
            </w:r>
            <w:r>
              <w:rPr>
                <w:rFonts w:hint="eastAsia" w:ascii="宋体" w:hAnsi="宋体" w:cs="宋体"/>
                <w:kern w:val="0"/>
                <w:sz w:val="20"/>
                <w:szCs w:val="20"/>
              </w:rPr>
              <w:br w:type="textWrapping"/>
            </w:r>
            <w:r>
              <w:rPr>
                <w:rFonts w:hint="eastAsia" w:ascii="宋体" w:hAnsi="宋体" w:cs="宋体"/>
                <w:kern w:val="0"/>
                <w:sz w:val="20"/>
                <w:szCs w:val="20"/>
              </w:rPr>
              <w:t>灰度等级(Level) 65535</w:t>
            </w:r>
            <w:r>
              <w:rPr>
                <w:rFonts w:hint="eastAsia" w:ascii="宋体" w:hAnsi="宋体" w:cs="宋体"/>
                <w:kern w:val="0"/>
                <w:sz w:val="20"/>
                <w:szCs w:val="20"/>
              </w:rPr>
              <w:br w:type="textWrapping"/>
            </w:r>
            <w:r>
              <w:rPr>
                <w:rFonts w:hint="eastAsia" w:ascii="宋体" w:hAnsi="宋体" w:cs="宋体"/>
                <w:kern w:val="0"/>
                <w:sz w:val="20"/>
                <w:szCs w:val="20"/>
              </w:rPr>
              <w:t>颜色 281.4 trillion</w:t>
            </w:r>
            <w:r>
              <w:rPr>
                <w:rFonts w:hint="eastAsia" w:ascii="宋体" w:hAnsi="宋体" w:cs="宋体"/>
                <w:kern w:val="0"/>
                <w:sz w:val="20"/>
                <w:szCs w:val="20"/>
              </w:rPr>
              <w:br w:type="textWrapping"/>
            </w:r>
            <w:r>
              <w:rPr>
                <w:rFonts w:hint="eastAsia" w:ascii="宋体" w:hAnsi="宋体" w:cs="宋体"/>
                <w:kern w:val="0"/>
                <w:sz w:val="20"/>
                <w:szCs w:val="20"/>
              </w:rPr>
              <w:t>亮度控制 自动/手动</w:t>
            </w:r>
            <w:r>
              <w:rPr>
                <w:rFonts w:hint="eastAsia" w:ascii="宋体" w:hAnsi="宋体" w:cs="宋体"/>
                <w:kern w:val="0"/>
                <w:sz w:val="20"/>
                <w:szCs w:val="20"/>
              </w:rPr>
              <w:br w:type="textWrapping"/>
            </w:r>
            <w:r>
              <w:rPr>
                <w:rFonts w:hint="eastAsia" w:ascii="宋体" w:hAnsi="宋体" w:cs="宋体"/>
                <w:kern w:val="0"/>
                <w:sz w:val="20"/>
                <w:szCs w:val="20"/>
              </w:rPr>
              <w:t>供电要求 110~220VAC±15%</w:t>
            </w:r>
            <w:r>
              <w:rPr>
                <w:rFonts w:hint="eastAsia" w:ascii="宋体" w:hAnsi="宋体" w:cs="宋体"/>
                <w:kern w:val="0"/>
                <w:sz w:val="20"/>
                <w:szCs w:val="20"/>
              </w:rPr>
              <w:br w:type="textWrapping"/>
            </w:r>
            <w:r>
              <w:rPr>
                <w:rFonts w:hint="eastAsia" w:ascii="宋体" w:hAnsi="宋体" w:cs="宋体"/>
                <w:kern w:val="0"/>
                <w:sz w:val="20"/>
                <w:szCs w:val="20"/>
              </w:rPr>
              <w:t>平均功耗 ＜20W</w:t>
            </w:r>
            <w:r>
              <w:rPr>
                <w:rFonts w:hint="eastAsia" w:ascii="宋体" w:hAnsi="宋体" w:cs="宋体"/>
                <w:kern w:val="0"/>
                <w:sz w:val="20"/>
                <w:szCs w:val="20"/>
              </w:rPr>
              <w:br w:type="textWrapping"/>
            </w:r>
            <w:r>
              <w:rPr>
                <w:rFonts w:hint="eastAsia" w:ascii="宋体" w:hAnsi="宋体" w:cs="宋体"/>
                <w:kern w:val="0"/>
                <w:sz w:val="20"/>
                <w:szCs w:val="20"/>
              </w:rPr>
              <w:t>工作温度范围(℃) -10 - 45</w:t>
            </w:r>
            <w:r>
              <w:rPr>
                <w:rFonts w:hint="eastAsia" w:ascii="宋体" w:hAnsi="宋体" w:cs="宋体"/>
                <w:kern w:val="0"/>
                <w:sz w:val="20"/>
                <w:szCs w:val="20"/>
              </w:rPr>
              <w:br w:type="textWrapping"/>
            </w:r>
            <w:r>
              <w:rPr>
                <w:rFonts w:hint="eastAsia" w:ascii="宋体" w:hAnsi="宋体" w:cs="宋体"/>
                <w:kern w:val="0"/>
                <w:sz w:val="20"/>
                <w:szCs w:val="20"/>
              </w:rPr>
              <w:t>工作湿度范围(RH) 无结露 10 - 90%</w:t>
            </w:r>
            <w:r>
              <w:rPr>
                <w:rFonts w:hint="eastAsia" w:ascii="宋体" w:hAnsi="宋体" w:cs="宋体"/>
                <w:kern w:val="0"/>
                <w:sz w:val="20"/>
                <w:szCs w:val="20"/>
              </w:rPr>
              <w:br w:type="textWrapping"/>
            </w:r>
            <w:r>
              <w:rPr>
                <w:rFonts w:hint="eastAsia" w:ascii="宋体" w:hAnsi="宋体" w:cs="宋体"/>
                <w:kern w:val="0"/>
                <w:sz w:val="20"/>
                <w:szCs w:val="20"/>
              </w:rPr>
              <w:t>发送卡支持640*480至3840*2160之间的多种分辨率视频信号自适应接入和视频信号输出，支持条屏模式，最大支持10000*100点</w:t>
            </w:r>
            <w:r>
              <w:rPr>
                <w:rFonts w:hint="eastAsia" w:ascii="宋体" w:hAnsi="宋体" w:cs="宋体"/>
                <w:kern w:val="0"/>
                <w:sz w:val="20"/>
                <w:szCs w:val="20"/>
              </w:rPr>
              <w:br w:type="textWrapping"/>
            </w:r>
            <w:r>
              <w:rPr>
                <w:rFonts w:hint="eastAsia" w:ascii="宋体" w:hAnsi="宋体" w:cs="宋体"/>
                <w:kern w:val="0"/>
                <w:sz w:val="20"/>
                <w:szCs w:val="20"/>
              </w:rPr>
              <w:t>发送卡支持缩放功能，可将输入信号进行缩放，以匹配LED的分辨率输出</w:t>
            </w:r>
            <w:r>
              <w:rPr>
                <w:rFonts w:hint="eastAsia" w:ascii="宋体" w:hAnsi="宋体" w:cs="宋体"/>
                <w:kern w:val="0"/>
                <w:sz w:val="20"/>
                <w:szCs w:val="20"/>
              </w:rPr>
              <w:br w:type="textWrapping"/>
            </w:r>
            <w:r>
              <w:rPr>
                <w:rFonts w:hint="eastAsia" w:ascii="宋体" w:hAnsi="宋体" w:cs="宋体"/>
                <w:kern w:val="0"/>
                <w:sz w:val="20"/>
                <w:szCs w:val="20"/>
              </w:rPr>
              <w:t>发送卡支持亮度调节，可以通过客户端、遥控器、PAD及物理按键进行调节，并支持多台设备同时调节</w:t>
            </w:r>
            <w:r>
              <w:rPr>
                <w:rFonts w:hint="eastAsia" w:ascii="宋体" w:hAnsi="宋体" w:cs="宋体"/>
                <w:kern w:val="0"/>
                <w:sz w:val="20"/>
                <w:szCs w:val="20"/>
              </w:rPr>
              <w:br w:type="textWrapping"/>
            </w:r>
            <w:r>
              <w:rPr>
                <w:rFonts w:hint="eastAsia" w:ascii="宋体" w:hAnsi="宋体" w:cs="宋体"/>
                <w:kern w:val="0"/>
                <w:sz w:val="20"/>
                <w:szCs w:val="20"/>
              </w:rPr>
              <w:t>发送卡支持倍帧功能，可以将输入为30Hz的信号转成60Hz信号输出</w:t>
            </w:r>
            <w:r>
              <w:rPr>
                <w:rFonts w:hint="eastAsia" w:ascii="宋体" w:hAnsi="宋体" w:cs="宋体"/>
                <w:kern w:val="0"/>
                <w:sz w:val="20"/>
                <w:szCs w:val="20"/>
              </w:rPr>
              <w:br w:type="textWrapping"/>
            </w:r>
            <w:r>
              <w:rPr>
                <w:rFonts w:hint="eastAsia" w:ascii="宋体" w:hAnsi="宋体" w:cs="宋体"/>
                <w:kern w:val="0"/>
                <w:sz w:val="20"/>
                <w:szCs w:val="20"/>
              </w:rPr>
              <w:t>发送卡可开启LED显示屏智能除湿模式，让显示屏亮度逐渐提升。</w:t>
            </w:r>
            <w:r>
              <w:rPr>
                <w:rFonts w:hint="eastAsia" w:ascii="宋体" w:hAnsi="宋体" w:cs="宋体"/>
                <w:kern w:val="0"/>
                <w:sz w:val="20"/>
                <w:szCs w:val="20"/>
              </w:rPr>
              <w:br w:type="textWrapping"/>
            </w:r>
            <w:r>
              <w:rPr>
                <w:rFonts w:hint="eastAsia" w:ascii="宋体" w:hAnsi="宋体" w:cs="宋体"/>
                <w:kern w:val="0"/>
                <w:sz w:val="20"/>
                <w:szCs w:val="20"/>
              </w:rPr>
              <w:t>发送卡支持图片上传作为底图显示，且图片可轮巡。</w:t>
            </w:r>
            <w:r>
              <w:rPr>
                <w:rFonts w:hint="eastAsia" w:ascii="宋体" w:hAnsi="宋体" w:cs="宋体"/>
                <w:kern w:val="0"/>
                <w:sz w:val="20"/>
                <w:szCs w:val="20"/>
              </w:rPr>
              <w:br w:type="textWrapping"/>
            </w:r>
            <w:r>
              <w:rPr>
                <w:rFonts w:hint="eastAsia" w:ascii="宋体" w:hAnsi="宋体" w:cs="宋体"/>
                <w:kern w:val="0"/>
                <w:sz w:val="20"/>
                <w:szCs w:val="20"/>
              </w:rPr>
              <w:t>为保证系统的兼容及稳定性，控制卡厂家与LED显示屏厂家为同一制造商</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个</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广场大屏</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洲明、海康威视、利亚德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3</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接收卡</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集成16个标准HUB75接口，免接HUB板</w:t>
            </w:r>
            <w:r>
              <w:rPr>
                <w:rFonts w:hint="eastAsia" w:ascii="宋体" w:hAnsi="宋体" w:cs="宋体"/>
                <w:kern w:val="0"/>
                <w:sz w:val="20"/>
                <w:szCs w:val="20"/>
              </w:rPr>
              <w:br w:type="textWrapping"/>
            </w:r>
            <w:r>
              <w:rPr>
                <w:rFonts w:hint="eastAsia" w:ascii="宋体" w:hAnsi="宋体" w:cs="宋体"/>
                <w:kern w:val="0"/>
                <w:sz w:val="20"/>
                <w:szCs w:val="20"/>
              </w:rPr>
              <w:t>采用千兆网口通信，可以连接PC</w:t>
            </w:r>
            <w:r>
              <w:rPr>
                <w:rFonts w:hint="eastAsia" w:ascii="宋体" w:hAnsi="宋体" w:cs="宋体"/>
                <w:kern w:val="0"/>
                <w:sz w:val="20"/>
                <w:szCs w:val="20"/>
              </w:rPr>
              <w:br w:type="textWrapping"/>
            </w:r>
            <w:r>
              <w:rPr>
                <w:rFonts w:hint="eastAsia" w:ascii="宋体" w:hAnsi="宋体" w:cs="宋体"/>
                <w:kern w:val="0"/>
                <w:sz w:val="20"/>
                <w:szCs w:val="20"/>
              </w:rPr>
              <w:t>支持亮色度逐点校正</w:t>
            </w:r>
            <w:r>
              <w:rPr>
                <w:rFonts w:hint="eastAsia" w:ascii="宋体" w:hAnsi="宋体" w:cs="宋体"/>
                <w:kern w:val="0"/>
                <w:sz w:val="20"/>
                <w:szCs w:val="20"/>
              </w:rPr>
              <w:br w:type="textWrapping"/>
            </w:r>
            <w:r>
              <w:rPr>
                <w:rFonts w:hint="eastAsia" w:ascii="宋体" w:hAnsi="宋体" w:cs="宋体"/>
                <w:kern w:val="0"/>
                <w:sz w:val="20"/>
                <w:szCs w:val="20"/>
              </w:rPr>
              <w:t>支持接收卡预存画面设置。</w:t>
            </w:r>
            <w:r>
              <w:rPr>
                <w:rFonts w:hint="eastAsia" w:ascii="宋体" w:hAnsi="宋体" w:cs="宋体"/>
                <w:kern w:val="0"/>
                <w:sz w:val="20"/>
                <w:szCs w:val="20"/>
              </w:rPr>
              <w:br w:type="textWrapping"/>
            </w:r>
            <w:r>
              <w:rPr>
                <w:rFonts w:hint="eastAsia" w:ascii="宋体" w:hAnsi="宋体" w:cs="宋体"/>
                <w:kern w:val="0"/>
                <w:sz w:val="20"/>
                <w:szCs w:val="20"/>
              </w:rPr>
              <w:t>支持温度、电压、网线通讯和视频源信号状态检测。</w:t>
            </w:r>
            <w:r>
              <w:rPr>
                <w:rFonts w:hint="eastAsia" w:ascii="宋体" w:hAnsi="宋体" w:cs="宋体"/>
                <w:kern w:val="0"/>
                <w:sz w:val="20"/>
                <w:szCs w:val="20"/>
              </w:rPr>
              <w:br w:type="textWrapping"/>
            </w:r>
            <w:r>
              <w:rPr>
                <w:rFonts w:hint="eastAsia" w:ascii="宋体" w:hAnsi="宋体" w:cs="宋体"/>
                <w:kern w:val="0"/>
                <w:sz w:val="20"/>
                <w:szCs w:val="20"/>
              </w:rPr>
              <w:t>支持 5Pin 液晶模块</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广场大屏</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洲明、海康威视、利亚德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4</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智能管理软件</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1、智能软件多样式操控管理，可对软件根据项目进行命名；配置X、Y轴及长宽度设置；根据播放内容进行波特率设定等。</w:t>
            </w:r>
            <w:r>
              <w:rPr>
                <w:rFonts w:hint="eastAsia" w:ascii="宋体" w:hAnsi="宋体" w:cs="宋体"/>
                <w:kern w:val="0"/>
                <w:sz w:val="20"/>
                <w:szCs w:val="20"/>
              </w:rPr>
              <w:br w:type="textWrapping"/>
            </w:r>
            <w:r>
              <w:rPr>
                <w:rFonts w:hint="eastAsia" w:ascii="宋体" w:hAnsi="宋体" w:cs="宋体"/>
                <w:kern w:val="0"/>
                <w:sz w:val="20"/>
                <w:szCs w:val="20"/>
              </w:rPr>
              <w:t xml:space="preserve"> 2、节目可进行自由组合（TXT、JPG、PPT、MP4等视频），支持任意格式PPT (动态、静态)自动满屏输出到显示界面，避免黑边及省去PPT不同尺寸调整的不便；加载播放解码设置，可对多种格式的（mp4/mov/wmv/avi/rmvb/flv等）进行自动解码导播。</w:t>
            </w:r>
            <w:r>
              <w:rPr>
                <w:rFonts w:hint="eastAsia" w:ascii="宋体" w:hAnsi="宋体" w:cs="宋体"/>
                <w:kern w:val="0"/>
                <w:sz w:val="20"/>
                <w:szCs w:val="20"/>
              </w:rPr>
              <w:br w:type="textWrapping"/>
            </w:r>
            <w:r>
              <w:rPr>
                <w:rFonts w:hint="eastAsia" w:ascii="宋体" w:hAnsi="宋体" w:cs="宋体"/>
                <w:kern w:val="0"/>
                <w:sz w:val="20"/>
                <w:szCs w:val="20"/>
              </w:rPr>
              <w:t xml:space="preserve"> 3、设备内置智能摇控器感应点，播放 ppt文件时，可通过手机、APID等对PPT进行调取、切换、前翻，后进无距离及空间限制；也可对视频进行切换、快进、快退、暂停、停止等功能，接合现场调节声音分贝。</w:t>
            </w:r>
            <w:r>
              <w:rPr>
                <w:rFonts w:hint="eastAsia" w:ascii="宋体" w:hAnsi="宋体" w:cs="宋体"/>
                <w:kern w:val="0"/>
                <w:sz w:val="20"/>
                <w:szCs w:val="20"/>
              </w:rPr>
              <w:br w:type="textWrapping"/>
            </w:r>
            <w:r>
              <w:rPr>
                <w:rFonts w:hint="eastAsia" w:ascii="宋体" w:hAnsi="宋体" w:cs="宋体"/>
                <w:kern w:val="0"/>
                <w:sz w:val="20"/>
                <w:szCs w:val="20"/>
              </w:rPr>
              <w:t>4、管理者进行智能管控时，通过智能设备（手机、IPAD等）采用扫描二维码（每台设备拥有单独二维码，保证管理安全性），通过多重双向安全认证后提交授权通过后方可操控设备。</w:t>
            </w:r>
            <w:r>
              <w:rPr>
                <w:rFonts w:hint="eastAsia" w:ascii="宋体" w:hAnsi="宋体" w:cs="宋体"/>
                <w:kern w:val="0"/>
                <w:sz w:val="20"/>
                <w:szCs w:val="20"/>
              </w:rPr>
              <w:br w:type="textWrapping"/>
            </w:r>
            <w:r>
              <w:rPr>
                <w:rFonts w:hint="eastAsia" w:ascii="宋体" w:hAnsi="宋体" w:cs="宋体"/>
                <w:kern w:val="0"/>
                <w:sz w:val="20"/>
                <w:szCs w:val="20"/>
              </w:rPr>
              <w:t>5、管理者实时掌握设备运行状态：设备开、关状态、当前节目播放状态及节目列表内容，内置监控功能实时监控显示屏播放内容，加强播放内容安全性；播放节目时，管理者如需切换节目或发送信息，可登录微信客户端发送，并发送切换节目画面于管理者，方便管理者安全智能操作并减少工作量。</w:t>
            </w:r>
            <w:r>
              <w:rPr>
                <w:rFonts w:hint="eastAsia" w:ascii="宋体" w:hAnsi="宋体" w:cs="宋体"/>
                <w:kern w:val="0"/>
                <w:sz w:val="20"/>
                <w:szCs w:val="20"/>
              </w:rPr>
              <w:br w:type="textWrapping"/>
            </w:r>
            <w:r>
              <w:rPr>
                <w:rFonts w:hint="eastAsia" w:ascii="宋体" w:hAnsi="宋体" w:cs="宋体"/>
                <w:kern w:val="0"/>
                <w:sz w:val="20"/>
                <w:szCs w:val="20"/>
              </w:rPr>
              <w:t xml:space="preserve"> 6、根据管理实际要求可执行每天、每周不同时段计划开、关机任务：执行计划任务时同步开启外接设备（视频处理器，功放、显示屏等）后，并播放节目列表选定文件；反之执行关机命令时，首先自动关机播放窗口，并逐步关闭外接设备。设备任务执行情况发信息给主管理人员。</w:t>
            </w:r>
            <w:r>
              <w:rPr>
                <w:rFonts w:hint="eastAsia" w:ascii="宋体" w:hAnsi="宋体" w:cs="宋体"/>
                <w:kern w:val="0"/>
                <w:sz w:val="20"/>
                <w:szCs w:val="20"/>
              </w:rPr>
              <w:br w:type="textWrapping"/>
            </w:r>
            <w:r>
              <w:rPr>
                <w:rFonts w:hint="eastAsia" w:ascii="宋体" w:hAnsi="宋体" w:cs="宋体"/>
                <w:kern w:val="0"/>
                <w:sz w:val="20"/>
                <w:szCs w:val="20"/>
              </w:rPr>
              <w:t>7、设备处于计划开关机任务之外，需要紧急使用时，管理者可通过微信客户端对整套设备进行开机，并播放内容，同步管理者会收到设备开机及节目播放信息。为保证播放内容安全及正确性，要求在移动端可实时监控播放画面。并可在使用结束后实现全部断电关机。</w:t>
            </w:r>
            <w:r>
              <w:rPr>
                <w:rFonts w:hint="eastAsia" w:ascii="宋体" w:hAnsi="宋体" w:cs="宋体"/>
                <w:kern w:val="0"/>
                <w:sz w:val="20"/>
                <w:szCs w:val="20"/>
              </w:rPr>
              <w:br w:type="textWrapping"/>
            </w:r>
            <w:r>
              <w:rPr>
                <w:rFonts w:hint="eastAsia" w:ascii="宋体" w:hAnsi="宋体" w:cs="宋体"/>
                <w:kern w:val="0"/>
                <w:sz w:val="20"/>
                <w:szCs w:val="20"/>
              </w:rPr>
              <w:t xml:space="preserve"> 8、管理者在任意地方登录智能设备PC（无须装任意软件），通过扫码，授权手机安全反向认证后可实时查看设备运行状态及播放节目列表。并可以在PC上开、关机整套设备，上传内容（单个、多个）并直接投送到显示终端，达到众多本地操作功能。</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广场大屏</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洲明、海康威视、利亚德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5</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智能管理终端</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1、多硬件融合智控软件的一体化服务器，卧式特制机箱、钢化面板增强设备防潮、防腐、抗震及冲击性，双侧通风搭载铝板散热装置确保设备运行处于静音、常温状态，7×24小时的无故障稳定工作，适用于-45℃到65℃室内、室外工作场景。</w:t>
            </w:r>
            <w:r>
              <w:rPr>
                <w:rFonts w:hint="eastAsia" w:ascii="宋体" w:hAnsi="宋体" w:cs="宋体"/>
                <w:kern w:val="0"/>
                <w:sz w:val="20"/>
                <w:szCs w:val="20"/>
              </w:rPr>
              <w:br w:type="textWrapping"/>
            </w:r>
            <w:r>
              <w:rPr>
                <w:rFonts w:hint="eastAsia" w:ascii="宋体" w:hAnsi="宋体" w:cs="宋体"/>
                <w:kern w:val="0"/>
                <w:sz w:val="20"/>
                <w:szCs w:val="20"/>
              </w:rPr>
              <w:t>2、设备都具备唯一的专属二维码，确保管理者对播放内容的安全保障，支持本地、局域网、广域网等各种安全管理模式，在管理者无法在现场情况下，可开启紧急管理模式，进行远程管理达到本地管理同等操作功能。</w:t>
            </w:r>
            <w:r>
              <w:rPr>
                <w:rFonts w:hint="eastAsia" w:ascii="宋体" w:hAnsi="宋体" w:cs="宋体"/>
                <w:kern w:val="0"/>
                <w:sz w:val="20"/>
                <w:szCs w:val="20"/>
              </w:rPr>
              <w:br w:type="textWrapping"/>
            </w:r>
            <w:r>
              <w:rPr>
                <w:rFonts w:hint="eastAsia" w:ascii="宋体" w:hAnsi="宋体" w:cs="宋体"/>
                <w:kern w:val="0"/>
                <w:sz w:val="20"/>
                <w:szCs w:val="20"/>
              </w:rPr>
              <w:t>3、内置嵌入式中控主机,定制工业主板，采用四核处理器结构，4颗嵌入式高速多媒体处理器，双通道DDR3内存、固态硬盘及64位操作系统，启动、运行速度更快；硬盘防护功能，双链路加密，嵌入式安全防护装置锁住操作系统防止病毒破坏，重启后系统自动极速还原，系统更安全稳定。</w:t>
            </w:r>
            <w:r>
              <w:rPr>
                <w:rFonts w:hint="eastAsia" w:ascii="宋体" w:hAnsi="宋体" w:cs="宋体"/>
                <w:kern w:val="0"/>
                <w:sz w:val="20"/>
                <w:szCs w:val="20"/>
              </w:rPr>
              <w:br w:type="textWrapping"/>
            </w:r>
            <w:r>
              <w:rPr>
                <w:rFonts w:hint="eastAsia" w:ascii="宋体" w:hAnsi="宋体" w:cs="宋体"/>
                <w:kern w:val="0"/>
                <w:sz w:val="20"/>
                <w:szCs w:val="20"/>
              </w:rPr>
              <w:t>4、智能式一键开关，输入工作电压210V/230V, 50/60Hz，电源输入处装置断路自熔断双备份保险管（高压、断路情况之下自动熔断，保护设备）及防浪涌装置双重保护模式。</w:t>
            </w:r>
            <w:r>
              <w:rPr>
                <w:rFonts w:hint="eastAsia" w:ascii="宋体" w:hAnsi="宋体" w:cs="宋体"/>
                <w:kern w:val="0"/>
                <w:sz w:val="20"/>
                <w:szCs w:val="20"/>
              </w:rPr>
              <w:br w:type="textWrapping"/>
            </w:r>
            <w:r>
              <w:rPr>
                <w:rFonts w:hint="eastAsia" w:ascii="宋体" w:hAnsi="宋体" w:cs="宋体"/>
                <w:kern w:val="0"/>
                <w:sz w:val="20"/>
                <w:szCs w:val="20"/>
              </w:rPr>
              <w:t>5、设备多口USB端口可外连多种扩展外联，内置网络端口在控制多路信号输出， 1路220V/400W智能稳压电源管理端口，可对后端设备（功能、显示器、处理器、配电箱等）的综合供电进行多种智能管理，改变传统管理模式，实现简便管理需求。</w:t>
            </w:r>
            <w:r>
              <w:rPr>
                <w:rFonts w:hint="eastAsia" w:ascii="宋体" w:hAnsi="宋体" w:cs="宋体"/>
                <w:kern w:val="0"/>
                <w:sz w:val="20"/>
                <w:szCs w:val="20"/>
              </w:rPr>
              <w:br w:type="textWrapping"/>
            </w:r>
            <w:r>
              <w:rPr>
                <w:rFonts w:hint="eastAsia" w:ascii="宋体" w:hAnsi="宋体" w:cs="宋体"/>
                <w:kern w:val="0"/>
                <w:sz w:val="20"/>
                <w:szCs w:val="20"/>
              </w:rPr>
              <w:t>6、自动解码功能：内置软件可对多种格式的（mp4/mov/wmv/avi/flv/rmvb等）进行自动解码导播，同步支持1路HDMI和1路VGA+Audio信号输出、支持1920*1080及3840*1080的高清输出及4K高清视频画面的流畅播放。</w:t>
            </w:r>
            <w:r>
              <w:rPr>
                <w:rFonts w:hint="eastAsia" w:ascii="宋体" w:hAnsi="宋体" w:cs="宋体"/>
                <w:kern w:val="0"/>
                <w:sz w:val="20"/>
                <w:szCs w:val="20"/>
              </w:rPr>
              <w:br w:type="textWrapping"/>
            </w:r>
            <w:r>
              <w:rPr>
                <w:rFonts w:hint="eastAsia" w:ascii="宋体" w:hAnsi="宋体" w:cs="宋体"/>
                <w:kern w:val="0"/>
                <w:sz w:val="20"/>
                <w:szCs w:val="20"/>
              </w:rPr>
              <w:t>7、安全管理功能：本地播放需要进行安全密码认证（防止无操作权限人员进行节目误播），认证成功后才能播放节目，节目列表可进行自由组合（TXT、PPT、JPG、MP4等视频），节目做到无缝切换，对于节目停留时间自由设置。</w:t>
            </w:r>
            <w:r>
              <w:rPr>
                <w:rFonts w:hint="eastAsia" w:ascii="宋体" w:hAnsi="宋体" w:cs="宋体"/>
                <w:kern w:val="0"/>
                <w:sz w:val="20"/>
                <w:szCs w:val="20"/>
              </w:rPr>
              <w:br w:type="textWrapping"/>
            </w:r>
            <w:r>
              <w:rPr>
                <w:rFonts w:hint="eastAsia" w:ascii="宋体" w:hAnsi="宋体" w:cs="宋体"/>
                <w:kern w:val="0"/>
                <w:sz w:val="20"/>
                <w:szCs w:val="20"/>
              </w:rPr>
              <w:t>8、智能开关功能：当设备通过本地或远程关闭电源按时，同步断开外设（处理器、功放、配电箱等）的供电系统，在安全省电同时延长外联设备的使用寿命；开启时同步开启这些外备，保证系统正常同步工作；操作时根据设置并自动推送开、关机执行信息给管理人员。</w:t>
            </w:r>
            <w:r>
              <w:rPr>
                <w:rFonts w:hint="eastAsia" w:ascii="宋体" w:hAnsi="宋体" w:cs="宋体"/>
                <w:kern w:val="0"/>
                <w:sz w:val="20"/>
                <w:szCs w:val="20"/>
              </w:rPr>
              <w:br w:type="textWrapping"/>
            </w:r>
            <w:r>
              <w:rPr>
                <w:rFonts w:hint="eastAsia" w:ascii="宋体" w:hAnsi="宋体" w:cs="宋体"/>
                <w:kern w:val="0"/>
                <w:sz w:val="20"/>
                <w:szCs w:val="20"/>
              </w:rPr>
              <w:t>9、节目列表功能：节目列表会根据节目的类别进行自动归类，方便管理者查找、切换、播放；播放列表可由管理者自由重复组合、排序，适用于多种工作场景。</w:t>
            </w:r>
            <w:r>
              <w:rPr>
                <w:rFonts w:hint="eastAsia" w:ascii="宋体" w:hAnsi="宋体" w:cs="宋体"/>
                <w:kern w:val="0"/>
                <w:sz w:val="20"/>
                <w:szCs w:val="20"/>
              </w:rPr>
              <w:br w:type="textWrapping"/>
            </w:r>
            <w:r>
              <w:rPr>
                <w:rFonts w:hint="eastAsia" w:ascii="宋体" w:hAnsi="宋体" w:cs="宋体"/>
                <w:kern w:val="0"/>
                <w:sz w:val="20"/>
                <w:szCs w:val="20"/>
              </w:rPr>
              <w:t>10、智能定时功能：根据播放管理要求，可分时段，多点位执行计划开、关整套设备任务（每星期/每天），同步发送设备运行信息及节目播放单给管理人员。</w:t>
            </w:r>
            <w:r>
              <w:rPr>
                <w:rFonts w:hint="eastAsia" w:ascii="宋体" w:hAnsi="宋体" w:cs="宋体"/>
                <w:kern w:val="0"/>
                <w:sz w:val="20"/>
                <w:szCs w:val="20"/>
              </w:rPr>
              <w:br w:type="textWrapping"/>
            </w:r>
            <w:r>
              <w:rPr>
                <w:rFonts w:hint="eastAsia" w:ascii="宋体" w:hAnsi="宋体" w:cs="宋体"/>
                <w:kern w:val="0"/>
                <w:sz w:val="20"/>
                <w:szCs w:val="20"/>
              </w:rPr>
              <w:t>11、智能巡播功能：巡播节目时，如设备处于关机状态，则在巡播节目前一分钟设备自动开启，并在任务结束后自动关闭设备。如设备处于播放工作状态，巡播任务表自动插入播放，当巡播执行完毕后自动恢复到之前播放节目。</w:t>
            </w:r>
            <w:r>
              <w:rPr>
                <w:rFonts w:hint="eastAsia" w:ascii="宋体" w:hAnsi="宋体" w:cs="宋体"/>
                <w:kern w:val="0"/>
                <w:sz w:val="20"/>
                <w:szCs w:val="20"/>
              </w:rPr>
              <w:br w:type="textWrapping"/>
            </w:r>
            <w:r>
              <w:rPr>
                <w:rFonts w:hint="eastAsia" w:ascii="宋体" w:hAnsi="宋体" w:cs="宋体"/>
                <w:kern w:val="0"/>
                <w:sz w:val="20"/>
                <w:szCs w:val="20"/>
              </w:rPr>
              <w:t>12、场景互动功能：扫描设备专属二维码获得授权的智能设备，可调取或现拍（视频、照片）通过微信客户端直接上传至对应设备，成功后可对上传内容进行切换或直播；也可把内容进行编辑后上传，节目单名称可以根据需求进行自定义命名（方便管理者点播）。</w:t>
            </w:r>
            <w:r>
              <w:rPr>
                <w:rFonts w:hint="eastAsia" w:ascii="宋体" w:hAnsi="宋体" w:cs="宋体"/>
                <w:kern w:val="0"/>
                <w:sz w:val="20"/>
                <w:szCs w:val="20"/>
              </w:rPr>
              <w:br w:type="textWrapping"/>
            </w:r>
            <w:r>
              <w:rPr>
                <w:rFonts w:hint="eastAsia" w:ascii="宋体" w:hAnsi="宋体" w:cs="宋体"/>
                <w:kern w:val="0"/>
                <w:sz w:val="20"/>
                <w:szCs w:val="20"/>
              </w:rPr>
              <w:t>13、实时监控功能：管理者可在智能设备网页或微信客户端实时查看对应授权设备的工作状态，如设备开、关机状态，当前节目播放列表，实时播放内容监控，加强管理者对设备稳定运行安全保障。</w:t>
            </w:r>
            <w:r>
              <w:rPr>
                <w:rFonts w:hint="eastAsia" w:ascii="宋体" w:hAnsi="宋体" w:cs="宋体"/>
                <w:kern w:val="0"/>
                <w:sz w:val="20"/>
                <w:szCs w:val="20"/>
              </w:rPr>
              <w:br w:type="textWrapping"/>
            </w:r>
            <w:r>
              <w:rPr>
                <w:rFonts w:hint="eastAsia" w:ascii="宋体" w:hAnsi="宋体" w:cs="宋体"/>
                <w:kern w:val="0"/>
                <w:sz w:val="20"/>
                <w:szCs w:val="20"/>
              </w:rPr>
              <w:t>14、网络安全功能：管理员可对设备网卡进行自定义管理，出于特定环境网络安全考虑，在设备正常运行计划播放状态下，设置成网卡禁用使设备处于网络封闭状态；需要上传或更改播放内容时，设备权限管理员可通过客户端开启网卡进行操作，结束后同步封闭网络。</w:t>
            </w:r>
            <w:r>
              <w:rPr>
                <w:rFonts w:hint="eastAsia" w:ascii="宋体" w:hAnsi="宋体" w:cs="宋体"/>
                <w:kern w:val="0"/>
                <w:sz w:val="20"/>
                <w:szCs w:val="20"/>
              </w:rPr>
              <w:br w:type="textWrapping"/>
            </w:r>
            <w:r>
              <w:rPr>
                <w:rFonts w:hint="eastAsia" w:ascii="宋体" w:hAnsi="宋体" w:cs="宋体"/>
                <w:kern w:val="0"/>
                <w:sz w:val="20"/>
                <w:szCs w:val="20"/>
              </w:rPr>
              <w:t>15、设备内置软件预置4路监控信号通道,可接入4路海康网络摄像头信号，智能设备通过微信客户端在任意时段可调取摄像头实现直播功能；也可在指定时间段插播摄像头直播功能实现定时直播功能。</w:t>
            </w:r>
            <w:r>
              <w:rPr>
                <w:rFonts w:hint="eastAsia" w:ascii="宋体" w:hAnsi="宋体" w:cs="宋体"/>
                <w:kern w:val="0"/>
                <w:sz w:val="20"/>
                <w:szCs w:val="20"/>
              </w:rPr>
              <w:br w:type="textWrapping"/>
            </w:r>
            <w:r>
              <w:rPr>
                <w:rFonts w:hint="eastAsia" w:ascii="宋体" w:hAnsi="宋体" w:cs="宋体"/>
                <w:kern w:val="0"/>
                <w:sz w:val="20"/>
                <w:szCs w:val="20"/>
              </w:rPr>
              <w:t>16、对于特定场景可外延来电自启功能，在停电时设备自动关机后，当电力恢复后设备会自动重新开启并整套系统，并会对之前播放列表进行正常，减少由于断电后为重新开启设备的各种额外工作量。</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广场大屏</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洲明、海康威视、利亚德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6</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视频处理器</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1.设备应为纯硬件FPGA架构，CrossPoint全总线交换技术，背板等效带宽，不能内置PC/X86/X64架构硬件，以避免X86/X64架构天然存在的计算可靠性和准确性缺陷以及设备运行不稳定问题。</w:t>
            </w:r>
            <w:r>
              <w:rPr>
                <w:rFonts w:hint="eastAsia" w:ascii="宋体" w:hAnsi="宋体" w:cs="宋体"/>
                <w:kern w:val="0"/>
                <w:sz w:val="20"/>
                <w:szCs w:val="20"/>
              </w:rPr>
              <w:br w:type="textWrapping"/>
            </w:r>
            <w:r>
              <w:rPr>
                <w:rFonts w:hint="eastAsia" w:ascii="宋体" w:hAnsi="宋体" w:cs="宋体"/>
                <w:kern w:val="0"/>
                <w:sz w:val="20"/>
                <w:szCs w:val="20"/>
              </w:rPr>
              <w:t>2.输入输出板卡可热插拔，输入板卡热插拔恢复时间＜2s，输出板卡热插拔恢复时间＜8s。</w:t>
            </w:r>
            <w:r>
              <w:rPr>
                <w:rFonts w:hint="eastAsia" w:ascii="宋体" w:hAnsi="宋体" w:cs="宋体"/>
                <w:kern w:val="0"/>
                <w:sz w:val="20"/>
                <w:szCs w:val="20"/>
              </w:rPr>
              <w:br w:type="textWrapping"/>
            </w:r>
            <w:r>
              <w:rPr>
                <w:rFonts w:hint="eastAsia" w:ascii="宋体" w:hAnsi="宋体" w:cs="宋体"/>
                <w:kern w:val="0"/>
                <w:sz w:val="20"/>
                <w:szCs w:val="20"/>
              </w:rPr>
              <w:t>3.开机时间≤10s，启动电源至输出最总画面的时间间隔。</w:t>
            </w:r>
            <w:r>
              <w:rPr>
                <w:rFonts w:hint="eastAsia" w:ascii="宋体" w:hAnsi="宋体" w:cs="宋体"/>
                <w:kern w:val="0"/>
                <w:sz w:val="20"/>
                <w:szCs w:val="20"/>
              </w:rPr>
              <w:br w:type="textWrapping"/>
            </w:r>
            <w:r>
              <w:rPr>
                <w:rFonts w:hint="eastAsia" w:ascii="宋体" w:hAnsi="宋体" w:cs="宋体"/>
                <w:kern w:val="0"/>
                <w:sz w:val="20"/>
                <w:szCs w:val="20"/>
              </w:rPr>
              <w:t>4、平均故障时间间隔（MTBF）不小于96000小时，保证设备能够稳定运行。</w:t>
            </w:r>
            <w:r>
              <w:rPr>
                <w:rFonts w:hint="eastAsia" w:ascii="宋体" w:hAnsi="宋体" w:cs="宋体"/>
                <w:kern w:val="0"/>
                <w:sz w:val="20"/>
                <w:szCs w:val="20"/>
              </w:rPr>
              <w:br w:type="textWrapping"/>
            </w:r>
            <w:r>
              <w:rPr>
                <w:rFonts w:hint="eastAsia" w:ascii="宋体" w:hAnsi="宋体" w:cs="宋体"/>
                <w:kern w:val="0"/>
                <w:sz w:val="20"/>
                <w:szCs w:val="20"/>
              </w:rPr>
              <w:t>5、最大单机背板信号处理带宽不小于720Gbps。</w:t>
            </w:r>
            <w:r>
              <w:rPr>
                <w:rFonts w:hint="eastAsia" w:ascii="宋体" w:hAnsi="宋体" w:cs="宋体"/>
                <w:kern w:val="0"/>
                <w:sz w:val="20"/>
                <w:szCs w:val="20"/>
              </w:rPr>
              <w:br w:type="textWrapping"/>
            </w:r>
            <w:r>
              <w:rPr>
                <w:rFonts w:hint="eastAsia" w:ascii="宋体" w:hAnsi="宋体" w:cs="宋体"/>
                <w:kern w:val="0"/>
                <w:sz w:val="20"/>
                <w:szCs w:val="20"/>
              </w:rPr>
              <w:t>6.支持集中采集DVI、VGA、CVBS、HDBaseT、HDMI、SDI、YPbPr、光纤等2K信号，Dual-link DVI、HDMI 1.4、DisplayPort等4K信号。</w:t>
            </w:r>
            <w:r>
              <w:rPr>
                <w:rFonts w:hint="eastAsia" w:ascii="宋体" w:hAnsi="宋体" w:cs="宋体"/>
                <w:kern w:val="0"/>
                <w:sz w:val="20"/>
                <w:szCs w:val="20"/>
              </w:rPr>
              <w:br w:type="textWrapping"/>
            </w:r>
            <w:r>
              <w:rPr>
                <w:rFonts w:hint="eastAsia" w:ascii="宋体" w:hAnsi="宋体" w:cs="宋体"/>
                <w:kern w:val="0"/>
                <w:sz w:val="20"/>
                <w:szCs w:val="20"/>
              </w:rPr>
              <w:t>7.支持DVI、HDBaseT、HDMI、SDI、光纤、CVBS、Ypbpr等常见的2K信号输出，Dual-link DVI、HDMI 1.4等4K信号输出。</w:t>
            </w:r>
            <w:r>
              <w:rPr>
                <w:rFonts w:hint="eastAsia" w:ascii="宋体" w:hAnsi="宋体" w:cs="宋体"/>
                <w:kern w:val="0"/>
                <w:sz w:val="20"/>
                <w:szCs w:val="20"/>
              </w:rPr>
              <w:br w:type="textWrapping"/>
            </w:r>
            <w:r>
              <w:rPr>
                <w:rFonts w:hint="eastAsia" w:ascii="宋体" w:hAnsi="宋体" w:cs="宋体"/>
                <w:kern w:val="0"/>
                <w:sz w:val="20"/>
                <w:szCs w:val="20"/>
              </w:rPr>
              <w:t>8.单台设备最大规模支持128路高清输入，144路高清输出，均不需要设备级联。</w:t>
            </w:r>
            <w:r>
              <w:rPr>
                <w:rFonts w:hint="eastAsia" w:ascii="宋体" w:hAnsi="宋体" w:cs="宋体"/>
                <w:kern w:val="0"/>
                <w:sz w:val="20"/>
                <w:szCs w:val="20"/>
              </w:rPr>
              <w:br w:type="textWrapping"/>
            </w:r>
            <w:r>
              <w:rPr>
                <w:rFonts w:hint="eastAsia" w:ascii="宋体" w:hAnsi="宋体" w:cs="宋体"/>
                <w:kern w:val="0"/>
                <w:sz w:val="20"/>
                <w:szCs w:val="20"/>
              </w:rPr>
              <w:t>9.设备具备静态底图功能，设备支持超大分辨率底图显示，横纵分辨率最大65535像素。</w:t>
            </w:r>
            <w:r>
              <w:rPr>
                <w:rFonts w:hint="eastAsia" w:ascii="宋体" w:hAnsi="宋体" w:cs="宋体"/>
                <w:kern w:val="0"/>
                <w:sz w:val="20"/>
                <w:szCs w:val="20"/>
              </w:rPr>
              <w:br w:type="textWrapping"/>
            </w:r>
            <w:r>
              <w:rPr>
                <w:rFonts w:hint="eastAsia" w:ascii="宋体" w:hAnsi="宋体" w:cs="宋体"/>
                <w:kern w:val="0"/>
                <w:sz w:val="20"/>
                <w:szCs w:val="20"/>
              </w:rPr>
              <w:t>10.支持设置拼接屏的拼缝补偿，可精确到1个像素。</w:t>
            </w:r>
            <w:r>
              <w:rPr>
                <w:rFonts w:hint="eastAsia" w:ascii="宋体" w:hAnsi="宋体" w:cs="宋体"/>
                <w:kern w:val="0"/>
                <w:sz w:val="20"/>
                <w:szCs w:val="20"/>
              </w:rPr>
              <w:br w:type="textWrapping"/>
            </w:r>
            <w:r>
              <w:rPr>
                <w:rFonts w:hint="eastAsia" w:ascii="宋体" w:hAnsi="宋体" w:cs="宋体"/>
                <w:kern w:val="0"/>
                <w:sz w:val="20"/>
                <w:szCs w:val="20"/>
              </w:rPr>
              <w:t>11.具备7x24 小时长时间连续开机工作的能力。</w:t>
            </w:r>
            <w:r>
              <w:rPr>
                <w:rFonts w:hint="eastAsia" w:ascii="宋体" w:hAnsi="宋体" w:cs="宋体"/>
                <w:kern w:val="0"/>
                <w:sz w:val="20"/>
                <w:szCs w:val="20"/>
              </w:rPr>
              <w:br w:type="textWrapping"/>
            </w:r>
            <w:r>
              <w:rPr>
                <w:rFonts w:hint="eastAsia" w:ascii="宋体" w:hAnsi="宋体" w:cs="宋体"/>
                <w:kern w:val="0"/>
                <w:sz w:val="20"/>
                <w:szCs w:val="20"/>
              </w:rPr>
              <w:t>12.支持视频网络运维管理协议，实时监测设备的运行状态，对设备异常情况进行报警。</w:t>
            </w:r>
            <w:r>
              <w:rPr>
                <w:rFonts w:hint="eastAsia" w:ascii="宋体" w:hAnsi="宋体" w:cs="宋体"/>
                <w:kern w:val="0"/>
                <w:sz w:val="20"/>
                <w:szCs w:val="20"/>
              </w:rPr>
              <w:br w:type="textWrapping"/>
            </w:r>
            <w:r>
              <w:rPr>
                <w:rFonts w:hint="eastAsia" w:ascii="宋体" w:hAnsi="宋体" w:cs="宋体"/>
                <w:kern w:val="0"/>
                <w:sz w:val="20"/>
                <w:szCs w:val="20"/>
              </w:rPr>
              <w:t>13.产品生产厂家应具有GB/T 28001-2011 idt OHSAS 18001:2007职业健康安全管理体系认证</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广场大屏</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洲明、海康威视、利亚德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7</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智能处理器控制管理</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1.可联控市面主流品牌矩阵切换器，开放联控接口。</w:t>
            </w:r>
            <w:r>
              <w:rPr>
                <w:rFonts w:hint="eastAsia" w:ascii="宋体" w:hAnsi="宋体" w:cs="宋体"/>
                <w:kern w:val="0"/>
                <w:sz w:val="20"/>
                <w:szCs w:val="20"/>
              </w:rPr>
              <w:br w:type="textWrapping"/>
            </w:r>
            <w:r>
              <w:rPr>
                <w:rFonts w:hint="eastAsia" w:ascii="宋体" w:hAnsi="宋体" w:cs="宋体"/>
                <w:kern w:val="0"/>
                <w:sz w:val="20"/>
                <w:szCs w:val="20"/>
              </w:rPr>
              <w:t>2.支持集成中控功能，实现对大屏幕的开关控制。</w:t>
            </w:r>
            <w:r>
              <w:rPr>
                <w:rFonts w:hint="eastAsia" w:ascii="宋体" w:hAnsi="宋体" w:cs="宋体"/>
                <w:kern w:val="0"/>
                <w:sz w:val="20"/>
                <w:szCs w:val="20"/>
              </w:rPr>
              <w:br w:type="textWrapping"/>
            </w:r>
            <w:r>
              <w:rPr>
                <w:rFonts w:hint="eastAsia" w:ascii="宋体" w:hAnsi="宋体" w:cs="宋体"/>
                <w:kern w:val="0"/>
                <w:sz w:val="20"/>
                <w:szCs w:val="20"/>
              </w:rPr>
              <w:t>3.支持 RS232串口和网络TCP/IP控制，开放控制协议，可与各品牌中控系统轻松集成。</w:t>
            </w:r>
            <w:r>
              <w:rPr>
                <w:rFonts w:hint="eastAsia" w:ascii="宋体" w:hAnsi="宋体" w:cs="宋体"/>
                <w:kern w:val="0"/>
                <w:sz w:val="20"/>
                <w:szCs w:val="20"/>
              </w:rPr>
              <w:br w:type="textWrapping"/>
            </w:r>
            <w:r>
              <w:rPr>
                <w:rFonts w:hint="eastAsia" w:ascii="宋体" w:hAnsi="宋体" w:cs="宋体"/>
                <w:kern w:val="0"/>
                <w:sz w:val="20"/>
                <w:szCs w:val="20"/>
              </w:rPr>
              <w:t>4.支持移动终端软件控制，不用外加中控直接实现场景调取等功能。</w:t>
            </w:r>
            <w:r>
              <w:rPr>
                <w:rFonts w:hint="eastAsia" w:ascii="宋体" w:hAnsi="宋体" w:cs="宋体"/>
                <w:kern w:val="0"/>
                <w:sz w:val="20"/>
                <w:szCs w:val="20"/>
              </w:rPr>
              <w:br w:type="textWrapping"/>
            </w:r>
            <w:r>
              <w:rPr>
                <w:rFonts w:hint="eastAsia" w:ascii="宋体" w:hAnsi="宋体" w:cs="宋体"/>
                <w:kern w:val="0"/>
                <w:sz w:val="20"/>
                <w:szCs w:val="20"/>
              </w:rPr>
              <w:t>5.支持故障检测功能，支持输入信号丢失检测，使用灰色标示。</w:t>
            </w:r>
            <w:r>
              <w:rPr>
                <w:rFonts w:hint="eastAsia" w:ascii="宋体" w:hAnsi="宋体" w:cs="宋体"/>
                <w:kern w:val="0"/>
                <w:sz w:val="20"/>
                <w:szCs w:val="20"/>
              </w:rPr>
              <w:br w:type="textWrapping"/>
            </w:r>
            <w:r>
              <w:rPr>
                <w:rFonts w:hint="eastAsia" w:ascii="宋体" w:hAnsi="宋体" w:cs="宋体"/>
                <w:kern w:val="0"/>
                <w:sz w:val="20"/>
                <w:szCs w:val="20"/>
              </w:rPr>
              <w:t>6.软件支持Windows操作系统和麒麟操作系统。</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广场大屏</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洲明、海康威视、利亚德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8</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框架结构</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一体式箱体</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23.5</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广场大屏</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洲明、海康威视、利亚德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9</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基础</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底部预埋结构为钢筋地笼结构+混泥土</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广场大屏</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10</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立柱</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双立柱（大小）+法兰</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广场大屏</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11</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机械费</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挖机、吊机等机械</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广场大屏</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12</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散热设备</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大1.5P空调</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广场大屏</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格力、美的、三菱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13</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配电柜</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配电柜20KW,具备过压、过流、欠压、缺相、短路、断路保护与报警功能,具备分步延时起动和分步延时断电的功能。</w:t>
            </w:r>
            <w:r>
              <w:rPr>
                <w:rFonts w:hint="eastAsia" w:ascii="宋体" w:hAnsi="宋体" w:cs="宋体"/>
                <w:kern w:val="0"/>
                <w:sz w:val="20"/>
                <w:szCs w:val="20"/>
              </w:rPr>
              <w:br w:type="textWrapping"/>
            </w:r>
            <w:r>
              <w:rPr>
                <w:rFonts w:hint="eastAsia" w:ascii="宋体" w:hAnsi="宋体" w:cs="宋体"/>
                <w:kern w:val="0"/>
                <w:sz w:val="20"/>
                <w:szCs w:val="20"/>
              </w:rPr>
              <w:t>1、主空开、接触器一个</w:t>
            </w:r>
            <w:r>
              <w:rPr>
                <w:rFonts w:hint="eastAsia" w:ascii="宋体" w:hAnsi="宋体" w:cs="宋体"/>
                <w:kern w:val="0"/>
                <w:sz w:val="20"/>
                <w:szCs w:val="20"/>
              </w:rPr>
              <w:br w:type="textWrapping"/>
            </w:r>
            <w:r>
              <w:rPr>
                <w:rFonts w:hint="eastAsia" w:ascii="宋体" w:hAnsi="宋体" w:cs="宋体"/>
                <w:kern w:val="0"/>
                <w:sz w:val="20"/>
                <w:szCs w:val="20"/>
              </w:rPr>
              <w:t>2、路输出（3个2P60A空开）每路不能超过7KW   </w:t>
            </w:r>
            <w:r>
              <w:rPr>
                <w:rFonts w:hint="eastAsia" w:ascii="宋体" w:hAnsi="宋体" w:cs="宋体"/>
                <w:kern w:val="0"/>
                <w:sz w:val="20"/>
                <w:szCs w:val="20"/>
              </w:rPr>
              <w:br w:type="textWrapping"/>
            </w:r>
            <w:r>
              <w:rPr>
                <w:rFonts w:hint="eastAsia" w:ascii="宋体" w:hAnsi="宋体" w:cs="宋体"/>
                <w:kern w:val="0"/>
                <w:sz w:val="20"/>
                <w:szCs w:val="20"/>
              </w:rPr>
              <w:t>3、个转换开关（启动/停止）</w:t>
            </w:r>
            <w:r>
              <w:rPr>
                <w:rFonts w:hint="eastAsia" w:ascii="宋体" w:hAnsi="宋体" w:cs="宋体"/>
                <w:kern w:val="0"/>
                <w:sz w:val="20"/>
                <w:szCs w:val="20"/>
              </w:rPr>
              <w:br w:type="textWrapping"/>
            </w:r>
            <w:r>
              <w:rPr>
                <w:rFonts w:hint="eastAsia" w:ascii="宋体" w:hAnsi="宋体" w:cs="宋体"/>
                <w:kern w:val="0"/>
                <w:sz w:val="20"/>
                <w:szCs w:val="20"/>
              </w:rPr>
              <w:t>4、2个指示灯（一个电源指示，一个运行指示）只能手动控制</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广场大屏</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14</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LED开关电源</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总输出功率（W）200</w:t>
            </w:r>
            <w:r>
              <w:rPr>
                <w:rFonts w:hint="eastAsia" w:ascii="宋体" w:hAnsi="宋体" w:cs="宋体"/>
                <w:kern w:val="0"/>
                <w:sz w:val="20"/>
                <w:szCs w:val="20"/>
              </w:rPr>
              <w:br w:type="textWrapping"/>
            </w:r>
            <w:r>
              <w:rPr>
                <w:rFonts w:hint="eastAsia" w:ascii="宋体" w:hAnsi="宋体" w:cs="宋体"/>
                <w:kern w:val="0"/>
                <w:sz w:val="20"/>
                <w:szCs w:val="20"/>
              </w:rPr>
              <w:t>输入电压范围（Vac）200—240                                                                                                                                                                                                              输出电压（Vdc）+5.0                                                                                                                                                                                                        输出电流范围（A）0-40.0                                                                                                                                                                                                         稳压精度±2%                                                                                                                                                                                                                        纹波及噪音（mVp-p） ≤150</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116</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广场大屏</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15</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室外落地式屏</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显示屏尺寸：1.6m*0.64m</w:t>
            </w:r>
            <w:r>
              <w:rPr>
                <w:rFonts w:hint="eastAsia" w:ascii="宋体" w:hAnsi="宋体" w:cs="宋体"/>
                <w:kern w:val="0"/>
                <w:sz w:val="20"/>
                <w:szCs w:val="20"/>
              </w:rPr>
              <w:br w:type="textWrapping"/>
            </w:r>
            <w:r>
              <w:rPr>
                <w:rFonts w:hint="eastAsia" w:ascii="宋体" w:hAnsi="宋体" w:cs="宋体"/>
                <w:kern w:val="0"/>
                <w:sz w:val="20"/>
                <w:szCs w:val="20"/>
              </w:rPr>
              <w:t>像素封装 SMD</w:t>
            </w:r>
            <w:r>
              <w:rPr>
                <w:rFonts w:hint="eastAsia" w:ascii="宋体" w:hAnsi="宋体" w:cs="宋体"/>
                <w:kern w:val="0"/>
                <w:sz w:val="20"/>
                <w:szCs w:val="20"/>
              </w:rPr>
              <w:br w:type="textWrapping"/>
            </w:r>
            <w:r>
              <w:rPr>
                <w:rFonts w:hint="eastAsia" w:ascii="宋体" w:hAnsi="宋体" w:cs="宋体"/>
                <w:kern w:val="0"/>
                <w:sz w:val="20"/>
                <w:szCs w:val="20"/>
              </w:rPr>
              <w:t>像素构成 1R1G1B</w:t>
            </w:r>
            <w:r>
              <w:rPr>
                <w:rFonts w:hint="eastAsia" w:ascii="宋体" w:hAnsi="宋体" w:cs="宋体"/>
                <w:kern w:val="0"/>
                <w:sz w:val="20"/>
                <w:szCs w:val="20"/>
              </w:rPr>
              <w:br w:type="textWrapping"/>
            </w:r>
            <w:r>
              <w:rPr>
                <w:rFonts w:hint="eastAsia" w:ascii="宋体" w:hAnsi="宋体" w:cs="宋体"/>
                <w:kern w:val="0"/>
                <w:sz w:val="20"/>
                <w:szCs w:val="20"/>
              </w:rPr>
              <w:t>像素间距（mm） 4</w:t>
            </w:r>
            <w:r>
              <w:rPr>
                <w:rFonts w:hint="eastAsia" w:ascii="宋体" w:hAnsi="宋体" w:cs="宋体"/>
                <w:kern w:val="0"/>
                <w:sz w:val="20"/>
                <w:szCs w:val="20"/>
              </w:rPr>
              <w:br w:type="textWrapping"/>
            </w:r>
            <w:r>
              <w:rPr>
                <w:rFonts w:hint="eastAsia" w:ascii="宋体" w:hAnsi="宋体" w:cs="宋体"/>
                <w:kern w:val="0"/>
                <w:sz w:val="20"/>
                <w:szCs w:val="20"/>
              </w:rPr>
              <w:t>像素密度（点/m2 ） 62500</w:t>
            </w:r>
            <w:r>
              <w:rPr>
                <w:rFonts w:hint="eastAsia" w:ascii="宋体" w:hAnsi="宋体" w:cs="宋体"/>
                <w:kern w:val="0"/>
                <w:sz w:val="20"/>
                <w:szCs w:val="20"/>
              </w:rPr>
              <w:br w:type="textWrapping"/>
            </w:r>
            <w:r>
              <w:rPr>
                <w:rFonts w:hint="eastAsia" w:ascii="宋体" w:hAnsi="宋体" w:cs="宋体"/>
                <w:kern w:val="0"/>
                <w:sz w:val="20"/>
                <w:szCs w:val="20"/>
              </w:rPr>
              <w:t>驱动方式 1/10 扫描，恒流驱动</w:t>
            </w:r>
            <w:r>
              <w:rPr>
                <w:rFonts w:hint="eastAsia" w:ascii="宋体" w:hAnsi="宋体" w:cs="宋体"/>
                <w:kern w:val="0"/>
                <w:sz w:val="20"/>
                <w:szCs w:val="20"/>
              </w:rPr>
              <w:br w:type="textWrapping"/>
            </w:r>
            <w:r>
              <w:rPr>
                <w:rFonts w:hint="eastAsia" w:ascii="宋体" w:hAnsi="宋体" w:cs="宋体"/>
                <w:kern w:val="0"/>
                <w:sz w:val="20"/>
                <w:szCs w:val="20"/>
              </w:rPr>
              <w:t>防护等级 正面 IP65</w:t>
            </w:r>
            <w:r>
              <w:rPr>
                <w:rFonts w:hint="eastAsia" w:ascii="宋体" w:hAnsi="宋体" w:cs="宋体"/>
                <w:kern w:val="0"/>
                <w:sz w:val="20"/>
                <w:szCs w:val="20"/>
              </w:rPr>
              <w:br w:type="textWrapping"/>
            </w:r>
            <w:r>
              <w:rPr>
                <w:rFonts w:hint="eastAsia" w:ascii="宋体" w:hAnsi="宋体" w:cs="宋体"/>
                <w:kern w:val="0"/>
                <w:sz w:val="20"/>
                <w:szCs w:val="20"/>
              </w:rPr>
              <w:t>光学性能参数</w:t>
            </w:r>
            <w:r>
              <w:rPr>
                <w:rFonts w:hint="eastAsia" w:ascii="宋体" w:hAnsi="宋体" w:cs="宋体"/>
                <w:kern w:val="0"/>
                <w:sz w:val="20"/>
                <w:szCs w:val="20"/>
              </w:rPr>
              <w:br w:type="textWrapping"/>
            </w:r>
            <w:r>
              <w:rPr>
                <w:rFonts w:hint="eastAsia" w:ascii="宋体" w:hAnsi="宋体" w:cs="宋体"/>
                <w:kern w:val="0"/>
                <w:sz w:val="20"/>
                <w:szCs w:val="20"/>
              </w:rPr>
              <w:t>亮度（cd/m2） ≥4500cd/㎡</w:t>
            </w:r>
            <w:r>
              <w:rPr>
                <w:rFonts w:hint="eastAsia" w:ascii="宋体" w:hAnsi="宋体" w:cs="宋体"/>
                <w:kern w:val="0"/>
                <w:sz w:val="20"/>
                <w:szCs w:val="20"/>
              </w:rPr>
              <w:br w:type="textWrapping"/>
            </w:r>
            <w:r>
              <w:rPr>
                <w:rFonts w:hint="eastAsia" w:ascii="宋体" w:hAnsi="宋体" w:cs="宋体"/>
                <w:kern w:val="0"/>
                <w:sz w:val="20"/>
                <w:szCs w:val="20"/>
              </w:rPr>
              <w:t>亮度均匀性 ≥97%</w:t>
            </w:r>
            <w:r>
              <w:rPr>
                <w:rFonts w:hint="eastAsia" w:ascii="宋体" w:hAnsi="宋体" w:cs="宋体"/>
                <w:kern w:val="0"/>
                <w:sz w:val="20"/>
                <w:szCs w:val="20"/>
              </w:rPr>
              <w:br w:type="textWrapping"/>
            </w:r>
            <w:r>
              <w:rPr>
                <w:rFonts w:hint="eastAsia" w:ascii="宋体" w:hAnsi="宋体" w:cs="宋体"/>
                <w:kern w:val="0"/>
                <w:sz w:val="20"/>
                <w:szCs w:val="20"/>
              </w:rPr>
              <w:t>色温 3500-9300K</w:t>
            </w:r>
            <w:r>
              <w:rPr>
                <w:rFonts w:hint="eastAsia" w:ascii="宋体" w:hAnsi="宋体" w:cs="宋体"/>
                <w:kern w:val="0"/>
                <w:sz w:val="20"/>
                <w:szCs w:val="20"/>
              </w:rPr>
              <w:br w:type="textWrapping"/>
            </w:r>
            <w:r>
              <w:rPr>
                <w:rFonts w:hint="eastAsia" w:ascii="宋体" w:hAnsi="宋体" w:cs="宋体"/>
                <w:kern w:val="0"/>
                <w:sz w:val="20"/>
                <w:szCs w:val="20"/>
              </w:rPr>
              <w:t>视角（°） 水平 120，垂直 120</w:t>
            </w:r>
            <w:r>
              <w:rPr>
                <w:rFonts w:hint="eastAsia" w:ascii="宋体" w:hAnsi="宋体" w:cs="宋体"/>
                <w:kern w:val="0"/>
                <w:sz w:val="20"/>
                <w:szCs w:val="20"/>
              </w:rPr>
              <w:br w:type="textWrapping"/>
            </w:r>
            <w:r>
              <w:rPr>
                <w:rFonts w:hint="eastAsia" w:ascii="宋体" w:hAnsi="宋体" w:cs="宋体"/>
                <w:kern w:val="0"/>
                <w:sz w:val="20"/>
                <w:szCs w:val="20"/>
              </w:rPr>
              <w:t>最佳视距（m） ≥4</w:t>
            </w:r>
            <w:r>
              <w:rPr>
                <w:rFonts w:hint="eastAsia" w:ascii="宋体" w:hAnsi="宋体" w:cs="宋体"/>
                <w:kern w:val="0"/>
                <w:sz w:val="20"/>
                <w:szCs w:val="20"/>
              </w:rPr>
              <w:br w:type="textWrapping"/>
            </w:r>
            <w:r>
              <w:rPr>
                <w:rFonts w:hint="eastAsia" w:ascii="宋体" w:hAnsi="宋体" w:cs="宋体"/>
                <w:kern w:val="0"/>
                <w:sz w:val="20"/>
                <w:szCs w:val="20"/>
              </w:rPr>
              <w:t>模组间隙（mm） ＜0.4</w:t>
            </w:r>
            <w:r>
              <w:rPr>
                <w:rFonts w:hint="eastAsia" w:ascii="宋体" w:hAnsi="宋体" w:cs="宋体"/>
                <w:kern w:val="0"/>
                <w:sz w:val="20"/>
                <w:szCs w:val="20"/>
              </w:rPr>
              <w:br w:type="textWrapping"/>
            </w:r>
            <w:r>
              <w:rPr>
                <w:rFonts w:hint="eastAsia" w:ascii="宋体" w:hAnsi="宋体" w:cs="宋体"/>
                <w:kern w:val="0"/>
                <w:sz w:val="20"/>
                <w:szCs w:val="20"/>
              </w:rPr>
              <w:t>盲点率 小于万分之一</w:t>
            </w:r>
            <w:r>
              <w:rPr>
                <w:rFonts w:hint="eastAsia" w:ascii="宋体" w:hAnsi="宋体" w:cs="宋体"/>
                <w:kern w:val="0"/>
                <w:sz w:val="20"/>
                <w:szCs w:val="20"/>
              </w:rPr>
              <w:br w:type="textWrapping"/>
            </w:r>
            <w:r>
              <w:rPr>
                <w:rFonts w:hint="eastAsia" w:ascii="宋体" w:hAnsi="宋体" w:cs="宋体"/>
                <w:kern w:val="0"/>
                <w:sz w:val="20"/>
                <w:szCs w:val="20"/>
              </w:rPr>
              <w:t>最大功耗（W/m2） 750</w:t>
            </w:r>
            <w:r>
              <w:rPr>
                <w:rFonts w:hint="eastAsia" w:ascii="宋体" w:hAnsi="宋体" w:cs="宋体"/>
                <w:kern w:val="0"/>
                <w:sz w:val="20"/>
                <w:szCs w:val="20"/>
              </w:rPr>
              <w:br w:type="textWrapping"/>
            </w:r>
            <w:r>
              <w:rPr>
                <w:rFonts w:hint="eastAsia" w:ascii="宋体" w:hAnsi="宋体" w:cs="宋体"/>
                <w:kern w:val="0"/>
                <w:sz w:val="20"/>
                <w:szCs w:val="20"/>
              </w:rPr>
              <w:t>平均功耗（W/m2） 250</w:t>
            </w:r>
            <w:r>
              <w:rPr>
                <w:rFonts w:hint="eastAsia" w:ascii="宋体" w:hAnsi="宋体" w:cs="宋体"/>
                <w:kern w:val="0"/>
                <w:sz w:val="20"/>
                <w:szCs w:val="20"/>
              </w:rPr>
              <w:br w:type="textWrapping"/>
            </w:r>
            <w:r>
              <w:rPr>
                <w:rFonts w:hint="eastAsia" w:ascii="宋体" w:hAnsi="宋体" w:cs="宋体"/>
                <w:kern w:val="0"/>
                <w:sz w:val="20"/>
                <w:szCs w:val="20"/>
              </w:rPr>
              <w:t>灰度等级 12-16bits</w:t>
            </w:r>
            <w:r>
              <w:rPr>
                <w:rFonts w:hint="eastAsia" w:ascii="宋体" w:hAnsi="宋体" w:cs="宋体"/>
                <w:kern w:val="0"/>
                <w:sz w:val="20"/>
                <w:szCs w:val="20"/>
              </w:rPr>
              <w:br w:type="textWrapping"/>
            </w:r>
            <w:r>
              <w:rPr>
                <w:rFonts w:hint="eastAsia" w:ascii="宋体" w:hAnsi="宋体" w:cs="宋体"/>
                <w:kern w:val="0"/>
                <w:sz w:val="20"/>
                <w:szCs w:val="20"/>
              </w:rPr>
              <w:t>显示颜色 16777216 种</w:t>
            </w:r>
            <w:r>
              <w:rPr>
                <w:rFonts w:hint="eastAsia" w:ascii="宋体" w:hAnsi="宋体" w:cs="宋体"/>
                <w:kern w:val="0"/>
                <w:sz w:val="20"/>
                <w:szCs w:val="20"/>
              </w:rPr>
              <w:br w:type="textWrapping"/>
            </w:r>
            <w:r>
              <w:rPr>
                <w:rFonts w:hint="eastAsia" w:ascii="宋体" w:hAnsi="宋体" w:cs="宋体"/>
                <w:kern w:val="0"/>
                <w:sz w:val="20"/>
                <w:szCs w:val="20"/>
              </w:rPr>
              <w:t>换帧频率（帧/秒） ≥60</w:t>
            </w:r>
            <w:r>
              <w:rPr>
                <w:rFonts w:hint="eastAsia" w:ascii="宋体" w:hAnsi="宋体" w:cs="宋体"/>
                <w:kern w:val="0"/>
                <w:sz w:val="20"/>
                <w:szCs w:val="20"/>
              </w:rPr>
              <w:br w:type="textWrapping"/>
            </w:r>
            <w:r>
              <w:rPr>
                <w:rFonts w:hint="eastAsia" w:ascii="宋体" w:hAnsi="宋体" w:cs="宋体"/>
                <w:kern w:val="0"/>
                <w:sz w:val="20"/>
                <w:szCs w:val="20"/>
              </w:rPr>
              <w:t>刷新频率（Hz） ≥1920</w:t>
            </w:r>
            <w:r>
              <w:rPr>
                <w:rFonts w:hint="eastAsia" w:ascii="宋体" w:hAnsi="宋体" w:cs="宋体"/>
                <w:kern w:val="0"/>
                <w:sz w:val="20"/>
                <w:szCs w:val="20"/>
              </w:rPr>
              <w:br w:type="textWrapping"/>
            </w:r>
            <w:r>
              <w:rPr>
                <w:rFonts w:hint="eastAsia" w:ascii="宋体" w:hAnsi="宋体" w:cs="宋体"/>
                <w:kern w:val="0"/>
                <w:sz w:val="20"/>
                <w:szCs w:val="20"/>
              </w:rPr>
              <w:t>亮度调节 256 级手动/自动</w:t>
            </w:r>
            <w:r>
              <w:rPr>
                <w:rFonts w:hint="eastAsia" w:ascii="宋体" w:hAnsi="宋体" w:cs="宋体"/>
                <w:kern w:val="0"/>
                <w:sz w:val="20"/>
                <w:szCs w:val="20"/>
              </w:rPr>
              <w:br w:type="textWrapping"/>
            </w:r>
            <w:r>
              <w:rPr>
                <w:rFonts w:hint="eastAsia" w:ascii="宋体" w:hAnsi="宋体" w:cs="宋体"/>
                <w:kern w:val="0"/>
                <w:sz w:val="20"/>
                <w:szCs w:val="20"/>
              </w:rPr>
              <w:t>工作温度范围（℃） -20 至 50</w:t>
            </w:r>
            <w:r>
              <w:rPr>
                <w:rFonts w:hint="eastAsia" w:ascii="宋体" w:hAnsi="宋体" w:cs="宋体"/>
                <w:kern w:val="0"/>
                <w:sz w:val="20"/>
                <w:szCs w:val="20"/>
              </w:rPr>
              <w:br w:type="textWrapping"/>
            </w:r>
            <w:r>
              <w:rPr>
                <w:rFonts w:hint="eastAsia" w:ascii="宋体" w:hAnsi="宋体" w:cs="宋体"/>
                <w:kern w:val="0"/>
                <w:sz w:val="20"/>
                <w:szCs w:val="20"/>
              </w:rPr>
              <w:t>工作湿度范围（RH） 10 - 90%</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4</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室外落地屏</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洲明、海康威视、利亚德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16</w:t>
            </w:r>
          </w:p>
        </w:tc>
        <w:tc>
          <w:tcPr>
            <w:tcW w:w="425" w:type="dxa"/>
            <w:vMerge w:val="restart"/>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未来教育</w:t>
            </w:r>
          </w:p>
        </w:tc>
        <w:tc>
          <w:tcPr>
            <w:tcW w:w="417" w:type="dxa"/>
            <w:vMerge w:val="restart"/>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多媒体教室</w:t>
            </w: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噪音监测报警器</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30～130dB报警设置范围内可自由设定，默认80分贝</w:t>
            </w:r>
            <w:r>
              <w:rPr>
                <w:rFonts w:hint="eastAsia" w:ascii="宋体" w:hAnsi="宋体" w:cs="宋体"/>
                <w:kern w:val="0"/>
                <w:sz w:val="20"/>
                <w:szCs w:val="20"/>
              </w:rPr>
              <w:br w:type="textWrapping"/>
            </w:r>
            <w:r>
              <w:rPr>
                <w:rFonts w:hint="eastAsia" w:ascii="宋体" w:hAnsi="宋体" w:cs="宋体"/>
                <w:kern w:val="0"/>
                <w:sz w:val="20"/>
                <w:szCs w:val="20"/>
              </w:rPr>
              <w:t>信号输出：超设定值，常开触头闭合</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精品录播教室</w:t>
            </w:r>
          </w:p>
        </w:tc>
        <w:tc>
          <w:tcPr>
            <w:tcW w:w="1414" w:type="dxa"/>
            <w:noWrap w:val="0"/>
            <w:vAlign w:val="center"/>
          </w:tcPr>
          <w:p>
            <w:pPr>
              <w:widowControl/>
              <w:snapToGrid w:val="0"/>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17</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格栅教室护眼灯</w:t>
            </w:r>
          </w:p>
        </w:tc>
        <w:tc>
          <w:tcPr>
            <w:tcW w:w="8222" w:type="dxa"/>
            <w:noWrap w:val="0"/>
            <w:vAlign w:val="center"/>
          </w:tcPr>
          <w:p>
            <w:pPr>
              <w:widowControl/>
              <w:snapToGrid w:val="0"/>
              <w:jc w:val="left"/>
              <w:rPr>
                <w:rFonts w:hint="eastAsia" w:ascii="宋体" w:hAnsi="宋体" w:cs="宋体"/>
                <w:kern w:val="0"/>
                <w:sz w:val="20"/>
                <w:szCs w:val="20"/>
              </w:rPr>
            </w:pPr>
            <w:r>
              <w:rPr>
                <w:rFonts w:hint="eastAsia" w:ascii="宋体" w:hAnsi="宋体" w:cs="宋体"/>
                <w:kern w:val="0"/>
                <w:sz w:val="20"/>
                <w:szCs w:val="20"/>
              </w:rPr>
              <w:t>教室护眼防眩光格栅LED灯</w:t>
            </w:r>
            <w:r>
              <w:rPr>
                <w:rFonts w:hint="eastAsia" w:ascii="宋体" w:hAnsi="宋体" w:cs="宋体"/>
                <w:kern w:val="0"/>
                <w:sz w:val="20"/>
                <w:szCs w:val="20"/>
              </w:rPr>
              <w:br w:type="textWrapping"/>
            </w:r>
            <w:r>
              <w:rPr>
                <w:rFonts w:hint="eastAsia" w:ascii="宋体" w:hAnsi="宋体" w:cs="宋体"/>
                <w:kern w:val="0"/>
                <w:sz w:val="20"/>
                <w:szCs w:val="20"/>
              </w:rPr>
              <w:t>220V 36W</w:t>
            </w:r>
            <w:r>
              <w:rPr>
                <w:rFonts w:hint="eastAsia" w:ascii="宋体" w:hAnsi="宋体" w:cs="宋体"/>
                <w:kern w:val="0"/>
                <w:sz w:val="20"/>
                <w:szCs w:val="20"/>
              </w:rPr>
              <w:br w:type="textWrapping"/>
            </w:r>
            <w:r>
              <w:rPr>
                <w:rFonts w:hint="eastAsia" w:ascii="宋体" w:hAnsi="宋体" w:cs="宋体"/>
                <w:kern w:val="0"/>
                <w:sz w:val="20"/>
                <w:szCs w:val="20"/>
              </w:rPr>
              <w:t>防眩方式 扩散板+网格栅二级防眩</w:t>
            </w:r>
            <w:r>
              <w:rPr>
                <w:rFonts w:hint="eastAsia" w:ascii="宋体" w:hAnsi="宋体" w:cs="宋体"/>
                <w:kern w:val="0"/>
                <w:sz w:val="20"/>
                <w:szCs w:val="20"/>
              </w:rPr>
              <w:br w:type="textWrapping"/>
            </w:r>
            <w:r>
              <w:rPr>
                <w:rFonts w:hint="eastAsia" w:ascii="宋体" w:hAnsi="宋体" w:cs="宋体"/>
                <w:kern w:val="0"/>
                <w:sz w:val="20"/>
                <w:szCs w:val="20"/>
              </w:rPr>
              <w:t>频闪 无危害，满足光输出波形的波动深度≤0.6%</w:t>
            </w:r>
            <w:r>
              <w:rPr>
                <w:rFonts w:hint="eastAsia" w:ascii="宋体" w:hAnsi="宋体" w:cs="宋体"/>
                <w:kern w:val="0"/>
                <w:sz w:val="20"/>
                <w:szCs w:val="20"/>
              </w:rPr>
              <w:br w:type="textWrapping"/>
            </w:r>
            <w:r>
              <w:rPr>
                <w:rFonts w:hint="eastAsia" w:ascii="宋体" w:hAnsi="宋体" w:cs="宋体"/>
                <w:kern w:val="0"/>
                <w:sz w:val="20"/>
                <w:szCs w:val="20"/>
              </w:rPr>
              <w:t>蓝光 豁免级（RG0）</w:t>
            </w:r>
            <w:r>
              <w:rPr>
                <w:rFonts w:hint="eastAsia" w:ascii="宋体" w:hAnsi="宋体" w:cs="宋体"/>
                <w:kern w:val="0"/>
                <w:sz w:val="20"/>
                <w:szCs w:val="20"/>
              </w:rPr>
              <w:br w:type="textWrapping"/>
            </w:r>
            <w:r>
              <w:rPr>
                <w:rFonts w:hint="eastAsia" w:ascii="宋体" w:hAnsi="宋体" w:cs="宋体"/>
                <w:kern w:val="0"/>
                <w:sz w:val="20"/>
                <w:szCs w:val="20"/>
              </w:rPr>
              <w:t>色温：5000K（±283K）</w:t>
            </w:r>
            <w:r>
              <w:rPr>
                <w:rFonts w:hint="eastAsia" w:ascii="宋体" w:hAnsi="宋体" w:cs="宋体"/>
                <w:kern w:val="0"/>
                <w:sz w:val="20"/>
                <w:szCs w:val="20"/>
              </w:rPr>
              <w:br w:type="textWrapping"/>
            </w:r>
            <w:r>
              <w:rPr>
                <w:rFonts w:hint="eastAsia" w:ascii="宋体" w:hAnsi="宋体" w:cs="宋体"/>
                <w:kern w:val="0"/>
                <w:sz w:val="20"/>
                <w:szCs w:val="20"/>
              </w:rPr>
              <w:t>显色指数（Ra）≥90 （R9）≥60</w:t>
            </w:r>
            <w:r>
              <w:rPr>
                <w:rFonts w:hint="eastAsia" w:ascii="宋体" w:hAnsi="宋体" w:cs="宋体"/>
                <w:kern w:val="0"/>
                <w:sz w:val="20"/>
                <w:szCs w:val="20"/>
              </w:rPr>
              <w:br w:type="textWrapping"/>
            </w:r>
            <w:r>
              <w:rPr>
                <w:rFonts w:hint="eastAsia" w:ascii="宋体" w:hAnsi="宋体" w:cs="宋体"/>
                <w:kern w:val="0"/>
                <w:sz w:val="20"/>
                <w:szCs w:val="20"/>
              </w:rPr>
              <w:t>功率因素 ≥0.95</w:t>
            </w:r>
            <w:r>
              <w:rPr>
                <w:rFonts w:hint="eastAsia" w:ascii="宋体" w:hAnsi="宋体" w:cs="宋体"/>
                <w:kern w:val="0"/>
                <w:sz w:val="20"/>
                <w:szCs w:val="20"/>
              </w:rPr>
              <w:br w:type="textWrapping"/>
            </w:r>
            <w:r>
              <w:rPr>
                <w:rFonts w:hint="eastAsia" w:ascii="宋体" w:hAnsi="宋体" w:cs="宋体"/>
                <w:kern w:val="0"/>
                <w:sz w:val="20"/>
                <w:szCs w:val="20"/>
              </w:rPr>
              <w:t>消耗功率 36W</w:t>
            </w:r>
            <w:r>
              <w:rPr>
                <w:rFonts w:hint="eastAsia" w:ascii="宋体" w:hAnsi="宋体" w:cs="宋体"/>
                <w:kern w:val="0"/>
                <w:sz w:val="20"/>
                <w:szCs w:val="20"/>
              </w:rPr>
              <w:br w:type="textWrapping"/>
            </w:r>
            <w:r>
              <w:rPr>
                <w:rFonts w:hint="eastAsia" w:ascii="宋体" w:hAnsi="宋体" w:cs="宋体"/>
                <w:kern w:val="0"/>
                <w:sz w:val="20"/>
                <w:szCs w:val="20"/>
              </w:rPr>
              <w:t>光效 ≥80 lm/W</w:t>
            </w:r>
            <w:r>
              <w:rPr>
                <w:rFonts w:hint="eastAsia" w:ascii="宋体" w:hAnsi="宋体" w:cs="宋体"/>
                <w:kern w:val="0"/>
                <w:sz w:val="20"/>
                <w:szCs w:val="20"/>
              </w:rPr>
              <w:br w:type="textWrapping"/>
            </w:r>
            <w:r>
              <w:rPr>
                <w:rFonts w:hint="eastAsia" w:ascii="宋体" w:hAnsi="宋体" w:cs="宋体"/>
                <w:kern w:val="0"/>
                <w:sz w:val="20"/>
                <w:szCs w:val="20"/>
              </w:rPr>
              <w:t>视网膜蓝光危害等级为RG0无危害</w:t>
            </w:r>
          </w:p>
          <w:p>
            <w:pPr>
              <w:widowControl/>
              <w:snapToGrid w:val="0"/>
              <w:jc w:val="left"/>
              <w:rPr>
                <w:rFonts w:ascii="宋体" w:hAnsi="宋体" w:cs="宋体"/>
                <w:kern w:val="0"/>
                <w:sz w:val="20"/>
                <w:szCs w:val="20"/>
              </w:rPr>
            </w:pPr>
            <w:r>
              <w:rPr>
                <w:rFonts w:hint="eastAsia" w:ascii="宋体" w:hAnsi="宋体" w:cs="宋体"/>
                <w:kern w:val="0"/>
                <w:sz w:val="20"/>
                <w:szCs w:val="20"/>
              </w:rPr>
              <w:t>光频闪的危害为无危害，满足光输出波形的波动深度≤0.6%</w:t>
            </w:r>
            <w:r>
              <w:rPr>
                <w:rFonts w:hint="eastAsia" w:ascii="宋体" w:hAnsi="宋体" w:cs="宋体"/>
                <w:kern w:val="0"/>
                <w:sz w:val="20"/>
                <w:szCs w:val="20"/>
              </w:rPr>
              <w:br w:type="textWrapping"/>
            </w:r>
            <w:r>
              <w:rPr>
                <w:rFonts w:hint="eastAsia" w:ascii="宋体" w:hAnsi="宋体" w:cs="宋体"/>
                <w:kern w:val="0"/>
                <w:sz w:val="20"/>
                <w:szCs w:val="20"/>
              </w:rPr>
              <w:t>符合GB 7793-2010《中小学校教室采光和照明卫生标准》的要求； 维护系数为0.8时，普通教室课桌面维持平均照度值≥300Lux，均匀度≥0.8，教室的统一眩光值UGR≤18；教室的功率密度≤6W/㎡（不含黑板灯）；参考平面为课桌椅布置区域，参考平面高度为0.75m的课桌面</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盏</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精品录播教室</w:t>
            </w:r>
          </w:p>
        </w:tc>
        <w:tc>
          <w:tcPr>
            <w:tcW w:w="1414" w:type="dxa"/>
            <w:noWrap w:val="0"/>
            <w:vAlign w:val="center"/>
          </w:tcPr>
          <w:p>
            <w:pPr>
              <w:widowControl/>
              <w:snapToGrid w:val="0"/>
              <w:rPr>
                <w:rFonts w:ascii="宋体" w:hAnsi="宋体" w:cs="宋体"/>
                <w:kern w:val="0"/>
                <w:sz w:val="20"/>
                <w:szCs w:val="20"/>
              </w:rPr>
            </w:pPr>
            <w:r>
              <w:rPr>
                <w:rFonts w:hint="eastAsia" w:ascii="宋体" w:hAnsi="宋体" w:cs="宋体"/>
                <w:kern w:val="0"/>
                <w:sz w:val="20"/>
                <w:szCs w:val="20"/>
                <w:lang w:bidi="ar"/>
              </w:rPr>
              <w:t>大华、海康威视、ITC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18</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云桌面一体机</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为简化管理维护，本次提供产品必须为集成显示器的ARM架构一体机设备（非PC），且为国内自主品牌。</w:t>
            </w:r>
            <w:r>
              <w:rPr>
                <w:rFonts w:hint="eastAsia" w:ascii="宋体" w:hAnsi="宋体" w:cs="宋体"/>
                <w:kern w:val="0"/>
                <w:sz w:val="20"/>
                <w:szCs w:val="20"/>
              </w:rPr>
              <w:br w:type="textWrapping"/>
            </w:r>
            <w:r>
              <w:rPr>
                <w:rFonts w:hint="eastAsia" w:ascii="宋体" w:hAnsi="宋体" w:cs="宋体"/>
                <w:kern w:val="0"/>
                <w:sz w:val="20"/>
                <w:szCs w:val="20"/>
              </w:rPr>
              <w:t>一体机要求内置虚拟桌面客户端程序，能够做到免身份验证登录虚拟桌面，避免使用时的麻烦问题。</w:t>
            </w:r>
            <w:r>
              <w:rPr>
                <w:rFonts w:hint="eastAsia" w:ascii="宋体" w:hAnsi="宋体" w:cs="宋体"/>
                <w:kern w:val="0"/>
                <w:sz w:val="20"/>
                <w:szCs w:val="20"/>
              </w:rPr>
              <w:br w:type="textWrapping"/>
            </w:r>
            <w:r>
              <w:rPr>
                <w:rFonts w:hint="eastAsia" w:ascii="宋体" w:hAnsi="宋体" w:cs="宋体"/>
                <w:kern w:val="0"/>
                <w:sz w:val="20"/>
                <w:szCs w:val="20"/>
              </w:rPr>
              <w:t>处理器性能不低于Cortex A9四核，主频不低于1.6GHz；要求配置内存容量≥1GB，内置存储空间≥8GB；配置USB 2.0口≥4个，1对音频输入输出口；要求配置显示屏≥19.5英寸, 屏幕最大分辨率不低于1600*900</w:t>
            </w:r>
            <w:r>
              <w:rPr>
                <w:rFonts w:hint="eastAsia" w:ascii="宋体" w:hAnsi="宋体" w:cs="宋体"/>
                <w:kern w:val="0"/>
                <w:sz w:val="20"/>
                <w:szCs w:val="20"/>
              </w:rPr>
              <w:br w:type="textWrapping"/>
            </w:r>
            <w:r>
              <w:rPr>
                <w:rFonts w:hint="eastAsia" w:ascii="宋体" w:hAnsi="宋体" w:cs="宋体"/>
                <w:kern w:val="0"/>
                <w:sz w:val="20"/>
                <w:szCs w:val="20"/>
              </w:rPr>
              <w:t>显示屏视角可调节，调节范围不少于-3.5°到 15°</w:t>
            </w:r>
            <w:r>
              <w:rPr>
                <w:rFonts w:hint="eastAsia" w:ascii="宋体" w:hAnsi="宋体" w:cs="宋体"/>
                <w:kern w:val="0"/>
                <w:sz w:val="20"/>
                <w:szCs w:val="20"/>
              </w:rPr>
              <w:br w:type="textWrapping"/>
            </w:r>
            <w:r>
              <w:rPr>
                <w:rFonts w:hint="eastAsia" w:ascii="宋体" w:hAnsi="宋体" w:cs="宋体"/>
                <w:kern w:val="0"/>
                <w:sz w:val="20"/>
                <w:szCs w:val="20"/>
              </w:rPr>
              <w:t>为简化管理，一体机要求为低功耗无风扇设计，平均功耗≤16W</w:t>
            </w:r>
            <w:r>
              <w:rPr>
                <w:rFonts w:hint="eastAsia" w:ascii="宋体" w:hAnsi="宋体" w:cs="宋体"/>
                <w:kern w:val="0"/>
                <w:sz w:val="20"/>
                <w:szCs w:val="20"/>
              </w:rPr>
              <w:br w:type="textWrapping"/>
            </w:r>
            <w:r>
              <w:rPr>
                <w:rFonts w:hint="eastAsia" w:ascii="宋体" w:hAnsi="宋体" w:cs="宋体"/>
                <w:kern w:val="0"/>
                <w:sz w:val="20"/>
                <w:szCs w:val="20"/>
              </w:rPr>
              <w:t>为保持学生课桌整洁有序，一体机需配备理线夹设计。</w:t>
            </w:r>
            <w:r>
              <w:rPr>
                <w:rFonts w:hint="eastAsia" w:ascii="宋体" w:hAnsi="宋体" w:cs="宋体"/>
                <w:kern w:val="0"/>
                <w:sz w:val="20"/>
                <w:szCs w:val="20"/>
              </w:rPr>
              <w:br w:type="textWrapping"/>
            </w:r>
            <w:r>
              <w:rPr>
                <w:rFonts w:hint="eastAsia" w:ascii="宋体" w:hAnsi="宋体" w:cs="宋体"/>
                <w:kern w:val="0"/>
                <w:sz w:val="20"/>
                <w:szCs w:val="20"/>
              </w:rPr>
              <w:t>为保证产品便于安装摆放，一体机需提供支持VESA标准背挂装置。</w:t>
            </w:r>
            <w:r>
              <w:rPr>
                <w:rFonts w:hint="eastAsia" w:ascii="宋体" w:hAnsi="宋体" w:cs="宋体"/>
                <w:kern w:val="0"/>
                <w:sz w:val="20"/>
                <w:szCs w:val="20"/>
              </w:rPr>
              <w:br w:type="textWrapping"/>
            </w:r>
            <w:r>
              <w:rPr>
                <w:rFonts w:hint="eastAsia" w:ascii="宋体" w:hAnsi="宋体" w:cs="宋体"/>
                <w:kern w:val="0"/>
                <w:sz w:val="20"/>
                <w:szCs w:val="20"/>
              </w:rPr>
              <w:t>为保障所投设备质量优异，可靠性高，要求所投设备平均故障间隔时间（MTBF）不低于120000小时。</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30</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精品录播教室</w:t>
            </w:r>
          </w:p>
        </w:tc>
        <w:tc>
          <w:tcPr>
            <w:tcW w:w="1414" w:type="dxa"/>
            <w:noWrap w:val="0"/>
            <w:vAlign w:val="center"/>
          </w:tcPr>
          <w:p>
            <w:pPr>
              <w:widowControl/>
              <w:snapToGrid w:val="0"/>
              <w:rPr>
                <w:rFonts w:ascii="宋体" w:hAnsi="宋体" w:cs="宋体"/>
                <w:kern w:val="0"/>
                <w:sz w:val="20"/>
                <w:szCs w:val="20"/>
              </w:rPr>
            </w:pPr>
            <w:r>
              <w:rPr>
                <w:rFonts w:hint="eastAsia" w:ascii="宋体" w:hAnsi="宋体" w:cs="宋体"/>
                <w:kern w:val="0"/>
                <w:sz w:val="20"/>
                <w:szCs w:val="20"/>
                <w:lang w:bidi="ar"/>
              </w:rPr>
              <w:t>锐捷、华三、深信服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19</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云桌面管理服务器</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b/>
                <w:bCs/>
                <w:kern w:val="0"/>
                <w:sz w:val="20"/>
                <w:szCs w:val="20"/>
              </w:rPr>
              <w:t>要求2U机架式服务器 CPU≥32核心64线程，主频≥2.5Ghz，内存：≥160G内存，SSD：整机配置2块 480G SSD，硬盘：配置≥2*2T 3.5寸 HDD硬盘。</w:t>
            </w:r>
          </w:p>
          <w:p>
            <w:pPr>
              <w:widowControl/>
              <w:snapToGrid w:val="0"/>
              <w:jc w:val="left"/>
              <w:rPr>
                <w:rFonts w:ascii="宋体" w:hAnsi="宋体" w:cs="宋体"/>
                <w:kern w:val="0"/>
                <w:sz w:val="20"/>
                <w:szCs w:val="20"/>
              </w:rPr>
            </w:pPr>
            <w:r>
              <w:rPr>
                <w:rFonts w:hint="eastAsia" w:ascii="宋体" w:hAnsi="宋体" w:cs="宋体"/>
                <w:kern w:val="0"/>
                <w:sz w:val="20"/>
                <w:szCs w:val="20"/>
              </w:rPr>
              <w:t>电源：提供1个1200W电源模块</w:t>
            </w:r>
            <w:r>
              <w:rPr>
                <w:rFonts w:hint="eastAsia" w:ascii="宋体" w:hAnsi="宋体" w:cs="宋体"/>
                <w:kern w:val="0"/>
                <w:sz w:val="20"/>
                <w:szCs w:val="20"/>
              </w:rPr>
              <w:br w:type="textWrapping"/>
            </w:r>
            <w:r>
              <w:rPr>
                <w:rFonts w:hint="eastAsia" w:ascii="宋体" w:hAnsi="宋体" w:cs="宋体"/>
                <w:kern w:val="0"/>
                <w:sz w:val="20"/>
                <w:szCs w:val="20"/>
              </w:rPr>
              <w:t>云服务器管理平台支持服务器CPU、内存、硬盘占用率数据，需提供管理界面截图并加盖原厂公章或投标专用章。</w:t>
            </w:r>
          </w:p>
          <w:p>
            <w:pPr>
              <w:widowControl/>
              <w:snapToGrid w:val="0"/>
              <w:jc w:val="left"/>
              <w:rPr>
                <w:rFonts w:hint="eastAsia" w:ascii="宋体" w:hAnsi="宋体" w:cs="宋体"/>
                <w:kern w:val="0"/>
                <w:sz w:val="20"/>
                <w:szCs w:val="20"/>
              </w:rPr>
            </w:pPr>
            <w:r>
              <w:rPr>
                <w:rFonts w:hint="eastAsia" w:ascii="宋体" w:hAnsi="宋体" w:cs="宋体"/>
                <w:kern w:val="0"/>
                <w:sz w:val="20"/>
                <w:szCs w:val="20"/>
              </w:rPr>
              <w:t>云服务器要求出厂预装服务器虚拟化软件等桌面云组件，无需单独购买和配置虚拟化软件</w:t>
            </w:r>
            <w:r>
              <w:rPr>
                <w:rFonts w:hint="eastAsia" w:ascii="宋体" w:hAnsi="宋体" w:cs="宋体"/>
                <w:kern w:val="0"/>
                <w:sz w:val="20"/>
                <w:szCs w:val="20"/>
              </w:rPr>
              <w:br w:type="textWrapping"/>
            </w:r>
            <w:r>
              <w:rPr>
                <w:rFonts w:hint="eastAsia" w:ascii="宋体" w:hAnsi="宋体" w:cs="宋体"/>
                <w:kern w:val="0"/>
                <w:sz w:val="20"/>
                <w:szCs w:val="20"/>
              </w:rPr>
              <w:t>云服务器要求能够满足多种操作系统镜像发布，以满足学校教学使用，Windows系统必须包含Windows XP、Windows 7、Windows 8、Windows 10，Linux系统必须包含Ubuntu、Centos、Fedora系统。</w:t>
            </w:r>
            <w:r>
              <w:rPr>
                <w:rFonts w:hint="eastAsia" w:ascii="宋体" w:hAnsi="宋体" w:cs="宋体"/>
                <w:kern w:val="0"/>
                <w:sz w:val="20"/>
                <w:szCs w:val="20"/>
              </w:rPr>
              <w:br w:type="textWrapping"/>
            </w:r>
            <w:r>
              <w:rPr>
                <w:rFonts w:hint="eastAsia" w:ascii="宋体" w:hAnsi="宋体" w:cs="宋体"/>
                <w:kern w:val="0"/>
                <w:sz w:val="20"/>
                <w:szCs w:val="20"/>
              </w:rPr>
              <w:t>支持对VOI桌面进行统一管理，通过云服务器管理平台对VOI系统制作、编辑、下发、发布应用和删除等功能。</w:t>
            </w:r>
            <w:r>
              <w:rPr>
                <w:rFonts w:hint="eastAsia" w:ascii="宋体" w:hAnsi="宋体" w:cs="宋体"/>
                <w:kern w:val="0"/>
                <w:sz w:val="20"/>
                <w:szCs w:val="20"/>
              </w:rPr>
              <w:br w:type="textWrapping"/>
            </w:r>
            <w:r>
              <w:rPr>
                <w:rFonts w:hint="eastAsia" w:ascii="宋体" w:hAnsi="宋体" w:cs="宋体"/>
                <w:kern w:val="0"/>
                <w:sz w:val="20"/>
                <w:szCs w:val="20"/>
              </w:rPr>
              <w:t>所有课程镜像要求通过云服务器后台管理界面实现统一管理，要能够实现镜像系统上传，镜像添加、快照、修改、复制、备份和删除等功能。</w:t>
            </w:r>
            <w:r>
              <w:rPr>
                <w:rFonts w:hint="eastAsia" w:ascii="宋体" w:hAnsi="宋体" w:cs="宋体"/>
                <w:kern w:val="0"/>
                <w:sz w:val="20"/>
                <w:szCs w:val="20"/>
              </w:rPr>
              <w:br w:type="textWrapping"/>
            </w:r>
            <w:r>
              <w:rPr>
                <w:rFonts w:hint="eastAsia" w:ascii="宋体" w:hAnsi="宋体" w:cs="宋体"/>
                <w:kern w:val="0"/>
                <w:sz w:val="20"/>
                <w:szCs w:val="20"/>
              </w:rPr>
              <w:t>要求云服务器支持SSD固态+机械硬盘混合磁盘组合方式，在SSD阵列设置缓冲区进行模版的加速，获得较高IO性能，提升云桌面启动速度和运行效率。</w:t>
            </w:r>
            <w:r>
              <w:rPr>
                <w:rFonts w:hint="eastAsia" w:ascii="宋体" w:hAnsi="宋体" w:cs="宋体"/>
                <w:kern w:val="0"/>
                <w:sz w:val="20"/>
                <w:szCs w:val="20"/>
              </w:rPr>
              <w:br w:type="textWrapping"/>
            </w:r>
            <w:r>
              <w:rPr>
                <w:rFonts w:hint="eastAsia" w:ascii="宋体" w:hAnsi="宋体" w:cs="宋体"/>
                <w:kern w:val="0"/>
                <w:sz w:val="20"/>
                <w:szCs w:val="20"/>
              </w:rPr>
              <w:t>要求云服务器能够支持多种考试场景，如国家计算机一、二级等级考试，学业水平考试等。</w:t>
            </w:r>
          </w:p>
          <w:p>
            <w:pPr>
              <w:widowControl/>
              <w:snapToGrid w:val="0"/>
              <w:jc w:val="left"/>
              <w:rPr>
                <w:rFonts w:ascii="宋体" w:hAnsi="宋体" w:cs="宋体"/>
                <w:kern w:val="0"/>
                <w:sz w:val="20"/>
                <w:szCs w:val="20"/>
              </w:rPr>
            </w:pPr>
            <w:r>
              <w:rPr>
                <w:rFonts w:hint="eastAsia" w:ascii="宋体" w:hAnsi="宋体" w:cs="宋体"/>
                <w:kern w:val="0"/>
                <w:sz w:val="20"/>
                <w:szCs w:val="20"/>
              </w:rPr>
              <w:t>用户数据首选保存在云服务器端，虚拟桌面需要有状态的连续性，当终端与服务器连接网络断开重连恢复后，云终端能够自动重连服务器，云终端连上云服务器之后，用户数据和状态不变，学生可继续教学或考试，不会出现学生终端重启导致数据丢失的问题。</w:t>
            </w:r>
            <w:r>
              <w:rPr>
                <w:rFonts w:hint="eastAsia" w:ascii="宋体" w:hAnsi="宋体" w:cs="宋体"/>
                <w:kern w:val="0"/>
                <w:sz w:val="20"/>
                <w:szCs w:val="20"/>
              </w:rPr>
              <w:br w:type="textWrapping"/>
            </w:r>
            <w:r>
              <w:rPr>
                <w:rFonts w:hint="eastAsia" w:ascii="宋体" w:hAnsi="宋体" w:cs="宋体"/>
                <w:kern w:val="0"/>
                <w:sz w:val="20"/>
                <w:szCs w:val="20"/>
              </w:rPr>
              <w:t>为简化管理，系统提供云桌面的统一管理功能，能统一监控云桌面，包含但不限于以下参数：在线情况、IP地址、终端MAC地址，并能进行批量生成、删除、踢出、刷新等操作。</w:t>
            </w:r>
            <w:r>
              <w:rPr>
                <w:rFonts w:hint="eastAsia" w:ascii="宋体" w:hAnsi="宋体" w:cs="宋体"/>
                <w:kern w:val="0"/>
                <w:sz w:val="20"/>
                <w:szCs w:val="20"/>
              </w:rPr>
              <w:br w:type="textWrapping"/>
            </w:r>
            <w:r>
              <w:rPr>
                <w:rFonts w:hint="eastAsia" w:ascii="宋体" w:hAnsi="宋体" w:cs="宋体"/>
                <w:kern w:val="0"/>
                <w:sz w:val="20"/>
                <w:szCs w:val="20"/>
              </w:rPr>
              <w:t>提供内置账号管理功能，无需依赖第三方身份系统，能够实现学生和老师账号集中管理，包括账号创建、批量导入、修改、删除等操作。</w:t>
            </w:r>
            <w:r>
              <w:rPr>
                <w:rFonts w:hint="eastAsia" w:ascii="宋体" w:hAnsi="宋体" w:cs="宋体"/>
                <w:kern w:val="0"/>
                <w:sz w:val="20"/>
                <w:szCs w:val="20"/>
              </w:rPr>
              <w:br w:type="textWrapping"/>
            </w:r>
            <w:r>
              <w:rPr>
                <w:rFonts w:hint="eastAsia" w:ascii="宋体" w:hAnsi="宋体" w:cs="宋体"/>
                <w:kern w:val="0"/>
                <w:sz w:val="20"/>
                <w:szCs w:val="20"/>
              </w:rPr>
              <w:t>在云服务器上需要求能够实现共享磁盘自动挂载功能,学生与老师共享一块虚拟磁盘，为学生设置下载权限，老师设置上传和下载权限。</w:t>
            </w:r>
            <w:r>
              <w:rPr>
                <w:rFonts w:hint="eastAsia" w:ascii="宋体" w:hAnsi="宋体" w:cs="宋体"/>
                <w:kern w:val="0"/>
                <w:sz w:val="20"/>
                <w:szCs w:val="20"/>
              </w:rPr>
              <w:br w:type="textWrapping"/>
            </w:r>
            <w:r>
              <w:rPr>
                <w:rFonts w:hint="eastAsia" w:ascii="宋体" w:hAnsi="宋体" w:cs="宋体"/>
                <w:kern w:val="0"/>
                <w:sz w:val="20"/>
                <w:szCs w:val="20"/>
              </w:rPr>
              <w:t>云服务器后台提供消息管理功能，能够对接收的消息进行存储和查看，当信息未读时能够在后台进行标识提醒。</w:t>
            </w:r>
            <w:r>
              <w:rPr>
                <w:rFonts w:hint="eastAsia" w:ascii="宋体" w:hAnsi="宋体" w:cs="宋体"/>
                <w:kern w:val="0"/>
                <w:sz w:val="20"/>
                <w:szCs w:val="20"/>
              </w:rPr>
              <w:br w:type="textWrapping"/>
            </w:r>
            <w:r>
              <w:rPr>
                <w:rFonts w:hint="eastAsia" w:ascii="宋体" w:hAnsi="宋体" w:cs="宋体"/>
                <w:kern w:val="0"/>
                <w:sz w:val="20"/>
                <w:szCs w:val="20"/>
              </w:rPr>
              <w:t>为便于时间管理设置，云服务器时间能够实现多种配置方法，支持从网络NTP服务同步，手动设置，同步本地时间，NTP服务地址或URL地址能够进行手工配置。</w:t>
            </w:r>
            <w:r>
              <w:rPr>
                <w:rFonts w:hint="eastAsia" w:ascii="宋体" w:hAnsi="宋体" w:cs="宋体"/>
                <w:kern w:val="0"/>
                <w:sz w:val="20"/>
                <w:szCs w:val="20"/>
              </w:rPr>
              <w:br w:type="textWrapping"/>
            </w:r>
            <w:r>
              <w:rPr>
                <w:rFonts w:hint="eastAsia" w:ascii="宋体" w:hAnsi="宋体" w:cs="宋体"/>
                <w:kern w:val="0"/>
                <w:sz w:val="20"/>
                <w:szCs w:val="20"/>
              </w:rPr>
              <w:t>云服务器要求支持设置定时任务，能够定时关闭云主机、重启云主机、关闭云终端，可按照每天或者每周设置周期性任务，具体时间点能够设置到时分秒。</w:t>
            </w:r>
            <w:r>
              <w:rPr>
                <w:rFonts w:hint="eastAsia" w:ascii="宋体" w:hAnsi="宋体" w:cs="宋体"/>
                <w:kern w:val="0"/>
                <w:sz w:val="20"/>
                <w:szCs w:val="20"/>
              </w:rPr>
              <w:br w:type="textWrapping"/>
            </w:r>
            <w:r>
              <w:rPr>
                <w:rFonts w:hint="eastAsia" w:ascii="宋体" w:hAnsi="宋体" w:cs="宋体"/>
                <w:kern w:val="0"/>
                <w:sz w:val="20"/>
                <w:szCs w:val="20"/>
              </w:rPr>
              <w:t>提供课程镜像默认启动功能，每次开机时，云服务器能够自动加载设置好的默认课程镜像，老师可直接进入上课环境，该功能可选择是否开启，包括默认课程镜像也要求能够根据使用情况进行灵活配置。</w:t>
            </w:r>
            <w:r>
              <w:rPr>
                <w:rFonts w:hint="eastAsia" w:ascii="宋体" w:hAnsi="宋体" w:cs="宋体"/>
                <w:kern w:val="0"/>
                <w:sz w:val="20"/>
                <w:szCs w:val="20"/>
              </w:rPr>
              <w:br w:type="textWrapping"/>
            </w:r>
            <w:r>
              <w:rPr>
                <w:rFonts w:hint="eastAsia" w:ascii="宋体" w:hAnsi="宋体" w:cs="宋体"/>
                <w:kern w:val="0"/>
                <w:sz w:val="20"/>
                <w:szCs w:val="20"/>
              </w:rPr>
              <w:t>提供能够对镜像进行管理的教学模式功能，包括信息技术课，考试等多种模式，支持教师自定义模式，教师可以将镜像复制到其他模式，也可以将一个未分配模式的镜像分配到某一模式中。</w:t>
            </w:r>
            <w:r>
              <w:rPr>
                <w:rFonts w:hint="eastAsia" w:ascii="宋体" w:hAnsi="宋体" w:cs="宋体"/>
                <w:kern w:val="0"/>
                <w:sz w:val="20"/>
                <w:szCs w:val="20"/>
              </w:rPr>
              <w:br w:type="textWrapping"/>
            </w:r>
            <w:r>
              <w:rPr>
                <w:rFonts w:hint="eastAsia" w:ascii="宋体" w:hAnsi="宋体" w:cs="宋体"/>
                <w:kern w:val="0"/>
                <w:sz w:val="20"/>
                <w:szCs w:val="20"/>
              </w:rPr>
              <w:t>提供虚拟桌面与终端硬件关联启动功能，每次启动虚拟桌面时，云终端盒子硬件也一并启动，无需对终端进行单独开机。</w:t>
            </w:r>
            <w:r>
              <w:rPr>
                <w:rFonts w:hint="eastAsia" w:ascii="宋体" w:hAnsi="宋体" w:cs="宋体"/>
                <w:kern w:val="0"/>
                <w:sz w:val="20"/>
                <w:szCs w:val="20"/>
              </w:rPr>
              <w:br w:type="textWrapping"/>
            </w:r>
            <w:r>
              <w:rPr>
                <w:rFonts w:hint="eastAsia" w:ascii="宋体" w:hAnsi="宋体" w:cs="宋体"/>
                <w:kern w:val="0"/>
                <w:sz w:val="20"/>
                <w:szCs w:val="20"/>
              </w:rPr>
              <w:t>为保障桌面云系统能够快速上线使用，要求提供部署向导，至少含有网络、云终端参数、系统授权、云服务器集群配置向导，向导内容应至少包含但不限于部署模式、网络、云桌面的IP/主机名、系统授权、教师机部署等，简化虚拟桌面基础架构的环境搭建工作，缩短部署周期。</w:t>
            </w:r>
            <w:r>
              <w:rPr>
                <w:rFonts w:hint="eastAsia" w:ascii="宋体" w:hAnsi="宋体" w:cs="宋体"/>
                <w:kern w:val="0"/>
                <w:sz w:val="20"/>
                <w:szCs w:val="20"/>
              </w:rPr>
              <w:br w:type="textWrapping"/>
            </w:r>
            <w:r>
              <w:rPr>
                <w:rFonts w:hint="eastAsia" w:ascii="宋体" w:hAnsi="宋体" w:cs="宋体"/>
                <w:kern w:val="0"/>
                <w:sz w:val="20"/>
                <w:szCs w:val="20"/>
              </w:rPr>
              <w:t>为简化管理，多云服务器集群部署时，要求在一个管理界面下就能实现虚拟教室创建管理功能，根据物理教室规模在云服务器上灵活创建虚拟教室，并进行统一管理和维护，能够设置云主机服务器资源分配和教室模式策略设置。</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精品录播教室</w:t>
            </w:r>
          </w:p>
        </w:tc>
        <w:tc>
          <w:tcPr>
            <w:tcW w:w="1414" w:type="dxa"/>
            <w:noWrap w:val="0"/>
            <w:vAlign w:val="center"/>
          </w:tcPr>
          <w:p>
            <w:pPr>
              <w:widowControl/>
              <w:snapToGrid w:val="0"/>
              <w:rPr>
                <w:rFonts w:ascii="宋体" w:hAnsi="宋体" w:cs="宋体"/>
                <w:kern w:val="0"/>
                <w:sz w:val="20"/>
                <w:szCs w:val="20"/>
              </w:rPr>
            </w:pPr>
            <w:r>
              <w:rPr>
                <w:rFonts w:hint="eastAsia" w:ascii="宋体" w:hAnsi="宋体" w:cs="宋体"/>
                <w:kern w:val="0"/>
                <w:sz w:val="20"/>
                <w:szCs w:val="20"/>
                <w:lang w:bidi="ar"/>
              </w:rPr>
              <w:t>锐捷、华三、深信服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20</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教师机</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配置≥Intel第八代双核四线程处理器（处理器主频≥3.7GHz）；内存≥4GB，显卡≥Intel HD 610；本地存储≥256 GB SSD；</w:t>
            </w:r>
            <w:r>
              <w:rPr>
                <w:rFonts w:hint="eastAsia" w:ascii="宋体" w:hAnsi="宋体" w:cs="宋体"/>
                <w:kern w:val="0"/>
                <w:sz w:val="20"/>
                <w:szCs w:val="20"/>
              </w:rPr>
              <w:br w:type="textWrapping"/>
            </w:r>
            <w:r>
              <w:rPr>
                <w:rFonts w:hint="eastAsia" w:ascii="宋体" w:hAnsi="宋体" w:cs="宋体"/>
                <w:kern w:val="0"/>
                <w:sz w:val="20"/>
                <w:szCs w:val="20"/>
              </w:rPr>
              <w:t>为避免长期防止内存松动蓝屏等问题，要求所投产品内存为主板焊接一体化，非插槽式以提高运行可靠性，降低维护工作量。</w:t>
            </w:r>
            <w:r>
              <w:rPr>
                <w:rFonts w:hint="eastAsia" w:ascii="宋体" w:hAnsi="宋体" w:cs="宋体"/>
                <w:kern w:val="0"/>
                <w:sz w:val="20"/>
                <w:szCs w:val="20"/>
              </w:rPr>
              <w:br w:type="textWrapping"/>
            </w:r>
            <w:r>
              <w:rPr>
                <w:rFonts w:hint="eastAsia" w:ascii="宋体" w:hAnsi="宋体" w:cs="宋体"/>
                <w:kern w:val="0"/>
                <w:sz w:val="20"/>
                <w:szCs w:val="20"/>
              </w:rPr>
              <w:t>配置≥21.5寸显示器，分辨率≥1920×1080</w:t>
            </w:r>
            <w:r>
              <w:rPr>
                <w:rFonts w:hint="eastAsia" w:ascii="宋体" w:hAnsi="宋体" w:cs="宋体"/>
                <w:kern w:val="0"/>
                <w:sz w:val="20"/>
                <w:szCs w:val="20"/>
              </w:rPr>
              <w:br w:type="textWrapping"/>
            </w:r>
            <w:r>
              <w:rPr>
                <w:rFonts w:hint="eastAsia" w:ascii="宋体" w:hAnsi="宋体" w:cs="宋体"/>
                <w:kern w:val="0"/>
                <w:sz w:val="20"/>
                <w:szCs w:val="20"/>
              </w:rPr>
              <w:t>USB接口≥6个（包含≥2个USB 3.0接口），≥1个千兆网口，≥1个HDMI接口，≥1对音频输入输出接口</w:t>
            </w:r>
            <w:r>
              <w:rPr>
                <w:rFonts w:hint="eastAsia" w:ascii="宋体" w:hAnsi="宋体" w:cs="宋体"/>
                <w:kern w:val="0"/>
                <w:sz w:val="20"/>
                <w:szCs w:val="20"/>
              </w:rPr>
              <w:br w:type="textWrapping"/>
            </w:r>
            <w:r>
              <w:rPr>
                <w:rFonts w:hint="eastAsia" w:ascii="宋体" w:hAnsi="宋体" w:cs="宋体"/>
                <w:kern w:val="0"/>
                <w:sz w:val="20"/>
                <w:szCs w:val="20"/>
              </w:rPr>
              <w:t>配置≥1个内存扩展槽，≥1个SATA扩展接口，可扩展1个2.5英寸硬盘</w:t>
            </w:r>
            <w:r>
              <w:rPr>
                <w:rFonts w:hint="eastAsia" w:ascii="宋体" w:hAnsi="宋体" w:cs="宋体"/>
                <w:kern w:val="0"/>
                <w:sz w:val="20"/>
                <w:szCs w:val="20"/>
              </w:rPr>
              <w:br w:type="textWrapping"/>
            </w:r>
            <w:r>
              <w:rPr>
                <w:rFonts w:hint="eastAsia" w:ascii="宋体" w:hAnsi="宋体" w:cs="宋体"/>
                <w:kern w:val="0"/>
                <w:sz w:val="20"/>
                <w:szCs w:val="20"/>
              </w:rPr>
              <w:t>具备独立的关屏功能键，可实现一键关闭屏幕显示，但系统不会休眠或者关机，方便用户打开显示器后的流畅使用体验，并标注清楚关屏功能键和电源键的位置，终端支持终端自身及虚拟桌面IP地址设置，为了便于管理，能够通过web管理端进行IP地址修改与维护。</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精品录播教室</w:t>
            </w:r>
          </w:p>
        </w:tc>
        <w:tc>
          <w:tcPr>
            <w:tcW w:w="1414" w:type="dxa"/>
            <w:noWrap w:val="0"/>
            <w:vAlign w:val="center"/>
          </w:tcPr>
          <w:p>
            <w:pPr>
              <w:widowControl/>
              <w:snapToGrid w:val="0"/>
              <w:rPr>
                <w:rFonts w:ascii="宋体" w:hAnsi="宋体" w:cs="宋体"/>
                <w:kern w:val="0"/>
                <w:sz w:val="20"/>
                <w:szCs w:val="20"/>
              </w:rPr>
            </w:pPr>
            <w:r>
              <w:rPr>
                <w:rFonts w:hint="eastAsia" w:ascii="宋体" w:hAnsi="宋体" w:cs="宋体"/>
                <w:kern w:val="0"/>
                <w:sz w:val="20"/>
                <w:szCs w:val="20"/>
                <w:lang w:bidi="ar"/>
              </w:rPr>
              <w:t>锐捷、华三、深信服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21</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教学管理软件</w:t>
            </w:r>
          </w:p>
        </w:tc>
        <w:tc>
          <w:tcPr>
            <w:tcW w:w="8222" w:type="dxa"/>
            <w:noWrap w:val="0"/>
            <w:vAlign w:val="center"/>
          </w:tcPr>
          <w:p>
            <w:pPr>
              <w:widowControl/>
              <w:snapToGrid w:val="0"/>
              <w:jc w:val="left"/>
              <w:rPr>
                <w:rFonts w:hint="eastAsia" w:ascii="宋体" w:hAnsi="宋体" w:cs="宋体"/>
                <w:kern w:val="0"/>
                <w:sz w:val="20"/>
                <w:szCs w:val="20"/>
              </w:rPr>
            </w:pPr>
            <w:r>
              <w:rPr>
                <w:rFonts w:hint="eastAsia" w:ascii="宋体" w:hAnsi="宋体" w:cs="宋体"/>
                <w:b/>
                <w:bCs/>
                <w:kern w:val="0"/>
                <w:sz w:val="20"/>
                <w:szCs w:val="20"/>
              </w:rPr>
              <w:t>要求提供多种教学模式以应对不同的教学需求，包括信息课模式、考试模式等多种模式，并可根据学校实际教学需求增加自定义场景模式，每个模式下提供不同的教学镜像，切换模式时，云终端硬件无需重新启动。</w:t>
            </w:r>
            <w:r>
              <w:rPr>
                <w:rFonts w:hint="eastAsia" w:ascii="宋体" w:hAnsi="宋体" w:cs="宋体"/>
                <w:kern w:val="0"/>
                <w:sz w:val="20"/>
                <w:szCs w:val="20"/>
              </w:rPr>
              <w:t>为简化管理和使用方面，要求一套教学管理软件能够实现教学业务，同时能够进行终端管理，比如禁网、终端参数配置、终端编号等，不接受在教师机上安装多个软件来实现教学管理和终端管理功能。</w:t>
            </w:r>
            <w:r>
              <w:rPr>
                <w:rFonts w:hint="eastAsia" w:ascii="宋体" w:hAnsi="宋体" w:cs="宋体"/>
                <w:kern w:val="0"/>
                <w:sz w:val="20"/>
                <w:szCs w:val="20"/>
              </w:rPr>
              <w:br w:type="textWrapping"/>
            </w:r>
            <w:r>
              <w:rPr>
                <w:rFonts w:hint="eastAsia" w:ascii="宋体" w:hAnsi="宋体" w:cs="宋体"/>
                <w:kern w:val="0"/>
                <w:sz w:val="20"/>
                <w:szCs w:val="20"/>
              </w:rPr>
              <w:t>通过教学管理软件，一键关闭云终端后，所有终端自动关闭（虚拟机与物理终端同时关闭）；通过教学管理软件，一键开启所有云终端后，终端自动启动并进入对那个的课程镜像桌面；通过教学管理软件，一键关闭服务器和云终端后，服务器和云终端都被关闭。</w:t>
            </w:r>
            <w:r>
              <w:rPr>
                <w:rFonts w:hint="eastAsia" w:ascii="宋体" w:hAnsi="宋体" w:cs="宋体"/>
                <w:kern w:val="0"/>
                <w:sz w:val="20"/>
                <w:szCs w:val="20"/>
              </w:rPr>
              <w:br w:type="textWrapping"/>
            </w:r>
            <w:r>
              <w:rPr>
                <w:rFonts w:hint="eastAsia" w:ascii="宋体" w:hAnsi="宋体" w:cs="宋体"/>
                <w:kern w:val="0"/>
                <w:sz w:val="20"/>
                <w:szCs w:val="20"/>
              </w:rPr>
              <w:t>为简化教学，教学管理软件需要提供远程终端编号功能，并与云桌面编号一一对应，方便上课前的学生点名等。</w:t>
            </w:r>
          </w:p>
          <w:p>
            <w:pPr>
              <w:widowControl/>
              <w:snapToGrid w:val="0"/>
              <w:jc w:val="left"/>
              <w:rPr>
                <w:rFonts w:ascii="宋体" w:hAnsi="宋体" w:cs="宋体"/>
                <w:kern w:val="0"/>
                <w:sz w:val="20"/>
                <w:szCs w:val="20"/>
              </w:rPr>
            </w:pPr>
            <w:r>
              <w:rPr>
                <w:rFonts w:hint="eastAsia" w:ascii="宋体" w:hAnsi="宋体" w:cs="宋体"/>
                <w:kern w:val="0"/>
                <w:sz w:val="20"/>
                <w:szCs w:val="20"/>
              </w:rPr>
              <w:t>支持老师将选中的文件分发给学生，可以分发给所有学生，也可以分发给指定学生；同时支持学生直接将文件提交给老师，使用100M的rar文件，60台传输时间在55s以内。</w:t>
            </w:r>
            <w:r>
              <w:rPr>
                <w:rFonts w:hint="eastAsia" w:ascii="宋体" w:hAnsi="宋体" w:cs="宋体"/>
                <w:kern w:val="0"/>
                <w:sz w:val="20"/>
                <w:szCs w:val="20"/>
              </w:rPr>
              <w:br w:type="textWrapping"/>
            </w:r>
            <w:r>
              <w:rPr>
                <w:rFonts w:hint="eastAsia" w:ascii="宋体" w:hAnsi="宋体" w:cs="宋体"/>
                <w:kern w:val="0"/>
                <w:sz w:val="20"/>
                <w:szCs w:val="20"/>
              </w:rPr>
              <w:t xml:space="preserve">支持老师对单一、部分、全体学生进行黑屏操作，黑屏状态下，学生的机器被锁定。  </w:t>
            </w:r>
            <w:r>
              <w:rPr>
                <w:rFonts w:hint="eastAsia" w:ascii="宋体" w:hAnsi="宋体" w:cs="宋体"/>
                <w:kern w:val="0"/>
                <w:sz w:val="20"/>
                <w:szCs w:val="20"/>
              </w:rPr>
              <w:br w:type="textWrapping"/>
            </w:r>
            <w:r>
              <w:rPr>
                <w:rFonts w:hint="eastAsia" w:ascii="宋体" w:hAnsi="宋体" w:cs="宋体"/>
                <w:kern w:val="0"/>
                <w:sz w:val="20"/>
                <w:szCs w:val="20"/>
              </w:rPr>
              <w:t>为保证正常教学使用，教师机和学生终端完成正常开机，服务器处于关闭状态，在教师机可以实现屏幕广播；为方便在老师屏幕广播时，学生可以根据老师的演示同步进行学习操作，需提供窗口化广播模式，即在使窗口化广播时，学生可以调整老师广播屏幕大小，以便自由操作学生云终端的系统进行自由跟学，在屏幕广播的同时，老师可以选择是否广播声音给学生。</w:t>
            </w:r>
            <w:r>
              <w:rPr>
                <w:rFonts w:hint="eastAsia" w:ascii="宋体" w:hAnsi="宋体" w:cs="宋体"/>
                <w:kern w:val="0"/>
                <w:sz w:val="20"/>
                <w:szCs w:val="20"/>
              </w:rPr>
              <w:br w:type="textWrapping"/>
            </w:r>
            <w:r>
              <w:rPr>
                <w:rFonts w:hint="eastAsia" w:ascii="宋体" w:hAnsi="宋体" w:cs="宋体"/>
                <w:kern w:val="0"/>
                <w:sz w:val="20"/>
                <w:szCs w:val="20"/>
              </w:rPr>
              <w:t>为方便教学控制，支持通过教学管理软件实现一键禁止任意分学生上网，禁网同时需要支持屏幕广播、屏幕查看等正常教学应用件。</w:t>
            </w:r>
            <w:r>
              <w:rPr>
                <w:rFonts w:hint="eastAsia" w:ascii="宋体" w:hAnsi="宋体" w:cs="宋体"/>
                <w:kern w:val="0"/>
                <w:sz w:val="20"/>
                <w:szCs w:val="20"/>
              </w:rPr>
              <w:br w:type="textWrapping"/>
            </w:r>
            <w:r>
              <w:rPr>
                <w:rFonts w:hint="eastAsia" w:ascii="宋体" w:hAnsi="宋体" w:cs="宋体"/>
                <w:kern w:val="0"/>
                <w:sz w:val="20"/>
                <w:szCs w:val="20"/>
              </w:rPr>
              <w:t>随堂测试：为提高教学效率，支持老师通过Web界面在办公室等其他场景录入题库，无需下载office或其他插件、模板，同时支持教室内截屏出题，口述出题等快速出题方式；教师可以通过全班答题、抢答等多种方式发起测试。</w:t>
            </w:r>
            <w:r>
              <w:rPr>
                <w:rFonts w:hint="eastAsia" w:ascii="宋体" w:hAnsi="宋体" w:cs="宋体"/>
                <w:kern w:val="0"/>
                <w:sz w:val="20"/>
                <w:szCs w:val="20"/>
              </w:rPr>
              <w:br w:type="textWrapping"/>
            </w:r>
            <w:r>
              <w:rPr>
                <w:rFonts w:hint="eastAsia" w:ascii="宋体" w:hAnsi="宋体" w:cs="宋体"/>
                <w:kern w:val="0"/>
                <w:sz w:val="20"/>
                <w:szCs w:val="20"/>
              </w:rPr>
              <w:t>随堂测试出题可支持单选、多选、判断、问答等多种课堂测试；</w:t>
            </w:r>
            <w:r>
              <w:rPr>
                <w:rFonts w:hint="eastAsia" w:ascii="宋体" w:hAnsi="宋体" w:cs="宋体"/>
                <w:kern w:val="0"/>
                <w:sz w:val="20"/>
                <w:szCs w:val="20"/>
              </w:rPr>
              <w:br w:type="textWrapping"/>
            </w:r>
            <w:r>
              <w:rPr>
                <w:rFonts w:hint="eastAsia" w:ascii="宋体" w:hAnsi="宋体" w:cs="宋体"/>
                <w:kern w:val="0"/>
                <w:sz w:val="20"/>
                <w:szCs w:val="20"/>
              </w:rPr>
              <w:t>支持答题结果统计：可以通过多种维度统计学生答题结果。按题统计：可以查看每道题学生选项分布情况；按人统计：可查看每个学生的总得分和正确率；按组统计：在分组状态下，可以查看每组得分和组内学生贡献值；</w:t>
            </w:r>
            <w:r>
              <w:rPr>
                <w:rFonts w:hint="eastAsia" w:ascii="宋体" w:hAnsi="宋体" w:cs="宋体"/>
                <w:kern w:val="0"/>
                <w:sz w:val="20"/>
                <w:szCs w:val="20"/>
              </w:rPr>
              <w:br w:type="textWrapping"/>
            </w:r>
            <w:r>
              <w:rPr>
                <w:rFonts w:hint="eastAsia" w:ascii="宋体" w:hAnsi="宋体" w:cs="宋体"/>
                <w:kern w:val="0"/>
                <w:sz w:val="20"/>
                <w:szCs w:val="20"/>
              </w:rPr>
              <w:t>作业空间内置网盘功能，学生可通过作业空间账号直接登录，学生没有做完的作业或文件，可以上传到在作业空间中独立的存储空间中，方便下次上课使用，网盘支持上传和下载。</w:t>
            </w:r>
            <w:r>
              <w:rPr>
                <w:rFonts w:hint="eastAsia" w:ascii="宋体" w:hAnsi="宋体" w:cs="宋体"/>
                <w:kern w:val="0"/>
                <w:sz w:val="20"/>
                <w:szCs w:val="20"/>
              </w:rPr>
              <w:br w:type="textWrapping"/>
            </w:r>
            <w:r>
              <w:rPr>
                <w:rFonts w:hint="eastAsia" w:ascii="宋体" w:hAnsi="宋体" w:cs="宋体"/>
                <w:kern w:val="0"/>
                <w:sz w:val="20"/>
                <w:szCs w:val="20"/>
              </w:rPr>
              <w:t>班级模型自动创建，为简化账号管理维护工作，支持通过签到的方式自动建立班级模型和账号。</w:t>
            </w:r>
            <w:r>
              <w:rPr>
                <w:rFonts w:hint="eastAsia" w:ascii="宋体" w:hAnsi="宋体" w:cs="宋体"/>
                <w:kern w:val="0"/>
                <w:sz w:val="20"/>
                <w:szCs w:val="20"/>
              </w:rPr>
              <w:br w:type="textWrapping"/>
            </w:r>
            <w:r>
              <w:rPr>
                <w:rFonts w:hint="eastAsia" w:ascii="宋体" w:hAnsi="宋体" w:cs="宋体"/>
                <w:kern w:val="0"/>
                <w:sz w:val="20"/>
                <w:szCs w:val="20"/>
              </w:rPr>
              <w:t>微课中心：支持微课的上传、浏览及删除，老师将观看微课任务布置给学生，并可以附加测试试题，学生观看微课后完成答题，老师可以查看学生答题情况，并对答题结果统计分析。</w:t>
            </w:r>
            <w:r>
              <w:rPr>
                <w:rFonts w:hint="eastAsia" w:ascii="宋体" w:hAnsi="宋体" w:cs="宋体"/>
                <w:kern w:val="0"/>
                <w:sz w:val="20"/>
                <w:szCs w:val="20"/>
              </w:rPr>
              <w:br w:type="textWrapping"/>
            </w:r>
            <w:r>
              <w:rPr>
                <w:rFonts w:hint="eastAsia" w:ascii="宋体" w:hAnsi="宋体" w:cs="宋体"/>
                <w:kern w:val="0"/>
                <w:sz w:val="20"/>
                <w:szCs w:val="20"/>
              </w:rPr>
              <w:t>为避免U-Key丢失和兼容性以及安全性问题，授权方式必须为文件授权方式，而非U-Key授权的方式。</w:t>
            </w:r>
            <w:r>
              <w:rPr>
                <w:rFonts w:hint="eastAsia" w:ascii="宋体" w:hAnsi="宋体" w:cs="宋体"/>
                <w:kern w:val="0"/>
                <w:sz w:val="20"/>
                <w:szCs w:val="20"/>
              </w:rPr>
              <w:br w:type="textWrapping"/>
            </w:r>
            <w:r>
              <w:rPr>
                <w:rFonts w:hint="eastAsia" w:ascii="宋体" w:hAnsi="宋体" w:cs="宋体"/>
                <w:kern w:val="0"/>
                <w:sz w:val="20"/>
                <w:szCs w:val="20"/>
              </w:rPr>
              <w:t>学生奖励机制：积分体系：学生在教学活动中可以获得虚拟积分，学生和老师端可以查看积分排名；学生勋章：促进学生更好的完成学习任务，预置不少于5任务目标，完成任务后获得荣誉勋章，荣誉勋章在学生端能统一展示。</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件</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精品录播教室</w:t>
            </w:r>
          </w:p>
        </w:tc>
        <w:tc>
          <w:tcPr>
            <w:tcW w:w="1414" w:type="dxa"/>
            <w:noWrap w:val="0"/>
            <w:vAlign w:val="center"/>
          </w:tcPr>
          <w:p>
            <w:pPr>
              <w:widowControl/>
              <w:snapToGrid w:val="0"/>
              <w:rPr>
                <w:rFonts w:ascii="宋体" w:hAnsi="宋体" w:cs="宋体"/>
                <w:kern w:val="0"/>
                <w:sz w:val="20"/>
                <w:szCs w:val="20"/>
              </w:rPr>
            </w:pPr>
            <w:r>
              <w:rPr>
                <w:rFonts w:hint="eastAsia" w:ascii="宋体" w:hAnsi="宋体" w:cs="宋体"/>
                <w:kern w:val="0"/>
                <w:sz w:val="20"/>
                <w:szCs w:val="20"/>
                <w:lang w:bidi="ar"/>
              </w:rPr>
              <w:t>锐捷、华三、深信服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22</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键盘鼠标</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云桌面有线键鼠套装，内含有线键盘、鼠标、带有品牌logo的鼠标垫。</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31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精品录播教室</w:t>
            </w:r>
          </w:p>
        </w:tc>
        <w:tc>
          <w:tcPr>
            <w:tcW w:w="1414" w:type="dxa"/>
            <w:noWrap w:val="0"/>
            <w:vAlign w:val="center"/>
          </w:tcPr>
          <w:p>
            <w:pPr>
              <w:widowControl/>
              <w:snapToGrid w:val="0"/>
              <w:rPr>
                <w:rFonts w:ascii="宋体" w:hAnsi="宋体" w:cs="宋体"/>
                <w:kern w:val="0"/>
                <w:sz w:val="20"/>
                <w:szCs w:val="20"/>
              </w:rPr>
            </w:pPr>
            <w:r>
              <w:rPr>
                <w:rFonts w:hint="eastAsia" w:ascii="宋体" w:hAnsi="宋体" w:cs="宋体"/>
                <w:kern w:val="0"/>
                <w:sz w:val="20"/>
                <w:szCs w:val="20"/>
                <w:lang w:bidi="ar"/>
              </w:rPr>
              <w:t>锐捷、华三、深信服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23</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智慧黑板</w:t>
            </w:r>
          </w:p>
        </w:tc>
        <w:tc>
          <w:tcPr>
            <w:tcW w:w="8222" w:type="dxa"/>
            <w:noWrap w:val="0"/>
            <w:vAlign w:val="center"/>
          </w:tcPr>
          <w:p>
            <w:pPr>
              <w:widowControl/>
              <w:snapToGrid w:val="0"/>
              <w:jc w:val="left"/>
              <w:rPr>
                <w:rFonts w:hint="eastAsia" w:ascii="宋体" w:hAnsi="宋体" w:cs="宋体"/>
                <w:b/>
                <w:bCs/>
                <w:kern w:val="0"/>
                <w:sz w:val="20"/>
                <w:szCs w:val="20"/>
              </w:rPr>
            </w:pPr>
            <w:r>
              <w:rPr>
                <w:rFonts w:hint="eastAsia" w:ascii="宋体" w:hAnsi="宋体" w:cs="宋体"/>
                <w:kern w:val="0"/>
                <w:sz w:val="20"/>
                <w:szCs w:val="20"/>
              </w:rPr>
              <w:t>1.触控技术：上下双边红外触控，具备防光干扰特性，在照度100K LUX（勒克司）环境下仍能正常工作。</w:t>
            </w:r>
            <w:r>
              <w:rPr>
                <w:rFonts w:hint="eastAsia" w:ascii="宋体" w:hAnsi="宋体" w:cs="宋体"/>
                <w:kern w:val="0"/>
                <w:sz w:val="20"/>
                <w:szCs w:val="20"/>
              </w:rPr>
              <w:br w:type="textWrapping"/>
            </w:r>
            <w:r>
              <w:rPr>
                <w:rFonts w:hint="eastAsia" w:ascii="宋体" w:hAnsi="宋体" w:cs="宋体"/>
                <w:kern w:val="0"/>
                <w:sz w:val="20"/>
                <w:szCs w:val="20"/>
              </w:rPr>
              <w:t>2.触控技术：支持Windows系统中最大20点触控，Android系统中最大16点触控。</w:t>
            </w:r>
            <w:r>
              <w:rPr>
                <w:rFonts w:hint="eastAsia" w:ascii="宋体" w:hAnsi="宋体" w:cs="宋体"/>
                <w:kern w:val="0"/>
                <w:sz w:val="20"/>
                <w:szCs w:val="20"/>
              </w:rPr>
              <w:br w:type="textWrapping"/>
            </w:r>
            <w:r>
              <w:rPr>
                <w:rFonts w:hint="eastAsia" w:ascii="宋体" w:hAnsi="宋体" w:cs="宋体"/>
                <w:kern w:val="0"/>
                <w:sz w:val="20"/>
                <w:szCs w:val="20"/>
              </w:rPr>
              <w:t>3.显示尺寸：86英寸；显示比例16:9，可视角度≥178°，具备防眩光效果。贴合技术：0贴合。</w:t>
            </w:r>
            <w:r>
              <w:rPr>
                <w:rFonts w:hint="eastAsia" w:ascii="宋体" w:hAnsi="宋体" w:cs="宋体"/>
                <w:kern w:val="0"/>
                <w:sz w:val="20"/>
                <w:szCs w:val="20"/>
              </w:rPr>
              <w:br w:type="textWrapping"/>
            </w:r>
            <w:r>
              <w:rPr>
                <w:rFonts w:hint="eastAsia" w:ascii="宋体" w:hAnsi="宋体" w:cs="宋体"/>
                <w:kern w:val="0"/>
                <w:sz w:val="20"/>
                <w:szCs w:val="20"/>
              </w:rPr>
              <w:t>4.分辨率：3840×2160，4K极清。插值分辨率：32768×32768</w:t>
            </w:r>
            <w:r>
              <w:rPr>
                <w:rFonts w:hint="eastAsia" w:ascii="宋体" w:hAnsi="宋体" w:cs="宋体"/>
                <w:kern w:val="0"/>
                <w:sz w:val="20"/>
                <w:szCs w:val="20"/>
              </w:rPr>
              <w:br w:type="textWrapping"/>
            </w:r>
            <w:r>
              <w:rPr>
                <w:rFonts w:hint="eastAsia" w:ascii="宋体" w:hAnsi="宋体" w:cs="宋体"/>
                <w:kern w:val="0"/>
                <w:sz w:val="20"/>
                <w:szCs w:val="20"/>
              </w:rPr>
              <w:t>5.屏幕对比度≥1000：1，亮度：≥350cd/m²。</w:t>
            </w:r>
            <w:r>
              <w:rPr>
                <w:rFonts w:hint="eastAsia" w:ascii="宋体" w:hAnsi="宋体" w:cs="宋体"/>
                <w:kern w:val="0"/>
                <w:sz w:val="20"/>
                <w:szCs w:val="20"/>
              </w:rPr>
              <w:br w:type="textWrapping"/>
            </w:r>
            <w:r>
              <w:rPr>
                <w:rFonts w:hint="eastAsia" w:ascii="宋体" w:hAnsi="宋体" w:cs="宋体"/>
                <w:kern w:val="0"/>
                <w:sz w:val="20"/>
                <w:szCs w:val="20"/>
              </w:rPr>
              <w:t>6.屏幕采用单面喷涂AG+AF钢化玻璃，表面硬度≥8H</w:t>
            </w:r>
            <w:r>
              <w:rPr>
                <w:rFonts w:hint="eastAsia" w:ascii="宋体" w:hAnsi="宋体" w:cs="宋体"/>
                <w:kern w:val="0"/>
                <w:sz w:val="20"/>
                <w:szCs w:val="20"/>
              </w:rPr>
              <w:br w:type="textWrapping"/>
            </w:r>
            <w:r>
              <w:rPr>
                <w:rFonts w:hint="eastAsia" w:ascii="宋体" w:hAnsi="宋体" w:cs="宋体"/>
                <w:kern w:val="0"/>
                <w:sz w:val="20"/>
                <w:szCs w:val="20"/>
              </w:rPr>
              <w:t>7.智慧黑板触控玻璃具有CNAS认证测试机构出具的碎片状态（防飞溅）、耐热冲击性能、霰弹袋冲击性能、抗冲击性、表面应力、弯曲度检验报告</w:t>
            </w:r>
            <w:r>
              <w:rPr>
                <w:rFonts w:hint="eastAsia" w:ascii="宋体" w:hAnsi="宋体" w:cs="宋体"/>
                <w:kern w:val="0"/>
                <w:sz w:val="20"/>
                <w:szCs w:val="20"/>
              </w:rPr>
              <w:br w:type="textWrapping"/>
            </w:r>
            <w:r>
              <w:rPr>
                <w:rFonts w:hint="eastAsia" w:ascii="宋体" w:hAnsi="宋体" w:cs="宋体"/>
                <w:kern w:val="0"/>
                <w:sz w:val="20"/>
                <w:szCs w:val="20"/>
              </w:rPr>
              <w:t>8.智慧黑板触控玻璃外观质量、厚度偏差、厚薄差、尺寸偏差、对角线差、弯曲度、光学性能均符合国标要求</w:t>
            </w:r>
            <w:r>
              <w:rPr>
                <w:rFonts w:hint="eastAsia" w:ascii="宋体" w:hAnsi="宋体" w:cs="宋体"/>
                <w:kern w:val="0"/>
                <w:sz w:val="20"/>
                <w:szCs w:val="20"/>
              </w:rPr>
              <w:br w:type="textWrapping"/>
            </w:r>
            <w:r>
              <w:rPr>
                <w:rFonts w:hint="eastAsia" w:ascii="宋体" w:hAnsi="宋体" w:cs="宋体"/>
                <w:kern w:val="0"/>
                <w:sz w:val="20"/>
                <w:szCs w:val="20"/>
              </w:rPr>
              <w:t>9.智慧黑板触控玻璃具有抗磨特性</w:t>
            </w:r>
            <w:r>
              <w:rPr>
                <w:rFonts w:hint="eastAsia" w:ascii="宋体" w:hAnsi="宋体" w:cs="宋体"/>
                <w:kern w:val="0"/>
                <w:sz w:val="20"/>
                <w:szCs w:val="20"/>
              </w:rPr>
              <w:br w:type="textWrapping"/>
            </w:r>
            <w:r>
              <w:rPr>
                <w:rFonts w:hint="eastAsia" w:ascii="宋体" w:hAnsi="宋体" w:cs="宋体"/>
                <w:kern w:val="0"/>
                <w:sz w:val="20"/>
                <w:szCs w:val="20"/>
              </w:rPr>
              <w:t>10.蓝光检测结果为“无危险类”</w:t>
            </w:r>
            <w:r>
              <w:rPr>
                <w:rFonts w:hint="eastAsia" w:ascii="宋体" w:hAnsi="宋体" w:cs="宋体"/>
                <w:kern w:val="0"/>
                <w:sz w:val="20"/>
                <w:szCs w:val="20"/>
              </w:rPr>
              <w:br w:type="textWrapping"/>
            </w:r>
            <w:r>
              <w:rPr>
                <w:rFonts w:hint="eastAsia" w:ascii="宋体" w:hAnsi="宋体" w:cs="宋体"/>
                <w:kern w:val="0"/>
                <w:sz w:val="20"/>
                <w:szCs w:val="20"/>
              </w:rPr>
              <w:t>11.具备频闪检测结果为“无显著影响”</w:t>
            </w:r>
            <w:r>
              <w:rPr>
                <w:rFonts w:hint="eastAsia" w:ascii="宋体" w:hAnsi="宋体" w:cs="宋体"/>
                <w:kern w:val="0"/>
                <w:sz w:val="20"/>
                <w:szCs w:val="20"/>
              </w:rPr>
              <w:br w:type="textWrapping"/>
            </w:r>
            <w:r>
              <w:rPr>
                <w:rFonts w:hint="eastAsia" w:ascii="宋体" w:hAnsi="宋体" w:cs="宋体"/>
                <w:kern w:val="0"/>
                <w:sz w:val="20"/>
                <w:szCs w:val="20"/>
              </w:rPr>
              <w:t>12.整体外观尺寸：整机宽度≥4200mm ，整机高度≥1200mm ，黑板主体厚度≤90mm。</w:t>
            </w:r>
            <w:r>
              <w:rPr>
                <w:rFonts w:hint="eastAsia" w:ascii="宋体" w:hAnsi="宋体" w:cs="宋体"/>
                <w:kern w:val="0"/>
                <w:sz w:val="20"/>
                <w:szCs w:val="20"/>
              </w:rPr>
              <w:br w:type="textWrapping"/>
            </w:r>
            <w:r>
              <w:rPr>
                <w:rFonts w:hint="eastAsia" w:ascii="宋体" w:hAnsi="宋体" w:cs="宋体"/>
                <w:kern w:val="0"/>
                <w:sz w:val="20"/>
                <w:szCs w:val="20"/>
              </w:rPr>
              <w:t>13.积木式拼接：副黑板支持免工具拆卸。</w:t>
            </w:r>
            <w:r>
              <w:rPr>
                <w:rFonts w:hint="eastAsia" w:ascii="宋体" w:hAnsi="宋体" w:cs="宋体"/>
                <w:kern w:val="0"/>
                <w:sz w:val="20"/>
                <w:szCs w:val="20"/>
              </w:rPr>
              <w:br w:type="textWrapping"/>
            </w:r>
            <w:r>
              <w:rPr>
                <w:rFonts w:hint="eastAsia" w:ascii="宋体" w:hAnsi="宋体" w:cs="宋体"/>
                <w:kern w:val="0"/>
                <w:sz w:val="20"/>
                <w:szCs w:val="20"/>
              </w:rPr>
              <w:t>14.副黑板采用减重设计，两侧副黑板总重量≤21kg</w:t>
            </w:r>
            <w:r>
              <w:rPr>
                <w:rFonts w:hint="eastAsia" w:ascii="宋体" w:hAnsi="宋体" w:cs="宋体"/>
                <w:kern w:val="0"/>
                <w:sz w:val="20"/>
                <w:szCs w:val="20"/>
              </w:rPr>
              <w:br w:type="textWrapping"/>
            </w:r>
            <w:r>
              <w:rPr>
                <w:rFonts w:hint="eastAsia" w:ascii="宋体" w:hAnsi="宋体" w:cs="宋体"/>
                <w:kern w:val="0"/>
                <w:sz w:val="20"/>
                <w:szCs w:val="20"/>
              </w:rPr>
              <w:t>15.副黑板采用铝蜂窝板及喷涂表面，粉笔书写细腻，具备优秀的书写体验和磁吸特性。</w:t>
            </w:r>
            <w:r>
              <w:rPr>
                <w:rFonts w:hint="eastAsia" w:ascii="宋体" w:hAnsi="宋体" w:cs="宋体"/>
                <w:kern w:val="0"/>
                <w:sz w:val="20"/>
                <w:szCs w:val="20"/>
              </w:rPr>
              <w:br w:type="textWrapping"/>
            </w:r>
            <w:r>
              <w:rPr>
                <w:rFonts w:hint="eastAsia" w:ascii="宋体" w:hAnsi="宋体" w:cs="宋体"/>
                <w:kern w:val="0"/>
                <w:sz w:val="20"/>
                <w:szCs w:val="20"/>
              </w:rPr>
              <w:t>16.具备一体化笔槽可放置书写笔和普通粉笔等</w:t>
            </w:r>
            <w:r>
              <w:rPr>
                <w:rFonts w:hint="eastAsia" w:ascii="宋体" w:hAnsi="宋体" w:cs="宋体"/>
                <w:kern w:val="0"/>
                <w:sz w:val="20"/>
                <w:szCs w:val="20"/>
              </w:rPr>
              <w:br w:type="textWrapping"/>
            </w:r>
            <w:r>
              <w:rPr>
                <w:rFonts w:hint="eastAsia" w:ascii="宋体" w:hAnsi="宋体" w:cs="宋体"/>
                <w:kern w:val="0"/>
                <w:sz w:val="20"/>
                <w:szCs w:val="20"/>
              </w:rPr>
              <w:t>17.具备易安装分体式壁挂系统，内置水平仪</w:t>
            </w:r>
            <w:r>
              <w:rPr>
                <w:rFonts w:hint="eastAsia" w:ascii="宋体" w:hAnsi="宋体" w:cs="宋体"/>
                <w:kern w:val="0"/>
                <w:sz w:val="20"/>
                <w:szCs w:val="20"/>
              </w:rPr>
              <w:br w:type="textWrapping"/>
            </w:r>
            <w:r>
              <w:rPr>
                <w:rFonts w:hint="eastAsia" w:ascii="宋体" w:hAnsi="宋体" w:cs="宋体"/>
                <w:kern w:val="0"/>
                <w:sz w:val="20"/>
                <w:szCs w:val="20"/>
              </w:rPr>
              <w:t>18.整机具备抗振动、防跌落特性，保证整机运输或使用过程中不易受损。</w:t>
            </w:r>
            <w:r>
              <w:rPr>
                <w:rFonts w:hint="eastAsia" w:ascii="宋体" w:hAnsi="宋体" w:cs="宋体"/>
                <w:kern w:val="0"/>
                <w:sz w:val="20"/>
                <w:szCs w:val="20"/>
              </w:rPr>
              <w:br w:type="textWrapping"/>
            </w:r>
            <w:r>
              <w:rPr>
                <w:rFonts w:hint="eastAsia" w:ascii="宋体" w:hAnsi="宋体" w:cs="宋体"/>
                <w:kern w:val="0"/>
                <w:sz w:val="20"/>
                <w:szCs w:val="20"/>
              </w:rPr>
              <w:t>19.整机在0℃—40℃环境下可正常工作，在-20℃—60℃的环境下可正常贮存且贮存后功能无损。</w:t>
            </w:r>
            <w:r>
              <w:rPr>
                <w:rFonts w:hint="eastAsia" w:ascii="宋体" w:hAnsi="宋体" w:cs="宋体"/>
                <w:kern w:val="0"/>
                <w:sz w:val="20"/>
                <w:szCs w:val="20"/>
              </w:rPr>
              <w:br w:type="textWrapping"/>
            </w:r>
            <w:r>
              <w:rPr>
                <w:rFonts w:hint="eastAsia" w:ascii="宋体" w:hAnsi="宋体" w:cs="宋体"/>
                <w:kern w:val="0"/>
                <w:sz w:val="20"/>
                <w:szCs w:val="20"/>
              </w:rPr>
              <w:t>20.机身具备防盐雾锈蚀特性，且满足防火要求。</w:t>
            </w:r>
            <w:r>
              <w:rPr>
                <w:rFonts w:hint="eastAsia" w:ascii="宋体" w:hAnsi="宋体" w:cs="宋体"/>
                <w:kern w:val="0"/>
                <w:sz w:val="20"/>
                <w:szCs w:val="20"/>
              </w:rPr>
              <w:br w:type="textWrapping"/>
            </w:r>
            <w:r>
              <w:rPr>
                <w:rFonts w:hint="eastAsia" w:ascii="宋体" w:hAnsi="宋体" w:cs="宋体"/>
                <w:b/>
                <w:bCs/>
                <w:kern w:val="0"/>
                <w:sz w:val="20"/>
                <w:szCs w:val="20"/>
              </w:rPr>
              <w:t>21.为保障所投设备质量优异，可靠性高，要求所投设备平均故障间隔时间（MTBF）≥200000小时。</w:t>
            </w:r>
          </w:p>
          <w:p>
            <w:pPr>
              <w:widowControl/>
              <w:snapToGrid w:val="0"/>
              <w:jc w:val="left"/>
              <w:rPr>
                <w:rFonts w:ascii="宋体" w:hAnsi="宋体" w:cs="宋体"/>
                <w:kern w:val="0"/>
                <w:sz w:val="20"/>
                <w:szCs w:val="20"/>
              </w:rPr>
            </w:pPr>
            <w:r>
              <w:rPr>
                <w:rFonts w:hint="eastAsia" w:ascii="宋体" w:hAnsi="宋体" w:cs="宋体"/>
                <w:kern w:val="0"/>
                <w:sz w:val="20"/>
                <w:szCs w:val="20"/>
              </w:rPr>
              <w:t>22.具有静电放电、浪涌（冲击）检测合格报告、抗快速脉冲群干扰性能</w:t>
            </w:r>
            <w:r>
              <w:rPr>
                <w:rFonts w:hint="eastAsia" w:ascii="宋体" w:hAnsi="宋体" w:cs="宋体"/>
                <w:kern w:val="0"/>
                <w:sz w:val="20"/>
                <w:szCs w:val="20"/>
              </w:rPr>
              <w:br w:type="textWrapping"/>
            </w:r>
            <w:r>
              <w:rPr>
                <w:rFonts w:hint="eastAsia" w:ascii="宋体" w:hAnsi="宋体" w:cs="宋体"/>
                <w:kern w:val="0"/>
                <w:sz w:val="20"/>
                <w:szCs w:val="20"/>
              </w:rPr>
              <w:t>23.提供产品CCC证书</w:t>
            </w:r>
            <w:r>
              <w:rPr>
                <w:rFonts w:hint="eastAsia" w:ascii="宋体" w:hAnsi="宋体" w:cs="宋体"/>
                <w:kern w:val="0"/>
                <w:sz w:val="20"/>
                <w:szCs w:val="20"/>
              </w:rPr>
              <w:br w:type="textWrapping"/>
            </w:r>
            <w:r>
              <w:rPr>
                <w:rFonts w:hint="eastAsia" w:ascii="宋体" w:hAnsi="宋体" w:cs="宋体"/>
                <w:kern w:val="0"/>
                <w:sz w:val="20"/>
                <w:szCs w:val="20"/>
              </w:rPr>
              <w:t>24.提供中国节能产品认证证书</w:t>
            </w:r>
            <w:r>
              <w:rPr>
                <w:rFonts w:hint="eastAsia" w:ascii="宋体" w:hAnsi="宋体" w:cs="宋体"/>
                <w:kern w:val="0"/>
                <w:sz w:val="20"/>
                <w:szCs w:val="20"/>
              </w:rPr>
              <w:br w:type="textWrapping"/>
            </w:r>
            <w:r>
              <w:rPr>
                <w:rFonts w:hint="eastAsia" w:ascii="宋体" w:hAnsi="宋体" w:cs="宋体"/>
                <w:kern w:val="0"/>
                <w:sz w:val="20"/>
                <w:szCs w:val="20"/>
              </w:rPr>
              <w:t>25.自带扬声器≥2个，功率≥2*15W。</w:t>
            </w:r>
            <w:r>
              <w:rPr>
                <w:rFonts w:hint="eastAsia" w:ascii="宋体" w:hAnsi="宋体" w:cs="宋体"/>
                <w:kern w:val="0"/>
                <w:sz w:val="20"/>
                <w:szCs w:val="20"/>
              </w:rPr>
              <w:br w:type="textWrapping"/>
            </w:r>
            <w:r>
              <w:rPr>
                <w:rFonts w:hint="eastAsia" w:ascii="宋体" w:hAnsi="宋体" w:cs="宋体"/>
                <w:kern w:val="0"/>
                <w:sz w:val="20"/>
                <w:szCs w:val="20"/>
              </w:rPr>
              <w:t>26.主屏机身与插拔式电脑的接口为行业标准的80pin OPS-C接口，不接受企业私有接口。</w:t>
            </w:r>
            <w:r>
              <w:rPr>
                <w:rFonts w:hint="eastAsia" w:ascii="宋体" w:hAnsi="宋体" w:cs="宋体"/>
                <w:kern w:val="0"/>
                <w:sz w:val="20"/>
                <w:szCs w:val="20"/>
              </w:rPr>
              <w:br w:type="textWrapping"/>
            </w:r>
            <w:r>
              <w:rPr>
                <w:rFonts w:hint="eastAsia" w:ascii="宋体" w:hAnsi="宋体" w:cs="宋体"/>
                <w:kern w:val="0"/>
                <w:sz w:val="20"/>
                <w:szCs w:val="20"/>
              </w:rPr>
              <w:t>27.前置物理按键可唤起触控菜单。</w:t>
            </w:r>
            <w:r>
              <w:rPr>
                <w:rFonts w:hint="eastAsia" w:ascii="宋体" w:hAnsi="宋体" w:cs="宋体"/>
                <w:kern w:val="0"/>
                <w:sz w:val="20"/>
                <w:szCs w:val="20"/>
              </w:rPr>
              <w:br w:type="textWrapping"/>
            </w:r>
            <w:r>
              <w:rPr>
                <w:rFonts w:hint="eastAsia" w:ascii="宋体" w:hAnsi="宋体" w:cs="宋体"/>
                <w:kern w:val="0"/>
                <w:sz w:val="20"/>
                <w:szCs w:val="20"/>
              </w:rPr>
              <w:t>28.整机电视开关、电脑开关和节能待机键三合一，操作简单， 开关机时无需单独操作电视及电脑。</w:t>
            </w:r>
            <w:r>
              <w:rPr>
                <w:rFonts w:hint="eastAsia" w:ascii="宋体" w:hAnsi="宋体" w:cs="宋体"/>
                <w:kern w:val="0"/>
                <w:sz w:val="20"/>
                <w:szCs w:val="20"/>
              </w:rPr>
              <w:br w:type="textWrapping"/>
            </w:r>
            <w:r>
              <w:rPr>
                <w:rFonts w:hint="eastAsia" w:ascii="宋体" w:hAnsi="宋体" w:cs="宋体"/>
                <w:kern w:val="0"/>
                <w:sz w:val="20"/>
                <w:szCs w:val="20"/>
              </w:rPr>
              <w:t>29.整机前面板具备双通道USB接口≥3组，type-C接口≥1组，需同时支持Windows与Android。</w:t>
            </w:r>
            <w:r>
              <w:rPr>
                <w:rFonts w:hint="eastAsia" w:ascii="宋体" w:hAnsi="宋体" w:cs="宋体"/>
                <w:kern w:val="0"/>
                <w:sz w:val="20"/>
                <w:szCs w:val="20"/>
              </w:rPr>
              <w:br w:type="textWrapping"/>
            </w:r>
            <w:r>
              <w:rPr>
                <w:rFonts w:hint="eastAsia" w:ascii="宋体" w:hAnsi="宋体" w:cs="宋体"/>
                <w:kern w:val="0"/>
                <w:sz w:val="20"/>
                <w:szCs w:val="20"/>
              </w:rPr>
              <w:t>30.整机后置接口HDMI in≥2组，RS232≥1组，USB≥1组，Touch USB≥1组，Audio in≥1组，Audio out≥1组。</w:t>
            </w:r>
            <w:r>
              <w:rPr>
                <w:rFonts w:hint="eastAsia" w:ascii="宋体" w:hAnsi="宋体" w:cs="宋体"/>
                <w:kern w:val="0"/>
                <w:sz w:val="20"/>
                <w:szCs w:val="20"/>
              </w:rPr>
              <w:br w:type="textWrapping"/>
            </w:r>
            <w:r>
              <w:rPr>
                <w:rFonts w:hint="eastAsia" w:ascii="宋体" w:hAnsi="宋体" w:cs="宋体"/>
                <w:kern w:val="0"/>
                <w:sz w:val="20"/>
                <w:szCs w:val="20"/>
              </w:rPr>
              <w:t>31.整机内置非独立外扩展的摄像头，可拍摄不低于800万像素的照片。</w:t>
            </w:r>
            <w:r>
              <w:rPr>
                <w:rFonts w:hint="eastAsia" w:ascii="宋体" w:hAnsi="宋体" w:cs="宋体"/>
                <w:kern w:val="0"/>
                <w:sz w:val="20"/>
                <w:szCs w:val="20"/>
              </w:rPr>
              <w:br w:type="textWrapping"/>
            </w:r>
            <w:r>
              <w:rPr>
                <w:rFonts w:hint="eastAsia" w:ascii="宋体" w:hAnsi="宋体" w:cs="宋体"/>
                <w:kern w:val="0"/>
                <w:sz w:val="20"/>
                <w:szCs w:val="20"/>
              </w:rPr>
              <w:t>32.整机内置非独立外扩展的麦克风，可用于一键录屏对音频进行采集。</w:t>
            </w:r>
            <w:r>
              <w:rPr>
                <w:rFonts w:hint="eastAsia" w:ascii="宋体" w:hAnsi="宋体" w:cs="宋体"/>
                <w:kern w:val="0"/>
                <w:sz w:val="20"/>
                <w:szCs w:val="20"/>
              </w:rPr>
              <w:br w:type="textWrapping"/>
            </w:r>
            <w:r>
              <w:rPr>
                <w:rFonts w:hint="eastAsia" w:ascii="宋体" w:hAnsi="宋体" w:cs="宋体"/>
                <w:kern w:val="0"/>
                <w:sz w:val="20"/>
                <w:szCs w:val="20"/>
              </w:rPr>
              <w:t>33.大屏支持2.4G/5G双频wifi，支持802.11ac，并且支持释放热点。</w:t>
            </w:r>
            <w:r>
              <w:rPr>
                <w:rFonts w:hint="eastAsia" w:ascii="宋体" w:hAnsi="宋体" w:cs="宋体"/>
                <w:kern w:val="0"/>
                <w:sz w:val="20"/>
                <w:szCs w:val="20"/>
              </w:rPr>
              <w:br w:type="textWrapping"/>
            </w:r>
            <w:r>
              <w:rPr>
                <w:rFonts w:hint="eastAsia" w:ascii="宋体" w:hAnsi="宋体" w:cs="宋体"/>
                <w:kern w:val="0"/>
                <w:sz w:val="20"/>
                <w:szCs w:val="20"/>
              </w:rPr>
              <w:t>34.书写延迟时间需控制在50ms以内。</w:t>
            </w:r>
            <w:r>
              <w:rPr>
                <w:rFonts w:hint="eastAsia" w:ascii="宋体" w:hAnsi="宋体" w:cs="宋体"/>
                <w:kern w:val="0"/>
                <w:sz w:val="20"/>
                <w:szCs w:val="20"/>
              </w:rPr>
              <w:br w:type="textWrapping"/>
            </w:r>
            <w:r>
              <w:rPr>
                <w:rFonts w:hint="eastAsia" w:ascii="宋体" w:hAnsi="宋体" w:cs="宋体"/>
                <w:kern w:val="0"/>
                <w:sz w:val="20"/>
                <w:szCs w:val="20"/>
              </w:rPr>
              <w:t>35.整机具备自动调节屏幕亮度，此功能可自行开启或关闭。</w:t>
            </w:r>
            <w:r>
              <w:rPr>
                <w:rFonts w:hint="eastAsia" w:ascii="宋体" w:hAnsi="宋体" w:cs="宋体"/>
                <w:kern w:val="0"/>
                <w:sz w:val="20"/>
                <w:szCs w:val="20"/>
              </w:rPr>
              <w:br w:type="textWrapping"/>
            </w:r>
            <w:r>
              <w:rPr>
                <w:rFonts w:hint="eastAsia" w:ascii="宋体" w:hAnsi="宋体" w:cs="宋体"/>
                <w:kern w:val="0"/>
                <w:sz w:val="20"/>
                <w:szCs w:val="20"/>
              </w:rPr>
              <w:t>36.屏幕显示画面可通过手势交互实现任意大小缩放，且缩放画面支持拖动至任意位置，在缩放画面内可进行触控操作。</w:t>
            </w:r>
            <w:r>
              <w:rPr>
                <w:rFonts w:hint="eastAsia" w:ascii="宋体" w:hAnsi="宋体" w:cs="宋体"/>
                <w:kern w:val="0"/>
                <w:sz w:val="20"/>
                <w:szCs w:val="20"/>
              </w:rPr>
              <w:br w:type="textWrapping"/>
            </w:r>
            <w:r>
              <w:rPr>
                <w:rFonts w:hint="eastAsia" w:ascii="宋体" w:hAnsi="宋体" w:cs="宋体"/>
                <w:kern w:val="0"/>
                <w:sz w:val="20"/>
                <w:szCs w:val="20"/>
              </w:rPr>
              <w:t>37.整机可实时显示设备温度。</w:t>
            </w:r>
            <w:r>
              <w:rPr>
                <w:rFonts w:hint="eastAsia" w:ascii="宋体" w:hAnsi="宋体" w:cs="宋体"/>
                <w:kern w:val="0"/>
                <w:sz w:val="20"/>
                <w:szCs w:val="20"/>
              </w:rPr>
              <w:br w:type="textWrapping"/>
            </w:r>
            <w:r>
              <w:rPr>
                <w:rFonts w:hint="eastAsia" w:ascii="宋体" w:hAnsi="宋体" w:cs="宋体"/>
                <w:kern w:val="0"/>
                <w:sz w:val="20"/>
                <w:szCs w:val="20"/>
              </w:rPr>
              <w:t>38.触摸中控菜单上信号源名称支持自定义，支持中、英、数字、标点符号自定义。</w:t>
            </w:r>
            <w:r>
              <w:rPr>
                <w:rFonts w:hint="eastAsia" w:ascii="宋体" w:hAnsi="宋体" w:cs="宋体"/>
                <w:kern w:val="0"/>
                <w:sz w:val="20"/>
                <w:szCs w:val="20"/>
              </w:rPr>
              <w:br w:type="textWrapping"/>
            </w:r>
            <w:r>
              <w:rPr>
                <w:rFonts w:hint="eastAsia" w:ascii="宋体" w:hAnsi="宋体" w:cs="宋体"/>
                <w:kern w:val="0"/>
                <w:sz w:val="20"/>
                <w:szCs w:val="20"/>
              </w:rPr>
              <w:t>39.Windows XP、Windows 7、Windows 8、Windows 8.1、 Windows 10、Linux、Mac Os系统外置电脑操作系统接入时，无需安装触摸框驱动。</w:t>
            </w:r>
            <w:r>
              <w:rPr>
                <w:rFonts w:hint="eastAsia" w:ascii="宋体" w:hAnsi="宋体" w:cs="宋体"/>
                <w:kern w:val="0"/>
                <w:sz w:val="20"/>
                <w:szCs w:val="20"/>
              </w:rPr>
              <w:br w:type="textWrapping"/>
            </w:r>
            <w:r>
              <w:rPr>
                <w:rFonts w:hint="eastAsia" w:ascii="宋体" w:hAnsi="宋体" w:cs="宋体"/>
                <w:kern w:val="0"/>
                <w:sz w:val="20"/>
                <w:szCs w:val="20"/>
              </w:rPr>
              <w:t>40.整机在当前信号源10分钟内处于无信号接收状态时自动休眠。</w:t>
            </w:r>
            <w:r>
              <w:rPr>
                <w:rFonts w:hint="eastAsia" w:ascii="宋体" w:hAnsi="宋体" w:cs="宋体"/>
                <w:kern w:val="0"/>
                <w:sz w:val="20"/>
                <w:szCs w:val="20"/>
              </w:rPr>
              <w:br w:type="textWrapping"/>
            </w:r>
            <w:r>
              <w:rPr>
                <w:rFonts w:hint="eastAsia" w:ascii="宋体" w:hAnsi="宋体" w:cs="宋体"/>
                <w:kern w:val="0"/>
                <w:sz w:val="20"/>
                <w:szCs w:val="20"/>
              </w:rPr>
              <w:t>41.侧边栏栏应用：在Android、PC或其他通道下快捷调取白板、批注、截屏、设置等功能。</w:t>
            </w:r>
            <w:r>
              <w:rPr>
                <w:rFonts w:hint="eastAsia" w:ascii="宋体" w:hAnsi="宋体" w:cs="宋体"/>
                <w:kern w:val="0"/>
                <w:sz w:val="20"/>
                <w:szCs w:val="20"/>
              </w:rPr>
              <w:br w:type="textWrapping"/>
            </w:r>
            <w:r>
              <w:rPr>
                <w:rFonts w:hint="eastAsia" w:ascii="宋体" w:hAnsi="宋体" w:cs="宋体"/>
                <w:kern w:val="0"/>
                <w:sz w:val="20"/>
                <w:szCs w:val="20"/>
              </w:rPr>
              <w:t>42.屏幕侧边栏支持设置为正常显示和完全隐藏（无侧边栏箭头）模式。</w:t>
            </w:r>
            <w:r>
              <w:rPr>
                <w:rFonts w:hint="eastAsia" w:ascii="宋体" w:hAnsi="宋体" w:cs="宋体"/>
                <w:kern w:val="0"/>
                <w:sz w:val="20"/>
                <w:szCs w:val="20"/>
              </w:rPr>
              <w:br w:type="textWrapping"/>
            </w:r>
            <w:r>
              <w:rPr>
                <w:rFonts w:hint="eastAsia" w:ascii="宋体" w:hAnsi="宋体" w:cs="宋体"/>
                <w:kern w:val="0"/>
                <w:sz w:val="20"/>
                <w:szCs w:val="20"/>
              </w:rPr>
              <w:t>43.内置Android系统，系统版本Android8.0或以上，4核CPU，3G运行内存，16G系统存储空间。</w:t>
            </w:r>
            <w:r>
              <w:rPr>
                <w:rFonts w:hint="eastAsia" w:ascii="宋体" w:hAnsi="宋体" w:cs="宋体"/>
                <w:kern w:val="0"/>
                <w:sz w:val="20"/>
                <w:szCs w:val="20"/>
              </w:rPr>
              <w:br w:type="textWrapping"/>
            </w:r>
            <w:r>
              <w:rPr>
                <w:rFonts w:hint="eastAsia" w:ascii="宋体" w:hAnsi="宋体" w:cs="宋体"/>
                <w:kern w:val="0"/>
                <w:sz w:val="20"/>
                <w:szCs w:val="20"/>
              </w:rPr>
              <w:t>44.内置Android系统，白板软件支持分屏书写及手背擦除。</w:t>
            </w:r>
            <w:r>
              <w:rPr>
                <w:rFonts w:hint="eastAsia" w:ascii="宋体" w:hAnsi="宋体" w:cs="宋体"/>
                <w:kern w:val="0"/>
                <w:sz w:val="20"/>
                <w:szCs w:val="20"/>
              </w:rPr>
              <w:br w:type="textWrapping"/>
            </w:r>
            <w:r>
              <w:rPr>
                <w:rFonts w:hint="eastAsia" w:ascii="宋体" w:hAnsi="宋体" w:cs="宋体"/>
                <w:kern w:val="0"/>
                <w:sz w:val="20"/>
                <w:szCs w:val="20"/>
              </w:rPr>
              <w:t>45.产品提供三年保修期，保修期内免费上门安装、故障维修。</w:t>
            </w:r>
            <w:r>
              <w:rPr>
                <w:rFonts w:hint="eastAsia" w:ascii="宋体" w:hAnsi="宋体" w:cs="宋体"/>
                <w:kern w:val="0"/>
                <w:sz w:val="20"/>
                <w:szCs w:val="20"/>
              </w:rPr>
              <w:br w:type="textWrapping"/>
            </w:r>
            <w:r>
              <w:rPr>
                <w:rFonts w:hint="eastAsia" w:ascii="宋体" w:hAnsi="宋体" w:cs="宋体"/>
                <w:kern w:val="0"/>
                <w:sz w:val="20"/>
                <w:szCs w:val="20"/>
              </w:rPr>
              <w:t>46.提供10分钟售后故障响应，1小时故障排查，48小时故障修复服务。</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精品录播教室</w:t>
            </w:r>
          </w:p>
        </w:tc>
        <w:tc>
          <w:tcPr>
            <w:tcW w:w="1414" w:type="dxa"/>
            <w:noWrap w:val="0"/>
            <w:vAlign w:val="center"/>
          </w:tcPr>
          <w:p>
            <w:pPr>
              <w:widowControl/>
              <w:snapToGrid w:val="0"/>
              <w:rPr>
                <w:rFonts w:ascii="宋体" w:hAnsi="宋体" w:cs="宋体"/>
                <w:kern w:val="0"/>
                <w:sz w:val="20"/>
                <w:szCs w:val="20"/>
              </w:rPr>
            </w:pPr>
            <w:r>
              <w:rPr>
                <w:rFonts w:hint="eastAsia" w:ascii="宋体" w:hAnsi="宋体" w:cs="宋体"/>
                <w:kern w:val="0"/>
                <w:sz w:val="20"/>
                <w:szCs w:val="20"/>
                <w:lang w:bidi="ar"/>
              </w:rPr>
              <w:t>锐捷、海康威视、华三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24</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OPS-C插拔式电脑</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1、采用OPS-C模块化电脑方案</w:t>
            </w:r>
            <w:r>
              <w:rPr>
                <w:rFonts w:hint="eastAsia" w:ascii="宋体" w:hAnsi="宋体" w:cs="宋体"/>
                <w:kern w:val="0"/>
                <w:sz w:val="20"/>
                <w:szCs w:val="20"/>
              </w:rPr>
              <w:br w:type="textWrapping"/>
            </w:r>
            <w:r>
              <w:rPr>
                <w:rFonts w:hint="eastAsia" w:ascii="宋体" w:hAnsi="宋体" w:cs="宋体"/>
                <w:kern w:val="0"/>
                <w:sz w:val="20"/>
                <w:szCs w:val="20"/>
              </w:rPr>
              <w:t xml:space="preserve">2、接口严格遵循Intel相关规范,针脚数为标准80Pin </w:t>
            </w:r>
            <w:r>
              <w:rPr>
                <w:rFonts w:hint="eastAsia" w:ascii="宋体" w:hAnsi="宋体" w:cs="宋体"/>
                <w:kern w:val="0"/>
                <w:sz w:val="20"/>
                <w:szCs w:val="20"/>
              </w:rPr>
              <w:br w:type="textWrapping"/>
            </w:r>
            <w:r>
              <w:rPr>
                <w:rFonts w:hint="eastAsia" w:ascii="宋体" w:hAnsi="宋体" w:cs="宋体"/>
                <w:kern w:val="0"/>
                <w:sz w:val="20"/>
                <w:szCs w:val="20"/>
              </w:rPr>
              <w:t>3、搭载Intel酷睿系列i5 八代CPU；8G DDR4运行内存或以上；256GSSD固态硬盘或以上</w:t>
            </w:r>
            <w:r>
              <w:rPr>
                <w:rFonts w:hint="eastAsia" w:ascii="宋体" w:hAnsi="宋体" w:cs="宋体"/>
                <w:kern w:val="0"/>
                <w:sz w:val="20"/>
                <w:szCs w:val="20"/>
              </w:rPr>
              <w:br w:type="textWrapping"/>
            </w:r>
            <w:r>
              <w:rPr>
                <w:rFonts w:hint="eastAsia" w:ascii="宋体" w:hAnsi="宋体" w:cs="宋体"/>
                <w:kern w:val="0"/>
                <w:sz w:val="20"/>
                <w:szCs w:val="20"/>
              </w:rPr>
              <w:t>4、至少提供7个USB接口，其中至少4个为USB3.0接口，2个为USB2.0接口，1个Type-C接口</w:t>
            </w:r>
            <w:r>
              <w:rPr>
                <w:rFonts w:hint="eastAsia" w:ascii="宋体" w:hAnsi="宋体" w:cs="宋体"/>
                <w:kern w:val="0"/>
                <w:sz w:val="20"/>
                <w:szCs w:val="20"/>
              </w:rPr>
              <w:br w:type="textWrapping"/>
            </w:r>
            <w:r>
              <w:rPr>
                <w:rFonts w:hint="eastAsia" w:ascii="宋体" w:hAnsi="宋体" w:cs="宋体"/>
                <w:kern w:val="0"/>
                <w:sz w:val="20"/>
                <w:szCs w:val="20"/>
              </w:rPr>
              <w:t>5、视频输出接口：HDMI≥1个</w:t>
            </w:r>
            <w:r>
              <w:rPr>
                <w:rFonts w:hint="eastAsia" w:ascii="宋体" w:hAnsi="宋体" w:cs="宋体"/>
                <w:kern w:val="0"/>
                <w:sz w:val="20"/>
                <w:szCs w:val="20"/>
              </w:rPr>
              <w:br w:type="textWrapping"/>
            </w:r>
            <w:r>
              <w:rPr>
                <w:rFonts w:hint="eastAsia" w:ascii="宋体" w:hAnsi="宋体" w:cs="宋体"/>
                <w:kern w:val="0"/>
                <w:sz w:val="20"/>
                <w:szCs w:val="20"/>
              </w:rPr>
              <w:t>6、支持2.4G/5G双频wifi</w:t>
            </w:r>
            <w:r>
              <w:rPr>
                <w:rFonts w:hint="eastAsia" w:ascii="宋体" w:hAnsi="宋体" w:cs="宋体"/>
                <w:kern w:val="0"/>
                <w:sz w:val="20"/>
                <w:szCs w:val="20"/>
              </w:rPr>
              <w:br w:type="textWrapping"/>
            </w:r>
            <w:r>
              <w:rPr>
                <w:rFonts w:hint="eastAsia" w:ascii="宋体" w:hAnsi="宋体" w:cs="宋体"/>
                <w:kern w:val="0"/>
                <w:sz w:val="20"/>
                <w:szCs w:val="20"/>
              </w:rPr>
              <w:t>7、所投设备具备隐藏式Reset按钮，可实现重启复位功能</w:t>
            </w:r>
            <w:r>
              <w:rPr>
                <w:rFonts w:hint="eastAsia" w:ascii="宋体" w:hAnsi="宋体" w:cs="宋体"/>
                <w:kern w:val="0"/>
                <w:sz w:val="20"/>
                <w:szCs w:val="20"/>
              </w:rPr>
              <w:br w:type="textWrapping"/>
            </w:r>
            <w:r>
              <w:rPr>
                <w:rFonts w:hint="eastAsia" w:ascii="宋体" w:hAnsi="宋体" w:cs="宋体"/>
                <w:kern w:val="0"/>
                <w:sz w:val="20"/>
                <w:szCs w:val="20"/>
              </w:rPr>
              <w:t>8、为防止公共资源的丢失，要求所投设备具备防盗锁功能</w:t>
            </w:r>
            <w:r>
              <w:rPr>
                <w:rFonts w:hint="eastAsia" w:ascii="宋体" w:hAnsi="宋体" w:cs="宋体"/>
                <w:kern w:val="0"/>
                <w:sz w:val="20"/>
                <w:szCs w:val="20"/>
              </w:rPr>
              <w:br w:type="textWrapping"/>
            </w:r>
            <w:r>
              <w:rPr>
                <w:rFonts w:hint="eastAsia" w:ascii="宋体" w:hAnsi="宋体" w:cs="宋体"/>
                <w:kern w:val="0"/>
                <w:sz w:val="20"/>
                <w:szCs w:val="20"/>
              </w:rPr>
              <w:t>9、为保证兼容性，OPS与大屏必须为同一品牌。</w:t>
            </w:r>
            <w:r>
              <w:rPr>
                <w:rFonts w:hint="eastAsia" w:ascii="宋体" w:hAnsi="宋体" w:cs="宋体"/>
                <w:kern w:val="0"/>
                <w:sz w:val="20"/>
                <w:szCs w:val="20"/>
              </w:rPr>
              <w:br w:type="textWrapping"/>
            </w:r>
            <w:r>
              <w:rPr>
                <w:rFonts w:hint="eastAsia" w:ascii="宋体" w:hAnsi="宋体" w:cs="宋体"/>
                <w:kern w:val="0"/>
                <w:sz w:val="20"/>
                <w:szCs w:val="20"/>
              </w:rPr>
              <w:t>10、支持4k清晰度高清视频流畅解码播放，支持显示信号输出到4K显示器上；</w:t>
            </w:r>
            <w:r>
              <w:rPr>
                <w:rFonts w:hint="eastAsia" w:ascii="宋体" w:hAnsi="宋体" w:cs="宋体"/>
                <w:kern w:val="0"/>
                <w:sz w:val="20"/>
                <w:szCs w:val="20"/>
              </w:rPr>
              <w:br w:type="textWrapping"/>
            </w:r>
            <w:r>
              <w:rPr>
                <w:rFonts w:hint="eastAsia" w:ascii="宋体" w:hAnsi="宋体" w:cs="宋体"/>
                <w:kern w:val="0"/>
                <w:sz w:val="20"/>
                <w:szCs w:val="20"/>
              </w:rPr>
              <w:t>11、USB外设全兼容，如USB存储、Ukey、高拍仪、扫描仪等，均可识别兼容；</w:t>
            </w:r>
            <w:r>
              <w:rPr>
                <w:rFonts w:hint="eastAsia" w:ascii="宋体" w:hAnsi="宋体" w:cs="宋体"/>
                <w:kern w:val="0"/>
                <w:sz w:val="20"/>
                <w:szCs w:val="20"/>
              </w:rPr>
              <w:br w:type="textWrapping"/>
            </w:r>
            <w:r>
              <w:rPr>
                <w:rFonts w:hint="eastAsia" w:ascii="宋体" w:hAnsi="宋体" w:cs="宋体"/>
                <w:kern w:val="0"/>
                <w:sz w:val="20"/>
                <w:szCs w:val="20"/>
              </w:rPr>
              <w:t>12、为保障所投设备质量优异，可靠性高，要求所投设备平均故障间隔时间（MTBF）≥200000小时。</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精品录播教室</w:t>
            </w:r>
          </w:p>
        </w:tc>
        <w:tc>
          <w:tcPr>
            <w:tcW w:w="1414" w:type="dxa"/>
            <w:noWrap w:val="0"/>
            <w:vAlign w:val="center"/>
          </w:tcPr>
          <w:p>
            <w:pPr>
              <w:widowControl/>
              <w:snapToGrid w:val="0"/>
              <w:rPr>
                <w:rFonts w:ascii="宋体" w:hAnsi="宋体" w:cs="宋体"/>
                <w:kern w:val="0"/>
                <w:sz w:val="20"/>
                <w:szCs w:val="20"/>
              </w:rPr>
            </w:pPr>
            <w:r>
              <w:rPr>
                <w:rFonts w:hint="eastAsia" w:ascii="宋体" w:hAnsi="宋体" w:cs="宋体"/>
                <w:kern w:val="0"/>
                <w:sz w:val="20"/>
                <w:szCs w:val="20"/>
                <w:lang w:bidi="ar"/>
              </w:rPr>
              <w:t>锐捷、华为、华三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25</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智慧黑板线材包</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该组合包括：USBA-A数据信号延长线RG-USBAA-HX10MS *1  ；  USBA-B数据信号延长线RG-USBAB-HX10MS*1 ；  音视频传输线RG-HDMI-WXK10M*2  ；  通信线RG-SC232-HX10M*1</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精品录播教室</w:t>
            </w:r>
          </w:p>
        </w:tc>
        <w:tc>
          <w:tcPr>
            <w:tcW w:w="1414" w:type="dxa"/>
            <w:noWrap w:val="0"/>
            <w:vAlign w:val="center"/>
          </w:tcPr>
          <w:p>
            <w:pPr>
              <w:widowControl/>
              <w:snapToGrid w:val="0"/>
              <w:rPr>
                <w:rFonts w:ascii="宋体" w:hAnsi="宋体" w:cs="宋体"/>
                <w:kern w:val="0"/>
                <w:sz w:val="20"/>
                <w:szCs w:val="20"/>
              </w:rPr>
            </w:pPr>
            <w:r>
              <w:rPr>
                <w:rFonts w:hint="eastAsia" w:ascii="宋体" w:hAnsi="宋体" w:cs="宋体"/>
                <w:kern w:val="0"/>
                <w:sz w:val="20"/>
                <w:szCs w:val="20"/>
                <w:lang w:bidi="ar"/>
              </w:rPr>
              <w:t>绿联、秋叶原、山泽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26</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移动桌椅</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双人：L（1400-1600）×W(600-700)×H750mm；颜色尺寸均支持定制</w:t>
            </w:r>
            <w:r>
              <w:rPr>
                <w:rFonts w:hint="eastAsia" w:ascii="宋体" w:hAnsi="宋体" w:cs="宋体"/>
                <w:kern w:val="0"/>
                <w:sz w:val="20"/>
                <w:szCs w:val="20"/>
              </w:rPr>
              <w:br w:type="textWrapping"/>
            </w:r>
            <w:r>
              <w:rPr>
                <w:rFonts w:hint="eastAsia" w:ascii="宋体" w:hAnsi="宋体" w:cs="宋体"/>
                <w:kern w:val="0"/>
                <w:sz w:val="20"/>
                <w:szCs w:val="20"/>
              </w:rPr>
              <w:t>一、翻转电脑桌产品材质</w:t>
            </w:r>
            <w:r>
              <w:rPr>
                <w:rFonts w:hint="eastAsia" w:ascii="宋体" w:hAnsi="宋体" w:cs="宋体"/>
                <w:kern w:val="0"/>
                <w:sz w:val="20"/>
                <w:szCs w:val="20"/>
              </w:rPr>
              <w:br w:type="textWrapping"/>
            </w:r>
            <w:r>
              <w:rPr>
                <w:rFonts w:hint="eastAsia" w:ascii="宋体" w:hAnsi="宋体" w:cs="宋体"/>
                <w:kern w:val="0"/>
                <w:sz w:val="20"/>
                <w:szCs w:val="20"/>
              </w:rPr>
              <w:t>1：桌面采用25毫米优质防火板，前鸭嘴后圆边造型（两侧材质为PVC封边），面材采用优质环保防火板饰面，表面耐酸缄、防火防潮、耐划伤、花色多、台面韧性好；桌面基材选用*环保型高密度板*,甲醛释放达到国家E1级环保要求，多种颜色可选。</w:t>
            </w:r>
            <w:r>
              <w:rPr>
                <w:rFonts w:hint="eastAsia" w:ascii="宋体" w:hAnsi="宋体" w:cs="宋体"/>
                <w:kern w:val="0"/>
                <w:sz w:val="20"/>
                <w:szCs w:val="20"/>
              </w:rPr>
              <w:br w:type="textWrapping"/>
            </w:r>
            <w:r>
              <w:rPr>
                <w:rFonts w:hint="eastAsia" w:ascii="宋体" w:hAnsi="宋体" w:cs="宋体"/>
                <w:kern w:val="0"/>
                <w:sz w:val="20"/>
                <w:szCs w:val="20"/>
              </w:rPr>
              <w:t>2：液晶屏翻转器说明：翻转器采用冷轧钢板材料，钢板厚度1.2毫米，采用全自动激光切割机、数控机床裁板，二氧化碳保护焊工艺制作，表面经酸洗、磷化防腐防锈处理后静电喷塑，翻转器颜色：闪光银色。</w:t>
            </w:r>
            <w:r>
              <w:rPr>
                <w:rFonts w:hint="eastAsia" w:ascii="宋体" w:hAnsi="宋体" w:cs="宋体"/>
                <w:kern w:val="0"/>
                <w:sz w:val="20"/>
                <w:szCs w:val="20"/>
              </w:rPr>
              <w:br w:type="textWrapping"/>
            </w:r>
            <w:r>
              <w:rPr>
                <w:rFonts w:hint="eastAsia" w:ascii="宋体" w:hAnsi="宋体" w:cs="宋体"/>
                <w:kern w:val="0"/>
                <w:sz w:val="20"/>
                <w:szCs w:val="20"/>
              </w:rPr>
              <w:t>上面为弹舌拉手，下面为钥匙，实行双重制动。</w:t>
            </w:r>
            <w:r>
              <w:rPr>
                <w:rFonts w:hint="eastAsia" w:ascii="宋体" w:hAnsi="宋体" w:cs="宋体"/>
                <w:kern w:val="0"/>
                <w:sz w:val="20"/>
                <w:szCs w:val="20"/>
              </w:rPr>
              <w:br w:type="textWrapping"/>
            </w:r>
            <w:r>
              <w:rPr>
                <w:rFonts w:hint="eastAsia" w:ascii="宋体" w:hAnsi="宋体" w:cs="宋体"/>
                <w:kern w:val="0"/>
                <w:sz w:val="20"/>
                <w:szCs w:val="20"/>
              </w:rPr>
              <w:t>采用特制大阻力气压杆，阻尼缓冲效果，防止快速回弹，损坏显示器和给使用者造成伤害，配减速减震阻尼装置，翻转过程中噪音小，轻便顺畅，安全性高。能隐藏液晶屏显示器，笔记本电脑，一体机的同时还可以隐藏键盘和鼠标，并且配有单独放鼠标的鼠标槽，一体机翻起后直立于桌面，键盘鼠标同时升起与桌面平齐，使用说明：1、打开时把自锁钮向外拉即可；2、关闭时只要把机箱盖压下,注意事项：本机箱配有气杆，当开启自锁钮，液晶屏安装板自动翻转，用户切不可将手放入液晶屏安装板后间的缝隙内，以免损坏；请不要把身体的任何部位放在台面上，避免打伤。</w:t>
            </w:r>
            <w:r>
              <w:rPr>
                <w:rFonts w:hint="eastAsia" w:ascii="宋体" w:hAnsi="宋体" w:cs="宋体"/>
                <w:kern w:val="0"/>
                <w:sz w:val="20"/>
                <w:szCs w:val="20"/>
              </w:rPr>
              <w:br w:type="textWrapping"/>
            </w:r>
            <w:r>
              <w:rPr>
                <w:rFonts w:hint="eastAsia" w:ascii="宋体" w:hAnsi="宋体" w:cs="宋体"/>
                <w:kern w:val="0"/>
                <w:sz w:val="20"/>
                <w:szCs w:val="20"/>
              </w:rPr>
              <w:t>3：桌体桌面前沿支撑骨架采用20*30mm钢管，壁厚大于2mm，表面经酸洗、磷化防腐防锈处理后静电喷塑。</w:t>
            </w:r>
            <w:r>
              <w:rPr>
                <w:rFonts w:hint="eastAsia" w:ascii="宋体" w:hAnsi="宋体" w:cs="宋体"/>
                <w:kern w:val="0"/>
                <w:sz w:val="20"/>
                <w:szCs w:val="20"/>
              </w:rPr>
              <w:br w:type="textWrapping"/>
            </w:r>
            <w:r>
              <w:rPr>
                <w:rFonts w:hint="eastAsia" w:ascii="宋体" w:hAnsi="宋体" w:cs="宋体"/>
                <w:kern w:val="0"/>
                <w:sz w:val="20"/>
                <w:szCs w:val="20"/>
              </w:rPr>
              <w:t>4：桌腿采用1.0mm厚优质冷轧钢板，全钢一体成型U形设计，双层钢板结构，桌腿宽度60mm，厚度15mm，高度725mm，中间加固梁长度180mm，宽度60mm，外侧精美冲孔设计，增加美观度，内侧留有走线孔，可将线束隐藏，通过桌腿内部后与主机或电源连接。桌脚配有尼龙支撑脚，可旋转调节高低，调整桌子稳定性，防滑耐用。电脑桌可选配独立主机托盘。</w:t>
            </w:r>
            <w:r>
              <w:rPr>
                <w:rFonts w:hint="eastAsia" w:ascii="宋体" w:hAnsi="宋体" w:cs="宋体"/>
                <w:kern w:val="0"/>
                <w:sz w:val="20"/>
                <w:szCs w:val="20"/>
              </w:rPr>
              <w:br w:type="textWrapping"/>
            </w:r>
            <w:r>
              <w:rPr>
                <w:rFonts w:hint="eastAsia" w:ascii="宋体" w:hAnsi="宋体" w:cs="宋体"/>
                <w:kern w:val="0"/>
                <w:sz w:val="20"/>
                <w:szCs w:val="20"/>
              </w:rPr>
              <w:t>背板为冷轧钢板，配有精美装饰孔，与两桌腿连接，增强了桌子的牢固程度。</w:t>
            </w:r>
            <w:r>
              <w:rPr>
                <w:rFonts w:hint="eastAsia" w:ascii="宋体" w:hAnsi="宋体" w:cs="宋体"/>
                <w:kern w:val="0"/>
                <w:sz w:val="20"/>
                <w:szCs w:val="20"/>
              </w:rPr>
              <w:br w:type="textWrapping"/>
            </w:r>
            <w:r>
              <w:rPr>
                <w:rFonts w:hint="eastAsia" w:ascii="宋体" w:hAnsi="宋体" w:cs="宋体"/>
                <w:kern w:val="0"/>
                <w:sz w:val="20"/>
                <w:szCs w:val="20"/>
              </w:rPr>
              <w:t>整体材质克服了木制电脑桌散热差，不防火,不牢固,不防盗的缺点。工艺精湛，高贵大方。整体结构为活动件，拆卸方便。</w:t>
            </w:r>
            <w:r>
              <w:rPr>
                <w:rFonts w:hint="eastAsia" w:ascii="宋体" w:hAnsi="宋体" w:cs="宋体"/>
                <w:kern w:val="0"/>
                <w:sz w:val="20"/>
                <w:szCs w:val="20"/>
              </w:rPr>
              <w:br w:type="textWrapping"/>
            </w:r>
            <w:r>
              <w:rPr>
                <w:rFonts w:hint="eastAsia" w:ascii="宋体" w:hAnsi="宋体" w:cs="宋体"/>
                <w:kern w:val="0"/>
                <w:sz w:val="20"/>
                <w:szCs w:val="20"/>
              </w:rPr>
              <w:t>整体造型设计以人为本，边角圆弧。</w:t>
            </w:r>
            <w:r>
              <w:rPr>
                <w:rFonts w:hint="eastAsia" w:ascii="宋体" w:hAnsi="宋体" w:cs="宋体"/>
                <w:kern w:val="0"/>
                <w:sz w:val="20"/>
                <w:szCs w:val="20"/>
              </w:rPr>
              <w:br w:type="textWrapping"/>
            </w:r>
            <w:r>
              <w:rPr>
                <w:rFonts w:hint="eastAsia" w:ascii="宋体" w:hAnsi="宋体" w:cs="宋体"/>
                <w:kern w:val="0"/>
                <w:sz w:val="20"/>
                <w:szCs w:val="20"/>
              </w:rPr>
              <w:t>二、翻转电脑桌产品规格：</w:t>
            </w:r>
            <w:r>
              <w:rPr>
                <w:rFonts w:hint="eastAsia" w:ascii="宋体" w:hAnsi="宋体" w:cs="宋体"/>
                <w:kern w:val="0"/>
                <w:sz w:val="20"/>
                <w:szCs w:val="20"/>
              </w:rPr>
              <w:br w:type="textWrapping"/>
            </w:r>
            <w:r>
              <w:rPr>
                <w:rFonts w:hint="eastAsia" w:ascii="宋体" w:hAnsi="宋体" w:cs="宋体"/>
                <w:kern w:val="0"/>
                <w:sz w:val="20"/>
                <w:szCs w:val="20"/>
              </w:rPr>
              <w:t>1、安装液晶屏尺寸：19.5英寸（背面有安装孔）；</w:t>
            </w:r>
            <w:r>
              <w:rPr>
                <w:rFonts w:hint="eastAsia" w:ascii="宋体" w:hAnsi="宋体" w:cs="宋体"/>
                <w:kern w:val="0"/>
                <w:sz w:val="20"/>
                <w:szCs w:val="20"/>
              </w:rPr>
              <w:br w:type="textWrapping"/>
            </w:r>
            <w:r>
              <w:rPr>
                <w:rFonts w:hint="eastAsia" w:ascii="宋体" w:hAnsi="宋体" w:cs="宋体"/>
                <w:kern w:val="0"/>
                <w:sz w:val="20"/>
                <w:szCs w:val="20"/>
              </w:rPr>
              <w:t>2、两脚内部间距：146MM；</w:t>
            </w:r>
            <w:r>
              <w:rPr>
                <w:rFonts w:hint="eastAsia" w:ascii="宋体" w:hAnsi="宋体" w:cs="宋体"/>
                <w:kern w:val="0"/>
                <w:sz w:val="20"/>
                <w:szCs w:val="20"/>
              </w:rPr>
              <w:br w:type="textWrapping"/>
            </w:r>
            <w:r>
              <w:rPr>
                <w:rFonts w:hint="eastAsia" w:ascii="宋体" w:hAnsi="宋体" w:cs="宋体"/>
                <w:kern w:val="0"/>
                <w:sz w:val="20"/>
                <w:szCs w:val="20"/>
              </w:rPr>
              <w:t>3、颜色：可订做；</w:t>
            </w:r>
            <w:r>
              <w:rPr>
                <w:rFonts w:hint="eastAsia" w:ascii="宋体" w:hAnsi="宋体" w:cs="宋体"/>
                <w:kern w:val="0"/>
                <w:sz w:val="20"/>
                <w:szCs w:val="20"/>
              </w:rPr>
              <w:br w:type="textWrapping"/>
            </w:r>
            <w:r>
              <w:rPr>
                <w:rFonts w:hint="eastAsia" w:ascii="宋体" w:hAnsi="宋体" w:cs="宋体"/>
                <w:kern w:val="0"/>
                <w:sz w:val="20"/>
                <w:szCs w:val="20"/>
              </w:rPr>
              <w:t>三、自身特点</w:t>
            </w:r>
            <w:r>
              <w:rPr>
                <w:rFonts w:hint="eastAsia" w:ascii="宋体" w:hAnsi="宋体" w:cs="宋体"/>
                <w:kern w:val="0"/>
                <w:sz w:val="20"/>
                <w:szCs w:val="20"/>
              </w:rPr>
              <w:br w:type="textWrapping"/>
            </w:r>
            <w:r>
              <w:rPr>
                <w:rFonts w:hint="eastAsia" w:ascii="宋体" w:hAnsi="宋体" w:cs="宋体"/>
                <w:kern w:val="0"/>
                <w:sz w:val="20"/>
                <w:szCs w:val="20"/>
              </w:rPr>
              <w:t>1、手动控制、翻转自如、外形美观； </w:t>
            </w:r>
            <w:r>
              <w:rPr>
                <w:rFonts w:hint="eastAsia" w:ascii="宋体" w:hAnsi="宋体" w:cs="宋体"/>
                <w:kern w:val="0"/>
                <w:sz w:val="20"/>
                <w:szCs w:val="20"/>
              </w:rPr>
              <w:br w:type="textWrapping"/>
            </w:r>
            <w:r>
              <w:rPr>
                <w:rFonts w:hint="eastAsia" w:ascii="宋体" w:hAnsi="宋体" w:cs="宋体"/>
                <w:kern w:val="0"/>
                <w:sz w:val="20"/>
                <w:szCs w:val="20"/>
              </w:rPr>
              <w:t>2、气动翻转、稳定性好； </w:t>
            </w:r>
            <w:r>
              <w:rPr>
                <w:rFonts w:hint="eastAsia" w:ascii="宋体" w:hAnsi="宋体" w:cs="宋体"/>
                <w:kern w:val="0"/>
                <w:sz w:val="20"/>
                <w:szCs w:val="20"/>
              </w:rPr>
              <w:br w:type="textWrapping"/>
            </w:r>
            <w:r>
              <w:rPr>
                <w:rFonts w:hint="eastAsia" w:ascii="宋体" w:hAnsi="宋体" w:cs="宋体"/>
                <w:kern w:val="0"/>
                <w:sz w:val="20"/>
                <w:szCs w:val="20"/>
              </w:rPr>
              <w:t>3、安装方便、操作简单；</w:t>
            </w:r>
            <w:r>
              <w:rPr>
                <w:rFonts w:hint="eastAsia" w:ascii="宋体" w:hAnsi="宋体" w:cs="宋体"/>
                <w:kern w:val="0"/>
                <w:sz w:val="20"/>
                <w:szCs w:val="20"/>
              </w:rPr>
              <w:br w:type="textWrapping"/>
            </w:r>
            <w:r>
              <w:rPr>
                <w:rFonts w:hint="eastAsia" w:ascii="宋体" w:hAnsi="宋体" w:cs="宋体"/>
                <w:kern w:val="0"/>
                <w:sz w:val="20"/>
                <w:szCs w:val="20"/>
              </w:rPr>
              <w:t>4、颜色：可订做；</w:t>
            </w:r>
            <w:r>
              <w:rPr>
                <w:rFonts w:hint="eastAsia" w:ascii="宋体" w:hAnsi="宋体" w:cs="宋体"/>
                <w:kern w:val="0"/>
                <w:sz w:val="20"/>
                <w:szCs w:val="20"/>
              </w:rPr>
              <w:br w:type="textWrapping"/>
            </w:r>
            <w:r>
              <w:rPr>
                <w:rFonts w:hint="eastAsia" w:ascii="宋体" w:hAnsi="宋体" w:cs="宋体"/>
                <w:kern w:val="0"/>
                <w:sz w:val="20"/>
                <w:szCs w:val="20"/>
              </w:rPr>
              <w:t>5、锁孔位置：机箱台面左下角孔为锁的安装孔；</w:t>
            </w:r>
            <w:r>
              <w:rPr>
                <w:rFonts w:hint="eastAsia" w:ascii="宋体" w:hAnsi="宋体" w:cs="宋体"/>
                <w:kern w:val="0"/>
                <w:sz w:val="20"/>
                <w:szCs w:val="20"/>
              </w:rPr>
              <w:br w:type="textWrapping"/>
            </w:r>
            <w:r>
              <w:rPr>
                <w:rFonts w:hint="eastAsia" w:ascii="宋体" w:hAnsi="宋体" w:cs="宋体"/>
                <w:kern w:val="0"/>
                <w:sz w:val="20"/>
                <w:szCs w:val="20"/>
              </w:rPr>
              <w:t>6、电脑桌约重：40Kg；</w:t>
            </w:r>
            <w:r>
              <w:rPr>
                <w:rFonts w:hint="eastAsia" w:ascii="宋体" w:hAnsi="宋体" w:cs="宋体"/>
                <w:kern w:val="0"/>
                <w:sz w:val="20"/>
                <w:szCs w:val="20"/>
              </w:rPr>
              <w:br w:type="textWrapping"/>
            </w:r>
            <w:r>
              <w:rPr>
                <w:rFonts w:hint="eastAsia" w:ascii="宋体" w:hAnsi="宋体" w:cs="宋体"/>
                <w:kern w:val="0"/>
                <w:sz w:val="20"/>
                <w:szCs w:val="20"/>
              </w:rPr>
              <w:t>7、机箱可承载重量：15Kg。</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50</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个</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精品录播教室</w:t>
            </w:r>
          </w:p>
        </w:tc>
        <w:tc>
          <w:tcPr>
            <w:tcW w:w="1414" w:type="dxa"/>
            <w:noWrap w:val="0"/>
            <w:vAlign w:val="center"/>
          </w:tcPr>
          <w:p>
            <w:pPr>
              <w:widowControl/>
              <w:snapToGrid w:val="0"/>
              <w:rPr>
                <w:rFonts w:ascii="宋体" w:hAnsi="宋体" w:cs="宋体"/>
                <w:kern w:val="0"/>
                <w:sz w:val="20"/>
                <w:szCs w:val="20"/>
              </w:rPr>
            </w:pPr>
            <w:r>
              <w:rPr>
                <w:rFonts w:hint="eastAsia" w:ascii="宋体" w:hAnsi="宋体" w:cs="宋体"/>
                <w:kern w:val="0"/>
                <w:sz w:val="20"/>
                <w:szCs w:val="20"/>
                <w:lang w:bidi="ar"/>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27</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移动讲台</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桌板面积至少达到65*45cm</w:t>
            </w:r>
            <w:r>
              <w:rPr>
                <w:rFonts w:hint="eastAsia" w:ascii="宋体" w:hAnsi="宋体" w:cs="宋体"/>
                <w:kern w:val="0"/>
                <w:sz w:val="20"/>
                <w:szCs w:val="20"/>
              </w:rPr>
              <w:br w:type="textWrapping"/>
            </w:r>
            <w:r>
              <w:rPr>
                <w:rFonts w:hint="eastAsia" w:ascii="宋体" w:hAnsi="宋体" w:cs="宋体"/>
                <w:kern w:val="0"/>
                <w:sz w:val="20"/>
                <w:szCs w:val="20"/>
              </w:rPr>
              <w:t>桌板高低可调节，易调节（气压杆机构）,升降阻尼效果顺滑。</w:t>
            </w:r>
            <w:r>
              <w:rPr>
                <w:rFonts w:hint="eastAsia" w:ascii="宋体" w:hAnsi="宋体" w:cs="宋体"/>
                <w:kern w:val="0"/>
                <w:sz w:val="20"/>
                <w:szCs w:val="20"/>
              </w:rPr>
              <w:br w:type="textWrapping"/>
            </w:r>
            <w:r>
              <w:rPr>
                <w:rFonts w:hint="eastAsia" w:ascii="宋体" w:hAnsi="宋体" w:cs="宋体"/>
                <w:kern w:val="0"/>
                <w:sz w:val="20"/>
                <w:szCs w:val="20"/>
              </w:rPr>
              <w:t>脚架稳定，给移动讲台整体提供稳定靠下的重心，且在空间上不阻挡教师腿部空间</w:t>
            </w:r>
            <w:r>
              <w:rPr>
                <w:rFonts w:hint="eastAsia" w:ascii="宋体" w:hAnsi="宋体" w:cs="宋体"/>
                <w:kern w:val="0"/>
                <w:sz w:val="20"/>
                <w:szCs w:val="20"/>
              </w:rPr>
              <w:br w:type="textWrapping"/>
            </w:r>
            <w:r>
              <w:rPr>
                <w:rFonts w:hint="eastAsia" w:ascii="宋体" w:hAnsi="宋体" w:cs="宋体"/>
                <w:kern w:val="0"/>
                <w:sz w:val="20"/>
                <w:szCs w:val="20"/>
              </w:rPr>
              <w:t>滚轮静音，同时可提供锁定功能</w:t>
            </w:r>
            <w:r>
              <w:rPr>
                <w:rFonts w:hint="eastAsia" w:ascii="宋体" w:hAnsi="宋体" w:cs="宋体"/>
                <w:kern w:val="0"/>
                <w:sz w:val="20"/>
                <w:szCs w:val="20"/>
              </w:rPr>
              <w:br w:type="textWrapping"/>
            </w:r>
            <w:r>
              <w:rPr>
                <w:rFonts w:hint="eastAsia" w:ascii="宋体" w:hAnsi="宋体" w:cs="宋体"/>
                <w:kern w:val="0"/>
                <w:sz w:val="20"/>
                <w:szCs w:val="20"/>
              </w:rPr>
              <w:t>移动讲台提供用户推拉产品的把手</w:t>
            </w:r>
            <w:r>
              <w:rPr>
                <w:rFonts w:hint="eastAsia" w:ascii="宋体" w:hAnsi="宋体" w:cs="宋体"/>
                <w:kern w:val="0"/>
                <w:sz w:val="20"/>
                <w:szCs w:val="20"/>
              </w:rPr>
              <w:br w:type="textWrapping"/>
            </w:r>
            <w:r>
              <w:rPr>
                <w:rFonts w:hint="eastAsia" w:ascii="宋体" w:hAnsi="宋体" w:cs="宋体"/>
                <w:kern w:val="0"/>
                <w:sz w:val="20"/>
                <w:szCs w:val="20"/>
              </w:rPr>
              <w:t>桌板承重：大于4kg</w:t>
            </w:r>
            <w:r>
              <w:rPr>
                <w:rFonts w:hint="eastAsia" w:ascii="宋体" w:hAnsi="宋体" w:cs="宋体"/>
                <w:kern w:val="0"/>
                <w:sz w:val="20"/>
                <w:szCs w:val="20"/>
              </w:rPr>
              <w:br w:type="textWrapping"/>
            </w:r>
            <w:r>
              <w:rPr>
                <w:rFonts w:hint="eastAsia" w:ascii="宋体" w:hAnsi="宋体" w:cs="宋体"/>
                <w:kern w:val="0"/>
                <w:sz w:val="20"/>
                <w:szCs w:val="20"/>
              </w:rPr>
              <w:t>移动水平旋转自由度：0-360°</w:t>
            </w:r>
            <w:r>
              <w:rPr>
                <w:rFonts w:hint="eastAsia" w:ascii="宋体" w:hAnsi="宋体" w:cs="宋体"/>
                <w:kern w:val="0"/>
                <w:sz w:val="20"/>
                <w:szCs w:val="20"/>
              </w:rPr>
              <w:br w:type="textWrapping"/>
            </w:r>
            <w:r>
              <w:rPr>
                <w:rFonts w:hint="eastAsia" w:ascii="宋体" w:hAnsi="宋体" w:cs="宋体"/>
                <w:kern w:val="0"/>
                <w:sz w:val="20"/>
                <w:szCs w:val="20"/>
              </w:rPr>
              <w:t>面板材料：高密度板材；表面工艺：静电喷塑（MDF）</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个</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精品录播教室</w:t>
            </w:r>
          </w:p>
        </w:tc>
        <w:tc>
          <w:tcPr>
            <w:tcW w:w="1414" w:type="dxa"/>
            <w:noWrap w:val="0"/>
            <w:vAlign w:val="center"/>
          </w:tcPr>
          <w:p>
            <w:pPr>
              <w:widowControl/>
              <w:snapToGrid w:val="0"/>
              <w:rPr>
                <w:rFonts w:ascii="宋体" w:hAnsi="宋体" w:cs="宋体"/>
                <w:kern w:val="0"/>
                <w:sz w:val="20"/>
                <w:szCs w:val="20"/>
              </w:rPr>
            </w:pPr>
            <w:r>
              <w:rPr>
                <w:rFonts w:hint="eastAsia" w:ascii="宋体" w:hAnsi="宋体" w:cs="宋体"/>
                <w:kern w:val="0"/>
                <w:sz w:val="20"/>
                <w:szCs w:val="20"/>
                <w:lang w:bidi="ar"/>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28</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教师跟踪摄像机</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采用1/2.8英寸传感器, 有效像素 ≥846万</w:t>
            </w:r>
            <w:r>
              <w:rPr>
                <w:rFonts w:hint="eastAsia" w:ascii="宋体" w:hAnsi="宋体" w:cs="宋体"/>
                <w:kern w:val="0"/>
                <w:sz w:val="20"/>
                <w:szCs w:val="20"/>
              </w:rPr>
              <w:br w:type="textWrapping"/>
            </w:r>
            <w:r>
              <w:rPr>
                <w:rFonts w:hint="eastAsia" w:ascii="宋体" w:hAnsi="宋体" w:cs="宋体"/>
                <w:kern w:val="0"/>
                <w:sz w:val="20"/>
                <w:szCs w:val="20"/>
              </w:rPr>
              <w:t>配备低噪声 CMOS，信噪比≥ 55dB，支持2D / 3D 数字降噪，进一步降低噪声，确保图像清晰度；</w:t>
            </w:r>
            <w:r>
              <w:rPr>
                <w:rFonts w:hint="eastAsia" w:ascii="宋体" w:hAnsi="宋体" w:cs="宋体"/>
                <w:kern w:val="0"/>
                <w:sz w:val="20"/>
                <w:szCs w:val="20"/>
              </w:rPr>
              <w:br w:type="textWrapping"/>
            </w:r>
            <w:r>
              <w:rPr>
                <w:rFonts w:hint="eastAsia" w:ascii="宋体" w:hAnsi="宋体" w:cs="宋体"/>
                <w:kern w:val="0"/>
                <w:sz w:val="20"/>
                <w:szCs w:val="20"/>
              </w:rPr>
              <w:t>AF镜头， 焦距f≥8.2mm, 教师机水平视场角≥95°，支持自动对焦，同时支持EPTZ，以不动制动，放得更大，看得更清。</w:t>
            </w:r>
            <w:r>
              <w:rPr>
                <w:rFonts w:hint="eastAsia" w:ascii="宋体" w:hAnsi="宋体" w:cs="宋体"/>
                <w:kern w:val="0"/>
                <w:sz w:val="20"/>
                <w:szCs w:val="20"/>
              </w:rPr>
              <w:br w:type="textWrapping"/>
            </w:r>
            <w:r>
              <w:rPr>
                <w:rFonts w:hint="eastAsia" w:ascii="宋体" w:hAnsi="宋体" w:cs="宋体"/>
                <w:kern w:val="0"/>
                <w:sz w:val="20"/>
                <w:szCs w:val="20"/>
              </w:rPr>
              <w:t>双接口输出，支持3G-SDI接口，有效传输距离最高长达150米（1080p25）。SDI、网络两路可同时输出。</w:t>
            </w:r>
            <w:r>
              <w:rPr>
                <w:rFonts w:hint="eastAsia" w:ascii="宋体" w:hAnsi="宋体" w:cs="宋体"/>
                <w:kern w:val="0"/>
                <w:sz w:val="20"/>
                <w:szCs w:val="20"/>
              </w:rPr>
              <w:br w:type="textWrapping"/>
            </w:r>
            <w:r>
              <w:rPr>
                <w:rFonts w:hint="eastAsia" w:ascii="宋体" w:hAnsi="宋体" w:cs="宋体"/>
                <w:kern w:val="0"/>
                <w:sz w:val="20"/>
                <w:szCs w:val="20"/>
              </w:rPr>
              <w:t>可实现单摄像头单SDI接口同时输出全景和特写信号。</w:t>
            </w:r>
            <w:r>
              <w:rPr>
                <w:rFonts w:hint="eastAsia" w:ascii="宋体" w:hAnsi="宋体" w:cs="宋体"/>
                <w:kern w:val="0"/>
                <w:sz w:val="20"/>
                <w:szCs w:val="20"/>
              </w:rPr>
              <w:br w:type="textWrapping"/>
            </w:r>
            <w:r>
              <w:rPr>
                <w:rFonts w:hint="eastAsia" w:ascii="宋体" w:hAnsi="宋体" w:cs="宋体"/>
                <w:kern w:val="0"/>
                <w:sz w:val="20"/>
                <w:szCs w:val="20"/>
              </w:rPr>
              <w:t>支持POC（Power Over Cable）和POE（Power Over Ethernet）一线通功能，电源、视频、音频、控制三线合一。</w:t>
            </w:r>
            <w:r>
              <w:rPr>
                <w:rFonts w:hint="eastAsia" w:ascii="宋体" w:hAnsi="宋体" w:cs="宋体"/>
                <w:kern w:val="0"/>
                <w:sz w:val="20"/>
                <w:szCs w:val="20"/>
              </w:rPr>
              <w:br w:type="textWrapping"/>
            </w:r>
            <w:r>
              <w:rPr>
                <w:rFonts w:hint="eastAsia" w:ascii="宋体" w:hAnsi="宋体" w:cs="宋体"/>
                <w:kern w:val="0"/>
                <w:sz w:val="20"/>
                <w:szCs w:val="20"/>
              </w:rPr>
              <w:t>支持 8倍数字变焦，以保证老师特写的清晰度</w:t>
            </w:r>
            <w:r>
              <w:rPr>
                <w:rFonts w:hint="eastAsia" w:ascii="宋体" w:hAnsi="宋体" w:cs="宋体"/>
                <w:kern w:val="0"/>
                <w:sz w:val="20"/>
                <w:szCs w:val="20"/>
              </w:rPr>
              <w:br w:type="textWrapping"/>
            </w:r>
            <w:r>
              <w:rPr>
                <w:rFonts w:hint="eastAsia" w:ascii="宋体" w:hAnsi="宋体" w:cs="宋体"/>
                <w:kern w:val="0"/>
                <w:sz w:val="20"/>
                <w:szCs w:val="20"/>
              </w:rPr>
              <w:t>输出帧率 ≥ 25 帧/秒；</w:t>
            </w:r>
            <w:r>
              <w:rPr>
                <w:rFonts w:hint="eastAsia" w:ascii="宋体" w:hAnsi="宋体" w:cs="宋体"/>
                <w:kern w:val="0"/>
                <w:sz w:val="20"/>
                <w:szCs w:val="20"/>
              </w:rPr>
              <w:br w:type="textWrapping"/>
            </w:r>
            <w:r>
              <w:rPr>
                <w:rFonts w:hint="eastAsia" w:ascii="宋体" w:hAnsi="宋体" w:cs="宋体"/>
                <w:kern w:val="0"/>
                <w:sz w:val="20"/>
                <w:szCs w:val="20"/>
              </w:rPr>
              <w:t>支持 H.265 / H.264 / MJPEG 视频压缩，支持AAC/G711A音频压缩；</w:t>
            </w:r>
            <w:r>
              <w:rPr>
                <w:rFonts w:hint="eastAsia" w:ascii="宋体" w:hAnsi="宋体" w:cs="宋体"/>
                <w:kern w:val="0"/>
                <w:sz w:val="20"/>
                <w:szCs w:val="20"/>
              </w:rPr>
              <w:br w:type="textWrapping"/>
            </w:r>
            <w:r>
              <w:rPr>
                <w:rFonts w:hint="eastAsia" w:ascii="宋体" w:hAnsi="宋体" w:cs="宋体"/>
                <w:kern w:val="0"/>
                <w:sz w:val="20"/>
                <w:szCs w:val="20"/>
              </w:rPr>
              <w:t>白平衡支持自动, 室内, 室外, 一键式, 手动，指定色温等多种模式</w:t>
            </w:r>
            <w:r>
              <w:rPr>
                <w:rFonts w:hint="eastAsia" w:ascii="宋体" w:hAnsi="宋体" w:cs="宋体"/>
                <w:kern w:val="0"/>
                <w:sz w:val="20"/>
                <w:szCs w:val="20"/>
              </w:rPr>
              <w:br w:type="textWrapping"/>
            </w:r>
            <w:r>
              <w:rPr>
                <w:rFonts w:hint="eastAsia" w:ascii="宋体" w:hAnsi="宋体" w:cs="宋体"/>
                <w:kern w:val="0"/>
                <w:sz w:val="20"/>
                <w:szCs w:val="20"/>
              </w:rPr>
              <w:t>提供1路RS485控制接口，2芯凤凰口，最大传输距离1200米，支持VISCA/Pelco-D/Pelco-P协议</w:t>
            </w:r>
            <w:r>
              <w:rPr>
                <w:rFonts w:hint="eastAsia" w:ascii="宋体" w:hAnsi="宋体" w:cs="宋体"/>
                <w:kern w:val="0"/>
                <w:sz w:val="20"/>
                <w:szCs w:val="20"/>
              </w:rPr>
              <w:br w:type="textWrapping"/>
            </w:r>
            <w:r>
              <w:rPr>
                <w:rFonts w:hint="eastAsia" w:ascii="宋体" w:hAnsi="宋体" w:cs="宋体"/>
                <w:kern w:val="0"/>
                <w:sz w:val="20"/>
                <w:szCs w:val="20"/>
              </w:rPr>
              <w:t>支持多种传输协议，包括并不少于TCP/IP, HTTP, RTSP, RTMP, Onvif, DHCP, 28181, 组播等</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精品录播教室</w:t>
            </w:r>
          </w:p>
        </w:tc>
        <w:tc>
          <w:tcPr>
            <w:tcW w:w="1414" w:type="dxa"/>
            <w:noWrap w:val="0"/>
            <w:vAlign w:val="center"/>
          </w:tcPr>
          <w:p>
            <w:pPr>
              <w:widowControl/>
              <w:snapToGrid w:val="0"/>
              <w:rPr>
                <w:rFonts w:ascii="宋体" w:hAnsi="宋体" w:cs="宋体"/>
                <w:kern w:val="0"/>
                <w:sz w:val="20"/>
                <w:szCs w:val="20"/>
              </w:rPr>
            </w:pPr>
            <w:r>
              <w:rPr>
                <w:rFonts w:hint="eastAsia" w:ascii="宋体" w:hAnsi="宋体" w:cs="宋体"/>
                <w:kern w:val="0"/>
                <w:sz w:val="20"/>
                <w:szCs w:val="20"/>
                <w:lang w:bidi="ar"/>
              </w:rPr>
              <w:t>锐捷、海康威视、大华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29</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学生全景摄像机</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采用1/2.8英寸传感器, 有效像素 ≥846万</w:t>
            </w:r>
            <w:r>
              <w:rPr>
                <w:rFonts w:hint="eastAsia" w:ascii="宋体" w:hAnsi="宋体" w:cs="宋体"/>
                <w:kern w:val="0"/>
                <w:sz w:val="20"/>
                <w:szCs w:val="20"/>
              </w:rPr>
              <w:br w:type="textWrapping"/>
            </w:r>
            <w:r>
              <w:rPr>
                <w:rFonts w:hint="eastAsia" w:ascii="宋体" w:hAnsi="宋体" w:cs="宋体"/>
                <w:kern w:val="0"/>
                <w:sz w:val="20"/>
                <w:szCs w:val="20"/>
              </w:rPr>
              <w:t>配备低噪声 CMOS，信噪比≥ 55dB，支持2D / 3D 数字降噪，进一步降低噪声，确保图像清晰度；</w:t>
            </w:r>
            <w:r>
              <w:rPr>
                <w:rFonts w:hint="eastAsia" w:ascii="宋体" w:hAnsi="宋体" w:cs="宋体"/>
                <w:kern w:val="0"/>
                <w:sz w:val="20"/>
                <w:szCs w:val="20"/>
              </w:rPr>
              <w:br w:type="textWrapping"/>
            </w:r>
            <w:r>
              <w:rPr>
                <w:rFonts w:hint="eastAsia" w:ascii="宋体" w:hAnsi="宋体" w:cs="宋体"/>
                <w:kern w:val="0"/>
                <w:sz w:val="20"/>
                <w:szCs w:val="20"/>
              </w:rPr>
              <w:t>AF镜头， 焦距f≥8.2mm, 学生机水平视场角≥95°，支持自动对焦，同时支持EPTZ，以不动制动，放得更大，看得更清。</w:t>
            </w:r>
            <w:r>
              <w:rPr>
                <w:rFonts w:hint="eastAsia" w:ascii="宋体" w:hAnsi="宋体" w:cs="宋体"/>
                <w:kern w:val="0"/>
                <w:sz w:val="20"/>
                <w:szCs w:val="20"/>
              </w:rPr>
              <w:br w:type="textWrapping"/>
            </w:r>
            <w:r>
              <w:rPr>
                <w:rFonts w:hint="eastAsia" w:ascii="宋体" w:hAnsi="宋体" w:cs="宋体"/>
                <w:kern w:val="0"/>
                <w:sz w:val="20"/>
                <w:szCs w:val="20"/>
              </w:rPr>
              <w:t>双接口输出，支持3G-SDI接口，有效传输距离最高长达150米（1080p25）。SDI、网络两路可同时输出。</w:t>
            </w:r>
            <w:r>
              <w:rPr>
                <w:rFonts w:hint="eastAsia" w:ascii="宋体" w:hAnsi="宋体" w:cs="宋体"/>
                <w:kern w:val="0"/>
                <w:sz w:val="20"/>
                <w:szCs w:val="20"/>
              </w:rPr>
              <w:br w:type="textWrapping"/>
            </w:r>
            <w:r>
              <w:rPr>
                <w:rFonts w:hint="eastAsia" w:ascii="宋体" w:hAnsi="宋体" w:cs="宋体"/>
                <w:kern w:val="0"/>
                <w:sz w:val="20"/>
                <w:szCs w:val="20"/>
              </w:rPr>
              <w:t>可实现单摄像头单SDI接口同时输出全景和特写信号。</w:t>
            </w:r>
            <w:r>
              <w:rPr>
                <w:rFonts w:hint="eastAsia" w:ascii="宋体" w:hAnsi="宋体" w:cs="宋体"/>
                <w:kern w:val="0"/>
                <w:sz w:val="20"/>
                <w:szCs w:val="20"/>
              </w:rPr>
              <w:br w:type="textWrapping"/>
            </w:r>
            <w:r>
              <w:rPr>
                <w:rFonts w:hint="eastAsia" w:ascii="宋体" w:hAnsi="宋体" w:cs="宋体"/>
                <w:kern w:val="0"/>
                <w:sz w:val="20"/>
                <w:szCs w:val="20"/>
              </w:rPr>
              <w:t>支持POC（Power Over Cable）和POE（Power Over Ethernet）一线通功能，电源、视频、音频、控制三线合一。</w:t>
            </w:r>
            <w:r>
              <w:rPr>
                <w:rFonts w:hint="eastAsia" w:ascii="宋体" w:hAnsi="宋体" w:cs="宋体"/>
                <w:kern w:val="0"/>
                <w:sz w:val="20"/>
                <w:szCs w:val="20"/>
              </w:rPr>
              <w:br w:type="textWrapping"/>
            </w:r>
            <w:r>
              <w:rPr>
                <w:rFonts w:hint="eastAsia" w:ascii="宋体" w:hAnsi="宋体" w:cs="宋体"/>
                <w:kern w:val="0"/>
                <w:sz w:val="20"/>
                <w:szCs w:val="20"/>
              </w:rPr>
              <w:t>支持 8倍数字变焦，以保证老师特写的清晰度</w:t>
            </w:r>
            <w:r>
              <w:rPr>
                <w:rFonts w:hint="eastAsia" w:ascii="宋体" w:hAnsi="宋体" w:cs="宋体"/>
                <w:kern w:val="0"/>
                <w:sz w:val="20"/>
                <w:szCs w:val="20"/>
              </w:rPr>
              <w:br w:type="textWrapping"/>
            </w:r>
            <w:r>
              <w:rPr>
                <w:rFonts w:hint="eastAsia" w:ascii="宋体" w:hAnsi="宋体" w:cs="宋体"/>
                <w:kern w:val="0"/>
                <w:sz w:val="20"/>
                <w:szCs w:val="20"/>
              </w:rPr>
              <w:t>输出帧率 ≥ 25 帧/秒；</w:t>
            </w:r>
            <w:r>
              <w:rPr>
                <w:rFonts w:hint="eastAsia" w:ascii="宋体" w:hAnsi="宋体" w:cs="宋体"/>
                <w:kern w:val="0"/>
                <w:sz w:val="20"/>
                <w:szCs w:val="20"/>
              </w:rPr>
              <w:br w:type="textWrapping"/>
            </w:r>
            <w:r>
              <w:rPr>
                <w:rFonts w:hint="eastAsia" w:ascii="宋体" w:hAnsi="宋体" w:cs="宋体"/>
                <w:kern w:val="0"/>
                <w:sz w:val="20"/>
                <w:szCs w:val="20"/>
              </w:rPr>
              <w:t>支持 H.265 / H.264 / MJPEG 视频压缩，支持AAC/G711A音频压缩；</w:t>
            </w:r>
            <w:r>
              <w:rPr>
                <w:rFonts w:hint="eastAsia" w:ascii="宋体" w:hAnsi="宋体" w:cs="宋体"/>
                <w:kern w:val="0"/>
                <w:sz w:val="20"/>
                <w:szCs w:val="20"/>
              </w:rPr>
              <w:br w:type="textWrapping"/>
            </w:r>
            <w:r>
              <w:rPr>
                <w:rFonts w:hint="eastAsia" w:ascii="宋体" w:hAnsi="宋体" w:cs="宋体"/>
                <w:kern w:val="0"/>
                <w:sz w:val="20"/>
                <w:szCs w:val="20"/>
              </w:rPr>
              <w:t>白平衡支持自动, 室内, 室外, 一键式, 手动，指定色温等多种模式</w:t>
            </w:r>
            <w:r>
              <w:rPr>
                <w:rFonts w:hint="eastAsia" w:ascii="宋体" w:hAnsi="宋体" w:cs="宋体"/>
                <w:kern w:val="0"/>
                <w:sz w:val="20"/>
                <w:szCs w:val="20"/>
              </w:rPr>
              <w:br w:type="textWrapping"/>
            </w:r>
            <w:r>
              <w:rPr>
                <w:rFonts w:hint="eastAsia" w:ascii="宋体" w:hAnsi="宋体" w:cs="宋体"/>
                <w:kern w:val="0"/>
                <w:sz w:val="20"/>
                <w:szCs w:val="20"/>
              </w:rPr>
              <w:t>提供1路RS485控制接口，2芯凤凰口，最大传输距离1200米，支持VISCA/Pelco-D/Pelco-P协议</w:t>
            </w:r>
            <w:r>
              <w:rPr>
                <w:rFonts w:hint="eastAsia" w:ascii="宋体" w:hAnsi="宋体" w:cs="宋体"/>
                <w:kern w:val="0"/>
                <w:sz w:val="20"/>
                <w:szCs w:val="20"/>
              </w:rPr>
              <w:br w:type="textWrapping"/>
            </w:r>
            <w:r>
              <w:rPr>
                <w:rFonts w:hint="eastAsia" w:ascii="宋体" w:hAnsi="宋体" w:cs="宋体"/>
                <w:kern w:val="0"/>
                <w:sz w:val="20"/>
                <w:szCs w:val="20"/>
              </w:rPr>
              <w:t>支持多种传输协议，包括并不少于TCP/IP, HTTP, RTSP, RTMP, Onvif, DHCP, 28181, 组播等</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精品录播教室</w:t>
            </w:r>
          </w:p>
        </w:tc>
        <w:tc>
          <w:tcPr>
            <w:tcW w:w="1414" w:type="dxa"/>
            <w:noWrap w:val="0"/>
            <w:vAlign w:val="center"/>
          </w:tcPr>
          <w:p>
            <w:pPr>
              <w:widowControl/>
              <w:snapToGrid w:val="0"/>
              <w:rPr>
                <w:rFonts w:ascii="宋体" w:hAnsi="宋体" w:cs="宋体"/>
                <w:kern w:val="0"/>
                <w:sz w:val="20"/>
                <w:szCs w:val="20"/>
              </w:rPr>
            </w:pPr>
            <w:r>
              <w:rPr>
                <w:rFonts w:hint="eastAsia" w:ascii="宋体" w:hAnsi="宋体" w:cs="宋体"/>
                <w:kern w:val="0"/>
                <w:sz w:val="20"/>
                <w:szCs w:val="20"/>
                <w:lang w:bidi="ar"/>
              </w:rPr>
              <w:t>锐捷、华为、海康威视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30</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智能音频处理器（高教版）</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采用工业级嵌入式架构，嵌入式操作系统，保证稳定可靠；</w:t>
            </w:r>
            <w:r>
              <w:rPr>
                <w:rFonts w:hint="eastAsia" w:ascii="宋体" w:hAnsi="宋体" w:cs="宋体"/>
                <w:kern w:val="0"/>
                <w:sz w:val="20"/>
                <w:szCs w:val="20"/>
              </w:rPr>
              <w:br w:type="textWrapping"/>
            </w:r>
            <w:r>
              <w:rPr>
                <w:rFonts w:hint="eastAsia" w:ascii="宋体" w:hAnsi="宋体" w:cs="宋体"/>
                <w:kern w:val="0"/>
                <w:sz w:val="20"/>
                <w:szCs w:val="20"/>
              </w:rPr>
              <w:t>集成自动噪音抑制技术（去除包含空调、排气扇等噪音干扰）保证声音质量</w:t>
            </w:r>
          </w:p>
          <w:p>
            <w:pPr>
              <w:widowControl/>
              <w:snapToGrid w:val="0"/>
              <w:jc w:val="left"/>
              <w:rPr>
                <w:rFonts w:hint="eastAsia" w:ascii="宋体" w:hAnsi="宋体" w:cs="宋体"/>
                <w:kern w:val="0"/>
                <w:sz w:val="20"/>
                <w:szCs w:val="20"/>
              </w:rPr>
            </w:pPr>
            <w:r>
              <w:rPr>
                <w:rFonts w:hint="eastAsia" w:ascii="宋体" w:hAnsi="宋体" w:cs="宋体"/>
                <w:kern w:val="0"/>
                <w:sz w:val="20"/>
                <w:szCs w:val="20"/>
              </w:rPr>
              <w:t>≥8路差分输入；4路单声道Line-IN输入，包括远程音频输入、课件、无线麦；4路平衡输出，包括输出至远程（包含无线麦、吊麦、课件）；录音（包含无线麦、吊麦、课件、远程音频输入）；输出至音箱（包含无线麦、课件、远程音频输入）。（提供厂商产品介绍，并加盖原厂公章）</w:t>
            </w:r>
            <w:r>
              <w:rPr>
                <w:rFonts w:hint="eastAsia" w:ascii="宋体" w:hAnsi="宋体" w:cs="宋体"/>
                <w:kern w:val="0"/>
                <w:sz w:val="20"/>
                <w:szCs w:val="20"/>
              </w:rPr>
              <w:br w:type="textWrapping"/>
            </w:r>
            <w:r>
              <w:rPr>
                <w:rFonts w:hint="eastAsia" w:ascii="宋体" w:hAnsi="宋体" w:cs="宋体"/>
                <w:kern w:val="0"/>
                <w:sz w:val="20"/>
                <w:szCs w:val="20"/>
              </w:rPr>
              <w:t>支持软硬件 48V 幻象供电开启关闭；</w:t>
            </w:r>
            <w:r>
              <w:rPr>
                <w:rFonts w:hint="eastAsia" w:ascii="宋体" w:hAnsi="宋体" w:cs="宋体"/>
                <w:kern w:val="0"/>
                <w:sz w:val="20"/>
                <w:szCs w:val="20"/>
              </w:rPr>
              <w:br w:type="textWrapping"/>
            </w:r>
            <w:r>
              <w:rPr>
                <w:rFonts w:hint="eastAsia" w:ascii="宋体" w:hAnsi="宋体" w:cs="宋体"/>
                <w:kern w:val="0"/>
                <w:sz w:val="20"/>
                <w:szCs w:val="20"/>
              </w:rPr>
              <w:t>8路平衡输入可做16段EQ处理；</w:t>
            </w:r>
            <w:r>
              <w:rPr>
                <w:rFonts w:hint="eastAsia" w:ascii="宋体" w:hAnsi="宋体" w:cs="宋体"/>
                <w:kern w:val="0"/>
                <w:sz w:val="20"/>
                <w:szCs w:val="20"/>
              </w:rPr>
              <w:br w:type="textWrapping"/>
            </w:r>
            <w:r>
              <w:rPr>
                <w:rFonts w:hint="eastAsia" w:ascii="宋体" w:hAnsi="宋体" w:cs="宋体"/>
                <w:kern w:val="0"/>
                <w:sz w:val="20"/>
                <w:szCs w:val="20"/>
              </w:rPr>
              <w:t>支持智能混音功能（8路平衡输入可任意组合）；</w:t>
            </w:r>
            <w:r>
              <w:rPr>
                <w:rFonts w:hint="eastAsia" w:ascii="宋体" w:hAnsi="宋体" w:cs="宋体"/>
                <w:kern w:val="0"/>
                <w:sz w:val="20"/>
                <w:szCs w:val="20"/>
              </w:rPr>
              <w:br w:type="textWrapping"/>
            </w:r>
            <w:r>
              <w:rPr>
                <w:rFonts w:hint="eastAsia" w:ascii="宋体" w:hAnsi="宋体" w:cs="宋体"/>
                <w:kern w:val="0"/>
                <w:sz w:val="20"/>
                <w:szCs w:val="20"/>
              </w:rPr>
              <w:t>支持 NOMA 功能，可根据开启的 MIC 数量自动调整系统的输出电平，不会因为输入电平的叠加而使系统的输出增益提高，有效地抑制声反馈的形成；</w:t>
            </w:r>
            <w:r>
              <w:rPr>
                <w:rFonts w:hint="eastAsia" w:ascii="宋体" w:hAnsi="宋体" w:cs="宋体"/>
                <w:kern w:val="0"/>
                <w:sz w:val="20"/>
                <w:szCs w:val="20"/>
              </w:rPr>
              <w:br w:type="textWrapping"/>
            </w:r>
            <w:r>
              <w:rPr>
                <w:rFonts w:hint="eastAsia" w:ascii="宋体" w:hAnsi="宋体" w:cs="宋体"/>
                <w:kern w:val="0"/>
                <w:sz w:val="20"/>
                <w:szCs w:val="20"/>
              </w:rPr>
              <w:t>支持语音抗混响功能，避免多路语音互相干扰，突出重要语音信号；</w:t>
            </w:r>
            <w:r>
              <w:rPr>
                <w:rFonts w:hint="eastAsia" w:ascii="宋体" w:hAnsi="宋体" w:cs="宋体"/>
                <w:kern w:val="0"/>
                <w:sz w:val="20"/>
                <w:szCs w:val="20"/>
              </w:rPr>
              <w:br w:type="textWrapping"/>
            </w:r>
            <w:r>
              <w:rPr>
                <w:rFonts w:hint="eastAsia" w:ascii="宋体" w:hAnsi="宋体" w:cs="宋体"/>
                <w:kern w:val="0"/>
                <w:sz w:val="20"/>
                <w:szCs w:val="20"/>
              </w:rPr>
              <w:t>支持回声消除功能，无线麦克风、吊麦的混音需要进行AEC处理；</w:t>
            </w:r>
            <w:r>
              <w:rPr>
                <w:rFonts w:hint="eastAsia" w:ascii="宋体" w:hAnsi="宋体" w:cs="宋体"/>
                <w:kern w:val="0"/>
                <w:sz w:val="20"/>
                <w:szCs w:val="20"/>
              </w:rPr>
              <w:br w:type="textWrapping"/>
            </w:r>
            <w:r>
              <w:rPr>
                <w:rFonts w:hint="eastAsia" w:ascii="宋体" w:hAnsi="宋体" w:cs="宋体"/>
                <w:kern w:val="0"/>
                <w:sz w:val="20"/>
                <w:szCs w:val="20"/>
              </w:rPr>
              <w:t>支持通过网络进行监听，软件升级和参数配置（支持局域网和公网）；</w:t>
            </w:r>
            <w:r>
              <w:rPr>
                <w:rFonts w:hint="eastAsia" w:ascii="宋体" w:hAnsi="宋体" w:cs="宋体"/>
                <w:kern w:val="0"/>
                <w:sz w:val="20"/>
                <w:szCs w:val="20"/>
              </w:rPr>
              <w:br w:type="textWrapping"/>
            </w:r>
            <w:r>
              <w:rPr>
                <w:rFonts w:hint="eastAsia" w:ascii="宋体" w:hAnsi="宋体" w:cs="宋体"/>
                <w:kern w:val="0"/>
                <w:sz w:val="20"/>
                <w:szCs w:val="20"/>
              </w:rPr>
              <w:t>除网口外，还可通过RS485接口进行软件升级和参数配置</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精品录播教室</w:t>
            </w:r>
          </w:p>
        </w:tc>
        <w:tc>
          <w:tcPr>
            <w:tcW w:w="1414" w:type="dxa"/>
            <w:noWrap w:val="0"/>
            <w:vAlign w:val="center"/>
          </w:tcPr>
          <w:p>
            <w:pPr>
              <w:widowControl/>
              <w:snapToGrid w:val="0"/>
              <w:rPr>
                <w:rFonts w:ascii="宋体" w:hAnsi="宋体" w:cs="宋体"/>
                <w:kern w:val="0"/>
                <w:sz w:val="20"/>
                <w:szCs w:val="20"/>
              </w:rPr>
            </w:pPr>
            <w:r>
              <w:rPr>
                <w:rFonts w:hint="eastAsia" w:ascii="宋体" w:hAnsi="宋体" w:cs="宋体"/>
                <w:kern w:val="0"/>
                <w:sz w:val="20"/>
                <w:szCs w:val="20"/>
                <w:lang w:bidi="ar"/>
              </w:rPr>
              <w:t>锐捷、ITC、迪士普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31</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10米音频线材包</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音频线材包，将音频处理器Aud30-8音频信号传给Ops电脑合成实现录课/巡课等功能。共包含2根10米音频线，一端3.5mm接头，一端2芯管形紫铜冷压端子接头</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精品录播教室</w:t>
            </w:r>
          </w:p>
        </w:tc>
        <w:tc>
          <w:tcPr>
            <w:tcW w:w="1414" w:type="dxa"/>
            <w:noWrap w:val="0"/>
            <w:vAlign w:val="center"/>
          </w:tcPr>
          <w:p>
            <w:pPr>
              <w:widowControl/>
              <w:snapToGrid w:val="0"/>
              <w:rPr>
                <w:rFonts w:ascii="宋体" w:hAnsi="宋体" w:cs="宋体"/>
                <w:kern w:val="0"/>
                <w:sz w:val="20"/>
                <w:szCs w:val="20"/>
              </w:rPr>
            </w:pPr>
            <w:r>
              <w:rPr>
                <w:rFonts w:hint="eastAsia" w:ascii="宋体" w:hAnsi="宋体" w:cs="宋体"/>
                <w:kern w:val="0"/>
                <w:sz w:val="20"/>
                <w:szCs w:val="20"/>
                <w:lang w:bidi="ar"/>
              </w:rPr>
              <w:t>绿联、秋叶原、山泽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32</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专业拾音吊麦</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拾音麦类型：电容式拾音器；</w:t>
            </w:r>
            <w:r>
              <w:rPr>
                <w:rFonts w:hint="eastAsia" w:ascii="宋体" w:hAnsi="宋体" w:cs="宋体"/>
                <w:kern w:val="0"/>
                <w:sz w:val="20"/>
                <w:szCs w:val="20"/>
              </w:rPr>
              <w:br w:type="textWrapping"/>
            </w:r>
            <w:r>
              <w:rPr>
                <w:rFonts w:hint="eastAsia" w:ascii="宋体" w:hAnsi="宋体" w:cs="宋体"/>
                <w:kern w:val="0"/>
                <w:sz w:val="20"/>
                <w:szCs w:val="20"/>
              </w:rPr>
              <w:t>超心型指向，拾音角度 ≤ 135°；</w:t>
            </w:r>
            <w:r>
              <w:rPr>
                <w:rFonts w:hint="eastAsia" w:ascii="宋体" w:hAnsi="宋体" w:cs="宋体"/>
                <w:kern w:val="0"/>
                <w:sz w:val="20"/>
                <w:szCs w:val="20"/>
              </w:rPr>
              <w:br w:type="textWrapping"/>
            </w:r>
            <w:r>
              <w:rPr>
                <w:rFonts w:hint="eastAsia" w:ascii="宋体" w:hAnsi="宋体" w:cs="宋体"/>
                <w:kern w:val="0"/>
                <w:sz w:val="20"/>
                <w:szCs w:val="20"/>
              </w:rPr>
              <w:t>拾音距离 ≥ 3米；</w:t>
            </w:r>
            <w:r>
              <w:rPr>
                <w:rFonts w:hint="eastAsia" w:ascii="宋体" w:hAnsi="宋体" w:cs="宋体"/>
                <w:kern w:val="0"/>
                <w:sz w:val="20"/>
                <w:szCs w:val="20"/>
              </w:rPr>
              <w:br w:type="textWrapping"/>
            </w:r>
            <w:r>
              <w:rPr>
                <w:rFonts w:hint="eastAsia" w:ascii="宋体" w:hAnsi="宋体" w:cs="宋体"/>
                <w:kern w:val="0"/>
                <w:sz w:val="20"/>
                <w:szCs w:val="20"/>
              </w:rPr>
              <w:t>频率响应：100Hz~18KHz；</w:t>
            </w:r>
            <w:r>
              <w:rPr>
                <w:rFonts w:hint="eastAsia" w:ascii="宋体" w:hAnsi="宋体" w:cs="宋体"/>
                <w:kern w:val="0"/>
                <w:sz w:val="20"/>
                <w:szCs w:val="20"/>
              </w:rPr>
              <w:br w:type="textWrapping"/>
            </w:r>
            <w:r>
              <w:rPr>
                <w:rFonts w:hint="eastAsia" w:ascii="宋体" w:hAnsi="宋体" w:cs="宋体"/>
                <w:kern w:val="0"/>
                <w:sz w:val="20"/>
                <w:szCs w:val="20"/>
              </w:rPr>
              <w:t>灵敏度：-40dB±3 dB （re 0dB=1V/Pa@1kHz）；</w:t>
            </w:r>
            <w:r>
              <w:rPr>
                <w:rFonts w:hint="eastAsia" w:ascii="宋体" w:hAnsi="宋体" w:cs="宋体"/>
                <w:kern w:val="0"/>
                <w:sz w:val="20"/>
                <w:szCs w:val="20"/>
              </w:rPr>
              <w:br w:type="textWrapping"/>
            </w:r>
            <w:r>
              <w:rPr>
                <w:rFonts w:hint="eastAsia" w:ascii="宋体" w:hAnsi="宋体" w:cs="宋体"/>
                <w:kern w:val="0"/>
                <w:sz w:val="20"/>
                <w:szCs w:val="20"/>
              </w:rPr>
              <w:t>动态范围：76dB（A）；</w:t>
            </w:r>
            <w:r>
              <w:rPr>
                <w:rFonts w:hint="eastAsia" w:ascii="宋体" w:hAnsi="宋体" w:cs="宋体"/>
                <w:kern w:val="0"/>
                <w:sz w:val="20"/>
                <w:szCs w:val="20"/>
              </w:rPr>
              <w:br w:type="textWrapping"/>
            </w:r>
            <w:r>
              <w:rPr>
                <w:rFonts w:hint="eastAsia" w:ascii="宋体" w:hAnsi="宋体" w:cs="宋体"/>
                <w:kern w:val="0"/>
                <w:sz w:val="20"/>
                <w:szCs w:val="20"/>
              </w:rPr>
              <w:t>信噪比 ≥ 60dB；</w:t>
            </w:r>
            <w:r>
              <w:rPr>
                <w:rFonts w:hint="eastAsia" w:ascii="宋体" w:hAnsi="宋体" w:cs="宋体"/>
                <w:kern w:val="0"/>
                <w:sz w:val="20"/>
                <w:szCs w:val="20"/>
              </w:rPr>
              <w:br w:type="textWrapping"/>
            </w:r>
            <w:r>
              <w:rPr>
                <w:rFonts w:hint="eastAsia" w:ascii="宋体" w:hAnsi="宋体" w:cs="宋体"/>
                <w:kern w:val="0"/>
                <w:sz w:val="20"/>
                <w:szCs w:val="20"/>
              </w:rPr>
              <w:t>支持幻象供电，供电电压 48V</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4</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个</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精品录播教室</w:t>
            </w:r>
          </w:p>
        </w:tc>
        <w:tc>
          <w:tcPr>
            <w:tcW w:w="1414" w:type="dxa"/>
            <w:noWrap w:val="0"/>
            <w:vAlign w:val="center"/>
          </w:tcPr>
          <w:p>
            <w:pPr>
              <w:widowControl/>
              <w:snapToGrid w:val="0"/>
              <w:rPr>
                <w:rFonts w:ascii="宋体" w:hAnsi="宋体" w:cs="宋体"/>
                <w:kern w:val="0"/>
                <w:sz w:val="20"/>
                <w:szCs w:val="20"/>
              </w:rPr>
            </w:pPr>
            <w:r>
              <w:rPr>
                <w:rFonts w:hint="eastAsia" w:ascii="宋体" w:hAnsi="宋体" w:cs="宋体"/>
                <w:kern w:val="0"/>
                <w:sz w:val="20"/>
                <w:szCs w:val="20"/>
                <w:lang w:bidi="ar"/>
              </w:rPr>
              <w:t>锐捷、ITC、迪士普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33</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音箱</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语言清晰度：STI值≥0.7【面积不小于60m2及体积不超过200m3标准教室，RT60为0.9s条件下】。</w:t>
            </w:r>
            <w:r>
              <w:rPr>
                <w:rFonts w:hint="eastAsia" w:ascii="宋体" w:hAnsi="宋体" w:cs="宋体"/>
                <w:kern w:val="0"/>
                <w:sz w:val="20"/>
                <w:szCs w:val="20"/>
              </w:rPr>
              <w:br w:type="textWrapping"/>
            </w:r>
            <w:r>
              <w:rPr>
                <w:rFonts w:hint="eastAsia" w:ascii="宋体" w:hAnsi="宋体" w:cs="宋体"/>
                <w:kern w:val="0"/>
                <w:sz w:val="20"/>
                <w:szCs w:val="20"/>
              </w:rPr>
              <w:t>配置2路三单元全频扬声器</w:t>
            </w:r>
            <w:r>
              <w:rPr>
                <w:rFonts w:hint="eastAsia" w:ascii="宋体" w:hAnsi="宋体" w:cs="宋体"/>
                <w:kern w:val="0"/>
                <w:sz w:val="20"/>
                <w:szCs w:val="20"/>
              </w:rPr>
              <w:br w:type="textWrapping"/>
            </w:r>
            <w:r>
              <w:rPr>
                <w:rFonts w:hint="eastAsia" w:ascii="宋体" w:hAnsi="宋体" w:cs="宋体"/>
                <w:kern w:val="0"/>
                <w:sz w:val="20"/>
                <w:szCs w:val="20"/>
              </w:rPr>
              <w:t>频率响应（-3dB）：80Hz-16kHz。</w:t>
            </w:r>
            <w:r>
              <w:rPr>
                <w:rFonts w:hint="eastAsia" w:ascii="宋体" w:hAnsi="宋体" w:cs="宋体"/>
                <w:kern w:val="0"/>
                <w:sz w:val="20"/>
                <w:szCs w:val="20"/>
              </w:rPr>
              <w:br w:type="textWrapping"/>
            </w:r>
            <w:r>
              <w:rPr>
                <w:rFonts w:hint="eastAsia" w:ascii="宋体" w:hAnsi="宋体" w:cs="宋体"/>
                <w:kern w:val="0"/>
                <w:sz w:val="20"/>
                <w:szCs w:val="20"/>
              </w:rPr>
              <w:t>平均声压级（1m）：114dB。</w:t>
            </w:r>
            <w:r>
              <w:rPr>
                <w:rFonts w:hint="eastAsia" w:ascii="宋体" w:hAnsi="宋体" w:cs="宋体"/>
                <w:kern w:val="0"/>
                <w:sz w:val="20"/>
                <w:szCs w:val="20"/>
              </w:rPr>
              <w:br w:type="textWrapping"/>
            </w:r>
            <w:r>
              <w:rPr>
                <w:rFonts w:hint="eastAsia" w:ascii="宋体" w:hAnsi="宋体" w:cs="宋体"/>
                <w:kern w:val="0"/>
                <w:sz w:val="20"/>
                <w:szCs w:val="20"/>
              </w:rPr>
              <w:t>最大声压级（1m）：120dB(峰值) 。</w:t>
            </w:r>
            <w:r>
              <w:rPr>
                <w:rFonts w:hint="eastAsia" w:ascii="宋体" w:hAnsi="宋体" w:cs="宋体"/>
                <w:kern w:val="0"/>
                <w:sz w:val="20"/>
                <w:szCs w:val="20"/>
              </w:rPr>
              <w:br w:type="textWrapping"/>
            </w:r>
            <w:r>
              <w:rPr>
                <w:rFonts w:hint="eastAsia" w:ascii="宋体" w:hAnsi="宋体" w:cs="宋体"/>
                <w:kern w:val="0"/>
                <w:sz w:val="20"/>
                <w:szCs w:val="20"/>
              </w:rPr>
              <w:t>指向性：水平及垂直方向均应不小于140°。</w:t>
            </w:r>
            <w:r>
              <w:rPr>
                <w:rFonts w:hint="eastAsia" w:ascii="宋体" w:hAnsi="宋体" w:cs="宋体"/>
                <w:kern w:val="0"/>
                <w:sz w:val="20"/>
                <w:szCs w:val="20"/>
              </w:rPr>
              <w:br w:type="textWrapping"/>
            </w:r>
            <w:r>
              <w:rPr>
                <w:rFonts w:hint="eastAsia" w:ascii="宋体" w:hAnsi="宋体" w:cs="宋体"/>
                <w:kern w:val="0"/>
                <w:sz w:val="20"/>
                <w:szCs w:val="20"/>
              </w:rPr>
              <w:t>灵敏度（1W@1m）：≥88dB。</w:t>
            </w:r>
            <w:r>
              <w:rPr>
                <w:rFonts w:hint="eastAsia" w:ascii="宋体" w:hAnsi="宋体" w:cs="宋体"/>
                <w:kern w:val="0"/>
                <w:sz w:val="20"/>
                <w:szCs w:val="20"/>
              </w:rPr>
              <w:br w:type="textWrapping"/>
            </w:r>
            <w:r>
              <w:rPr>
                <w:rFonts w:hint="eastAsia" w:ascii="宋体" w:hAnsi="宋体" w:cs="宋体"/>
                <w:kern w:val="0"/>
                <w:sz w:val="20"/>
                <w:szCs w:val="20"/>
              </w:rPr>
              <w:t>额定阻抗：8</w:t>
            </w:r>
            <w:r>
              <w:rPr>
                <w:rFonts w:ascii="Calibri" w:hAnsi="Calibri" w:cs="Calibri"/>
                <w:kern w:val="0"/>
                <w:sz w:val="20"/>
                <w:szCs w:val="20"/>
              </w:rPr>
              <w:t>Ω</w:t>
            </w:r>
            <w:r>
              <w:rPr>
                <w:rFonts w:hint="eastAsia" w:ascii="宋体" w:hAnsi="宋体" w:cs="宋体"/>
                <w:kern w:val="0"/>
                <w:sz w:val="20"/>
                <w:szCs w:val="20"/>
              </w:rPr>
              <w:t>。</w:t>
            </w:r>
            <w:r>
              <w:rPr>
                <w:rFonts w:hint="eastAsia" w:ascii="宋体" w:hAnsi="宋体" w:cs="宋体"/>
                <w:kern w:val="0"/>
                <w:sz w:val="20"/>
                <w:szCs w:val="20"/>
              </w:rPr>
              <w:br w:type="textWrapping"/>
            </w:r>
            <w:r>
              <w:rPr>
                <w:rFonts w:hint="eastAsia" w:ascii="宋体" w:hAnsi="宋体" w:cs="宋体"/>
                <w:kern w:val="0"/>
                <w:sz w:val="20"/>
                <w:szCs w:val="20"/>
              </w:rPr>
              <w:t>功率：额定功率不小于80W。</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精品录播教室</w:t>
            </w:r>
          </w:p>
        </w:tc>
        <w:tc>
          <w:tcPr>
            <w:tcW w:w="1414" w:type="dxa"/>
            <w:noWrap w:val="0"/>
            <w:vAlign w:val="center"/>
          </w:tcPr>
          <w:p>
            <w:pPr>
              <w:widowControl/>
              <w:snapToGrid w:val="0"/>
              <w:rPr>
                <w:rFonts w:ascii="宋体" w:hAnsi="宋体" w:cs="宋体"/>
                <w:kern w:val="0"/>
                <w:sz w:val="20"/>
                <w:szCs w:val="20"/>
              </w:rPr>
            </w:pPr>
            <w:r>
              <w:rPr>
                <w:rFonts w:hint="eastAsia" w:ascii="宋体" w:hAnsi="宋体" w:cs="宋体"/>
                <w:kern w:val="0"/>
                <w:sz w:val="20"/>
                <w:szCs w:val="20"/>
                <w:lang w:bidi="ar"/>
              </w:rPr>
              <w:t>锐捷、ITC、迪士普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34</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同步教学助手授权</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教学点软件授权，公有云3年服务</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精品录播教室</w:t>
            </w:r>
          </w:p>
        </w:tc>
        <w:tc>
          <w:tcPr>
            <w:tcW w:w="1414" w:type="dxa"/>
            <w:noWrap w:val="0"/>
            <w:vAlign w:val="center"/>
          </w:tcPr>
          <w:p>
            <w:pPr>
              <w:widowControl/>
              <w:snapToGrid w:val="0"/>
              <w:rPr>
                <w:rFonts w:ascii="宋体" w:hAnsi="宋体" w:cs="宋体"/>
                <w:kern w:val="0"/>
                <w:sz w:val="20"/>
                <w:szCs w:val="20"/>
              </w:rPr>
            </w:pPr>
            <w:r>
              <w:rPr>
                <w:rFonts w:hint="eastAsia" w:ascii="宋体" w:hAnsi="宋体" w:cs="宋体"/>
                <w:kern w:val="0"/>
                <w:sz w:val="20"/>
                <w:szCs w:val="20"/>
                <w:lang w:bidi="ar"/>
              </w:rPr>
              <w:t>锐捷、华为、华三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35</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云服务授权</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远程互动服务授权，3年服务</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精品录播教室</w:t>
            </w:r>
          </w:p>
        </w:tc>
        <w:tc>
          <w:tcPr>
            <w:tcW w:w="1414" w:type="dxa"/>
            <w:noWrap w:val="0"/>
            <w:vAlign w:val="center"/>
          </w:tcPr>
          <w:p>
            <w:pPr>
              <w:widowControl/>
              <w:snapToGrid w:val="0"/>
              <w:rPr>
                <w:rFonts w:ascii="宋体" w:hAnsi="宋体" w:cs="宋体"/>
                <w:kern w:val="0"/>
                <w:sz w:val="20"/>
                <w:szCs w:val="20"/>
              </w:rPr>
            </w:pPr>
            <w:r>
              <w:rPr>
                <w:rFonts w:hint="eastAsia" w:ascii="宋体" w:hAnsi="宋体" w:cs="宋体"/>
                <w:kern w:val="0"/>
                <w:sz w:val="20"/>
                <w:szCs w:val="20"/>
                <w:lang w:bidi="ar"/>
              </w:rPr>
              <w:t>锐捷、华为、华三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36</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移动讲台</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桌板面积至少达到65*45cm</w:t>
            </w:r>
            <w:r>
              <w:rPr>
                <w:rFonts w:hint="eastAsia" w:ascii="宋体" w:hAnsi="宋体" w:cs="宋体"/>
                <w:kern w:val="0"/>
                <w:sz w:val="20"/>
                <w:szCs w:val="20"/>
              </w:rPr>
              <w:br w:type="textWrapping"/>
            </w:r>
            <w:r>
              <w:rPr>
                <w:rFonts w:hint="eastAsia" w:ascii="宋体" w:hAnsi="宋体" w:cs="宋体"/>
                <w:kern w:val="0"/>
                <w:sz w:val="20"/>
                <w:szCs w:val="20"/>
              </w:rPr>
              <w:t>桌板高低可调节，易调节（气压杆机构）,升降阻尼效果顺滑。</w:t>
            </w:r>
            <w:r>
              <w:rPr>
                <w:rFonts w:hint="eastAsia" w:ascii="宋体" w:hAnsi="宋体" w:cs="宋体"/>
                <w:kern w:val="0"/>
                <w:sz w:val="20"/>
                <w:szCs w:val="20"/>
              </w:rPr>
              <w:br w:type="textWrapping"/>
            </w:r>
            <w:r>
              <w:rPr>
                <w:rFonts w:hint="eastAsia" w:ascii="宋体" w:hAnsi="宋体" w:cs="宋体"/>
                <w:kern w:val="0"/>
                <w:sz w:val="20"/>
                <w:szCs w:val="20"/>
              </w:rPr>
              <w:t>脚架稳定，给移动讲台整体提供稳定靠下的重心，且在空间上不阻挡教师腿部空间</w:t>
            </w:r>
            <w:r>
              <w:rPr>
                <w:rFonts w:hint="eastAsia" w:ascii="宋体" w:hAnsi="宋体" w:cs="宋体"/>
                <w:kern w:val="0"/>
                <w:sz w:val="20"/>
                <w:szCs w:val="20"/>
              </w:rPr>
              <w:br w:type="textWrapping"/>
            </w:r>
            <w:r>
              <w:rPr>
                <w:rFonts w:hint="eastAsia" w:ascii="宋体" w:hAnsi="宋体" w:cs="宋体"/>
                <w:kern w:val="0"/>
                <w:sz w:val="20"/>
                <w:szCs w:val="20"/>
              </w:rPr>
              <w:t>滚轮静音，同时可提供锁定功能</w:t>
            </w:r>
            <w:r>
              <w:rPr>
                <w:rFonts w:hint="eastAsia" w:ascii="宋体" w:hAnsi="宋体" w:cs="宋体"/>
                <w:kern w:val="0"/>
                <w:sz w:val="20"/>
                <w:szCs w:val="20"/>
              </w:rPr>
              <w:br w:type="textWrapping"/>
            </w:r>
            <w:r>
              <w:rPr>
                <w:rFonts w:hint="eastAsia" w:ascii="宋体" w:hAnsi="宋体" w:cs="宋体"/>
                <w:kern w:val="0"/>
                <w:sz w:val="20"/>
                <w:szCs w:val="20"/>
              </w:rPr>
              <w:t>移动讲台提供用户推拉产品的把手</w:t>
            </w:r>
            <w:r>
              <w:rPr>
                <w:rFonts w:hint="eastAsia" w:ascii="宋体" w:hAnsi="宋体" w:cs="宋体"/>
                <w:kern w:val="0"/>
                <w:sz w:val="20"/>
                <w:szCs w:val="20"/>
              </w:rPr>
              <w:br w:type="textWrapping"/>
            </w:r>
            <w:r>
              <w:rPr>
                <w:rFonts w:hint="eastAsia" w:ascii="宋体" w:hAnsi="宋体" w:cs="宋体"/>
                <w:kern w:val="0"/>
                <w:sz w:val="20"/>
                <w:szCs w:val="20"/>
              </w:rPr>
              <w:t>桌板承重：大于4kg</w:t>
            </w:r>
            <w:r>
              <w:rPr>
                <w:rFonts w:hint="eastAsia" w:ascii="宋体" w:hAnsi="宋体" w:cs="宋体"/>
                <w:kern w:val="0"/>
                <w:sz w:val="20"/>
                <w:szCs w:val="20"/>
              </w:rPr>
              <w:br w:type="textWrapping"/>
            </w:r>
            <w:r>
              <w:rPr>
                <w:rFonts w:hint="eastAsia" w:ascii="宋体" w:hAnsi="宋体" w:cs="宋体"/>
                <w:kern w:val="0"/>
                <w:sz w:val="20"/>
                <w:szCs w:val="20"/>
              </w:rPr>
              <w:t>移动水平旋转自由度：0-360°</w:t>
            </w:r>
            <w:r>
              <w:rPr>
                <w:rFonts w:hint="eastAsia" w:ascii="宋体" w:hAnsi="宋体" w:cs="宋体"/>
                <w:kern w:val="0"/>
                <w:sz w:val="20"/>
                <w:szCs w:val="20"/>
              </w:rPr>
              <w:br w:type="textWrapping"/>
            </w:r>
            <w:r>
              <w:rPr>
                <w:rFonts w:hint="eastAsia" w:ascii="宋体" w:hAnsi="宋体" w:cs="宋体"/>
                <w:kern w:val="0"/>
                <w:sz w:val="20"/>
                <w:szCs w:val="20"/>
              </w:rPr>
              <w:t>面板材料：高密度板材；表面工艺：静电喷塑（MDF）</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个</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技能培训教室</w:t>
            </w:r>
          </w:p>
        </w:tc>
        <w:tc>
          <w:tcPr>
            <w:tcW w:w="1414" w:type="dxa"/>
            <w:noWrap w:val="0"/>
            <w:vAlign w:val="center"/>
          </w:tcPr>
          <w:p>
            <w:pPr>
              <w:widowControl/>
              <w:snapToGrid w:val="0"/>
              <w:rPr>
                <w:rFonts w:ascii="宋体" w:hAnsi="宋体" w:cs="宋体"/>
                <w:kern w:val="0"/>
                <w:sz w:val="20"/>
                <w:szCs w:val="20"/>
              </w:rPr>
            </w:pPr>
            <w:r>
              <w:rPr>
                <w:rFonts w:hint="eastAsia" w:ascii="宋体" w:hAnsi="宋体" w:cs="宋体"/>
                <w:kern w:val="0"/>
                <w:sz w:val="20"/>
                <w:szCs w:val="20"/>
                <w:lang w:bidi="ar"/>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37</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专业拾音吊麦</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拾音麦类型：电容式拾音器；</w:t>
            </w:r>
            <w:r>
              <w:rPr>
                <w:rFonts w:hint="eastAsia" w:ascii="宋体" w:hAnsi="宋体" w:cs="宋体"/>
                <w:kern w:val="0"/>
                <w:sz w:val="20"/>
                <w:szCs w:val="20"/>
              </w:rPr>
              <w:br w:type="textWrapping"/>
            </w:r>
            <w:r>
              <w:rPr>
                <w:rFonts w:hint="eastAsia" w:ascii="宋体" w:hAnsi="宋体" w:cs="宋体"/>
                <w:kern w:val="0"/>
                <w:sz w:val="20"/>
                <w:szCs w:val="20"/>
              </w:rPr>
              <w:t>超心型指向，拾音角度 ≤ 135°；</w:t>
            </w:r>
            <w:r>
              <w:rPr>
                <w:rFonts w:hint="eastAsia" w:ascii="宋体" w:hAnsi="宋体" w:cs="宋体"/>
                <w:kern w:val="0"/>
                <w:sz w:val="20"/>
                <w:szCs w:val="20"/>
              </w:rPr>
              <w:br w:type="textWrapping"/>
            </w:r>
            <w:r>
              <w:rPr>
                <w:rFonts w:hint="eastAsia" w:ascii="宋体" w:hAnsi="宋体" w:cs="宋体"/>
                <w:kern w:val="0"/>
                <w:sz w:val="20"/>
                <w:szCs w:val="20"/>
              </w:rPr>
              <w:t>拾音距离 ≥ 3米；</w:t>
            </w:r>
            <w:r>
              <w:rPr>
                <w:rFonts w:hint="eastAsia" w:ascii="宋体" w:hAnsi="宋体" w:cs="宋体"/>
                <w:kern w:val="0"/>
                <w:sz w:val="20"/>
                <w:szCs w:val="20"/>
              </w:rPr>
              <w:br w:type="textWrapping"/>
            </w:r>
            <w:r>
              <w:rPr>
                <w:rFonts w:hint="eastAsia" w:ascii="宋体" w:hAnsi="宋体" w:cs="宋体"/>
                <w:kern w:val="0"/>
                <w:sz w:val="20"/>
                <w:szCs w:val="20"/>
              </w:rPr>
              <w:t>频率响应：100Hz~18KHz；</w:t>
            </w:r>
            <w:r>
              <w:rPr>
                <w:rFonts w:hint="eastAsia" w:ascii="宋体" w:hAnsi="宋体" w:cs="宋体"/>
                <w:kern w:val="0"/>
                <w:sz w:val="20"/>
                <w:szCs w:val="20"/>
              </w:rPr>
              <w:br w:type="textWrapping"/>
            </w:r>
            <w:r>
              <w:rPr>
                <w:rFonts w:hint="eastAsia" w:ascii="宋体" w:hAnsi="宋体" w:cs="宋体"/>
                <w:kern w:val="0"/>
                <w:sz w:val="20"/>
                <w:szCs w:val="20"/>
              </w:rPr>
              <w:t>灵敏度：-40dB±3 dB （re 0dB=1V/Pa@1kHz）；</w:t>
            </w:r>
            <w:r>
              <w:rPr>
                <w:rFonts w:hint="eastAsia" w:ascii="宋体" w:hAnsi="宋体" w:cs="宋体"/>
                <w:kern w:val="0"/>
                <w:sz w:val="20"/>
                <w:szCs w:val="20"/>
              </w:rPr>
              <w:br w:type="textWrapping"/>
            </w:r>
            <w:r>
              <w:rPr>
                <w:rFonts w:hint="eastAsia" w:ascii="宋体" w:hAnsi="宋体" w:cs="宋体"/>
                <w:kern w:val="0"/>
                <w:sz w:val="20"/>
                <w:szCs w:val="20"/>
              </w:rPr>
              <w:t>动态范围：76dB（A）；</w:t>
            </w:r>
            <w:r>
              <w:rPr>
                <w:rFonts w:hint="eastAsia" w:ascii="宋体" w:hAnsi="宋体" w:cs="宋体"/>
                <w:kern w:val="0"/>
                <w:sz w:val="20"/>
                <w:szCs w:val="20"/>
              </w:rPr>
              <w:br w:type="textWrapping"/>
            </w:r>
            <w:r>
              <w:rPr>
                <w:rFonts w:hint="eastAsia" w:ascii="宋体" w:hAnsi="宋体" w:cs="宋体"/>
                <w:kern w:val="0"/>
                <w:sz w:val="20"/>
                <w:szCs w:val="20"/>
              </w:rPr>
              <w:t>信噪比 ≥ 60dB；</w:t>
            </w:r>
            <w:r>
              <w:rPr>
                <w:rFonts w:hint="eastAsia" w:ascii="宋体" w:hAnsi="宋体" w:cs="宋体"/>
                <w:kern w:val="0"/>
                <w:sz w:val="20"/>
                <w:szCs w:val="20"/>
              </w:rPr>
              <w:br w:type="textWrapping"/>
            </w:r>
            <w:r>
              <w:rPr>
                <w:rFonts w:hint="eastAsia" w:ascii="宋体" w:hAnsi="宋体" w:cs="宋体"/>
                <w:kern w:val="0"/>
                <w:sz w:val="20"/>
                <w:szCs w:val="20"/>
              </w:rPr>
              <w:t>支持幻象供电，供电电压 48V</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个</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技能培训教室</w:t>
            </w:r>
          </w:p>
        </w:tc>
        <w:tc>
          <w:tcPr>
            <w:tcW w:w="1414" w:type="dxa"/>
            <w:noWrap w:val="0"/>
            <w:vAlign w:val="center"/>
          </w:tcPr>
          <w:p>
            <w:pPr>
              <w:widowControl/>
              <w:snapToGrid w:val="0"/>
              <w:rPr>
                <w:rFonts w:ascii="宋体" w:hAnsi="宋体" w:cs="宋体"/>
                <w:kern w:val="0"/>
                <w:sz w:val="20"/>
                <w:szCs w:val="20"/>
              </w:rPr>
            </w:pPr>
            <w:r>
              <w:rPr>
                <w:rFonts w:hint="eastAsia" w:ascii="宋体" w:hAnsi="宋体" w:cs="宋体"/>
                <w:kern w:val="0"/>
                <w:sz w:val="20"/>
                <w:szCs w:val="20"/>
                <w:lang w:bidi="ar"/>
              </w:rPr>
              <w:t>锐捷、ITC、迪士普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38</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智能功放主机</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整机要求采用不超过1U高度</w:t>
            </w:r>
            <w:r>
              <w:rPr>
                <w:rFonts w:hint="eastAsia" w:ascii="宋体" w:hAnsi="宋体" w:cs="宋体"/>
                <w:kern w:val="0"/>
                <w:sz w:val="20"/>
                <w:szCs w:val="20"/>
              </w:rPr>
              <w:br w:type="textWrapping"/>
            </w:r>
            <w:r>
              <w:rPr>
                <w:rFonts w:hint="eastAsia" w:ascii="宋体" w:hAnsi="宋体" w:cs="宋体"/>
                <w:kern w:val="0"/>
                <w:sz w:val="20"/>
                <w:szCs w:val="20"/>
              </w:rPr>
              <w:t>提供RS485/232控制接口来实现对设备开关控制和音量的调整</w:t>
            </w:r>
            <w:r>
              <w:rPr>
                <w:rFonts w:hint="eastAsia" w:ascii="宋体" w:hAnsi="宋体" w:cs="宋体"/>
                <w:kern w:val="0"/>
                <w:sz w:val="20"/>
                <w:szCs w:val="20"/>
              </w:rPr>
              <w:br w:type="textWrapping"/>
            </w:r>
            <w:r>
              <w:rPr>
                <w:rFonts w:hint="eastAsia" w:ascii="宋体" w:hAnsi="宋体" w:cs="宋体"/>
                <w:kern w:val="0"/>
                <w:sz w:val="20"/>
                <w:szCs w:val="20"/>
              </w:rPr>
              <w:t>为保障系统的耐用性，和音频质量，采用D型放大器类型</w:t>
            </w:r>
            <w:r>
              <w:rPr>
                <w:rFonts w:hint="eastAsia" w:ascii="宋体" w:hAnsi="宋体" w:cs="宋体"/>
                <w:kern w:val="0"/>
                <w:sz w:val="20"/>
                <w:szCs w:val="20"/>
              </w:rPr>
              <w:br w:type="textWrapping"/>
            </w:r>
            <w:r>
              <w:rPr>
                <w:rFonts w:hint="eastAsia" w:ascii="宋体" w:hAnsi="宋体" w:cs="宋体"/>
                <w:kern w:val="0"/>
                <w:sz w:val="20"/>
                <w:szCs w:val="20"/>
              </w:rPr>
              <w:t>提供支持话筒反馈抑制，档位级别≥4级</w:t>
            </w:r>
            <w:r>
              <w:rPr>
                <w:rFonts w:hint="eastAsia" w:ascii="宋体" w:hAnsi="宋体" w:cs="宋体"/>
                <w:kern w:val="0"/>
                <w:sz w:val="20"/>
                <w:szCs w:val="20"/>
              </w:rPr>
              <w:br w:type="textWrapping"/>
            </w:r>
            <w:r>
              <w:rPr>
                <w:rFonts w:hint="eastAsia" w:ascii="宋体" w:hAnsi="宋体" w:cs="宋体"/>
                <w:kern w:val="0"/>
                <w:sz w:val="20"/>
                <w:szCs w:val="20"/>
              </w:rPr>
              <w:t>负载阻抗：支持4</w:t>
            </w:r>
            <w:r>
              <w:rPr>
                <w:rFonts w:ascii="Calibri" w:hAnsi="Calibri" w:cs="Calibri"/>
                <w:kern w:val="0"/>
                <w:sz w:val="20"/>
                <w:szCs w:val="20"/>
              </w:rPr>
              <w:t>Ω</w:t>
            </w:r>
            <w:r>
              <w:rPr>
                <w:rFonts w:hint="eastAsia" w:ascii="宋体" w:hAnsi="宋体" w:cs="宋体"/>
                <w:kern w:val="0"/>
                <w:sz w:val="20"/>
                <w:szCs w:val="20"/>
              </w:rPr>
              <w:t>/8</w:t>
            </w:r>
            <w:r>
              <w:rPr>
                <w:rFonts w:ascii="Calibri" w:hAnsi="Calibri" w:cs="Calibri"/>
                <w:kern w:val="0"/>
                <w:sz w:val="20"/>
                <w:szCs w:val="20"/>
              </w:rPr>
              <w:t>Ω</w:t>
            </w:r>
            <w:r>
              <w:rPr>
                <w:rFonts w:hint="eastAsia" w:ascii="宋体" w:hAnsi="宋体" w:cs="宋体"/>
                <w:kern w:val="0"/>
                <w:sz w:val="20"/>
                <w:szCs w:val="20"/>
              </w:rPr>
              <w:t>/16</w:t>
            </w:r>
            <w:r>
              <w:rPr>
                <w:rFonts w:ascii="Calibri" w:hAnsi="Calibri" w:cs="Calibri"/>
                <w:kern w:val="0"/>
                <w:sz w:val="20"/>
                <w:szCs w:val="20"/>
              </w:rPr>
              <w:t>Ω</w:t>
            </w:r>
            <w:r>
              <w:rPr>
                <w:rFonts w:hint="eastAsia" w:ascii="宋体" w:hAnsi="宋体" w:cs="宋体"/>
                <w:kern w:val="0"/>
                <w:sz w:val="20"/>
                <w:szCs w:val="20"/>
              </w:rPr>
              <w:t>。</w:t>
            </w:r>
            <w:r>
              <w:rPr>
                <w:rFonts w:hint="eastAsia" w:ascii="宋体" w:hAnsi="宋体" w:cs="宋体"/>
                <w:kern w:val="0"/>
                <w:sz w:val="20"/>
                <w:szCs w:val="20"/>
              </w:rPr>
              <w:br w:type="textWrapping"/>
            </w:r>
            <w:r>
              <w:rPr>
                <w:rFonts w:hint="eastAsia" w:ascii="宋体" w:hAnsi="宋体" w:cs="宋体"/>
                <w:kern w:val="0"/>
                <w:sz w:val="20"/>
                <w:szCs w:val="20"/>
              </w:rPr>
              <w:t>输出功率≥80W×2通道。</w:t>
            </w:r>
            <w:r>
              <w:rPr>
                <w:rFonts w:hint="eastAsia" w:ascii="宋体" w:hAnsi="宋体" w:cs="宋体"/>
                <w:kern w:val="0"/>
                <w:sz w:val="20"/>
                <w:szCs w:val="20"/>
              </w:rPr>
              <w:br w:type="textWrapping"/>
            </w:r>
            <w:r>
              <w:rPr>
                <w:rFonts w:hint="eastAsia" w:ascii="宋体" w:hAnsi="宋体" w:cs="宋体"/>
                <w:kern w:val="0"/>
                <w:sz w:val="20"/>
                <w:szCs w:val="20"/>
              </w:rPr>
              <w:t>线路信噪比不低于75dB</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技能培训教室</w:t>
            </w:r>
          </w:p>
        </w:tc>
        <w:tc>
          <w:tcPr>
            <w:tcW w:w="1414" w:type="dxa"/>
            <w:noWrap w:val="0"/>
            <w:vAlign w:val="center"/>
          </w:tcPr>
          <w:p>
            <w:pPr>
              <w:widowControl/>
              <w:snapToGrid w:val="0"/>
              <w:rPr>
                <w:rFonts w:ascii="宋体" w:hAnsi="宋体" w:cs="宋体"/>
                <w:kern w:val="0"/>
                <w:sz w:val="20"/>
                <w:szCs w:val="20"/>
              </w:rPr>
            </w:pPr>
            <w:r>
              <w:rPr>
                <w:rFonts w:hint="eastAsia" w:ascii="宋体" w:hAnsi="宋体" w:cs="宋体"/>
                <w:kern w:val="0"/>
                <w:sz w:val="20"/>
                <w:szCs w:val="20"/>
                <w:lang w:bidi="ar"/>
              </w:rPr>
              <w:t>锐捷、ITC、迪士普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39</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音箱支架</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音箱支架</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个</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技能培训教室</w:t>
            </w:r>
          </w:p>
        </w:tc>
        <w:tc>
          <w:tcPr>
            <w:tcW w:w="1414" w:type="dxa"/>
            <w:noWrap w:val="0"/>
            <w:vAlign w:val="center"/>
          </w:tcPr>
          <w:p>
            <w:pPr>
              <w:widowControl/>
              <w:snapToGrid w:val="0"/>
              <w:rPr>
                <w:rFonts w:ascii="宋体" w:hAnsi="宋体" w:cs="宋体"/>
                <w:kern w:val="0"/>
                <w:sz w:val="20"/>
                <w:szCs w:val="20"/>
              </w:rPr>
            </w:pPr>
            <w:r>
              <w:rPr>
                <w:rFonts w:hint="eastAsia" w:ascii="宋体" w:hAnsi="宋体" w:cs="宋体"/>
                <w:kern w:val="0"/>
                <w:sz w:val="20"/>
                <w:szCs w:val="20"/>
                <w:lang w:bidi="ar"/>
              </w:rPr>
              <w:t>锐捷、ITC、迪士普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40</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音箱</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语言清晰度：STI值≥0.7【面积不小于60m2及体积不超过200m3标准教室，RT60为0.9s条件下】。</w:t>
            </w:r>
            <w:r>
              <w:rPr>
                <w:rFonts w:hint="eastAsia" w:ascii="宋体" w:hAnsi="宋体" w:cs="宋体"/>
                <w:kern w:val="0"/>
                <w:sz w:val="20"/>
                <w:szCs w:val="20"/>
              </w:rPr>
              <w:br w:type="textWrapping"/>
            </w:r>
            <w:r>
              <w:rPr>
                <w:rFonts w:hint="eastAsia" w:ascii="宋体" w:hAnsi="宋体" w:cs="宋体"/>
                <w:kern w:val="0"/>
                <w:sz w:val="20"/>
                <w:szCs w:val="20"/>
              </w:rPr>
              <w:t>配置2路三单元全频扬声器</w:t>
            </w:r>
            <w:r>
              <w:rPr>
                <w:rFonts w:hint="eastAsia" w:ascii="宋体" w:hAnsi="宋体" w:cs="宋体"/>
                <w:kern w:val="0"/>
                <w:sz w:val="20"/>
                <w:szCs w:val="20"/>
              </w:rPr>
              <w:br w:type="textWrapping"/>
            </w:r>
            <w:r>
              <w:rPr>
                <w:rFonts w:hint="eastAsia" w:ascii="宋体" w:hAnsi="宋体" w:cs="宋体"/>
                <w:kern w:val="0"/>
                <w:sz w:val="20"/>
                <w:szCs w:val="20"/>
              </w:rPr>
              <w:t>频率响应（-3dB）：80Hz-16kHz。</w:t>
            </w:r>
            <w:r>
              <w:rPr>
                <w:rFonts w:hint="eastAsia" w:ascii="宋体" w:hAnsi="宋体" w:cs="宋体"/>
                <w:kern w:val="0"/>
                <w:sz w:val="20"/>
                <w:szCs w:val="20"/>
              </w:rPr>
              <w:br w:type="textWrapping"/>
            </w:r>
            <w:r>
              <w:rPr>
                <w:rFonts w:hint="eastAsia" w:ascii="宋体" w:hAnsi="宋体" w:cs="宋体"/>
                <w:kern w:val="0"/>
                <w:sz w:val="20"/>
                <w:szCs w:val="20"/>
              </w:rPr>
              <w:t>平均声压级（1m）：114dB。</w:t>
            </w:r>
            <w:r>
              <w:rPr>
                <w:rFonts w:hint="eastAsia" w:ascii="宋体" w:hAnsi="宋体" w:cs="宋体"/>
                <w:kern w:val="0"/>
                <w:sz w:val="20"/>
                <w:szCs w:val="20"/>
              </w:rPr>
              <w:br w:type="textWrapping"/>
            </w:r>
            <w:r>
              <w:rPr>
                <w:rFonts w:hint="eastAsia" w:ascii="宋体" w:hAnsi="宋体" w:cs="宋体"/>
                <w:kern w:val="0"/>
                <w:sz w:val="20"/>
                <w:szCs w:val="20"/>
              </w:rPr>
              <w:t>最大声压级（1m）：120dB(峰值) 。</w:t>
            </w:r>
            <w:r>
              <w:rPr>
                <w:rFonts w:hint="eastAsia" w:ascii="宋体" w:hAnsi="宋体" w:cs="宋体"/>
                <w:kern w:val="0"/>
                <w:sz w:val="20"/>
                <w:szCs w:val="20"/>
              </w:rPr>
              <w:br w:type="textWrapping"/>
            </w:r>
            <w:r>
              <w:rPr>
                <w:rFonts w:hint="eastAsia" w:ascii="宋体" w:hAnsi="宋体" w:cs="宋体"/>
                <w:kern w:val="0"/>
                <w:sz w:val="20"/>
                <w:szCs w:val="20"/>
              </w:rPr>
              <w:t>指向性：水平及垂直方向均应不小于140°。</w:t>
            </w:r>
            <w:r>
              <w:rPr>
                <w:rFonts w:hint="eastAsia" w:ascii="宋体" w:hAnsi="宋体" w:cs="宋体"/>
                <w:kern w:val="0"/>
                <w:sz w:val="20"/>
                <w:szCs w:val="20"/>
              </w:rPr>
              <w:br w:type="textWrapping"/>
            </w:r>
            <w:r>
              <w:rPr>
                <w:rFonts w:hint="eastAsia" w:ascii="宋体" w:hAnsi="宋体" w:cs="宋体"/>
                <w:kern w:val="0"/>
                <w:sz w:val="20"/>
                <w:szCs w:val="20"/>
              </w:rPr>
              <w:t>灵敏度（1W@1m）：≥88dB。</w:t>
            </w:r>
            <w:r>
              <w:rPr>
                <w:rFonts w:hint="eastAsia" w:ascii="宋体" w:hAnsi="宋体" w:cs="宋体"/>
                <w:kern w:val="0"/>
                <w:sz w:val="20"/>
                <w:szCs w:val="20"/>
              </w:rPr>
              <w:br w:type="textWrapping"/>
            </w:r>
            <w:r>
              <w:rPr>
                <w:rFonts w:hint="eastAsia" w:ascii="宋体" w:hAnsi="宋体" w:cs="宋体"/>
                <w:kern w:val="0"/>
                <w:sz w:val="20"/>
                <w:szCs w:val="20"/>
              </w:rPr>
              <w:t>额定阻抗：8</w:t>
            </w:r>
            <w:r>
              <w:rPr>
                <w:rFonts w:ascii="Calibri" w:hAnsi="Calibri" w:cs="Calibri"/>
                <w:kern w:val="0"/>
                <w:sz w:val="20"/>
                <w:szCs w:val="20"/>
              </w:rPr>
              <w:t>Ω</w:t>
            </w:r>
            <w:r>
              <w:rPr>
                <w:rFonts w:hint="eastAsia" w:ascii="宋体" w:hAnsi="宋体" w:cs="宋体"/>
                <w:kern w:val="0"/>
                <w:sz w:val="20"/>
                <w:szCs w:val="20"/>
              </w:rPr>
              <w:t>。</w:t>
            </w:r>
            <w:r>
              <w:rPr>
                <w:rFonts w:hint="eastAsia" w:ascii="宋体" w:hAnsi="宋体" w:cs="宋体"/>
                <w:kern w:val="0"/>
                <w:sz w:val="20"/>
                <w:szCs w:val="20"/>
              </w:rPr>
              <w:br w:type="textWrapping"/>
            </w:r>
            <w:r>
              <w:rPr>
                <w:rFonts w:hint="eastAsia" w:ascii="宋体" w:hAnsi="宋体" w:cs="宋体"/>
                <w:kern w:val="0"/>
                <w:sz w:val="20"/>
                <w:szCs w:val="20"/>
              </w:rPr>
              <w:t>功率：额定功率不小于80W。</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技能培训教室</w:t>
            </w:r>
          </w:p>
        </w:tc>
        <w:tc>
          <w:tcPr>
            <w:tcW w:w="1414" w:type="dxa"/>
            <w:noWrap w:val="0"/>
            <w:vAlign w:val="center"/>
          </w:tcPr>
          <w:p>
            <w:pPr>
              <w:widowControl/>
              <w:snapToGrid w:val="0"/>
              <w:rPr>
                <w:rFonts w:ascii="宋体" w:hAnsi="宋体" w:cs="宋体"/>
                <w:kern w:val="0"/>
                <w:sz w:val="20"/>
                <w:szCs w:val="20"/>
              </w:rPr>
            </w:pPr>
            <w:r>
              <w:rPr>
                <w:rFonts w:hint="eastAsia" w:ascii="宋体" w:hAnsi="宋体" w:cs="宋体"/>
                <w:kern w:val="0"/>
                <w:sz w:val="20"/>
                <w:szCs w:val="20"/>
                <w:lang w:bidi="ar"/>
              </w:rPr>
              <w:t>锐捷、ITC、迪士普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41</w:t>
            </w:r>
          </w:p>
        </w:tc>
        <w:tc>
          <w:tcPr>
            <w:tcW w:w="425" w:type="dxa"/>
            <w:vMerge w:val="restart"/>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未来健康</w:t>
            </w:r>
          </w:p>
        </w:tc>
        <w:tc>
          <w:tcPr>
            <w:tcW w:w="417" w:type="dxa"/>
            <w:vMerge w:val="restart"/>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康洋小屋</w:t>
            </w: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健康体征自助检测一体机</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1、一体化设计并高度集成化：所有外围体检设备、身份证读卡器、触控屏须嵌入到一体机内成为一个整体；一体机简洁、可靠，工控机控制系统。</w:t>
            </w:r>
            <w:r>
              <w:rPr>
                <w:rFonts w:hint="eastAsia" w:ascii="宋体" w:hAnsi="宋体" w:cs="宋体"/>
                <w:kern w:val="0"/>
                <w:sz w:val="20"/>
                <w:szCs w:val="20"/>
              </w:rPr>
              <w:br w:type="textWrapping"/>
            </w:r>
            <w:r>
              <w:rPr>
                <w:rFonts w:hint="eastAsia" w:ascii="宋体" w:hAnsi="宋体" w:cs="宋体"/>
                <w:kern w:val="0"/>
                <w:sz w:val="20"/>
                <w:szCs w:val="20"/>
              </w:rPr>
              <w:t>2、一体机具备移动功能，设备装有专用万向移动轮，一人就可推动设备移动。</w:t>
            </w:r>
            <w:r>
              <w:rPr>
                <w:rFonts w:hint="eastAsia" w:ascii="宋体" w:hAnsi="宋体" w:cs="宋体"/>
                <w:kern w:val="0"/>
                <w:sz w:val="20"/>
                <w:szCs w:val="20"/>
              </w:rPr>
              <w:br w:type="textWrapping"/>
            </w:r>
            <w:r>
              <w:rPr>
                <w:rFonts w:hint="eastAsia" w:ascii="宋体" w:hAnsi="宋体" w:cs="宋体"/>
                <w:kern w:val="0"/>
                <w:sz w:val="20"/>
                <w:szCs w:val="20"/>
              </w:rPr>
              <w:t>3、良好的设备专业感和人机交互能力，语音播报和图像指引，满足居民的自助式使用，现场无需医护人员的使用指引。</w:t>
            </w:r>
            <w:r>
              <w:rPr>
                <w:rFonts w:hint="eastAsia" w:ascii="宋体" w:hAnsi="宋体" w:cs="宋体"/>
                <w:kern w:val="0"/>
                <w:sz w:val="20"/>
                <w:szCs w:val="20"/>
              </w:rPr>
              <w:br w:type="textWrapping"/>
            </w:r>
            <w:r>
              <w:rPr>
                <w:rFonts w:hint="eastAsia" w:ascii="宋体" w:hAnsi="宋体" w:cs="宋体"/>
                <w:kern w:val="0"/>
                <w:sz w:val="20"/>
                <w:szCs w:val="20"/>
              </w:rPr>
              <w:t>4、落地实施能力强，设备到达工作现场后只需接入电源和网络就可展开工作。</w:t>
            </w:r>
            <w:r>
              <w:rPr>
                <w:rFonts w:hint="eastAsia" w:ascii="宋体" w:hAnsi="宋体" w:cs="宋体"/>
                <w:kern w:val="0"/>
                <w:sz w:val="20"/>
                <w:szCs w:val="20"/>
              </w:rPr>
              <w:br w:type="textWrapping"/>
            </w:r>
            <w:r>
              <w:rPr>
                <w:rFonts w:hint="eastAsia" w:ascii="宋体" w:hAnsi="宋体" w:cs="宋体"/>
                <w:kern w:val="0"/>
                <w:sz w:val="20"/>
                <w:szCs w:val="20"/>
              </w:rPr>
              <w:t>5、自助健康体检一体机有专利发明知识产权证。</w:t>
            </w:r>
            <w:r>
              <w:rPr>
                <w:rFonts w:hint="eastAsia" w:ascii="宋体" w:hAnsi="宋体" w:cs="宋体"/>
                <w:kern w:val="0"/>
                <w:sz w:val="20"/>
                <w:szCs w:val="20"/>
              </w:rPr>
              <w:br w:type="textWrapping"/>
            </w:r>
            <w:r>
              <w:rPr>
                <w:rFonts w:hint="eastAsia" w:ascii="宋体" w:hAnsi="宋体" w:cs="宋体"/>
                <w:kern w:val="0"/>
                <w:sz w:val="20"/>
                <w:szCs w:val="20"/>
              </w:rPr>
              <w:t>6、自助健康体检一体机具有可拓展方案，方便日后功能的拓展。</w:t>
            </w:r>
            <w:r>
              <w:rPr>
                <w:rFonts w:hint="eastAsia" w:ascii="宋体" w:hAnsi="宋体" w:cs="宋体"/>
                <w:kern w:val="0"/>
                <w:sz w:val="20"/>
                <w:szCs w:val="20"/>
              </w:rPr>
              <w:br w:type="textWrapping"/>
            </w:r>
            <w:r>
              <w:rPr>
                <w:rFonts w:hint="eastAsia" w:ascii="宋体" w:hAnsi="宋体" w:cs="宋体"/>
                <w:kern w:val="0"/>
                <w:sz w:val="20"/>
                <w:szCs w:val="20"/>
              </w:rPr>
              <w:t>7、顶部 LED显示滚动跑马，可自主设置展示内容</w:t>
            </w:r>
            <w:r>
              <w:rPr>
                <w:rFonts w:hint="eastAsia" w:ascii="宋体" w:hAnsi="宋体" w:cs="宋体"/>
                <w:kern w:val="0"/>
                <w:sz w:val="20"/>
                <w:szCs w:val="20"/>
              </w:rPr>
              <w:br w:type="textWrapping"/>
            </w:r>
            <w:r>
              <w:rPr>
                <w:rFonts w:hint="eastAsia" w:ascii="宋体" w:hAnsi="宋体" w:cs="宋体"/>
                <w:kern w:val="0"/>
                <w:sz w:val="20"/>
                <w:szCs w:val="20"/>
              </w:rPr>
              <w:t>8、无人自动关闭灯光节能装置。</w:t>
            </w:r>
            <w:r>
              <w:rPr>
                <w:rFonts w:hint="eastAsia" w:ascii="宋体" w:hAnsi="宋体" w:cs="宋体"/>
                <w:kern w:val="0"/>
                <w:sz w:val="20"/>
                <w:szCs w:val="20"/>
              </w:rPr>
              <w:br w:type="textWrapping"/>
            </w:r>
            <w:r>
              <w:rPr>
                <w:rFonts w:hint="eastAsia" w:ascii="宋体" w:hAnsi="宋体" w:cs="宋体"/>
                <w:kern w:val="0"/>
                <w:sz w:val="20"/>
                <w:szCs w:val="20"/>
              </w:rPr>
              <w:t>9、通过身份证注册并绑定指纹系统，省去以后再次检测时携带身份证。</w:t>
            </w:r>
            <w:r>
              <w:rPr>
                <w:rFonts w:hint="eastAsia" w:ascii="宋体" w:hAnsi="宋体" w:cs="宋体"/>
                <w:kern w:val="0"/>
                <w:sz w:val="20"/>
                <w:szCs w:val="20"/>
              </w:rPr>
              <w:br w:type="textWrapping"/>
            </w:r>
            <w:r>
              <w:rPr>
                <w:rFonts w:hint="eastAsia" w:ascii="宋体" w:hAnsi="宋体" w:cs="宋体"/>
                <w:kern w:val="0"/>
                <w:sz w:val="20"/>
                <w:szCs w:val="20"/>
              </w:rPr>
              <w:t>10、支持本次检测结果的报告打印，并附有健康建议。</w:t>
            </w:r>
            <w:r>
              <w:rPr>
                <w:rFonts w:hint="eastAsia" w:ascii="宋体" w:hAnsi="宋体" w:cs="宋体"/>
                <w:kern w:val="0"/>
                <w:sz w:val="20"/>
                <w:szCs w:val="20"/>
              </w:rPr>
              <w:br w:type="textWrapping"/>
            </w:r>
            <w:r>
              <w:rPr>
                <w:rFonts w:hint="eastAsia" w:ascii="宋体" w:hAnsi="宋体" w:cs="宋体"/>
                <w:kern w:val="0"/>
                <w:sz w:val="20"/>
                <w:szCs w:val="20"/>
              </w:rPr>
              <w:t>11、42吋大屏用于扩展应用及视频宣传。</w:t>
            </w:r>
            <w:r>
              <w:rPr>
                <w:rFonts w:hint="eastAsia" w:ascii="宋体" w:hAnsi="宋体" w:cs="宋体"/>
                <w:kern w:val="0"/>
                <w:sz w:val="20"/>
                <w:szCs w:val="20"/>
              </w:rPr>
              <w:br w:type="textWrapping"/>
            </w:r>
            <w:r>
              <w:rPr>
                <w:rFonts w:hint="eastAsia" w:ascii="宋体" w:hAnsi="宋体" w:cs="宋体"/>
                <w:kern w:val="0"/>
                <w:sz w:val="20"/>
                <w:szCs w:val="20"/>
              </w:rPr>
              <w:t>12、支持10项体征检测(身高体重、人体成分、血氧、血压、体温、心电、血糖等）</w:t>
            </w:r>
            <w:r>
              <w:rPr>
                <w:rFonts w:hint="eastAsia" w:ascii="宋体" w:hAnsi="宋体" w:cs="宋体"/>
                <w:kern w:val="0"/>
                <w:sz w:val="20"/>
                <w:szCs w:val="20"/>
              </w:rPr>
              <w:br w:type="textWrapping"/>
            </w:r>
            <w:r>
              <w:rPr>
                <w:rFonts w:hint="eastAsia" w:ascii="宋体" w:hAnsi="宋体" w:cs="宋体"/>
                <w:kern w:val="0"/>
                <w:sz w:val="20"/>
                <w:szCs w:val="20"/>
              </w:rPr>
              <w:t>软件系统：</w:t>
            </w:r>
            <w:r>
              <w:rPr>
                <w:rFonts w:hint="eastAsia" w:ascii="宋体" w:hAnsi="宋体" w:cs="宋体"/>
                <w:kern w:val="0"/>
                <w:sz w:val="20"/>
                <w:szCs w:val="20"/>
              </w:rPr>
              <w:br w:type="textWrapping"/>
            </w:r>
            <w:r>
              <w:rPr>
                <w:rFonts w:hint="eastAsia" w:ascii="宋体" w:hAnsi="宋体" w:cs="宋体"/>
                <w:kern w:val="0"/>
                <w:sz w:val="20"/>
                <w:szCs w:val="20"/>
              </w:rPr>
              <w:t>1、自助建立电子健康档案</w:t>
            </w:r>
            <w:r>
              <w:rPr>
                <w:rFonts w:hint="eastAsia" w:ascii="宋体" w:hAnsi="宋体" w:cs="宋体"/>
                <w:kern w:val="0"/>
                <w:sz w:val="20"/>
                <w:szCs w:val="20"/>
              </w:rPr>
              <w:br w:type="textWrapping"/>
            </w:r>
            <w:r>
              <w:rPr>
                <w:rFonts w:hint="eastAsia" w:ascii="宋体" w:hAnsi="宋体" w:cs="宋体"/>
                <w:kern w:val="0"/>
                <w:sz w:val="20"/>
                <w:szCs w:val="20"/>
              </w:rPr>
              <w:t>a、初次使用的居民，在所有的健康小屋显示屏上可提示并引导居民自助建档，建档数据自动归入个人健康档案库。</w:t>
            </w:r>
            <w:r>
              <w:rPr>
                <w:rFonts w:hint="eastAsia" w:ascii="宋体" w:hAnsi="宋体" w:cs="宋体"/>
                <w:kern w:val="0"/>
                <w:sz w:val="20"/>
                <w:szCs w:val="20"/>
              </w:rPr>
              <w:br w:type="textWrapping"/>
            </w:r>
            <w:r>
              <w:rPr>
                <w:rFonts w:hint="eastAsia" w:ascii="宋体" w:hAnsi="宋体" w:cs="宋体"/>
                <w:kern w:val="0"/>
                <w:sz w:val="20"/>
                <w:szCs w:val="20"/>
              </w:rPr>
              <w:t>b、自助建档支持从二代身份证上进行人员信息（人员姓名、性别、出身日期、住址等身份证号码等基础信息）采集本并自动形成个人健康档案。</w:t>
            </w:r>
            <w:r>
              <w:rPr>
                <w:rFonts w:hint="eastAsia" w:ascii="宋体" w:hAnsi="宋体" w:cs="宋体"/>
                <w:kern w:val="0"/>
                <w:sz w:val="20"/>
                <w:szCs w:val="20"/>
              </w:rPr>
              <w:br w:type="textWrapping"/>
            </w:r>
            <w:r>
              <w:rPr>
                <w:rFonts w:hint="eastAsia" w:ascii="宋体" w:hAnsi="宋体" w:cs="宋体"/>
                <w:kern w:val="0"/>
                <w:sz w:val="20"/>
                <w:szCs w:val="20"/>
              </w:rPr>
              <w:t>2、自助体检</w:t>
            </w:r>
            <w:r>
              <w:rPr>
                <w:rFonts w:hint="eastAsia" w:ascii="宋体" w:hAnsi="宋体" w:cs="宋体"/>
                <w:kern w:val="0"/>
                <w:sz w:val="20"/>
                <w:szCs w:val="20"/>
              </w:rPr>
              <w:br w:type="textWrapping"/>
            </w:r>
            <w:r>
              <w:rPr>
                <w:rFonts w:hint="eastAsia" w:ascii="宋体" w:hAnsi="宋体" w:cs="宋体"/>
                <w:kern w:val="0"/>
                <w:sz w:val="20"/>
                <w:szCs w:val="20"/>
              </w:rPr>
              <w:t>a、所有体检均通过触控屏人机交互提示，自助使用。</w:t>
            </w:r>
            <w:r>
              <w:rPr>
                <w:rFonts w:hint="eastAsia" w:ascii="宋体" w:hAnsi="宋体" w:cs="宋体"/>
                <w:kern w:val="0"/>
                <w:sz w:val="20"/>
                <w:szCs w:val="20"/>
              </w:rPr>
              <w:br w:type="textWrapping"/>
            </w:r>
            <w:r>
              <w:rPr>
                <w:rFonts w:hint="eastAsia" w:ascii="宋体" w:hAnsi="宋体" w:cs="宋体"/>
                <w:kern w:val="0"/>
                <w:sz w:val="20"/>
                <w:szCs w:val="20"/>
              </w:rPr>
              <w:t>b、体检结果身高、体重、BMI、血压、脉率、血氧、血糖、脂肪含量、水分含量、基础代谢、体温、心电监测在屏幕上呈现。</w:t>
            </w:r>
            <w:r>
              <w:rPr>
                <w:rFonts w:hint="eastAsia" w:ascii="宋体" w:hAnsi="宋体" w:cs="宋体"/>
                <w:kern w:val="0"/>
                <w:sz w:val="20"/>
                <w:szCs w:val="20"/>
              </w:rPr>
              <w:br w:type="textWrapping"/>
            </w:r>
            <w:r>
              <w:rPr>
                <w:rFonts w:hint="eastAsia" w:ascii="宋体" w:hAnsi="宋体" w:cs="宋体"/>
                <w:kern w:val="0"/>
                <w:sz w:val="20"/>
                <w:szCs w:val="20"/>
              </w:rPr>
              <w:t>3、数据管理</w:t>
            </w:r>
            <w:r>
              <w:rPr>
                <w:rFonts w:hint="eastAsia" w:ascii="宋体" w:hAnsi="宋体" w:cs="宋体"/>
                <w:kern w:val="0"/>
                <w:sz w:val="20"/>
                <w:szCs w:val="20"/>
              </w:rPr>
              <w:br w:type="textWrapping"/>
            </w:r>
            <w:r>
              <w:rPr>
                <w:rFonts w:hint="eastAsia" w:ascii="宋体" w:hAnsi="宋体" w:cs="宋体"/>
                <w:kern w:val="0"/>
                <w:sz w:val="20"/>
                <w:szCs w:val="20"/>
              </w:rPr>
              <w:t>a、自助建档、自助体检数据实时通过WI-FI或网络上传区域卫生信息平台，实现具有成熟、安全的数据交互功能，实现数据共享。</w:t>
            </w:r>
            <w:r>
              <w:rPr>
                <w:rFonts w:hint="eastAsia" w:ascii="宋体" w:hAnsi="宋体" w:cs="宋体"/>
                <w:kern w:val="0"/>
                <w:sz w:val="20"/>
                <w:szCs w:val="20"/>
              </w:rPr>
              <w:br w:type="textWrapping"/>
            </w:r>
            <w:r>
              <w:rPr>
                <w:rFonts w:hint="eastAsia" w:ascii="宋体" w:hAnsi="宋体" w:cs="宋体"/>
                <w:kern w:val="0"/>
                <w:sz w:val="20"/>
                <w:szCs w:val="20"/>
              </w:rPr>
              <w:t>b、支持居民健康档案接口，体检数据自动归入个人健康档案。</w:t>
            </w:r>
            <w:r>
              <w:rPr>
                <w:rFonts w:hint="eastAsia" w:ascii="宋体" w:hAnsi="宋体" w:cs="宋体"/>
                <w:kern w:val="0"/>
                <w:sz w:val="20"/>
                <w:szCs w:val="20"/>
              </w:rPr>
              <w:br w:type="textWrapping"/>
            </w:r>
            <w:r>
              <w:rPr>
                <w:rFonts w:hint="eastAsia" w:ascii="宋体" w:hAnsi="宋体" w:cs="宋体"/>
                <w:kern w:val="0"/>
                <w:sz w:val="20"/>
                <w:szCs w:val="20"/>
              </w:rPr>
              <w:t>4、健康小屋标签系统</w:t>
            </w:r>
            <w:r>
              <w:rPr>
                <w:rFonts w:hint="eastAsia" w:ascii="宋体" w:hAnsi="宋体" w:cs="宋体"/>
                <w:kern w:val="0"/>
                <w:sz w:val="20"/>
                <w:szCs w:val="20"/>
              </w:rPr>
              <w:br w:type="textWrapping"/>
            </w:r>
            <w:r>
              <w:rPr>
                <w:rFonts w:hint="eastAsia" w:ascii="宋体" w:hAnsi="宋体" w:cs="宋体"/>
                <w:kern w:val="0"/>
                <w:sz w:val="20"/>
                <w:szCs w:val="20"/>
              </w:rPr>
              <w:t>功能要求</w:t>
            </w:r>
            <w:r>
              <w:rPr>
                <w:rFonts w:hint="eastAsia" w:ascii="宋体" w:hAnsi="宋体" w:cs="宋体"/>
                <w:kern w:val="0"/>
                <w:sz w:val="20"/>
                <w:szCs w:val="20"/>
              </w:rPr>
              <w:br w:type="textWrapping"/>
            </w:r>
            <w:r>
              <w:rPr>
                <w:rFonts w:hint="eastAsia" w:ascii="宋体" w:hAnsi="宋体" w:cs="宋体"/>
                <w:kern w:val="0"/>
                <w:sz w:val="20"/>
                <w:szCs w:val="20"/>
              </w:rPr>
              <w:t>a、支持参数设置：可以设置小屋的名称、编号、地址等，以便后台自动管理及动态数据统计。</w:t>
            </w:r>
            <w:r>
              <w:rPr>
                <w:rFonts w:hint="eastAsia" w:ascii="宋体" w:hAnsi="宋体" w:cs="宋体"/>
                <w:kern w:val="0"/>
                <w:sz w:val="20"/>
                <w:szCs w:val="20"/>
              </w:rPr>
              <w:br w:type="textWrapping"/>
            </w:r>
            <w:r>
              <w:rPr>
                <w:rFonts w:hint="eastAsia" w:ascii="宋体" w:hAnsi="宋体" w:cs="宋体"/>
                <w:kern w:val="0"/>
                <w:sz w:val="20"/>
                <w:szCs w:val="20"/>
              </w:rPr>
              <w:t>b、持卡授权管理：为用户通过二代身份证授权建立健康体检档案，在健康小屋查阅相应的体检报告。</w:t>
            </w:r>
            <w:r>
              <w:rPr>
                <w:rFonts w:hint="eastAsia" w:ascii="宋体" w:hAnsi="宋体" w:cs="宋体"/>
                <w:kern w:val="0"/>
                <w:sz w:val="20"/>
                <w:szCs w:val="20"/>
              </w:rPr>
              <w:br w:type="textWrapping"/>
            </w:r>
            <w:r>
              <w:rPr>
                <w:rFonts w:hint="eastAsia" w:ascii="宋体" w:hAnsi="宋体" w:cs="宋体"/>
                <w:kern w:val="0"/>
                <w:sz w:val="20"/>
                <w:szCs w:val="20"/>
              </w:rPr>
              <w:t>c、支持健康体检报告及健康促进方案在健康小屋的打印。</w:t>
            </w:r>
            <w:r>
              <w:rPr>
                <w:rFonts w:hint="eastAsia" w:ascii="宋体" w:hAnsi="宋体" w:cs="宋体"/>
                <w:kern w:val="0"/>
                <w:sz w:val="20"/>
                <w:szCs w:val="20"/>
              </w:rPr>
              <w:br w:type="textWrapping"/>
            </w:r>
            <w:r>
              <w:rPr>
                <w:rFonts w:hint="eastAsia" w:ascii="宋体" w:hAnsi="宋体" w:cs="宋体"/>
                <w:kern w:val="0"/>
                <w:sz w:val="20"/>
                <w:szCs w:val="20"/>
              </w:rPr>
              <w:t>5、支持报告处理与分析</w:t>
            </w:r>
            <w:r>
              <w:rPr>
                <w:rFonts w:hint="eastAsia" w:ascii="宋体" w:hAnsi="宋体" w:cs="宋体"/>
                <w:kern w:val="0"/>
                <w:sz w:val="20"/>
                <w:szCs w:val="20"/>
              </w:rPr>
              <w:br w:type="textWrapping"/>
            </w:r>
            <w:r>
              <w:rPr>
                <w:rFonts w:hint="eastAsia" w:ascii="宋体" w:hAnsi="宋体" w:cs="宋体"/>
                <w:kern w:val="0"/>
                <w:sz w:val="20"/>
                <w:szCs w:val="20"/>
              </w:rPr>
              <w:t>a、支持个人体检结果自动生成综检报告；如有超标数据自动标识，并给出一定的健康促进建议。</w:t>
            </w:r>
            <w:r>
              <w:rPr>
                <w:rFonts w:hint="eastAsia" w:ascii="宋体" w:hAnsi="宋体" w:cs="宋体"/>
                <w:kern w:val="0"/>
                <w:sz w:val="20"/>
                <w:szCs w:val="20"/>
              </w:rPr>
              <w:br w:type="textWrapping"/>
            </w:r>
            <w:r>
              <w:rPr>
                <w:rFonts w:hint="eastAsia" w:ascii="宋体" w:hAnsi="宋体" w:cs="宋体"/>
                <w:kern w:val="0"/>
                <w:sz w:val="20"/>
                <w:szCs w:val="20"/>
              </w:rPr>
              <w:t>b、可支持自定义报告格式，并可以生成PDF，JPG格式的文件。</w:t>
            </w:r>
            <w:r>
              <w:rPr>
                <w:rFonts w:hint="eastAsia" w:ascii="宋体" w:hAnsi="宋体" w:cs="宋体"/>
                <w:kern w:val="0"/>
                <w:sz w:val="20"/>
                <w:szCs w:val="20"/>
              </w:rPr>
              <w:br w:type="textWrapping"/>
            </w:r>
            <w:r>
              <w:rPr>
                <w:rFonts w:hint="eastAsia" w:ascii="宋体" w:hAnsi="宋体" w:cs="宋体"/>
                <w:kern w:val="0"/>
                <w:sz w:val="20"/>
                <w:szCs w:val="20"/>
              </w:rPr>
              <w:t>c、可支持网络加密传输。</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倍泰、携康、安测健康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42</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康洋小屋运营大屏</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60寸显示大屏，可以展示以下信息</w:t>
            </w:r>
            <w:r>
              <w:rPr>
                <w:rFonts w:hint="eastAsia" w:ascii="宋体" w:hAnsi="宋体" w:cs="宋体"/>
                <w:kern w:val="0"/>
                <w:sz w:val="20"/>
                <w:szCs w:val="20"/>
              </w:rPr>
              <w:br w:type="textWrapping"/>
            </w:r>
            <w:r>
              <w:rPr>
                <w:rFonts w:hint="eastAsia" w:ascii="宋体" w:hAnsi="宋体" w:cs="宋体"/>
                <w:kern w:val="0"/>
                <w:sz w:val="20"/>
                <w:szCs w:val="20"/>
              </w:rPr>
              <w:t>1、用户信息。显示社区的各类用户使用相关核心数据的展示，应包含：平台注册总用户数；线上注册用户数；线下注册用户数；健康设备测量用户数。</w:t>
            </w:r>
            <w:r>
              <w:rPr>
                <w:rFonts w:hint="eastAsia" w:ascii="宋体" w:hAnsi="宋体" w:cs="宋体"/>
                <w:kern w:val="0"/>
                <w:sz w:val="20"/>
                <w:szCs w:val="20"/>
              </w:rPr>
              <w:br w:type="textWrapping"/>
            </w:r>
            <w:r>
              <w:rPr>
                <w:rFonts w:hint="eastAsia" w:ascii="宋体" w:hAnsi="宋体" w:cs="宋体"/>
                <w:kern w:val="0"/>
                <w:sz w:val="20"/>
                <w:szCs w:val="20"/>
              </w:rPr>
              <w:t xml:space="preserve">2、医生信息。显示医院医生注册和登录信息，应包括：入驻医生数量和登录医生数。 </w:t>
            </w:r>
            <w:r>
              <w:rPr>
                <w:rFonts w:hint="eastAsia" w:ascii="宋体" w:hAnsi="宋体" w:cs="宋体"/>
                <w:kern w:val="0"/>
                <w:sz w:val="20"/>
                <w:szCs w:val="20"/>
              </w:rPr>
              <w:br w:type="textWrapping"/>
            </w:r>
            <w:r>
              <w:rPr>
                <w:rFonts w:hint="eastAsia" w:ascii="宋体" w:hAnsi="宋体" w:cs="宋体"/>
                <w:kern w:val="0"/>
                <w:sz w:val="20"/>
                <w:szCs w:val="20"/>
              </w:rPr>
              <w:t>3、测量、异常数据展示。展示康洋小屋的测量设备的测量核心数据，应包括：健康设备测量次数；健康设备测量用户数；健康设备测量异常次数；健康设备测量异常用户数 。</w:t>
            </w:r>
            <w:r>
              <w:rPr>
                <w:rFonts w:hint="eastAsia" w:ascii="宋体" w:hAnsi="宋体" w:cs="宋体"/>
                <w:kern w:val="0"/>
                <w:sz w:val="20"/>
                <w:szCs w:val="20"/>
              </w:rPr>
              <w:br w:type="textWrapping"/>
            </w:r>
            <w:r>
              <w:rPr>
                <w:rFonts w:hint="eastAsia" w:ascii="宋体" w:hAnsi="宋体" w:cs="宋体"/>
                <w:kern w:val="0"/>
                <w:sz w:val="20"/>
                <w:szCs w:val="20"/>
              </w:rPr>
              <w:t xml:space="preserve">4、血压数据展示。展示康洋小屋的测量设备的血压数据测量情况，应包括：血压测量用户；血压异常用户；血压测量次数；血压异常次数 </w:t>
            </w:r>
            <w:r>
              <w:rPr>
                <w:rFonts w:hint="eastAsia" w:ascii="宋体" w:hAnsi="宋体" w:cs="宋体"/>
                <w:kern w:val="0"/>
                <w:sz w:val="20"/>
                <w:szCs w:val="20"/>
              </w:rPr>
              <w:br w:type="textWrapping"/>
            </w:r>
            <w:r>
              <w:rPr>
                <w:rFonts w:hint="eastAsia" w:ascii="宋体" w:hAnsi="宋体" w:cs="宋体"/>
                <w:kern w:val="0"/>
                <w:sz w:val="20"/>
                <w:szCs w:val="20"/>
              </w:rPr>
              <w:t>5、血糖数据展示。展示康洋小屋的测量设备的血糖数据测量情况，应包括：血糖测量用户；血糖异常用户；血糖测量次数；血糖异常次数。</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上海健康云、携康、安测健康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43</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康洋小屋服务终端</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配置为1080P（1920*1080）高清43寸LED屏幕、屏幕红外触控、WIFI连接、Android 系统、人脸识别系统、扫码登录系统、健康体征打印系统；</w:t>
            </w:r>
            <w:r>
              <w:rPr>
                <w:rFonts w:hint="eastAsia" w:ascii="宋体" w:hAnsi="宋体" w:cs="宋体"/>
                <w:kern w:val="0"/>
                <w:sz w:val="20"/>
                <w:szCs w:val="20"/>
              </w:rPr>
              <w:br w:type="textWrapping"/>
            </w:r>
            <w:r>
              <w:rPr>
                <w:rFonts w:hint="eastAsia" w:ascii="宋体" w:hAnsi="宋体" w:cs="宋体"/>
                <w:kern w:val="0"/>
                <w:sz w:val="20"/>
                <w:szCs w:val="20"/>
              </w:rPr>
              <w:t>功能如下：</w:t>
            </w:r>
            <w:r>
              <w:rPr>
                <w:rFonts w:hint="eastAsia" w:ascii="宋体" w:hAnsi="宋体" w:cs="宋体"/>
                <w:kern w:val="0"/>
                <w:sz w:val="20"/>
                <w:szCs w:val="20"/>
              </w:rPr>
              <w:br w:type="textWrapping"/>
            </w:r>
            <w:r>
              <w:rPr>
                <w:rFonts w:hint="eastAsia" w:ascii="宋体" w:hAnsi="宋体" w:cs="宋体"/>
                <w:kern w:val="0"/>
                <w:sz w:val="20"/>
                <w:szCs w:val="20"/>
              </w:rPr>
              <w:t>1. 实名认证</w:t>
            </w:r>
            <w:r>
              <w:rPr>
                <w:rFonts w:hint="eastAsia" w:ascii="宋体" w:hAnsi="宋体" w:cs="宋体"/>
                <w:kern w:val="0"/>
                <w:sz w:val="20"/>
                <w:szCs w:val="20"/>
              </w:rPr>
              <w:br w:type="textWrapping"/>
            </w:r>
            <w:r>
              <w:rPr>
                <w:rFonts w:hint="eastAsia" w:ascii="宋体" w:hAnsi="宋体" w:cs="宋体"/>
                <w:kern w:val="0"/>
                <w:sz w:val="20"/>
                <w:szCs w:val="20"/>
              </w:rPr>
              <w:t>居民通过健康小屋服务终端通过读取身份证、社保卡刷卡信息以及进行人脸识别完成身份认证，进行系统登录。</w:t>
            </w:r>
            <w:r>
              <w:rPr>
                <w:rFonts w:hint="eastAsia" w:ascii="宋体" w:hAnsi="宋体" w:cs="宋体"/>
                <w:kern w:val="0"/>
                <w:sz w:val="20"/>
                <w:szCs w:val="20"/>
              </w:rPr>
              <w:br w:type="textWrapping"/>
            </w:r>
            <w:r>
              <w:rPr>
                <w:rFonts w:hint="eastAsia" w:ascii="宋体" w:hAnsi="宋体" w:cs="宋体"/>
                <w:kern w:val="0"/>
                <w:sz w:val="20"/>
                <w:szCs w:val="20"/>
              </w:rPr>
              <w:t>2. 体征测量录入及测量点查询</w:t>
            </w:r>
            <w:r>
              <w:rPr>
                <w:rFonts w:hint="eastAsia" w:ascii="宋体" w:hAnsi="宋体" w:cs="宋体"/>
                <w:kern w:val="0"/>
                <w:sz w:val="20"/>
                <w:szCs w:val="20"/>
              </w:rPr>
              <w:br w:type="textWrapping"/>
            </w:r>
            <w:r>
              <w:rPr>
                <w:rFonts w:hint="eastAsia" w:ascii="宋体" w:hAnsi="宋体" w:cs="宋体"/>
                <w:kern w:val="0"/>
                <w:sz w:val="20"/>
                <w:szCs w:val="20"/>
              </w:rPr>
              <w:t>可在线查询附近的自助测量点，且可手动录入身高、体重、腰围的测量数据。</w:t>
            </w:r>
            <w:r>
              <w:rPr>
                <w:rFonts w:hint="eastAsia" w:ascii="宋体" w:hAnsi="宋体" w:cs="宋体"/>
                <w:kern w:val="0"/>
                <w:sz w:val="20"/>
                <w:szCs w:val="20"/>
              </w:rPr>
              <w:br w:type="textWrapping"/>
            </w:r>
            <w:r>
              <w:rPr>
                <w:rFonts w:hint="eastAsia" w:ascii="宋体" w:hAnsi="宋体" w:cs="宋体"/>
                <w:kern w:val="0"/>
                <w:sz w:val="20"/>
                <w:szCs w:val="20"/>
              </w:rPr>
              <w:t>3. 健康档案查询</w:t>
            </w:r>
            <w:r>
              <w:rPr>
                <w:rFonts w:hint="eastAsia" w:ascii="宋体" w:hAnsi="宋体" w:cs="宋体"/>
                <w:kern w:val="0"/>
                <w:sz w:val="20"/>
                <w:szCs w:val="20"/>
              </w:rPr>
              <w:br w:type="textWrapping"/>
            </w:r>
            <w:r>
              <w:rPr>
                <w:rFonts w:hint="eastAsia" w:ascii="宋体" w:hAnsi="宋体" w:cs="宋体"/>
                <w:kern w:val="0"/>
                <w:sz w:val="20"/>
                <w:szCs w:val="20"/>
              </w:rPr>
              <w:t>可在线查看体征数据及就诊记录、用药清单、住院史、检查报告等信息。</w:t>
            </w:r>
            <w:r>
              <w:rPr>
                <w:rFonts w:hint="eastAsia" w:ascii="宋体" w:hAnsi="宋体" w:cs="宋体"/>
                <w:kern w:val="0"/>
                <w:sz w:val="20"/>
                <w:szCs w:val="20"/>
              </w:rPr>
              <w:br w:type="textWrapping"/>
            </w:r>
            <w:r>
              <w:rPr>
                <w:rFonts w:hint="eastAsia" w:ascii="宋体" w:hAnsi="宋体" w:cs="宋体"/>
                <w:kern w:val="0"/>
                <w:sz w:val="20"/>
                <w:szCs w:val="20"/>
              </w:rPr>
              <w:t>4. 预约挂号</w:t>
            </w:r>
            <w:r>
              <w:rPr>
                <w:rFonts w:hint="eastAsia" w:ascii="宋体" w:hAnsi="宋体" w:cs="宋体"/>
                <w:kern w:val="0"/>
                <w:sz w:val="20"/>
                <w:szCs w:val="20"/>
              </w:rPr>
              <w:br w:type="textWrapping"/>
            </w:r>
            <w:r>
              <w:rPr>
                <w:rFonts w:hint="eastAsia" w:ascii="宋体" w:hAnsi="宋体" w:cs="宋体"/>
                <w:kern w:val="0"/>
                <w:sz w:val="20"/>
                <w:szCs w:val="20"/>
              </w:rPr>
              <w:t>可在线预约长三角号源，预约成功后通过APP通知，亦可通过健康小屋服务终端可打印预约凭条。</w:t>
            </w:r>
            <w:r>
              <w:rPr>
                <w:rFonts w:hint="eastAsia" w:ascii="宋体" w:hAnsi="宋体" w:cs="宋体"/>
                <w:kern w:val="0"/>
                <w:sz w:val="20"/>
                <w:szCs w:val="20"/>
              </w:rPr>
              <w:br w:type="textWrapping"/>
            </w:r>
            <w:r>
              <w:rPr>
                <w:rFonts w:hint="eastAsia" w:ascii="宋体" w:hAnsi="宋体" w:cs="宋体"/>
                <w:kern w:val="0"/>
                <w:sz w:val="20"/>
                <w:szCs w:val="20"/>
              </w:rPr>
              <w:t xml:space="preserve">5. 居民在线咨询 </w:t>
            </w:r>
            <w:r>
              <w:rPr>
                <w:rFonts w:hint="eastAsia" w:ascii="宋体" w:hAnsi="宋体" w:cs="宋体"/>
                <w:kern w:val="0"/>
                <w:sz w:val="20"/>
                <w:szCs w:val="20"/>
              </w:rPr>
              <w:br w:type="textWrapping"/>
            </w:r>
            <w:r>
              <w:rPr>
                <w:rFonts w:hint="eastAsia" w:ascii="宋体" w:hAnsi="宋体" w:cs="宋体"/>
                <w:kern w:val="0"/>
                <w:sz w:val="20"/>
                <w:szCs w:val="20"/>
              </w:rPr>
              <w:t>通过健康小屋服务终端登录后，咨询与医疗健康有关的问题，支持语音、文字、图片等形式。</w:t>
            </w:r>
            <w:r>
              <w:rPr>
                <w:rFonts w:hint="eastAsia" w:ascii="宋体" w:hAnsi="宋体" w:cs="宋体"/>
                <w:kern w:val="0"/>
                <w:sz w:val="20"/>
                <w:szCs w:val="20"/>
              </w:rPr>
              <w:br w:type="textWrapping"/>
            </w:r>
            <w:r>
              <w:rPr>
                <w:rFonts w:hint="eastAsia" w:ascii="宋体" w:hAnsi="宋体" w:cs="宋体"/>
                <w:kern w:val="0"/>
                <w:sz w:val="20"/>
                <w:szCs w:val="20"/>
              </w:rPr>
              <w:t xml:space="preserve">6. 健康评估 </w:t>
            </w:r>
            <w:r>
              <w:rPr>
                <w:rFonts w:hint="eastAsia" w:ascii="宋体" w:hAnsi="宋体" w:cs="宋体"/>
                <w:kern w:val="0"/>
                <w:sz w:val="20"/>
                <w:szCs w:val="20"/>
              </w:rPr>
              <w:br w:type="textWrapping"/>
            </w:r>
            <w:r>
              <w:rPr>
                <w:rFonts w:hint="eastAsia" w:ascii="宋体" w:hAnsi="宋体" w:cs="宋体"/>
                <w:kern w:val="0"/>
                <w:sz w:val="20"/>
                <w:szCs w:val="20"/>
              </w:rPr>
              <w:t>通过健康小屋服务终端对综合体征监测、问卷调查分析进行健康评估，通过健康自评量表等工具，提供现场自我健康评估，包括：生活方式自评（身体活动、饮酒、饮食）、心理健康自评、儿童健康自评、妇女健康自评、老年人健康自评、中医体质辨识自评、疾病风险自评等。（脑卒中辨识自评）</w:t>
            </w:r>
            <w:r>
              <w:rPr>
                <w:rFonts w:hint="eastAsia" w:ascii="宋体" w:hAnsi="宋体" w:cs="宋体"/>
                <w:kern w:val="0"/>
                <w:sz w:val="20"/>
                <w:szCs w:val="20"/>
              </w:rPr>
              <w:br w:type="textWrapping"/>
            </w:r>
            <w:r>
              <w:rPr>
                <w:rFonts w:hint="eastAsia" w:ascii="宋体" w:hAnsi="宋体" w:cs="宋体"/>
                <w:kern w:val="0"/>
                <w:sz w:val="20"/>
                <w:szCs w:val="20"/>
              </w:rPr>
              <w:t>7. 慢病管理</w:t>
            </w:r>
            <w:r>
              <w:rPr>
                <w:rFonts w:hint="eastAsia" w:ascii="宋体" w:hAnsi="宋体" w:cs="宋体"/>
                <w:kern w:val="0"/>
                <w:sz w:val="20"/>
                <w:szCs w:val="20"/>
              </w:rPr>
              <w:br w:type="textWrapping"/>
            </w:r>
            <w:r>
              <w:rPr>
                <w:rFonts w:hint="eastAsia" w:ascii="宋体" w:hAnsi="宋体" w:cs="宋体"/>
                <w:kern w:val="0"/>
                <w:sz w:val="20"/>
                <w:szCs w:val="20"/>
              </w:rPr>
              <w:t>针对慢性病高危人群和确诊患者的体征指标数据的监测跟踪和管理，实施定制化的用药提醒、随访提醒、报告查看、医生建议等。</w:t>
            </w:r>
            <w:r>
              <w:rPr>
                <w:rFonts w:hint="eastAsia" w:ascii="宋体" w:hAnsi="宋体" w:cs="宋体"/>
                <w:kern w:val="0"/>
                <w:sz w:val="20"/>
                <w:szCs w:val="20"/>
              </w:rPr>
              <w:br w:type="textWrapping"/>
            </w:r>
            <w:r>
              <w:rPr>
                <w:rFonts w:hint="eastAsia" w:ascii="宋体" w:hAnsi="宋体" w:cs="宋体"/>
                <w:kern w:val="0"/>
                <w:sz w:val="20"/>
                <w:szCs w:val="20"/>
              </w:rPr>
              <w:t>8. 智能问诊</w:t>
            </w:r>
            <w:r>
              <w:rPr>
                <w:rFonts w:hint="eastAsia" w:ascii="宋体" w:hAnsi="宋体" w:cs="宋体"/>
                <w:kern w:val="0"/>
                <w:sz w:val="20"/>
                <w:szCs w:val="20"/>
              </w:rPr>
              <w:br w:type="textWrapping"/>
            </w:r>
            <w:r>
              <w:rPr>
                <w:rFonts w:hint="eastAsia" w:ascii="宋体" w:hAnsi="宋体" w:cs="宋体"/>
                <w:kern w:val="0"/>
                <w:sz w:val="20"/>
                <w:szCs w:val="20"/>
              </w:rPr>
              <w:t>基于知识库，通过一系列的有针对性的智能问答，判断是否患病及提供进一步诊疗建议。</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left"/>
              <w:rPr>
                <w:sz w:val="20"/>
                <w:szCs w:val="20"/>
              </w:rPr>
            </w:pPr>
            <w:r>
              <w:rPr>
                <w:rFonts w:hint="eastAsia" w:ascii="宋体" w:hAnsi="宋体" w:cs="宋体"/>
                <w:kern w:val="0"/>
                <w:sz w:val="20"/>
                <w:szCs w:val="20"/>
              </w:rPr>
              <w:t>上海健康云、医合智联、携康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44</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智能售药机</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电压AC220V/50Hz，防触电保护</w:t>
            </w:r>
            <w:r>
              <w:rPr>
                <w:rFonts w:hint="eastAsia" w:ascii="宋体" w:hAnsi="宋体" w:cs="宋体"/>
                <w:kern w:val="0"/>
                <w:sz w:val="20"/>
                <w:szCs w:val="20"/>
              </w:rPr>
              <w:br w:type="textWrapping"/>
            </w:r>
            <w:r>
              <w:rPr>
                <w:rFonts w:hint="eastAsia" w:ascii="宋体" w:hAnsi="宋体" w:cs="宋体"/>
                <w:kern w:val="0"/>
                <w:sz w:val="20"/>
                <w:szCs w:val="20"/>
              </w:rPr>
              <w:t>打印模块支持购药小票打印,满足药品GSP追踪</w:t>
            </w:r>
            <w:r>
              <w:rPr>
                <w:rFonts w:hint="eastAsia" w:ascii="宋体" w:hAnsi="宋体" w:cs="宋体"/>
                <w:kern w:val="0"/>
                <w:sz w:val="20"/>
                <w:szCs w:val="20"/>
              </w:rPr>
              <w:br w:type="textWrapping"/>
            </w:r>
            <w:r>
              <w:rPr>
                <w:rFonts w:hint="eastAsia" w:ascii="宋体" w:hAnsi="宋体" w:cs="宋体"/>
                <w:kern w:val="0"/>
                <w:sz w:val="20"/>
                <w:szCs w:val="20"/>
              </w:rPr>
              <w:t>显示屏55寸,LG/AU/Innolux，分辨率:1920*1080像素，亮度350 cd/m2</w:t>
            </w:r>
            <w:r>
              <w:rPr>
                <w:rFonts w:hint="eastAsia" w:ascii="宋体" w:hAnsi="宋体" w:cs="宋体"/>
                <w:kern w:val="0"/>
                <w:sz w:val="20"/>
                <w:szCs w:val="20"/>
              </w:rPr>
              <w:br w:type="textWrapping"/>
            </w:r>
            <w:r>
              <w:rPr>
                <w:rFonts w:hint="eastAsia" w:ascii="宋体" w:hAnsi="宋体" w:cs="宋体"/>
                <w:kern w:val="0"/>
                <w:sz w:val="20"/>
                <w:szCs w:val="20"/>
              </w:rPr>
              <w:t>触摸屏55寸红外10点触摸，触控响应速度:&lt;15ms</w:t>
            </w:r>
            <w:r>
              <w:rPr>
                <w:rFonts w:hint="eastAsia" w:ascii="宋体" w:hAnsi="宋体" w:cs="宋体"/>
                <w:kern w:val="0"/>
                <w:sz w:val="20"/>
                <w:szCs w:val="20"/>
              </w:rPr>
              <w:br w:type="textWrapping"/>
            </w:r>
            <w:r>
              <w:rPr>
                <w:rFonts w:hint="eastAsia" w:ascii="宋体" w:hAnsi="宋体" w:cs="宋体"/>
                <w:kern w:val="0"/>
                <w:sz w:val="20"/>
                <w:szCs w:val="20"/>
              </w:rPr>
              <w:t>工控机安卓主板,瑞芯微RK3288，8G存储内存,2G运行内存</w:t>
            </w:r>
            <w:r>
              <w:rPr>
                <w:rFonts w:hint="eastAsia" w:ascii="宋体" w:hAnsi="宋体" w:cs="宋体"/>
                <w:kern w:val="0"/>
                <w:sz w:val="20"/>
                <w:szCs w:val="20"/>
              </w:rPr>
              <w:br w:type="textWrapping"/>
            </w:r>
            <w:r>
              <w:rPr>
                <w:rFonts w:hint="eastAsia" w:ascii="宋体" w:hAnsi="宋体" w:cs="宋体"/>
                <w:kern w:val="0"/>
                <w:sz w:val="20"/>
                <w:szCs w:val="20"/>
              </w:rPr>
              <w:t>单片机货道专用板子，支持货道合并和红外灯补货检测</w:t>
            </w:r>
            <w:r>
              <w:rPr>
                <w:rFonts w:hint="eastAsia" w:ascii="宋体" w:hAnsi="宋体" w:cs="宋体"/>
                <w:kern w:val="0"/>
                <w:sz w:val="20"/>
                <w:szCs w:val="20"/>
              </w:rPr>
              <w:br w:type="textWrapping"/>
            </w:r>
            <w:r>
              <w:rPr>
                <w:rFonts w:hint="eastAsia" w:ascii="宋体" w:hAnsi="宋体" w:cs="宋体"/>
                <w:kern w:val="0"/>
                <w:sz w:val="20"/>
                <w:szCs w:val="20"/>
              </w:rPr>
              <w:t>选单操作红外触摸屏选单购买(安卓系统)</w:t>
            </w:r>
            <w:r>
              <w:rPr>
                <w:rFonts w:hint="eastAsia" w:ascii="宋体" w:hAnsi="宋体" w:cs="宋体"/>
                <w:kern w:val="0"/>
                <w:sz w:val="20"/>
                <w:szCs w:val="20"/>
              </w:rPr>
              <w:br w:type="textWrapping"/>
            </w:r>
            <w:r>
              <w:rPr>
                <w:rFonts w:hint="eastAsia" w:ascii="宋体" w:hAnsi="宋体" w:cs="宋体"/>
                <w:kern w:val="0"/>
                <w:sz w:val="20"/>
                <w:szCs w:val="20"/>
              </w:rPr>
              <w:t>支付方式微信/支付宝(可选配支付宝刷脸摄像头)</w:t>
            </w:r>
            <w:r>
              <w:rPr>
                <w:rFonts w:hint="eastAsia" w:ascii="宋体" w:hAnsi="宋体" w:cs="宋体"/>
                <w:kern w:val="0"/>
                <w:sz w:val="20"/>
                <w:szCs w:val="20"/>
              </w:rPr>
              <w:br w:type="textWrapping"/>
            </w:r>
            <w:r>
              <w:rPr>
                <w:rFonts w:hint="eastAsia" w:ascii="宋体" w:hAnsi="宋体" w:cs="宋体"/>
                <w:kern w:val="0"/>
                <w:sz w:val="20"/>
                <w:szCs w:val="20"/>
              </w:rPr>
              <w:t>网络要求支持连接WIFI、4G物联卡</w:t>
            </w:r>
            <w:r>
              <w:rPr>
                <w:rFonts w:hint="eastAsia" w:ascii="宋体" w:hAnsi="宋体" w:cs="宋体"/>
                <w:kern w:val="0"/>
                <w:sz w:val="20"/>
                <w:szCs w:val="20"/>
              </w:rPr>
              <w:br w:type="textWrapping"/>
            </w:r>
            <w:r>
              <w:rPr>
                <w:rFonts w:hint="eastAsia" w:ascii="宋体" w:hAnsi="宋体" w:cs="宋体"/>
                <w:kern w:val="0"/>
                <w:sz w:val="20"/>
                <w:szCs w:val="20"/>
              </w:rPr>
              <w:t>制冷系统恒温控湿压缩机，保证箱体温度:12-20°，湿度:35-75%</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云印、药尚、米歌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45</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基础维护</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电力工程</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项</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46</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吊顶</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轻钢龙骨石膏板吊顶</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37</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47</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吸顶灯</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吸顶灯</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4</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雷士、欧普、三雄极光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48</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顶面腻子</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腻子三遍</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37.00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49</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顶面乳胶漆</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顶面乳胶漆</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37.00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50</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墙面腻子</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墙面腻子</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92.00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51</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墙面乳胶漆</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墙面乳胶漆</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80.00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52</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墙面彩绘</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艺术造型</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22.00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53</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铝板造型云</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成品铝板定做</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1.00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54</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门洞造型改造</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挖造型、修补</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1.00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项</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55</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造型墙基层</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轻钢龙骨</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14.00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56</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造型墙基层</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木工板基层</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14.00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57</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造型墙面层</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石膏板面层</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14.00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58</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造型墙灯带</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LED灯带含电源适配器</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15.00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米</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59</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造型墙写真</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雪弗板写真</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1.00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项</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60</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上墙说明牌</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雪弗板</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8.00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个</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61</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桌子</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宽≥70cm 高≥75cm</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1.00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个</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62</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椅子</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长≥40cm 宽≥70cm 高≥80cm</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4.00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把</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63</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地面自流平</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地面自流平</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37.00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64</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地面PVC</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地面PVC</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37.00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65</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门头造型</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钢骨架基层、不锈钢面层、表面喷漆、灯槽、灯带</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1.00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项</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66</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室外门头字体</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室外门头字体</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1.00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67</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门头灯塔</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门头灯塔</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1.00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68</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其他杂项</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含脚手架、保洁及垃圾清运等</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1.00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项</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69</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restart"/>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体育健康</w:t>
            </w: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网络单车</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硬件设备：电脑主机1台：商用办公台式机、操作系统：win10 64位、硬盘：128固态、</w:t>
            </w:r>
            <w:r>
              <w:rPr>
                <w:rFonts w:hint="eastAsia" w:ascii="宋体" w:hAnsi="宋体" w:cs="宋体"/>
                <w:kern w:val="0"/>
                <w:sz w:val="20"/>
                <w:szCs w:val="20"/>
              </w:rPr>
              <w:br w:type="textWrapping"/>
            </w:r>
            <w:r>
              <w:rPr>
                <w:rFonts w:hint="eastAsia" w:ascii="宋体" w:hAnsi="宋体" w:cs="宋体"/>
                <w:kern w:val="0"/>
                <w:sz w:val="20"/>
                <w:szCs w:val="20"/>
              </w:rPr>
              <w:t>处理器：I3 10代、显卡：集成显卡内存：8G</w:t>
            </w:r>
            <w:r>
              <w:rPr>
                <w:rFonts w:hint="eastAsia" w:ascii="宋体" w:hAnsi="宋体" w:cs="宋体"/>
                <w:kern w:val="0"/>
                <w:sz w:val="20"/>
                <w:szCs w:val="20"/>
              </w:rPr>
              <w:br w:type="textWrapping"/>
            </w:r>
            <w:r>
              <w:rPr>
                <w:rFonts w:hint="eastAsia" w:ascii="宋体" w:hAnsi="宋体" w:cs="宋体"/>
                <w:kern w:val="0"/>
                <w:sz w:val="20"/>
                <w:szCs w:val="20"/>
              </w:rPr>
              <w:t>主控装置1台：多点触控27寸电容屏，可快速实现切换场景、选择模式、实时监控学员心率等所有系统操控与显示</w:t>
            </w:r>
            <w:r>
              <w:rPr>
                <w:rFonts w:hint="eastAsia" w:ascii="宋体" w:hAnsi="宋体" w:cs="宋体"/>
                <w:kern w:val="0"/>
                <w:sz w:val="20"/>
                <w:szCs w:val="20"/>
              </w:rPr>
              <w:br w:type="textWrapping"/>
            </w:r>
            <w:r>
              <w:rPr>
                <w:rFonts w:hint="eastAsia" w:ascii="宋体" w:hAnsi="宋体" w:cs="宋体"/>
                <w:kern w:val="0"/>
                <w:sz w:val="20"/>
                <w:szCs w:val="20"/>
              </w:rPr>
              <w:t>无线踏频器4台：采集学员骑行的踏频数据</w:t>
            </w:r>
            <w:r>
              <w:rPr>
                <w:rFonts w:hint="eastAsia" w:ascii="宋体" w:hAnsi="宋体" w:cs="宋体"/>
                <w:kern w:val="0"/>
                <w:sz w:val="20"/>
                <w:szCs w:val="20"/>
              </w:rPr>
              <w:br w:type="textWrapping"/>
            </w:r>
            <w:r>
              <w:rPr>
                <w:rFonts w:hint="eastAsia" w:ascii="宋体" w:hAnsi="宋体" w:cs="宋体"/>
                <w:kern w:val="0"/>
                <w:sz w:val="20"/>
                <w:szCs w:val="20"/>
              </w:rPr>
              <w:t>无线接收器1台：对无线踏频器数据进行接收和处理</w:t>
            </w:r>
            <w:r>
              <w:rPr>
                <w:rFonts w:hint="eastAsia" w:ascii="宋体" w:hAnsi="宋体" w:cs="宋体"/>
                <w:kern w:val="0"/>
                <w:sz w:val="20"/>
                <w:szCs w:val="20"/>
              </w:rPr>
              <w:br w:type="textWrapping"/>
            </w:r>
            <w:r>
              <w:rPr>
                <w:rFonts w:hint="eastAsia" w:ascii="宋体" w:hAnsi="宋体" w:cs="宋体"/>
                <w:kern w:val="0"/>
                <w:sz w:val="20"/>
                <w:szCs w:val="20"/>
              </w:rPr>
              <w:t>路由器1台：频率范围：单频2.4GHz最高传输速率：300Mbps网络接口：1个10/100Mbps WAN口，3个....&gt;&gt;天线增益：5dBi 天线数量：4</w:t>
            </w:r>
            <w:r>
              <w:rPr>
                <w:rFonts w:hint="eastAsia" w:ascii="宋体" w:hAnsi="宋体" w:cs="宋体"/>
                <w:kern w:val="0"/>
                <w:sz w:val="20"/>
                <w:szCs w:val="20"/>
              </w:rPr>
              <w:br w:type="textWrapping"/>
            </w:r>
            <w:r>
              <w:rPr>
                <w:rFonts w:hint="eastAsia" w:ascii="宋体" w:hAnsi="宋体" w:cs="宋体"/>
                <w:kern w:val="0"/>
                <w:sz w:val="20"/>
                <w:szCs w:val="20"/>
              </w:rPr>
              <w:t>功能：</w:t>
            </w:r>
            <w:r>
              <w:rPr>
                <w:rFonts w:hint="eastAsia" w:ascii="宋体" w:hAnsi="宋体" w:cs="宋体"/>
                <w:kern w:val="0"/>
                <w:sz w:val="20"/>
                <w:szCs w:val="20"/>
              </w:rPr>
              <w:br w:type="textWrapping"/>
            </w:r>
            <w:r>
              <w:rPr>
                <w:rFonts w:hint="eastAsia" w:ascii="宋体" w:hAnsi="宋体" w:cs="宋体"/>
                <w:kern w:val="0"/>
                <w:sz w:val="20"/>
                <w:szCs w:val="20"/>
              </w:rPr>
              <w:t>①多人同屏互动：能够采集、监测、显示会员骑行数据，辅助教练课程指导，让单车课更专业有效</w:t>
            </w:r>
            <w:r>
              <w:rPr>
                <w:rFonts w:hint="eastAsia" w:ascii="宋体" w:hAnsi="宋体" w:cs="宋体"/>
                <w:kern w:val="0"/>
                <w:sz w:val="20"/>
                <w:szCs w:val="20"/>
              </w:rPr>
              <w:br w:type="textWrapping"/>
            </w:r>
            <w:r>
              <w:rPr>
                <w:rFonts w:hint="eastAsia" w:ascii="宋体" w:hAnsi="宋体" w:cs="宋体"/>
                <w:kern w:val="0"/>
                <w:sz w:val="20"/>
                <w:szCs w:val="20"/>
              </w:rPr>
              <w:t>②实景漫游画面：画质清晰流畅，实景拍摄，让室内骑行同样享受自然风光，共有80个骑行实景</w:t>
            </w:r>
            <w:r>
              <w:rPr>
                <w:rFonts w:hint="eastAsia" w:ascii="宋体" w:hAnsi="宋体" w:cs="宋体"/>
                <w:kern w:val="0"/>
                <w:sz w:val="20"/>
                <w:szCs w:val="20"/>
              </w:rPr>
              <w:br w:type="textWrapping"/>
            </w:r>
            <w:r>
              <w:rPr>
                <w:rFonts w:hint="eastAsia" w:ascii="宋体" w:hAnsi="宋体" w:cs="宋体"/>
                <w:kern w:val="0"/>
                <w:sz w:val="20"/>
                <w:szCs w:val="20"/>
              </w:rPr>
              <w:t>③全员匹配机制：加强团队协作，让会员更有积极性和团队荣誉感；</w:t>
            </w:r>
            <w:r>
              <w:rPr>
                <w:rFonts w:hint="eastAsia" w:ascii="宋体" w:hAnsi="宋体" w:cs="宋体"/>
                <w:kern w:val="0"/>
                <w:sz w:val="20"/>
                <w:szCs w:val="20"/>
              </w:rPr>
              <w:br w:type="textWrapping"/>
            </w:r>
            <w:r>
              <w:rPr>
                <w:rFonts w:hint="eastAsia" w:ascii="宋体" w:hAnsi="宋体" w:cs="宋体"/>
                <w:kern w:val="0"/>
                <w:sz w:val="20"/>
                <w:szCs w:val="20"/>
              </w:rPr>
              <w:t>④对战PK机制：匹配机制与PK机制一键切换，PK机制会员随机分成两组相互角逐，让骑行激情无限</w:t>
            </w:r>
            <w:r>
              <w:rPr>
                <w:rFonts w:hint="eastAsia" w:ascii="宋体" w:hAnsi="宋体" w:cs="宋体"/>
                <w:kern w:val="0"/>
                <w:sz w:val="20"/>
                <w:szCs w:val="20"/>
              </w:rPr>
              <w:br w:type="textWrapping"/>
            </w:r>
            <w:r>
              <w:rPr>
                <w:rFonts w:hint="eastAsia" w:ascii="宋体" w:hAnsi="宋体" w:cs="宋体"/>
                <w:kern w:val="0"/>
                <w:sz w:val="20"/>
                <w:szCs w:val="20"/>
              </w:rPr>
              <w:t>⑤精美主题骑行：九大主题骑行，让会员欣赏不一样的风光；教练更好的安排课程，带入感更强烈</w:t>
            </w:r>
            <w:r>
              <w:rPr>
                <w:rFonts w:hint="eastAsia" w:ascii="宋体" w:hAnsi="宋体" w:cs="宋体"/>
                <w:kern w:val="0"/>
                <w:sz w:val="20"/>
                <w:szCs w:val="20"/>
              </w:rPr>
              <w:br w:type="textWrapping"/>
            </w:r>
            <w:r>
              <w:rPr>
                <w:rFonts w:hint="eastAsia" w:ascii="宋体" w:hAnsi="宋体" w:cs="宋体"/>
                <w:kern w:val="0"/>
                <w:sz w:val="20"/>
                <w:szCs w:val="20"/>
              </w:rPr>
              <w:t>⑥数据采集分享：扫码登录搜集骑行数据，可一键分享至社交圈</w:t>
            </w:r>
            <w:r>
              <w:rPr>
                <w:rFonts w:hint="eastAsia" w:ascii="宋体" w:hAnsi="宋体" w:cs="宋体"/>
                <w:kern w:val="0"/>
                <w:sz w:val="20"/>
                <w:szCs w:val="20"/>
              </w:rPr>
              <w:br w:type="textWrapping"/>
            </w:r>
            <w:r>
              <w:rPr>
                <w:rFonts w:hint="eastAsia" w:ascii="宋体" w:hAnsi="宋体" w:cs="宋体"/>
                <w:kern w:val="0"/>
                <w:sz w:val="20"/>
                <w:szCs w:val="20"/>
              </w:rPr>
              <w:t>⑦里程赛模式：为活动而生，提高活动的娱乐性，活跃氛围.</w:t>
            </w:r>
            <w:r>
              <w:rPr>
                <w:rFonts w:hint="eastAsia" w:ascii="宋体" w:hAnsi="宋体" w:cs="宋体"/>
                <w:kern w:val="0"/>
                <w:sz w:val="20"/>
                <w:szCs w:val="20"/>
              </w:rPr>
              <w:br w:type="textWrapping"/>
            </w:r>
            <w:r>
              <w:rPr>
                <w:rFonts w:hint="eastAsia" w:ascii="宋体" w:hAnsi="宋体" w:cs="宋体"/>
                <w:kern w:val="0"/>
                <w:sz w:val="20"/>
                <w:szCs w:val="20"/>
              </w:rPr>
              <w:t>⑧虚拟竞速模式：扮演3D角色在丰富的赛道内进行速度比拼，具有很高的竞技性"</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力景特、小米、踏行天际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70</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投影仪</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投影尺寸：27-309英寸</w:t>
            </w:r>
            <w:r>
              <w:rPr>
                <w:rFonts w:hint="eastAsia" w:ascii="宋体" w:hAnsi="宋体" w:cs="宋体"/>
                <w:kern w:val="0"/>
                <w:sz w:val="20"/>
                <w:szCs w:val="20"/>
              </w:rPr>
              <w:br w:type="textWrapping"/>
            </w:r>
            <w:r>
              <w:rPr>
                <w:rFonts w:hint="eastAsia" w:ascii="宋体" w:hAnsi="宋体" w:cs="宋体"/>
                <w:kern w:val="0"/>
                <w:sz w:val="20"/>
                <w:szCs w:val="20"/>
              </w:rPr>
              <w:t>屏幕比例：4:3/16:9</w:t>
            </w:r>
            <w:r>
              <w:rPr>
                <w:rFonts w:hint="eastAsia" w:ascii="宋体" w:hAnsi="宋体" w:cs="宋体"/>
                <w:kern w:val="0"/>
                <w:sz w:val="20"/>
                <w:szCs w:val="20"/>
              </w:rPr>
              <w:br w:type="textWrapping"/>
            </w:r>
            <w:r>
              <w:rPr>
                <w:rFonts w:hint="eastAsia" w:ascii="宋体" w:hAnsi="宋体" w:cs="宋体"/>
                <w:kern w:val="0"/>
                <w:sz w:val="20"/>
                <w:szCs w:val="20"/>
              </w:rPr>
              <w:t>投影技术：DLP</w:t>
            </w:r>
            <w:r>
              <w:rPr>
                <w:rFonts w:hint="eastAsia" w:ascii="宋体" w:hAnsi="宋体" w:cs="宋体"/>
                <w:kern w:val="0"/>
                <w:sz w:val="20"/>
                <w:szCs w:val="20"/>
              </w:rPr>
              <w:br w:type="textWrapping"/>
            </w:r>
            <w:r>
              <w:rPr>
                <w:rFonts w:hint="eastAsia" w:ascii="宋体" w:hAnsi="宋体" w:cs="宋体"/>
                <w:kern w:val="0"/>
                <w:sz w:val="20"/>
                <w:szCs w:val="20"/>
              </w:rPr>
              <w:t>投影机特性：短焦</w:t>
            </w:r>
            <w:r>
              <w:rPr>
                <w:rFonts w:hint="eastAsia" w:ascii="宋体" w:hAnsi="宋体" w:cs="宋体"/>
                <w:kern w:val="0"/>
                <w:sz w:val="20"/>
                <w:szCs w:val="20"/>
              </w:rPr>
              <w:br w:type="textWrapping"/>
            </w:r>
            <w:r>
              <w:rPr>
                <w:rFonts w:hint="eastAsia" w:ascii="宋体" w:hAnsi="宋体" w:cs="宋体"/>
                <w:kern w:val="0"/>
                <w:sz w:val="20"/>
                <w:szCs w:val="20"/>
              </w:rPr>
              <w:t>亮度：4000流明</w:t>
            </w:r>
            <w:r>
              <w:rPr>
                <w:rFonts w:hint="eastAsia" w:ascii="宋体" w:hAnsi="宋体" w:cs="宋体"/>
                <w:kern w:val="0"/>
                <w:sz w:val="20"/>
                <w:szCs w:val="20"/>
              </w:rPr>
              <w:br w:type="textWrapping"/>
            </w:r>
            <w:r>
              <w:rPr>
                <w:rFonts w:hint="eastAsia" w:ascii="宋体" w:hAnsi="宋体" w:cs="宋体"/>
                <w:kern w:val="0"/>
                <w:sz w:val="20"/>
                <w:szCs w:val="20"/>
              </w:rPr>
              <w:t>对比度：300000:1</w:t>
            </w:r>
            <w:r>
              <w:rPr>
                <w:rFonts w:hint="eastAsia" w:ascii="宋体" w:hAnsi="宋体" w:cs="宋体"/>
                <w:kern w:val="0"/>
                <w:sz w:val="20"/>
                <w:szCs w:val="20"/>
              </w:rPr>
              <w:br w:type="textWrapping"/>
            </w:r>
            <w:r>
              <w:rPr>
                <w:rFonts w:hint="eastAsia" w:ascii="宋体" w:hAnsi="宋体" w:cs="宋体"/>
                <w:kern w:val="0"/>
                <w:sz w:val="20"/>
                <w:szCs w:val="20"/>
              </w:rPr>
              <w:t>标准分辨率：1080P（1920*1080）</w:t>
            </w:r>
            <w:r>
              <w:rPr>
                <w:rFonts w:hint="eastAsia" w:ascii="宋体" w:hAnsi="宋体" w:cs="宋体"/>
                <w:kern w:val="0"/>
                <w:sz w:val="20"/>
                <w:szCs w:val="20"/>
              </w:rPr>
              <w:br w:type="textWrapping"/>
            </w:r>
            <w:r>
              <w:rPr>
                <w:rFonts w:hint="eastAsia" w:ascii="宋体" w:hAnsi="宋体" w:cs="宋体"/>
                <w:kern w:val="0"/>
                <w:sz w:val="20"/>
                <w:szCs w:val="20"/>
              </w:rPr>
              <w:t>色彩数目：10.7亿色</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松下、索尼、爱普生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71</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立式健身车</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xml:space="preserve">1.电子表类型：10"LED背光显示 </w:t>
            </w:r>
            <w:r>
              <w:rPr>
                <w:rFonts w:hint="eastAsia" w:ascii="宋体" w:hAnsi="宋体" w:cs="宋体"/>
                <w:kern w:val="0"/>
                <w:sz w:val="20"/>
                <w:szCs w:val="20"/>
              </w:rPr>
              <w:br w:type="textWrapping"/>
            </w:r>
            <w:r>
              <w:rPr>
                <w:rFonts w:hint="eastAsia" w:ascii="宋体" w:hAnsi="宋体" w:cs="宋体"/>
                <w:kern w:val="0"/>
                <w:sz w:val="20"/>
                <w:szCs w:val="20"/>
              </w:rPr>
              <w:t xml:space="preserve">2.最大承重：150kg </w:t>
            </w:r>
            <w:r>
              <w:rPr>
                <w:rFonts w:hint="eastAsia" w:ascii="宋体" w:hAnsi="宋体" w:cs="宋体"/>
                <w:kern w:val="0"/>
                <w:sz w:val="20"/>
                <w:szCs w:val="20"/>
              </w:rPr>
              <w:br w:type="textWrapping"/>
            </w:r>
            <w:r>
              <w:rPr>
                <w:rFonts w:hint="eastAsia" w:ascii="宋体" w:hAnsi="宋体" w:cs="宋体"/>
                <w:kern w:val="0"/>
                <w:sz w:val="20"/>
                <w:szCs w:val="20"/>
              </w:rPr>
              <w:t xml:space="preserve">3.仪表显示：时间，速度，心跳，卡路里，距离 </w:t>
            </w:r>
            <w:r>
              <w:rPr>
                <w:rFonts w:hint="eastAsia" w:ascii="宋体" w:hAnsi="宋体" w:cs="宋体"/>
                <w:kern w:val="0"/>
                <w:sz w:val="20"/>
                <w:szCs w:val="20"/>
              </w:rPr>
              <w:br w:type="textWrapping"/>
            </w:r>
            <w:r>
              <w:rPr>
                <w:rFonts w:hint="eastAsia" w:ascii="宋体" w:hAnsi="宋体" w:cs="宋体"/>
                <w:kern w:val="0"/>
                <w:sz w:val="20"/>
                <w:szCs w:val="20"/>
              </w:rPr>
              <w:t>4.电磁控阻</w:t>
            </w:r>
            <w:r>
              <w:rPr>
                <w:rFonts w:hint="eastAsia" w:ascii="微软雅黑" w:hAnsi="微软雅黑" w:eastAsia="微软雅黑" w:cs="宋体"/>
                <w:kern w:val="0"/>
                <w:sz w:val="20"/>
                <w:szCs w:val="20"/>
              </w:rPr>
              <w:t>⼒</w:t>
            </w:r>
            <w:r>
              <w:rPr>
                <w:rFonts w:hint="eastAsia" w:ascii="宋体" w:hAnsi="宋体" w:cs="宋体"/>
                <w:kern w:val="0"/>
                <w:sz w:val="20"/>
                <w:szCs w:val="20"/>
              </w:rPr>
              <w:t xml:space="preserve">：24段 </w:t>
            </w:r>
            <w:r>
              <w:rPr>
                <w:rFonts w:hint="eastAsia" w:ascii="宋体" w:hAnsi="宋体" w:cs="宋体"/>
                <w:kern w:val="0"/>
                <w:sz w:val="20"/>
                <w:szCs w:val="20"/>
              </w:rPr>
              <w:br w:type="textWrapping"/>
            </w:r>
            <w:r>
              <w:rPr>
                <w:rFonts w:hint="eastAsia" w:ascii="宋体" w:hAnsi="宋体" w:cs="宋体"/>
                <w:kern w:val="0"/>
                <w:sz w:val="20"/>
                <w:szCs w:val="20"/>
              </w:rPr>
              <w:t>5.时速：15"</w:t>
            </w:r>
            <w:r>
              <w:rPr>
                <w:rFonts w:hint="eastAsia" w:ascii="宋体" w:hAnsi="宋体" w:cs="宋体"/>
                <w:kern w:val="0"/>
                <w:sz w:val="20"/>
                <w:szCs w:val="20"/>
              </w:rPr>
              <w:br w:type="textWrapping"/>
            </w:r>
            <w:r>
              <w:rPr>
                <w:rFonts w:hint="eastAsia" w:ascii="宋体" w:hAnsi="宋体" w:cs="宋体"/>
                <w:kern w:val="0"/>
                <w:sz w:val="20"/>
                <w:szCs w:val="20"/>
              </w:rPr>
              <w:t xml:space="preserve">6.脉搏：手握心率 </w:t>
            </w:r>
            <w:r>
              <w:rPr>
                <w:rFonts w:hint="eastAsia" w:ascii="宋体" w:hAnsi="宋体" w:cs="宋体"/>
                <w:kern w:val="0"/>
                <w:sz w:val="20"/>
                <w:szCs w:val="20"/>
              </w:rPr>
              <w:br w:type="textWrapping"/>
            </w:r>
            <w:r>
              <w:rPr>
                <w:rFonts w:hint="eastAsia" w:ascii="宋体" w:hAnsi="宋体" w:cs="宋体"/>
                <w:kern w:val="0"/>
                <w:sz w:val="20"/>
                <w:szCs w:val="20"/>
              </w:rPr>
              <w:t xml:space="preserve">7.飞轮重量：内磁7kg </w:t>
            </w:r>
            <w:r>
              <w:rPr>
                <w:rFonts w:hint="eastAsia" w:ascii="宋体" w:hAnsi="宋体" w:cs="宋体"/>
                <w:kern w:val="0"/>
                <w:sz w:val="20"/>
                <w:szCs w:val="20"/>
              </w:rPr>
              <w:br w:type="textWrapping"/>
            </w:r>
            <w:r>
              <w:rPr>
                <w:rFonts w:hint="eastAsia" w:ascii="宋体" w:hAnsi="宋体" w:cs="宋体"/>
                <w:kern w:val="0"/>
                <w:sz w:val="20"/>
                <w:szCs w:val="20"/>
              </w:rPr>
              <w:t xml:space="preserve">8.位置调节：座椅前后上下可调节 </w:t>
            </w:r>
            <w:r>
              <w:rPr>
                <w:rFonts w:hint="eastAsia" w:ascii="宋体" w:hAnsi="宋体" w:cs="宋体"/>
                <w:kern w:val="0"/>
                <w:sz w:val="20"/>
                <w:szCs w:val="20"/>
              </w:rPr>
              <w:br w:type="textWrapping"/>
            </w:r>
            <w:r>
              <w:rPr>
                <w:rFonts w:hint="eastAsia" w:ascii="宋体" w:hAnsi="宋体" w:cs="宋体"/>
                <w:kern w:val="0"/>
                <w:sz w:val="20"/>
                <w:szCs w:val="20"/>
              </w:rPr>
              <w:t>9.配备：带风扇，水杯架等</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4</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力景特、小米、施菲特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72</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单双杠训练架</w:t>
            </w:r>
          </w:p>
        </w:tc>
        <w:tc>
          <w:tcPr>
            <w:tcW w:w="8222" w:type="dxa"/>
            <w:noWrap w:val="0"/>
            <w:vAlign w:val="center"/>
          </w:tcPr>
          <w:p>
            <w:pPr>
              <w:widowControl/>
              <w:snapToGrid w:val="0"/>
              <w:jc w:val="left"/>
              <w:rPr>
                <w:rFonts w:hint="eastAsia" w:ascii="宋体" w:hAnsi="宋体" w:cs="宋体"/>
                <w:kern w:val="0"/>
                <w:sz w:val="20"/>
                <w:szCs w:val="20"/>
              </w:rPr>
            </w:pPr>
            <w:r>
              <w:rPr>
                <w:rFonts w:hint="eastAsia" w:ascii="宋体" w:hAnsi="宋体" w:cs="宋体"/>
                <w:kern w:val="0"/>
                <w:sz w:val="20"/>
                <w:szCs w:val="20"/>
              </w:rPr>
              <w:t>1、符合GB 17498-2008国家标准；</w:t>
            </w:r>
            <w:r>
              <w:rPr>
                <w:rFonts w:hint="eastAsia" w:ascii="宋体" w:hAnsi="宋体" w:cs="宋体"/>
                <w:kern w:val="0"/>
                <w:sz w:val="20"/>
                <w:szCs w:val="20"/>
              </w:rPr>
              <w:br w:type="textWrapping"/>
            </w:r>
            <w:r>
              <w:rPr>
                <w:rFonts w:hint="eastAsia" w:ascii="宋体" w:hAnsi="宋体" w:cs="宋体"/>
                <w:kern w:val="0"/>
                <w:sz w:val="20"/>
                <w:szCs w:val="20"/>
              </w:rPr>
              <w:t>2、按照运动学及人体力学进行设计和生产；</w:t>
            </w:r>
            <w:r>
              <w:rPr>
                <w:rFonts w:hint="eastAsia" w:ascii="宋体" w:hAnsi="宋体" w:cs="宋体"/>
                <w:kern w:val="0"/>
                <w:sz w:val="20"/>
                <w:szCs w:val="20"/>
              </w:rPr>
              <w:br w:type="textWrapping"/>
            </w:r>
            <w:r>
              <w:rPr>
                <w:rFonts w:hint="eastAsia" w:ascii="宋体" w:hAnsi="宋体" w:cs="宋体"/>
                <w:kern w:val="0"/>
                <w:sz w:val="20"/>
                <w:szCs w:val="20"/>
              </w:rPr>
              <w:t>3、主架使用</w:t>
            </w:r>
            <w:r>
              <w:rPr>
                <w:rFonts w:ascii="Calibri" w:hAnsi="Calibri" w:cs="Calibri"/>
                <w:kern w:val="0"/>
                <w:sz w:val="20"/>
                <w:szCs w:val="20"/>
              </w:rPr>
              <w:t>φ</w:t>
            </w:r>
            <w:r>
              <w:rPr>
                <w:rFonts w:hint="eastAsia" w:ascii="宋体" w:hAnsi="宋体" w:cs="宋体"/>
                <w:kern w:val="0"/>
                <w:sz w:val="20"/>
                <w:szCs w:val="20"/>
              </w:rPr>
              <w:t>76*3mm高强度高频焊圆钢管管材与200mm*60mm*3mm厚壁高强度高频焊矩形钢管管材组合；</w:t>
            </w:r>
            <w:r>
              <w:rPr>
                <w:rFonts w:hint="eastAsia" w:ascii="宋体" w:hAnsi="宋体" w:cs="宋体"/>
                <w:kern w:val="0"/>
                <w:sz w:val="20"/>
                <w:szCs w:val="20"/>
              </w:rPr>
              <w:br w:type="textWrapping"/>
            </w:r>
            <w:r>
              <w:rPr>
                <w:rFonts w:hint="eastAsia" w:ascii="宋体" w:hAnsi="宋体" w:cs="宋体"/>
                <w:kern w:val="0"/>
                <w:sz w:val="20"/>
                <w:szCs w:val="20"/>
              </w:rPr>
              <w:t>4、热固性粉末静电喷涂工艺,器材表面色泽鲜艳, 光泽度高,具有很强的视觉冲击力, 耐潮湿；</w:t>
            </w:r>
            <w:r>
              <w:rPr>
                <w:rFonts w:hint="eastAsia" w:ascii="宋体" w:hAnsi="宋体" w:cs="宋体"/>
                <w:kern w:val="0"/>
                <w:sz w:val="20"/>
                <w:szCs w:val="20"/>
              </w:rPr>
              <w:br w:type="textWrapping"/>
            </w:r>
            <w:r>
              <w:rPr>
                <w:rFonts w:hint="eastAsia" w:ascii="宋体" w:hAnsi="宋体" w:cs="宋体"/>
                <w:kern w:val="0"/>
                <w:sz w:val="20"/>
                <w:szCs w:val="20"/>
              </w:rPr>
              <w:t>5、坐靠垫、把手套等通过ROSH、REACH等化学危险品检测认证；</w:t>
            </w:r>
            <w:r>
              <w:rPr>
                <w:rFonts w:hint="eastAsia" w:ascii="宋体" w:hAnsi="宋体" w:cs="宋体"/>
                <w:kern w:val="0"/>
                <w:sz w:val="20"/>
                <w:szCs w:val="20"/>
              </w:rPr>
              <w:br w:type="textWrapping"/>
            </w:r>
            <w:r>
              <w:rPr>
                <w:rFonts w:hint="eastAsia" w:ascii="宋体" w:hAnsi="宋体" w:cs="宋体"/>
                <w:kern w:val="0"/>
                <w:sz w:val="20"/>
                <w:szCs w:val="20"/>
              </w:rPr>
              <w:t>7、多座垫及运动者接触部位使用多层PU皮革，磨损后可快速更换；</w:t>
            </w:r>
            <w:r>
              <w:rPr>
                <w:rFonts w:hint="eastAsia" w:ascii="宋体" w:hAnsi="宋体" w:cs="宋体"/>
                <w:kern w:val="0"/>
                <w:sz w:val="20"/>
                <w:szCs w:val="20"/>
              </w:rPr>
              <w:br w:type="textWrapping"/>
            </w:r>
            <w:r>
              <w:rPr>
                <w:rFonts w:hint="eastAsia" w:ascii="宋体" w:hAnsi="宋体" w:cs="宋体"/>
                <w:kern w:val="0"/>
                <w:sz w:val="20"/>
                <w:szCs w:val="20"/>
              </w:rPr>
              <w:t>8、所有螺栓均采用不锈钢螺栓，保证连接的稳固性以及整机的高强度；</w:t>
            </w:r>
            <w:r>
              <w:rPr>
                <w:rFonts w:hint="eastAsia" w:ascii="宋体" w:hAnsi="宋体" w:cs="宋体"/>
                <w:kern w:val="0"/>
                <w:sz w:val="20"/>
                <w:szCs w:val="20"/>
              </w:rPr>
              <w:br w:type="textWrapping"/>
            </w:r>
            <w:r>
              <w:rPr>
                <w:rFonts w:hint="eastAsia" w:ascii="宋体" w:hAnsi="宋体" w:cs="宋体"/>
                <w:kern w:val="0"/>
                <w:sz w:val="20"/>
                <w:szCs w:val="20"/>
              </w:rPr>
              <w:t>9、软PVC脚套确保了器材的稳定性并有效的防止磨损地板；</w:t>
            </w:r>
            <w:r>
              <w:rPr>
                <w:rFonts w:hint="eastAsia" w:ascii="宋体" w:hAnsi="宋体" w:cs="宋体"/>
                <w:kern w:val="0"/>
                <w:sz w:val="20"/>
                <w:szCs w:val="20"/>
              </w:rPr>
              <w:br w:type="textWrapping"/>
            </w:r>
            <w:r>
              <w:rPr>
                <w:rFonts w:hint="eastAsia" w:ascii="宋体" w:hAnsi="宋体" w:cs="宋体"/>
                <w:kern w:val="0"/>
                <w:sz w:val="20"/>
                <w:szCs w:val="20"/>
              </w:rPr>
              <w:t>10、配有高密度耐磨尼龙端盖套看起来更具有质感，强化了视觉效果；</w:t>
            </w:r>
            <w:r>
              <w:rPr>
                <w:rFonts w:hint="eastAsia" w:ascii="宋体" w:hAnsi="宋体" w:cs="宋体"/>
                <w:kern w:val="0"/>
                <w:sz w:val="20"/>
                <w:szCs w:val="20"/>
              </w:rPr>
              <w:br w:type="textWrapping"/>
            </w:r>
            <w:r>
              <w:rPr>
                <w:rFonts w:hint="eastAsia" w:ascii="宋体" w:hAnsi="宋体" w:cs="宋体"/>
                <w:kern w:val="0"/>
                <w:sz w:val="20"/>
                <w:szCs w:val="20"/>
              </w:rPr>
              <w:t>11、配有防滑保护踏板；</w:t>
            </w:r>
            <w:r>
              <w:rPr>
                <w:rFonts w:hint="eastAsia" w:ascii="宋体" w:hAnsi="宋体" w:cs="宋体"/>
                <w:kern w:val="0"/>
                <w:sz w:val="20"/>
                <w:szCs w:val="20"/>
              </w:rPr>
              <w:br w:type="textWrapping"/>
            </w:r>
            <w:r>
              <w:rPr>
                <w:rFonts w:hint="eastAsia" w:ascii="宋体" w:hAnsi="宋体" w:cs="宋体"/>
                <w:kern w:val="0"/>
                <w:sz w:val="20"/>
                <w:szCs w:val="20"/>
              </w:rPr>
              <w:t>12、多角度把手可进行单杠、双杠、提膝等多种训练模式；</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力景特、小米、施菲特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73</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可调式腹肌训练凳</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1、符合GB 17498-2008国家标准；</w:t>
            </w:r>
            <w:r>
              <w:rPr>
                <w:rFonts w:hint="eastAsia" w:ascii="宋体" w:hAnsi="宋体" w:cs="宋体"/>
                <w:kern w:val="0"/>
                <w:sz w:val="20"/>
                <w:szCs w:val="20"/>
              </w:rPr>
              <w:br w:type="textWrapping"/>
            </w:r>
            <w:r>
              <w:rPr>
                <w:rFonts w:hint="eastAsia" w:ascii="宋体" w:hAnsi="宋体" w:cs="宋体"/>
                <w:kern w:val="0"/>
                <w:sz w:val="20"/>
                <w:szCs w:val="20"/>
              </w:rPr>
              <w:t>2、按照运动学及人体力学进行设计和生产；</w:t>
            </w:r>
            <w:r>
              <w:rPr>
                <w:rFonts w:hint="eastAsia" w:ascii="宋体" w:hAnsi="宋体" w:cs="宋体"/>
                <w:kern w:val="0"/>
                <w:sz w:val="20"/>
                <w:szCs w:val="20"/>
              </w:rPr>
              <w:br w:type="textWrapping"/>
            </w:r>
            <w:r>
              <w:rPr>
                <w:rFonts w:hint="eastAsia" w:ascii="宋体" w:hAnsi="宋体" w:cs="宋体"/>
                <w:kern w:val="0"/>
                <w:sz w:val="20"/>
                <w:szCs w:val="20"/>
              </w:rPr>
              <w:t>3、主架使用φ76*2.5mm高强度高频焊圆钢管管材与50mm*100mm*3mm厚壁高强度高频焊矩形钢管管材组合；</w:t>
            </w:r>
            <w:r>
              <w:rPr>
                <w:rFonts w:hint="eastAsia" w:ascii="宋体" w:hAnsi="宋体" w:cs="宋体"/>
                <w:kern w:val="0"/>
                <w:sz w:val="20"/>
                <w:szCs w:val="20"/>
              </w:rPr>
              <w:br w:type="textWrapping"/>
            </w:r>
            <w:r>
              <w:rPr>
                <w:rFonts w:hint="eastAsia" w:ascii="宋体" w:hAnsi="宋体" w:cs="宋体"/>
                <w:kern w:val="0"/>
                <w:sz w:val="20"/>
                <w:szCs w:val="20"/>
              </w:rPr>
              <w:t>4、热固性粉末静电喷涂工艺,器材表面色泽鲜艳, 光泽度高,具有很强的视觉冲击力, 耐潮湿；</w:t>
            </w:r>
            <w:r>
              <w:rPr>
                <w:rFonts w:hint="eastAsia" w:ascii="宋体" w:hAnsi="宋体" w:cs="宋体"/>
                <w:kern w:val="0"/>
                <w:sz w:val="20"/>
                <w:szCs w:val="20"/>
              </w:rPr>
              <w:br w:type="textWrapping"/>
            </w:r>
            <w:r>
              <w:rPr>
                <w:rFonts w:hint="eastAsia" w:ascii="宋体" w:hAnsi="宋体" w:cs="宋体"/>
                <w:kern w:val="0"/>
                <w:sz w:val="20"/>
                <w:szCs w:val="20"/>
              </w:rPr>
              <w:t>5、坐靠垫、把手套等通过ROSH、REACH等化学危险品检测认证；</w:t>
            </w:r>
            <w:r>
              <w:rPr>
                <w:rFonts w:hint="eastAsia" w:ascii="宋体" w:hAnsi="宋体" w:cs="宋体"/>
                <w:kern w:val="0"/>
                <w:sz w:val="20"/>
                <w:szCs w:val="20"/>
              </w:rPr>
              <w:br w:type="textWrapping"/>
            </w:r>
            <w:r>
              <w:rPr>
                <w:rFonts w:hint="eastAsia" w:ascii="宋体" w:hAnsi="宋体" w:cs="宋体"/>
                <w:kern w:val="0"/>
                <w:sz w:val="20"/>
                <w:szCs w:val="20"/>
              </w:rPr>
              <w:t>6、多座垫及运动者接触部位使用多层PU皮革，磨损后可快速更换；</w:t>
            </w:r>
            <w:r>
              <w:rPr>
                <w:rFonts w:hint="eastAsia" w:ascii="宋体" w:hAnsi="宋体" w:cs="宋体"/>
                <w:kern w:val="0"/>
                <w:sz w:val="20"/>
                <w:szCs w:val="20"/>
              </w:rPr>
              <w:br w:type="textWrapping"/>
            </w:r>
            <w:r>
              <w:rPr>
                <w:rFonts w:hint="eastAsia" w:ascii="宋体" w:hAnsi="宋体" w:cs="宋体"/>
                <w:kern w:val="0"/>
                <w:sz w:val="20"/>
                <w:szCs w:val="20"/>
              </w:rPr>
              <w:t>7、所有螺栓均采用不锈钢螺栓，保证连接的稳固性以及整机的高强度；</w:t>
            </w:r>
            <w:r>
              <w:rPr>
                <w:rFonts w:hint="eastAsia" w:ascii="宋体" w:hAnsi="宋体" w:cs="宋体"/>
                <w:kern w:val="0"/>
                <w:sz w:val="20"/>
                <w:szCs w:val="20"/>
              </w:rPr>
              <w:br w:type="textWrapping"/>
            </w:r>
            <w:r>
              <w:rPr>
                <w:rFonts w:hint="eastAsia" w:ascii="宋体" w:hAnsi="宋体" w:cs="宋体"/>
                <w:kern w:val="0"/>
                <w:sz w:val="20"/>
                <w:szCs w:val="20"/>
              </w:rPr>
              <w:t>8、调节滑动管经过镀铬工艺处理，滑动顺畅，美观大方；</w:t>
            </w:r>
            <w:r>
              <w:rPr>
                <w:rFonts w:hint="eastAsia" w:ascii="宋体" w:hAnsi="宋体" w:cs="宋体"/>
                <w:kern w:val="0"/>
                <w:sz w:val="20"/>
                <w:szCs w:val="20"/>
              </w:rPr>
              <w:br w:type="textWrapping"/>
            </w:r>
            <w:r>
              <w:rPr>
                <w:rFonts w:hint="eastAsia" w:ascii="宋体" w:hAnsi="宋体" w:cs="宋体"/>
                <w:kern w:val="0"/>
                <w:sz w:val="20"/>
                <w:szCs w:val="20"/>
              </w:rPr>
              <w:t>9、软PVC脚套确保了器材的稳定性并有效的防止磨损地板；</w:t>
            </w:r>
            <w:r>
              <w:rPr>
                <w:rFonts w:hint="eastAsia" w:ascii="宋体" w:hAnsi="宋体" w:cs="宋体"/>
                <w:kern w:val="0"/>
                <w:sz w:val="20"/>
                <w:szCs w:val="20"/>
              </w:rPr>
              <w:br w:type="textWrapping"/>
            </w:r>
            <w:r>
              <w:rPr>
                <w:rFonts w:hint="eastAsia" w:ascii="宋体" w:hAnsi="宋体" w:cs="宋体"/>
                <w:kern w:val="0"/>
                <w:sz w:val="20"/>
                <w:szCs w:val="20"/>
              </w:rPr>
              <w:t>10、座靠垫角度可调节，可进行不同角度的训练；</w:t>
            </w:r>
            <w:r>
              <w:rPr>
                <w:rFonts w:hint="eastAsia" w:ascii="宋体" w:hAnsi="宋体" w:cs="宋体"/>
                <w:kern w:val="0"/>
                <w:sz w:val="20"/>
                <w:szCs w:val="20"/>
              </w:rPr>
              <w:br w:type="textWrapping"/>
            </w:r>
            <w:r>
              <w:rPr>
                <w:rFonts w:hint="eastAsia" w:ascii="宋体" w:hAnsi="宋体" w:cs="宋体"/>
                <w:kern w:val="0"/>
                <w:sz w:val="20"/>
                <w:szCs w:val="20"/>
              </w:rPr>
              <w:t>11、配有辅助把手，方便使用者上下器材；</w:t>
            </w:r>
            <w:r>
              <w:rPr>
                <w:rFonts w:hint="eastAsia" w:ascii="宋体" w:hAnsi="宋体" w:cs="宋体"/>
                <w:kern w:val="0"/>
                <w:sz w:val="20"/>
                <w:szCs w:val="20"/>
              </w:rPr>
              <w:br w:type="textWrapping"/>
            </w:r>
            <w:r>
              <w:rPr>
                <w:rFonts w:hint="eastAsia" w:ascii="宋体" w:hAnsi="宋体" w:cs="宋体"/>
                <w:kern w:val="0"/>
                <w:sz w:val="20"/>
                <w:szCs w:val="20"/>
              </w:rPr>
              <w:t>12、外形尺寸(L*W*H): 1565*717*983mm</w:t>
            </w:r>
            <w:r>
              <w:rPr>
                <w:rFonts w:hint="eastAsia" w:ascii="宋体" w:hAnsi="宋体" w:cs="宋体"/>
                <w:kern w:val="0"/>
                <w:sz w:val="20"/>
                <w:szCs w:val="20"/>
              </w:rPr>
              <w:br w:type="textWrapping"/>
            </w:r>
            <w:r>
              <w:rPr>
                <w:rFonts w:hint="eastAsia" w:ascii="宋体" w:hAnsi="宋体" w:cs="宋体"/>
                <w:kern w:val="0"/>
                <w:sz w:val="20"/>
                <w:szCs w:val="20"/>
              </w:rPr>
              <w:t>13、净重/N.W:51kg；</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力景特、小米、施菲特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74</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可调式训练凳</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xml:space="preserve">1、符合GB 17498-2008国家标准； </w:t>
            </w:r>
            <w:r>
              <w:rPr>
                <w:rFonts w:hint="eastAsia" w:ascii="宋体" w:hAnsi="宋体" w:cs="宋体"/>
                <w:kern w:val="0"/>
                <w:sz w:val="20"/>
                <w:szCs w:val="20"/>
              </w:rPr>
              <w:br w:type="textWrapping"/>
            </w:r>
            <w:r>
              <w:rPr>
                <w:rFonts w:hint="eastAsia" w:ascii="宋体" w:hAnsi="宋体" w:cs="宋体"/>
                <w:kern w:val="0"/>
                <w:sz w:val="20"/>
                <w:szCs w:val="20"/>
              </w:rPr>
              <w:t xml:space="preserve">2、按照运动学及人体力学进行设计和生产； </w:t>
            </w:r>
            <w:r>
              <w:rPr>
                <w:rFonts w:hint="eastAsia" w:ascii="宋体" w:hAnsi="宋体" w:cs="宋体"/>
                <w:kern w:val="0"/>
                <w:sz w:val="20"/>
                <w:szCs w:val="20"/>
              </w:rPr>
              <w:br w:type="textWrapping"/>
            </w:r>
            <w:r>
              <w:rPr>
                <w:rFonts w:hint="eastAsia" w:ascii="宋体" w:hAnsi="宋体" w:cs="宋体"/>
                <w:kern w:val="0"/>
                <w:sz w:val="20"/>
                <w:szCs w:val="20"/>
              </w:rPr>
              <w:t>3、主架使用</w:t>
            </w:r>
            <w:r>
              <w:rPr>
                <w:rFonts w:ascii="Calibri" w:hAnsi="Calibri" w:cs="Calibri"/>
                <w:kern w:val="0"/>
                <w:sz w:val="20"/>
                <w:szCs w:val="20"/>
              </w:rPr>
              <w:t>φ</w:t>
            </w:r>
            <w:r>
              <w:rPr>
                <w:rFonts w:hint="eastAsia" w:ascii="宋体" w:hAnsi="宋体" w:cs="宋体"/>
                <w:kern w:val="0"/>
                <w:sz w:val="20"/>
                <w:szCs w:val="20"/>
              </w:rPr>
              <w:t xml:space="preserve">95*2.5mm高强度高频焊圆钢管管材,与100mm*50mm*3mm厚壁 高强度高频焊矩形钢管管材组合； </w:t>
            </w:r>
            <w:r>
              <w:rPr>
                <w:rFonts w:hint="eastAsia" w:ascii="宋体" w:hAnsi="宋体" w:cs="宋体"/>
                <w:kern w:val="0"/>
                <w:sz w:val="20"/>
                <w:szCs w:val="20"/>
              </w:rPr>
              <w:br w:type="textWrapping"/>
            </w:r>
            <w:r>
              <w:rPr>
                <w:rFonts w:hint="eastAsia" w:ascii="宋体" w:hAnsi="宋体" w:cs="宋体"/>
                <w:kern w:val="0"/>
                <w:sz w:val="20"/>
                <w:szCs w:val="20"/>
              </w:rPr>
              <w:t xml:space="preserve">4、所有螺栓均采用不锈钢螺栓，保证连接的稳固性以及整机的高强度； </w:t>
            </w:r>
            <w:r>
              <w:rPr>
                <w:rFonts w:hint="eastAsia" w:ascii="宋体" w:hAnsi="宋体" w:cs="宋体"/>
                <w:kern w:val="0"/>
                <w:sz w:val="20"/>
                <w:szCs w:val="20"/>
              </w:rPr>
              <w:br w:type="textWrapping"/>
            </w:r>
            <w:r>
              <w:rPr>
                <w:rFonts w:hint="eastAsia" w:ascii="宋体" w:hAnsi="宋体" w:cs="宋体"/>
                <w:kern w:val="0"/>
                <w:sz w:val="20"/>
                <w:szCs w:val="20"/>
              </w:rPr>
              <w:t xml:space="preserve">5、热固性粉末静电喷涂工艺,器材表面色泽鲜艳, 光泽度高,具有很强的视觉冲 击力, 耐潮湿； </w:t>
            </w:r>
            <w:r>
              <w:rPr>
                <w:rFonts w:hint="eastAsia" w:ascii="宋体" w:hAnsi="宋体" w:cs="宋体"/>
                <w:kern w:val="0"/>
                <w:sz w:val="20"/>
                <w:szCs w:val="20"/>
              </w:rPr>
              <w:br w:type="textWrapping"/>
            </w:r>
            <w:r>
              <w:rPr>
                <w:rFonts w:hint="eastAsia" w:ascii="宋体" w:hAnsi="宋体" w:cs="宋体"/>
                <w:kern w:val="0"/>
                <w:sz w:val="20"/>
                <w:szCs w:val="20"/>
              </w:rPr>
              <w:t xml:space="preserve">6、座靠垫通过ROSH、REACH等化学危险品检测认证； </w:t>
            </w:r>
            <w:r>
              <w:rPr>
                <w:rFonts w:hint="eastAsia" w:ascii="宋体" w:hAnsi="宋体" w:cs="宋体"/>
                <w:kern w:val="0"/>
                <w:sz w:val="20"/>
                <w:szCs w:val="20"/>
              </w:rPr>
              <w:br w:type="textWrapping"/>
            </w:r>
            <w:r>
              <w:rPr>
                <w:rFonts w:hint="eastAsia" w:ascii="宋体" w:hAnsi="宋体" w:cs="宋体"/>
                <w:kern w:val="0"/>
                <w:sz w:val="20"/>
                <w:szCs w:val="20"/>
              </w:rPr>
              <w:t>7、座垫及运动者接触部位使用多座垫及运动者接触部位使用多层PU皮革；</w:t>
            </w:r>
            <w:r>
              <w:rPr>
                <w:rFonts w:hint="eastAsia" w:ascii="宋体" w:hAnsi="宋体" w:cs="宋体"/>
                <w:kern w:val="0"/>
                <w:sz w:val="20"/>
                <w:szCs w:val="20"/>
              </w:rPr>
              <w:br w:type="textWrapping"/>
            </w:r>
            <w:r>
              <w:rPr>
                <w:rFonts w:hint="eastAsia" w:ascii="宋体" w:hAnsi="宋体" w:cs="宋体"/>
                <w:kern w:val="0"/>
                <w:sz w:val="20"/>
                <w:szCs w:val="20"/>
              </w:rPr>
              <w:t xml:space="preserve">8、软PVC脚套脚套确保了器材的稳定性并有效的防止磨损地板； </w:t>
            </w:r>
            <w:r>
              <w:rPr>
                <w:rFonts w:hint="eastAsia" w:ascii="宋体" w:hAnsi="宋体" w:cs="宋体"/>
                <w:kern w:val="0"/>
                <w:sz w:val="20"/>
                <w:szCs w:val="20"/>
              </w:rPr>
              <w:br w:type="textWrapping"/>
            </w:r>
            <w:r>
              <w:rPr>
                <w:rFonts w:hint="eastAsia" w:ascii="宋体" w:hAnsi="宋体" w:cs="宋体"/>
                <w:kern w:val="0"/>
                <w:sz w:val="20"/>
                <w:szCs w:val="20"/>
              </w:rPr>
              <w:t xml:space="preserve">9、可与多款设备配合使用； </w:t>
            </w:r>
            <w:r>
              <w:rPr>
                <w:rFonts w:hint="eastAsia" w:ascii="宋体" w:hAnsi="宋体" w:cs="宋体"/>
                <w:kern w:val="0"/>
                <w:sz w:val="20"/>
                <w:szCs w:val="20"/>
              </w:rPr>
              <w:br w:type="textWrapping"/>
            </w:r>
            <w:r>
              <w:rPr>
                <w:rFonts w:hint="eastAsia" w:ascii="宋体" w:hAnsi="宋体" w:cs="宋体"/>
                <w:kern w:val="0"/>
                <w:sz w:val="20"/>
                <w:szCs w:val="20"/>
              </w:rPr>
              <w:t>10、健身房必备产品，辅助完成多种训练功能。</w:t>
            </w:r>
            <w:r>
              <w:rPr>
                <w:rFonts w:hint="eastAsia" w:ascii="宋体" w:hAnsi="宋体" w:cs="宋体"/>
                <w:kern w:val="0"/>
                <w:sz w:val="20"/>
                <w:szCs w:val="20"/>
              </w:rPr>
              <w:br w:type="textWrapping"/>
            </w:r>
            <w:r>
              <w:rPr>
                <w:rFonts w:hint="eastAsia" w:ascii="宋体" w:hAnsi="宋体" w:cs="宋体"/>
                <w:kern w:val="0"/>
                <w:sz w:val="20"/>
                <w:szCs w:val="20"/>
              </w:rPr>
              <w:t xml:space="preserve">11、调节滑动管经过镀铬工艺处理，滑动顺畅，美观大方； </w:t>
            </w:r>
            <w:r>
              <w:rPr>
                <w:rFonts w:hint="eastAsia" w:ascii="宋体" w:hAnsi="宋体" w:cs="宋体"/>
                <w:kern w:val="0"/>
                <w:sz w:val="20"/>
                <w:szCs w:val="20"/>
              </w:rPr>
              <w:br w:type="textWrapping"/>
            </w:r>
            <w:r>
              <w:rPr>
                <w:rFonts w:hint="eastAsia" w:ascii="宋体" w:hAnsi="宋体" w:cs="宋体"/>
                <w:kern w:val="0"/>
                <w:sz w:val="20"/>
                <w:szCs w:val="20"/>
              </w:rPr>
              <w:t xml:space="preserve">12、座靠垫角度可调节，可进行不同角度的训练，底部附小拖轮，方便移动； </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力景特、小米、施菲特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75</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乒乓球桌</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台面颜色：蓝色</w:t>
            </w:r>
            <w:r>
              <w:rPr>
                <w:rFonts w:hint="eastAsia" w:ascii="宋体" w:hAnsi="宋体" w:cs="宋体"/>
                <w:kern w:val="0"/>
                <w:sz w:val="20"/>
                <w:szCs w:val="20"/>
              </w:rPr>
              <w:br w:type="textWrapping"/>
            </w:r>
            <w:r>
              <w:rPr>
                <w:rFonts w:hint="eastAsia" w:ascii="宋体" w:hAnsi="宋体" w:cs="宋体"/>
                <w:kern w:val="0"/>
                <w:sz w:val="20"/>
                <w:szCs w:val="20"/>
              </w:rPr>
              <w:t>折叠方式：单折式</w:t>
            </w:r>
            <w:r>
              <w:rPr>
                <w:rFonts w:hint="eastAsia" w:ascii="宋体" w:hAnsi="宋体" w:cs="宋体"/>
                <w:kern w:val="0"/>
                <w:sz w:val="20"/>
                <w:szCs w:val="20"/>
              </w:rPr>
              <w:br w:type="textWrapping"/>
            </w:r>
            <w:r>
              <w:rPr>
                <w:rFonts w:hint="eastAsia" w:ascii="宋体" w:hAnsi="宋体" w:cs="宋体"/>
                <w:kern w:val="0"/>
                <w:sz w:val="20"/>
                <w:szCs w:val="20"/>
              </w:rPr>
              <w:t>有无脚轮：有脚轮</w:t>
            </w:r>
            <w:r>
              <w:rPr>
                <w:rFonts w:hint="eastAsia" w:ascii="宋体" w:hAnsi="宋体" w:cs="宋体"/>
                <w:kern w:val="0"/>
                <w:sz w:val="20"/>
                <w:szCs w:val="20"/>
              </w:rPr>
              <w:br w:type="textWrapping"/>
            </w:r>
            <w:r>
              <w:rPr>
                <w:rFonts w:hint="eastAsia" w:ascii="宋体" w:hAnsi="宋体" w:cs="宋体"/>
                <w:kern w:val="0"/>
                <w:sz w:val="20"/>
                <w:szCs w:val="20"/>
              </w:rPr>
              <w:t>平面度：≤3mm</w:t>
            </w:r>
            <w:r>
              <w:rPr>
                <w:rFonts w:hint="eastAsia" w:ascii="宋体" w:hAnsi="宋体" w:cs="宋体"/>
                <w:kern w:val="0"/>
                <w:sz w:val="20"/>
                <w:szCs w:val="20"/>
              </w:rPr>
              <w:br w:type="textWrapping"/>
            </w:r>
            <w:r>
              <w:rPr>
                <w:rFonts w:hint="eastAsia" w:ascii="宋体" w:hAnsi="宋体" w:cs="宋体"/>
                <w:kern w:val="0"/>
                <w:sz w:val="20"/>
                <w:szCs w:val="20"/>
              </w:rPr>
              <w:t>弹性：230-260mm</w:t>
            </w:r>
            <w:r>
              <w:rPr>
                <w:rFonts w:hint="eastAsia" w:ascii="宋体" w:hAnsi="宋体" w:cs="宋体"/>
                <w:kern w:val="0"/>
                <w:sz w:val="20"/>
                <w:szCs w:val="20"/>
              </w:rPr>
              <w:br w:type="textWrapping"/>
            </w:r>
            <w:r>
              <w:rPr>
                <w:rFonts w:hint="eastAsia" w:ascii="宋体" w:hAnsi="宋体" w:cs="宋体"/>
                <w:kern w:val="0"/>
                <w:sz w:val="20"/>
                <w:szCs w:val="20"/>
              </w:rPr>
              <w:t>弹性均匀度：≤5mm</w:t>
            </w:r>
            <w:r>
              <w:rPr>
                <w:rFonts w:hint="eastAsia" w:ascii="宋体" w:hAnsi="宋体" w:cs="宋体"/>
                <w:kern w:val="0"/>
                <w:sz w:val="20"/>
                <w:szCs w:val="20"/>
              </w:rPr>
              <w:br w:type="textWrapping"/>
            </w:r>
            <w:r>
              <w:rPr>
                <w:rFonts w:hint="eastAsia" w:ascii="宋体" w:hAnsi="宋体" w:cs="宋体"/>
                <w:kern w:val="0"/>
                <w:sz w:val="20"/>
                <w:szCs w:val="20"/>
              </w:rPr>
              <w:t>球台稳定性：≤10</w:t>
            </w:r>
            <w:r>
              <w:rPr>
                <w:rFonts w:hint="eastAsia" w:ascii="宋体" w:hAnsi="宋体" w:cs="宋体"/>
                <w:kern w:val="0"/>
                <w:sz w:val="20"/>
                <w:szCs w:val="20"/>
              </w:rPr>
              <w:br w:type="textWrapping"/>
            </w:r>
            <w:r>
              <w:rPr>
                <w:rFonts w:hint="eastAsia" w:ascii="宋体" w:hAnsi="宋体" w:cs="宋体"/>
                <w:kern w:val="0"/>
                <w:sz w:val="20"/>
                <w:szCs w:val="20"/>
              </w:rPr>
              <w:t>台面光泽度：≤0.6</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力景特、小米、施菲特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76</w:t>
            </w:r>
          </w:p>
        </w:tc>
        <w:tc>
          <w:tcPr>
            <w:tcW w:w="425" w:type="dxa"/>
            <w:vMerge w:val="restart"/>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未来创业</w:t>
            </w:r>
          </w:p>
        </w:tc>
        <w:tc>
          <w:tcPr>
            <w:tcW w:w="417" w:type="dxa"/>
            <w:vMerge w:val="restart"/>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创业培训会议室</w:t>
            </w: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全频音箱</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1.高品质15mm中纤板全频扬声器</w:t>
            </w:r>
            <w:r>
              <w:rPr>
                <w:rFonts w:hint="eastAsia" w:ascii="宋体" w:hAnsi="宋体" w:cs="宋体"/>
                <w:kern w:val="0"/>
                <w:sz w:val="20"/>
                <w:szCs w:val="20"/>
              </w:rPr>
              <w:br w:type="textWrapping"/>
            </w:r>
            <w:r>
              <w:rPr>
                <w:rFonts w:hint="eastAsia" w:ascii="宋体" w:hAnsi="宋体" w:cs="宋体"/>
                <w:kern w:val="0"/>
                <w:sz w:val="20"/>
                <w:szCs w:val="20"/>
              </w:rPr>
              <w:t>2.单元组成：LF：1*8"低音单元/HF：1*1.3"高音单元</w:t>
            </w:r>
            <w:r>
              <w:rPr>
                <w:rFonts w:hint="eastAsia" w:ascii="宋体" w:hAnsi="宋体" w:cs="宋体"/>
                <w:kern w:val="0"/>
                <w:sz w:val="20"/>
                <w:szCs w:val="20"/>
              </w:rPr>
              <w:br w:type="textWrapping"/>
            </w:r>
            <w:r>
              <w:rPr>
                <w:rFonts w:hint="eastAsia" w:ascii="宋体" w:hAnsi="宋体" w:cs="宋体"/>
                <w:kern w:val="0"/>
                <w:sz w:val="20"/>
                <w:szCs w:val="20"/>
              </w:rPr>
              <w:t>3.额定功率：150W/8</w:t>
            </w:r>
            <w:r>
              <w:rPr>
                <w:rFonts w:ascii="Calibri" w:hAnsi="Calibri" w:cs="Calibri"/>
                <w:kern w:val="0"/>
                <w:sz w:val="20"/>
                <w:szCs w:val="20"/>
              </w:rPr>
              <w:t>Ω</w:t>
            </w:r>
            <w:r>
              <w:rPr>
                <w:rFonts w:hint="eastAsia" w:ascii="宋体" w:hAnsi="宋体" w:cs="宋体"/>
                <w:kern w:val="0"/>
                <w:sz w:val="20"/>
                <w:szCs w:val="20"/>
              </w:rPr>
              <w:br w:type="textWrapping"/>
            </w:r>
            <w:r>
              <w:rPr>
                <w:rFonts w:hint="eastAsia" w:ascii="宋体" w:hAnsi="宋体" w:cs="宋体"/>
                <w:kern w:val="0"/>
                <w:sz w:val="20"/>
                <w:szCs w:val="20"/>
              </w:rPr>
              <w:t>4.覆盖角度：90°水平*60°垂直</w:t>
            </w:r>
            <w:r>
              <w:rPr>
                <w:rFonts w:hint="eastAsia" w:ascii="宋体" w:hAnsi="宋体" w:cs="宋体"/>
                <w:kern w:val="0"/>
                <w:sz w:val="20"/>
                <w:szCs w:val="20"/>
              </w:rPr>
              <w:br w:type="textWrapping"/>
            </w:r>
            <w:r>
              <w:rPr>
                <w:rFonts w:hint="eastAsia" w:ascii="宋体" w:hAnsi="宋体" w:cs="宋体"/>
                <w:kern w:val="0"/>
                <w:sz w:val="20"/>
                <w:szCs w:val="20"/>
              </w:rPr>
              <w:t>5.频率范围：75Hz-20KHz</w:t>
            </w:r>
            <w:r>
              <w:rPr>
                <w:rFonts w:hint="eastAsia" w:ascii="宋体" w:hAnsi="宋体" w:cs="宋体"/>
                <w:kern w:val="0"/>
                <w:sz w:val="20"/>
                <w:szCs w:val="20"/>
              </w:rPr>
              <w:br w:type="textWrapping"/>
            </w:r>
            <w:r>
              <w:rPr>
                <w:rFonts w:hint="eastAsia" w:ascii="宋体" w:hAnsi="宋体" w:cs="宋体"/>
                <w:kern w:val="0"/>
                <w:sz w:val="20"/>
                <w:szCs w:val="20"/>
              </w:rPr>
              <w:t>6.灵敏度(1m/1W)：90dB</w:t>
            </w:r>
            <w:r>
              <w:rPr>
                <w:rFonts w:hint="eastAsia" w:ascii="宋体" w:hAnsi="宋体" w:cs="宋体"/>
                <w:kern w:val="0"/>
                <w:sz w:val="20"/>
                <w:szCs w:val="20"/>
              </w:rPr>
              <w:br w:type="textWrapping"/>
            </w:r>
            <w:r>
              <w:rPr>
                <w:rFonts w:hint="eastAsia" w:ascii="宋体" w:hAnsi="宋体" w:cs="宋体"/>
                <w:kern w:val="0"/>
                <w:sz w:val="20"/>
                <w:szCs w:val="20"/>
              </w:rPr>
              <w:t>7.最大声压级：93dB</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创业培训教室</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奥伟达、迪赛思、首音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77</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功率放大器</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1.输出功率：2*200W/8</w:t>
            </w:r>
            <w:r>
              <w:rPr>
                <w:rFonts w:ascii="Calibri" w:hAnsi="Calibri" w:cs="Calibri"/>
                <w:kern w:val="0"/>
                <w:sz w:val="20"/>
                <w:szCs w:val="20"/>
              </w:rPr>
              <w:t>Ω</w:t>
            </w:r>
            <w:r>
              <w:rPr>
                <w:rFonts w:hint="eastAsia" w:ascii="宋体" w:hAnsi="宋体" w:cs="宋体"/>
                <w:kern w:val="0"/>
                <w:sz w:val="20"/>
                <w:szCs w:val="20"/>
              </w:rPr>
              <w:t>，2*350W/4</w:t>
            </w:r>
            <w:r>
              <w:rPr>
                <w:rFonts w:ascii="Calibri" w:hAnsi="Calibri" w:cs="Calibri"/>
                <w:kern w:val="0"/>
                <w:sz w:val="20"/>
                <w:szCs w:val="20"/>
              </w:rPr>
              <w:t>Ω</w:t>
            </w:r>
            <w:r>
              <w:rPr>
                <w:rFonts w:hint="eastAsia" w:ascii="宋体" w:hAnsi="宋体" w:cs="宋体"/>
                <w:kern w:val="0"/>
                <w:sz w:val="20"/>
                <w:szCs w:val="20"/>
              </w:rPr>
              <w:t>，2*380W/2</w:t>
            </w:r>
            <w:r>
              <w:rPr>
                <w:rFonts w:ascii="Calibri" w:hAnsi="Calibri" w:cs="Calibri"/>
                <w:kern w:val="0"/>
                <w:sz w:val="20"/>
                <w:szCs w:val="20"/>
              </w:rPr>
              <w:t>Ω</w:t>
            </w:r>
            <w:r>
              <w:rPr>
                <w:rFonts w:hint="eastAsia" w:ascii="宋体" w:hAnsi="宋体" w:cs="宋体"/>
                <w:kern w:val="0"/>
                <w:sz w:val="20"/>
                <w:szCs w:val="20"/>
              </w:rPr>
              <w:t>；</w:t>
            </w:r>
            <w:r>
              <w:rPr>
                <w:rFonts w:hint="eastAsia" w:ascii="宋体" w:hAnsi="宋体" w:cs="宋体"/>
                <w:kern w:val="0"/>
                <w:sz w:val="20"/>
                <w:szCs w:val="20"/>
              </w:rPr>
              <w:br w:type="textWrapping"/>
            </w:r>
            <w:r>
              <w:rPr>
                <w:rFonts w:hint="eastAsia" w:ascii="宋体" w:hAnsi="宋体" w:cs="宋体"/>
                <w:kern w:val="0"/>
                <w:sz w:val="20"/>
                <w:szCs w:val="20"/>
              </w:rPr>
              <w:t>2.信号输入：6.3mmTRS平衡插座</w:t>
            </w:r>
            <w:r>
              <w:rPr>
                <w:rFonts w:hint="eastAsia" w:ascii="宋体" w:hAnsi="宋体" w:cs="宋体"/>
                <w:kern w:val="0"/>
                <w:sz w:val="20"/>
                <w:szCs w:val="20"/>
              </w:rPr>
              <w:br w:type="textWrapping"/>
            </w:r>
            <w:r>
              <w:rPr>
                <w:rFonts w:hint="eastAsia" w:ascii="宋体" w:hAnsi="宋体" w:cs="宋体"/>
                <w:kern w:val="0"/>
                <w:sz w:val="20"/>
                <w:szCs w:val="20"/>
              </w:rPr>
              <w:t>3.信噪比：103dB</w:t>
            </w:r>
            <w:r>
              <w:rPr>
                <w:rFonts w:hint="eastAsia" w:ascii="宋体" w:hAnsi="宋体" w:cs="宋体"/>
                <w:kern w:val="0"/>
                <w:sz w:val="20"/>
                <w:szCs w:val="20"/>
              </w:rPr>
              <w:br w:type="textWrapping"/>
            </w:r>
            <w:r>
              <w:rPr>
                <w:rFonts w:hint="eastAsia" w:ascii="宋体" w:hAnsi="宋体" w:cs="宋体"/>
                <w:kern w:val="0"/>
                <w:sz w:val="20"/>
                <w:szCs w:val="20"/>
              </w:rPr>
              <w:t>4.失真：&lt;0.05%@8</w:t>
            </w:r>
            <w:r>
              <w:rPr>
                <w:rFonts w:ascii="Calibri" w:hAnsi="Calibri" w:cs="Calibri"/>
                <w:kern w:val="0"/>
                <w:sz w:val="20"/>
                <w:szCs w:val="20"/>
              </w:rPr>
              <w:t>Ω</w:t>
            </w:r>
            <w:r>
              <w:rPr>
                <w:rFonts w:hint="eastAsia" w:ascii="宋体" w:hAnsi="宋体" w:cs="宋体"/>
                <w:kern w:val="0"/>
                <w:sz w:val="20"/>
                <w:szCs w:val="20"/>
              </w:rPr>
              <w:t>1KHz</w:t>
            </w:r>
            <w:r>
              <w:rPr>
                <w:rFonts w:hint="eastAsia" w:ascii="宋体" w:hAnsi="宋体" w:cs="宋体"/>
                <w:kern w:val="0"/>
                <w:sz w:val="20"/>
                <w:szCs w:val="20"/>
              </w:rPr>
              <w:br w:type="textWrapping"/>
            </w:r>
            <w:r>
              <w:rPr>
                <w:rFonts w:hint="eastAsia" w:ascii="宋体" w:hAnsi="宋体" w:cs="宋体"/>
                <w:kern w:val="0"/>
                <w:sz w:val="20"/>
                <w:szCs w:val="20"/>
              </w:rPr>
              <w:t>5.输入阻抗：20K</w:t>
            </w:r>
            <w:r>
              <w:rPr>
                <w:rFonts w:ascii="Calibri" w:hAnsi="Calibri" w:cs="Calibri"/>
                <w:kern w:val="0"/>
                <w:sz w:val="20"/>
                <w:szCs w:val="20"/>
              </w:rPr>
              <w:t>Ω</w:t>
            </w:r>
            <w:r>
              <w:rPr>
                <w:rFonts w:hint="eastAsia" w:ascii="宋体" w:hAnsi="宋体" w:cs="宋体"/>
                <w:kern w:val="0"/>
                <w:sz w:val="20"/>
                <w:szCs w:val="20"/>
              </w:rPr>
              <w:br w:type="textWrapping"/>
            </w:r>
            <w:r>
              <w:rPr>
                <w:rFonts w:hint="eastAsia" w:ascii="宋体" w:hAnsi="宋体" w:cs="宋体"/>
                <w:kern w:val="0"/>
                <w:sz w:val="20"/>
                <w:szCs w:val="20"/>
              </w:rPr>
              <w:t>6.频响范围：35Hz—20KHz</w:t>
            </w:r>
            <w:r>
              <w:rPr>
                <w:rFonts w:hint="eastAsia" w:ascii="宋体" w:hAnsi="宋体" w:cs="宋体"/>
                <w:kern w:val="0"/>
                <w:sz w:val="20"/>
                <w:szCs w:val="20"/>
              </w:rPr>
              <w:br w:type="textWrapping"/>
            </w:r>
            <w:r>
              <w:rPr>
                <w:rFonts w:hint="eastAsia" w:ascii="宋体" w:hAnsi="宋体" w:cs="宋体"/>
                <w:kern w:val="0"/>
                <w:sz w:val="20"/>
                <w:szCs w:val="20"/>
              </w:rPr>
              <w:t>7.阻尼系数:&gt;400@8ohm</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创业培训教室</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奥伟达、迪赛思、首音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78</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数字音频矩阵</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1.4路信号输入8路信号输出，可组合多种分频模式，高、低通分频点均可达20Hz～20KHz；</w:t>
            </w:r>
            <w:r>
              <w:rPr>
                <w:rFonts w:hint="eastAsia" w:ascii="宋体" w:hAnsi="宋体" w:cs="宋体"/>
                <w:kern w:val="0"/>
                <w:sz w:val="20"/>
                <w:szCs w:val="20"/>
              </w:rPr>
              <w:br w:type="textWrapping"/>
            </w:r>
            <w:r>
              <w:rPr>
                <w:rFonts w:hint="eastAsia" w:ascii="宋体" w:hAnsi="宋体" w:cs="宋体"/>
                <w:kern w:val="0"/>
                <w:sz w:val="20"/>
                <w:szCs w:val="20"/>
              </w:rPr>
              <w:t>2.96KHz采样频率，32-bit DSP处理器，24-bit A/D及D/A转换；</w:t>
            </w:r>
            <w:r>
              <w:rPr>
                <w:rFonts w:hint="eastAsia" w:ascii="宋体" w:hAnsi="宋体" w:cs="宋体"/>
                <w:kern w:val="0"/>
                <w:sz w:val="20"/>
                <w:szCs w:val="20"/>
              </w:rPr>
              <w:br w:type="textWrapping"/>
            </w:r>
            <w:r>
              <w:rPr>
                <w:rFonts w:hint="eastAsia" w:ascii="宋体" w:hAnsi="宋体" w:cs="宋体"/>
                <w:kern w:val="0"/>
                <w:sz w:val="20"/>
                <w:szCs w:val="20"/>
              </w:rPr>
              <w:t>3.通过RS485接口可最多连接250台机器和超过1500米的距离外用电脑来控制；</w:t>
            </w:r>
            <w:r>
              <w:rPr>
                <w:rFonts w:hint="eastAsia" w:ascii="宋体" w:hAnsi="宋体" w:cs="宋体"/>
                <w:kern w:val="0"/>
                <w:sz w:val="20"/>
                <w:szCs w:val="20"/>
              </w:rPr>
              <w:br w:type="textWrapping"/>
            </w:r>
            <w:r>
              <w:rPr>
                <w:rFonts w:hint="eastAsia" w:ascii="宋体" w:hAnsi="宋体" w:cs="宋体"/>
                <w:kern w:val="0"/>
                <w:sz w:val="20"/>
                <w:szCs w:val="20"/>
              </w:rPr>
              <w:t>4.单机可存储30种用户程序，每个输入和输出均有6段独立的参量均衡，调节增益范围可达±20dB；</w:t>
            </w:r>
            <w:r>
              <w:rPr>
                <w:rFonts w:hint="eastAsia" w:ascii="宋体" w:hAnsi="宋体" w:cs="宋体"/>
                <w:kern w:val="0"/>
                <w:sz w:val="20"/>
                <w:szCs w:val="20"/>
              </w:rPr>
              <w:br w:type="textWrapping"/>
            </w:r>
            <w:r>
              <w:rPr>
                <w:rFonts w:hint="eastAsia" w:ascii="宋体" w:hAnsi="宋体" w:cs="宋体"/>
                <w:kern w:val="0"/>
                <w:sz w:val="20"/>
                <w:szCs w:val="20"/>
              </w:rPr>
              <w:t>5.2×24 LCD蓝色背光显示功能设置，6段LED显示输入/输出的精确数字电平表、哑音及编辑状态；</w:t>
            </w:r>
            <w:r>
              <w:rPr>
                <w:rFonts w:hint="eastAsia" w:ascii="宋体" w:hAnsi="宋体" w:cs="宋体"/>
                <w:kern w:val="0"/>
                <w:sz w:val="20"/>
                <w:szCs w:val="20"/>
              </w:rPr>
              <w:br w:type="textWrapping"/>
            </w:r>
            <w:r>
              <w:rPr>
                <w:rFonts w:hint="eastAsia" w:ascii="宋体" w:hAnsi="宋体" w:cs="宋体"/>
                <w:kern w:val="0"/>
                <w:sz w:val="20"/>
                <w:szCs w:val="20"/>
              </w:rPr>
              <w:t>6.每个输入和输出均有延时和相位控制及哑音设置，延时最长可达1000ms；</w:t>
            </w:r>
            <w:r>
              <w:rPr>
                <w:rFonts w:hint="eastAsia" w:ascii="宋体" w:hAnsi="宋体" w:cs="宋体"/>
                <w:kern w:val="0"/>
                <w:sz w:val="20"/>
                <w:szCs w:val="20"/>
              </w:rPr>
              <w:br w:type="textWrapping"/>
            </w:r>
            <w:r>
              <w:rPr>
                <w:rFonts w:hint="eastAsia" w:ascii="宋体" w:hAnsi="宋体" w:cs="宋体"/>
                <w:kern w:val="0"/>
                <w:sz w:val="20"/>
                <w:szCs w:val="20"/>
              </w:rPr>
              <w:t>7.输出通道还可控制增益、压限及选择输入通道信号，并能将某通道的所有参数复制到另外一个通道并能进行联动控制；</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创业培训教室</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奥伟达、迪赛思、首音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79</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4500流明投影机</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xml:space="preserve">4500流明,1024*768分辨率,20000:1对比度,1.18-1.90投射比，240W灯,3.3KG  </w:t>
            </w:r>
            <w:r>
              <w:rPr>
                <w:rFonts w:hint="eastAsia" w:ascii="宋体" w:hAnsi="宋体" w:cs="宋体"/>
                <w:kern w:val="0"/>
                <w:sz w:val="20"/>
                <w:szCs w:val="20"/>
              </w:rPr>
              <w:br w:type="textWrapping"/>
            </w:r>
            <w:r>
              <w:rPr>
                <w:rFonts w:hint="eastAsia" w:ascii="宋体" w:hAnsi="宋体" w:cs="宋体"/>
                <w:kern w:val="0"/>
                <w:sz w:val="20"/>
                <w:szCs w:val="20"/>
              </w:rPr>
              <w:t>灯炮使用周期增加至20000小时.</w:t>
            </w:r>
            <w:r>
              <w:rPr>
                <w:rFonts w:hint="eastAsia" w:ascii="宋体" w:hAnsi="宋体" w:cs="宋体"/>
                <w:kern w:val="0"/>
                <w:sz w:val="20"/>
                <w:szCs w:val="20"/>
              </w:rPr>
              <w:br w:type="textWrapping"/>
            </w:r>
            <w:r>
              <w:rPr>
                <w:rFonts w:hint="eastAsia" w:ascii="宋体" w:hAnsi="宋体" w:cs="宋体"/>
                <w:kern w:val="0"/>
                <w:sz w:val="20"/>
                <w:szCs w:val="20"/>
              </w:rPr>
              <w:t>垂直\水平梯形校正和四角校正功能</w:t>
            </w:r>
            <w:r>
              <w:rPr>
                <w:rFonts w:hint="eastAsia" w:ascii="宋体" w:hAnsi="宋体" w:cs="宋体"/>
                <w:kern w:val="0"/>
                <w:sz w:val="20"/>
                <w:szCs w:val="20"/>
              </w:rPr>
              <w:br w:type="textWrapping"/>
            </w:r>
            <w:r>
              <w:rPr>
                <w:rFonts w:hint="eastAsia" w:ascii="宋体" w:hAnsi="宋体" w:cs="宋体"/>
                <w:kern w:val="0"/>
                <w:sz w:val="20"/>
                <w:szCs w:val="20"/>
              </w:rPr>
              <w:t>无线模块(选配件)轻松实现无线投影传输.</w:t>
            </w:r>
            <w:r>
              <w:rPr>
                <w:rFonts w:hint="eastAsia" w:ascii="宋体" w:hAnsi="宋体" w:cs="宋体"/>
                <w:kern w:val="0"/>
                <w:sz w:val="20"/>
                <w:szCs w:val="20"/>
              </w:rPr>
              <w:br w:type="textWrapping"/>
            </w:r>
            <w:r>
              <w:rPr>
                <w:rFonts w:hint="eastAsia" w:ascii="宋体" w:hAnsi="宋体" w:cs="宋体"/>
                <w:kern w:val="0"/>
                <w:sz w:val="20"/>
                <w:szCs w:val="20"/>
              </w:rPr>
              <w:t>强光感应功能,根据环境亮度自动调节.</w:t>
            </w:r>
            <w:r>
              <w:rPr>
                <w:rFonts w:hint="eastAsia" w:ascii="宋体" w:hAnsi="宋体" w:cs="宋体"/>
                <w:kern w:val="0"/>
                <w:sz w:val="20"/>
                <w:szCs w:val="20"/>
              </w:rPr>
              <w:br w:type="textWrapping"/>
            </w:r>
            <w:r>
              <w:rPr>
                <w:rFonts w:hint="eastAsia" w:ascii="宋体" w:hAnsi="宋体" w:cs="宋体"/>
                <w:kern w:val="0"/>
                <w:sz w:val="20"/>
                <w:szCs w:val="20"/>
              </w:rPr>
              <w:t>USB连接线信号传输显示功能</w:t>
            </w:r>
            <w:r>
              <w:rPr>
                <w:rFonts w:hint="eastAsia" w:ascii="宋体" w:hAnsi="宋体" w:cs="宋体"/>
                <w:kern w:val="0"/>
                <w:sz w:val="20"/>
                <w:szCs w:val="20"/>
              </w:rPr>
              <w:br w:type="textWrapping"/>
            </w:r>
            <w:r>
              <w:rPr>
                <w:rFonts w:hint="eastAsia" w:ascii="宋体" w:hAnsi="宋体" w:cs="宋体"/>
                <w:kern w:val="0"/>
                <w:sz w:val="20"/>
                <w:szCs w:val="20"/>
              </w:rPr>
              <w:t>可断电保护功能</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创业培训教室</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松下、索尼、爱普生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80</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150"幕布</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150寸（16:9）玻珠</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创业培训教室</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红叶、美视、阿历克斯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81</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投影机支架</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投影机固定支架</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创业培训教室</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82</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xml:space="preserve">机柜 </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18U机柜600*600</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创业培训教室</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图腾、大唐保镖、一舟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83</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辅材</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含RCA插头、3芯卡龙、VGA连接线等</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创业培训教室</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84</w:t>
            </w:r>
          </w:p>
        </w:tc>
        <w:tc>
          <w:tcPr>
            <w:tcW w:w="425" w:type="dxa"/>
            <w:vMerge w:val="restart"/>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未来交通</w:t>
            </w:r>
          </w:p>
        </w:tc>
        <w:tc>
          <w:tcPr>
            <w:tcW w:w="417" w:type="dxa"/>
            <w:vMerge w:val="restart"/>
            <w:noWrap w:val="0"/>
            <w:vAlign w:val="center"/>
          </w:tcPr>
          <w:p>
            <w:pPr>
              <w:widowControl/>
              <w:snapToGrid w:val="0"/>
              <w:jc w:val="center"/>
              <w:rPr>
                <w:rFonts w:ascii="等线" w:hAnsi="等线" w:eastAsia="等线" w:cs="宋体"/>
                <w:kern w:val="0"/>
                <w:sz w:val="20"/>
                <w:szCs w:val="20"/>
              </w:rPr>
            </w:pPr>
            <w:r>
              <w:rPr>
                <w:rFonts w:hint="eastAsia" w:ascii="宋体" w:hAnsi="宋体" w:cs="宋体"/>
                <w:kern w:val="0"/>
                <w:sz w:val="20"/>
                <w:szCs w:val="20"/>
              </w:rPr>
              <w:t>停车管理</w:t>
            </w: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自动挡车器</w:t>
            </w:r>
          </w:p>
        </w:tc>
        <w:tc>
          <w:tcPr>
            <w:tcW w:w="8222" w:type="dxa"/>
            <w:noWrap w:val="0"/>
            <w:vAlign w:val="bottom"/>
          </w:tcPr>
          <w:p>
            <w:pPr>
              <w:widowControl/>
              <w:snapToGrid w:val="0"/>
              <w:jc w:val="left"/>
              <w:rPr>
                <w:rFonts w:ascii="等线" w:hAnsi="等线" w:eastAsia="等线" w:cs="宋体"/>
                <w:kern w:val="0"/>
                <w:sz w:val="20"/>
                <w:szCs w:val="20"/>
              </w:rPr>
            </w:pPr>
            <w:r>
              <w:rPr>
                <w:rFonts w:hint="eastAsia" w:ascii="宋体" w:hAnsi="宋体" w:cs="宋体"/>
                <w:kern w:val="0"/>
                <w:sz w:val="20"/>
                <w:szCs w:val="20"/>
              </w:rPr>
              <w:t>直杆中速4系列道闸</w:t>
            </w:r>
            <w:r>
              <w:rPr>
                <w:rFonts w:hint="eastAsia" w:ascii="宋体" w:hAnsi="宋体" w:cs="宋体"/>
                <w:kern w:val="0"/>
                <w:sz w:val="20"/>
                <w:szCs w:val="20"/>
              </w:rPr>
              <w:br w:type="textWrapping"/>
            </w:r>
            <w:r>
              <w:rPr>
                <w:rFonts w:hint="eastAsia" w:ascii="宋体" w:hAnsi="宋体" w:cs="宋体"/>
                <w:kern w:val="0"/>
                <w:sz w:val="20"/>
                <w:szCs w:val="20"/>
              </w:rPr>
              <w:t>包含：2个遥控器</w:t>
            </w:r>
            <w:r>
              <w:rPr>
                <w:rFonts w:hint="eastAsia" w:ascii="宋体" w:hAnsi="宋体" w:cs="宋体"/>
                <w:kern w:val="0"/>
                <w:sz w:val="20"/>
                <w:szCs w:val="20"/>
              </w:rPr>
              <w:br w:type="textWrapping"/>
            </w:r>
            <w:r>
              <w:rPr>
                <w:rFonts w:hint="eastAsia" w:ascii="宋体" w:hAnsi="宋体" w:cs="宋体"/>
                <w:kern w:val="0"/>
                <w:sz w:val="20"/>
                <w:szCs w:val="20"/>
              </w:rPr>
              <w:t>道闸类型：直杆</w:t>
            </w:r>
            <w:r>
              <w:rPr>
                <w:rFonts w:hint="eastAsia" w:ascii="宋体" w:hAnsi="宋体" w:cs="宋体"/>
                <w:kern w:val="0"/>
                <w:sz w:val="20"/>
                <w:szCs w:val="20"/>
              </w:rPr>
              <w:br w:type="textWrapping"/>
            </w:r>
            <w:r>
              <w:rPr>
                <w:rFonts w:hint="eastAsia" w:ascii="宋体" w:hAnsi="宋体" w:cs="宋体"/>
                <w:kern w:val="0"/>
                <w:sz w:val="20"/>
                <w:szCs w:val="20"/>
              </w:rPr>
              <w:t>道闸方向：右向</w:t>
            </w:r>
            <w:r>
              <w:rPr>
                <w:rFonts w:hint="eastAsia" w:ascii="宋体" w:hAnsi="宋体" w:cs="宋体"/>
                <w:kern w:val="0"/>
                <w:sz w:val="20"/>
                <w:szCs w:val="20"/>
              </w:rPr>
              <w:br w:type="textWrapping"/>
            </w:r>
            <w:r>
              <w:rPr>
                <w:rFonts w:hint="eastAsia" w:ascii="宋体" w:hAnsi="宋体" w:cs="宋体"/>
                <w:kern w:val="0"/>
                <w:sz w:val="20"/>
                <w:szCs w:val="20"/>
              </w:rPr>
              <w:t>道闸杆长：4米</w:t>
            </w:r>
            <w:r>
              <w:rPr>
                <w:rFonts w:hint="eastAsia" w:ascii="宋体" w:hAnsi="宋体" w:cs="宋体"/>
                <w:kern w:val="0"/>
                <w:sz w:val="20"/>
                <w:szCs w:val="20"/>
              </w:rPr>
              <w:br w:type="textWrapping"/>
            </w:r>
            <w:r>
              <w:rPr>
                <w:rFonts w:hint="eastAsia" w:ascii="宋体" w:hAnsi="宋体" w:cs="宋体"/>
                <w:kern w:val="0"/>
                <w:sz w:val="20"/>
                <w:szCs w:val="20"/>
              </w:rPr>
              <w:t>机箱材质：冷轧钢</w:t>
            </w:r>
            <w:r>
              <w:rPr>
                <w:rFonts w:hint="eastAsia" w:ascii="宋体" w:hAnsi="宋体" w:cs="宋体"/>
                <w:kern w:val="0"/>
                <w:sz w:val="20"/>
                <w:szCs w:val="20"/>
              </w:rPr>
              <w:br w:type="textWrapping"/>
            </w:r>
            <w:r>
              <w:rPr>
                <w:rFonts w:hint="eastAsia" w:ascii="宋体" w:hAnsi="宋体" w:cs="宋体"/>
                <w:kern w:val="0"/>
                <w:sz w:val="20"/>
                <w:szCs w:val="20"/>
              </w:rPr>
              <w:t>机箱颜色：橙色</w:t>
            </w:r>
            <w:r>
              <w:rPr>
                <w:rFonts w:hint="eastAsia" w:ascii="宋体" w:hAnsi="宋体" w:cs="宋体"/>
                <w:kern w:val="0"/>
                <w:sz w:val="20"/>
                <w:szCs w:val="20"/>
              </w:rPr>
              <w:br w:type="textWrapping"/>
            </w:r>
            <w:r>
              <w:rPr>
                <w:rFonts w:hint="eastAsia" w:ascii="宋体" w:hAnsi="宋体" w:cs="宋体"/>
                <w:kern w:val="0"/>
                <w:sz w:val="20"/>
                <w:szCs w:val="20"/>
              </w:rPr>
              <w:t>遥控距离：≥30m</w:t>
            </w:r>
            <w:r>
              <w:rPr>
                <w:rFonts w:hint="eastAsia" w:ascii="宋体" w:hAnsi="宋体" w:cs="宋体"/>
                <w:kern w:val="0"/>
                <w:sz w:val="20"/>
                <w:szCs w:val="20"/>
              </w:rPr>
              <w:br w:type="textWrapping"/>
            </w:r>
            <w:r>
              <w:rPr>
                <w:rFonts w:hint="eastAsia" w:ascii="宋体" w:hAnsi="宋体" w:cs="宋体"/>
                <w:kern w:val="0"/>
                <w:sz w:val="20"/>
                <w:szCs w:val="20"/>
              </w:rPr>
              <w:t>输入电压：220VAC+10%</w:t>
            </w:r>
            <w:r>
              <w:rPr>
                <w:rFonts w:hint="eastAsia" w:ascii="宋体" w:hAnsi="宋体" w:cs="宋体"/>
                <w:kern w:val="0"/>
                <w:sz w:val="20"/>
                <w:szCs w:val="20"/>
              </w:rPr>
              <w:br w:type="textWrapping"/>
            </w:r>
            <w:r>
              <w:rPr>
                <w:rFonts w:hint="eastAsia" w:ascii="宋体" w:hAnsi="宋体" w:cs="宋体"/>
                <w:kern w:val="0"/>
                <w:sz w:val="20"/>
                <w:szCs w:val="20"/>
              </w:rPr>
              <w:t>电机驱动：交流电机</w:t>
            </w:r>
            <w:r>
              <w:rPr>
                <w:rFonts w:hint="eastAsia" w:ascii="宋体" w:hAnsi="宋体" w:cs="宋体"/>
                <w:kern w:val="0"/>
                <w:sz w:val="20"/>
                <w:szCs w:val="20"/>
              </w:rPr>
              <w:br w:type="textWrapping"/>
            </w:r>
            <w:r>
              <w:rPr>
                <w:rFonts w:hint="eastAsia" w:ascii="宋体" w:hAnsi="宋体" w:cs="宋体"/>
                <w:kern w:val="0"/>
                <w:sz w:val="20"/>
                <w:szCs w:val="20"/>
              </w:rPr>
              <w:t>电机功率：90W</w:t>
            </w:r>
            <w:r>
              <w:rPr>
                <w:rFonts w:hint="eastAsia" w:ascii="宋体" w:hAnsi="宋体" w:cs="宋体"/>
                <w:kern w:val="0"/>
                <w:sz w:val="20"/>
                <w:szCs w:val="20"/>
              </w:rPr>
              <w:br w:type="textWrapping"/>
            </w:r>
            <w:r>
              <w:rPr>
                <w:rFonts w:hint="eastAsia" w:ascii="宋体" w:hAnsi="宋体" w:cs="宋体"/>
                <w:kern w:val="0"/>
                <w:sz w:val="20"/>
                <w:szCs w:val="20"/>
              </w:rPr>
              <w:t>功能特性：支持外接红绿灯警示、外接红外保护、外接地感功能，支持强冷天气</w:t>
            </w:r>
            <w:r>
              <w:rPr>
                <w:rFonts w:hint="eastAsia" w:ascii="宋体" w:hAnsi="宋体" w:cs="宋体"/>
                <w:kern w:val="0"/>
                <w:sz w:val="20"/>
                <w:szCs w:val="20"/>
              </w:rPr>
              <w:br w:type="textWrapping"/>
            </w:r>
            <w:r>
              <w:rPr>
                <w:rFonts w:hint="eastAsia" w:ascii="宋体" w:hAnsi="宋体" w:cs="宋体"/>
                <w:kern w:val="0"/>
                <w:sz w:val="20"/>
                <w:szCs w:val="20"/>
              </w:rPr>
              <w:t>应有自锁手动解除装置，停电时能解脱自锁，实现手动控制功能；</w:t>
            </w:r>
            <w:r>
              <w:rPr>
                <w:rFonts w:hint="eastAsia" w:ascii="宋体" w:hAnsi="宋体" w:cs="宋体"/>
                <w:kern w:val="0"/>
                <w:sz w:val="20"/>
                <w:szCs w:val="20"/>
              </w:rPr>
              <w:br w:type="textWrapping"/>
            </w:r>
            <w:r>
              <w:rPr>
                <w:rFonts w:hint="eastAsia" w:ascii="宋体" w:hAnsi="宋体" w:cs="宋体"/>
                <w:kern w:val="0"/>
                <w:sz w:val="20"/>
                <w:szCs w:val="20"/>
              </w:rPr>
              <w:t>具有遇阻返回功能</w:t>
            </w:r>
            <w:r>
              <w:rPr>
                <w:rFonts w:hint="eastAsia" w:ascii="等线" w:hAnsi="等线" w:eastAsia="等线" w:cs="宋体"/>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98450" cy="920750"/>
                      <wp:effectExtent l="0" t="0" r="0" b="0"/>
                      <wp:wrapNone/>
                      <wp:docPr id="112" name="矩形 1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297180" cy="869950"/>
                              </a:xfrm>
                              <a:prstGeom prst="rect">
                                <a:avLst/>
                              </a:prstGeom>
                              <a:noFill/>
                              <a:ln>
                                <a:noFill/>
                              </a:ln>
                              <a:effectLst/>
                            </wps:spPr>
                            <wps:bodyPr wrap="square"/>
                          </wps:wsp>
                        </a:graphicData>
                      </a:graphic>
                    </wp:anchor>
                  </w:drawing>
                </mc:Choice>
                <mc:Fallback>
                  <w:pict>
                    <v:rect id="_x0000_s1026" o:spid="_x0000_s1026" o:spt="1" style="position:absolute;left:0pt;margin-left:0pt;margin-top:0pt;height:72.5pt;width:23.5pt;z-index:251659264;mso-width-relative:page;mso-height-relative:page;" filled="f" stroked="f" coordsize="21600,21600" o:gfxdata="UEsDBAoAAAAAAIdO4kAAAAAAAAAAAAAAAAAEAAAAZHJzL1BLAwQUAAAACACHTuJA4Bf9jdUAAAAE AQAADwAAAGRycy9kb3ducmV2LnhtbE2PQUvDQBCF74L/YRnBi7S7lVolZtNDQSwilKa25212moRm Z9PsNqn/3tGLvQw83uPN99L5xTWixy7UnjRMxgoEUuFtTaWGr83b6AVEiIasaTyhhm8MMM9ub1KT WD/QGvs8loJLKCRGQxVjm0gZigqdCWPfIrF38J0zkWVXStuZgctdIx+VmklnauIPlWlxUWFxzM9O w1Cs+t3m812uHnZLT6flaZFvP7S+v5uoVxARL/E/DL/4jA4ZM+39mWwQjQYeEv8ue9NnVnvOTJ8U yCyV1/DZD1BLAwQUAAAACACHTuJAawf7nccBAACMAwAADgAAAGRycy9lMm9Eb2MueG1srVPNbhMx EL4j8Q6W72SzkSjJKpsKEZVLBZUKDzD1zmYt1j94nGzyNEjceAgeB/EajJ1NSttLD71Y9tjzzXzf N15e7k0vdhhIO1vLcjKVAq1yjbabWn79cvVmLgVFsA30zmItD0jycvX61XLwFc5c5/oGg2AQS9Xg a9nF6KuiINWhAZo4j5YvWxcMRD6GTdEEGBjd9MVsOr0oBhcaH5xCIo6uj5dyRAzPAXRtqxWundoa tPGIGrCHyJSo057kKnfbtqji57YljKKvJTONeeUivL9La7FaQrUJ4DutxhbgOS084mRAWy56hlpD BLEN+gmU0So4cm2cKGeKI5GsCLMop4+0ue3AY+bCUpM/i04vB6s+7W6C0A1PQjmTwoJhy//++PXn 90+RIqzP4KniZ7f+JiSG5K+d+kbCug8d2A2+J88qcz5nn0IhuKFDaLjRMkEUDzDSgUa0fRtMQmUl xD7bcjjbgvsoFAdni3flnA1TfDW/WCzeZtsKqE7JPlD8iM6ItKll4H6yGbC7ppjKQ3V6kmpZd6X7 Pjvf2wcBfniMYB6dMfu+37S7c82BJRt4ZmpJ37cQ8EyRTcrVxoFKU/D/OQtx/4lW/wBQSwMECgAA AAAAh07iQAAAAAAAAAAAAAAAAAYAAABfcmVscy9QSwMEFAAAAAgAh07iQIoUZjzRAAAAlAEAAAsA AABfcmVscy8ucmVsc6WQwWrDMAyG74O9g9F9cZrDGKNOL6PQa+kewNiKYxpbRjLZ+vbzDoNl9Laj fqHvE//+8JkWtSJLpGxg1/WgMDvyMQcD75fj0wsoqTZ7u1BGAzcUOIyPD/szLra2I5ljEdUoWQzM tZZXrcXNmKx0VDC3zUScbG0jB12su9qAeuj7Z82/GTBumOrkDfDJD6Aut9LMf9gpOiahqXaOkqZp iu4eVQe2ZY7uyDbhG7lGsxywGvAsGgdqWdd+BH1fv/un3tNHPuO61X6HjOuPV2+6HL8AUEsDBBQA AAAIAIdO4kB+5uUg9wAAAOEBAAATAAAAW0NvbnRlbnRfVHlwZXNdLnhtbJWRQU7DMBBF90jcwfIW JU67QAgl6YK0S0CoHGBkTxKLZGx5TGhvj5O2G0SRWNoz/78nu9wcxkFMGNg6quQqL6RA0s5Y6ir5 vt9lD1JwBDIwOMJKHpHlpr69KfdHjyxSmriSfYz+USnWPY7AufNIadK6MEJMx9ApD/oDOlTrorhX 2lFEilmcO2RdNtjC5xDF9pCuTyYBB5bi6bQ4syoJ3g9WQ0ymaiLzg5KdCXlKLjvcW893SUOqXwnz 5DrgnHtJTxOsQfEKIT7DmDSUCayM+6KAU/53yWw5cuba1mrMm8BNir3hdLG61o5r1zj93/Ltkrp0 q+WD6m9QSwECFAAUAAAACACHTuJAfublIPcAAADhAQAAEwAAAAAAAAABACAAAAA1BAAAW0NvbnRl bnRfVHlwZXNdLnhtbFBLAQIUAAoAAAAAAIdO4kAAAAAAAAAAAAAAAAAGAAAAAAAAAAAAEAAAABcD AABfcmVscy9QSwECFAAUAAAACACHTuJAihRmPNEAAACUAQAACwAAAAAAAAABACAAAAA7AwAAX3Jl bHMvLnJlbHNQSwECFAAKAAAAAACHTuJAAAAAAAAAAAAAAAAABAAAAAAAAAAAABAAAAAAAAAAZHJz L1BLAQIUABQAAAAIAIdO4kDgF/2N1QAAAAQBAAAPAAAAAAAAAAEAIAAAACIAAABkcnMvZG93bnJl di54bWxQSwECFAAUAAAACACHTuJAawf7nccBAACMAwAADgAAAAAAAAABACAAAAAkAQAAZHJzL2Uy b0RvYy54bWxQSwUGAAAAAAYABgBZAQAAXQUAAAAA ">
                      <v:fill on="f" focussize="0,0"/>
                      <v:stroke on="f"/>
                      <v:imagedata o:title=""/>
                      <o:lock v:ext="edit" aspectratio="t"/>
                    </v:rect>
                  </w:pict>
                </mc:Fallback>
              </mc:AlternateContent>
            </w:r>
            <w:r>
              <w:rPr>
                <w:rFonts w:hint="eastAsia" w:ascii="等线" w:hAnsi="等线" w:eastAsia="等线" w:cs="宋体"/>
                <w:kern w:val="0"/>
                <w:sz w:val="20"/>
                <w:szCs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98450" cy="920750"/>
                      <wp:effectExtent l="0" t="0" r="0" b="0"/>
                      <wp:wrapNone/>
                      <wp:docPr id="111" name="矩形 1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297180" cy="869950"/>
                              </a:xfrm>
                              <a:prstGeom prst="rect">
                                <a:avLst/>
                              </a:prstGeom>
                              <a:noFill/>
                              <a:ln>
                                <a:noFill/>
                              </a:ln>
                              <a:effectLst/>
                            </wps:spPr>
                            <wps:bodyPr wrap="square"/>
                          </wps:wsp>
                        </a:graphicData>
                      </a:graphic>
                    </wp:anchor>
                  </w:drawing>
                </mc:Choice>
                <mc:Fallback>
                  <w:pict>
                    <v:rect id="_x0000_s1026" o:spid="_x0000_s1026" o:spt="1" style="position:absolute;left:0pt;margin-left:0pt;margin-top:0pt;height:72.5pt;width:23.5pt;z-index:251660288;mso-width-relative:page;mso-height-relative:page;" filled="f" stroked="f" coordsize="21600,21600" o:gfxdata="UEsDBAoAAAAAAIdO4kAAAAAAAAAAAAAAAAAEAAAAZHJzL1BLAwQUAAAACACHTuJA4Bf9jdUAAAAE AQAADwAAAGRycy9kb3ducmV2LnhtbE2PQUvDQBCF74L/YRnBi7S7lVolZtNDQSwilKa25212moRm Z9PsNqn/3tGLvQw83uPN99L5xTWixy7UnjRMxgoEUuFtTaWGr83b6AVEiIasaTyhhm8MMM9ub1KT WD/QGvs8loJLKCRGQxVjm0gZigqdCWPfIrF38J0zkWVXStuZgctdIx+VmklnauIPlWlxUWFxzM9O w1Cs+t3m812uHnZLT6flaZFvP7S+v5uoVxARL/E/DL/4jA4ZM+39mWwQjQYeEv8ue9NnVnvOTJ8U yCyV1/DZD1BLAwQUAAAACACHTuJA/NAgAMcBAACMAwAADgAAAGRycy9lMm9Eb2MueG1srVNLbtsw EN0X6B0I7mtZBpraguWgqJFugjZA2gMw1MgiKn46Q1v2aQp010P0OEWv0SEtO02yySIbgRzOvJn3 3mh5ube92AGS8a6W5WQqBTjtG+M2tfz65erNXAqKyjWq9w5qeQCSl6vXr5ZDqGDmO983gIJBHFVD qGUXY6iKgnQHVtHEB3D82Hq0KvIVN0WDamB02xez6fSiGDw2Ab0GIo6uj49yRMTnAPq2NRrWXm8t uHhERehVZErUmUByladtW9Dxc9sSRNHXkpnG/OUmfL5L32K1VNUGVeiMHkdQzxnhESerjOOmZ6i1 ikps0TyBskajJ9/Gifa2OBLJijCLcvpIm9tOBchcWGoKZ9Hp5WD1p90NCtPwJpSlFE5Ztvzvj19/ fv8UKcL6DIEqTrsNN5gYUrj2+hsJ5z90ym3gPQVWmeu5+hRC9EMHquFBM0TxACNdaETbt2gTKish 9tmWw9kW2EehOThbvCvnbJjmp/nFYvE221ao6lQckOJH8FakQy2R58lmqN01RWbAqaeU1Mv5K9P3 2fnePQhw4jECeXXG6vt50+nONweWbOCdqSV93yqEpFKmyCblbuNCpS34/56z7n+i1T9QSwMECgAA AAAAh07iQAAAAAAAAAAAAAAAAAYAAABfcmVscy9QSwMEFAAAAAgAh07iQIoUZjzRAAAAlAEAAAsA AABfcmVscy8ucmVsc6WQwWrDMAyG74O9g9F9cZrDGKNOL6PQa+kewNiKYxpbRjLZ+vbzDoNl9Laj fqHvE//+8JkWtSJLpGxg1/WgMDvyMQcD75fj0wsoqTZ7u1BGAzcUOIyPD/szLra2I5ljEdUoWQzM tZZXrcXNmKx0VDC3zUScbG0jB12su9qAeuj7Z82/GTBumOrkDfDJD6Aut9LMf9gpOiahqXaOkqZp iu4eVQe2ZY7uyDbhG7lGsxywGvAsGgdqWdd+BH1fv/un3tNHPuO61X6HjOuPV2+6HL8AUEsDBBQA AAAIAIdO4kB+5uUg9wAAAOEBAAATAAAAW0NvbnRlbnRfVHlwZXNdLnhtbJWRQU7DMBBF90jcwfIW JU67QAgl6YK0S0CoHGBkTxKLZGx5TGhvj5O2G0SRWNoz/78nu9wcxkFMGNg6quQqL6RA0s5Y6ir5 vt9lD1JwBDIwOMJKHpHlpr69KfdHjyxSmriSfYz+USnWPY7AufNIadK6MEJMx9ApD/oDOlTrorhX 2lFEilmcO2RdNtjC5xDF9pCuTyYBB5bi6bQ4syoJ3g9WQ0ymaiLzg5KdCXlKLjvcW893SUOqXwnz 5DrgnHtJTxOsQfEKIT7DmDSUCayM+6KAU/53yWw5cuba1mrMm8BNir3hdLG61o5r1zj93/Ltkrp0 q+WD6m9QSwECFAAUAAAACACHTuJAfublIPcAAADhAQAAEwAAAAAAAAABACAAAAA1BAAAW0NvbnRl bnRfVHlwZXNdLnhtbFBLAQIUAAoAAAAAAIdO4kAAAAAAAAAAAAAAAAAGAAAAAAAAAAAAEAAAABcD AABfcmVscy9QSwECFAAUAAAACACHTuJAihRmPNEAAACUAQAACwAAAAAAAAABACAAAAA7AwAAX3Jl bHMvLnJlbHNQSwECFAAKAAAAAACHTuJAAAAAAAAAAAAAAAAABAAAAAAAAAAAABAAAAAAAAAAZHJz L1BLAQIUABQAAAAIAIdO4kDgF/2N1QAAAAQBAAAPAAAAAAAAAAEAIAAAACIAAABkcnMvZG93bnJl di54bWxQSwECFAAUAAAACACHTuJA/NAgAMcBAACMAwAADgAAAAAAAAABACAAAAAkAQAAZHJzL2Uy b0RvYy54bWxQSwUGAAAAAAYABgBZAQAAXQUAAAAA ">
                      <v:fill on="f" focussize="0,0"/>
                      <v:stroke on="f"/>
                      <v:imagedata o:title=""/>
                      <o:lock v:ext="edit" aspectratio="t"/>
                    </v:rect>
                  </w:pict>
                </mc:Fallback>
              </mc:AlternateContent>
            </w:r>
            <w:r>
              <w:rPr>
                <w:rFonts w:hint="eastAsia" w:ascii="等线" w:hAnsi="等线" w:eastAsia="等线" w:cs="宋体"/>
                <w:kern w:val="0"/>
                <w:sz w:val="20"/>
                <w:szCs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98450" cy="457200"/>
                      <wp:effectExtent l="0" t="0" r="0" b="0"/>
                      <wp:wrapNone/>
                      <wp:docPr id="110" name="矩形 1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297180" cy="430530"/>
                              </a:xfrm>
                              <a:prstGeom prst="rect">
                                <a:avLst/>
                              </a:prstGeom>
                              <a:noFill/>
                              <a:ln>
                                <a:noFill/>
                              </a:ln>
                              <a:effectLst/>
                            </wps:spPr>
                            <wps:bodyPr wrap="square"/>
                          </wps:wsp>
                        </a:graphicData>
                      </a:graphic>
                    </wp:anchor>
                  </w:drawing>
                </mc:Choice>
                <mc:Fallback>
                  <w:pict>
                    <v:rect id="_x0000_s1026" o:spid="_x0000_s1026" o:spt="1" style="position:absolute;left:0pt;margin-left:0pt;margin-top:0pt;height:36pt;width:23.5pt;z-index:251661312;mso-width-relative:page;mso-height-relative:page;" filled="f" stroked="f" coordsize="21600,21600" o:gfxdata="UEsDBAoAAAAAAIdO4kAAAAAAAAAAAAAAAAAEAAAAZHJzL1BLAwQUAAAACACHTuJAYfU7UdQAAAAD AQAADwAAAGRycy9kb3ducmV2LnhtbE2PQWvCQBCF74X+h2UKvRTdVUotMRsPgiilII2t5zU7TUKz szG7Jvbfd/RiLw8eb3jvm3Rxdo3osQu1Jw2TsQKBVHhbU6nhc7cavYII0ZA1jSfU8IsBFtn9XWoS 6wf6wD6PpeASConRUMXYJlKGokJnwti3SJx9+86ZyLYrpe3MwOWukVOlXqQzNfFCZVpcVlj85Cen YSi2/X73vpbbp/3G03FzXOZfb1o/PkzUHETEc7wdwwWf0SFjpoM/kQ2i0cCPxKty9jxjd9AwmyqQ WSr/s2d/UEsDBBQAAAAIAIdO4kCQ0PADxgEAAIwDAAAOAAAAZHJzL2Uyb0RvYy54bWytU0tu2zAQ 3RfoHQjua0lOP6lgOShqpJugDZD2ABNqZBEVP+XQln2aAt31ED1OkWt0SMtOk26y6IYgh5w3770Z Li52ZhBbDKSdbWQ1K6VAq1yr7bqRXz5fvjiXgiLYFgZnsZF7JHmxfP5sMfoa5653Q4tBMIilevSN 7GP0dVGQ6tEAzZxHy5edCwYiH8O6aAOMjG6GYl6Wr4vRhdYHp5CIo6vDpZwQw1MAXddphSunNgZt PKAGHCCyJOq1J7nMbLsOVfzUdYRRDI1kpTGvXIT3t2ktlguo1wF8r9VEAZ5C4ZEmA9py0RPUCiKI TdD/QBmtgiPXxZlypjgIyY6wiqp85M1NDx6zFraa/Ml0+n+w6uP2Ogjd8iRU7IkFwy2/+/7z968f IkXYn9FTzc9u/HVICslfOfWVhHXve7BrfEeeXeZ8zj6GQnBjj9Ay0SpBFA8w0oEmtF0XTEJlJ8Qu t2V/agvuolAcnL99U50zOcVXL8/KV2eZVgH1MdkHih/QGZE2jQzMJzcDtlcUU3moj09SLesu9TDk zg/2QYAfHiKYR2fKvuebdreu3bNlI89MI+nbBgKeJHKTcrVpoNIU/H3ORtx/ouUf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YfU7UdQAAAADAQAADwAAAAAAAAABACAAAAAiAAAAZHJzL2Rvd25yZXYu eG1sUEsBAhQAFAAAAAgAh07iQJDQ8APGAQAAjAMAAA4AAAAAAAAAAQAgAAAAIwEAAGRycy9lMm9E b2MueG1sUEsFBgAAAAAGAAYAWQEAAFsFAAAAAA== ">
                      <v:fill on="f" focussize="0,0"/>
                      <v:stroke on="f"/>
                      <v:imagedata o:title=""/>
                      <o:lock v:ext="edit" aspectratio="t"/>
                    </v:rect>
                  </w:pict>
                </mc:Fallback>
              </mc:AlternateContent>
            </w:r>
            <w:r>
              <w:rPr>
                <w:rFonts w:hint="eastAsia" w:ascii="等线" w:hAnsi="等线" w:eastAsia="等线" w:cs="宋体"/>
                <w:kern w:val="0"/>
                <w:sz w:val="20"/>
                <w:szCs w:val="2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98450" cy="457200"/>
                      <wp:effectExtent l="0" t="0" r="0" b="0"/>
                      <wp:wrapNone/>
                      <wp:docPr id="109" name="矩形 1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297180" cy="430530"/>
                              </a:xfrm>
                              <a:prstGeom prst="rect">
                                <a:avLst/>
                              </a:prstGeom>
                              <a:noFill/>
                              <a:ln>
                                <a:noFill/>
                              </a:ln>
                              <a:effectLst/>
                            </wps:spPr>
                            <wps:bodyPr wrap="square"/>
                          </wps:wsp>
                        </a:graphicData>
                      </a:graphic>
                    </wp:anchor>
                  </w:drawing>
                </mc:Choice>
                <mc:Fallback>
                  <w:pict>
                    <v:rect id="_x0000_s1026" o:spid="_x0000_s1026" o:spt="1" style="position:absolute;left:0pt;margin-left:0pt;margin-top:0pt;height:36pt;width:23.5pt;z-index:251662336;mso-width-relative:page;mso-height-relative:page;" filled="f" stroked="f" coordsize="21600,21600" o:gfxdata="UEsDBAoAAAAAAIdO4kAAAAAAAAAAAAAAAAAEAAAAZHJzL1BLAwQUAAAACACHTuJAYfU7UdQAAAAD AQAADwAAAGRycy9kb3ducmV2LnhtbE2PQWvCQBCF74X+h2UKvRTdVUotMRsPgiilII2t5zU7TUKz szG7Jvbfd/RiLw8eb3jvm3Rxdo3osQu1Jw2TsQKBVHhbU6nhc7cavYII0ZA1jSfU8IsBFtn9XWoS 6wf6wD6PpeASConRUMXYJlKGokJnwti3SJx9+86ZyLYrpe3MwOWukVOlXqQzNfFCZVpcVlj85Cen YSi2/X73vpbbp/3G03FzXOZfb1o/PkzUHETEc7wdwwWf0SFjpoM/kQ2i0cCPxKty9jxjd9AwmyqQ WSr/s2d/UEsDBBQAAAAIAIdO4kDYs2z3xwEAAIwDAAAOAAAAZHJzL2Uyb0RvYy54bWytU0tuFDEQ 3SNxB8t7pnsmfJLW9ESIUdhEEClwgIq7erpF22VcnumZ0yCx4xAcB3ENyp5PSNhkwcayy65X9d4r zy+3dlAbDNyTq/V0UmqFzlDTu1WtP3+6enGuFUdwDQzksNY7ZH25eP5sPvoKZ9TR0GBQAuK4Gn2t uxh9VRRsOrTAE/Lo5LKlYCHKMayKJsAo6HYoZmX5uhgpND6QQWaJLveX+oAYngJIbdsbXJJZW3Rx jxpwgCiUuOs960Xutm3RxI9tyxjVUGthGvMqRWR/l9ZiMYdqFcB3vTm0AE9p4REnC72ToieoJURQ 69D/A2V7E4ipjRNDttgTyYoIi2n5SJvbDjxmLiI1+5Po/P9gzYfNTVB9I5NQXmjlwIrlv7/9+PXz u0oR0Wf0XMmzW38TEkP212S+sHL0rgO3wrfsRWXJl+xjKAQaO4RGGp0miOIBRjrwAW3bBptQRQm1 zbbsTrbgNiojwdnFm+m5GGbk6uVZ+eos21ZAdUz2geN7JKvSptZB+slmwOaaYyoP1fFJquXoqh+G 7PzgHgTk4T6CeXQO2ff9pt0dNTuRbJSZqTV/XUPAE0UxKVc7DFSagr/PWYj7T7T4A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GH1O1HUAAAAAwEAAA8AAAAAAAAAAQAgAAAAIgAAAGRycy9kb3ducmV2 LnhtbFBLAQIUABQAAAAIAIdO4kDYs2z3xwEAAIwDAAAOAAAAAAAAAAEAIAAAACMBAABkcnMvZTJv RG9jLnhtbFBLBQYAAAAABgAGAFkBAABcBQAAAAA= ">
                      <v:fill on="f" focussize="0,0"/>
                      <v:stroke on="f"/>
                      <v:imagedata o:title=""/>
                      <o:lock v:ext="edit" aspectratio="t"/>
                    </v:rect>
                  </w:pict>
                </mc:Fallback>
              </mc:AlternateContent>
            </w:r>
            <w:r>
              <w:rPr>
                <w:rFonts w:hint="eastAsia" w:ascii="等线" w:hAnsi="等线" w:eastAsia="等线" w:cs="宋体"/>
                <w:kern w:val="0"/>
                <w:sz w:val="20"/>
                <w:szCs w:val="2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98450" cy="857250"/>
                      <wp:effectExtent l="0" t="0" r="0" b="0"/>
                      <wp:wrapNone/>
                      <wp:docPr id="108" name="矩形 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297180" cy="805180"/>
                              </a:xfrm>
                              <a:prstGeom prst="rect">
                                <a:avLst/>
                              </a:prstGeom>
                              <a:noFill/>
                              <a:ln>
                                <a:noFill/>
                              </a:ln>
                              <a:effectLst/>
                            </wps:spPr>
                            <wps:bodyPr wrap="square"/>
                          </wps:wsp>
                        </a:graphicData>
                      </a:graphic>
                    </wp:anchor>
                  </w:drawing>
                </mc:Choice>
                <mc:Fallback>
                  <w:pict>
                    <v:rect id="_x0000_s1026" o:spid="_x0000_s1026" o:spt="1" style="position:absolute;left:0pt;margin-left:0pt;margin-top:0pt;height:67.5pt;width:23.5pt;z-index:251663360;mso-width-relative:page;mso-height-relative:page;" filled="f" stroked="f" coordsize="21600,21600" o:gfxdata="UEsDBAoAAAAAAIdO4kAAAAAAAAAAAAAAAAAEAAAAZHJzL1BLAwQUAAAACACHTuJAuJEa5NYAAAAE AQAADwAAAGRycy9kb3ducmV2LnhtbE2PzWrDMBCE74W+g9hALyWR0p+0uJZzCJSGUgh10pwVa2Ob WivHUuz07bvppbksDDPMfpPOT64RPXah9qRhOlEgkApvayo1bNav42cQIRqypvGEGn4wwDy7vkpN Yv1An9jnsRRcQiExGqoY20TKUFToTJj4Fom9ve+ciSy7UtrODFzuGnmn1Ew6UxN/qEyLiwqL7/zo NAzFqt+uP97k6na79HRYHhb517vWN6OpegER8RT/w3DGZ3TImGnnj2SDaDTwkPh32Xt4YrXjzP2j Apml8hI++wVQSwMEFAAAAAgAh07iQEZ5X6DEAQAAjAMAAA4AAABkcnMvZTJvRG9jLnhtbK1TzY7T MBC+I/EOlu80aSWgRE1XiGq5rGClhQeYdSZNRPzDjNu0T4PEjYfgcRCvwThJu+zuZQ97scafPZ/n +2a8ujjYTu2RuPWu1PNZrhU646vWbUv99cvlq6VWHMFV0HmHpT4i64v1yxerPhS48I3vKiQlJI6L PpS6iTEUWcamQQs88wGdHNaeLETZ0jarCHpht122yPM3We+pCuQNMgu6GQ/1xEhPIfR13RrceLOz 6OLISthBFEnctIH1eqi2rtHEz3XNGFVXalEah1Uekfg2rdl6BcWWIDStmUqAp5TwQJOF1smjZ6oN RFA7ah9R2daQZ1/HmfE2G4UMjoiKef7Am5sGAg5axGoOZ9P5+WjNp/01qbaSScil8Q6stPzvj19/ fv9UCRF/+sCFXLsJ15QUcrjy5hsr5z804Lb4noO4LPmSfYKIfN8gVFLoPFFk9zjShie2Q002sYoT 6jC05XhuCx6iMgIu3r2dL6VhRo6W+esUJ04oTsmBOH5Eb1UKSk1Sz9AM2F9xHK+erqS3nL9su05w KDp3DxDOEcFhdKbsu3pTdOuro1jWy8yUmr/vgPAsUZo0FDYNVJqC//eDEXefaP0P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uJEa5NYAAAAEAQAADwAAAAAAAAABACAAAAAiAAAAZHJzL2Rvd25yZXYu eG1sUEsBAhQAFAAAAAgAh07iQEZ5X6DEAQAAjAMAAA4AAAAAAAAAAQAgAAAAJQEAAGRycy9lMm9E b2MueG1sUEsFBgAAAAAGAAYAWQEAAFsFAAAAAA== ">
                      <v:fill on="f" focussize="0,0"/>
                      <v:stroke on="f"/>
                      <v:imagedata o:title=""/>
                      <o:lock v:ext="edit" aspectratio="t"/>
                    </v:rect>
                  </w:pict>
                </mc:Fallback>
              </mc:AlternateContent>
            </w:r>
            <w:r>
              <w:rPr>
                <w:rFonts w:hint="eastAsia" w:ascii="等线" w:hAnsi="等线" w:eastAsia="等线" w:cs="宋体"/>
                <w:kern w:val="0"/>
                <w:sz w:val="20"/>
                <w:szCs w:val="20"/>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298450" cy="857250"/>
                      <wp:effectExtent l="0" t="0" r="0" b="0"/>
                      <wp:wrapNone/>
                      <wp:docPr id="107" name="矩形 1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297180" cy="805180"/>
                              </a:xfrm>
                              <a:prstGeom prst="rect">
                                <a:avLst/>
                              </a:prstGeom>
                              <a:noFill/>
                              <a:ln>
                                <a:noFill/>
                              </a:ln>
                              <a:effectLst/>
                            </wps:spPr>
                            <wps:bodyPr wrap="square"/>
                          </wps:wsp>
                        </a:graphicData>
                      </a:graphic>
                    </wp:anchor>
                  </w:drawing>
                </mc:Choice>
                <mc:Fallback>
                  <w:pict>
                    <v:rect id="_x0000_s1026" o:spid="_x0000_s1026" o:spt="1" style="position:absolute;left:0pt;margin-left:0pt;margin-top:0pt;height:67.5pt;width:23.5pt;z-index:251664384;mso-width-relative:page;mso-height-relative:page;" filled="f" stroked="f" coordsize="21600,21600" o:gfxdata="UEsDBAoAAAAAAIdO4kAAAAAAAAAAAAAAAAAEAAAAZHJzL1BLAwQUAAAACACHTuJAuJEa5NYAAAAE AQAADwAAAGRycy9kb3ducmV2LnhtbE2PzWrDMBCE74W+g9hALyWR0p+0uJZzCJSGUgh10pwVa2Ob WivHUuz07bvppbksDDPMfpPOT64RPXah9qRhOlEgkApvayo1bNav42cQIRqypvGEGn4wwDy7vkpN Yv1An9jnsRRcQiExGqoY20TKUFToTJj4Fom9ve+ciSy7UtrODFzuGnmn1Ew6UxN/qEyLiwqL7/zo NAzFqt+uP97k6na79HRYHhb517vWN6OpegER8RT/w3DGZ3TImGnnj2SDaDTwkPh32Xt4YrXjzP2j Apml8hI++wVQSwMEFAAAAAgAh07iQE76eCfEAQAAjAMAAA4AAABkcnMvZTJvRG9jLnhtbK1TwY7T MBC9I/EPlu80aSXYEjVdIarlsoKVlv0ArzNpImKPmXGb9muQuPERfA7iNxgnaZddLnvgYo2fPc/z 3oxXlwfXqT0Qt+hLPZ/lWoG3WLV+W+q7z1evllpxNL4yHXoo9RFYX65fvlj1oYAFNthVQEpIPBd9 KHUTYyiyjG0DzvAMA3g5rJGcibKlbVaR6YXdddkiz99kPVIVCC0wC7oZD/XESM8hxLpuLWzQ7hz4 OLISdCaKJG7awHo9VFvXYOOnumaIqiu1KI3DKo9IfJ/WbL0yxZZMaFo7lWCeU8ITTc60Xh49U21M NGpH7T9UrrWEjHWcWXTZKGRwRFTM8yfe3DYmwKBFrOZwNp3/H639uL8h1VYyCfmFVt44afnvbz9+ /fyuEiL+9IELuXYbbigp5HCN9gsrj+8b47fwjoO4LPmSfYKIsG/AVFLoPFFkjzjShie2Q00usYoT 6jC05XhuCxyisgIu3l7Ml9IwK0fL/HWKE6cpTsmBOH4AdCoFpSapZ2iG2V9zHK+erqS3PF61XSe4 KTr/CBDOEYFhdKbsh3pTdI/VUSzrZWZKzV93huAsUZo0FDYNVJqCv/eDEQ+faP0H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uJEa5NYAAAAEAQAADwAAAAAAAAABACAAAAAiAAAAZHJzL2Rvd25yZXYu eG1sUEsBAhQAFAAAAAgAh07iQE76eCfEAQAAjAMAAA4AAAAAAAAAAQAgAAAAJQEAAGRycy9lMm9E b2MueG1sUEsFBgAAAAAGAAYAWQEAAFsFAAAAAA== ">
                      <v:fill on="f" focussize="0,0"/>
                      <v:stroke on="f"/>
                      <v:imagedata o:title=""/>
                      <o:lock v:ext="edit" aspectratio="t"/>
                    </v:rect>
                  </w:pict>
                </mc:Fallback>
              </mc:AlternateContent>
            </w:r>
            <w:r>
              <w:rPr>
                <w:rFonts w:hint="eastAsia" w:ascii="等线" w:hAnsi="等线" w:eastAsia="等线" w:cs="宋体"/>
                <w:kern w:val="0"/>
                <w:sz w:val="20"/>
                <w:szCs w:val="2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98450" cy="857250"/>
                      <wp:effectExtent l="0" t="0" r="0" b="0"/>
                      <wp:wrapNone/>
                      <wp:docPr id="106" name="矩形 1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297180" cy="805180"/>
                              </a:xfrm>
                              <a:prstGeom prst="rect">
                                <a:avLst/>
                              </a:prstGeom>
                              <a:noFill/>
                              <a:ln>
                                <a:noFill/>
                              </a:ln>
                              <a:effectLst/>
                            </wps:spPr>
                            <wps:bodyPr wrap="square"/>
                          </wps:wsp>
                        </a:graphicData>
                      </a:graphic>
                    </wp:anchor>
                  </w:drawing>
                </mc:Choice>
                <mc:Fallback>
                  <w:pict>
                    <v:rect id="_x0000_s1026" o:spid="_x0000_s1026" o:spt="1" style="position:absolute;left:0pt;margin-left:0pt;margin-top:0pt;height:67.5pt;width:23.5pt;z-index:251665408;mso-width-relative:page;mso-height-relative:page;" filled="f" stroked="f" coordsize="21600,21600" o:gfxdata="UEsDBAoAAAAAAIdO4kAAAAAAAAAAAAAAAAAEAAAAZHJzL1BLAwQUAAAACACHTuJAuJEa5NYAAAAE AQAADwAAAGRycy9kb3ducmV2LnhtbE2PzWrDMBCE74W+g9hALyWR0p+0uJZzCJSGUgh10pwVa2Ob WivHUuz07bvppbksDDPMfpPOT64RPXah9qRhOlEgkApvayo1bNav42cQIRqypvGEGn4wwDy7vkpN Yv1An9jnsRRcQiExGqoY20TKUFToTJj4Fom9ve+ciSy7UtrODFzuGnmn1Ew6UxN/qEyLiwqL7/zo NAzFqt+uP97k6na79HRYHhb517vWN6OpegER8RT/w3DGZ3TImGnnj2SDaDTwkPh32Xt4YrXjzP2j Apml8hI++wVQSwMEFAAAAAgAh07iQMNIzlPEAQAAjAMAAA4AAABkcnMvZTJvRG9jLnhtbK1TwY7T MBC9I/EPlu80aSWWEjVdIarlsoKVlv0ArzNpImKPmXGb9muQuPERfA7iNxgnaZddLnvgYo2fPc/z 3oxXlwfXqT0Qt+hLPZ/lWoG3WLV+W+q7z1evllpxNL4yHXoo9RFYX65fvlj1oYAFNthVQEpIPBd9 KHUTYyiyjG0DzvAMA3g5rJGcibKlbVaR6YXdddkizy+yHqkKhBaYBd2Mh3pipOcQYl23FjZodw58 HFkJOhNFEjdtYL0eqq1rsPFTXTNE1ZValMZhlUckvk9rtl6ZYksmNK2dSjDPKeGJJmdaL4+eqTYm GrWj9h8q11pCxjrOLLpsFDI4Iirm+RNvbhsTYNAiVnM4m87/j9Z+3N+QaiuZhPxCK2+ctPz3tx+/ fn5XCRF/+sCFXLsNN5QUcrhG+4WVx/eN8Vt4x0FclnzJPkFE2DdgKil0niiyRxxpwxPboSaXWMUJ dRjacjy3BQ5RWQEXb9/Ml9IwK0fL/HWKE6cpTsmBOH4AdCoFpSapZ2iG2V9zHK+erqS3PF61XSe4 KTr/CBDOEYFhdKbsh3pTdI/VUSzrZWZKzV93huAsUZo0FDYNVJqCv/eDEQ+faP0H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uJEa5NYAAAAEAQAADwAAAAAAAAABACAAAAAiAAAAZHJzL2Rvd25yZXYu eG1sUEsBAhQAFAAAAAgAh07iQMNIzlPEAQAAjAMAAA4AAAAAAAAAAQAgAAAAJQEAAGRycy9lMm9E b2MueG1sUEsFBgAAAAAGAAYAWQEAAFsFAAAAAA== ">
                      <v:fill on="f" focussize="0,0"/>
                      <v:stroke on="f"/>
                      <v:imagedata o:title=""/>
                      <o:lock v:ext="edit" aspectratio="t"/>
                    </v:rect>
                  </w:pict>
                </mc:Fallback>
              </mc:AlternateContent>
            </w:r>
            <w:r>
              <w:rPr>
                <w:rFonts w:hint="eastAsia" w:ascii="等线" w:hAnsi="等线" w:eastAsia="等线" w:cs="宋体"/>
                <w:kern w:val="0"/>
                <w:sz w:val="20"/>
                <w:szCs w:val="20"/>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98450" cy="927100"/>
                      <wp:effectExtent l="0" t="0" r="0" b="0"/>
                      <wp:wrapNone/>
                      <wp:docPr id="105" name="矩形 1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297180" cy="875030"/>
                              </a:xfrm>
                              <a:prstGeom prst="rect">
                                <a:avLst/>
                              </a:prstGeom>
                              <a:noFill/>
                              <a:ln>
                                <a:noFill/>
                              </a:ln>
                              <a:effectLst/>
                            </wps:spPr>
                            <wps:bodyPr wrap="square"/>
                          </wps:wsp>
                        </a:graphicData>
                      </a:graphic>
                    </wp:anchor>
                  </w:drawing>
                </mc:Choice>
                <mc:Fallback>
                  <w:pict>
                    <v:rect id="_x0000_s1026" o:spid="_x0000_s1026" o:spt="1" style="position:absolute;left:0pt;margin-left:0pt;margin-top:0pt;height:73pt;width:23.5pt;z-index:251666432;mso-width-relative:page;mso-height-relative:page;" filled="f" stroked="f" coordsize="21600,21600" o:gfxdata="UEsDBAoAAAAAAIdO4kAAAAAAAAAAAAAAAAAEAAAAZHJzL1BLAwQUAAAACACHTuJAKlpUItUAAAAE AQAADwAAAGRycy9kb3ducmV2LnhtbE2PQWvCQBCF7wX/wzKFXoruWsRKmo0HQSqlII2t5zU7TUKz szG7JvbfO/ViLwOP93jzvXR5do3osQu1Jw3TiQKBVHhbU6nhc7ceL0CEaMiaxhNq+MUAy2x0l5rE +oE+sM9jKbiEQmI0VDG2iZShqNCZMPEtEnvfvnMmsuxKaTszcLlr5JNSc+lMTfyhMi2uKix+8pPT MBTbfr97f5Xbx/3G03FzXOVfb1o/3E/VC4iI53gLwx8+o0PGTAd/IhtEo4GHxOtlb/bM6sCZ2VyB zFL5Hz67AFBLAwQUAAAACACHTuJASTdx/scBAACMAwAADgAAAGRycy9lMm9Eb2MueG1srVPNbhMx EL4j8Q6W72Q3QaVhlU2FiMqlgkqFB5h6Z7MW6x88TjZ5GiRuPASPg3iNjp1NSttLD71Y9tjzzXzf N15c7EwvthhIO1vL6aSUAq1yjbbrWn77evlmLgVFsA30zmIt90jyYvn61WLwFc5c5/oGg2AQS9Xg a9nF6KuiINWhAZo4j5YvWxcMRD6GddEEGBjd9MWsLN8VgwuND04hEUdXh0s5IobnALq21QpXTm0M 2nhADdhDZErUaU9ymbttW1TxS9sSRtHXkpnGvHIR3t+mtVguoFoH8J1WYwvwnBYecTKgLRc9Qa0g gtgE/QTKaBUcuTZOlDPFgUhWhFlMy0fa3HTgMXNhqcmfRKeXg1Wft9dB6IYnoTyTwoJhy//9/P33 zy+RIqzP4KniZzf+OiSG5K+c+k7Cuo8d2DV+IM8qcz5nH0MhuKFDaLjRaYIoHmCkA41ouzaYhMpK iF22ZX+yBXdRKA7O3p9P52yY4qv5+Vn5NttWQHVM9oHiJ3RGpE0tA/eTzYDtFcVUHqrjk1TLukvd 99n53j4I8MNDBPPojNn3/abdrWv2LNnAM1NL+rGBgCeKbFKuNg5UmoL/z1mI+0+0vANQSwMECgAA AAAAh07iQAAAAAAAAAAAAAAAAAYAAABfcmVscy9QSwMEFAAAAAgAh07iQIoUZjzRAAAAlAEAAAsA AABfcmVscy8ucmVsc6WQwWrDMAyG74O9g9F9cZrDGKNOL6PQa+kewNiKYxpbRjLZ+vbzDoNl9Laj fqHvE//+8JkWtSJLpGxg1/WgMDvyMQcD75fj0wsoqTZ7u1BGAzcUOIyPD/szLra2I5ljEdUoWQzM tZZXrcXNmKx0VDC3zUScbG0jB12su9qAeuj7Z82/GTBumOrkDfDJD6Aut9LMf9gpOiahqXaOkqZp iu4eVQe2ZY7uyDbhG7lGsxywGvAsGgdqWdd+BH1fv/un3tNHPuO61X6HjOuPV2+6HL8AUEsDBBQA AAAIAIdO4kB+5uUg9wAAAOEBAAATAAAAW0NvbnRlbnRfVHlwZXNdLnhtbJWRQU7DMBBF90jcwfIW JU67QAgl6YK0S0CoHGBkTxKLZGx5TGhvj5O2G0SRWNoz/78nu9wcxkFMGNg6quQqL6RA0s5Y6ir5 vt9lD1JwBDIwOMJKHpHlpr69KfdHjyxSmriSfYz+USnWPY7AufNIadK6MEJMx9ApD/oDOlTrorhX 2lFEilmcO2RdNtjC5xDF9pCuTyYBB5bi6bQ4syoJ3g9WQ0ymaiLzg5KdCXlKLjvcW893SUOqXwnz 5DrgnHtJTxOsQfEKIT7DmDSUCayM+6KAU/53yWw5cuba1mrMm8BNir3hdLG61o5r1zj93/Ltkrp0 q+WD6m9QSwECFAAUAAAACACHTuJAfublIPcAAADhAQAAEwAAAAAAAAABACAAAAA1BAAAW0NvbnRl bnRfVHlwZXNdLnhtbFBLAQIUAAoAAAAAAIdO4kAAAAAAAAAAAAAAAAAGAAAAAAAAAAAAEAAAABcD AABfcmVscy9QSwECFAAUAAAACACHTuJAihRmPNEAAACUAQAACwAAAAAAAAABACAAAAA7AwAAX3Jl bHMvLnJlbHNQSwECFAAKAAAAAACHTuJAAAAAAAAAAAAAAAAABAAAAAAAAAAAABAAAAAAAAAAZHJz L1BLAQIUABQAAAAIAIdO4kAqWlQi1QAAAAQBAAAPAAAAAAAAAAEAIAAAACIAAABkcnMvZG93bnJl di54bWxQSwECFAAUAAAACACHTuJASTdx/scBAACMAwAADgAAAAAAAAABACAAAAAkAQAAZHJzL2Uy b0RvYy54bWxQSwUGAAAAAAYABgBZAQAAXQUAAAAA ">
                      <v:fill on="f" focussize="0,0"/>
                      <v:stroke on="f"/>
                      <v:imagedata o:title=""/>
                      <o:lock v:ext="edit" aspectratio="t"/>
                    </v:rect>
                  </w:pict>
                </mc:Fallback>
              </mc:AlternateContent>
            </w:r>
            <w:r>
              <w:rPr>
                <w:rFonts w:hint="eastAsia" w:ascii="等线" w:hAnsi="等线" w:eastAsia="等线" w:cs="宋体"/>
                <w:kern w:val="0"/>
                <w:sz w:val="20"/>
                <w:szCs w:val="20"/>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98450" cy="927100"/>
                      <wp:effectExtent l="0" t="0" r="0" b="0"/>
                      <wp:wrapNone/>
                      <wp:docPr id="104" name="矩形 1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297180" cy="875030"/>
                              </a:xfrm>
                              <a:prstGeom prst="rect">
                                <a:avLst/>
                              </a:prstGeom>
                              <a:noFill/>
                              <a:ln>
                                <a:noFill/>
                              </a:ln>
                              <a:effectLst/>
                            </wps:spPr>
                            <wps:bodyPr wrap="square"/>
                          </wps:wsp>
                        </a:graphicData>
                      </a:graphic>
                    </wp:anchor>
                  </w:drawing>
                </mc:Choice>
                <mc:Fallback>
                  <w:pict>
                    <v:rect id="_x0000_s1026" o:spid="_x0000_s1026" o:spt="1" style="position:absolute;left:0pt;margin-left:0pt;margin-top:0pt;height:73pt;width:23.5pt;z-index:251667456;mso-width-relative:page;mso-height-relative:page;" filled="f" stroked="f" coordsize="21600,21600" o:gfxdata="UEsDBAoAAAAAAIdO4kAAAAAAAAAAAAAAAAAEAAAAZHJzL1BLAwQUAAAACACHTuJAKlpUItUAAAAE AQAADwAAAGRycy9kb3ducmV2LnhtbE2PQWvCQBCF7wX/wzKFXoruWsRKmo0HQSqlII2t5zU7TUKz szG7JvbfO/ViLwOP93jzvXR5do3osQu1Jw3TiQKBVHhbU6nhc7ceL0CEaMiaxhNq+MUAy2x0l5rE +oE+sM9jKbiEQmI0VDG2iZShqNCZMPEtEnvfvnMmsuxKaTszcLlr5JNSc+lMTfyhMi2uKix+8pPT MBTbfr97f5Xbx/3G03FzXOVfb1o/3E/VC4iI53gLwx8+o0PGTAd/IhtEo4GHxOtlb/bM6sCZ2VyB zFL5Hz67AFBLAwQUAAAACACHTuJAxIXHisYBAACMAwAADgAAAGRycy9lMm9Eb2MueG1srVNLjhMx EN0jcQfLe9Kd8JnQSmeEiIbNCEYaOIDHXZ22aH+octLJaZDYcQiOg+YalJ1O5reZBRvLLrte1Xuv vDjf2V5sAcl4V8vppJQCnPaNcetafvt68WouBUXlGtV7B7XcA8nz5csXiyFUMPOd7xtAwSCOqiHU sosxVEVBugOraOIDOL5sPVoV+YjrokE1MLrti1lZvisGj01Ar4GIo6vDpRwR8TmAvm2NhpXXGwsu HlARehWZEnUmkFzmbtsWdPzStgRR9LVkpjGvXIT3N2ktlgtVrVGFzuixBfWcFh5xsso4LnqCWqmo xAbNEyhrNHrybZxob4sDkawIs5iWj7S57lSAzIWlpnASnf4frP68vUJhGp6E8o0UTlm2/Pbn779/ fokUYX2GQBU/uw5XmBhSuPT6OwnnP3bKreEDBVaZ8zn7GEL0Qweq4UanCaJ4gJEONKLtWrQJlZUQ u2zL/mQL7KLQHJy9P5vO2TDNV/Ozt+XrbFuhqmNyQIqfwFuRNrVE7iebobaXFFN5VR2fpFrOX5i+ z8737kGAHx4ikEdnzL7rN+1ufLNnyQaemVrSj41COFFkk3K1caDSFNw/ZyHuPtHyH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CpaVCLVAAAABAEAAA8AAAAAAAAAAQAgAAAAIgAAAGRycy9kb3ducmV2 LnhtbFBLAQIUABQAAAAIAIdO4kDEhceKxgEAAIwDAAAOAAAAAAAAAAEAIAAAACQBAABkcnMvZTJv RG9jLnhtbFBLBQYAAAAABgAGAFkBAABcBQAAAAA= ">
                      <v:fill on="f" focussize="0,0"/>
                      <v:stroke on="f"/>
                      <v:imagedata o:title=""/>
                      <o:lock v:ext="edit" aspectratio="t"/>
                    </v:rect>
                  </w:pict>
                </mc:Fallback>
              </mc:AlternateContent>
            </w:r>
            <w:r>
              <w:rPr>
                <w:rFonts w:hint="eastAsia" w:ascii="等线" w:hAnsi="等线" w:eastAsia="等线" w:cs="宋体"/>
                <w:kern w:val="0"/>
                <w:sz w:val="20"/>
                <w:szCs w:val="20"/>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98450" cy="457200"/>
                      <wp:effectExtent l="0" t="0" r="0" b="0"/>
                      <wp:wrapNone/>
                      <wp:docPr id="103" name="矩形 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297180" cy="430530"/>
                              </a:xfrm>
                              <a:prstGeom prst="rect">
                                <a:avLst/>
                              </a:prstGeom>
                              <a:noFill/>
                              <a:ln>
                                <a:noFill/>
                              </a:ln>
                              <a:effectLst/>
                            </wps:spPr>
                            <wps:bodyPr wrap="square"/>
                          </wps:wsp>
                        </a:graphicData>
                      </a:graphic>
                    </wp:anchor>
                  </w:drawing>
                </mc:Choice>
                <mc:Fallback>
                  <w:pict>
                    <v:rect id="_x0000_s1026" o:spid="_x0000_s1026" o:spt="1" style="position:absolute;left:0pt;margin-left:0pt;margin-top:0pt;height:36pt;width:23.5pt;z-index:251668480;mso-width-relative:page;mso-height-relative:page;" filled="f" stroked="f" coordsize="21600,21600" o:gfxdata="UEsDBAoAAAAAAIdO4kAAAAAAAAAAAAAAAAAEAAAAZHJzL1BLAwQUAAAACACHTuJAYfU7UdQAAAAD AQAADwAAAGRycy9kb3ducmV2LnhtbE2PQWvCQBCF74X+h2UKvRTdVUotMRsPgiilII2t5zU7TUKz szG7Jvbfd/RiLw8eb3jvm3Rxdo3osQu1Jw2TsQKBVHhbU6nhc7cavYII0ZA1jSfU8IsBFtn9XWoS 6wf6wD6PpeASConRUMXYJlKGokJnwti3SJx9+86ZyLYrpe3MwOWukVOlXqQzNfFCZVpcVlj85Cen YSi2/X73vpbbp/3G03FzXOZfb1o/PkzUHETEc7wdwwWf0SFjpoM/kQ2i0cCPxKty9jxjd9AwmyqQ WSr/s2d/UEsDBBQAAAAIAIdO4kAoTlYNxwEAAIwDAAAOAAAAZHJzL2Uyb0RvYy54bWytU0tu2zAQ 3RfoHQjua8l2P4lgOShqpJugDZDmAAw1soiKn87Qln2aAt31ED1OkWt0SMtOk26y6IYgh5w3894b Li52thdbQDLe1XI6KaUAp31j3LqWt18uX51JQVG5RvXeQS33QPJi+fLFYggVzHzn+wZQMIijagi1 7GIMVVGQ7sAqmvgAji9bj1ZFPuK6aFANjG77YlaWb4vBYxPQayDi6OpwKUdEfA6gb1ujYeX1xoKL B1SEXkWmRJ0JJJe527YFHT+3LUEUfS2ZacwrF+H9XVqL5UJVa1ShM3psQT2nhSecrDKOi56gVioq sUHzD5Q1Gj35Nk60t8WBSFaEWUzLJ9rcdCpA5sJSUziJTv8PVn/aXqMwDU9COZfCKcuW33//+fvX D5EirM8QqOJnN+EaE0MKV15/JeH8h065NbynwCpzPmcfQ4h+6EA13Og0QRSPMNKBRrRdizahshJi l23Zn2yBXRSag7Pzd9MzNkzz1et5+WaebStUdUwOSPEjeCvSppbI/WQz1PaKYiqvquOTVMv5S9P3 2fnePQrww0ME8uiM2Q/9pt2db/Ys2cAzU0v6tlEIJ4psUq42DlSagr/PWYiHT7T8A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GH1O1HUAAAAAwEAAA8AAAAAAAAAAQAgAAAAIgAAAGRycy9kb3ducmV2 LnhtbFBLAQIUABQAAAAIAIdO4kAoTlYNxwEAAIwDAAAOAAAAAAAAAAEAIAAAACMBAABkcnMvZTJv RG9jLnhtbFBLBQYAAAAABgAGAFkBAABcBQAAAAA= ">
                      <v:fill on="f" focussize="0,0"/>
                      <v:stroke on="f"/>
                      <v:imagedata o:title=""/>
                      <o:lock v:ext="edit" aspectratio="t"/>
                    </v:rect>
                  </w:pict>
                </mc:Fallback>
              </mc:AlternateContent>
            </w:r>
            <w:r>
              <w:rPr>
                <w:rFonts w:hint="eastAsia" w:ascii="等线" w:hAnsi="等线" w:eastAsia="等线" w:cs="宋体"/>
                <w:kern w:val="0"/>
                <w:sz w:val="20"/>
                <w:szCs w:val="20"/>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98450" cy="457200"/>
                      <wp:effectExtent l="0" t="0" r="0" b="0"/>
                      <wp:wrapNone/>
                      <wp:docPr id="102" name="矩形 1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297180" cy="430530"/>
                              </a:xfrm>
                              <a:prstGeom prst="rect">
                                <a:avLst/>
                              </a:prstGeom>
                              <a:noFill/>
                              <a:ln>
                                <a:noFill/>
                              </a:ln>
                              <a:effectLst/>
                            </wps:spPr>
                            <wps:bodyPr wrap="square"/>
                          </wps:wsp>
                        </a:graphicData>
                      </a:graphic>
                    </wp:anchor>
                  </w:drawing>
                </mc:Choice>
                <mc:Fallback>
                  <w:pict>
                    <v:rect id="_x0000_s1026" o:spid="_x0000_s1026" o:spt="1" style="position:absolute;left:0pt;margin-left:0pt;margin-top:0pt;height:36pt;width:23.5pt;z-index:251669504;mso-width-relative:page;mso-height-relative:page;" filled="f" stroked="f" coordsize="21600,21600" o:gfxdata="UEsDBAoAAAAAAIdO4kAAAAAAAAAAAAAAAAAEAAAAZHJzL1BLAwQUAAAACACHTuJAYfU7UdQAAAAD AQAADwAAAGRycy9kb3ducmV2LnhtbE2PQWvCQBCF74X+h2UKvRTdVUotMRsPgiilII2t5zU7TUKz szG7Jvbfd/RiLw8eb3jvm3Rxdo3osQu1Jw2TsQKBVHhbU6nhc7cavYII0ZA1jSfU8IsBFtn9XWoS 6wf6wD6PpeASConRUMXYJlKGokJnwti3SJx9+86ZyLYrpe3MwOWukVOlXqQzNfFCZVpcVlj85Cen YSi2/X73vpbbp/3G03FzXOZfb1o/PkzUHETEc7wdwwWf0SFjpoM/kQ2i0cCPxKty9jxjd9AwmyqQ WSr/s2d/UEsDBBQAAAAIAIdO4kCl/OB5xwEAAIwDAAAOAAAAZHJzL2Uyb0RvYy54bWytU0tuFDEQ 3SNxB8t7pnsmfEJreiLEKGwiiBQ4QMVdPd2i7TIuz/TMaZDYcQiOg3INyp5PSNhkwcayy65X9d4r zy+2dlAbDNyTq/V0UmqFzlDTu1Wtv3y+fHGuFUdwDQzksNY7ZH2xeP5sPvoKZ9TR0GBQAuK4Gn2t uxh9VRRsOrTAE/Lo5LKlYCHKMayKJsAo6HYoZmX5uhgpND6QQWaJLveX+oAYngJIbdsbXJJZW3Rx jxpwgCiUuOs960Xutm3RxE9tyxjVUGthGvMqRWR/m9ZiMYdqFcB3vTm0AE9p4REnC72ToieoJURQ 69D/A2V7E4ipjRNDttgTyYoIi2n5SJubDjxmLiI1+5Po/P9gzcfNdVB9I5NQzrRyYMXyu+8/f//6 oVJE9Bk9V/Lsxl+HxJD9FZmvrBy978Ct8B17UVnyJfsYCoHGDqGRRqcJoniAkQ58QNu2wSZUUUJt sy27ky24jcpIcPb2zfRcDDNy9fKsfHWWbSugOib7wPEDklVpU+sg/WQzYHPFMZWH6vgk1XJ02Q9D dn5wDwLycB/BPDqH7Pt+0+6Wmp1INsrM1Jq/rSHgiaKYlKsdBipNwd/nLMT9J1r8AV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GH1O1HUAAAAAwEAAA8AAAAAAAAAAQAgAAAAIgAAAGRycy9kb3ducmV2 LnhtbFBLAQIUABQAAAAIAIdO4kCl/OB5xwEAAIwDAAAOAAAAAAAAAAEAIAAAACMBAABkcnMvZTJv RG9jLnhtbFBLBQYAAAAABgAGAFkBAABcBQAAAAA= ">
                      <v:fill on="f" focussize="0,0"/>
                      <v:stroke on="f"/>
                      <v:imagedata o:title=""/>
                      <o:lock v:ext="edit" aspectratio="t"/>
                    </v:rect>
                  </w:pict>
                </mc:Fallback>
              </mc:AlternateContent>
            </w:r>
            <w:r>
              <w:rPr>
                <w:rFonts w:hint="eastAsia" w:ascii="等线" w:hAnsi="等线" w:eastAsia="等线" w:cs="宋体"/>
                <w:kern w:val="0"/>
                <w:sz w:val="20"/>
                <w:szCs w:val="20"/>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98450" cy="850900"/>
                      <wp:effectExtent l="0" t="0" r="0" b="0"/>
                      <wp:wrapNone/>
                      <wp:docPr id="101" name="矩形 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297180" cy="802640"/>
                              </a:xfrm>
                              <a:prstGeom prst="rect">
                                <a:avLst/>
                              </a:prstGeom>
                              <a:noFill/>
                              <a:ln>
                                <a:noFill/>
                              </a:ln>
                              <a:effectLst/>
                            </wps:spPr>
                            <wps:bodyPr wrap="square"/>
                          </wps:wsp>
                        </a:graphicData>
                      </a:graphic>
                    </wp:anchor>
                  </w:drawing>
                </mc:Choice>
                <mc:Fallback>
                  <w:pict>
                    <v:rect id="_x0000_s1026" o:spid="_x0000_s1026" o:spt="1" style="position:absolute;left:0pt;margin-left:0pt;margin-top:0pt;height:67pt;width:23.5pt;z-index:251670528;mso-width-relative:page;mso-height-relative:page;" filled="f" stroked="f" coordsize="21600,21600" o:gfxdata="UEsDBAoAAAAAAIdO4kAAAAAAAAAAAAAAAAAEAAAAZHJzL1BLAwQUAAAACACHTuJA/qp9gdUAAAAE AQAADwAAAGRycy9kb3ducmV2LnhtbE2PQUvDQBCF70L/wzIFL9LuVotKzKaHglhEKE1tz9vsNAnN zqbZbVL/vaMXvQw83uPN99LF1TWixy7UnjTMpgoEUuFtTaWGz+3r5BlEiIasaTyhhi8MsMhGN6lJ rB9og30eS8ElFBKjoYqxTaQMRYXOhKlvkdg7+s6ZyLIrpe3MwOWukfdKPUpnauIPlWlxWWFxyi9O w1Cs+/32402u7/YrT+fVeZnv3rW+Hc/UC4iI1/gXhh98RoeMmQ7+QjaIRgMPib+XvfkTqwNnHuYK ZJbK//DZN1BLAwQUAAAACACHTuJA1XMhw8cBAACMAwAADgAAAGRycy9lMm9Eb2MueG1srVPNjtMw EL4j8Q6W7zRphZYSNV0hquWygpWWfQCvM2ksYo+ZcZv2aZC48RA8DuI1mLg/yy6XPXCJ7PHMN/N9 32RxufO92gKxw1Dr6aTUCoLFxoV1re8+X72aa8XJhMb0GKDWe2B9uXz5YjHECmbYYd8AKQEJXA2x 1l1KsSoKth14wxOMEOSxRfImyZXWRUNmEHTfF7OyvCgGpCYSWmCW6OrwqI+I9BxAbFtnYYV24yGk AypBb5JQ4s5F1ss8bduCTZ/aliGpvtbCNOWvNJHz/fgtlgtTrcnEztnjCOY5Izzh5I0L0vQMtTLJ qA25f6C8s4SMbZpY9MWBSFZEWEzLJ9rcdiZC5iJSczyLzv8P1n7c3pByjWxCOdUqGC+W//7249fP 72qMiD5D5ErSbuMNjQw5XqP9wirg+86ENbzjKCpLvVSfQkQ4dGAaGTRDFI8wxgsf0XYt+RFVlFC7 bMv+bAvskrISnL19M52LYVae5uXs4nW2rTDVqTgSpw+AXo2HWpPMk80w22tOwkBSTyljr4BXru+z 8314FJDEQwTy6hyrH+YdT/fY7EWyQXam1vx1YwhGlTJFMSl3Oy7UuAV/33PWw0+0/ANQSwMECgAA AAAAh07iQAAAAAAAAAAAAAAAAAYAAABfcmVscy9QSwMEFAAAAAgAh07iQIoUZjzRAAAAlAEAAAsA AABfcmVscy8ucmVsc6WQwWrDMAyG74O9g9F9cZrDGKNOL6PQa+kewNiKYxpbRjLZ+vbzDoNl9Laj fqHvE//+8JkWtSJLpGxg1/WgMDvyMQcD75fj0wsoqTZ7u1BGAzcUOIyPD/szLra2I5ljEdUoWQzM tZZXrcXNmKx0VDC3zUScbG0jB12su9qAeuj7Z82/GTBumOrkDfDJD6Aut9LMf9gpOiahqXaOkqZp iu4eVQe2ZY7uyDbhG7lGsxywGvAsGgdqWdd+BH1fv/un3tNHPuO61X6HjOuPV2+6HL8AUEsDBBQA AAAIAIdO4kB+5uUg9wAAAOEBAAATAAAAW0NvbnRlbnRfVHlwZXNdLnhtbJWRQU7DMBBF90jcwfIW JU67QAgl6YK0S0CoHGBkTxKLZGx5TGhvj5O2G0SRWNoz/78nu9wcxkFMGNg6quQqL6RA0s5Y6ir5 vt9lD1JwBDIwOMJKHpHlpr69KfdHjyxSmriSfYz+USnWPY7AufNIadK6MEJMx9ApD/oDOlTrorhX 2lFEilmcO2RdNtjC5xDF9pCuTyYBB5bi6bQ4syoJ3g9WQ0ymaiLzg5KdCXlKLjvcW893SUOqXwnz 5DrgnHtJTxOsQfEKIT7DmDSUCayM+6KAU/53yWw5cuba1mrMm8BNir3hdLG61o5r1zj93/Ltkrp0 q+WD6m9QSwECFAAUAAAACACHTuJAfublIPcAAADhAQAAEwAAAAAAAAABACAAAAA1BAAAW0NvbnRl bnRfVHlwZXNdLnhtbFBLAQIUAAoAAAAAAIdO4kAAAAAAAAAAAAAAAAAGAAAAAAAAAAAAEAAAABcD AABfcmVscy9QSwECFAAUAAAACACHTuJAihRmPNEAAACUAQAACwAAAAAAAAABACAAAAA7AwAAX3Jl bHMvLnJlbHNQSwECFAAKAAAAAACHTuJAAAAAAAAAAAAAAAAABAAAAAAAAAAAABAAAAAAAAAAZHJz L1BLAQIUABQAAAAIAIdO4kD+qn2B1QAAAAQBAAAPAAAAAAAAAAEAIAAAACIAAABkcnMvZG93bnJl di54bWxQSwECFAAUAAAACACHTuJA1XMhw8cBAACMAwAADgAAAAAAAAABACAAAAAkAQAAZHJzL2Uy b0RvYy54bWxQSwUGAAAAAAYABgBZAQAAXQUAAAAA ">
                      <v:fill on="f" focussize="0,0"/>
                      <v:stroke on="f"/>
                      <v:imagedata o:title=""/>
                      <o:lock v:ext="edit" aspectratio="t"/>
                    </v:rect>
                  </w:pict>
                </mc:Fallback>
              </mc:AlternateContent>
            </w:r>
            <w:r>
              <w:rPr>
                <w:rFonts w:hint="eastAsia" w:ascii="等线" w:hAnsi="等线" w:eastAsia="等线" w:cs="宋体"/>
                <w:kern w:val="0"/>
                <w:sz w:val="20"/>
                <w:szCs w:val="20"/>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98450" cy="850900"/>
                      <wp:effectExtent l="0" t="0" r="0" b="0"/>
                      <wp:wrapNone/>
                      <wp:docPr id="100" name="矩形 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297180" cy="802640"/>
                              </a:xfrm>
                              <a:prstGeom prst="rect">
                                <a:avLst/>
                              </a:prstGeom>
                              <a:noFill/>
                              <a:ln>
                                <a:noFill/>
                              </a:ln>
                              <a:effectLst/>
                            </wps:spPr>
                            <wps:bodyPr wrap="square"/>
                          </wps:wsp>
                        </a:graphicData>
                      </a:graphic>
                    </wp:anchor>
                  </w:drawing>
                </mc:Choice>
                <mc:Fallback>
                  <w:pict>
                    <v:rect id="_x0000_s1026" o:spid="_x0000_s1026" o:spt="1" style="position:absolute;left:0pt;margin-left:0pt;margin-top:0pt;height:67pt;width:23.5pt;z-index:251671552;mso-width-relative:page;mso-height-relative:page;" filled="f" stroked="f" coordsize="21600,21600" o:gfxdata="UEsDBAoAAAAAAIdO4kAAAAAAAAAAAAAAAAAEAAAAZHJzL1BLAwQUAAAACACHTuJA/qp9gdUAAAAE AQAADwAAAGRycy9kb3ducmV2LnhtbE2PQUvDQBCF70L/wzIFL9LuVotKzKaHglhEKE1tz9vsNAnN zqbZbVL/vaMXvQw83uPN99LF1TWixy7UnjTMpgoEUuFtTaWGz+3r5BlEiIasaTyhhi8MsMhGN6lJ rB9og30eS8ElFBKjoYqxTaQMRYXOhKlvkdg7+s6ZyLIrpe3MwOWukfdKPUpnauIPlWlxWWFxyi9O w1Cs+/32402u7/YrT+fVeZnv3rW+Hc/UC4iI1/gXhh98RoeMmQ7+QjaIRgMPib+XvfkTqwNnHuYK ZJbK//DZN1BLAwQUAAAACACHTuJAWMGXt8UBAACMAwAADgAAAGRycy9lMm9Eb2MueG1srVNLjhMx EN0jcQfLe9KdCA2hlc4IEQ2bEYw0zAFq3NXpFu0PVU46OQ0SOw7BcRDXoOx8hhk2s2Bj2WXXq/de lReXOzuoLRL33tV6Oim1Qmd807t1re8+X72aa8URXAODd1jrPbK+XL58sRhDhTPf+aFBUgLiuBpD rbsYQ1UUbDq0wBMf0Mll68lClCOti4ZgFHQ7FLOyvChGT00gb5BZoqvDpT4i0nMAfdv2BlfebCy6 eEAlHCCKJO76wHqZ2bYtmvipbRmjGmotSmNepYjs79NaLBdQrQlC15sjBXgOhSeaLPROip6hVhBB baj/B8r2hjz7Nk6Mt8VBSHZEVEzLJ97cdhAwaxGrOZxN5/8Haz5ub0j1jUxCKZ44sNLy399+/Pr5 XaWI+DMGruTZbbihpJDDtTdfWDn/vgO3xnccxGXJl+xTiMiPHUIjRKcJoniEkQ58RNu1ZBOqOKF2 uS37c1twF5WR4Oztm+lcyBm5mpezi9eZVgHVKTkQxw/orUqbWpPwyc2A7TXHVB6q05NUy/mrfhhy 5wf3KCAPDxHMo3PMfuCbdve+2Ytlo8xMrfnrBgjPEqVJudpxoNIU/H3ORjx8ouUf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qp9gdUAAAAEAQAADwAAAAAAAAABACAAAAAiAAAAZHJzL2Rvd25yZXYu eG1sUEsBAhQAFAAAAAgAh07iQFjBl7fFAQAAjAMAAA4AAAAAAAAAAQAgAAAAJAEAAGRycy9lMm9E b2MueG1sUEsFBgAAAAAGAAYAWQEAAFsFAAAAAA== ">
                      <v:fill on="f" focussize="0,0"/>
                      <v:stroke on="f"/>
                      <v:imagedata o:title=""/>
                      <o:lock v:ext="edit" aspectratio="t"/>
                    </v:rect>
                  </w:pict>
                </mc:Fallback>
              </mc:AlternateContent>
            </w:r>
            <w:r>
              <w:rPr>
                <w:rFonts w:hint="eastAsia" w:ascii="等线" w:hAnsi="等线" w:eastAsia="等线" w:cs="宋体"/>
                <w:kern w:val="0"/>
                <w:sz w:val="20"/>
                <w:szCs w:val="20"/>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98450" cy="850900"/>
                      <wp:effectExtent l="0" t="0" r="0" b="0"/>
                      <wp:wrapNone/>
                      <wp:docPr id="99" name="矩形 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297180" cy="802640"/>
                              </a:xfrm>
                              <a:prstGeom prst="rect">
                                <a:avLst/>
                              </a:prstGeom>
                              <a:noFill/>
                              <a:ln>
                                <a:noFill/>
                              </a:ln>
                              <a:effectLst/>
                            </wps:spPr>
                            <wps:bodyPr wrap="square"/>
                          </wps:wsp>
                        </a:graphicData>
                      </a:graphic>
                    </wp:anchor>
                  </w:drawing>
                </mc:Choice>
                <mc:Fallback>
                  <w:pict>
                    <v:rect id="_x0000_s1026" o:spid="_x0000_s1026" o:spt="1" style="position:absolute;left:0pt;margin-left:0pt;margin-top:0pt;height:67pt;width:23.5pt;z-index:251672576;mso-width-relative:page;mso-height-relative:page;" filled="f" stroked="f" coordsize="21600,21600" o:gfxdata="UEsDBAoAAAAAAIdO4kAAAAAAAAAAAAAAAAAEAAAAZHJzL1BLAwQUAAAACACHTuJA/qp9gdUAAAAE AQAADwAAAGRycy9kb3ducmV2LnhtbE2PQUvDQBCF70L/wzIFL9LuVotKzKaHglhEKE1tz9vsNAnN zqbZbVL/vaMXvQw83uPN99LF1TWixy7UnjTMpgoEUuFtTaWGz+3r5BlEiIasaTyhhi8MsMhGN6lJ rB9og30eS8ElFBKjoYqxTaQMRYXOhKlvkdg7+s6ZyLIrpe3MwOWukfdKPUpnauIPlWlxWWFxyi9O w1Cs+/32402u7/YrT+fVeZnv3rW+Hc/UC4iI1/gXhh98RoeMmQ7+QjaIRgMPib+XvfkTqwNnHuYK ZJbK//DZN1BLAwQUAAAACACHTuJAj3P3gsYBAACKAwAADgAAAGRycy9lMm9Eb2MueG1srVPNbhMx EL4j8Q6W72Q3ESrJKpsKEZVLBZUKDzD1zmYt1j94nGzyNEjceAgeB/EajJ1NSttLD71Y9oz9zXzf N15e7k0vdhhIO1vL6aSUAq1yjbabWn79cvVmLgVFsA30zmItD0jycvX61XLwFc5c5/oGg2AQS9Xg a9nF6KuiINWhAZo4j5aTrQsGIh/DpmgCDIxu+mJWlhfF4ELjg1NIxNH1MSlHxPAcQNe2WuHaqa1B G4+oAXuITIk67Umucrdtiyp+blvCKPpaMtOYVy7C+7u0FqslVJsAvtNqbAGe08IjTga05aJnqDVE ENugn0AZrYIj18aJcqY4EsmKMItp+Uib2w48Zi4sNfmz6PRysOrT7iYI3dRysZDCgmHH//749ef3 T8EBVmfwVPGlW38TEj/y1059I2Hdhw7sBt+TZ415jvjxKRSCGzqEhtucJojiAUY60Ii2b4NJqKyD 2GdTDmdTcB+F4uBs8W46Z7sUp+bl7OJtNq2A6vTYB4of0RmRNrUM3E+2AnbXFFN5qE5XUi3rrnTf Z997+yDAF48RzIMzvr7vN+3uXHNgwQaemFrS9y0EPFNki3K1cZzSDPx/zkLcf6HVP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P6qfYHVAAAABAEAAA8AAAAAAAAAAQAgAAAAIgAAAGRycy9kb3ducmV2 LnhtbFBLAQIUABQAAAAIAIdO4kCPc/eCxgEAAIoDAAAOAAAAAAAAAAEAIAAAACQBAABkcnMvZTJv RG9jLnhtbFBLBQYAAAAABgAGAFkBAABcBQAAAAA= ">
                      <v:fill on="f" focussize="0,0"/>
                      <v:stroke on="f"/>
                      <v:imagedata o:title=""/>
                      <o:lock v:ext="edit" aspectratio="t"/>
                    </v:rect>
                  </w:pict>
                </mc:Fallback>
              </mc:AlternateContent>
            </w:r>
            <w:r>
              <w:rPr>
                <w:rFonts w:hint="eastAsia" w:ascii="等线" w:hAnsi="等线" w:eastAsia="等线" w:cs="宋体"/>
                <w:kern w:val="0"/>
                <w:sz w:val="20"/>
                <w:szCs w:val="20"/>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98450" cy="920750"/>
                      <wp:effectExtent l="0" t="0" r="0" b="0"/>
                      <wp:wrapNone/>
                      <wp:docPr id="98" name="矩形 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297180" cy="869950"/>
                              </a:xfrm>
                              <a:prstGeom prst="rect">
                                <a:avLst/>
                              </a:prstGeom>
                              <a:noFill/>
                              <a:ln>
                                <a:noFill/>
                              </a:ln>
                              <a:effectLst/>
                            </wps:spPr>
                            <wps:bodyPr wrap="square"/>
                          </wps:wsp>
                        </a:graphicData>
                      </a:graphic>
                    </wp:anchor>
                  </w:drawing>
                </mc:Choice>
                <mc:Fallback>
                  <w:pict>
                    <v:rect id="_x0000_s1026" o:spid="_x0000_s1026" o:spt="1" style="position:absolute;left:0pt;margin-left:0pt;margin-top:0pt;height:72.5pt;width:23.5pt;z-index:251673600;mso-width-relative:page;mso-height-relative:page;" filled="f" stroked="f" coordsize="21600,21600" o:gfxdata="UEsDBAoAAAAAAIdO4kAAAAAAAAAAAAAAAAAEAAAAZHJzL1BLAwQUAAAACACHTuJA4Bf9jdUAAAAE AQAADwAAAGRycy9kb3ducmV2LnhtbE2PQUvDQBCF74L/YRnBi7S7lVolZtNDQSwilKa25212moRm Z9PsNqn/3tGLvQw83uPN99L5xTWixy7UnjRMxgoEUuFtTaWGr83b6AVEiIasaTyhhm8MMM9ub1KT WD/QGvs8loJLKCRGQxVjm0gZigqdCWPfIrF38J0zkWVXStuZgctdIx+VmklnauIPlWlxUWFxzM9O w1Cs+t3m812uHnZLT6flaZFvP7S+v5uoVxARL/E/DL/4jA4ZM+39mWwQjQYeEv8ue9NnVnvOTJ8U yCyV1/DZD1BLAwQUAAAACACHTuJAExWNDcYBAACKAwAADgAAAGRycy9lMm9Eb2MueG1srVPNbhMx EL4j8Q6W72STSJRklU2FiMqlgkqFB5h6Z7MWa4/xONnkaZC48RA8DuI1mHV+SttLD71Y9oz9zXzf N15c7lynthjZkq/0ZDTWCr2h2vp1pb9+uXoz04oT+Bo68ljpPbK+XL5+tehDiVNqqasxKgHxXPah 0m1KoSwKNi064BEF9JJsKDpIcozroo7QC7rriul4fFH0FOsQySCzRFeHpD4ixucAUtNYgysyG4c+ HVAjdpCEErc2sF7mbpsGTfrcNIxJdZUWpimvUkT2d8NaLBdQriOE1ppjC/CcFh5xcmC9FD1DrSCB 2kT7BMpZE4mpSSNDrjgQyYoIi8n4kTa3LQTMXERqDmfR+eVgzaftTVS2rvRcfPfgxPG/P379+f1T SUDU6QOXcuk23MSBH4drMt9YefrQgl/jew6iscyRPD6FYqS+RailzckAUTzAGA58RNs10Q2oooPa ZVP2Z1Nwl5SR4HT+bjITu4ykZhfz+dtsWgHl6XGInD4iOTVsKh2ln2wFbK85DeWhPF0Zanm6sl2X fe/8g4BcPEQwD87x9X2/w+6O6r0I1svEVJq/byDimaJYlKsdx2mYgf/PWYj7L7T8B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OAX/Y3VAAAABAEAAA8AAAAAAAAAAQAgAAAAIgAAAGRycy9kb3ducmV2 LnhtbFBLAQIUABQAAAAIAIdO4kATFY0NxgEAAIoDAAAOAAAAAAAAAAEAIAAAACQBAABkcnMvZTJv RG9jLnhtbFBLBQYAAAAABgAGAFkBAABcBQAAAAA= ">
                      <v:fill on="f" focussize="0,0"/>
                      <v:stroke on="f"/>
                      <v:imagedata o:title=""/>
                      <o:lock v:ext="edit" aspectratio="t"/>
                    </v:rect>
                  </w:pict>
                </mc:Fallback>
              </mc:AlternateContent>
            </w:r>
            <w:r>
              <w:rPr>
                <w:rFonts w:hint="eastAsia" w:ascii="等线" w:hAnsi="等线" w:eastAsia="等线" w:cs="宋体"/>
                <w:kern w:val="0"/>
                <w:sz w:val="20"/>
                <w:szCs w:val="20"/>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98450" cy="920750"/>
                      <wp:effectExtent l="0" t="0" r="0" b="0"/>
                      <wp:wrapNone/>
                      <wp:docPr id="97" name="矩形 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297180" cy="869950"/>
                              </a:xfrm>
                              <a:prstGeom prst="rect">
                                <a:avLst/>
                              </a:prstGeom>
                              <a:noFill/>
                              <a:ln>
                                <a:noFill/>
                              </a:ln>
                              <a:effectLst/>
                            </wps:spPr>
                            <wps:bodyPr wrap="square"/>
                          </wps:wsp>
                        </a:graphicData>
                      </a:graphic>
                    </wp:anchor>
                  </w:drawing>
                </mc:Choice>
                <mc:Fallback>
                  <w:pict>
                    <v:rect id="_x0000_s1026" o:spid="_x0000_s1026" o:spt="1" style="position:absolute;left:0pt;margin-left:0pt;margin-top:0pt;height:72.5pt;width:23.5pt;z-index:251674624;mso-width-relative:page;mso-height-relative:page;" filled="f" stroked="f" coordsize="21600,21600" o:gfxdata="UEsDBAoAAAAAAIdO4kAAAAAAAAAAAAAAAAAEAAAAZHJzL1BLAwQUAAAACACHTuJA4Bf9jdUAAAAE AQAADwAAAGRycy9kb3ducmV2LnhtbE2PQUvDQBCF74L/YRnBi7S7lVolZtNDQSwilKa25212moRm Z9PsNqn/3tGLvQw83uPN99L5xTWixy7UnjRMxgoEUuFtTaWGr83b6AVEiIasaTyhhm8MMM9ub1KT WD/QGvs8loJLKCRGQxVjm0gZigqdCWPfIrF38J0zkWVXStuZgctdIx+VmklnauIPlWlxUWFxzM9O w1Cs+t3m812uHnZLT6flaZFvP7S+v5uoVxARL/E/DL/4jA4ZM+39mWwQjQYeEv8ue9NnVnvOTJ8U yCyV1/DZD1BLAwQUAAAACACHTuJAg8OOM8YBAACKAwAADgAAAGRycy9lMm9Eb2MueG1srVNLbhsx DN0X6B0E7euxDTSxBx4HRY10E7QB0hyA0XA8QkefkrLHPk2B7nqIHqfoNcqRP2nSTRbdCBIpPfK9 Ry2udq5TWyS2wVd6Mhprhd6E2vp1pe8/X7+ZacUJfA1d8FjpPbK+Wr5+tehjidPQhq5GUgLiuexj pduUYlkUbFp0wKMQ0UuyCeQgyZHWRU3QC7rriul4fFH0gepIwSCzRFeHpD4i0ksAQ9NYg6tgNg59 OqASdpCEErc2sl7mbpsGTfrUNIxJdZUWpimvUkT2D8NaLBdQrglia82xBXhJC884ObBeip6hVpBA bcj+A+WsocChSSMTXHEgkhURFpPxM23uWoiYuYjUHM+i8/+DNR+3t6RsXen5pVYenDj++9uPXz+/ KwmIOn3kUi7dxVsa+HG8CeYLKx/et+DX+I6jaCxzJI9PIaLQtwi1tDkZIIonGMOBj2i7htyAKjqo XTZlfzYFd0kZCU7nl5OZ2GUkNbuYz99m0wooT48jcfqAwalhU2mSfrIVsL3hNJSH8nRlqOXDte26 7HvnnwTk4iGCeXCOrx/7HXYPod6LYL1MTKX56wYIzxTFolztOE7DDPx9zkI8fqHlH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OAX/Y3VAAAABAEAAA8AAAAAAAAAAQAgAAAAIgAAAGRycy9kb3ducmV2 LnhtbFBLAQIUABQAAAAIAIdO4kCDw44zxgEAAIoDAAAOAAAAAAAAAAEAIAAAACQBAABkcnMvZTJv RG9jLnhtbFBLBQYAAAAABgAGAFkBAABcBQAAAAA= ">
                      <v:fill on="f" focussize="0,0"/>
                      <v:stroke on="f"/>
                      <v:imagedata o:title=""/>
                      <o:lock v:ext="edit" aspectratio="t"/>
                    </v:rect>
                  </w:pict>
                </mc:Fallback>
              </mc:AlternateContent>
            </w:r>
            <w:r>
              <w:rPr>
                <w:rFonts w:hint="eastAsia" w:ascii="等线" w:hAnsi="等线" w:eastAsia="等线" w:cs="宋体"/>
                <w:kern w:val="0"/>
                <w:sz w:val="20"/>
                <w:szCs w:val="20"/>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98450" cy="457200"/>
                      <wp:effectExtent l="0" t="0" r="0" b="0"/>
                      <wp:wrapNone/>
                      <wp:docPr id="96" name="矩形 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297180" cy="430530"/>
                              </a:xfrm>
                              <a:prstGeom prst="rect">
                                <a:avLst/>
                              </a:prstGeom>
                              <a:noFill/>
                              <a:ln>
                                <a:noFill/>
                              </a:ln>
                              <a:effectLst/>
                            </wps:spPr>
                            <wps:bodyPr wrap="square"/>
                          </wps:wsp>
                        </a:graphicData>
                      </a:graphic>
                    </wp:anchor>
                  </w:drawing>
                </mc:Choice>
                <mc:Fallback>
                  <w:pict>
                    <v:rect id="_x0000_s1026" o:spid="_x0000_s1026" o:spt="1" style="position:absolute;left:0pt;margin-left:0pt;margin-top:0pt;height:36pt;width:23.5pt;z-index:251675648;mso-width-relative:page;mso-height-relative:page;" filled="f" stroked="f" coordsize="21600,21600" o:gfxdata="UEsDBAoAAAAAAIdO4kAAAAAAAAAAAAAAAAAEAAAAZHJzL1BLAwQUAAAACACHTuJAYfU7UdQAAAAD AQAADwAAAGRycy9kb3ducmV2LnhtbE2PQWvCQBCF74X+h2UKvRTdVUotMRsPgiilII2t5zU7TUKz szG7Jvbfd/RiLw8eb3jvm3Rxdo3osQu1Jw2TsQKBVHhbU6nhc7cavYII0ZA1jSfU8IsBFtn9XWoS 6wf6wD6PpeASConRUMXYJlKGokJnwti3SJx9+86ZyLYrpe3MwOWukVOlXqQzNfFCZVpcVlj85Cen YSi2/X73vpbbp/3G03FzXOZfb1o/PkzUHETEc7wdwwWf0SFjpoM/kQ2i0cCPxKty9jxjd9AwmyqQ WSr/s2d/UEsDBBQAAAAIAIdO4kD4/e6bxwEAAIoDAAAOAAAAZHJzL2Uyb0RvYy54bWytU0tu2zAQ 3RfoHQjua8lOmyaC5aCokW6CNkCaAzDUyCIqfjpDW/ZpCnTXQ/Q4Ra7RIS07n26y6IYgZ8g3894b zi+2thcbQDLe1XI6KaUAp31j3KqWt18v35xJQVG5RvXeQS13QPJi8frVfAgVzHzn+wZQMIijagi1 7GIMVVGQ7sAqmvgAjpOtR6siH3FVNKgGRrd9MSvL02Lw2AT0Gog4utwn5YiILwH0bWs0LL1eW3Bx j4rQq8iUqDOB5CJ327ag45e2JYiiryUzjXnlIry/S2uxmKtqhSp0Ro8tqJe08IyTVcZx0SPUUkUl 1mj+gbJGoyffxon2ttgTyYowi2n5TJubTgXIXFhqCkfR6f/B6s+baxSmqeX5qRROWXb8/sevP79/ Cg6wOkOgii/dhGtM/Chcef2NhPMfO+VW8IECa8xzxI8PIUQ/dKAabnOaIIonGOlAI9q2RZtQWQex zabsjqbANgrNwdn5++kZ26U59fakfHeSTStUdXgckOIn8FakTS2R+8lWqM0VxVReVYcrqZbzl6bv s++9exLgi/sI5MEZXz/0m3Z3vtmxYANPTC3p+1ohHCmyRbnaOE5pBh6fsxAPX2jxF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GH1O1HUAAAAAwEAAA8AAAAAAAAAAQAgAAAAIgAAAGRycy9kb3ducmV2 LnhtbFBLAQIUABQAAAAIAIdO4kD4/e6bxwEAAIoDAAAOAAAAAAAAAAEAIAAAACMBAABkcnMvZTJv RG9jLnhtbFBLBQYAAAAABgAGAFkBAABcBQAAAAA= ">
                      <v:fill on="f" focussize="0,0"/>
                      <v:stroke on="f"/>
                      <v:imagedata o:title=""/>
                      <o:lock v:ext="edit" aspectratio="t"/>
                    </v:rect>
                  </w:pict>
                </mc:Fallback>
              </mc:AlternateContent>
            </w:r>
            <w:r>
              <w:rPr>
                <w:rFonts w:hint="eastAsia" w:ascii="等线" w:hAnsi="等线" w:eastAsia="等线" w:cs="宋体"/>
                <w:kern w:val="0"/>
                <w:sz w:val="20"/>
                <w:szCs w:val="20"/>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98450" cy="457200"/>
                      <wp:effectExtent l="0" t="0" r="0" b="0"/>
                      <wp:wrapNone/>
                      <wp:docPr id="95" name="矩形 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297180" cy="430530"/>
                              </a:xfrm>
                              <a:prstGeom prst="rect">
                                <a:avLst/>
                              </a:prstGeom>
                              <a:noFill/>
                              <a:ln>
                                <a:noFill/>
                              </a:ln>
                              <a:effectLst/>
                            </wps:spPr>
                            <wps:bodyPr wrap="square"/>
                          </wps:wsp>
                        </a:graphicData>
                      </a:graphic>
                    </wp:anchor>
                  </w:drawing>
                </mc:Choice>
                <mc:Fallback>
                  <w:pict>
                    <v:rect id="_x0000_s1026" o:spid="_x0000_s1026" o:spt="1" style="position:absolute;left:0pt;margin-left:0pt;margin-top:0pt;height:36pt;width:23.5pt;z-index:251676672;mso-width-relative:page;mso-height-relative:page;" filled="f" stroked="f" coordsize="21600,21600" o:gfxdata="UEsDBAoAAAAAAIdO4kAAAAAAAAAAAAAAAAAEAAAAZHJzL1BLAwQUAAAACACHTuJAYfU7UdQAAAAD AQAADwAAAGRycy9kb3ducmV2LnhtbE2PQWvCQBCF74X+h2UKvRTdVUotMRsPgiilII2t5zU7TUKz szG7Jvbfd/RiLw8eb3jvm3Rxdo3osQu1Jw2TsQKBVHhbU6nhc7cavYII0ZA1jSfU8IsBFtn9XWoS 6wf6wD6PpeASConRUMXYJlKGokJnwti3SJx9+86ZyLYrpe3MwOWukVOlXqQzNfFCZVpcVlj85Cen YSi2/X73vpbbp/3G03FzXOZfb1o/PkzUHETEc7wdwwWf0SFjpoM/kQ2i0cCPxKty9jxjd9AwmyqQ WSr/s2d/UEsDBBQAAAAIAIdO4kAXbpQhxwEAAIoDAAAOAAAAZHJzL2Uyb0RvYy54bWytU0tu2zAQ 3RfoHQjua8lO0yaC5aCokW6CNkCaAzDUyCIqfjpDW/ZpCnTXQ/Q4Ra7RIS07n26y6IYgZ8g3894b zi+2thcbQDLe1XI6KaUAp31j3KqWt18v35xJQVG5RvXeQS13QPJi8frVfAgVzHzn+wZQMIijagi1 7GIMVVGQ7sAqmvgAjpOtR6siH3FVNKgGRrd9MSvLd8XgsQnoNRBxdLlPyhERXwLo29ZoWHq9tuDi HhWhV5EpUWcCyUXutm1Bxy9tSxBFX0tmGvPKRXh/l9ZiMVfVClXojB5bUC9p4Rknq4zjokeopYpK rNH8A2WNRk++jRPtbbEnkhVhFtPymTY3nQqQubDUFI6i0/+D1Z831yhMU8vzUymcsuz4/Y9ff37/ FBxgdYZAFV+6CdeY+FG48vobCec/dsqt4AMF1pjniB8fQoh+6EA13OY0QRRPMNKBRrRtizahsg5i m03ZHU2BbRSag7Pz99Mztktz6u1JeXqSTStUdXgckOIn8FakTS2R+8lWqM0VxVReVYcrqZbzl6bv s++9exLgi/sI5MEZXz/0m3Z3vtmxYANPTC3p+1ohHCmyRbnaOE5pBh6fsxAPX2jxF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GH1O1HUAAAAAwEAAA8AAAAAAAAAAQAgAAAAIgAAAGRycy9kb3ducmV2 LnhtbFBLAQIUABQAAAAIAIdO4kAXbpQhxwEAAIoDAAAOAAAAAAAAAAEAIAAAACMBAABkcnMvZTJv RG9jLnhtbFBLBQYAAAAABgAGAFkBAABcBQAAAAA= ">
                      <v:fill on="f" focussize="0,0"/>
                      <v:stroke on="f"/>
                      <v:imagedata o:title=""/>
                      <o:lock v:ext="edit" aspectratio="t"/>
                    </v:rect>
                  </w:pict>
                </mc:Fallback>
              </mc:AlternateContent>
            </w:r>
            <w:r>
              <w:rPr>
                <w:rFonts w:hint="eastAsia" w:ascii="等线" w:hAnsi="等线" w:eastAsia="等线" w:cs="宋体"/>
                <w:kern w:val="0"/>
                <w:sz w:val="20"/>
                <w:szCs w:val="20"/>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98450" cy="857250"/>
                      <wp:effectExtent l="0" t="0" r="0" b="0"/>
                      <wp:wrapNone/>
                      <wp:docPr id="94" name="矩形 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297180" cy="805180"/>
                              </a:xfrm>
                              <a:prstGeom prst="rect">
                                <a:avLst/>
                              </a:prstGeom>
                              <a:noFill/>
                              <a:ln>
                                <a:noFill/>
                              </a:ln>
                              <a:effectLst/>
                            </wps:spPr>
                            <wps:bodyPr wrap="square"/>
                          </wps:wsp>
                        </a:graphicData>
                      </a:graphic>
                    </wp:anchor>
                  </w:drawing>
                </mc:Choice>
                <mc:Fallback>
                  <w:pict>
                    <v:rect id="_x0000_s1026" o:spid="_x0000_s1026" o:spt="1" style="position:absolute;left:0pt;margin-left:0pt;margin-top:0pt;height:67.5pt;width:23.5pt;z-index:251677696;mso-width-relative:page;mso-height-relative:page;" filled="f" stroked="f" coordsize="21600,21600" o:gfxdata="UEsDBAoAAAAAAIdO4kAAAAAAAAAAAAAAAAAEAAAAZHJzL1BLAwQUAAAACACHTuJAuJEa5NYAAAAE AQAADwAAAGRycy9kb3ducmV2LnhtbE2PzWrDMBCE74W+g9hALyWR0p+0uJZzCJSGUgh10pwVa2Ob WivHUuz07bvppbksDDPMfpPOT64RPXah9qRhOlEgkApvayo1bNav42cQIRqypvGEGn4wwDy7vkpN Yv1An9jnsRRcQiExGqoY20TKUFToTJj4Fom9ve+ciSy7UtrODFzuGnmn1Ew6UxN/qEyLiwqL7/zo NAzFqt+uP97k6na79HRYHhb517vWN6OpegER8RT/w3DGZ3TImGnnj2SDaDTwkPh32Xt4YrXjzP2j Apml8hI++wVQSwMEFAAAAAgAh07iQJ6aF93FAQAAigMAAA4AAABkcnMvZTJvRG9jLnhtbK1TS27b MBDdF+gdCO5ryUY/jmA5KGqkm6ANkPYADDWyhIocdoa27NMU6K6H6HGKXqNDSXaadJNFN8LwkXx8 781odXlwndoDcYu+1PNZrhV4i1Xrt6X+/OnqxVIrjsZXpkMPpT4C68v182erPhSwwAa7CkgJieei D6VuYgxFlrFtwBmeYQAvmzWSM1GWtM0qMr2wuy5b5PnrrEeqAqEFZkE346aeGOkphFjXrYUN2p0D H0dWgs5EscRNG1ivB7V1DTZ+rGuGqLpSi9M4fOURqe/SN1uvTLElE5rWThLMUyQ88uRM6+XRM9XG RKN21P5D5VpLyFjHmUWXjUaGRMTFPH+UzW1jAgxeJGoO59D5/9HaD/sbUm1V6ouXWnnjpOO/v/34 9fO7EkDS6QMXcug23FDyx+Ea7RdWHt81xm/hLQfJWOZILp8gIuwbMJXInCeK7AFHWvDEdqjJJVbJ QR2GphzPTYFDVFbAxcWb+VLaZWVrmb9KdeI0xelyII7vAZ1KRalJ9AytMPtrjuPR05H0lsertusE N0XnHwDCOSIwDM50+15vqu6wOkpgvUxMqfnrzhCcLUqLBmHTOKUZ+Hs9BHH/C63/AF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LiRGuTWAAAABAEAAA8AAAAAAAAAAQAgAAAAIgAAAGRycy9kb3ducmV2 LnhtbFBLAQIUABQAAAAIAIdO4kCemhfdxQEAAIoDAAAOAAAAAAAAAAEAIAAAACUBAABkcnMvZTJv RG9jLnhtbFBLBQYAAAAABgAGAFkBAABcBQAAAAA= ">
                      <v:fill on="f" focussize="0,0"/>
                      <v:stroke on="f"/>
                      <v:imagedata o:title=""/>
                      <o:lock v:ext="edit" aspectratio="t"/>
                    </v:rect>
                  </w:pict>
                </mc:Fallback>
              </mc:AlternateContent>
            </w:r>
            <w:r>
              <w:rPr>
                <w:rFonts w:hint="eastAsia" w:ascii="等线" w:hAnsi="等线" w:eastAsia="等线" w:cs="宋体"/>
                <w:kern w:val="0"/>
                <w:sz w:val="20"/>
                <w:szCs w:val="20"/>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98450" cy="857250"/>
                      <wp:effectExtent l="0" t="0" r="0" b="0"/>
                      <wp:wrapNone/>
                      <wp:docPr id="93" name="矩形 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297180" cy="805180"/>
                              </a:xfrm>
                              <a:prstGeom prst="rect">
                                <a:avLst/>
                              </a:prstGeom>
                              <a:noFill/>
                              <a:ln>
                                <a:noFill/>
                              </a:ln>
                              <a:effectLst/>
                            </wps:spPr>
                            <wps:bodyPr wrap="square"/>
                          </wps:wsp>
                        </a:graphicData>
                      </a:graphic>
                    </wp:anchor>
                  </w:drawing>
                </mc:Choice>
                <mc:Fallback>
                  <w:pict>
                    <v:rect id="_x0000_s1026" o:spid="_x0000_s1026" o:spt="1" style="position:absolute;left:0pt;margin-left:0pt;margin-top:0pt;height:67.5pt;width:23.5pt;z-index:251678720;mso-width-relative:page;mso-height-relative:page;" filled="f" stroked="f" coordsize="21600,21600" o:gfxdata="UEsDBAoAAAAAAIdO4kAAAAAAAAAAAAAAAAAEAAAAZHJzL1BLAwQUAAAACACHTuJAuJEa5NYAAAAE AQAADwAAAGRycy9kb3ducmV2LnhtbE2PzWrDMBCE74W+g9hALyWR0p+0uJZzCJSGUgh10pwVa2Ob WivHUuz07bvppbksDDPMfpPOT64RPXah9qRhOlEgkApvayo1bNav42cQIRqypvGEGn4wwDy7vkpN Yv1An9jnsRRcQiExGqoY20TKUFToTJj4Fom9ve+ciSy7UtrODFzuGnmn1Ew6UxN/qEyLiwqL7/zo NAzFqt+uP97k6na79HRYHhb517vWN6OpegER8RT/w3DGZ3TImGnnj2SDaDTwkPh32Xt4YrXjzP2j Apml8hI++wVQSwMEFAAAAAgAh07iQJs3la3EAQAAigMAAA4AAABkcnMvZTJvRG9jLnhtbK1TwY7T MBC9I/EPlu80aRHQjZquENVyWcFKCx/gdSZNROwxM27Tfg0SNz6Cz0H8BuMk7bLLZQ9covGz/fze m8nq8uA6tQfiFn2p57NcK/AWq9ZvS/3509WLpVYcja9Mhx5KfQTWl+vnz1Z9KGCBDXYVkBISz0Uf St3EGIosY9uAMzzDAF42ayRnoixpm1VkemF3XbbI89dZj1QFQgvMgm7GTT0x0lMIsa5bCxu0Owc+ jqwEnYliiZs2sF4PausabPxY1wxRdaUWp3H4yiNS36Vvtl6ZYksmNK2dJJinSHjkyZnWy6Nnqo2J Ru2o/YfKtZaQsY4ziy4bjQyJiIt5/iib28YEGLxI1BzOofP/o7Uf9jek2qrUFy+18sZJx39/+/Hr 53clgKTTBy7k0G24oeSPwzXaL6w8vmuM38JbDpKxzJFcPkFE2DdgKpE5TxTZA4604IntUJNLrJKD OgxNOZ6bAoeorICLizfzpbTLytYyf5XqxGmK0+VAHN8DOpWKUpPoGVph9tccx6OnI+ktj1dt1wlu is4/AIRzRGAYnOn2vd5U3WF1lMB6mZhS89edIThblBYNwqZxSjPw93oI4v4XWv8B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uJEa5NYAAAAEAQAADwAAAAAAAAABACAAAAAiAAAAZHJzL2Rvd25yZXYu eG1sUEsBAhQAFAAAAAgAh07iQJs3la3EAQAAigMAAA4AAAAAAAAAAQAgAAAAJQEAAGRycy9lMm9E b2MueG1sUEsFBgAAAAAGAAYAWQEAAFsFAAAAAA== ">
                      <v:fill on="f" focussize="0,0"/>
                      <v:stroke on="f"/>
                      <v:imagedata o:title=""/>
                      <o:lock v:ext="edit" aspectratio="t"/>
                    </v:rect>
                  </w:pict>
                </mc:Fallback>
              </mc:AlternateContent>
            </w:r>
            <w:r>
              <w:rPr>
                <w:rFonts w:hint="eastAsia" w:ascii="等线" w:hAnsi="等线" w:eastAsia="等线" w:cs="宋体"/>
                <w:kern w:val="0"/>
                <w:sz w:val="20"/>
                <w:szCs w:val="20"/>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98450" cy="857250"/>
                      <wp:effectExtent l="0" t="0" r="0" b="0"/>
                      <wp:wrapNone/>
                      <wp:docPr id="92" name="矩形 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297180" cy="805180"/>
                              </a:xfrm>
                              <a:prstGeom prst="rect">
                                <a:avLst/>
                              </a:prstGeom>
                              <a:noFill/>
                              <a:ln>
                                <a:noFill/>
                              </a:ln>
                              <a:effectLst/>
                            </wps:spPr>
                            <wps:bodyPr wrap="square"/>
                          </wps:wsp>
                        </a:graphicData>
                      </a:graphic>
                    </wp:anchor>
                  </w:drawing>
                </mc:Choice>
                <mc:Fallback>
                  <w:pict>
                    <v:rect id="_x0000_s1026" o:spid="_x0000_s1026" o:spt="1" style="position:absolute;left:0pt;margin-left:0pt;margin-top:0pt;height:67.5pt;width:23.5pt;z-index:251679744;mso-width-relative:page;mso-height-relative:page;" filled="f" stroked="f" coordsize="21600,21600" o:gfxdata="UEsDBAoAAAAAAIdO4kAAAAAAAAAAAAAAAAAEAAAAZHJzL1BLAwQUAAAACACHTuJAuJEa5NYAAAAE AQAADwAAAGRycy9kb3ducmV2LnhtbE2PzWrDMBCE74W+g9hALyWR0p+0uJZzCJSGUgh10pwVa2Ob WivHUuz07bvppbksDDPMfpPOT64RPXah9qRhOlEgkApvayo1bNav42cQIRqypvGEGn4wwDy7vkpN Yv1An9jnsRRcQiExGqoY20TKUFToTJj4Fom9ve+ciSy7UtrODFzuGnmn1Ew6UxN/qEyLiwqL7/zo NAzFqt+uP97k6na79HRYHhb517vWN6OpegER8RT/w3DGZ3TImGnnj2SDaDTwkPh32Xt4YrXjzP2j Apml8hI++wVQSwMEFAAAAAgAh07iQAG7k3LEAQAAigMAAA4AAABkcnMvZTJvRG9jLnhtbK1TS47T QBDdI3GHVu+JnUhAxoozQkTDZgQjDXOAmnY5tnB/qOrEyWmQ2HEIjoO4BtW2k2GGzSzYWNWvu1+/ 96q8ujzYTu2RuPWu1PNZrhU646vWbUt99/nq1VIrjuAq6LzDUh+R9eX65YtVHwpc+MZ3FZISEsdF H0rdxBiKLGPToAWe+YBONmtPFqIsaZtVBL2w2y5b5PmbrPdUBfIGmQXdjJt6YqTnEPq6bg1uvNlZ dHFkJewgiiVu2sB6PaitazTxU10zRtWVWpzG4SuPSH2fvtl6BcWWIDStmSTAcyQ88WShdfLomWoD EdSO2n+obGvIs6/jzHibjUaGRMTFPH+SzW0DAQcvEjWHc+j8/2jNx/0NqbYq9cVCKwdWOv77249f P78rASSdPnAhh27DDSV/HK69+cLK+fcNuC2+4yAZyxzJ5RNE5PsGoRKZ80SRPeJIC57YDjXZxCo5 qMPQlOO5KXiIygi4uHg7X0q7jGwt89epTpxQnC4H4vgBvVWpKDWJnqEVsL/mOB49HUlvOX/Vdp3g UHTuESCcI4LD4Ey3H/Sm6t5XRwmsl4kpNX/dAeHZorRoEDaNU5qBv9dDEA+/0PoP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uJEa5NYAAAAEAQAADwAAAAAAAAABACAAAAAiAAAAZHJzL2Rvd25yZXYu eG1sUEsBAhQAFAAAAAgAh07iQAG7k3LEAQAAigMAAA4AAAAAAAAAAQAgAAAAJQEAAGRycy9lMm9E b2MueG1sUEsFBgAAAAAGAAYAWQEAAFsFAAAAAA== ">
                      <v:fill on="f" focussize="0,0"/>
                      <v:stroke on="f"/>
                      <v:imagedata o:title=""/>
                      <o:lock v:ext="edit" aspectratio="t"/>
                    </v:rect>
                  </w:pict>
                </mc:Fallback>
              </mc:AlternateContent>
            </w:r>
            <w:r>
              <w:rPr>
                <w:rFonts w:hint="eastAsia" w:ascii="等线" w:hAnsi="等线" w:eastAsia="等线" w:cs="宋体"/>
                <w:kern w:val="0"/>
                <w:sz w:val="20"/>
                <w:szCs w:val="20"/>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98450" cy="927100"/>
                      <wp:effectExtent l="0" t="0" r="0" b="0"/>
                      <wp:wrapNone/>
                      <wp:docPr id="91" name="矩形 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297180" cy="875030"/>
                              </a:xfrm>
                              <a:prstGeom prst="rect">
                                <a:avLst/>
                              </a:prstGeom>
                              <a:noFill/>
                              <a:ln>
                                <a:noFill/>
                              </a:ln>
                              <a:effectLst/>
                            </wps:spPr>
                            <wps:bodyPr wrap="square"/>
                          </wps:wsp>
                        </a:graphicData>
                      </a:graphic>
                    </wp:anchor>
                  </w:drawing>
                </mc:Choice>
                <mc:Fallback>
                  <w:pict>
                    <v:rect id="_x0000_s1026" o:spid="_x0000_s1026" o:spt="1" style="position:absolute;left:0pt;margin-left:0pt;margin-top:0pt;height:73pt;width:23.5pt;z-index:251680768;mso-width-relative:page;mso-height-relative:page;" filled="f" stroked="f" coordsize="21600,21600" o:gfxdata="UEsDBAoAAAAAAIdO4kAAAAAAAAAAAAAAAAAEAAAAZHJzL1BLAwQUAAAACACHTuJAKlpUItUAAAAE AQAADwAAAGRycy9kb3ducmV2LnhtbE2PQWvCQBCF7wX/wzKFXoruWsRKmo0HQSqlII2t5zU7TUKz szG7JvbfO/ViLwOP93jzvXR5do3osQu1Jw3TiQKBVHhbU6nhc7ceL0CEaMiaxhNq+MUAy2x0l5rE +oE+sM9jKbiEQmI0VDG2iZShqNCZMPEtEnvfvnMmsuxKaTszcLlr5JNSc+lMTfyhMi2uKix+8pPT MBTbfr97f5Xbx/3G03FzXOVfb1o/3E/VC4iI53gLwx8+o0PGTAd/IhtEo4GHxOtlb/bM6sCZ2VyB zFL5Hz67AFBLAwQUAAAACACHTuJA84CN+McBAACKAwAADgAAAGRycy9lMm9Eb2MueG1srVNBbtsw ELwX6B8I3mvJLto4guWgqJFegjZA2gcw1MoSInLZXdqyX1Ogtz6izyn6jaxo2WnSSw65EORyObsz s1xc7FyntkDcoi/1dJJrBd5i1fp1qb99vXwz14qj8ZXp0EOp98D6Yvn61aIPBcywwa4CUgLiuehD qZsYQ5FlbBtwhicYwMtljeRMlCOts4pML+iuy2Z5/j7rkapAaIFZoqvDpR4R6TmAWNethRXajQMf D6gEnYlCiZs2sF6mbusabPxS1wxRdaUWpjGtUkT2t8OaLRemWJMJTWvHFsxzWnjCyZnWS9ET1MpE ozbU/gflWkvIWMeJRZcdiCRFhMU0f6LNTWMCJC4iNYeT6PxysPbz9ppUW5X6fKqVN04c//vj15/f P5UERJ0+cCFJN+GaBn4crtDesfL4sTF+DR84iMYyR/L4GCLCvgFTSZsJInuEMRx4RNvV5AZU0UHt kin7kymwi8pKcHZ+Np2LXVau5mfv8rfJtMwUx8eBOH4CdGrYlJqkn2SF2V5xFAaSekwZanm8bLsu +d75RwFJPEQgDc74+qHfYXeL1V4E62ViSs3fN4ZgUClRFItStXGchhn495yyHr7Q8h5QSwMECgAA AAAAh07iQAAAAAAAAAAAAAAAAAYAAABfcmVscy9QSwMEFAAAAAgAh07iQIoUZjzRAAAAlAEAAAsA AABfcmVscy8ucmVsc6WQwWrDMAyG74O9g9F9cZrDGKNOL6PQa+kewNiKYxpbRjLZ+vbzDoNl9Laj fqHvE//+8JkWtSJLpGxg1/WgMDvyMQcD75fj0wsoqTZ7u1BGAzcUOIyPD/szLra2I5ljEdUoWQzM tZZXrcXNmKx0VDC3zUScbG0jB12su9qAeuj7Z82/GTBumOrkDfDJD6Aut9LMf9gpOiahqXaOkqZp iu4eVQe2ZY7uyDbhG7lGsxywGvAsGgdqWdd+BH1fv/un3tNHPuO61X6HjOuPV2+6HL8AUEsDBBQA AAAIAIdO4kB+5uUg9wAAAOEBAAATAAAAW0NvbnRlbnRfVHlwZXNdLnhtbJWRQU7DMBBF90jcwfIW JU67QAgl6YK0S0CoHGBkTxKLZGx5TGhvj5O2G0SRWNoz/78nu9wcxkFMGNg6quQqL6RA0s5Y6ir5 vt9lD1JwBDIwOMJKHpHlpr69KfdHjyxSmriSfYz+USnWPY7AufNIadK6MEJMx9ApD/oDOlTrorhX 2lFEilmcO2RdNtjC5xDF9pCuTyYBB5bi6bQ4syoJ3g9WQ0ymaiLzg5KdCXlKLjvcW893SUOqXwnz 5DrgnHtJTxOsQfEKIT7DmDSUCayM+6KAU/53yWw5cuba1mrMm8BNir3hdLG61o5r1zj93/Ltkrp0 q+WD6m9QSwECFAAUAAAACACHTuJAfublIPcAAADhAQAAEwAAAAAAAAABACAAAAA1BAAAW0NvbnRl bnRfVHlwZXNdLnhtbFBLAQIUAAoAAAAAAIdO4kAAAAAAAAAAAAAAAAAGAAAAAAAAAAAAEAAAABcD AABfcmVscy9QSwECFAAUAAAACACHTuJAihRmPNEAAACUAQAACwAAAAAAAAABACAAAAA7AwAAX3Jl bHMvLnJlbHNQSwECFAAKAAAAAACHTuJAAAAAAAAAAAAAAAAABAAAAAAAAAAAABAAAAAAAAAAZHJz L1BLAQIUABQAAAAIAIdO4kAqWlQi1QAAAAQBAAAPAAAAAAAAAAEAIAAAACIAAABkcnMvZG93bnJl di54bWxQSwECFAAUAAAACACHTuJA84CN+McBAACKAwAADgAAAAAAAAABACAAAAAkAQAAZHJzL2Uy b0RvYy54bWxQSwUGAAAAAAYABgBZAQAAXQUAAAAA ">
                      <v:fill on="f" focussize="0,0"/>
                      <v:stroke on="f"/>
                      <v:imagedata o:title=""/>
                      <o:lock v:ext="edit" aspectratio="t"/>
                    </v:rect>
                  </w:pict>
                </mc:Fallback>
              </mc:AlternateContent>
            </w:r>
            <w:r>
              <w:rPr>
                <w:rFonts w:hint="eastAsia" w:ascii="等线" w:hAnsi="等线" w:eastAsia="等线" w:cs="宋体"/>
                <w:kern w:val="0"/>
                <w:sz w:val="20"/>
                <w:szCs w:val="20"/>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98450" cy="927100"/>
                      <wp:effectExtent l="0" t="0" r="0" b="0"/>
                      <wp:wrapNone/>
                      <wp:docPr id="90" name="矩形 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297180" cy="875030"/>
                              </a:xfrm>
                              <a:prstGeom prst="rect">
                                <a:avLst/>
                              </a:prstGeom>
                              <a:noFill/>
                              <a:ln>
                                <a:noFill/>
                              </a:ln>
                              <a:effectLst/>
                            </wps:spPr>
                            <wps:bodyPr wrap="square"/>
                          </wps:wsp>
                        </a:graphicData>
                      </a:graphic>
                    </wp:anchor>
                  </w:drawing>
                </mc:Choice>
                <mc:Fallback>
                  <w:pict>
                    <v:rect id="_x0000_s1026" o:spid="_x0000_s1026" o:spt="1" style="position:absolute;left:0pt;margin-left:0pt;margin-top:0pt;height:73pt;width:23.5pt;z-index:251681792;mso-width-relative:page;mso-height-relative:page;" filled="f" stroked="f" coordsize="21600,21600" o:gfxdata="UEsDBAoAAAAAAIdO4kAAAAAAAAAAAAAAAAAEAAAAZHJzL1BLAwQUAAAACACHTuJAKlpUItUAAAAE AQAADwAAAGRycy9kb3ducmV2LnhtbE2PQWvCQBCF7wX/wzKFXoruWsRKmo0HQSqlII2t5zU7TUKz szG7JvbfO/ViLwOP93jzvXR5do3osQu1Jw3TiQKBVHhbU6nhc7ceL0CEaMiaxhNq+MUAy2x0l5rE +oE+sM9jKbiEQmI0VDG2iZShqNCZMPEtEnvfvnMmsuxKaTszcLlr5JNSc+lMTfyhMi2uKix+8pPT MBTbfr97f5Xbx/3G03FzXOVfb1o/3E/VC4iI53gLwx8+o0PGTAd/IhtEo4GHxOtlb/bM6sCZ2VyB zFL5Hz67AFBLAwQUAAAACACHTuJAaQyLJ8YBAACKAwAADgAAAGRycy9lMm9Eb2MueG1srVPNbhMx EL4j8Q6W72Q3QdB0lU2FiMqlgkqFB5h6Z7NW1z94nGzyNEjceAgeB/EaHTublJZLD71Y9oz9zfd9 M15c7EwvthhIO1vL6aSUAq1yjbbrWn77evlmLgVFsA30zmIt90jyYvn61WLwFc5c5/oGg2AQS9Xg a9nF6KuiINWhAZo4j5aTrQsGIh/DumgCDIxu+mJWlu+LwYXGB6eQiKOrQ1KOiOE5gK5ttcKVUxuD Nh5QA/YQWRJ12pNcZrZtiyp+aVvCKPpastKYVy7C+9u0FssFVOsAvtNqpADPofBEkwFtuegJagUR xCbo/6CMVsGRa+NEOVMchGRHWMW0fOLNTQcesxa2mvzJdHo5WPV5ex2Ebmp5zpZYMNzxvz9+/fn9 U3CA3Rk8VXzpxl+HpI/8lVN3JKz72IFd4wfy7DHPET8+hkJwQ4fQMM1pgigeYaQDjWi7NpiEyj6I XW7K/tQU3EWhODg7P5vOmZvi1PzsXfk20yqgOj72geIndEakTS0D88mtgO0VxVQequOVVMu6S933 ue+9fRTgi4cI5sEZXz/wTbtb1+zZsIEnppb0fQMBTxK5RbnaOE5pBv49ZyMevtDyHl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CpaVCLVAAAABAEAAA8AAAAAAAAAAQAgAAAAIgAAAGRycy9kb3ducmV2 LnhtbFBLAQIUABQAAAAIAIdO4kBpDIsnxgEAAIoDAAAOAAAAAAAAAAEAIAAAACQBAABkcnMvZTJv RG9jLnhtbFBLBQYAAAAABgAGAFkBAABcBQAAAAA= ">
                      <v:fill on="f" focussize="0,0"/>
                      <v:stroke on="f"/>
                      <v:imagedata o:title=""/>
                      <o:lock v:ext="edit" aspectratio="t"/>
                    </v:rect>
                  </w:pict>
                </mc:Fallback>
              </mc:AlternateContent>
            </w:r>
            <w:r>
              <w:rPr>
                <w:rFonts w:hint="eastAsia" w:ascii="等线" w:hAnsi="等线" w:eastAsia="等线" w:cs="宋体"/>
                <w:kern w:val="0"/>
                <w:sz w:val="20"/>
                <w:szCs w:val="20"/>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98450" cy="457200"/>
                      <wp:effectExtent l="0" t="0" r="0" b="0"/>
                      <wp:wrapNone/>
                      <wp:docPr id="89" name="矩形 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297180" cy="430530"/>
                              </a:xfrm>
                              <a:prstGeom prst="rect">
                                <a:avLst/>
                              </a:prstGeom>
                              <a:noFill/>
                              <a:ln>
                                <a:noFill/>
                              </a:ln>
                              <a:effectLst/>
                            </wps:spPr>
                            <wps:bodyPr wrap="square"/>
                          </wps:wsp>
                        </a:graphicData>
                      </a:graphic>
                    </wp:anchor>
                  </w:drawing>
                </mc:Choice>
                <mc:Fallback>
                  <w:pict>
                    <v:rect id="_x0000_s1026" o:spid="_x0000_s1026" o:spt="1" style="position:absolute;left:0pt;margin-left:0pt;margin-top:0pt;height:36pt;width:23.5pt;z-index:251682816;mso-width-relative:page;mso-height-relative:page;" filled="f" stroked="f" coordsize="21600,21600" o:gfxdata="UEsDBAoAAAAAAIdO4kAAAAAAAAAAAAAAAAAEAAAAZHJzL1BLAwQUAAAACACHTuJAYfU7UdQAAAAD AQAADwAAAGRycy9kb3ducmV2LnhtbE2PQWvCQBCF74X+h2UKvRTdVUotMRsPgiilII2t5zU7TUKz szG7Jvbfd/RiLw8eb3jvm3Rxdo3osQu1Jw2TsQKBVHhbU6nhc7cavYII0ZA1jSfU8IsBFtn9XWoS 6wf6wD6PpeASConRUMXYJlKGokJnwti3SJx9+86ZyLYrpe3MwOWukVOlXqQzNfFCZVpcVlj85Cen YSi2/X73vpbbp/3G03FzXOZfb1o/PkzUHETEc7wdwwWf0SFjpoM/kQ2i0cCPxKty9jxjd9AwmyqQ WSr/s2d/UEsDBBQAAAAIAIdO4kC+V+i1xgEAAIoDAAAOAAAAZHJzL2Uyb0RvYy54bWytU0uOEzEQ 3SNxB8t70p0Mn0wrnREiGjYjGGngAB53ddqi/aHKSSenQWLHITgO4hqUnU7mt5kFG8uusl/Ve6+8 uNjZXmwByXhXy+mklAKc9o1x61p+/XL5ai4FReUa1XsHtdwDyYvlyxeLIVQw853vG0DBII6qIdSy izFURUG6A6to4gM4TrYerYp8xHXRoBoY3fbFrCzfFoPHJqDXQMTR1SEpR0R8DqBvW6Nh5fXGgosH VIReRaZEnQkkl7nbtgUdP7ctQRR9LZlpzCsX4f1tWovlQlVrVKEzemxBPaeFR5ysMo6LnqBWKiqx QfMEyhqNnnwbJ9rb4kAkK8IspuUjbW46FSBzYakpnESn/werP22vUZimlvNzKZyy7PjfH7/+/P4p OMDqDIEqvnQTrjHxo3Dl9TcSzn/olFvDewqsMc8RPz6GEP3QgWq4zWmCKB5gpAONaLsWbUJlHcQu m7I/mQK7KDQHZ+fvpnO2S3Pq9Vn55iybVqjq+DggxY/grUibWiL3k61Q2yuKqbyqjldSLecvTd9n 33v3IMAXDxHIgzO+vus37W59s2fBBp6YWtL3jUI4UWSLcrVxnNIM3D9nIe6+0PIf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YfU7UdQAAAADAQAADwAAAAAAAAABACAAAAAiAAAAZHJzL2Rvd25yZXYu eG1sUEsBAhQAFAAAAAgAh07iQL5X6LXGAQAAigMAAA4AAAAAAAAAAQAgAAAAIwEAAGRycy9lMm9E b2MueG1sUEsFBgAAAAAGAAYAWQEAAFsFAAAAAA== ">
                      <v:fill on="f" focussize="0,0"/>
                      <v:stroke on="f"/>
                      <v:imagedata o:title=""/>
                      <o:lock v:ext="edit" aspectratio="t"/>
                    </v:rect>
                  </w:pict>
                </mc:Fallback>
              </mc:AlternateContent>
            </w:r>
            <w:r>
              <w:rPr>
                <w:rFonts w:hint="eastAsia" w:ascii="等线" w:hAnsi="等线" w:eastAsia="等线" w:cs="宋体"/>
                <w:kern w:val="0"/>
                <w:sz w:val="20"/>
                <w:szCs w:val="20"/>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98450" cy="457200"/>
                      <wp:effectExtent l="0" t="0" r="0" b="0"/>
                      <wp:wrapNone/>
                      <wp:docPr id="88" name="矩形 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297180" cy="430530"/>
                              </a:xfrm>
                              <a:prstGeom prst="rect">
                                <a:avLst/>
                              </a:prstGeom>
                              <a:noFill/>
                              <a:ln>
                                <a:noFill/>
                              </a:ln>
                              <a:effectLst/>
                            </wps:spPr>
                            <wps:bodyPr wrap="square"/>
                          </wps:wsp>
                        </a:graphicData>
                      </a:graphic>
                    </wp:anchor>
                  </w:drawing>
                </mc:Choice>
                <mc:Fallback>
                  <w:pict>
                    <v:rect id="_x0000_s1026" o:spid="_x0000_s1026" o:spt="1" style="position:absolute;left:0pt;margin-left:0pt;margin-top:0pt;height:36pt;width:23.5pt;z-index:251683840;mso-width-relative:page;mso-height-relative:page;" filled="f" stroked="f" coordsize="21600,21600" o:gfxdata="UEsDBAoAAAAAAIdO4kAAAAAAAAAAAAAAAAAEAAAAZHJzL1BLAwQUAAAACACHTuJAYfU7UdQAAAAD AQAADwAAAGRycy9kb3ducmV2LnhtbE2PQWvCQBCF74X+h2UKvRTdVUotMRsPgiilII2t5zU7TUKz szG7Jvbfd/RiLw8eb3jvm3Rxdo3osQu1Jw2TsQKBVHhbU6nhc7cavYII0ZA1jSfU8IsBFtn9XWoS 6wf6wD6PpeASConRUMXYJlKGokJnwti3SJx9+86ZyLYrpe3MwOWukVOlXqQzNfFCZVpcVlj85Cen YSi2/X73vpbbp/3G03FzXOZfb1o/PkzUHETEc7wdwwWf0SFjpoM/kQ2i0cCPxKty9jxjd9AwmyqQ WSr/s2d/UEsDBBQAAAAIAIdO4kAk2+5qxgEAAIoDAAAOAAAAZHJzL2Uyb0RvYy54bWytU0uOEzEQ 3SNxB8t70p0Mn9BKZ4SIhs0IRho4gMddnbZof6hy0slpkNhxCI6D5hqUnU7mt5kFG8uusl/Ve6+8 ON/ZXmwByXhXy+mklAKc9o1x61p++3rxai4FReUa1XsHtdwDyfPlyxeLIVQw853vG0DBII6qIdSy izFURUG6A6to4gM4TrYerYp8xHXRoBoY3fbFrCzfFoPHJqDXQMTR1SEpR0R8DqBvW6Nh5fXGgosH VIReRaZEnQkkl7nbtgUdv7QtQRR9LZlpzCsX4f1NWovlQlVrVKEzemxBPaeFR5ysMo6LnqBWKiqx QfMEyhqNnnwbJ9rb4kAkK8IspuUjba47FSBzYakpnESn/werP2+vUJimlnP23SnLjt/+/P33zy/B AVZnCFTxpetwhYkfhUuvv5Nw/mOn3Bo+UGCNeY748TGE6IcOVMNtThNE8QAjHWhE27VoEyrrIHbZ lP3JFNhFoTk4e/9uOme7NKden5VvzrJphaqOjwNS/ATeirSpJXI/2Qq1vaSYyqvqeCXVcv7C9H32 vXcPAnzxEIE8OOPru37T7sY3exZs4ImpJf3YKIQTRbYoVxvHKc3A/XMW4u4LLf8B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YfU7UdQAAAADAQAADwAAAAAAAAABACAAAAAiAAAAZHJzL2Rvd25yZXYu eG1sUEsBAhQAFAAAAAgAh07iQCTb7mrGAQAAigMAAA4AAAAAAAAAAQAgAAAAIwEAAGRycy9lMm9E b2MueG1sUEsFBgAAAAAGAAYAWQEAAFsFAAAAAA== ">
                      <v:fill on="f" focussize="0,0"/>
                      <v:stroke on="f"/>
                      <v:imagedata o:title=""/>
                      <o:lock v:ext="edit" aspectratio="t"/>
                    </v:rect>
                  </w:pict>
                </mc:Fallback>
              </mc:AlternateContent>
            </w:r>
            <w:r>
              <w:rPr>
                <w:rFonts w:hint="eastAsia" w:ascii="等线" w:hAnsi="等线" w:eastAsia="等线" w:cs="宋体"/>
                <w:kern w:val="0"/>
                <w:sz w:val="20"/>
                <w:szCs w:val="20"/>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98450" cy="850900"/>
                      <wp:effectExtent l="0" t="0" r="0" b="0"/>
                      <wp:wrapNone/>
                      <wp:docPr id="87" name="矩形 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297180" cy="802640"/>
                              </a:xfrm>
                              <a:prstGeom prst="rect">
                                <a:avLst/>
                              </a:prstGeom>
                              <a:noFill/>
                              <a:ln>
                                <a:noFill/>
                              </a:ln>
                              <a:effectLst/>
                            </wps:spPr>
                            <wps:bodyPr wrap="square"/>
                          </wps:wsp>
                        </a:graphicData>
                      </a:graphic>
                    </wp:anchor>
                  </w:drawing>
                </mc:Choice>
                <mc:Fallback>
                  <w:pict>
                    <v:rect id="_x0000_s1026" o:spid="_x0000_s1026" o:spt="1" style="position:absolute;left:0pt;margin-left:0pt;margin-top:0pt;height:67pt;width:23.5pt;z-index:251684864;mso-width-relative:page;mso-height-relative:page;" filled="f" stroked="f" coordsize="21600,21600" o:gfxdata="UEsDBAoAAAAAAIdO4kAAAAAAAAAAAAAAAAAEAAAAZHJzL1BLAwQUAAAACACHTuJA/qp9gdUAAAAE AQAADwAAAGRycy9kb3ducmV2LnhtbE2PQUvDQBCF70L/wzIFL9LuVotKzKaHglhEKE1tz9vsNAnN zqbZbVL/vaMXvQw83uPN99LF1TWixy7UnjTMpgoEUuFtTaWGz+3r5BlEiIasaTyhhi8MsMhGN6lJ rB9og30eS8ElFBKjoYqxTaQMRYXOhKlvkdg7+s6ZyLIrpe3MwOWukfdKPUpnauIPlWlxWWFxyi9O w1Cs+/32402u7/YrT+fVeZnv3rW+Hc/UC4iI1/gXhh98RoeMmQ7+QjaIRgMPib+XvfkTqwNnHuYK ZJbK//DZN1BLAwQUAAAACACHTuJAU1X3c8YBAACKAwAADgAAAGRycy9lMm9Eb2MueG1srVPNbhMx EL4j8Q6W72Q3EWrDKpsKEZVLBZUKDzD1zmYt1h7jcbLJ0yBx4yF4HMRrMOv8lJZLD1wse8b+Zr7v Gy+udq5XW4xsydd6Oim1Qm+osX5d68+frl/NteIEvoGePNZ6j6yvli9fLIZQ4Yw66huMSkA8V0Oo dZdSqIqCTYcOeEIBvSRbig6SHOO6aCIMgu76YlaWF8VAsQmRDDJLdHVI6iNifA4gta01uCKzcejT ATViD0kocWcD62Xutm3RpI9ty5hUX2thmvIqRWR/P67FcgHVOkLorDm2AM9p4QknB9ZL0TPUChKo TbT/QDlrIjG1aWLIFQciWRFhMS2faHPXQcDMRaTmcBad/x+s+bC9jco2tZ5fauXBieO/v/349fO7 koCoMwSu5NJduI0jPw43ZL6w8vSuA7/GtxxEY5kjeXwKxUhDh9BIm9MRoniEMR74iLZroxtRRQe1 y6bsz6bgLikjwdmby+lc7DKSmpezi9fZtAKq0+MQOb1Hcmrc1DpKP9kK2N5wGstDdboy1vJ0bfs+ +977RwG5eIhgHpzj64d+x909NXsRbJCJqTV/3UDEM0WxKFc7jtM4A3+fsxAPX2j5B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P6qfYHVAAAABAEAAA8AAAAAAAAAAQAgAAAAIgAAAGRycy9kb3ducmV2 LnhtbFBLAQIUABQAAAAIAIdO4kBTVfdzxgEAAIoDAAAOAAAAAAAAAAEAIAAAACQBAABkcnMvZTJv RG9jLnhtbFBLBQYAAAAABgAGAFkBAABcBQAAAAA= ">
                      <v:fill on="f" focussize="0,0"/>
                      <v:stroke on="f"/>
                      <v:imagedata o:title=""/>
                      <o:lock v:ext="edit" aspectratio="t"/>
                    </v:rect>
                  </w:pict>
                </mc:Fallback>
              </mc:AlternateConten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13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海康威视、大华、中控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85</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等线" w:hAnsi="等线" w:eastAsia="等线"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车检器</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独立式,支持接入的最大线圈数2,继电器输出</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16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海康威视、大华、中控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86</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等线" w:hAnsi="等线" w:eastAsia="等线"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出入口补光抓拍相机</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200万,1920*1080,CMOS,1/1.8英寸，25fps，电动镜头5.2-13mm,低照度彩色0.002Lux@(F1.2,AGC ON)，黑白0.0002Lux @(F1.2,AGC ON)，内置8GTF卡最大支持64G,3路继电器输出，支持道闸开、关、停，集成两个LED补光灯</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16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海康威视、大华、中控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87</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等线" w:hAnsi="等线" w:eastAsia="等线"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出入口立柱</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安装柱装补光抓拍一体机</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16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根</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88</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等线" w:hAnsi="等线" w:eastAsia="等线"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出入口显示屏</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四行四字室外显示屏</w:t>
            </w:r>
            <w:r>
              <w:rPr>
                <w:rFonts w:hint="eastAsia" w:ascii="宋体" w:hAnsi="宋体" w:cs="宋体"/>
                <w:kern w:val="0"/>
                <w:sz w:val="20"/>
                <w:szCs w:val="20"/>
              </w:rPr>
              <w:br w:type="textWrapping"/>
            </w:r>
            <w:r>
              <w:rPr>
                <w:rFonts w:hint="eastAsia" w:ascii="宋体" w:hAnsi="宋体" w:cs="宋体"/>
                <w:kern w:val="0"/>
                <w:sz w:val="20"/>
                <w:szCs w:val="20"/>
              </w:rPr>
              <w:t>工作电压:AC220V±10％，50Hz</w:t>
            </w:r>
            <w:r>
              <w:rPr>
                <w:rFonts w:hint="eastAsia" w:ascii="宋体" w:hAnsi="宋体" w:cs="宋体"/>
                <w:kern w:val="0"/>
                <w:sz w:val="20"/>
                <w:szCs w:val="20"/>
              </w:rPr>
              <w:br w:type="textWrapping"/>
            </w:r>
            <w:r>
              <w:rPr>
                <w:rFonts w:hint="eastAsia" w:ascii="宋体" w:hAnsi="宋体" w:cs="宋体"/>
                <w:kern w:val="0"/>
                <w:sz w:val="20"/>
                <w:szCs w:val="20"/>
              </w:rPr>
              <w:t>LED亮度:1200cd</w:t>
            </w:r>
            <w:r>
              <w:rPr>
                <w:rFonts w:hint="eastAsia" w:ascii="宋体" w:hAnsi="宋体" w:cs="宋体"/>
                <w:kern w:val="0"/>
                <w:sz w:val="20"/>
                <w:szCs w:val="20"/>
              </w:rPr>
              <w:br w:type="textWrapping"/>
            </w:r>
            <w:r>
              <w:rPr>
                <w:rFonts w:hint="eastAsia" w:ascii="宋体" w:hAnsi="宋体" w:cs="宋体"/>
                <w:kern w:val="0"/>
                <w:sz w:val="20"/>
                <w:szCs w:val="20"/>
              </w:rPr>
              <w:t>LED角度:110°</w:t>
            </w:r>
            <w:r>
              <w:rPr>
                <w:rFonts w:hint="eastAsia" w:ascii="宋体" w:hAnsi="宋体" w:cs="宋体"/>
                <w:kern w:val="0"/>
                <w:sz w:val="20"/>
                <w:szCs w:val="20"/>
              </w:rPr>
              <w:br w:type="textWrapping"/>
            </w:r>
            <w:r>
              <w:rPr>
                <w:rFonts w:hint="eastAsia" w:ascii="宋体" w:hAnsi="宋体" w:cs="宋体"/>
                <w:kern w:val="0"/>
                <w:sz w:val="20"/>
                <w:szCs w:val="20"/>
              </w:rPr>
              <w:t>外框材料:铁框喷塑（显示部分为深色钢化玻璃）</w:t>
            </w:r>
            <w:r>
              <w:rPr>
                <w:rFonts w:hint="eastAsia" w:ascii="宋体" w:hAnsi="宋体" w:cs="宋体"/>
                <w:kern w:val="0"/>
                <w:sz w:val="20"/>
                <w:szCs w:val="20"/>
              </w:rPr>
              <w:br w:type="textWrapping"/>
            </w:r>
            <w:r>
              <w:rPr>
                <w:rFonts w:hint="eastAsia" w:ascii="宋体" w:hAnsi="宋体" w:cs="宋体"/>
                <w:kern w:val="0"/>
                <w:sz w:val="20"/>
                <w:szCs w:val="20"/>
              </w:rPr>
              <w:t>安装方式:背面抱箍</w:t>
            </w:r>
            <w:r>
              <w:rPr>
                <w:rFonts w:hint="eastAsia" w:ascii="宋体" w:hAnsi="宋体" w:cs="宋体"/>
                <w:kern w:val="0"/>
                <w:sz w:val="20"/>
                <w:szCs w:val="20"/>
              </w:rPr>
              <w:br w:type="textWrapping"/>
            </w:r>
            <w:r>
              <w:rPr>
                <w:rFonts w:hint="eastAsia" w:ascii="宋体" w:hAnsi="宋体" w:cs="宋体"/>
                <w:kern w:val="0"/>
                <w:sz w:val="20"/>
                <w:szCs w:val="20"/>
              </w:rPr>
              <w:t>喇叭规格:4</w:t>
            </w:r>
            <w:r>
              <w:rPr>
                <w:rFonts w:ascii="Calibri" w:hAnsi="Calibri" w:cs="Calibri"/>
                <w:kern w:val="0"/>
                <w:sz w:val="20"/>
                <w:szCs w:val="20"/>
              </w:rPr>
              <w:t>Ω</w:t>
            </w:r>
            <w:r>
              <w:rPr>
                <w:rFonts w:hint="eastAsia" w:ascii="宋体" w:hAnsi="宋体" w:cs="宋体"/>
                <w:kern w:val="0"/>
                <w:sz w:val="20"/>
                <w:szCs w:val="20"/>
              </w:rPr>
              <w:t>10W</w:t>
            </w:r>
            <w:r>
              <w:rPr>
                <w:rFonts w:hint="eastAsia" w:ascii="宋体" w:hAnsi="宋体" w:cs="宋体"/>
                <w:kern w:val="0"/>
                <w:sz w:val="20"/>
                <w:szCs w:val="20"/>
              </w:rPr>
              <w:br w:type="textWrapping"/>
            </w:r>
            <w:r>
              <w:rPr>
                <w:rFonts w:hint="eastAsia" w:ascii="宋体" w:hAnsi="宋体" w:cs="宋体"/>
                <w:kern w:val="0"/>
                <w:sz w:val="20"/>
                <w:szCs w:val="20"/>
              </w:rPr>
              <w:t>防护等级:IP54</w:t>
            </w:r>
            <w:r>
              <w:rPr>
                <w:rFonts w:hint="eastAsia" w:ascii="宋体" w:hAnsi="宋体" w:cs="宋体"/>
                <w:kern w:val="0"/>
                <w:sz w:val="20"/>
                <w:szCs w:val="20"/>
              </w:rPr>
              <w:br w:type="textWrapping"/>
            </w:r>
            <w:r>
              <w:rPr>
                <w:rFonts w:hint="eastAsia" w:ascii="宋体" w:hAnsi="宋体" w:cs="宋体"/>
                <w:kern w:val="0"/>
                <w:sz w:val="20"/>
                <w:szCs w:val="20"/>
              </w:rPr>
              <w:t>点距:P4.75</w:t>
            </w:r>
            <w:r>
              <w:rPr>
                <w:rFonts w:hint="eastAsia" w:ascii="宋体" w:hAnsi="宋体" w:cs="宋体"/>
                <w:kern w:val="0"/>
                <w:sz w:val="20"/>
                <w:szCs w:val="20"/>
              </w:rPr>
              <w:br w:type="textWrapping"/>
            </w:r>
            <w:r>
              <w:rPr>
                <w:rFonts w:hint="eastAsia" w:ascii="宋体" w:hAnsi="宋体" w:cs="宋体"/>
                <w:kern w:val="0"/>
                <w:sz w:val="20"/>
                <w:szCs w:val="20"/>
              </w:rPr>
              <w:t>基色:1红1绿</w:t>
            </w:r>
            <w:r>
              <w:rPr>
                <w:rFonts w:hint="eastAsia" w:ascii="宋体" w:hAnsi="宋体" w:cs="宋体"/>
                <w:kern w:val="0"/>
                <w:sz w:val="20"/>
                <w:szCs w:val="20"/>
              </w:rPr>
              <w:br w:type="textWrapping"/>
            </w:r>
            <w:r>
              <w:rPr>
                <w:rFonts w:hint="eastAsia" w:ascii="宋体" w:hAnsi="宋体" w:cs="宋体"/>
                <w:kern w:val="0"/>
                <w:sz w:val="20"/>
                <w:szCs w:val="20"/>
              </w:rPr>
              <w:t>下行通讯方式:RJ45（特殊场景也支持RS485）</w:t>
            </w:r>
            <w:r>
              <w:rPr>
                <w:rFonts w:hint="eastAsia" w:ascii="宋体" w:hAnsi="宋体" w:cs="宋体"/>
                <w:kern w:val="0"/>
                <w:sz w:val="20"/>
                <w:szCs w:val="20"/>
              </w:rPr>
              <w:br w:type="textWrapping"/>
            </w:r>
            <w:r>
              <w:rPr>
                <w:rFonts w:hint="eastAsia" w:ascii="宋体" w:hAnsi="宋体" w:cs="宋体"/>
                <w:kern w:val="0"/>
                <w:sz w:val="20"/>
                <w:szCs w:val="20"/>
              </w:rPr>
              <w:t>显示方式:即显、左移、上移、上展开、下展开等显示方式</w:t>
            </w:r>
            <w:r>
              <w:rPr>
                <w:rFonts w:hint="eastAsia" w:ascii="宋体" w:hAnsi="宋体" w:cs="宋体"/>
                <w:kern w:val="0"/>
                <w:sz w:val="20"/>
                <w:szCs w:val="20"/>
              </w:rPr>
              <w:br w:type="textWrapping"/>
            </w:r>
            <w:r>
              <w:rPr>
                <w:rFonts w:hint="eastAsia" w:ascii="宋体" w:hAnsi="宋体" w:cs="宋体"/>
                <w:kern w:val="0"/>
                <w:sz w:val="20"/>
                <w:szCs w:val="20"/>
              </w:rPr>
              <w:t>字符显示:支持GB2312字符集，支持16×16点阵常用汉字</w:t>
            </w:r>
            <w:r>
              <w:rPr>
                <w:rFonts w:hint="eastAsia" w:ascii="宋体" w:hAnsi="宋体" w:cs="宋体"/>
                <w:kern w:val="0"/>
                <w:sz w:val="20"/>
                <w:szCs w:val="20"/>
              </w:rPr>
              <w:br w:type="textWrapping"/>
            </w:r>
            <w:r>
              <w:rPr>
                <w:rFonts w:hint="eastAsia" w:ascii="宋体" w:hAnsi="宋体" w:cs="宋体"/>
                <w:kern w:val="0"/>
                <w:sz w:val="20"/>
                <w:szCs w:val="20"/>
              </w:rPr>
              <w:t>通讯距离:RJ45 120米</w:t>
            </w:r>
            <w:r>
              <w:rPr>
                <w:rFonts w:hint="eastAsia" w:ascii="宋体" w:hAnsi="宋体" w:cs="宋体"/>
                <w:kern w:val="0"/>
                <w:sz w:val="20"/>
                <w:szCs w:val="20"/>
              </w:rPr>
              <w:br w:type="textWrapping"/>
            </w:r>
            <w:r>
              <w:rPr>
                <w:rFonts w:hint="eastAsia" w:ascii="宋体" w:hAnsi="宋体" w:cs="宋体"/>
                <w:kern w:val="0"/>
                <w:sz w:val="20"/>
                <w:szCs w:val="20"/>
              </w:rPr>
              <w:t>功耗:最大50W，平均30W</w:t>
            </w:r>
            <w:r>
              <w:rPr>
                <w:rFonts w:hint="eastAsia" w:ascii="宋体" w:hAnsi="宋体" w:cs="宋体"/>
                <w:kern w:val="0"/>
                <w:sz w:val="20"/>
                <w:szCs w:val="20"/>
              </w:rPr>
              <w:br w:type="textWrapping"/>
            </w:r>
            <w:r>
              <w:rPr>
                <w:rFonts w:hint="eastAsia" w:ascii="宋体" w:hAnsi="宋体" w:cs="宋体"/>
                <w:kern w:val="0"/>
                <w:sz w:val="20"/>
                <w:szCs w:val="20"/>
              </w:rPr>
              <w:t>显示面积:高304mm*宽304mm</w:t>
            </w:r>
            <w:r>
              <w:rPr>
                <w:rFonts w:hint="eastAsia" w:ascii="宋体" w:hAnsi="宋体" w:cs="宋体"/>
                <w:kern w:val="0"/>
                <w:sz w:val="20"/>
                <w:szCs w:val="20"/>
              </w:rPr>
              <w:br w:type="textWrapping"/>
            </w:r>
            <w:r>
              <w:rPr>
                <w:rFonts w:hint="eastAsia" w:ascii="宋体" w:hAnsi="宋体" w:cs="宋体"/>
                <w:kern w:val="0"/>
                <w:sz w:val="20"/>
                <w:szCs w:val="20"/>
              </w:rPr>
              <w:t>功能特性：四行，四字，双色，带语音模块及音箱，出入口室外显示屏，P4.75，抱箍安装</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8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海康威视、大华、中控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89</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等线" w:hAnsi="等线" w:eastAsia="等线"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出入口控制终端</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出入口控制终端含管理软件</w:t>
            </w:r>
            <w:r>
              <w:rPr>
                <w:rFonts w:hint="eastAsia" w:ascii="宋体" w:hAnsi="宋体" w:cs="宋体"/>
                <w:kern w:val="0"/>
                <w:sz w:val="20"/>
                <w:szCs w:val="20"/>
              </w:rPr>
              <w:br w:type="textWrapping"/>
            </w:r>
            <w:r>
              <w:rPr>
                <w:rFonts w:hint="eastAsia" w:ascii="宋体" w:hAnsi="宋体" w:cs="宋体"/>
                <w:kern w:val="0"/>
                <w:sz w:val="20"/>
                <w:szCs w:val="20"/>
              </w:rPr>
              <w:t xml:space="preserve">处理器：Intel Bay Trail平台处理器 </w:t>
            </w:r>
            <w:r>
              <w:rPr>
                <w:rFonts w:hint="eastAsia" w:ascii="宋体" w:hAnsi="宋体" w:cs="宋体"/>
                <w:kern w:val="0"/>
                <w:sz w:val="20"/>
                <w:szCs w:val="20"/>
              </w:rPr>
              <w:br w:type="textWrapping"/>
            </w:r>
            <w:r>
              <w:rPr>
                <w:rFonts w:hint="eastAsia" w:ascii="宋体" w:hAnsi="宋体" w:cs="宋体"/>
                <w:kern w:val="0"/>
                <w:sz w:val="20"/>
                <w:szCs w:val="20"/>
              </w:rPr>
              <w:t>内存：4GB</w:t>
            </w:r>
            <w:r>
              <w:rPr>
                <w:rFonts w:hint="eastAsia" w:ascii="宋体" w:hAnsi="宋体" w:cs="宋体"/>
                <w:kern w:val="0"/>
                <w:sz w:val="20"/>
                <w:szCs w:val="20"/>
              </w:rPr>
              <w:br w:type="textWrapping"/>
            </w:r>
            <w:r>
              <w:rPr>
                <w:rFonts w:hint="eastAsia" w:ascii="宋体" w:hAnsi="宋体" w:cs="宋体"/>
                <w:kern w:val="0"/>
                <w:sz w:val="20"/>
                <w:szCs w:val="20"/>
              </w:rPr>
              <w:t>硬盘存储：1个2.5寸监控级1T硬盘</w:t>
            </w:r>
            <w:r>
              <w:rPr>
                <w:rFonts w:hint="eastAsia" w:ascii="宋体" w:hAnsi="宋体" w:cs="宋体"/>
                <w:kern w:val="0"/>
                <w:sz w:val="20"/>
                <w:szCs w:val="20"/>
              </w:rPr>
              <w:br w:type="textWrapping"/>
            </w:r>
            <w:r>
              <w:rPr>
                <w:rFonts w:hint="eastAsia" w:ascii="宋体" w:hAnsi="宋体" w:cs="宋体"/>
                <w:kern w:val="0"/>
                <w:sz w:val="20"/>
                <w:szCs w:val="20"/>
              </w:rPr>
              <w:t>指示灯：电源指示灯/运行指示灯</w:t>
            </w:r>
            <w:r>
              <w:rPr>
                <w:rFonts w:hint="eastAsia" w:ascii="宋体" w:hAnsi="宋体" w:cs="宋体"/>
                <w:kern w:val="0"/>
                <w:sz w:val="20"/>
                <w:szCs w:val="20"/>
              </w:rPr>
              <w:br w:type="textWrapping"/>
            </w:r>
            <w:r>
              <w:rPr>
                <w:rFonts w:hint="eastAsia" w:ascii="宋体" w:hAnsi="宋体" w:cs="宋体"/>
                <w:kern w:val="0"/>
                <w:sz w:val="20"/>
                <w:szCs w:val="20"/>
              </w:rPr>
              <w:t>显示器分辨率：1920×1080</w:t>
            </w:r>
            <w:r>
              <w:rPr>
                <w:rFonts w:hint="eastAsia" w:ascii="宋体" w:hAnsi="宋体" w:cs="宋体"/>
                <w:kern w:val="0"/>
                <w:sz w:val="20"/>
                <w:szCs w:val="20"/>
              </w:rPr>
              <w:br w:type="textWrapping"/>
            </w:r>
            <w:r>
              <w:rPr>
                <w:rFonts w:hint="eastAsia" w:ascii="宋体" w:hAnsi="宋体" w:cs="宋体"/>
                <w:kern w:val="0"/>
                <w:sz w:val="20"/>
                <w:szCs w:val="20"/>
              </w:rPr>
              <w:t>电源：DC12V/5A适配器</w:t>
            </w:r>
            <w:r>
              <w:rPr>
                <w:rFonts w:hint="eastAsia" w:ascii="宋体" w:hAnsi="宋体" w:cs="宋体"/>
                <w:kern w:val="0"/>
                <w:sz w:val="20"/>
                <w:szCs w:val="20"/>
              </w:rPr>
              <w:br w:type="textWrapping"/>
            </w:r>
            <w:r>
              <w:rPr>
                <w:rFonts w:hint="eastAsia" w:ascii="宋体" w:hAnsi="宋体" w:cs="宋体"/>
                <w:kern w:val="0"/>
                <w:sz w:val="20"/>
                <w:szCs w:val="20"/>
              </w:rPr>
              <w:t>铝型材外壳、无风扇热设计，保证机器稳定运行。</w:t>
            </w:r>
            <w:r>
              <w:rPr>
                <w:rFonts w:hint="eastAsia" w:ascii="宋体" w:hAnsi="宋体" w:cs="宋体"/>
                <w:kern w:val="0"/>
                <w:sz w:val="20"/>
                <w:szCs w:val="20"/>
              </w:rPr>
              <w:br w:type="textWrapping"/>
            </w:r>
            <w:r>
              <w:rPr>
                <w:rFonts w:hint="eastAsia" w:ascii="宋体" w:hAnsi="宋体" w:cs="宋体"/>
                <w:kern w:val="0"/>
                <w:sz w:val="20"/>
                <w:szCs w:val="20"/>
              </w:rPr>
              <w:t>功耗：峰值60W，平均35W</w:t>
            </w:r>
            <w:r>
              <w:rPr>
                <w:rFonts w:hint="eastAsia" w:ascii="宋体" w:hAnsi="宋体" w:cs="宋体"/>
                <w:kern w:val="0"/>
                <w:sz w:val="20"/>
                <w:szCs w:val="20"/>
              </w:rPr>
              <w:br w:type="textWrapping"/>
            </w:r>
            <w:r>
              <w:rPr>
                <w:rFonts w:hint="eastAsia" w:ascii="宋体" w:hAnsi="宋体" w:cs="宋体"/>
                <w:kern w:val="0"/>
                <w:sz w:val="20"/>
                <w:szCs w:val="20"/>
              </w:rPr>
              <w:t>工作环境：工作温度0℃～40℃、工作湿度10%～95%</w:t>
            </w:r>
            <w:r>
              <w:rPr>
                <w:rFonts w:hint="eastAsia" w:ascii="宋体" w:hAnsi="宋体" w:cs="宋体"/>
                <w:kern w:val="0"/>
                <w:sz w:val="20"/>
                <w:szCs w:val="20"/>
              </w:rPr>
              <w:br w:type="textWrapping"/>
            </w:r>
            <w:r>
              <w:rPr>
                <w:rFonts w:hint="eastAsia" w:ascii="宋体" w:hAnsi="宋体" w:cs="宋体"/>
                <w:kern w:val="0"/>
                <w:sz w:val="20"/>
                <w:szCs w:val="20"/>
              </w:rPr>
              <w:t>功能特性：含出入口管理软件，无风扇设计，集成交换机、485接口、报警4进4出、麦克风输入、视频HDMI接口，1T硬盘，22寸1080p显示屏，配置键鼠套件，正版Windows系统</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8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海康威视、大华、中控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90</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等线" w:hAnsi="等线" w:eastAsia="等线"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防砸车检雷达</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采用79GHz MMIC技术，分辨率更高，检测更稳定；</w:t>
            </w:r>
            <w:r>
              <w:rPr>
                <w:rFonts w:hint="eastAsia" w:ascii="宋体" w:hAnsi="宋体" w:cs="宋体"/>
                <w:kern w:val="0"/>
                <w:sz w:val="20"/>
                <w:szCs w:val="20"/>
              </w:rPr>
              <w:br w:type="textWrapping"/>
            </w:r>
            <w:r>
              <w:rPr>
                <w:rFonts w:hint="eastAsia" w:ascii="宋体" w:hAnsi="宋体" w:cs="宋体"/>
                <w:kern w:val="0"/>
                <w:sz w:val="20"/>
                <w:szCs w:val="20"/>
              </w:rPr>
              <w:t>采用最新算法，滤除广告扇叶对雷达的干扰，适用于广告杆、栅栏杆、直杆；</w:t>
            </w:r>
            <w:r>
              <w:rPr>
                <w:rFonts w:hint="eastAsia" w:ascii="宋体" w:hAnsi="宋体" w:cs="宋体"/>
                <w:kern w:val="0"/>
                <w:sz w:val="20"/>
                <w:szCs w:val="20"/>
              </w:rPr>
              <w:br w:type="textWrapping"/>
            </w:r>
            <w:r>
              <w:rPr>
                <w:rFonts w:hint="eastAsia" w:ascii="宋体" w:hAnsi="宋体" w:cs="宋体"/>
                <w:kern w:val="0"/>
                <w:sz w:val="20"/>
                <w:szCs w:val="20"/>
              </w:rPr>
              <w:t>能够识别目标运动方向，适用于混进混出等场景；</w:t>
            </w:r>
            <w:r>
              <w:rPr>
                <w:rFonts w:hint="eastAsia" w:ascii="宋体" w:hAnsi="宋体" w:cs="宋体"/>
                <w:kern w:val="0"/>
                <w:sz w:val="20"/>
                <w:szCs w:val="20"/>
              </w:rPr>
              <w:br w:type="textWrapping"/>
            </w:r>
            <w:r>
              <w:rPr>
                <w:rFonts w:hint="eastAsia" w:ascii="宋体" w:hAnsi="宋体" w:cs="宋体"/>
                <w:kern w:val="0"/>
                <w:sz w:val="20"/>
                <w:szCs w:val="20"/>
              </w:rPr>
              <w:t>雷达检测距离可调，检测宽度可调，操作方便，通用性强；</w:t>
            </w:r>
            <w:r>
              <w:rPr>
                <w:rFonts w:hint="eastAsia" w:ascii="宋体" w:hAnsi="宋体" w:cs="宋体"/>
                <w:kern w:val="0"/>
                <w:sz w:val="20"/>
                <w:szCs w:val="20"/>
              </w:rPr>
              <w:br w:type="textWrapping"/>
            </w:r>
            <w:r>
              <w:rPr>
                <w:rFonts w:hint="eastAsia" w:ascii="宋体" w:hAnsi="宋体" w:cs="宋体"/>
                <w:kern w:val="0"/>
                <w:sz w:val="20"/>
                <w:szCs w:val="20"/>
              </w:rPr>
              <w:t>无需学习背景，适应更多复杂现场环境；</w:t>
            </w:r>
            <w:r>
              <w:rPr>
                <w:rFonts w:hint="eastAsia" w:ascii="宋体" w:hAnsi="宋体" w:cs="宋体"/>
                <w:kern w:val="0"/>
                <w:sz w:val="20"/>
                <w:szCs w:val="20"/>
              </w:rPr>
              <w:br w:type="textWrapping"/>
            </w:r>
            <w:r>
              <w:rPr>
                <w:rFonts w:hint="eastAsia" w:ascii="宋体" w:hAnsi="宋体" w:cs="宋体"/>
                <w:kern w:val="0"/>
                <w:sz w:val="20"/>
                <w:szCs w:val="20"/>
              </w:rPr>
              <w:t>提供RS485串口或者WIFI通讯功能，WIFI版本配备手机APP，可对雷达进行在线调试、固件升级，操作更方便；</w:t>
            </w:r>
            <w:r>
              <w:rPr>
                <w:rFonts w:hint="eastAsia" w:ascii="宋体" w:hAnsi="宋体" w:cs="宋体"/>
                <w:kern w:val="0"/>
                <w:sz w:val="20"/>
                <w:szCs w:val="20"/>
              </w:rPr>
              <w:br w:type="textWrapping"/>
            </w:r>
            <w:r>
              <w:rPr>
                <w:rFonts w:hint="eastAsia" w:ascii="宋体" w:hAnsi="宋体" w:cs="宋体"/>
                <w:kern w:val="0"/>
                <w:sz w:val="20"/>
                <w:szCs w:val="20"/>
              </w:rPr>
              <w:t>安装与维护方便，所需人力少，工时短。</w:t>
            </w:r>
            <w:r>
              <w:rPr>
                <w:rFonts w:hint="eastAsia" w:ascii="宋体" w:hAnsi="宋体" w:cs="宋体"/>
                <w:kern w:val="0"/>
                <w:sz w:val="20"/>
                <w:szCs w:val="20"/>
              </w:rPr>
              <w:br w:type="textWrapping"/>
            </w:r>
            <w:r>
              <w:rPr>
                <w:rFonts w:hint="eastAsia" w:ascii="宋体" w:hAnsi="宋体" w:cs="宋体"/>
                <w:kern w:val="0"/>
                <w:sz w:val="20"/>
                <w:szCs w:val="20"/>
              </w:rPr>
              <w:t>采用先进的信号处理技术，可稳定检测到行人和车辆，有效防止“砸车、砸人”事故的发生。</w:t>
            </w:r>
            <w:r>
              <w:rPr>
                <w:rFonts w:hint="eastAsia" w:ascii="宋体" w:hAnsi="宋体" w:cs="宋体"/>
                <w:kern w:val="0"/>
                <w:sz w:val="20"/>
                <w:szCs w:val="20"/>
              </w:rPr>
              <w:br w:type="textWrapping"/>
            </w:r>
            <w:r>
              <w:rPr>
                <w:rFonts w:hint="eastAsia" w:ascii="宋体" w:hAnsi="宋体" w:cs="宋体"/>
                <w:kern w:val="0"/>
                <w:sz w:val="20"/>
                <w:szCs w:val="20"/>
              </w:rPr>
              <w:t xml:space="preserve">采用LED灯指示雷达工作状态，状态更直观。 </w:t>
            </w:r>
            <w:r>
              <w:rPr>
                <w:rFonts w:hint="eastAsia" w:ascii="宋体" w:hAnsi="宋体" w:cs="宋体"/>
                <w:kern w:val="0"/>
                <w:sz w:val="20"/>
                <w:szCs w:val="20"/>
              </w:rPr>
              <w:br w:type="textWrapping"/>
            </w:r>
            <w:r>
              <w:rPr>
                <w:rFonts w:hint="eastAsia" w:ascii="宋体" w:hAnsi="宋体" w:cs="宋体"/>
                <w:kern w:val="0"/>
                <w:sz w:val="20"/>
                <w:szCs w:val="20"/>
              </w:rPr>
              <w:t>自动记录雷达的配置参数，断电重启后可恢复至之前的工作状态；</w:t>
            </w:r>
            <w:r>
              <w:rPr>
                <w:rFonts w:hint="eastAsia" w:ascii="宋体" w:hAnsi="宋体" w:cs="宋体"/>
                <w:kern w:val="0"/>
                <w:sz w:val="20"/>
                <w:szCs w:val="20"/>
              </w:rPr>
              <w:br w:type="textWrapping"/>
            </w:r>
            <w:r>
              <w:rPr>
                <w:rFonts w:hint="eastAsia" w:ascii="宋体" w:hAnsi="宋体" w:cs="宋体"/>
                <w:kern w:val="0"/>
                <w:sz w:val="20"/>
                <w:szCs w:val="20"/>
              </w:rPr>
              <w:t>环境适应性强，检测性能不受电磁干扰、光照、灰尘、雨雪等外界环境影响。</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13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海康威视、大华、科拓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91</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等线" w:hAnsi="等线" w:eastAsia="等线"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线圈</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FVN1.0</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2500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米</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92</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restart"/>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人员出入口管理</w:t>
            </w: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伸缩自动广告门</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尺寸(mm)：长≥1900（可缩短至1250），高≥1740，宽≥200</w:t>
            </w:r>
            <w:r>
              <w:rPr>
                <w:rFonts w:hint="eastAsia" w:ascii="宋体" w:hAnsi="宋体" w:cs="宋体"/>
                <w:kern w:val="0"/>
                <w:sz w:val="20"/>
                <w:szCs w:val="20"/>
              </w:rPr>
              <w:br w:type="textWrapping"/>
            </w:r>
            <w:r>
              <w:rPr>
                <w:rFonts w:hint="eastAsia" w:ascii="宋体" w:hAnsi="宋体" w:cs="宋体"/>
                <w:kern w:val="0"/>
                <w:sz w:val="20"/>
                <w:szCs w:val="20"/>
              </w:rPr>
              <w:t>低功耗，静态功率 10W，工作最大功率 60W；</w:t>
            </w:r>
            <w:r>
              <w:rPr>
                <w:rFonts w:hint="eastAsia" w:ascii="宋体" w:hAnsi="宋体" w:cs="宋体"/>
                <w:kern w:val="0"/>
                <w:sz w:val="20"/>
                <w:szCs w:val="20"/>
              </w:rPr>
              <w:br w:type="textWrapping"/>
            </w:r>
            <w:r>
              <w:rPr>
                <w:rFonts w:hint="eastAsia" w:ascii="宋体" w:hAnsi="宋体" w:cs="宋体"/>
                <w:kern w:val="0"/>
                <w:sz w:val="20"/>
                <w:szCs w:val="20"/>
              </w:rPr>
              <w:t>超静音，工作时噪音低于 50 db；</w:t>
            </w:r>
            <w:r>
              <w:rPr>
                <w:rFonts w:hint="eastAsia" w:ascii="宋体" w:hAnsi="宋体" w:cs="宋体"/>
                <w:kern w:val="0"/>
                <w:sz w:val="20"/>
                <w:szCs w:val="20"/>
              </w:rPr>
              <w:br w:type="textWrapping"/>
            </w:r>
            <w:r>
              <w:rPr>
                <w:rFonts w:hint="eastAsia" w:ascii="宋体" w:hAnsi="宋体" w:cs="宋体"/>
                <w:kern w:val="0"/>
                <w:sz w:val="20"/>
                <w:szCs w:val="20"/>
              </w:rPr>
              <w:t>支持多种信号输入，继电器信号，电压信号（5-24V）；</w:t>
            </w:r>
            <w:r>
              <w:rPr>
                <w:rFonts w:hint="eastAsia" w:ascii="宋体" w:hAnsi="宋体" w:cs="宋体"/>
                <w:kern w:val="0"/>
                <w:sz w:val="20"/>
                <w:szCs w:val="20"/>
              </w:rPr>
              <w:br w:type="textWrapping"/>
            </w:r>
            <w:r>
              <w:rPr>
                <w:rFonts w:hint="eastAsia" w:ascii="宋体" w:hAnsi="宋体" w:cs="宋体"/>
                <w:kern w:val="0"/>
                <w:sz w:val="20"/>
                <w:szCs w:val="20"/>
              </w:rPr>
              <w:t>电机过流、过载、短路保护；</w:t>
            </w:r>
            <w:r>
              <w:rPr>
                <w:rFonts w:hint="eastAsia" w:ascii="宋体" w:hAnsi="宋体" w:cs="宋体"/>
                <w:kern w:val="0"/>
                <w:sz w:val="20"/>
                <w:szCs w:val="20"/>
              </w:rPr>
              <w:br w:type="textWrapping"/>
            </w:r>
            <w:r>
              <w:rPr>
                <w:rFonts w:hint="eastAsia" w:ascii="宋体" w:hAnsi="宋体" w:cs="宋体"/>
                <w:kern w:val="0"/>
                <w:sz w:val="20"/>
                <w:szCs w:val="20"/>
              </w:rPr>
              <w:t>智能遇阻、推门反转保护；</w:t>
            </w:r>
            <w:r>
              <w:rPr>
                <w:rFonts w:hint="eastAsia" w:ascii="宋体" w:hAnsi="宋体" w:cs="宋体"/>
                <w:kern w:val="0"/>
                <w:sz w:val="20"/>
                <w:szCs w:val="20"/>
              </w:rPr>
              <w:br w:type="textWrapping"/>
            </w:r>
            <w:r>
              <w:rPr>
                <w:rFonts w:hint="eastAsia" w:ascii="宋体" w:hAnsi="宋体" w:cs="宋体"/>
                <w:kern w:val="0"/>
                <w:sz w:val="20"/>
                <w:szCs w:val="20"/>
              </w:rPr>
              <w:t>电机电流、推力、速度精确调节；</w:t>
            </w:r>
            <w:r>
              <w:rPr>
                <w:rFonts w:hint="eastAsia" w:ascii="宋体" w:hAnsi="宋体" w:cs="宋体"/>
                <w:kern w:val="0"/>
                <w:sz w:val="20"/>
                <w:szCs w:val="20"/>
              </w:rPr>
              <w:br w:type="textWrapping"/>
            </w:r>
            <w:r>
              <w:rPr>
                <w:rFonts w:hint="eastAsia" w:ascii="宋体" w:hAnsi="宋体" w:cs="宋体"/>
                <w:kern w:val="0"/>
                <w:sz w:val="20"/>
                <w:szCs w:val="20"/>
              </w:rPr>
              <w:t>磁感应限位，防潮防尘；</w:t>
            </w:r>
            <w:r>
              <w:rPr>
                <w:rFonts w:hint="eastAsia" w:ascii="宋体" w:hAnsi="宋体" w:cs="宋体"/>
                <w:kern w:val="0"/>
                <w:sz w:val="20"/>
                <w:szCs w:val="20"/>
              </w:rPr>
              <w:br w:type="textWrapping"/>
            </w:r>
            <w:r>
              <w:rPr>
                <w:rFonts w:hint="eastAsia" w:ascii="宋体" w:hAnsi="宋体" w:cs="宋体"/>
                <w:kern w:val="0"/>
                <w:sz w:val="20"/>
                <w:szCs w:val="20"/>
              </w:rPr>
              <w:t>开门角度  90</w:t>
            </w:r>
            <w:r>
              <w:rPr>
                <w:rFonts w:hint="eastAsia" w:ascii="宋体" w:hAnsi="宋体" w:cs="宋体"/>
                <w:kern w:val="0"/>
                <w:sz w:val="20"/>
                <w:szCs w:val="20"/>
              </w:rPr>
              <w:br w:type="textWrapping"/>
            </w:r>
            <w:r>
              <w:rPr>
                <w:rFonts w:hint="eastAsia" w:ascii="宋体" w:hAnsi="宋体" w:cs="宋体"/>
                <w:kern w:val="0"/>
                <w:sz w:val="20"/>
                <w:szCs w:val="20"/>
              </w:rPr>
              <w:t>电源需求  DC24V 6A</w:t>
            </w:r>
            <w:r>
              <w:rPr>
                <w:rFonts w:hint="eastAsia" w:ascii="宋体" w:hAnsi="宋体" w:cs="宋体"/>
                <w:kern w:val="0"/>
                <w:sz w:val="20"/>
                <w:szCs w:val="20"/>
              </w:rPr>
              <w:br w:type="textWrapping"/>
            </w:r>
            <w:r>
              <w:rPr>
                <w:rFonts w:hint="eastAsia" w:ascii="宋体" w:hAnsi="宋体" w:cs="宋体"/>
                <w:kern w:val="0"/>
                <w:sz w:val="20"/>
                <w:szCs w:val="20"/>
              </w:rPr>
              <w:t>开/关门速度  1-9 档可调（对应开门时间 1-3S）</w:t>
            </w:r>
            <w:r>
              <w:rPr>
                <w:rFonts w:hint="eastAsia" w:ascii="宋体" w:hAnsi="宋体" w:cs="宋体"/>
                <w:kern w:val="0"/>
                <w:sz w:val="20"/>
                <w:szCs w:val="20"/>
              </w:rPr>
              <w:br w:type="textWrapping"/>
            </w:r>
            <w:r>
              <w:rPr>
                <w:rFonts w:hint="eastAsia" w:ascii="宋体" w:hAnsi="宋体" w:cs="宋体"/>
                <w:kern w:val="0"/>
                <w:sz w:val="20"/>
                <w:szCs w:val="20"/>
              </w:rPr>
              <w:t>开门保持时间  1-99 秒</w:t>
            </w:r>
            <w:r>
              <w:rPr>
                <w:rFonts w:hint="eastAsia" w:ascii="宋体" w:hAnsi="宋体" w:cs="宋体"/>
                <w:kern w:val="0"/>
                <w:sz w:val="20"/>
                <w:szCs w:val="20"/>
              </w:rPr>
              <w:br w:type="textWrapping"/>
            </w:r>
            <w:r>
              <w:rPr>
                <w:rFonts w:hint="eastAsia" w:ascii="宋体" w:hAnsi="宋体" w:cs="宋体"/>
                <w:kern w:val="0"/>
                <w:sz w:val="20"/>
                <w:szCs w:val="20"/>
              </w:rPr>
              <w:t>含支架</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5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座</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海康威视、大华、科拓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93</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人脸识别一体机</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可见光动态人脸识别，活体检测，安全防伪</w:t>
            </w:r>
            <w:r>
              <w:rPr>
                <w:rFonts w:hint="eastAsia" w:ascii="宋体" w:hAnsi="宋体" w:cs="宋体"/>
                <w:kern w:val="0"/>
                <w:sz w:val="20"/>
                <w:szCs w:val="20"/>
              </w:rPr>
              <w:br w:type="textWrapping"/>
            </w:r>
            <w:r>
              <w:rPr>
                <w:rFonts w:hint="eastAsia" w:ascii="宋体" w:hAnsi="宋体" w:cs="宋体"/>
                <w:kern w:val="0"/>
                <w:sz w:val="20"/>
                <w:szCs w:val="20"/>
              </w:rPr>
              <w:t>标配ZKB10二维码模组，快速识别二维码</w:t>
            </w:r>
            <w:r>
              <w:rPr>
                <w:rFonts w:hint="eastAsia" w:ascii="宋体" w:hAnsi="宋体" w:cs="宋体"/>
                <w:kern w:val="0"/>
                <w:sz w:val="20"/>
                <w:szCs w:val="20"/>
              </w:rPr>
              <w:br w:type="textWrapping"/>
            </w:r>
            <w:r>
              <w:rPr>
                <w:rFonts w:hint="eastAsia" w:ascii="宋体" w:hAnsi="宋体" w:cs="宋体"/>
                <w:kern w:val="0"/>
                <w:sz w:val="20"/>
                <w:szCs w:val="20"/>
              </w:rPr>
              <w:t>6~13cm远距离验证，助力轻松考勤</w:t>
            </w:r>
            <w:r>
              <w:rPr>
                <w:rFonts w:hint="eastAsia" w:ascii="宋体" w:hAnsi="宋体" w:cs="宋体"/>
                <w:kern w:val="0"/>
                <w:sz w:val="20"/>
                <w:szCs w:val="20"/>
              </w:rPr>
              <w:br w:type="textWrapping"/>
            </w:r>
            <w:r>
              <w:rPr>
                <w:rFonts w:hint="eastAsia" w:ascii="宋体" w:hAnsi="宋体" w:cs="宋体"/>
                <w:kern w:val="0"/>
                <w:sz w:val="20"/>
                <w:szCs w:val="20"/>
              </w:rPr>
              <w:t>具有专业门禁功能，用心守护办公安全</w:t>
            </w:r>
            <w:r>
              <w:rPr>
                <w:rFonts w:hint="eastAsia" w:ascii="宋体" w:hAnsi="宋体" w:cs="宋体"/>
                <w:kern w:val="0"/>
                <w:sz w:val="20"/>
                <w:szCs w:val="20"/>
              </w:rPr>
              <w:br w:type="textWrapping"/>
            </w:r>
            <w:r>
              <w:rPr>
                <w:rFonts w:hint="eastAsia" w:ascii="宋体" w:hAnsi="宋体" w:cs="宋体"/>
                <w:kern w:val="0"/>
                <w:sz w:val="20"/>
                <w:szCs w:val="20"/>
              </w:rPr>
              <w:t>用户数 10000人</w:t>
            </w:r>
            <w:r>
              <w:rPr>
                <w:rFonts w:hint="eastAsia" w:ascii="宋体" w:hAnsi="宋体" w:cs="宋体"/>
                <w:kern w:val="0"/>
                <w:sz w:val="20"/>
                <w:szCs w:val="20"/>
              </w:rPr>
              <w:br w:type="textWrapping"/>
            </w:r>
            <w:r>
              <w:rPr>
                <w:rFonts w:hint="eastAsia" w:ascii="宋体" w:hAnsi="宋体" w:cs="宋体"/>
                <w:kern w:val="0"/>
                <w:sz w:val="20"/>
                <w:szCs w:val="20"/>
              </w:rPr>
              <w:t>面部容量 10000张</w:t>
            </w:r>
            <w:r>
              <w:rPr>
                <w:rFonts w:hint="eastAsia" w:ascii="宋体" w:hAnsi="宋体" w:cs="宋体"/>
                <w:kern w:val="0"/>
                <w:sz w:val="20"/>
                <w:szCs w:val="20"/>
              </w:rPr>
              <w:br w:type="textWrapping"/>
            </w:r>
            <w:r>
              <w:rPr>
                <w:rFonts w:hint="eastAsia" w:ascii="宋体" w:hAnsi="宋体" w:cs="宋体"/>
                <w:kern w:val="0"/>
                <w:sz w:val="20"/>
                <w:szCs w:val="20"/>
              </w:rPr>
              <w:t>记录容量 10万条</w:t>
            </w:r>
            <w:r>
              <w:rPr>
                <w:rFonts w:hint="eastAsia" w:ascii="宋体" w:hAnsi="宋体" w:cs="宋体"/>
                <w:kern w:val="0"/>
                <w:sz w:val="20"/>
                <w:szCs w:val="20"/>
              </w:rPr>
              <w:br w:type="textWrapping"/>
            </w:r>
            <w:r>
              <w:rPr>
                <w:rFonts w:hint="eastAsia" w:ascii="宋体" w:hAnsi="宋体" w:cs="宋体"/>
                <w:kern w:val="0"/>
                <w:sz w:val="20"/>
                <w:szCs w:val="20"/>
              </w:rPr>
              <w:t>显示屏 5英寸触摸屏</w:t>
            </w:r>
            <w:r>
              <w:rPr>
                <w:rFonts w:hint="eastAsia" w:ascii="宋体" w:hAnsi="宋体" w:cs="宋体"/>
                <w:kern w:val="0"/>
                <w:sz w:val="20"/>
                <w:szCs w:val="20"/>
              </w:rPr>
              <w:br w:type="textWrapping"/>
            </w:r>
            <w:r>
              <w:rPr>
                <w:rFonts w:hint="eastAsia" w:ascii="宋体" w:hAnsi="宋体" w:cs="宋体"/>
                <w:kern w:val="0"/>
                <w:sz w:val="20"/>
                <w:szCs w:val="20"/>
              </w:rPr>
              <w:t>识别距离 6~13cm</w:t>
            </w:r>
            <w:r>
              <w:rPr>
                <w:rFonts w:hint="eastAsia" w:ascii="宋体" w:hAnsi="宋体" w:cs="宋体"/>
                <w:kern w:val="0"/>
                <w:sz w:val="20"/>
                <w:szCs w:val="20"/>
              </w:rPr>
              <w:br w:type="textWrapping"/>
            </w:r>
            <w:r>
              <w:rPr>
                <w:rFonts w:hint="eastAsia" w:ascii="宋体" w:hAnsi="宋体" w:cs="宋体"/>
                <w:kern w:val="0"/>
                <w:sz w:val="20"/>
                <w:szCs w:val="20"/>
              </w:rPr>
              <w:t>通讯方式 TCP/IP、选配WiFi</w:t>
            </w:r>
            <w:r>
              <w:rPr>
                <w:rFonts w:hint="eastAsia" w:ascii="宋体" w:hAnsi="宋体" w:cs="宋体"/>
                <w:kern w:val="0"/>
                <w:sz w:val="20"/>
                <w:szCs w:val="20"/>
              </w:rPr>
              <w:br w:type="textWrapping"/>
            </w:r>
            <w:r>
              <w:rPr>
                <w:rFonts w:hint="eastAsia" w:ascii="宋体" w:hAnsi="宋体" w:cs="宋体"/>
                <w:kern w:val="0"/>
                <w:sz w:val="20"/>
                <w:szCs w:val="20"/>
              </w:rPr>
              <w:t>基础功能 记录查询、Photo ID、带摄像头</w:t>
            </w:r>
            <w:r>
              <w:rPr>
                <w:rFonts w:hint="eastAsia" w:ascii="宋体" w:hAnsi="宋体" w:cs="宋体"/>
                <w:kern w:val="0"/>
                <w:sz w:val="20"/>
                <w:szCs w:val="20"/>
              </w:rPr>
              <w:br w:type="textWrapping"/>
            </w:r>
            <w:r>
              <w:rPr>
                <w:rFonts w:hint="eastAsia" w:ascii="宋体" w:hAnsi="宋体" w:cs="宋体"/>
                <w:kern w:val="0"/>
                <w:sz w:val="20"/>
                <w:szCs w:val="20"/>
              </w:rPr>
              <w:t>门禁功能 门磁、报警、出门开关、多种验证方式、Wiegand in/out</w:t>
            </w:r>
            <w:r>
              <w:rPr>
                <w:rFonts w:hint="eastAsia" w:ascii="宋体" w:hAnsi="宋体" w:cs="宋体"/>
                <w:kern w:val="0"/>
                <w:sz w:val="20"/>
                <w:szCs w:val="20"/>
              </w:rPr>
              <w:br w:type="textWrapping"/>
            </w:r>
            <w:r>
              <w:rPr>
                <w:rFonts w:hint="eastAsia" w:ascii="宋体" w:hAnsi="宋体" w:cs="宋体"/>
                <w:kern w:val="0"/>
                <w:sz w:val="20"/>
                <w:szCs w:val="20"/>
              </w:rPr>
              <w:t>使用温度 0°C~45°C</w:t>
            </w:r>
            <w:r>
              <w:rPr>
                <w:rFonts w:hint="eastAsia" w:ascii="宋体" w:hAnsi="宋体" w:cs="宋体"/>
                <w:kern w:val="0"/>
                <w:sz w:val="20"/>
                <w:szCs w:val="20"/>
              </w:rPr>
              <w:br w:type="textWrapping"/>
            </w:r>
            <w:r>
              <w:rPr>
                <w:rFonts w:hint="eastAsia" w:ascii="宋体" w:hAnsi="宋体" w:cs="宋体"/>
                <w:kern w:val="0"/>
                <w:sz w:val="20"/>
                <w:szCs w:val="20"/>
              </w:rPr>
              <w:t>使用湿度 20%RH~80%RH</w:t>
            </w:r>
            <w:r>
              <w:rPr>
                <w:rFonts w:hint="eastAsia" w:ascii="宋体" w:hAnsi="宋体" w:cs="宋体"/>
                <w:kern w:val="0"/>
                <w:sz w:val="20"/>
                <w:szCs w:val="20"/>
              </w:rPr>
              <w:br w:type="textWrapping"/>
            </w:r>
            <w:r>
              <w:rPr>
                <w:rFonts w:hint="eastAsia" w:ascii="宋体" w:hAnsi="宋体" w:cs="宋体"/>
                <w:kern w:val="0"/>
                <w:sz w:val="20"/>
                <w:szCs w:val="20"/>
              </w:rPr>
              <w:t>电源规格 DC12V 3A</w:t>
            </w:r>
            <w:r>
              <w:rPr>
                <w:rFonts w:hint="eastAsia" w:ascii="宋体" w:hAnsi="宋体" w:cs="宋体"/>
                <w:kern w:val="0"/>
                <w:sz w:val="20"/>
                <w:szCs w:val="20"/>
              </w:rPr>
              <w:br w:type="textWrapping"/>
            </w:r>
            <w:r>
              <w:rPr>
                <w:rFonts w:hint="eastAsia" w:ascii="宋体" w:hAnsi="宋体" w:cs="宋体"/>
                <w:kern w:val="0"/>
                <w:sz w:val="20"/>
                <w:szCs w:val="20"/>
              </w:rPr>
              <w:t>二维码功能 可根据实际需求进行定制</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5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座</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海康威视、大华、科拓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94</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双舱一体机</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上通道看细节，下通道看全景，采用双舱一体化设计，由双镜头相机与高性能GPU模块组成，聚合多种专为复杂场景设计的深度学习算法，实现全结构化数据精准采集，具备多场景数据融合分析能力，实现全方位态势感知</w:t>
            </w:r>
            <w:r>
              <w:rPr>
                <w:rFonts w:hint="eastAsia" w:ascii="宋体" w:hAnsi="宋体" w:cs="宋体"/>
                <w:kern w:val="0"/>
                <w:sz w:val="20"/>
                <w:szCs w:val="20"/>
              </w:rPr>
              <w:br w:type="textWrapping"/>
            </w:r>
            <w:r>
              <w:rPr>
                <w:rFonts w:hint="eastAsia" w:ascii="宋体" w:hAnsi="宋体" w:cs="宋体"/>
                <w:kern w:val="0"/>
                <w:sz w:val="20"/>
                <w:szCs w:val="20"/>
              </w:rPr>
              <w:t>支持三种智能资源模式切换：混合目标检测-全结构化模式（默认）、混合目标检测-比对模式，人脸抓拍</w:t>
            </w:r>
            <w:r>
              <w:rPr>
                <w:rFonts w:hint="eastAsia" w:ascii="宋体" w:hAnsi="宋体" w:cs="宋体"/>
                <w:kern w:val="0"/>
                <w:sz w:val="20"/>
                <w:szCs w:val="20"/>
              </w:rPr>
              <w:br w:type="textWrapping"/>
            </w:r>
            <w:r>
              <w:rPr>
                <w:rFonts w:hint="eastAsia" w:ascii="宋体" w:hAnsi="宋体" w:cs="宋体"/>
                <w:kern w:val="0"/>
                <w:sz w:val="20"/>
                <w:szCs w:val="20"/>
              </w:rPr>
              <w:t>支持上下镜头关联，细节场景的目标人脸会替换全景场景目标的人脸</w:t>
            </w:r>
            <w:r>
              <w:rPr>
                <w:rFonts w:hint="eastAsia" w:ascii="宋体" w:hAnsi="宋体" w:cs="宋体"/>
                <w:kern w:val="0"/>
                <w:sz w:val="20"/>
                <w:szCs w:val="20"/>
              </w:rPr>
              <w:br w:type="textWrapping"/>
            </w:r>
            <w:r>
              <w:rPr>
                <w:rFonts w:hint="eastAsia" w:ascii="宋体" w:hAnsi="宋体" w:cs="宋体"/>
                <w:kern w:val="0"/>
                <w:sz w:val="20"/>
                <w:szCs w:val="20"/>
              </w:rPr>
              <w:t>传感器类型:上通道：1/1.8" Progressive Scan CMOS ;下通道：1/1.8" Progressive Scan CMOS</w:t>
            </w:r>
            <w:r>
              <w:rPr>
                <w:rFonts w:hint="eastAsia" w:ascii="宋体" w:hAnsi="宋体" w:cs="宋体"/>
                <w:kern w:val="0"/>
                <w:sz w:val="20"/>
                <w:szCs w:val="20"/>
              </w:rPr>
              <w:br w:type="textWrapping"/>
            </w:r>
            <w:r>
              <w:rPr>
                <w:rFonts w:hint="eastAsia" w:ascii="宋体" w:hAnsi="宋体" w:cs="宋体"/>
                <w:kern w:val="0"/>
                <w:sz w:val="20"/>
                <w:szCs w:val="20"/>
              </w:rPr>
              <w:t>最低照度:</w:t>
            </w:r>
            <w:r>
              <w:rPr>
                <w:rFonts w:hint="eastAsia" w:ascii="宋体" w:hAnsi="宋体" w:cs="宋体"/>
                <w:kern w:val="0"/>
                <w:sz w:val="20"/>
                <w:szCs w:val="20"/>
              </w:rPr>
              <w:br w:type="textWrapping"/>
            </w:r>
            <w:r>
              <w:rPr>
                <w:rFonts w:hint="eastAsia" w:ascii="宋体" w:hAnsi="宋体" w:cs="宋体"/>
                <w:kern w:val="0"/>
                <w:sz w:val="20"/>
                <w:szCs w:val="20"/>
              </w:rPr>
              <w:t>上通道：彩色:0.001 Lux @ (F1.2, AGC ON)  黑白:0.0006 Lux @ (F1.2, AGC ON), 0 Lux with IR</w:t>
            </w:r>
            <w:r>
              <w:rPr>
                <w:rFonts w:hint="eastAsia" w:ascii="宋体" w:hAnsi="宋体" w:cs="宋体"/>
                <w:kern w:val="0"/>
                <w:sz w:val="20"/>
                <w:szCs w:val="20"/>
              </w:rPr>
              <w:br w:type="textWrapping"/>
            </w:r>
            <w:r>
              <w:rPr>
                <w:rFonts w:hint="eastAsia" w:ascii="宋体" w:hAnsi="宋体" w:cs="宋体"/>
                <w:kern w:val="0"/>
                <w:sz w:val="20"/>
                <w:szCs w:val="20"/>
              </w:rPr>
              <w:t>单轴调节:抓拍部分T向±5°可电动调节; 监控部分T向±15°可调节</w:t>
            </w:r>
            <w:r>
              <w:rPr>
                <w:rFonts w:hint="eastAsia" w:ascii="宋体" w:hAnsi="宋体" w:cs="宋体"/>
                <w:kern w:val="0"/>
                <w:sz w:val="20"/>
                <w:szCs w:val="20"/>
              </w:rPr>
              <w:br w:type="textWrapping"/>
            </w:r>
            <w:r>
              <w:rPr>
                <w:rFonts w:hint="eastAsia" w:ascii="宋体" w:hAnsi="宋体" w:cs="宋体"/>
                <w:kern w:val="0"/>
                <w:sz w:val="20"/>
                <w:szCs w:val="20"/>
              </w:rPr>
              <w:t>视频压缩标准:H.265/H.264 / MJPEG</w:t>
            </w:r>
            <w:r>
              <w:rPr>
                <w:rFonts w:hint="eastAsia" w:ascii="宋体" w:hAnsi="宋体" w:cs="宋体"/>
                <w:kern w:val="0"/>
                <w:sz w:val="20"/>
                <w:szCs w:val="20"/>
              </w:rPr>
              <w:br w:type="textWrapping"/>
            </w:r>
            <w:r>
              <w:rPr>
                <w:rFonts w:hint="eastAsia" w:ascii="宋体" w:hAnsi="宋体" w:cs="宋体"/>
                <w:kern w:val="0"/>
                <w:sz w:val="20"/>
                <w:szCs w:val="20"/>
              </w:rPr>
              <w:t>最大图像尺寸:上通道：3840 x 2160</w:t>
            </w:r>
            <w:r>
              <w:rPr>
                <w:rFonts w:hint="eastAsia" w:ascii="宋体" w:hAnsi="宋体" w:cs="宋体"/>
                <w:kern w:val="0"/>
                <w:sz w:val="20"/>
                <w:szCs w:val="20"/>
              </w:rPr>
              <w:br w:type="textWrapping"/>
            </w:r>
            <w:r>
              <w:rPr>
                <w:rFonts w:hint="eastAsia" w:ascii="宋体" w:hAnsi="宋体" w:cs="宋体"/>
                <w:kern w:val="0"/>
                <w:sz w:val="20"/>
                <w:szCs w:val="20"/>
              </w:rPr>
              <w:t>存储功能:支持Micro SD(即TF卡)/Micro SDHC/Micro SDXC卡(128G)断网本地存储及断网续传,NAS(NFS,SMB/CIFS均支持)</w:t>
            </w:r>
            <w:r>
              <w:rPr>
                <w:rFonts w:hint="eastAsia" w:ascii="宋体" w:hAnsi="宋体" w:cs="宋体"/>
                <w:kern w:val="0"/>
                <w:sz w:val="20"/>
                <w:szCs w:val="20"/>
              </w:rPr>
              <w:br w:type="textWrapping"/>
            </w:r>
            <w:r>
              <w:rPr>
                <w:rFonts w:hint="eastAsia" w:ascii="宋体" w:hAnsi="宋体" w:cs="宋体"/>
                <w:kern w:val="0"/>
                <w:sz w:val="20"/>
                <w:szCs w:val="20"/>
              </w:rPr>
              <w:t>支持设备所在位置的经纬度查询，支持GPS/北斗校时</w:t>
            </w:r>
            <w:r>
              <w:rPr>
                <w:rFonts w:hint="eastAsia" w:ascii="宋体" w:hAnsi="宋体" w:cs="宋体"/>
                <w:kern w:val="0"/>
                <w:sz w:val="20"/>
                <w:szCs w:val="20"/>
              </w:rPr>
              <w:br w:type="textWrapping"/>
            </w:r>
            <w:r>
              <w:rPr>
                <w:rFonts w:hint="eastAsia" w:ascii="宋体" w:hAnsi="宋体" w:cs="宋体"/>
                <w:kern w:val="0"/>
                <w:sz w:val="20"/>
                <w:szCs w:val="20"/>
              </w:rPr>
              <w:t>音频接口:1对3.5mm音频输入(Mic in/Line in)/输出外部接口</w:t>
            </w:r>
            <w:r>
              <w:rPr>
                <w:rFonts w:hint="eastAsia" w:ascii="宋体" w:hAnsi="宋体" w:cs="宋体"/>
                <w:kern w:val="0"/>
                <w:sz w:val="20"/>
                <w:szCs w:val="20"/>
              </w:rPr>
              <w:br w:type="textWrapping"/>
            </w:r>
            <w:r>
              <w:rPr>
                <w:rFonts w:hint="eastAsia" w:ascii="宋体" w:hAnsi="宋体" w:cs="宋体"/>
                <w:kern w:val="0"/>
                <w:sz w:val="20"/>
                <w:szCs w:val="20"/>
              </w:rPr>
              <w:t>通讯接口:1 个RJ45 10M / 100M /1000M自适应以太网口,1个RS-485接口</w:t>
            </w:r>
            <w:r>
              <w:rPr>
                <w:rFonts w:hint="eastAsia" w:ascii="宋体" w:hAnsi="宋体" w:cs="宋体"/>
                <w:kern w:val="0"/>
                <w:sz w:val="20"/>
                <w:szCs w:val="20"/>
              </w:rPr>
              <w:br w:type="textWrapping"/>
            </w:r>
            <w:r>
              <w:rPr>
                <w:rFonts w:hint="eastAsia" w:ascii="宋体" w:hAnsi="宋体" w:cs="宋体"/>
                <w:kern w:val="0"/>
                <w:sz w:val="20"/>
                <w:szCs w:val="20"/>
              </w:rPr>
              <w:t>报警输入:2路</w:t>
            </w:r>
            <w:r>
              <w:rPr>
                <w:rFonts w:hint="eastAsia" w:ascii="宋体" w:hAnsi="宋体" w:cs="宋体"/>
                <w:kern w:val="0"/>
                <w:sz w:val="20"/>
                <w:szCs w:val="20"/>
              </w:rPr>
              <w:br w:type="textWrapping"/>
            </w:r>
            <w:r>
              <w:rPr>
                <w:rFonts w:hint="eastAsia" w:ascii="宋体" w:hAnsi="宋体" w:cs="宋体"/>
                <w:kern w:val="0"/>
                <w:sz w:val="20"/>
                <w:szCs w:val="20"/>
              </w:rPr>
              <w:t>报警输出:2路</w:t>
            </w:r>
            <w:r>
              <w:rPr>
                <w:rFonts w:hint="eastAsia" w:ascii="宋体" w:hAnsi="宋体" w:cs="宋体"/>
                <w:kern w:val="0"/>
                <w:sz w:val="20"/>
                <w:szCs w:val="20"/>
              </w:rPr>
              <w:br w:type="textWrapping"/>
            </w:r>
            <w:r>
              <w:rPr>
                <w:rFonts w:hint="eastAsia" w:ascii="宋体" w:hAnsi="宋体" w:cs="宋体"/>
                <w:kern w:val="0"/>
                <w:sz w:val="20"/>
                <w:szCs w:val="20"/>
              </w:rPr>
              <w:t>工作温度和湿度:-30℃~60℃,湿度小于95%(无凝结)</w:t>
            </w:r>
            <w:r>
              <w:rPr>
                <w:rFonts w:hint="eastAsia" w:ascii="宋体" w:hAnsi="宋体" w:cs="宋体"/>
                <w:kern w:val="0"/>
                <w:sz w:val="20"/>
                <w:szCs w:val="20"/>
              </w:rPr>
              <w:br w:type="textWrapping"/>
            </w:r>
            <w:r>
              <w:rPr>
                <w:rFonts w:hint="eastAsia" w:ascii="宋体" w:hAnsi="宋体" w:cs="宋体"/>
                <w:kern w:val="0"/>
                <w:sz w:val="20"/>
                <w:szCs w:val="20"/>
              </w:rPr>
              <w:t>功耗:AC24V，1.42A，MAX：34W</w:t>
            </w:r>
            <w:r>
              <w:rPr>
                <w:rFonts w:hint="eastAsia" w:ascii="宋体" w:hAnsi="宋体" w:cs="宋体"/>
                <w:kern w:val="0"/>
                <w:sz w:val="20"/>
                <w:szCs w:val="20"/>
              </w:rPr>
              <w:br w:type="textWrapping"/>
            </w:r>
            <w:r>
              <w:rPr>
                <w:rFonts w:hint="eastAsia" w:ascii="宋体" w:hAnsi="宋体" w:cs="宋体"/>
                <w:kern w:val="0"/>
                <w:sz w:val="20"/>
                <w:szCs w:val="20"/>
              </w:rPr>
              <w:t>防护等级:IP66</w:t>
            </w:r>
            <w:r>
              <w:rPr>
                <w:rFonts w:hint="eastAsia" w:ascii="宋体" w:hAnsi="宋体" w:cs="宋体"/>
                <w:kern w:val="0"/>
                <w:sz w:val="20"/>
                <w:szCs w:val="20"/>
              </w:rPr>
              <w:br w:type="textWrapping"/>
            </w:r>
            <w:r>
              <w:rPr>
                <w:rFonts w:hint="eastAsia" w:ascii="宋体" w:hAnsi="宋体" w:cs="宋体"/>
                <w:kern w:val="0"/>
                <w:sz w:val="20"/>
                <w:szCs w:val="20"/>
              </w:rPr>
              <w:t xml:space="preserve">补光距离:上通道：混合补光:普通监控：80m  人脸抓拍：15m; </w:t>
            </w:r>
            <w:r>
              <w:rPr>
                <w:rFonts w:hint="eastAsia" w:ascii="宋体" w:hAnsi="宋体" w:cs="宋体"/>
                <w:kern w:val="0"/>
                <w:sz w:val="20"/>
                <w:szCs w:val="20"/>
              </w:rPr>
              <w:br w:type="textWrapping"/>
            </w:r>
            <w:r>
              <w:rPr>
                <w:rFonts w:hint="eastAsia" w:ascii="宋体" w:hAnsi="宋体" w:cs="宋体"/>
                <w:kern w:val="0"/>
                <w:sz w:val="20"/>
                <w:szCs w:val="20"/>
              </w:rPr>
              <w:t>具有两个图像采集模块。</w:t>
            </w:r>
            <w:r>
              <w:rPr>
                <w:rFonts w:hint="eastAsia" w:ascii="宋体" w:hAnsi="宋体" w:cs="宋体"/>
                <w:kern w:val="0"/>
                <w:sz w:val="20"/>
                <w:szCs w:val="20"/>
              </w:rPr>
              <w:br w:type="textWrapping"/>
            </w:r>
            <w:r>
              <w:rPr>
                <w:rFonts w:hint="eastAsia" w:ascii="宋体" w:hAnsi="宋体" w:cs="宋体"/>
                <w:kern w:val="0"/>
                <w:sz w:val="20"/>
                <w:szCs w:val="20"/>
              </w:rPr>
              <w:t>具有不小于1/1.8"靶面尺寸。</w:t>
            </w:r>
            <w:r>
              <w:rPr>
                <w:rFonts w:hint="eastAsia" w:ascii="宋体" w:hAnsi="宋体" w:cs="宋体"/>
                <w:kern w:val="0"/>
                <w:sz w:val="20"/>
                <w:szCs w:val="20"/>
              </w:rPr>
              <w:br w:type="textWrapping"/>
            </w:r>
            <w:r>
              <w:rPr>
                <w:rFonts w:hint="eastAsia" w:ascii="宋体" w:hAnsi="宋体" w:cs="宋体"/>
                <w:kern w:val="0"/>
                <w:sz w:val="20"/>
                <w:szCs w:val="20"/>
              </w:rPr>
              <w:t>在混合抓拍模式下，支持行人、非机动车和机动车的分类计数。</w:t>
            </w:r>
            <w:r>
              <w:rPr>
                <w:rFonts w:hint="eastAsia" w:ascii="宋体" w:hAnsi="宋体" w:cs="宋体"/>
                <w:kern w:val="0"/>
                <w:sz w:val="20"/>
                <w:szCs w:val="20"/>
              </w:rPr>
              <w:br w:type="textWrapping"/>
            </w:r>
            <w:r>
              <w:rPr>
                <w:rFonts w:hint="eastAsia" w:ascii="宋体" w:hAnsi="宋体" w:cs="宋体"/>
                <w:b/>
                <w:bCs/>
                <w:kern w:val="0"/>
                <w:sz w:val="20"/>
                <w:szCs w:val="20"/>
              </w:rPr>
              <w:t>车辆品牌识别白天准确率不小于99%，晚上准确率不小于97%。（具有相应资质的第三方检测机构出具的检测报告）</w:t>
            </w:r>
            <w:r>
              <w:rPr>
                <w:rFonts w:hint="eastAsia" w:ascii="宋体" w:hAnsi="宋体" w:cs="宋体"/>
                <w:kern w:val="0"/>
                <w:sz w:val="20"/>
                <w:szCs w:val="20"/>
              </w:rPr>
              <w:br w:type="textWrapping"/>
            </w:r>
            <w:r>
              <w:rPr>
                <w:rFonts w:hint="eastAsia" w:ascii="宋体" w:hAnsi="宋体" w:cs="宋体"/>
                <w:kern w:val="0"/>
                <w:sz w:val="20"/>
                <w:szCs w:val="20"/>
              </w:rPr>
              <w:t>支持对镜头前盖玻璃加热，去除玻璃上的冰状和水状附着物。</w:t>
            </w:r>
            <w:r>
              <w:rPr>
                <w:rFonts w:hint="eastAsia" w:ascii="宋体" w:hAnsi="宋体" w:cs="宋体"/>
                <w:kern w:val="0"/>
                <w:sz w:val="20"/>
                <w:szCs w:val="20"/>
              </w:rPr>
              <w:br w:type="textWrapping"/>
            </w:r>
            <w:r>
              <w:rPr>
                <w:rFonts w:hint="eastAsia" w:ascii="宋体" w:hAnsi="宋体" w:cs="宋体"/>
                <w:kern w:val="0"/>
                <w:sz w:val="20"/>
                <w:szCs w:val="20"/>
              </w:rPr>
              <w:t>设备恢复出厂设置后，通过客户端软件或WEB方式登录设备必须设置密码才能使用，无其他缺省密码或空密码。</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4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海康威视、大华、科拓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95</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双门门禁控制器</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处理器：32位处理器</w:t>
            </w:r>
            <w:r>
              <w:rPr>
                <w:rFonts w:hint="eastAsia" w:ascii="宋体" w:hAnsi="宋体" w:cs="宋体"/>
                <w:kern w:val="0"/>
                <w:sz w:val="20"/>
                <w:szCs w:val="20"/>
              </w:rPr>
              <w:br w:type="textWrapping"/>
            </w:r>
            <w:r>
              <w:rPr>
                <w:rFonts w:hint="eastAsia" w:ascii="宋体" w:hAnsi="宋体" w:cs="宋体"/>
                <w:kern w:val="0"/>
                <w:sz w:val="20"/>
                <w:szCs w:val="20"/>
              </w:rPr>
              <w:t>管控门数：2门</w:t>
            </w:r>
            <w:r>
              <w:rPr>
                <w:rFonts w:hint="eastAsia" w:ascii="宋体" w:hAnsi="宋体" w:cs="宋体"/>
                <w:kern w:val="0"/>
                <w:sz w:val="20"/>
                <w:szCs w:val="20"/>
              </w:rPr>
              <w:br w:type="textWrapping"/>
            </w:r>
            <w:r>
              <w:rPr>
                <w:rFonts w:hint="eastAsia" w:ascii="宋体" w:hAnsi="宋体" w:cs="宋体"/>
                <w:kern w:val="0"/>
                <w:sz w:val="20"/>
                <w:szCs w:val="20"/>
              </w:rPr>
              <w:t>通讯方式：上行TCP/IP、RS485</w:t>
            </w:r>
            <w:r>
              <w:rPr>
                <w:rFonts w:hint="eastAsia" w:ascii="宋体" w:hAnsi="宋体" w:cs="宋体"/>
                <w:kern w:val="0"/>
                <w:sz w:val="20"/>
                <w:szCs w:val="20"/>
              </w:rPr>
              <w:br w:type="textWrapping"/>
            </w:r>
            <w:r>
              <w:rPr>
                <w:rFonts w:hint="eastAsia" w:ascii="宋体" w:hAnsi="宋体" w:cs="宋体"/>
                <w:kern w:val="0"/>
                <w:sz w:val="20"/>
                <w:szCs w:val="20"/>
              </w:rPr>
              <w:t>读卡器接口：RS485和Wiegand双通讯接口</w:t>
            </w:r>
            <w:r>
              <w:rPr>
                <w:rFonts w:hint="eastAsia" w:ascii="宋体" w:hAnsi="宋体" w:cs="宋体"/>
                <w:kern w:val="0"/>
                <w:sz w:val="20"/>
                <w:szCs w:val="20"/>
              </w:rPr>
              <w:br w:type="textWrapping"/>
            </w:r>
            <w:r>
              <w:rPr>
                <w:rFonts w:hint="eastAsia" w:ascii="宋体" w:hAnsi="宋体" w:cs="宋体"/>
                <w:kern w:val="0"/>
                <w:sz w:val="20"/>
                <w:szCs w:val="20"/>
              </w:rPr>
              <w:t>存储容量：10万张卡和30万记录存储</w:t>
            </w:r>
            <w:r>
              <w:rPr>
                <w:rFonts w:hint="eastAsia" w:ascii="宋体" w:hAnsi="宋体" w:cs="宋体"/>
                <w:kern w:val="0"/>
                <w:sz w:val="20"/>
                <w:szCs w:val="20"/>
              </w:rPr>
              <w:br w:type="textWrapping"/>
            </w:r>
            <w:r>
              <w:rPr>
                <w:rFonts w:hint="eastAsia" w:ascii="宋体" w:hAnsi="宋体" w:cs="宋体"/>
                <w:kern w:val="0"/>
                <w:sz w:val="20"/>
                <w:szCs w:val="20"/>
              </w:rPr>
              <w:t>工作电压：自带机箱和供电电源（AC220V输入），工作电压DC 12V，功耗≤4W（不带负载）</w:t>
            </w:r>
            <w:r>
              <w:rPr>
                <w:rFonts w:hint="eastAsia" w:ascii="宋体" w:hAnsi="宋体" w:cs="宋体"/>
                <w:kern w:val="0"/>
                <w:sz w:val="20"/>
                <w:szCs w:val="20"/>
              </w:rPr>
              <w:br w:type="textWrapping"/>
            </w:r>
            <w:r>
              <w:rPr>
                <w:rFonts w:hint="eastAsia" w:ascii="宋体" w:hAnsi="宋体" w:cs="宋体"/>
                <w:kern w:val="0"/>
                <w:sz w:val="20"/>
                <w:szCs w:val="20"/>
              </w:rPr>
              <w:t>机箱尺寸：345mm（高）x370mm（宽）x90mm（厚）</w:t>
            </w:r>
            <w:r>
              <w:rPr>
                <w:rFonts w:hint="eastAsia" w:ascii="宋体" w:hAnsi="宋体" w:cs="宋体"/>
                <w:kern w:val="0"/>
                <w:sz w:val="20"/>
                <w:szCs w:val="20"/>
              </w:rPr>
              <w:br w:type="textWrapping"/>
            </w:r>
            <w:r>
              <w:rPr>
                <w:rFonts w:hint="eastAsia" w:ascii="宋体" w:hAnsi="宋体" w:cs="宋体"/>
                <w:kern w:val="0"/>
                <w:sz w:val="20"/>
                <w:szCs w:val="20"/>
              </w:rPr>
              <w:t>支持蓄电池（303700655 OT7-12蓄电池）接入，设备本身不含蓄电池；</w:t>
            </w:r>
            <w:r>
              <w:rPr>
                <w:rFonts w:hint="eastAsia" w:ascii="宋体" w:hAnsi="宋体" w:cs="宋体"/>
                <w:kern w:val="0"/>
                <w:sz w:val="20"/>
                <w:szCs w:val="20"/>
              </w:rPr>
              <w:br w:type="textWrapping"/>
            </w:r>
            <w:r>
              <w:rPr>
                <w:rFonts w:hint="eastAsia" w:ascii="宋体" w:hAnsi="宋体" w:cs="宋体"/>
                <w:kern w:val="0"/>
                <w:sz w:val="20"/>
                <w:szCs w:val="20"/>
              </w:rPr>
              <w:t>主机应具有应急响应功能，可应急开启和应急复位。</w:t>
            </w:r>
            <w:r>
              <w:rPr>
                <w:rFonts w:hint="eastAsia" w:ascii="宋体" w:hAnsi="宋体" w:cs="宋体"/>
                <w:kern w:val="0"/>
                <w:sz w:val="20"/>
                <w:szCs w:val="20"/>
              </w:rPr>
              <w:br w:type="textWrapping"/>
            </w:r>
            <w:r>
              <w:rPr>
                <w:rFonts w:hint="eastAsia" w:ascii="宋体" w:hAnsi="宋体" w:cs="宋体"/>
                <w:kern w:val="0"/>
                <w:sz w:val="20"/>
                <w:szCs w:val="20"/>
              </w:rPr>
              <w:t xml:space="preserve">系统平台应具有视频联动报警功能。 </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5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海康威视、大华、科拓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96</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门禁读卡器</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1、设备外观：采用7英寸LCD触摸显示屏，200万像素双目摄像头，面部识别距离0.2-3m，支持照片视频防假；</w:t>
            </w:r>
            <w:r>
              <w:rPr>
                <w:rFonts w:hint="eastAsia" w:ascii="宋体" w:hAnsi="宋体" w:cs="宋体"/>
                <w:kern w:val="0"/>
                <w:sz w:val="20"/>
                <w:szCs w:val="20"/>
              </w:rPr>
              <w:br w:type="textWrapping"/>
            </w:r>
            <w:r>
              <w:rPr>
                <w:rFonts w:hint="eastAsia" w:ascii="宋体" w:hAnsi="宋体" w:cs="宋体"/>
                <w:kern w:val="0"/>
                <w:sz w:val="20"/>
                <w:szCs w:val="20"/>
              </w:rPr>
              <w:t>2、设备容量：支持6000张人脸白名单，1：N人脸比对时间＜0.2S/人，支持6000张卡片，50000条记录；</w:t>
            </w:r>
            <w:r>
              <w:rPr>
                <w:rFonts w:hint="eastAsia" w:ascii="宋体" w:hAnsi="宋体" w:cs="宋体"/>
                <w:kern w:val="0"/>
                <w:sz w:val="20"/>
                <w:szCs w:val="20"/>
              </w:rPr>
              <w:br w:type="textWrapping"/>
            </w:r>
            <w:r>
              <w:rPr>
                <w:rFonts w:hint="eastAsia" w:ascii="宋体" w:hAnsi="宋体" w:cs="宋体"/>
                <w:kern w:val="0"/>
                <w:sz w:val="20"/>
                <w:szCs w:val="20"/>
              </w:rPr>
              <w:t>3、认证方式：支持人脸、刷卡、密码（超级密码）及其组合的认证方式；可读取Mifare卡（IC卡）、CPU卡序列号/内容、身份证序列号；</w:t>
            </w:r>
            <w:r>
              <w:rPr>
                <w:rFonts w:hint="eastAsia" w:ascii="宋体" w:hAnsi="宋体" w:cs="宋体"/>
                <w:kern w:val="0"/>
                <w:sz w:val="20"/>
                <w:szCs w:val="20"/>
              </w:rPr>
              <w:br w:type="textWrapping"/>
            </w:r>
            <w:r>
              <w:rPr>
                <w:rFonts w:hint="eastAsia" w:ascii="宋体" w:hAnsi="宋体" w:cs="宋体"/>
                <w:kern w:val="0"/>
                <w:sz w:val="20"/>
                <w:szCs w:val="20"/>
              </w:rPr>
              <w:t>4、通讯方式：上行通讯为TCP/IP；支持外接RS485，Wiegand副读卡器（不支持外接指纹读卡器）；基线支持标准韦根34/26；</w:t>
            </w:r>
            <w:r>
              <w:rPr>
                <w:rFonts w:hint="eastAsia" w:ascii="宋体" w:hAnsi="宋体" w:cs="宋体"/>
                <w:kern w:val="0"/>
                <w:sz w:val="20"/>
                <w:szCs w:val="20"/>
              </w:rPr>
              <w:br w:type="textWrapping"/>
            </w:r>
            <w:r>
              <w:rPr>
                <w:rFonts w:hint="eastAsia" w:ascii="宋体" w:hAnsi="宋体" w:cs="宋体"/>
                <w:kern w:val="0"/>
                <w:sz w:val="20"/>
                <w:szCs w:val="20"/>
              </w:rPr>
              <w:t>5、视频对讲：支持与云眸、4200客户端、主副室内分机、管理机的视频对讲功能；支持远程视频预览功能，可以通过RTSP协议输出视频码流，编码格式H.264；</w:t>
            </w:r>
            <w:r>
              <w:rPr>
                <w:rFonts w:hint="eastAsia" w:ascii="宋体" w:hAnsi="宋体" w:cs="宋体"/>
                <w:kern w:val="0"/>
                <w:sz w:val="20"/>
                <w:szCs w:val="20"/>
              </w:rPr>
              <w:br w:type="textWrapping"/>
            </w:r>
            <w:r>
              <w:rPr>
                <w:rFonts w:hint="eastAsia" w:ascii="宋体" w:hAnsi="宋体" w:cs="宋体"/>
                <w:kern w:val="0"/>
                <w:sz w:val="20"/>
                <w:szCs w:val="20"/>
              </w:rPr>
              <w:t>6、输入接口：LAN*1、RS485*1、wiegand * 1、USB*1、门磁*1、报警输入*2、防拆*1、开门按钮*1；</w:t>
            </w:r>
            <w:r>
              <w:rPr>
                <w:rFonts w:hint="eastAsia" w:ascii="宋体" w:hAnsi="宋体" w:cs="宋体"/>
                <w:kern w:val="0"/>
                <w:sz w:val="20"/>
                <w:szCs w:val="20"/>
              </w:rPr>
              <w:br w:type="textWrapping"/>
            </w:r>
            <w:r>
              <w:rPr>
                <w:rFonts w:hint="eastAsia" w:ascii="宋体" w:hAnsi="宋体" w:cs="宋体"/>
                <w:kern w:val="0"/>
                <w:sz w:val="20"/>
                <w:szCs w:val="20"/>
              </w:rPr>
              <w:t>7、输出接口：电锁*1个，报警输出*1个；</w:t>
            </w:r>
            <w:r>
              <w:rPr>
                <w:rFonts w:hint="eastAsia" w:ascii="宋体" w:hAnsi="宋体" w:cs="宋体"/>
                <w:kern w:val="0"/>
                <w:sz w:val="20"/>
                <w:szCs w:val="20"/>
              </w:rPr>
              <w:br w:type="textWrapping"/>
            </w:r>
            <w:r>
              <w:rPr>
                <w:rFonts w:hint="eastAsia" w:ascii="宋体" w:hAnsi="宋体" w:cs="宋体"/>
                <w:kern w:val="0"/>
                <w:sz w:val="20"/>
                <w:szCs w:val="20"/>
              </w:rPr>
              <w:t>8、工作电压： DC 12V/2A，不自带电源；</w:t>
            </w:r>
            <w:r>
              <w:rPr>
                <w:rFonts w:hint="eastAsia" w:ascii="宋体" w:hAnsi="宋体" w:cs="宋体"/>
                <w:kern w:val="0"/>
                <w:sz w:val="20"/>
                <w:szCs w:val="20"/>
              </w:rPr>
              <w:br w:type="textWrapping"/>
            </w:r>
            <w:r>
              <w:rPr>
                <w:rFonts w:hint="eastAsia" w:ascii="宋体" w:hAnsi="宋体" w:cs="宋体"/>
                <w:kern w:val="0"/>
                <w:sz w:val="20"/>
                <w:szCs w:val="20"/>
              </w:rPr>
              <w:t>9、使用环境：室内外环境，室外使用必须搭配遮阳罩；</w:t>
            </w:r>
            <w:r>
              <w:rPr>
                <w:rFonts w:hint="eastAsia" w:ascii="宋体" w:hAnsi="宋体" w:cs="宋体"/>
                <w:kern w:val="0"/>
                <w:sz w:val="20"/>
                <w:szCs w:val="20"/>
              </w:rPr>
              <w:br w:type="textWrapping"/>
            </w:r>
            <w:r>
              <w:rPr>
                <w:rFonts w:hint="eastAsia" w:ascii="宋体" w:hAnsi="宋体" w:cs="宋体"/>
                <w:kern w:val="0"/>
                <w:sz w:val="20"/>
                <w:szCs w:val="20"/>
              </w:rPr>
              <w:t>10、安装方式：标配金属安装挂板，支持明装、86底盒安装；</w:t>
            </w:r>
            <w:r>
              <w:rPr>
                <w:rFonts w:hint="eastAsia" w:ascii="宋体" w:hAnsi="宋体" w:cs="宋体"/>
                <w:kern w:val="0"/>
                <w:sz w:val="20"/>
                <w:szCs w:val="20"/>
              </w:rPr>
              <w:br w:type="textWrapping"/>
            </w:r>
            <w:r>
              <w:rPr>
                <w:rFonts w:hint="eastAsia" w:ascii="宋体" w:hAnsi="宋体" w:cs="宋体"/>
                <w:kern w:val="0"/>
                <w:sz w:val="20"/>
                <w:szCs w:val="20"/>
              </w:rPr>
              <w:t>11、产品尺寸：239mm*116.5mm*33mm；</w:t>
            </w:r>
            <w:r>
              <w:rPr>
                <w:rFonts w:hint="eastAsia" w:ascii="宋体" w:hAnsi="宋体" w:cs="宋体"/>
                <w:kern w:val="0"/>
                <w:sz w:val="20"/>
                <w:szCs w:val="20"/>
              </w:rPr>
              <w:br w:type="textWrapping"/>
            </w:r>
            <w:r>
              <w:rPr>
                <w:rFonts w:hint="eastAsia" w:ascii="宋体" w:hAnsi="宋体" w:cs="宋体"/>
                <w:kern w:val="0"/>
                <w:sz w:val="20"/>
                <w:szCs w:val="20"/>
              </w:rPr>
              <w:t>12、工作温度：-30~65℃。</w:t>
            </w:r>
            <w:r>
              <w:rPr>
                <w:rFonts w:hint="eastAsia" w:ascii="宋体" w:hAnsi="宋体" w:cs="宋体"/>
                <w:kern w:val="0"/>
                <w:sz w:val="20"/>
                <w:szCs w:val="20"/>
              </w:rPr>
              <w:br w:type="textWrapping"/>
            </w:r>
            <w:r>
              <w:rPr>
                <w:rFonts w:hint="eastAsia" w:ascii="宋体" w:hAnsi="宋体" w:cs="宋体"/>
                <w:kern w:val="0"/>
                <w:sz w:val="20"/>
                <w:szCs w:val="20"/>
              </w:rPr>
              <w:t>13.设备支持视频对讲功能，可跟平台或客户端、室内机、管理机、手机APP进行视频对讲；同时支持管理中心远程视频预览功能； 支持接入NVR设备，实现视频监控录像 。</w:t>
            </w:r>
            <w:r>
              <w:rPr>
                <w:rFonts w:hint="eastAsia" w:ascii="宋体" w:hAnsi="宋体" w:cs="宋体"/>
                <w:kern w:val="0"/>
                <w:sz w:val="20"/>
                <w:szCs w:val="20"/>
              </w:rPr>
              <w:br w:type="textWrapping"/>
            </w:r>
            <w:r>
              <w:rPr>
                <w:rFonts w:hint="eastAsia" w:ascii="宋体" w:hAnsi="宋体" w:cs="宋体"/>
                <w:kern w:val="0"/>
                <w:sz w:val="20"/>
                <w:szCs w:val="20"/>
              </w:rPr>
              <w:t>14.设备支持以下认证方式：人脸识别、刷卡、二维码、密码； 支持上述任意一种、任意两组组合、任意三组组合的认证开门； 当设备与门锁联动时，应对识别媒介（人脸、指纹、卡、密码等）的使用权限进行设置，根据使用场景和组合认证方式实现开门功能：多重卡认证开门、多重卡+中心远程认证开门、多重卡+超级密码开门、多重卡+超级卡开门、 首卡开门、超级权限开门、管理中心远程开门、APP远程开门、室内机及管理机远程开门；支持普通卡、来宾卡、胁迫卡、超级卡、残疾人卡、巡更卡、黑名单卡等多种类型用户权限设置 支持按时间分时段管控门禁权限，支持255组时段计划模板，支持1024个假日计划管理；支持常开、常闭时段管理；支持首卡开门管理。</w:t>
            </w:r>
            <w:r>
              <w:rPr>
                <w:rFonts w:hint="eastAsia" w:ascii="宋体" w:hAnsi="宋体" w:cs="宋体"/>
                <w:kern w:val="0"/>
                <w:sz w:val="20"/>
                <w:szCs w:val="20"/>
              </w:rPr>
              <w:br w:type="textWrapping"/>
            </w:r>
            <w:r>
              <w:rPr>
                <w:rFonts w:hint="eastAsia" w:ascii="宋体" w:hAnsi="宋体" w:cs="宋体"/>
                <w:kern w:val="0"/>
                <w:sz w:val="20"/>
                <w:szCs w:val="20"/>
              </w:rPr>
              <w:t>15.1.支持在0.001lux低照度无补光环境下正常实现人脸识别；2.人脸识别距离：0.2~3m，识别高度范围为0.9~2.2m；3.人脸识别误识率≤0.01%的条件下，准确率99.85%；4.人脸比对平均时间≤0.2s；5.支持防假体攻击功能，对视频、电子照片、打印照片中的人脸应不能进行人脸识别。</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5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海康威视、大华、科拓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97</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出入门按钮</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1、人体非接触感应输出信号</w:t>
            </w:r>
            <w:r>
              <w:rPr>
                <w:rFonts w:hint="eastAsia" w:ascii="宋体" w:hAnsi="宋体" w:cs="宋体"/>
                <w:kern w:val="0"/>
                <w:sz w:val="20"/>
                <w:szCs w:val="20"/>
              </w:rPr>
              <w:br w:type="textWrapping"/>
            </w:r>
            <w:r>
              <w:rPr>
                <w:rFonts w:hint="eastAsia" w:ascii="宋体" w:hAnsi="宋体" w:cs="宋体"/>
                <w:kern w:val="0"/>
                <w:sz w:val="20"/>
                <w:szCs w:val="20"/>
              </w:rPr>
              <w:t>2、面板材质:不锈钢面板</w:t>
            </w:r>
            <w:r>
              <w:rPr>
                <w:rFonts w:hint="eastAsia" w:ascii="宋体" w:hAnsi="宋体" w:cs="宋体"/>
                <w:kern w:val="0"/>
                <w:sz w:val="20"/>
                <w:szCs w:val="20"/>
              </w:rPr>
              <w:br w:type="textWrapping"/>
            </w:r>
            <w:r>
              <w:rPr>
                <w:rFonts w:hint="eastAsia" w:ascii="宋体" w:hAnsi="宋体" w:cs="宋体"/>
                <w:kern w:val="0"/>
                <w:sz w:val="20"/>
                <w:szCs w:val="20"/>
              </w:rPr>
              <w:t>3、耐用测试:一百万次老化测试合格</w:t>
            </w:r>
            <w:r>
              <w:rPr>
                <w:rFonts w:hint="eastAsia" w:ascii="宋体" w:hAnsi="宋体" w:cs="宋体"/>
                <w:kern w:val="0"/>
                <w:sz w:val="20"/>
                <w:szCs w:val="20"/>
              </w:rPr>
              <w:br w:type="textWrapping"/>
            </w:r>
            <w:r>
              <w:rPr>
                <w:rFonts w:hint="eastAsia" w:ascii="宋体" w:hAnsi="宋体" w:cs="宋体"/>
                <w:kern w:val="0"/>
                <w:sz w:val="20"/>
                <w:szCs w:val="20"/>
              </w:rPr>
              <w:t>4、LED指示灯状态:   圆形指示灯呈红色为待机状态， 圆形指示灯呈绿色为动作状态；</w:t>
            </w:r>
            <w:r>
              <w:rPr>
                <w:rFonts w:hint="eastAsia" w:ascii="宋体" w:hAnsi="宋体" w:cs="宋体"/>
                <w:kern w:val="0"/>
                <w:sz w:val="20"/>
                <w:szCs w:val="20"/>
              </w:rPr>
              <w:br w:type="textWrapping"/>
            </w:r>
            <w:r>
              <w:rPr>
                <w:rFonts w:hint="eastAsia" w:ascii="宋体" w:hAnsi="宋体" w:cs="宋体"/>
                <w:kern w:val="0"/>
                <w:sz w:val="20"/>
                <w:szCs w:val="20"/>
              </w:rPr>
              <w:t>5、开关延时时间：1S-25S</w:t>
            </w:r>
            <w:r>
              <w:rPr>
                <w:rFonts w:hint="eastAsia" w:ascii="宋体" w:hAnsi="宋体" w:cs="宋体"/>
                <w:kern w:val="0"/>
                <w:sz w:val="20"/>
                <w:szCs w:val="20"/>
              </w:rPr>
              <w:br w:type="textWrapping"/>
            </w:r>
            <w:r>
              <w:rPr>
                <w:rFonts w:hint="eastAsia" w:ascii="宋体" w:hAnsi="宋体" w:cs="宋体"/>
                <w:kern w:val="0"/>
                <w:sz w:val="20"/>
                <w:szCs w:val="20"/>
              </w:rPr>
              <w:t>6、接点输出: NO、NC、COM接点</w:t>
            </w:r>
            <w:r>
              <w:rPr>
                <w:rFonts w:hint="eastAsia" w:ascii="宋体" w:hAnsi="宋体" w:cs="宋体"/>
                <w:kern w:val="0"/>
                <w:sz w:val="20"/>
                <w:szCs w:val="20"/>
              </w:rPr>
              <w:br w:type="textWrapping"/>
            </w:r>
            <w:r>
              <w:rPr>
                <w:rFonts w:hint="eastAsia" w:ascii="宋体" w:hAnsi="宋体" w:cs="宋体"/>
                <w:kern w:val="0"/>
                <w:sz w:val="20"/>
                <w:szCs w:val="20"/>
              </w:rPr>
              <w:t>7、最大感应距离: 4~ 12cm(可调)</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5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海康威视、大华、科拓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98</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电控锁</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xml:space="preserve">开锁电压：≧12V </w:t>
            </w:r>
            <w:r>
              <w:rPr>
                <w:rFonts w:hint="eastAsia" w:ascii="宋体" w:hAnsi="宋体" w:cs="宋体"/>
                <w:kern w:val="0"/>
                <w:sz w:val="20"/>
                <w:szCs w:val="20"/>
              </w:rPr>
              <w:br w:type="textWrapping"/>
            </w:r>
            <w:r>
              <w:rPr>
                <w:rFonts w:hint="eastAsia" w:ascii="宋体" w:hAnsi="宋体" w:cs="宋体"/>
                <w:kern w:val="0"/>
                <w:sz w:val="20"/>
                <w:szCs w:val="20"/>
              </w:rPr>
              <w:t xml:space="preserve">工作电流：＜3A </w:t>
            </w:r>
            <w:r>
              <w:rPr>
                <w:rFonts w:hint="eastAsia" w:ascii="宋体" w:hAnsi="宋体" w:cs="宋体"/>
                <w:kern w:val="0"/>
                <w:sz w:val="20"/>
                <w:szCs w:val="20"/>
              </w:rPr>
              <w:br w:type="textWrapping"/>
            </w:r>
            <w:r>
              <w:rPr>
                <w:rFonts w:hint="eastAsia" w:ascii="宋体" w:hAnsi="宋体" w:cs="宋体"/>
                <w:kern w:val="0"/>
                <w:sz w:val="20"/>
                <w:szCs w:val="20"/>
              </w:rPr>
              <w:t xml:space="preserve">功率：≧12W </w:t>
            </w:r>
            <w:r>
              <w:rPr>
                <w:rFonts w:hint="eastAsia" w:ascii="宋体" w:hAnsi="宋体" w:cs="宋体"/>
                <w:kern w:val="0"/>
                <w:sz w:val="20"/>
                <w:szCs w:val="20"/>
              </w:rPr>
              <w:br w:type="textWrapping"/>
            </w:r>
            <w:r>
              <w:rPr>
                <w:rFonts w:hint="eastAsia" w:ascii="宋体" w:hAnsi="宋体" w:cs="宋体"/>
                <w:kern w:val="0"/>
                <w:sz w:val="20"/>
                <w:szCs w:val="20"/>
              </w:rPr>
              <w:t xml:space="preserve">开锁触发时间：≧100ms </w:t>
            </w:r>
            <w:r>
              <w:rPr>
                <w:rFonts w:hint="eastAsia" w:ascii="宋体" w:hAnsi="宋体" w:cs="宋体"/>
                <w:kern w:val="0"/>
                <w:sz w:val="20"/>
                <w:szCs w:val="20"/>
              </w:rPr>
              <w:br w:type="textWrapping"/>
            </w:r>
            <w:r>
              <w:rPr>
                <w:rFonts w:hint="eastAsia" w:ascii="宋体" w:hAnsi="宋体" w:cs="宋体"/>
                <w:kern w:val="0"/>
                <w:sz w:val="20"/>
                <w:szCs w:val="20"/>
              </w:rPr>
              <w:t xml:space="preserve">电控、匙旋、手动开锁之选择 </w:t>
            </w:r>
            <w:r>
              <w:rPr>
                <w:rFonts w:hint="eastAsia" w:ascii="宋体" w:hAnsi="宋体" w:cs="宋体"/>
                <w:kern w:val="0"/>
                <w:sz w:val="20"/>
                <w:szCs w:val="20"/>
              </w:rPr>
              <w:br w:type="textWrapping"/>
            </w:r>
            <w:r>
              <w:rPr>
                <w:rFonts w:hint="eastAsia" w:ascii="宋体" w:hAnsi="宋体" w:cs="宋体"/>
                <w:kern w:val="0"/>
                <w:sz w:val="20"/>
                <w:szCs w:val="20"/>
              </w:rPr>
              <w:t xml:space="preserve">正、反舌可调方向 有滚轮小舌供选择 左正单头电镀电控锁 </w:t>
            </w:r>
            <w:r>
              <w:rPr>
                <w:rFonts w:hint="eastAsia" w:ascii="宋体" w:hAnsi="宋体" w:cs="宋体"/>
                <w:kern w:val="0"/>
                <w:sz w:val="20"/>
                <w:szCs w:val="20"/>
              </w:rPr>
              <w:br w:type="textWrapping"/>
            </w:r>
            <w:r>
              <w:rPr>
                <w:rFonts w:hint="eastAsia" w:ascii="宋体" w:hAnsi="宋体" w:cs="宋体"/>
                <w:kern w:val="0"/>
                <w:sz w:val="20"/>
                <w:szCs w:val="20"/>
              </w:rPr>
              <w:t xml:space="preserve">颜色：防不锈钢拉丝 </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5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海康威视、大华、科拓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99</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信息采集仪</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1、3.97英寸触摸显示屏，屏幕分辨率800*480；</w:t>
            </w:r>
            <w:r>
              <w:rPr>
                <w:rFonts w:hint="eastAsia" w:ascii="宋体" w:hAnsi="宋体" w:cs="宋体"/>
                <w:kern w:val="0"/>
                <w:sz w:val="20"/>
                <w:szCs w:val="20"/>
              </w:rPr>
              <w:br w:type="textWrapping"/>
            </w:r>
            <w:r>
              <w:rPr>
                <w:rFonts w:hint="eastAsia" w:ascii="宋体" w:hAnsi="宋体" w:cs="宋体"/>
                <w:kern w:val="0"/>
                <w:sz w:val="20"/>
                <w:szCs w:val="20"/>
              </w:rPr>
              <w:t>2、采用200万双目摄像头，有照片视频防假功能；</w:t>
            </w:r>
            <w:r>
              <w:rPr>
                <w:rFonts w:hint="eastAsia" w:ascii="宋体" w:hAnsi="宋体" w:cs="宋体"/>
                <w:kern w:val="0"/>
                <w:sz w:val="20"/>
                <w:szCs w:val="20"/>
              </w:rPr>
              <w:br w:type="textWrapping"/>
            </w:r>
            <w:r>
              <w:rPr>
                <w:rFonts w:hint="eastAsia" w:ascii="宋体" w:hAnsi="宋体" w:cs="宋体"/>
                <w:kern w:val="0"/>
                <w:sz w:val="20"/>
                <w:szCs w:val="20"/>
              </w:rPr>
              <w:t>3、支持人脸采集、卡片录入（ID/Mifare/普通CPU/国密CPU卡/二三代身份证序列号）；</w:t>
            </w:r>
            <w:r>
              <w:rPr>
                <w:rFonts w:hint="eastAsia" w:ascii="宋体" w:hAnsi="宋体" w:cs="宋体"/>
                <w:kern w:val="0"/>
                <w:sz w:val="20"/>
                <w:szCs w:val="20"/>
              </w:rPr>
              <w:br w:type="textWrapping"/>
            </w:r>
            <w:r>
              <w:rPr>
                <w:rFonts w:hint="eastAsia" w:ascii="宋体" w:hAnsi="宋体" w:cs="宋体"/>
                <w:kern w:val="0"/>
                <w:sz w:val="20"/>
                <w:szCs w:val="20"/>
              </w:rPr>
              <w:t>4、支持有线网络、无线WiFi、USB口通信；</w:t>
            </w:r>
            <w:r>
              <w:rPr>
                <w:rFonts w:hint="eastAsia" w:ascii="宋体" w:hAnsi="宋体" w:cs="宋体"/>
                <w:kern w:val="0"/>
                <w:sz w:val="20"/>
                <w:szCs w:val="20"/>
              </w:rPr>
              <w:br w:type="textWrapping"/>
            </w:r>
            <w:r>
              <w:rPr>
                <w:rFonts w:hint="eastAsia" w:ascii="宋体" w:hAnsi="宋体" w:cs="宋体"/>
                <w:kern w:val="0"/>
                <w:sz w:val="20"/>
                <w:szCs w:val="20"/>
              </w:rPr>
              <w:t>5、支持在线采集，通过网络协议或USB口对接到平台，平台进行在线采集，采集信息实时上传；</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海康威视、大华、科拓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100</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室外体温筛查识别</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智能人体测温双光筒机</w:t>
            </w:r>
            <w:r>
              <w:rPr>
                <w:rFonts w:hint="eastAsia" w:ascii="宋体" w:hAnsi="宋体" w:cs="宋体"/>
                <w:kern w:val="0"/>
                <w:sz w:val="20"/>
                <w:szCs w:val="20"/>
              </w:rPr>
              <w:br w:type="textWrapping"/>
            </w:r>
            <w:r>
              <w:rPr>
                <w:rFonts w:hint="eastAsia" w:ascii="宋体" w:hAnsi="宋体" w:cs="宋体"/>
                <w:kern w:val="0"/>
                <w:sz w:val="20"/>
                <w:szCs w:val="20"/>
              </w:rPr>
              <w:t>热成像：分辨率160 × 120；</w:t>
            </w:r>
            <w:r>
              <w:rPr>
                <w:rFonts w:hint="eastAsia" w:ascii="宋体" w:hAnsi="宋体" w:cs="宋体"/>
                <w:kern w:val="0"/>
                <w:sz w:val="20"/>
                <w:szCs w:val="20"/>
              </w:rPr>
              <w:br w:type="textWrapping"/>
            </w:r>
            <w:r>
              <w:rPr>
                <w:rFonts w:hint="eastAsia" w:ascii="宋体" w:hAnsi="宋体" w:cs="宋体"/>
                <w:kern w:val="0"/>
                <w:sz w:val="20"/>
                <w:szCs w:val="20"/>
              </w:rPr>
              <w:t>焦距10mm；</w:t>
            </w:r>
            <w:r>
              <w:rPr>
                <w:rFonts w:hint="eastAsia" w:ascii="宋体" w:hAnsi="宋体" w:cs="宋体"/>
                <w:kern w:val="0"/>
                <w:sz w:val="20"/>
                <w:szCs w:val="20"/>
              </w:rPr>
              <w:br w:type="textWrapping"/>
            </w:r>
            <w:r>
              <w:rPr>
                <w:rFonts w:hint="eastAsia" w:ascii="宋体" w:hAnsi="宋体" w:cs="宋体"/>
                <w:kern w:val="0"/>
                <w:sz w:val="20"/>
                <w:szCs w:val="20"/>
              </w:rPr>
              <w:t>视场角：15.96°×12°;</w:t>
            </w:r>
            <w:r>
              <w:rPr>
                <w:rFonts w:hint="eastAsia" w:ascii="宋体" w:hAnsi="宋体" w:cs="宋体"/>
                <w:kern w:val="0"/>
                <w:sz w:val="20"/>
                <w:szCs w:val="20"/>
              </w:rPr>
              <w:br w:type="textWrapping"/>
            </w:r>
            <w:r>
              <w:rPr>
                <w:rFonts w:hint="eastAsia" w:ascii="宋体" w:hAnsi="宋体" w:cs="宋体"/>
                <w:kern w:val="0"/>
                <w:sz w:val="20"/>
                <w:szCs w:val="20"/>
              </w:rPr>
              <w:t>可见光：分辨率2688*1520；</w:t>
            </w:r>
            <w:r>
              <w:rPr>
                <w:rFonts w:hint="eastAsia" w:ascii="宋体" w:hAnsi="宋体" w:cs="宋体"/>
                <w:kern w:val="0"/>
                <w:sz w:val="20"/>
                <w:szCs w:val="20"/>
              </w:rPr>
              <w:br w:type="textWrapping"/>
            </w:r>
            <w:r>
              <w:rPr>
                <w:rFonts w:hint="eastAsia" w:ascii="宋体" w:hAnsi="宋体" w:cs="宋体"/>
                <w:kern w:val="0"/>
                <w:sz w:val="20"/>
                <w:szCs w:val="20"/>
              </w:rPr>
              <w:t>焦距8mm；</w:t>
            </w:r>
            <w:r>
              <w:rPr>
                <w:rFonts w:hint="eastAsia" w:ascii="宋体" w:hAnsi="宋体" w:cs="宋体"/>
                <w:kern w:val="0"/>
                <w:sz w:val="20"/>
                <w:szCs w:val="20"/>
              </w:rPr>
              <w:br w:type="textWrapping"/>
            </w:r>
            <w:r>
              <w:rPr>
                <w:rFonts w:hint="eastAsia" w:ascii="宋体" w:hAnsi="宋体" w:cs="宋体"/>
                <w:kern w:val="0"/>
                <w:sz w:val="20"/>
                <w:szCs w:val="20"/>
              </w:rPr>
              <w:t>图像功能：双光融合</w:t>
            </w:r>
            <w:r>
              <w:rPr>
                <w:rFonts w:hint="eastAsia" w:ascii="宋体" w:hAnsi="宋体" w:cs="宋体"/>
                <w:kern w:val="0"/>
                <w:sz w:val="20"/>
                <w:szCs w:val="20"/>
              </w:rPr>
              <w:br w:type="textWrapping"/>
            </w:r>
            <w:r>
              <w:rPr>
                <w:rFonts w:hint="eastAsia" w:ascii="宋体" w:hAnsi="宋体" w:cs="宋体"/>
                <w:kern w:val="0"/>
                <w:sz w:val="20"/>
                <w:szCs w:val="20"/>
              </w:rPr>
              <w:t>联动报警：支持联动白光报警、支持联动声音报警</w:t>
            </w:r>
            <w:r>
              <w:rPr>
                <w:rFonts w:hint="eastAsia" w:ascii="宋体" w:hAnsi="宋体" w:cs="宋体"/>
                <w:kern w:val="0"/>
                <w:sz w:val="20"/>
                <w:szCs w:val="20"/>
              </w:rPr>
              <w:br w:type="textWrapping"/>
            </w:r>
            <w:r>
              <w:rPr>
                <w:rFonts w:hint="eastAsia" w:ascii="宋体" w:hAnsi="宋体" w:cs="宋体"/>
                <w:kern w:val="0"/>
                <w:sz w:val="20"/>
                <w:szCs w:val="20"/>
              </w:rPr>
              <w:t>最佳人体测温距离：2.5米；宽度：0.7米</w:t>
            </w:r>
            <w:r>
              <w:rPr>
                <w:rFonts w:hint="eastAsia" w:ascii="宋体" w:hAnsi="宋体" w:cs="宋体"/>
                <w:kern w:val="0"/>
                <w:sz w:val="20"/>
                <w:szCs w:val="20"/>
              </w:rPr>
              <w:br w:type="textWrapping"/>
            </w:r>
            <w:r>
              <w:rPr>
                <w:rFonts w:hint="eastAsia" w:ascii="宋体" w:hAnsi="宋体" w:cs="宋体"/>
                <w:kern w:val="0"/>
                <w:sz w:val="20"/>
                <w:szCs w:val="20"/>
              </w:rPr>
              <w:t>保证测温精度人体测温有效距离范围：2.0米-4.5米</w:t>
            </w:r>
            <w:r>
              <w:rPr>
                <w:rFonts w:hint="eastAsia" w:ascii="宋体" w:hAnsi="宋体" w:cs="宋体"/>
                <w:kern w:val="0"/>
                <w:sz w:val="20"/>
                <w:szCs w:val="20"/>
              </w:rPr>
              <w:br w:type="textWrapping"/>
            </w:r>
            <w:r>
              <w:rPr>
                <w:rFonts w:hint="eastAsia" w:ascii="宋体" w:hAnsi="宋体" w:cs="宋体"/>
                <w:kern w:val="0"/>
                <w:sz w:val="20"/>
                <w:szCs w:val="20"/>
              </w:rPr>
              <w:t xml:space="preserve">设备支持人脸抓拍，支持最多30人同时检测体温 </w:t>
            </w:r>
            <w:r>
              <w:rPr>
                <w:rFonts w:hint="eastAsia" w:ascii="宋体" w:hAnsi="宋体" w:cs="宋体"/>
                <w:kern w:val="0"/>
                <w:sz w:val="20"/>
                <w:szCs w:val="20"/>
              </w:rPr>
              <w:br w:type="textWrapping"/>
            </w:r>
            <w:r>
              <w:rPr>
                <w:rFonts w:hint="eastAsia" w:ascii="宋体" w:hAnsi="宋体" w:cs="宋体"/>
                <w:kern w:val="0"/>
                <w:sz w:val="20"/>
                <w:szCs w:val="20"/>
              </w:rPr>
              <w:t>支持口罩识别</w:t>
            </w:r>
            <w:r>
              <w:rPr>
                <w:rFonts w:hint="eastAsia" w:ascii="宋体" w:hAnsi="宋体" w:cs="宋体"/>
                <w:kern w:val="0"/>
                <w:sz w:val="20"/>
                <w:szCs w:val="20"/>
              </w:rPr>
              <w:br w:type="textWrapping"/>
            </w:r>
            <w:r>
              <w:rPr>
                <w:rFonts w:hint="eastAsia" w:ascii="宋体" w:hAnsi="宋体" w:cs="宋体"/>
                <w:kern w:val="0"/>
                <w:sz w:val="20"/>
                <w:szCs w:val="20"/>
              </w:rPr>
              <w:t>测温精度:（方案可选）：无黑体方案精度±0.5℃；加黑体方案精度±0.3℃</w:t>
            </w:r>
            <w:r>
              <w:rPr>
                <w:rFonts w:hint="eastAsia" w:ascii="宋体" w:hAnsi="宋体" w:cs="宋体"/>
                <w:kern w:val="0"/>
                <w:sz w:val="20"/>
                <w:szCs w:val="20"/>
              </w:rPr>
              <w:br w:type="textWrapping"/>
            </w:r>
            <w:r>
              <w:rPr>
                <w:rFonts w:hint="eastAsia" w:ascii="宋体" w:hAnsi="宋体" w:cs="宋体"/>
                <w:kern w:val="0"/>
                <w:sz w:val="20"/>
                <w:szCs w:val="20"/>
              </w:rPr>
              <w:t>测温范围：30-45℃</w:t>
            </w:r>
            <w:r>
              <w:rPr>
                <w:rFonts w:hint="eastAsia" w:ascii="宋体" w:hAnsi="宋体" w:cs="宋体"/>
                <w:kern w:val="0"/>
                <w:sz w:val="20"/>
                <w:szCs w:val="20"/>
              </w:rPr>
              <w:br w:type="textWrapping"/>
            </w:r>
            <w:r>
              <w:rPr>
                <w:rFonts w:hint="eastAsia" w:ascii="宋体" w:hAnsi="宋体" w:cs="宋体"/>
                <w:kern w:val="0"/>
                <w:sz w:val="20"/>
                <w:szCs w:val="20"/>
              </w:rPr>
              <w:t>iSC（预览、报警、回放）</w:t>
            </w:r>
            <w:r>
              <w:rPr>
                <w:rFonts w:hint="eastAsia" w:ascii="宋体" w:hAnsi="宋体" w:cs="宋体"/>
                <w:kern w:val="0"/>
                <w:sz w:val="20"/>
                <w:szCs w:val="20"/>
              </w:rPr>
              <w:br w:type="textWrapping"/>
            </w:r>
            <w:r>
              <w:rPr>
                <w:rFonts w:hint="eastAsia" w:ascii="宋体" w:hAnsi="宋体" w:cs="宋体"/>
                <w:kern w:val="0"/>
                <w:sz w:val="20"/>
                <w:szCs w:val="20"/>
              </w:rPr>
              <w:t>工作温度：15℃-35℃，＜95% RH</w:t>
            </w:r>
            <w:r>
              <w:rPr>
                <w:rFonts w:hint="eastAsia" w:ascii="宋体" w:hAnsi="宋体" w:cs="宋体"/>
                <w:kern w:val="0"/>
                <w:sz w:val="20"/>
                <w:szCs w:val="20"/>
              </w:rPr>
              <w:br w:type="textWrapping"/>
            </w:r>
            <w:r>
              <w:rPr>
                <w:rFonts w:hint="eastAsia" w:ascii="宋体" w:hAnsi="宋体" w:cs="宋体"/>
                <w:kern w:val="0"/>
                <w:sz w:val="20"/>
                <w:szCs w:val="20"/>
              </w:rPr>
              <w:t xml:space="preserve">防护等级：IP67 </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海康威视、大华、科拓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101</w:t>
            </w:r>
          </w:p>
        </w:tc>
        <w:tc>
          <w:tcPr>
            <w:tcW w:w="425" w:type="dxa"/>
            <w:vMerge w:val="restart"/>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未来低碳</w:t>
            </w:r>
          </w:p>
        </w:tc>
        <w:tc>
          <w:tcPr>
            <w:tcW w:w="417" w:type="dxa"/>
            <w:vMerge w:val="restart"/>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充电桩</w:t>
            </w: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直流一体式充电桩</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直流60KW双枪，恒功率模块、均分、最大输出电流160A，联网刷卡计费型，带8寸显示屏，带读卡器，带线长5米200A双口充电枪,4G联网充电运营平台，含SIM卡，新旧国标兼容，含2张充电卡。</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4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网科、橡树、华芯达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102</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壁挂式交流充电桩</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1.额定功率：7KW</w:t>
            </w:r>
            <w:r>
              <w:rPr>
                <w:rFonts w:hint="eastAsia" w:ascii="宋体" w:hAnsi="宋体" w:cs="宋体"/>
                <w:kern w:val="0"/>
                <w:sz w:val="20"/>
                <w:szCs w:val="20"/>
              </w:rPr>
              <w:br w:type="textWrapping"/>
            </w:r>
            <w:r>
              <w:rPr>
                <w:rFonts w:hint="eastAsia" w:ascii="宋体" w:hAnsi="宋体" w:cs="宋体"/>
                <w:kern w:val="0"/>
                <w:sz w:val="20"/>
                <w:szCs w:val="20"/>
              </w:rPr>
              <w:t>2.输入电压：AC220V±15%</w:t>
            </w:r>
            <w:r>
              <w:rPr>
                <w:rFonts w:hint="eastAsia" w:ascii="宋体" w:hAnsi="宋体" w:cs="宋体"/>
                <w:kern w:val="0"/>
                <w:sz w:val="20"/>
                <w:szCs w:val="20"/>
              </w:rPr>
              <w:br w:type="textWrapping"/>
            </w:r>
            <w:r>
              <w:rPr>
                <w:rFonts w:hint="eastAsia" w:ascii="宋体" w:hAnsi="宋体" w:cs="宋体"/>
                <w:kern w:val="0"/>
                <w:sz w:val="20"/>
                <w:szCs w:val="20"/>
              </w:rPr>
              <w:t>3.输入模式：单相三线制</w:t>
            </w:r>
            <w:r>
              <w:rPr>
                <w:rFonts w:hint="eastAsia" w:ascii="宋体" w:hAnsi="宋体" w:cs="宋体"/>
                <w:kern w:val="0"/>
                <w:sz w:val="20"/>
                <w:szCs w:val="20"/>
              </w:rPr>
              <w:br w:type="textWrapping"/>
            </w:r>
            <w:r>
              <w:rPr>
                <w:rFonts w:hint="eastAsia" w:ascii="宋体" w:hAnsi="宋体" w:cs="宋体"/>
                <w:kern w:val="0"/>
                <w:sz w:val="20"/>
                <w:szCs w:val="20"/>
              </w:rPr>
              <w:t>4.输出电压范围选择：AC220V</w:t>
            </w:r>
            <w:r>
              <w:rPr>
                <w:rFonts w:hint="eastAsia" w:ascii="宋体" w:hAnsi="宋体" w:cs="宋体"/>
                <w:kern w:val="0"/>
                <w:sz w:val="20"/>
                <w:szCs w:val="20"/>
              </w:rPr>
              <w:br w:type="textWrapping"/>
            </w:r>
            <w:r>
              <w:rPr>
                <w:rFonts w:hint="eastAsia" w:ascii="宋体" w:hAnsi="宋体" w:cs="宋体"/>
                <w:kern w:val="0"/>
                <w:sz w:val="20"/>
                <w:szCs w:val="20"/>
              </w:rPr>
              <w:t>5.输出电流范围选择：0A～32A</w:t>
            </w:r>
            <w:r>
              <w:rPr>
                <w:rFonts w:hint="eastAsia" w:ascii="宋体" w:hAnsi="宋体" w:cs="宋体"/>
                <w:kern w:val="0"/>
                <w:sz w:val="20"/>
                <w:szCs w:val="20"/>
              </w:rPr>
              <w:br w:type="textWrapping"/>
            </w:r>
            <w:r>
              <w:rPr>
                <w:rFonts w:hint="eastAsia" w:ascii="宋体" w:hAnsi="宋体" w:cs="宋体"/>
                <w:kern w:val="0"/>
                <w:sz w:val="20"/>
                <w:szCs w:val="20"/>
              </w:rPr>
              <w:t>6.防护等级：IP55</w:t>
            </w:r>
            <w:r>
              <w:rPr>
                <w:rFonts w:hint="eastAsia" w:ascii="宋体" w:hAnsi="宋体" w:cs="宋体"/>
                <w:kern w:val="0"/>
                <w:sz w:val="20"/>
                <w:szCs w:val="20"/>
              </w:rPr>
              <w:br w:type="textWrapping"/>
            </w:r>
            <w:r>
              <w:rPr>
                <w:rFonts w:hint="eastAsia" w:ascii="宋体" w:hAnsi="宋体" w:cs="宋体"/>
                <w:kern w:val="0"/>
                <w:sz w:val="20"/>
                <w:szCs w:val="20"/>
              </w:rPr>
              <w:t>7.充电桩智能控制器对充电桩具备测量、控制与保护的功能，如运行状态监测、故障状态监测、以及充电过程的联动控制等。</w:t>
            </w:r>
            <w:r>
              <w:rPr>
                <w:rFonts w:hint="eastAsia" w:ascii="宋体" w:hAnsi="宋体" w:cs="宋体"/>
                <w:kern w:val="0"/>
                <w:sz w:val="20"/>
                <w:szCs w:val="20"/>
              </w:rPr>
              <w:br w:type="textWrapping"/>
            </w:r>
            <w:r>
              <w:rPr>
                <w:rFonts w:hint="eastAsia" w:ascii="宋体" w:hAnsi="宋体" w:cs="宋体"/>
                <w:kern w:val="0"/>
                <w:sz w:val="20"/>
                <w:szCs w:val="20"/>
              </w:rPr>
              <w:t>8.具备防雷保护、过载保护、短路保护和漏电保护功能。</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网科、橡树、华芯达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103</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集中电动车充电桩</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5口/台，防水插座</w:t>
            </w:r>
          </w:p>
          <w:p>
            <w:pPr>
              <w:widowControl/>
              <w:snapToGrid w:val="0"/>
              <w:jc w:val="left"/>
              <w:rPr>
                <w:rFonts w:ascii="宋体" w:hAnsi="宋体" w:cs="宋体"/>
                <w:b/>
                <w:bCs/>
                <w:kern w:val="0"/>
                <w:sz w:val="20"/>
                <w:szCs w:val="20"/>
              </w:rPr>
            </w:pPr>
            <w:r>
              <w:rPr>
                <w:rFonts w:hint="eastAsia" w:ascii="宋体" w:hAnsi="宋体" w:cs="宋体"/>
                <w:b/>
                <w:bCs/>
                <w:kern w:val="0"/>
                <w:sz w:val="20"/>
                <w:szCs w:val="20"/>
              </w:rPr>
              <w:t>1、充电插口至少需要满足在涉水(如雨水倒灌)环境下居民插拔使用的绝对安全，使用充电插口满足《GB/T 4208-2017 外壳防护等级(IP 代码)》IP69 等级要求的产品，充电插口需要提供第三方检测报告。</w:t>
            </w:r>
          </w:p>
          <w:p>
            <w:pPr>
              <w:widowControl/>
              <w:snapToGrid w:val="0"/>
              <w:jc w:val="left"/>
              <w:rPr>
                <w:rFonts w:hint="eastAsia" w:ascii="宋体" w:hAnsi="宋体" w:cs="宋体"/>
                <w:kern w:val="0"/>
                <w:sz w:val="20"/>
                <w:szCs w:val="20"/>
              </w:rPr>
            </w:pPr>
            <w:r>
              <w:rPr>
                <w:rFonts w:hint="eastAsia" w:ascii="宋体" w:hAnsi="宋体" w:cs="宋体"/>
                <w:b/>
                <w:bCs/>
                <w:kern w:val="0"/>
                <w:sz w:val="20"/>
                <w:szCs w:val="20"/>
              </w:rPr>
              <w:t>2、充电插口满足在导电介质(水)中重复安全连电，鼓励使用插口/插排绝缘电阻≥10MQ，漏电电流≤2mA 的产品。充电插口绝缘、漏电性能参数需要提供第三方检测机构的检测报告或政府机关出具的鉴定意见。</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16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网科、橡树、华芯达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104</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电动车充电棚</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外帐材质:膜材:膜布不低于1000pvc</w:t>
            </w:r>
            <w:r>
              <w:rPr>
                <w:rFonts w:hint="eastAsia" w:ascii="宋体" w:hAnsi="宋体" w:cs="宋体"/>
                <w:kern w:val="0"/>
                <w:sz w:val="20"/>
                <w:szCs w:val="20"/>
              </w:rPr>
              <w:br w:type="textWrapping"/>
            </w:r>
            <w:r>
              <w:rPr>
                <w:rFonts w:hint="eastAsia" w:ascii="宋体" w:hAnsi="宋体" w:cs="宋体"/>
                <w:kern w:val="0"/>
                <w:sz w:val="20"/>
                <w:szCs w:val="20"/>
              </w:rPr>
              <w:t>支架材质:钢材:主材(H钢不低于0.4厚)</w:t>
            </w:r>
            <w:r>
              <w:rPr>
                <w:rFonts w:hint="eastAsia" w:ascii="宋体" w:hAnsi="宋体" w:cs="宋体"/>
                <w:kern w:val="0"/>
                <w:sz w:val="20"/>
                <w:szCs w:val="20"/>
              </w:rPr>
              <w:br w:type="textWrapping"/>
            </w:r>
            <w:r>
              <w:rPr>
                <w:rFonts w:hint="eastAsia" w:ascii="宋体" w:hAnsi="宋体" w:cs="宋体"/>
                <w:kern w:val="0"/>
                <w:sz w:val="20"/>
                <w:szCs w:val="20"/>
              </w:rPr>
              <w:t>表面处理:底漆:环球</w:t>
            </w:r>
            <w:r>
              <w:rPr>
                <w:rFonts w:hint="eastAsia" w:ascii="宋体" w:hAnsi="宋体" w:cs="宋体"/>
                <w:kern w:val="0"/>
                <w:sz w:val="20"/>
                <w:szCs w:val="20"/>
              </w:rPr>
              <w:br w:type="textWrapping"/>
            </w:r>
            <w:r>
              <w:rPr>
                <w:rFonts w:hint="eastAsia" w:ascii="宋体" w:hAnsi="宋体" w:cs="宋体"/>
                <w:kern w:val="0"/>
                <w:sz w:val="20"/>
                <w:szCs w:val="20"/>
              </w:rPr>
              <w:t>支架撑杆直径定制</w:t>
            </w:r>
            <w:r>
              <w:rPr>
                <w:rFonts w:hint="eastAsia" w:ascii="宋体" w:hAnsi="宋体" w:cs="宋体"/>
                <w:kern w:val="0"/>
                <w:sz w:val="20"/>
                <w:szCs w:val="20"/>
              </w:rPr>
              <w:br w:type="textWrapping"/>
            </w:r>
            <w:r>
              <w:rPr>
                <w:rFonts w:hint="eastAsia" w:ascii="宋体" w:hAnsi="宋体" w:cs="宋体"/>
                <w:kern w:val="0"/>
                <w:sz w:val="20"/>
                <w:szCs w:val="20"/>
              </w:rPr>
              <w:t>防火等级:不低于B1、DIN4102</w:t>
            </w:r>
            <w:r>
              <w:rPr>
                <w:rFonts w:hint="eastAsia" w:ascii="宋体" w:hAnsi="宋体" w:cs="宋体"/>
                <w:kern w:val="0"/>
                <w:sz w:val="20"/>
                <w:szCs w:val="20"/>
              </w:rPr>
              <w:br w:type="textWrapping"/>
            </w:r>
            <w:r>
              <w:rPr>
                <w:rFonts w:hint="eastAsia" w:ascii="宋体" w:hAnsi="宋体" w:cs="宋体"/>
                <w:kern w:val="0"/>
                <w:sz w:val="20"/>
                <w:szCs w:val="20"/>
              </w:rPr>
              <w:t>适应温度:最低不少于-180℃,最高不少于120℃</w:t>
            </w:r>
            <w:r>
              <w:rPr>
                <w:rFonts w:hint="eastAsia" w:ascii="宋体" w:hAnsi="宋体" w:cs="宋体"/>
                <w:kern w:val="0"/>
                <w:sz w:val="20"/>
                <w:szCs w:val="20"/>
              </w:rPr>
              <w:br w:type="textWrapping"/>
            </w:r>
            <w:r>
              <w:rPr>
                <w:rFonts w:hint="eastAsia" w:ascii="宋体" w:hAnsi="宋体" w:cs="宋体"/>
                <w:kern w:val="0"/>
                <w:sz w:val="20"/>
                <w:szCs w:val="20"/>
              </w:rPr>
              <w:t>抗拉强度:不低于4000</w:t>
            </w:r>
            <w:r>
              <w:rPr>
                <w:rFonts w:hint="eastAsia" w:ascii="宋体" w:hAnsi="宋体" w:cs="宋体"/>
                <w:kern w:val="0"/>
                <w:sz w:val="20"/>
                <w:szCs w:val="20"/>
              </w:rPr>
              <w:br w:type="textWrapping"/>
            </w:r>
            <w:r>
              <w:rPr>
                <w:rFonts w:hint="eastAsia" w:ascii="宋体" w:hAnsi="宋体" w:cs="宋体"/>
                <w:kern w:val="0"/>
                <w:sz w:val="20"/>
                <w:szCs w:val="20"/>
              </w:rPr>
              <w:t>透光率:不低于20%</w:t>
            </w:r>
            <w:r>
              <w:rPr>
                <w:rFonts w:hint="eastAsia" w:ascii="宋体" w:hAnsi="宋体" w:cs="宋体"/>
                <w:kern w:val="0"/>
                <w:sz w:val="20"/>
                <w:szCs w:val="20"/>
              </w:rPr>
              <w:br w:type="textWrapping"/>
            </w:r>
            <w:r>
              <w:rPr>
                <w:rFonts w:hint="eastAsia" w:ascii="宋体" w:hAnsi="宋体" w:cs="宋体"/>
                <w:kern w:val="0"/>
                <w:sz w:val="20"/>
                <w:szCs w:val="20"/>
              </w:rPr>
              <w:t>质保年限:膜布质保不低于15年,钢结构质保不低于30年,特殊天气和人为除外。</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8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个</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网科、橡树、华芯达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105</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restart"/>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智能照明</w:t>
            </w: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灯杆杆体+灯头+安装连接件</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灯头：含</w:t>
            </w:r>
            <w:r>
              <w:rPr>
                <w:rFonts w:hint="eastAsia" w:ascii="宋体" w:hAnsi="宋体" w:cs="宋体"/>
                <w:kern w:val="0"/>
                <w:sz w:val="20"/>
                <w:szCs w:val="20"/>
              </w:rPr>
              <w:br w:type="textWrapping"/>
            </w:r>
            <w:r>
              <w:rPr>
                <w:rFonts w:hint="eastAsia" w:ascii="宋体" w:hAnsi="宋体" w:cs="宋体"/>
                <w:kern w:val="0"/>
                <w:sz w:val="20"/>
                <w:szCs w:val="20"/>
              </w:rPr>
              <w:t>灯杆：4米</w:t>
            </w:r>
            <w:r>
              <w:rPr>
                <w:rFonts w:hint="eastAsia" w:ascii="宋体" w:hAnsi="宋体" w:cs="宋体"/>
                <w:kern w:val="0"/>
                <w:sz w:val="20"/>
                <w:szCs w:val="20"/>
              </w:rPr>
              <w:br w:type="textWrapping"/>
            </w:r>
            <w:r>
              <w:rPr>
                <w:rFonts w:hint="eastAsia" w:ascii="宋体" w:hAnsi="宋体" w:cs="宋体"/>
                <w:kern w:val="0"/>
                <w:sz w:val="20"/>
                <w:szCs w:val="20"/>
              </w:rPr>
              <w:t xml:space="preserve">设备舱： 包含强电控制、低压供电、漏电保护、防雷保护、辅材等                                       </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12</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杆</w:t>
            </w:r>
          </w:p>
        </w:tc>
        <w:tc>
          <w:tcPr>
            <w:tcW w:w="675" w:type="dxa"/>
            <w:vMerge w:val="restart"/>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守卫智慧杆4米杆体（太阳能市电一体）入口</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爱克、中电海康、浩鑫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106</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地笼结构+固定螺丝</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配套</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12</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杆</w:t>
            </w:r>
          </w:p>
        </w:tc>
        <w:tc>
          <w:tcPr>
            <w:tcW w:w="675" w:type="dxa"/>
            <w:vMerge w:val="continue"/>
            <w:noWrap w:val="0"/>
            <w:vAlign w:val="center"/>
          </w:tcPr>
          <w:p>
            <w:pPr>
              <w:widowControl/>
              <w:snapToGrid w:val="0"/>
              <w:jc w:val="left"/>
              <w:rPr>
                <w:rFonts w:ascii="宋体" w:hAnsi="宋体" w:cs="宋体"/>
                <w:kern w:val="0"/>
                <w:sz w:val="20"/>
                <w:szCs w:val="20"/>
              </w:rPr>
            </w:pPr>
          </w:p>
        </w:tc>
        <w:tc>
          <w:tcPr>
            <w:tcW w:w="1414"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107</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太阳能控制系统</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市电太阳能照明：光源60W， 含太阳能市电控制器：（EXC-3M160-NB） 太阳能板：多晶太阳能板100W 锂电池：24A/24V  变压电源模块：AC220~DC24V 100W</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12</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vMerge w:val="continue"/>
            <w:noWrap w:val="0"/>
            <w:vAlign w:val="center"/>
          </w:tcPr>
          <w:p>
            <w:pPr>
              <w:widowControl/>
              <w:snapToGrid w:val="0"/>
              <w:jc w:val="left"/>
              <w:rPr>
                <w:rFonts w:ascii="宋体" w:hAnsi="宋体" w:cs="宋体"/>
                <w:kern w:val="0"/>
                <w:sz w:val="20"/>
                <w:szCs w:val="20"/>
              </w:rPr>
            </w:pPr>
          </w:p>
        </w:tc>
        <w:tc>
          <w:tcPr>
            <w:tcW w:w="1414"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爱克、中电海康、浩鑫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108</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NB流量卡</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含3年通信流量费</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12</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vMerge w:val="continue"/>
            <w:noWrap w:val="0"/>
            <w:vAlign w:val="center"/>
          </w:tcPr>
          <w:p>
            <w:pPr>
              <w:widowControl/>
              <w:snapToGrid w:val="0"/>
              <w:jc w:val="left"/>
              <w:rPr>
                <w:rFonts w:ascii="宋体" w:hAnsi="宋体" w:cs="宋体"/>
                <w:kern w:val="0"/>
                <w:sz w:val="20"/>
                <w:szCs w:val="20"/>
              </w:rPr>
            </w:pPr>
          </w:p>
        </w:tc>
        <w:tc>
          <w:tcPr>
            <w:tcW w:w="1414"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电信、移动、联通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109</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8口交换机</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8个10/100/1000Base-T RJ45端口（支持PoE+供电），2个独立千兆SFP端口，整机最大PoE供电功率为116W，单端口最大PoE供电功率为30W，支持四元绑定、ARP/IP/DoS防护、802.1X认证，支持IEEE 802.1Q VLAN、QoS、ACL、生成树、组播、IPv6，支持端口安全、端口监控、端口隔离，支持Web网管、CLI命令行、SNMP，</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12</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个</w:t>
            </w:r>
          </w:p>
        </w:tc>
        <w:tc>
          <w:tcPr>
            <w:tcW w:w="675" w:type="dxa"/>
            <w:vMerge w:val="continue"/>
            <w:noWrap w:val="0"/>
            <w:vAlign w:val="center"/>
          </w:tcPr>
          <w:p>
            <w:pPr>
              <w:widowControl/>
              <w:snapToGrid w:val="0"/>
              <w:jc w:val="left"/>
              <w:rPr>
                <w:rFonts w:ascii="宋体" w:hAnsi="宋体" w:cs="宋体"/>
                <w:kern w:val="0"/>
                <w:sz w:val="20"/>
                <w:szCs w:val="20"/>
              </w:rPr>
            </w:pPr>
          </w:p>
        </w:tc>
        <w:tc>
          <w:tcPr>
            <w:tcW w:w="1414"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华三、华为、锐捷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110</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光纤收发器</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千兆单模单纤光纤收发器</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12</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对</w:t>
            </w:r>
          </w:p>
        </w:tc>
        <w:tc>
          <w:tcPr>
            <w:tcW w:w="675" w:type="dxa"/>
            <w:vMerge w:val="continue"/>
            <w:noWrap w:val="0"/>
            <w:vAlign w:val="center"/>
          </w:tcPr>
          <w:p>
            <w:pPr>
              <w:widowControl/>
              <w:snapToGrid w:val="0"/>
              <w:jc w:val="left"/>
              <w:rPr>
                <w:rFonts w:ascii="宋体" w:hAnsi="宋体" w:cs="宋体"/>
                <w:kern w:val="0"/>
                <w:sz w:val="20"/>
                <w:szCs w:val="20"/>
              </w:rPr>
            </w:pPr>
          </w:p>
        </w:tc>
        <w:tc>
          <w:tcPr>
            <w:tcW w:w="1414"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爱克、中电海康、浩鑫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111</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光纤跳线</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电信级光纤跳线sc-sc(UPC) 1.5米 单模单芯 Φ3.0跳纤光纤线 收发器尾纤BY-1111SM</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12</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对</w:t>
            </w:r>
          </w:p>
        </w:tc>
        <w:tc>
          <w:tcPr>
            <w:tcW w:w="675" w:type="dxa"/>
            <w:vMerge w:val="continue"/>
            <w:noWrap w:val="0"/>
            <w:vAlign w:val="center"/>
          </w:tcPr>
          <w:p>
            <w:pPr>
              <w:widowControl/>
              <w:snapToGrid w:val="0"/>
              <w:jc w:val="left"/>
              <w:rPr>
                <w:rFonts w:ascii="宋体" w:hAnsi="宋体" w:cs="宋体"/>
                <w:kern w:val="0"/>
                <w:sz w:val="20"/>
                <w:szCs w:val="20"/>
              </w:rPr>
            </w:pPr>
          </w:p>
        </w:tc>
        <w:tc>
          <w:tcPr>
            <w:tcW w:w="1414"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爱克、中电海康、浩鑫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112</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LED单面屏</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室外P4全彩单面屏：</w:t>
            </w:r>
            <w:r>
              <w:rPr>
                <w:rFonts w:hint="eastAsia" w:ascii="宋体" w:hAnsi="宋体" w:cs="宋体"/>
                <w:kern w:val="0"/>
                <w:sz w:val="20"/>
                <w:szCs w:val="20"/>
              </w:rPr>
              <w:br w:type="textWrapping"/>
            </w:r>
            <w:r>
              <w:rPr>
                <w:rFonts w:hint="eastAsia" w:ascii="宋体" w:hAnsi="宋体" w:cs="宋体"/>
                <w:kern w:val="0"/>
                <w:sz w:val="20"/>
                <w:szCs w:val="20"/>
              </w:rPr>
              <w:t>1.尺寸：显示512*1024mm；</w:t>
            </w:r>
            <w:r>
              <w:rPr>
                <w:rFonts w:hint="eastAsia" w:ascii="宋体" w:hAnsi="宋体" w:cs="宋体"/>
                <w:kern w:val="0"/>
                <w:sz w:val="20"/>
                <w:szCs w:val="20"/>
              </w:rPr>
              <w:br w:type="textWrapping"/>
            </w:r>
            <w:r>
              <w:rPr>
                <w:rFonts w:hint="eastAsia" w:ascii="宋体" w:hAnsi="宋体" w:cs="宋体"/>
                <w:kern w:val="0"/>
                <w:sz w:val="20"/>
                <w:szCs w:val="20"/>
              </w:rPr>
              <w:t>2.亮度：5500cd/㎡；</w:t>
            </w:r>
            <w:r>
              <w:rPr>
                <w:rFonts w:hint="eastAsia" w:ascii="宋体" w:hAnsi="宋体" w:cs="宋体"/>
                <w:kern w:val="0"/>
                <w:sz w:val="20"/>
                <w:szCs w:val="20"/>
              </w:rPr>
              <w:br w:type="textWrapping"/>
            </w:r>
            <w:r>
              <w:rPr>
                <w:rFonts w:hint="eastAsia" w:ascii="宋体" w:hAnsi="宋体" w:cs="宋体"/>
                <w:kern w:val="0"/>
                <w:sz w:val="20"/>
                <w:szCs w:val="20"/>
              </w:rPr>
              <w:t>3.电压及功率：AC220V，平均功率：95W；</w:t>
            </w:r>
            <w:r>
              <w:rPr>
                <w:rFonts w:hint="eastAsia" w:ascii="宋体" w:hAnsi="宋体" w:cs="宋体"/>
                <w:kern w:val="0"/>
                <w:sz w:val="20"/>
                <w:szCs w:val="20"/>
              </w:rPr>
              <w:br w:type="textWrapping"/>
            </w:r>
            <w:r>
              <w:rPr>
                <w:rFonts w:hint="eastAsia" w:ascii="宋体" w:hAnsi="宋体" w:cs="宋体"/>
                <w:kern w:val="0"/>
                <w:sz w:val="20"/>
                <w:szCs w:val="20"/>
              </w:rPr>
              <w:t>4.特殊功能：熙讯M60/诺瓦TB1控制卡，支持亮度调节、同步显示；</w:t>
            </w:r>
            <w:r>
              <w:rPr>
                <w:rFonts w:hint="eastAsia" w:ascii="宋体" w:hAnsi="宋体" w:cs="宋体"/>
                <w:kern w:val="0"/>
                <w:sz w:val="20"/>
                <w:szCs w:val="20"/>
              </w:rPr>
              <w:br w:type="textWrapping"/>
            </w:r>
            <w:r>
              <w:rPr>
                <w:rFonts w:hint="eastAsia" w:ascii="宋体" w:hAnsi="宋体" w:cs="宋体"/>
                <w:kern w:val="0"/>
                <w:sz w:val="20"/>
                <w:szCs w:val="20"/>
              </w:rPr>
              <w:t>5.材质及颜色:镀锌板材质箱体，颜色仅支持选用标准色；</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12</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个</w:t>
            </w:r>
          </w:p>
        </w:tc>
        <w:tc>
          <w:tcPr>
            <w:tcW w:w="675" w:type="dxa"/>
            <w:vMerge w:val="continue"/>
            <w:noWrap w:val="0"/>
            <w:vAlign w:val="center"/>
          </w:tcPr>
          <w:p>
            <w:pPr>
              <w:widowControl/>
              <w:snapToGrid w:val="0"/>
              <w:jc w:val="left"/>
              <w:rPr>
                <w:rFonts w:ascii="宋体" w:hAnsi="宋体" w:cs="宋体"/>
                <w:kern w:val="0"/>
                <w:sz w:val="20"/>
                <w:szCs w:val="20"/>
              </w:rPr>
            </w:pPr>
          </w:p>
        </w:tc>
        <w:tc>
          <w:tcPr>
            <w:tcW w:w="1414"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爱克、中电海康、浩鑫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113</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xml:space="preserve">枪机监控支架 </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灯杆预留监控横臂支架</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12</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个</w:t>
            </w:r>
          </w:p>
        </w:tc>
        <w:tc>
          <w:tcPr>
            <w:tcW w:w="675" w:type="dxa"/>
            <w:vMerge w:val="continue"/>
            <w:noWrap w:val="0"/>
            <w:vAlign w:val="center"/>
          </w:tcPr>
          <w:p>
            <w:pPr>
              <w:widowControl/>
              <w:snapToGrid w:val="0"/>
              <w:jc w:val="left"/>
              <w:rPr>
                <w:rFonts w:ascii="宋体" w:hAnsi="宋体" w:cs="宋体"/>
                <w:kern w:val="0"/>
                <w:sz w:val="20"/>
                <w:szCs w:val="20"/>
              </w:rPr>
            </w:pPr>
          </w:p>
        </w:tc>
        <w:tc>
          <w:tcPr>
            <w:tcW w:w="1414"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爱克、中电海康、浩鑫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114</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环境监测</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1、检测项目：风向，风速，温度，湿度，气压，噪声，PM2.5，PM10；</w:t>
            </w:r>
            <w:r>
              <w:rPr>
                <w:rFonts w:hint="eastAsia" w:ascii="宋体" w:hAnsi="宋体" w:cs="宋体"/>
                <w:kern w:val="0"/>
                <w:sz w:val="20"/>
                <w:szCs w:val="20"/>
              </w:rPr>
              <w:br w:type="textWrapping"/>
            </w:r>
            <w:r>
              <w:rPr>
                <w:rFonts w:hint="eastAsia" w:ascii="宋体" w:hAnsi="宋体" w:cs="宋体"/>
                <w:kern w:val="0"/>
                <w:sz w:val="20"/>
                <w:szCs w:val="20"/>
              </w:rPr>
              <w:t>2、电气参数：DC9~30V供电，功率0.2W；</w:t>
            </w:r>
            <w:r>
              <w:rPr>
                <w:rFonts w:hint="eastAsia" w:ascii="宋体" w:hAnsi="宋体" w:cs="宋体"/>
                <w:kern w:val="0"/>
                <w:sz w:val="20"/>
                <w:szCs w:val="20"/>
              </w:rPr>
              <w:br w:type="textWrapping"/>
            </w:r>
            <w:r>
              <w:rPr>
                <w:rFonts w:hint="eastAsia" w:ascii="宋体" w:hAnsi="宋体" w:cs="宋体"/>
                <w:kern w:val="0"/>
                <w:sz w:val="20"/>
                <w:szCs w:val="20"/>
              </w:rPr>
              <w:t>3、接口类型：RS485接口；</w:t>
            </w:r>
            <w:r>
              <w:rPr>
                <w:rFonts w:hint="eastAsia" w:ascii="宋体" w:hAnsi="宋体" w:cs="宋体"/>
                <w:kern w:val="0"/>
                <w:sz w:val="20"/>
                <w:szCs w:val="20"/>
              </w:rPr>
              <w:br w:type="textWrapping"/>
            </w:r>
            <w:r>
              <w:rPr>
                <w:rFonts w:hint="eastAsia" w:ascii="宋体" w:hAnsi="宋体" w:cs="宋体"/>
                <w:kern w:val="0"/>
                <w:sz w:val="20"/>
                <w:szCs w:val="20"/>
              </w:rPr>
              <w:t>4、防护等级：IP64；</w:t>
            </w:r>
            <w:r>
              <w:rPr>
                <w:rFonts w:hint="eastAsia" w:ascii="宋体" w:hAnsi="宋体" w:cs="宋体"/>
                <w:kern w:val="0"/>
                <w:sz w:val="20"/>
                <w:szCs w:val="20"/>
              </w:rPr>
              <w:br w:type="textWrapping"/>
            </w:r>
            <w:r>
              <w:rPr>
                <w:rFonts w:hint="eastAsia" w:ascii="宋体" w:hAnsi="宋体" w:cs="宋体"/>
                <w:kern w:val="0"/>
                <w:sz w:val="20"/>
                <w:szCs w:val="20"/>
              </w:rPr>
              <w:t>5、尺寸重量：140*140*350mm，1.25kg；</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个</w:t>
            </w:r>
          </w:p>
        </w:tc>
        <w:tc>
          <w:tcPr>
            <w:tcW w:w="675" w:type="dxa"/>
            <w:vMerge w:val="continue"/>
            <w:noWrap w:val="0"/>
            <w:vAlign w:val="center"/>
          </w:tcPr>
          <w:p>
            <w:pPr>
              <w:widowControl/>
              <w:snapToGrid w:val="0"/>
              <w:jc w:val="left"/>
              <w:rPr>
                <w:rFonts w:ascii="宋体" w:hAnsi="宋体" w:cs="宋体"/>
                <w:kern w:val="0"/>
                <w:sz w:val="20"/>
                <w:szCs w:val="20"/>
              </w:rPr>
            </w:pPr>
          </w:p>
        </w:tc>
        <w:tc>
          <w:tcPr>
            <w:tcW w:w="1414"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爱克、中电海康、浩鑫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115</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串口模块</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USR-DR302，RS485串口转以太网，导轨式安装</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个</w:t>
            </w:r>
          </w:p>
        </w:tc>
        <w:tc>
          <w:tcPr>
            <w:tcW w:w="675" w:type="dxa"/>
            <w:vMerge w:val="continue"/>
            <w:noWrap w:val="0"/>
            <w:vAlign w:val="center"/>
          </w:tcPr>
          <w:p>
            <w:pPr>
              <w:widowControl/>
              <w:snapToGrid w:val="0"/>
              <w:jc w:val="left"/>
              <w:rPr>
                <w:rFonts w:ascii="宋体" w:hAnsi="宋体" w:cs="宋体"/>
                <w:kern w:val="0"/>
                <w:sz w:val="20"/>
                <w:szCs w:val="20"/>
              </w:rPr>
            </w:pPr>
          </w:p>
        </w:tc>
        <w:tc>
          <w:tcPr>
            <w:tcW w:w="1414"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爱克、中电海康、浩鑫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116</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灯杆杆体+灯头+安装连接件</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灯头：含</w:t>
            </w:r>
            <w:r>
              <w:rPr>
                <w:rFonts w:hint="eastAsia" w:ascii="宋体" w:hAnsi="宋体" w:cs="宋体"/>
                <w:kern w:val="0"/>
                <w:sz w:val="20"/>
                <w:szCs w:val="20"/>
              </w:rPr>
              <w:br w:type="textWrapping"/>
            </w:r>
            <w:r>
              <w:rPr>
                <w:rFonts w:hint="eastAsia" w:ascii="宋体" w:hAnsi="宋体" w:cs="宋体"/>
                <w:kern w:val="0"/>
                <w:sz w:val="20"/>
                <w:szCs w:val="20"/>
              </w:rPr>
              <w:t>灯杆：4米，铝管,全套喷户外塑。</w:t>
            </w:r>
            <w:r>
              <w:rPr>
                <w:rFonts w:hint="eastAsia" w:ascii="宋体" w:hAnsi="宋体" w:cs="宋体"/>
                <w:kern w:val="0"/>
                <w:sz w:val="20"/>
                <w:szCs w:val="20"/>
              </w:rPr>
              <w:br w:type="textWrapping"/>
            </w:r>
            <w:r>
              <w:rPr>
                <w:rFonts w:hint="eastAsia" w:ascii="宋体" w:hAnsi="宋体" w:cs="宋体"/>
                <w:kern w:val="0"/>
                <w:sz w:val="20"/>
                <w:szCs w:val="20"/>
              </w:rPr>
              <w:t>枪机监控支架：预留</w:t>
            </w:r>
            <w:r>
              <w:rPr>
                <w:rFonts w:hint="eastAsia" w:ascii="宋体" w:hAnsi="宋体" w:cs="宋体"/>
                <w:kern w:val="0"/>
                <w:sz w:val="20"/>
                <w:szCs w:val="20"/>
              </w:rPr>
              <w:br w:type="textWrapping"/>
            </w:r>
            <w:r>
              <w:rPr>
                <w:rFonts w:hint="eastAsia" w:ascii="宋体" w:hAnsi="宋体" w:cs="宋体"/>
                <w:kern w:val="0"/>
                <w:sz w:val="20"/>
                <w:szCs w:val="20"/>
              </w:rPr>
              <w:t>光源：60W LED；IP65，带散热器 含电源</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10</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杆</w:t>
            </w:r>
          </w:p>
        </w:tc>
        <w:tc>
          <w:tcPr>
            <w:tcW w:w="675" w:type="dxa"/>
            <w:vMerge w:val="restart"/>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普通智慧杆4米杆体</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爱克、中电海康、浩鑫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117</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地笼结构+固定螺丝</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配套</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10</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杆</w:t>
            </w:r>
          </w:p>
        </w:tc>
        <w:tc>
          <w:tcPr>
            <w:tcW w:w="675" w:type="dxa"/>
            <w:vMerge w:val="continue"/>
            <w:noWrap w:val="0"/>
            <w:vAlign w:val="center"/>
          </w:tcPr>
          <w:p>
            <w:pPr>
              <w:widowControl/>
              <w:snapToGrid w:val="0"/>
              <w:jc w:val="left"/>
              <w:rPr>
                <w:rFonts w:ascii="宋体" w:hAnsi="宋体" w:cs="宋体"/>
                <w:kern w:val="0"/>
                <w:sz w:val="20"/>
                <w:szCs w:val="20"/>
              </w:rPr>
            </w:pPr>
          </w:p>
        </w:tc>
        <w:tc>
          <w:tcPr>
            <w:tcW w:w="1414"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118</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LED模组</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1、60W  3030LED；</w:t>
            </w:r>
            <w:r>
              <w:rPr>
                <w:rFonts w:hint="eastAsia" w:ascii="宋体" w:hAnsi="宋体" w:cs="宋体"/>
                <w:kern w:val="0"/>
                <w:sz w:val="20"/>
                <w:szCs w:val="20"/>
              </w:rPr>
              <w:br w:type="textWrapping"/>
            </w:r>
            <w:r>
              <w:rPr>
                <w:rFonts w:hint="eastAsia" w:ascii="宋体" w:hAnsi="宋体" w:cs="宋体"/>
                <w:kern w:val="0"/>
                <w:sz w:val="20"/>
                <w:szCs w:val="20"/>
              </w:rPr>
              <w:t>2、IP65，带散热器</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10</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vMerge w:val="continue"/>
            <w:noWrap w:val="0"/>
            <w:vAlign w:val="center"/>
          </w:tcPr>
          <w:p>
            <w:pPr>
              <w:widowControl/>
              <w:snapToGrid w:val="0"/>
              <w:jc w:val="left"/>
              <w:rPr>
                <w:rFonts w:ascii="宋体" w:hAnsi="宋体" w:cs="宋体"/>
                <w:kern w:val="0"/>
                <w:sz w:val="20"/>
                <w:szCs w:val="20"/>
              </w:rPr>
            </w:pPr>
          </w:p>
        </w:tc>
        <w:tc>
          <w:tcPr>
            <w:tcW w:w="1414"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爱克、中电海康、浩鑫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119</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调光驱动</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1、功率75W，90-305VAC，1.21-1.88A，38-62V；</w:t>
            </w:r>
            <w:r>
              <w:rPr>
                <w:rFonts w:hint="eastAsia" w:ascii="宋体" w:hAnsi="宋体" w:cs="宋体"/>
                <w:kern w:val="0"/>
                <w:sz w:val="20"/>
                <w:szCs w:val="20"/>
              </w:rPr>
              <w:br w:type="textWrapping"/>
            </w:r>
            <w:r>
              <w:rPr>
                <w:rFonts w:hint="eastAsia" w:ascii="宋体" w:hAnsi="宋体" w:cs="宋体"/>
                <w:kern w:val="0"/>
                <w:sz w:val="20"/>
                <w:szCs w:val="20"/>
              </w:rPr>
              <w:t>2、支持0-10V/PWM调光；</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10</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vMerge w:val="continue"/>
            <w:noWrap w:val="0"/>
            <w:vAlign w:val="center"/>
          </w:tcPr>
          <w:p>
            <w:pPr>
              <w:widowControl/>
              <w:snapToGrid w:val="0"/>
              <w:jc w:val="left"/>
              <w:rPr>
                <w:rFonts w:ascii="宋体" w:hAnsi="宋体" w:cs="宋体"/>
                <w:kern w:val="0"/>
                <w:sz w:val="20"/>
                <w:szCs w:val="20"/>
              </w:rPr>
            </w:pPr>
          </w:p>
        </w:tc>
        <w:tc>
          <w:tcPr>
            <w:tcW w:w="1414"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爱克、中电海康、浩鑫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120</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NB单灯控制器</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NB通讯，铝合金外壳，1路0-10V调光，1路继电器输出，AC220V，最大负荷800W，带电流、电压、功率、温度、漏电检测功能，具备过流保护、短路保护功能，IP66防水；</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10</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vMerge w:val="continue"/>
            <w:noWrap w:val="0"/>
            <w:vAlign w:val="center"/>
          </w:tcPr>
          <w:p>
            <w:pPr>
              <w:widowControl/>
              <w:snapToGrid w:val="0"/>
              <w:jc w:val="left"/>
              <w:rPr>
                <w:rFonts w:ascii="宋体" w:hAnsi="宋体" w:cs="宋体"/>
                <w:kern w:val="0"/>
                <w:sz w:val="20"/>
                <w:szCs w:val="20"/>
              </w:rPr>
            </w:pPr>
          </w:p>
        </w:tc>
        <w:tc>
          <w:tcPr>
            <w:tcW w:w="1414"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爱克、中电海康、浩鑫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121</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NB流量卡</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1G/月，含3年通信流量费</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10</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vMerge w:val="continue"/>
            <w:noWrap w:val="0"/>
            <w:vAlign w:val="center"/>
          </w:tcPr>
          <w:p>
            <w:pPr>
              <w:widowControl/>
              <w:snapToGrid w:val="0"/>
              <w:jc w:val="left"/>
              <w:rPr>
                <w:rFonts w:ascii="宋体" w:hAnsi="宋体" w:cs="宋体"/>
                <w:kern w:val="0"/>
                <w:sz w:val="20"/>
                <w:szCs w:val="20"/>
              </w:rPr>
            </w:pPr>
          </w:p>
        </w:tc>
        <w:tc>
          <w:tcPr>
            <w:tcW w:w="1414"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电信、移动、联通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122</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强电集中控制器</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（1） 功能要求</w:t>
            </w:r>
            <w:r>
              <w:rPr>
                <w:rFonts w:hint="eastAsia" w:ascii="宋体" w:hAnsi="宋体" w:cs="宋体"/>
                <w:kern w:val="0"/>
                <w:sz w:val="20"/>
                <w:szCs w:val="20"/>
              </w:rPr>
              <w:br w:type="textWrapping"/>
            </w:r>
            <w:r>
              <w:rPr>
                <w:rFonts w:hint="eastAsia" w:ascii="宋体" w:hAnsi="宋体" w:cs="宋体"/>
                <w:kern w:val="0"/>
                <w:sz w:val="20"/>
                <w:szCs w:val="20"/>
              </w:rPr>
              <w:t xml:space="preserve">   1、可实现对三相电或者单相电的电流、电压、功率、功率因素、温度等数据的采集；具有1～8路回路开关控制，支持扩展到36路回路控制。</w:t>
            </w:r>
            <w:r>
              <w:rPr>
                <w:rFonts w:hint="eastAsia" w:ascii="宋体" w:hAnsi="宋体" w:cs="宋体"/>
                <w:kern w:val="0"/>
                <w:sz w:val="20"/>
                <w:szCs w:val="20"/>
              </w:rPr>
              <w:br w:type="textWrapping"/>
            </w:r>
            <w:r>
              <w:rPr>
                <w:rFonts w:hint="eastAsia" w:ascii="宋体" w:hAnsi="宋体" w:cs="宋体"/>
                <w:kern w:val="0"/>
                <w:sz w:val="20"/>
                <w:szCs w:val="20"/>
              </w:rPr>
              <w:t xml:space="preserve">   2、接收服务器下发的定时策略存储在网关本地，上报服务器所要查询的数据；可实现本地或者远程的查询与配置； 同时可实现策略的查询、修改；也可进行手动实时控制命令和查询命令；</w:t>
            </w:r>
            <w:r>
              <w:rPr>
                <w:rFonts w:hint="eastAsia" w:ascii="宋体" w:hAnsi="宋体" w:cs="宋体"/>
                <w:kern w:val="0"/>
                <w:sz w:val="20"/>
                <w:szCs w:val="20"/>
              </w:rPr>
              <w:br w:type="textWrapping"/>
            </w:r>
            <w:r>
              <w:rPr>
                <w:rFonts w:hint="eastAsia" w:ascii="宋体" w:hAnsi="宋体" w:cs="宋体"/>
                <w:kern w:val="0"/>
                <w:sz w:val="20"/>
                <w:szCs w:val="20"/>
              </w:rPr>
              <w:t xml:space="preserve">   3、定时控制：具备回路独立的定时控制，可修改定时时间；</w:t>
            </w:r>
            <w:r>
              <w:rPr>
                <w:rFonts w:hint="eastAsia" w:ascii="宋体" w:hAnsi="宋体" w:cs="宋体"/>
                <w:kern w:val="0"/>
                <w:sz w:val="20"/>
                <w:szCs w:val="20"/>
              </w:rPr>
              <w:br w:type="textWrapping"/>
            </w:r>
            <w:r>
              <w:rPr>
                <w:rFonts w:hint="eastAsia" w:ascii="宋体" w:hAnsi="宋体" w:cs="宋体"/>
                <w:kern w:val="0"/>
                <w:sz w:val="20"/>
                <w:szCs w:val="20"/>
              </w:rPr>
              <w:t xml:space="preserve">   4、分组控制调光：组播控制所有安装 SZ10 系列控制器的功能；</w:t>
            </w:r>
            <w:r>
              <w:rPr>
                <w:rFonts w:hint="eastAsia" w:ascii="宋体" w:hAnsi="宋体" w:cs="宋体"/>
                <w:kern w:val="0"/>
                <w:sz w:val="20"/>
                <w:szCs w:val="20"/>
              </w:rPr>
              <w:br w:type="textWrapping"/>
            </w:r>
            <w:r>
              <w:rPr>
                <w:rFonts w:hint="eastAsia" w:ascii="宋体" w:hAnsi="宋体" w:cs="宋体"/>
                <w:kern w:val="0"/>
                <w:sz w:val="20"/>
                <w:szCs w:val="20"/>
              </w:rPr>
              <w:t xml:space="preserve">   5、经纬度控制：具备经纬度自动控制功能；</w:t>
            </w:r>
            <w:r>
              <w:rPr>
                <w:rFonts w:hint="eastAsia" w:ascii="宋体" w:hAnsi="宋体" w:cs="宋体"/>
                <w:kern w:val="0"/>
                <w:sz w:val="20"/>
                <w:szCs w:val="20"/>
              </w:rPr>
              <w:br w:type="textWrapping"/>
            </w:r>
            <w:r>
              <w:rPr>
                <w:rFonts w:hint="eastAsia" w:ascii="宋体" w:hAnsi="宋体" w:cs="宋体"/>
                <w:kern w:val="0"/>
                <w:sz w:val="20"/>
                <w:szCs w:val="20"/>
              </w:rPr>
              <w:t xml:space="preserve">   6、备用锂电池（3.6V，80Mah），脱机本地策略正常运 行；</w:t>
            </w:r>
            <w:r>
              <w:rPr>
                <w:rFonts w:hint="eastAsia" w:ascii="宋体" w:hAnsi="宋体" w:cs="宋体"/>
                <w:kern w:val="0"/>
                <w:sz w:val="20"/>
                <w:szCs w:val="20"/>
              </w:rPr>
              <w:br w:type="textWrapping"/>
            </w:r>
            <w:r>
              <w:rPr>
                <w:rFonts w:hint="eastAsia" w:ascii="宋体" w:hAnsi="宋体" w:cs="宋体"/>
                <w:kern w:val="0"/>
                <w:sz w:val="20"/>
                <w:szCs w:val="20"/>
              </w:rPr>
              <w:t xml:space="preserve">   7、状态信号指示灯（反应集中管理器的实时工作状态）；</w:t>
            </w:r>
            <w:r>
              <w:rPr>
                <w:rFonts w:hint="eastAsia" w:ascii="宋体" w:hAnsi="宋体" w:cs="宋体"/>
                <w:kern w:val="0"/>
                <w:sz w:val="20"/>
                <w:szCs w:val="20"/>
              </w:rPr>
              <w:br w:type="textWrapping"/>
            </w:r>
            <w:r>
              <w:rPr>
                <w:rFonts w:hint="eastAsia" w:ascii="宋体" w:hAnsi="宋体" w:cs="宋体"/>
                <w:kern w:val="0"/>
                <w:sz w:val="20"/>
                <w:szCs w:val="20"/>
              </w:rPr>
              <w:t xml:space="preserve">   8、智能功能：通过结合多种传感器（温度、雨雪、光照） 等来自动分析当地的天气状况、环境状况自动控制灯的开关、亮度；</w:t>
            </w:r>
            <w:r>
              <w:rPr>
                <w:rFonts w:hint="eastAsia" w:ascii="宋体" w:hAnsi="宋体" w:cs="宋体"/>
                <w:kern w:val="0"/>
                <w:sz w:val="20"/>
                <w:szCs w:val="20"/>
              </w:rPr>
              <w:br w:type="textWrapping"/>
            </w:r>
            <w:r>
              <w:rPr>
                <w:rFonts w:hint="eastAsia" w:ascii="宋体" w:hAnsi="宋体" w:cs="宋体"/>
                <w:kern w:val="0"/>
                <w:sz w:val="20"/>
                <w:szCs w:val="20"/>
              </w:rPr>
              <w:t xml:space="preserve">   9、回路电流采集：通过 RS485 串口外接回路采集设备 ；</w:t>
            </w:r>
            <w:r>
              <w:rPr>
                <w:rFonts w:hint="eastAsia" w:ascii="宋体" w:hAnsi="宋体" w:cs="宋体"/>
                <w:kern w:val="0"/>
                <w:sz w:val="20"/>
                <w:szCs w:val="20"/>
              </w:rPr>
              <w:br w:type="textWrapping"/>
            </w:r>
            <w:r>
              <w:rPr>
                <w:rFonts w:hint="eastAsia" w:ascii="宋体" w:hAnsi="宋体" w:cs="宋体"/>
                <w:kern w:val="0"/>
                <w:sz w:val="20"/>
                <w:szCs w:val="20"/>
              </w:rPr>
              <w:t>（2） 通信接口要求</w:t>
            </w:r>
            <w:r>
              <w:rPr>
                <w:rFonts w:hint="eastAsia" w:ascii="宋体" w:hAnsi="宋体" w:cs="宋体"/>
                <w:kern w:val="0"/>
                <w:sz w:val="20"/>
                <w:szCs w:val="20"/>
              </w:rPr>
              <w:br w:type="textWrapping"/>
            </w:r>
            <w:r>
              <w:rPr>
                <w:rFonts w:hint="eastAsia" w:ascii="宋体" w:hAnsi="宋体" w:cs="宋体"/>
                <w:kern w:val="0"/>
                <w:sz w:val="20"/>
                <w:szCs w:val="20"/>
              </w:rPr>
              <w:t xml:space="preserve">   1、 含通信模块和天线，通信模块同时兼容ZIGBEE，GPRS，RJ-NET等多种通信模式；</w:t>
            </w:r>
            <w:r>
              <w:rPr>
                <w:rFonts w:hint="eastAsia" w:ascii="宋体" w:hAnsi="宋体" w:cs="宋体"/>
                <w:kern w:val="0"/>
                <w:sz w:val="20"/>
                <w:szCs w:val="20"/>
              </w:rPr>
              <w:br w:type="textWrapping"/>
            </w:r>
            <w:r>
              <w:rPr>
                <w:rFonts w:hint="eastAsia" w:ascii="宋体" w:hAnsi="宋体" w:cs="宋体"/>
                <w:kern w:val="0"/>
                <w:sz w:val="20"/>
                <w:szCs w:val="20"/>
              </w:rPr>
              <w:t xml:space="preserve">   2、 支持以太网协议，并完全与路灯处当前使用软件通信协议兼容；</w:t>
            </w:r>
            <w:r>
              <w:rPr>
                <w:rFonts w:hint="eastAsia" w:ascii="宋体" w:hAnsi="宋体" w:cs="宋体"/>
                <w:kern w:val="0"/>
                <w:sz w:val="20"/>
                <w:szCs w:val="20"/>
              </w:rPr>
              <w:br w:type="textWrapping"/>
            </w:r>
            <w:r>
              <w:rPr>
                <w:rFonts w:hint="eastAsia" w:ascii="宋体" w:hAnsi="宋体" w:cs="宋体"/>
                <w:kern w:val="0"/>
                <w:sz w:val="20"/>
                <w:szCs w:val="20"/>
              </w:rPr>
              <w:t xml:space="preserve">   3、具备RS485通信接口；</w:t>
            </w:r>
            <w:r>
              <w:rPr>
                <w:rFonts w:hint="eastAsia" w:ascii="宋体" w:hAnsi="宋体" w:cs="宋体"/>
                <w:kern w:val="0"/>
                <w:sz w:val="20"/>
                <w:szCs w:val="20"/>
              </w:rPr>
              <w:br w:type="textWrapping"/>
            </w:r>
            <w:r>
              <w:rPr>
                <w:rFonts w:hint="eastAsia" w:ascii="宋体" w:hAnsi="宋体" w:cs="宋体"/>
                <w:kern w:val="0"/>
                <w:sz w:val="20"/>
                <w:szCs w:val="20"/>
              </w:rPr>
              <w:t xml:space="preserve">   4、具备可靠的通讯协议：通讯程序具备很强的恢复能力，对发生的错误能够自动纠错。</w:t>
            </w:r>
            <w:r>
              <w:rPr>
                <w:rFonts w:hint="eastAsia" w:ascii="宋体" w:hAnsi="宋体" w:cs="宋体"/>
                <w:kern w:val="0"/>
                <w:sz w:val="20"/>
                <w:szCs w:val="20"/>
              </w:rPr>
              <w:br w:type="textWrapping"/>
            </w:r>
            <w:r>
              <w:rPr>
                <w:rFonts w:hint="eastAsia" w:ascii="宋体" w:hAnsi="宋体" w:cs="宋体"/>
                <w:kern w:val="0"/>
                <w:sz w:val="20"/>
                <w:szCs w:val="20"/>
              </w:rPr>
              <w:t>（3） 技术性能要求</w:t>
            </w:r>
            <w:r>
              <w:rPr>
                <w:rFonts w:hint="eastAsia" w:ascii="宋体" w:hAnsi="宋体" w:cs="宋体"/>
                <w:kern w:val="0"/>
                <w:sz w:val="20"/>
                <w:szCs w:val="20"/>
              </w:rPr>
              <w:br w:type="textWrapping"/>
            </w:r>
            <w:r>
              <w:rPr>
                <w:rFonts w:hint="eastAsia" w:ascii="宋体" w:hAnsi="宋体" w:cs="宋体"/>
                <w:kern w:val="0"/>
                <w:sz w:val="20"/>
                <w:szCs w:val="20"/>
              </w:rPr>
              <w:t xml:space="preserve">   1、 工作电压：单相、三相四线制交流供电，3N~，380V；频率：50Hz，</w:t>
            </w:r>
            <w:r>
              <w:rPr>
                <w:rFonts w:hint="eastAsia" w:ascii="宋体" w:hAnsi="宋体" w:cs="宋体"/>
                <w:kern w:val="0"/>
                <w:sz w:val="20"/>
                <w:szCs w:val="20"/>
              </w:rPr>
              <w:br w:type="textWrapping"/>
            </w:r>
            <w:r>
              <w:rPr>
                <w:rFonts w:hint="eastAsia" w:ascii="宋体" w:hAnsi="宋体" w:cs="宋体"/>
                <w:kern w:val="0"/>
                <w:sz w:val="20"/>
                <w:szCs w:val="20"/>
              </w:rPr>
              <w:t xml:space="preserve">   2、三相电流、电压、功率、电能、功率因数、频率等数据采样等级达到2.0S级；</w:t>
            </w:r>
            <w:r>
              <w:rPr>
                <w:rFonts w:hint="eastAsia" w:ascii="宋体" w:hAnsi="宋体" w:cs="宋体"/>
                <w:kern w:val="0"/>
                <w:sz w:val="20"/>
                <w:szCs w:val="20"/>
              </w:rPr>
              <w:br w:type="textWrapping"/>
            </w:r>
            <w:r>
              <w:rPr>
                <w:rFonts w:hint="eastAsia" w:ascii="宋体" w:hAnsi="宋体" w:cs="宋体"/>
                <w:kern w:val="0"/>
                <w:sz w:val="20"/>
                <w:szCs w:val="20"/>
              </w:rPr>
              <w:t xml:space="preserve">   3、 4-8路开关信号输出（触点开断容量：250V，8A）；</w:t>
            </w:r>
            <w:r>
              <w:rPr>
                <w:rFonts w:hint="eastAsia" w:ascii="宋体" w:hAnsi="宋体" w:cs="宋体"/>
                <w:kern w:val="0"/>
                <w:sz w:val="20"/>
                <w:szCs w:val="20"/>
              </w:rPr>
              <w:br w:type="textWrapping"/>
            </w:r>
            <w:r>
              <w:rPr>
                <w:rFonts w:hint="eastAsia" w:ascii="宋体" w:hAnsi="宋体" w:cs="宋体"/>
                <w:kern w:val="0"/>
                <w:sz w:val="20"/>
                <w:szCs w:val="20"/>
              </w:rPr>
              <w:t xml:space="preserve">   4、4路开关信号输入；</w:t>
            </w:r>
            <w:r>
              <w:rPr>
                <w:rFonts w:hint="eastAsia" w:ascii="宋体" w:hAnsi="宋体" w:cs="宋体"/>
                <w:kern w:val="0"/>
                <w:sz w:val="20"/>
                <w:szCs w:val="20"/>
              </w:rPr>
              <w:br w:type="textWrapping"/>
            </w:r>
            <w:r>
              <w:rPr>
                <w:rFonts w:hint="eastAsia" w:ascii="宋体" w:hAnsi="宋体" w:cs="宋体"/>
                <w:kern w:val="0"/>
                <w:sz w:val="20"/>
                <w:szCs w:val="20"/>
              </w:rPr>
              <w:t xml:space="preserve">   5、继电器输出响应时间：&lt;1s；</w:t>
            </w:r>
            <w:r>
              <w:rPr>
                <w:rFonts w:hint="eastAsia" w:ascii="宋体" w:hAnsi="宋体" w:cs="宋体"/>
                <w:kern w:val="0"/>
                <w:sz w:val="20"/>
                <w:szCs w:val="20"/>
              </w:rPr>
              <w:br w:type="textWrapping"/>
            </w:r>
            <w:r>
              <w:rPr>
                <w:rFonts w:hint="eastAsia" w:ascii="宋体" w:hAnsi="宋体" w:cs="宋体"/>
                <w:kern w:val="0"/>
                <w:sz w:val="20"/>
                <w:szCs w:val="20"/>
              </w:rPr>
              <w:t xml:space="preserve">   6、对时误差：≤±30秒</w:t>
            </w:r>
            <w:r>
              <w:rPr>
                <w:rFonts w:hint="eastAsia" w:ascii="宋体" w:hAnsi="宋体" w:cs="宋体"/>
                <w:kern w:val="0"/>
                <w:sz w:val="20"/>
                <w:szCs w:val="20"/>
              </w:rPr>
              <w:br w:type="textWrapping"/>
            </w:r>
            <w:r>
              <w:rPr>
                <w:rFonts w:hint="eastAsia" w:ascii="宋体" w:hAnsi="宋体" w:cs="宋体"/>
                <w:kern w:val="0"/>
                <w:sz w:val="20"/>
                <w:szCs w:val="20"/>
              </w:rPr>
              <w:t xml:space="preserve">   7、 漏电流检测范围：10mA~5000 mA，测量精度≤1%；</w:t>
            </w:r>
            <w:r>
              <w:rPr>
                <w:rFonts w:hint="eastAsia" w:ascii="宋体" w:hAnsi="宋体" w:cs="宋体"/>
                <w:kern w:val="0"/>
                <w:sz w:val="20"/>
                <w:szCs w:val="20"/>
              </w:rPr>
              <w:br w:type="textWrapping"/>
            </w:r>
            <w:r>
              <w:rPr>
                <w:rFonts w:hint="eastAsia" w:ascii="宋体" w:hAnsi="宋体" w:cs="宋体"/>
                <w:kern w:val="0"/>
                <w:sz w:val="20"/>
                <w:szCs w:val="20"/>
              </w:rPr>
              <w:t xml:space="preserve">   8、工作温度：-40~70℃；</w:t>
            </w:r>
            <w:r>
              <w:rPr>
                <w:rFonts w:hint="eastAsia" w:ascii="宋体" w:hAnsi="宋体" w:cs="宋体"/>
                <w:kern w:val="0"/>
                <w:sz w:val="20"/>
                <w:szCs w:val="20"/>
              </w:rPr>
              <w:br w:type="textWrapping"/>
            </w:r>
            <w:r>
              <w:rPr>
                <w:rFonts w:hint="eastAsia" w:ascii="宋体" w:hAnsi="宋体" w:cs="宋体"/>
                <w:kern w:val="0"/>
                <w:sz w:val="20"/>
                <w:szCs w:val="20"/>
              </w:rPr>
              <w:t xml:space="preserve">   9、 工作湿度：0～95%RH（无冷凝）</w:t>
            </w:r>
            <w:r>
              <w:rPr>
                <w:rFonts w:hint="eastAsia" w:ascii="宋体" w:hAnsi="宋体" w:cs="宋体"/>
                <w:kern w:val="0"/>
                <w:sz w:val="20"/>
                <w:szCs w:val="20"/>
              </w:rPr>
              <w:br w:type="textWrapping"/>
            </w:r>
            <w:r>
              <w:rPr>
                <w:rFonts w:hint="eastAsia" w:ascii="宋体" w:hAnsi="宋体" w:cs="宋体"/>
                <w:kern w:val="0"/>
                <w:sz w:val="20"/>
                <w:szCs w:val="20"/>
              </w:rPr>
              <w:t xml:space="preserve">   10、 防护等级：≥IP51</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vMerge w:val="restart"/>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总控设备</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爱克、中电海康、浩鑫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123</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一键呼叫主机</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1、处理器：高性能嵌入式SOC处理器；</w:t>
            </w:r>
            <w:r>
              <w:rPr>
                <w:rFonts w:hint="eastAsia" w:ascii="宋体" w:hAnsi="宋体" w:cs="宋体"/>
                <w:kern w:val="0"/>
                <w:sz w:val="20"/>
                <w:szCs w:val="20"/>
              </w:rPr>
              <w:br w:type="textWrapping"/>
            </w:r>
            <w:r>
              <w:rPr>
                <w:rFonts w:hint="eastAsia" w:ascii="宋体" w:hAnsi="宋体" w:cs="宋体"/>
                <w:kern w:val="0"/>
                <w:sz w:val="20"/>
                <w:szCs w:val="20"/>
              </w:rPr>
              <w:t>2、操作系统：嵌入式Linux操作系统；</w:t>
            </w:r>
            <w:r>
              <w:rPr>
                <w:rFonts w:hint="eastAsia" w:ascii="宋体" w:hAnsi="宋体" w:cs="宋体"/>
                <w:kern w:val="0"/>
                <w:sz w:val="20"/>
                <w:szCs w:val="20"/>
              </w:rPr>
              <w:br w:type="textWrapping"/>
            </w:r>
            <w:r>
              <w:rPr>
                <w:rFonts w:hint="eastAsia" w:ascii="宋体" w:hAnsi="宋体" w:cs="宋体"/>
                <w:kern w:val="0"/>
                <w:sz w:val="20"/>
                <w:szCs w:val="20"/>
              </w:rPr>
              <w:t>3、摄像头：CMOS 200W像素；</w:t>
            </w:r>
            <w:r>
              <w:rPr>
                <w:rFonts w:hint="eastAsia" w:ascii="宋体" w:hAnsi="宋体" w:cs="宋体"/>
                <w:kern w:val="0"/>
                <w:sz w:val="20"/>
                <w:szCs w:val="20"/>
              </w:rPr>
              <w:br w:type="textWrapping"/>
            </w:r>
            <w:r>
              <w:rPr>
                <w:rFonts w:hint="eastAsia" w:ascii="宋体" w:hAnsi="宋体" w:cs="宋体"/>
                <w:kern w:val="0"/>
                <w:sz w:val="20"/>
                <w:szCs w:val="20"/>
              </w:rPr>
              <w:t>4、屏幕分辨率：1920*1080，10.1寸720P彩色TFT LCD触摸屏、机械按键；</w:t>
            </w:r>
            <w:r>
              <w:rPr>
                <w:rFonts w:hint="eastAsia" w:ascii="宋体" w:hAnsi="宋体" w:cs="宋体"/>
                <w:kern w:val="0"/>
                <w:sz w:val="20"/>
                <w:szCs w:val="20"/>
              </w:rPr>
              <w:br w:type="textWrapping"/>
            </w:r>
            <w:r>
              <w:rPr>
                <w:rFonts w:hint="eastAsia" w:ascii="宋体" w:hAnsi="宋体" w:cs="宋体"/>
                <w:kern w:val="0"/>
                <w:sz w:val="20"/>
                <w:szCs w:val="20"/>
              </w:rPr>
              <w:t>5、音视频接口：支持VGA、HDMI接口输出以及外接音频输入输出；</w:t>
            </w:r>
            <w:r>
              <w:rPr>
                <w:rFonts w:hint="eastAsia" w:ascii="宋体" w:hAnsi="宋体" w:cs="宋体"/>
                <w:kern w:val="0"/>
                <w:sz w:val="20"/>
                <w:szCs w:val="20"/>
              </w:rPr>
              <w:br w:type="textWrapping"/>
            </w:r>
            <w:r>
              <w:rPr>
                <w:rFonts w:hint="eastAsia" w:ascii="宋体" w:hAnsi="宋体" w:cs="宋体"/>
                <w:kern w:val="0"/>
                <w:sz w:val="20"/>
                <w:szCs w:val="20"/>
              </w:rPr>
              <w:t>6、以太网：1个RJ45 10M/100M/1000M自适应；</w:t>
            </w:r>
            <w:r>
              <w:rPr>
                <w:rFonts w:hint="eastAsia" w:ascii="宋体" w:hAnsi="宋体" w:cs="宋体"/>
                <w:kern w:val="0"/>
                <w:sz w:val="20"/>
                <w:szCs w:val="20"/>
              </w:rPr>
              <w:br w:type="textWrapping"/>
            </w:r>
            <w:r>
              <w:rPr>
                <w:rFonts w:hint="eastAsia" w:ascii="宋体" w:hAnsi="宋体" w:cs="宋体"/>
                <w:kern w:val="0"/>
                <w:sz w:val="20"/>
                <w:szCs w:val="20"/>
              </w:rPr>
              <w:t>7、USB：1个USB 3.0接口、1个USB2.0接口；</w:t>
            </w:r>
            <w:r>
              <w:rPr>
                <w:rFonts w:hint="eastAsia" w:ascii="宋体" w:hAnsi="宋体" w:cs="宋体"/>
                <w:kern w:val="0"/>
                <w:sz w:val="20"/>
                <w:szCs w:val="20"/>
              </w:rPr>
              <w:br w:type="textWrapping"/>
            </w:r>
            <w:r>
              <w:rPr>
                <w:rFonts w:hint="eastAsia" w:ascii="宋体" w:hAnsi="宋体" w:cs="宋体"/>
                <w:kern w:val="0"/>
                <w:sz w:val="20"/>
                <w:szCs w:val="20"/>
              </w:rPr>
              <w:t>8、网络协议：TCP/IP、SNMP、SIP、RTSP</w:t>
            </w:r>
            <w:r>
              <w:rPr>
                <w:rFonts w:hint="eastAsia" w:ascii="宋体" w:hAnsi="宋体" w:cs="宋体"/>
                <w:kern w:val="0"/>
                <w:sz w:val="20"/>
                <w:szCs w:val="20"/>
              </w:rPr>
              <w:br w:type="textWrapping"/>
            </w:r>
            <w:r>
              <w:rPr>
                <w:rFonts w:hint="eastAsia" w:ascii="宋体" w:hAnsi="宋体" w:cs="宋体"/>
                <w:kern w:val="0"/>
                <w:sz w:val="20"/>
                <w:szCs w:val="20"/>
              </w:rPr>
              <w:t>9、RS485：2个，RS485半双工接口；</w:t>
            </w:r>
            <w:r>
              <w:rPr>
                <w:rFonts w:hint="eastAsia" w:ascii="宋体" w:hAnsi="宋体" w:cs="宋体"/>
                <w:kern w:val="0"/>
                <w:sz w:val="20"/>
                <w:szCs w:val="20"/>
              </w:rPr>
              <w:br w:type="textWrapping"/>
            </w:r>
            <w:r>
              <w:rPr>
                <w:rFonts w:hint="eastAsia" w:ascii="宋体" w:hAnsi="宋体" w:cs="宋体"/>
                <w:kern w:val="0"/>
                <w:sz w:val="20"/>
                <w:szCs w:val="20"/>
              </w:rPr>
              <w:t>10、IO口：4个开关量输入，2个开关量输出，2个继电器输出；</w:t>
            </w:r>
            <w:r>
              <w:rPr>
                <w:rFonts w:hint="eastAsia" w:ascii="宋体" w:hAnsi="宋体" w:cs="宋体"/>
                <w:kern w:val="0"/>
                <w:sz w:val="20"/>
                <w:szCs w:val="20"/>
              </w:rPr>
              <w:br w:type="textWrapping"/>
            </w:r>
            <w:r>
              <w:rPr>
                <w:rFonts w:hint="eastAsia" w:ascii="宋体" w:hAnsi="宋体" w:cs="宋体"/>
                <w:kern w:val="0"/>
                <w:sz w:val="20"/>
                <w:szCs w:val="20"/>
              </w:rPr>
              <w:t>11、电源：DC12V、PoE (IEEE 802.3 at/af)；</w:t>
            </w:r>
            <w:r>
              <w:rPr>
                <w:rFonts w:hint="eastAsia" w:ascii="宋体" w:hAnsi="宋体" w:cs="宋体"/>
                <w:kern w:val="0"/>
                <w:sz w:val="20"/>
                <w:szCs w:val="20"/>
              </w:rPr>
              <w:br w:type="textWrapping"/>
            </w:r>
            <w:r>
              <w:rPr>
                <w:rFonts w:hint="eastAsia" w:ascii="宋体" w:hAnsi="宋体" w:cs="宋体"/>
                <w:kern w:val="0"/>
                <w:sz w:val="20"/>
                <w:szCs w:val="20"/>
              </w:rPr>
              <w:t>12、管理前端路数：256路；</w:t>
            </w:r>
            <w:r>
              <w:rPr>
                <w:rFonts w:hint="eastAsia" w:ascii="宋体" w:hAnsi="宋体" w:cs="宋体"/>
                <w:kern w:val="0"/>
                <w:sz w:val="20"/>
                <w:szCs w:val="20"/>
              </w:rPr>
              <w:br w:type="textWrapping"/>
            </w:r>
            <w:r>
              <w:rPr>
                <w:rFonts w:hint="eastAsia" w:ascii="宋体" w:hAnsi="宋体" w:cs="宋体"/>
                <w:kern w:val="0"/>
                <w:sz w:val="20"/>
                <w:szCs w:val="20"/>
              </w:rPr>
              <w:t>13、功耗：≤15w</w:t>
            </w:r>
            <w:r>
              <w:rPr>
                <w:rFonts w:hint="eastAsia" w:ascii="宋体" w:hAnsi="宋体" w:cs="宋体"/>
                <w:kern w:val="0"/>
                <w:sz w:val="20"/>
                <w:szCs w:val="20"/>
              </w:rPr>
              <w:br w:type="textWrapping"/>
            </w:r>
            <w:r>
              <w:rPr>
                <w:rFonts w:hint="eastAsia" w:ascii="宋体" w:hAnsi="宋体" w:cs="宋体"/>
                <w:kern w:val="0"/>
                <w:sz w:val="20"/>
                <w:szCs w:val="20"/>
              </w:rPr>
              <w:t>14、工作环境：-10℃-＋55℃，10％-90％；</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vMerge w:val="continue"/>
            <w:noWrap w:val="0"/>
            <w:vAlign w:val="center"/>
          </w:tcPr>
          <w:p>
            <w:pPr>
              <w:widowControl/>
              <w:snapToGrid w:val="0"/>
              <w:jc w:val="left"/>
              <w:rPr>
                <w:rFonts w:ascii="宋体" w:hAnsi="宋体" w:cs="宋体"/>
                <w:kern w:val="0"/>
                <w:sz w:val="20"/>
                <w:szCs w:val="20"/>
              </w:rPr>
            </w:pPr>
          </w:p>
        </w:tc>
        <w:tc>
          <w:tcPr>
            <w:tcW w:w="1414"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爱克、中电海康、浩鑫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124</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路由器</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xml:space="preserve">链路毫秒级快速故障侦测技术（BFD），可实现同静态路由、动态路由（RIP/OSPF/BGP/ISIS）、VRRP和接口备份的联动                                         </w:t>
            </w:r>
            <w:r>
              <w:rPr>
                <w:rFonts w:hint="eastAsia" w:ascii="宋体" w:hAnsi="宋体" w:cs="宋体"/>
                <w:kern w:val="0"/>
                <w:sz w:val="20"/>
                <w:szCs w:val="20"/>
              </w:rPr>
              <w:br w:type="textWrapping"/>
            </w:r>
            <w:r>
              <w:rPr>
                <w:rFonts w:hint="eastAsia" w:ascii="宋体" w:hAnsi="宋体" w:cs="宋体"/>
                <w:kern w:val="0"/>
                <w:sz w:val="20"/>
                <w:szCs w:val="20"/>
              </w:rPr>
              <w:t>2、交换接口可实现2/3层切换，配置应用灵活方便，交换接口支持丰富的交换端口安全特性，支持Portal/802.1X认证                                                                        3、8GE（电）全部支持切换成WAN口支持接口备份</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vMerge w:val="continue"/>
            <w:noWrap w:val="0"/>
            <w:vAlign w:val="center"/>
          </w:tcPr>
          <w:p>
            <w:pPr>
              <w:widowControl/>
              <w:snapToGrid w:val="0"/>
              <w:jc w:val="left"/>
              <w:rPr>
                <w:rFonts w:ascii="宋体" w:hAnsi="宋体" w:cs="宋体"/>
                <w:kern w:val="0"/>
                <w:sz w:val="20"/>
                <w:szCs w:val="20"/>
              </w:rPr>
            </w:pPr>
          </w:p>
        </w:tc>
        <w:tc>
          <w:tcPr>
            <w:tcW w:w="1414"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华三、华为、锐捷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125</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服务器</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1、2U机架式服务器,2颗Intel Xeon 4208 2.1GHz 8核16线程CPU；</w:t>
            </w:r>
            <w:r>
              <w:rPr>
                <w:rFonts w:hint="eastAsia" w:ascii="宋体" w:hAnsi="宋体" w:cs="宋体"/>
                <w:kern w:val="0"/>
                <w:sz w:val="20"/>
                <w:szCs w:val="20"/>
              </w:rPr>
              <w:br w:type="textWrapping"/>
            </w:r>
            <w:r>
              <w:rPr>
                <w:rFonts w:hint="eastAsia" w:ascii="宋体" w:hAnsi="宋体" w:cs="宋体"/>
                <w:kern w:val="0"/>
                <w:sz w:val="20"/>
                <w:szCs w:val="20"/>
              </w:rPr>
              <w:t>2、内存：4*16GB DDR4 2666内存条，5*600G固态系统盘 RAID5 ；</w:t>
            </w:r>
            <w:r>
              <w:rPr>
                <w:rFonts w:hint="eastAsia" w:ascii="宋体" w:hAnsi="宋体" w:cs="宋体"/>
                <w:kern w:val="0"/>
                <w:sz w:val="20"/>
                <w:szCs w:val="20"/>
              </w:rPr>
              <w:br w:type="textWrapping"/>
            </w:r>
            <w:r>
              <w:rPr>
                <w:rFonts w:hint="eastAsia" w:ascii="宋体" w:hAnsi="宋体" w:cs="宋体"/>
                <w:kern w:val="0"/>
                <w:sz w:val="20"/>
                <w:szCs w:val="20"/>
              </w:rPr>
              <w:t>3、电源：2*550W白金电源；</w:t>
            </w:r>
            <w:r>
              <w:rPr>
                <w:rFonts w:hint="eastAsia" w:ascii="宋体" w:hAnsi="宋体" w:cs="宋体"/>
                <w:kern w:val="0"/>
                <w:sz w:val="20"/>
                <w:szCs w:val="20"/>
              </w:rPr>
              <w:br w:type="textWrapping"/>
            </w:r>
            <w:r>
              <w:rPr>
                <w:rFonts w:hint="eastAsia" w:ascii="宋体" w:hAnsi="宋体" w:cs="宋体"/>
                <w:kern w:val="0"/>
                <w:sz w:val="20"/>
                <w:szCs w:val="20"/>
              </w:rPr>
              <w:t>4、TPM 1.2/2.0；PFA；</w:t>
            </w:r>
            <w:r>
              <w:rPr>
                <w:rFonts w:hint="eastAsia" w:ascii="宋体" w:hAnsi="宋体" w:cs="宋体"/>
                <w:kern w:val="0"/>
                <w:sz w:val="20"/>
                <w:szCs w:val="20"/>
              </w:rPr>
              <w:br w:type="textWrapping"/>
            </w:r>
            <w:r>
              <w:rPr>
                <w:rFonts w:hint="eastAsia" w:ascii="宋体" w:hAnsi="宋体" w:cs="宋体"/>
                <w:kern w:val="0"/>
                <w:sz w:val="20"/>
                <w:szCs w:val="20"/>
              </w:rPr>
              <w:t>5、热插拔/冗余驱动器、风扇和电源；</w:t>
            </w:r>
            <w:r>
              <w:rPr>
                <w:rFonts w:hint="eastAsia" w:ascii="宋体" w:hAnsi="宋体" w:cs="宋体"/>
                <w:kern w:val="0"/>
                <w:sz w:val="20"/>
                <w:szCs w:val="20"/>
              </w:rPr>
              <w:br w:type="textWrapping"/>
            </w:r>
            <w:r>
              <w:rPr>
                <w:rFonts w:hint="eastAsia" w:ascii="宋体" w:hAnsi="宋体" w:cs="宋体"/>
                <w:kern w:val="0"/>
                <w:sz w:val="20"/>
                <w:szCs w:val="20"/>
              </w:rPr>
              <w:t>6、45°C 温度下持续运行；</w:t>
            </w:r>
            <w:r>
              <w:rPr>
                <w:rFonts w:hint="eastAsia" w:ascii="宋体" w:hAnsi="宋体" w:cs="宋体"/>
                <w:kern w:val="0"/>
                <w:sz w:val="20"/>
                <w:szCs w:val="20"/>
              </w:rPr>
              <w:br w:type="textWrapping"/>
            </w:r>
            <w:r>
              <w:rPr>
                <w:rFonts w:hint="eastAsia" w:ascii="宋体" w:hAnsi="宋体" w:cs="宋体"/>
                <w:kern w:val="0"/>
                <w:sz w:val="20"/>
                <w:szCs w:val="20"/>
              </w:rPr>
              <w:t>7、光通路诊断LED；</w:t>
            </w:r>
            <w:r>
              <w:rPr>
                <w:rFonts w:hint="eastAsia" w:ascii="宋体" w:hAnsi="宋体" w:cs="宋体"/>
                <w:kern w:val="0"/>
                <w:sz w:val="20"/>
                <w:szCs w:val="20"/>
              </w:rPr>
              <w:br w:type="textWrapping"/>
            </w:r>
            <w:r>
              <w:rPr>
                <w:rFonts w:hint="eastAsia" w:ascii="宋体" w:hAnsi="宋体" w:cs="宋体"/>
                <w:kern w:val="0"/>
                <w:sz w:val="20"/>
                <w:szCs w:val="20"/>
              </w:rPr>
              <w:t>8、可通过专用 USB 端口进行前端访问诊断；</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vMerge w:val="continue"/>
            <w:noWrap w:val="0"/>
            <w:vAlign w:val="center"/>
          </w:tcPr>
          <w:p>
            <w:pPr>
              <w:widowControl/>
              <w:snapToGrid w:val="0"/>
              <w:jc w:val="left"/>
              <w:rPr>
                <w:rFonts w:ascii="宋体" w:hAnsi="宋体" w:cs="宋体"/>
                <w:kern w:val="0"/>
                <w:sz w:val="20"/>
                <w:szCs w:val="20"/>
              </w:rPr>
            </w:pPr>
          </w:p>
        </w:tc>
        <w:tc>
          <w:tcPr>
            <w:tcW w:w="1414"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爱克、中电海康、浩鑫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126</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智慧路灯管理平台</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支持web页面访问，含智慧照明、气象感知、多媒体屏等系统，采用多级架构支持平台系统自身规模的扩展，同时承载大容量业务接入的核心服务器、分发、编解码等均支持灵活扩展、平滑扩容，并提供可开放、可共享的接口。</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爱克、中电海康、浩鑫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127</w:t>
            </w:r>
          </w:p>
        </w:tc>
        <w:tc>
          <w:tcPr>
            <w:tcW w:w="425" w:type="dxa"/>
            <w:vMerge w:val="restart"/>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未来服务</w:t>
            </w:r>
          </w:p>
        </w:tc>
        <w:tc>
          <w:tcPr>
            <w:tcW w:w="417" w:type="dxa"/>
            <w:vMerge w:val="restart"/>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视频监控</w:t>
            </w: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室内400万半球摄像机</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400万 1/3" CMOS ICR 红外阵列半球型网络摄像机</w:t>
            </w:r>
            <w:r>
              <w:rPr>
                <w:rFonts w:hint="eastAsia" w:ascii="宋体" w:hAnsi="宋体" w:cs="宋体"/>
                <w:kern w:val="0"/>
                <w:sz w:val="20"/>
                <w:szCs w:val="20"/>
              </w:rPr>
              <w:br w:type="textWrapping"/>
            </w:r>
            <w:r>
              <w:rPr>
                <w:rFonts w:hint="eastAsia" w:ascii="宋体" w:hAnsi="宋体" w:cs="宋体"/>
                <w:kern w:val="0"/>
                <w:sz w:val="20"/>
                <w:szCs w:val="20"/>
              </w:rPr>
              <w:t>最低照度: 彩色：0.005 Lux @（F1.2, AGC ON），0 Lux with IR</w:t>
            </w:r>
            <w:r>
              <w:rPr>
                <w:rFonts w:hint="eastAsia" w:ascii="宋体" w:hAnsi="宋体" w:cs="宋体"/>
                <w:kern w:val="0"/>
                <w:sz w:val="20"/>
                <w:szCs w:val="20"/>
              </w:rPr>
              <w:br w:type="textWrapping"/>
            </w:r>
            <w:r>
              <w:rPr>
                <w:rFonts w:hint="eastAsia" w:ascii="宋体" w:hAnsi="宋体" w:cs="宋体"/>
                <w:kern w:val="0"/>
                <w:sz w:val="20"/>
                <w:szCs w:val="20"/>
              </w:rPr>
              <w:t>宽动态: 数字宽动态</w:t>
            </w:r>
            <w:r>
              <w:rPr>
                <w:rFonts w:hint="eastAsia" w:ascii="宋体" w:hAnsi="宋体" w:cs="宋体"/>
                <w:kern w:val="0"/>
                <w:sz w:val="20"/>
                <w:szCs w:val="20"/>
              </w:rPr>
              <w:br w:type="textWrapping"/>
            </w:r>
            <w:r>
              <w:rPr>
                <w:rFonts w:hint="eastAsia" w:ascii="宋体" w:hAnsi="宋体" w:cs="宋体"/>
                <w:kern w:val="0"/>
                <w:sz w:val="20"/>
                <w:szCs w:val="20"/>
              </w:rPr>
              <w:t>调节角度: 水平：0°~360°；垂直：0°~75°；旋转：0°~360°</w:t>
            </w:r>
            <w:r>
              <w:rPr>
                <w:rFonts w:hint="eastAsia" w:ascii="宋体" w:hAnsi="宋体" w:cs="宋体"/>
                <w:kern w:val="0"/>
                <w:sz w:val="20"/>
                <w:szCs w:val="20"/>
              </w:rPr>
              <w:br w:type="textWrapping"/>
            </w:r>
            <w:r>
              <w:rPr>
                <w:rFonts w:hint="eastAsia" w:ascii="宋体" w:hAnsi="宋体" w:cs="宋体"/>
                <w:kern w:val="0"/>
                <w:sz w:val="20"/>
                <w:szCs w:val="20"/>
              </w:rPr>
              <w:t>补光距离: 最远可达30 m</w:t>
            </w:r>
            <w:r>
              <w:rPr>
                <w:rFonts w:hint="eastAsia" w:ascii="宋体" w:hAnsi="宋体" w:cs="宋体"/>
                <w:kern w:val="0"/>
                <w:sz w:val="20"/>
                <w:szCs w:val="20"/>
              </w:rPr>
              <w:br w:type="textWrapping"/>
            </w:r>
            <w:r>
              <w:rPr>
                <w:rFonts w:hint="eastAsia" w:ascii="宋体" w:hAnsi="宋体" w:cs="宋体"/>
                <w:kern w:val="0"/>
                <w:sz w:val="20"/>
                <w:szCs w:val="20"/>
              </w:rPr>
              <w:t>波长范围: 850 nm</w:t>
            </w:r>
            <w:r>
              <w:rPr>
                <w:rFonts w:hint="eastAsia" w:ascii="宋体" w:hAnsi="宋体" w:cs="宋体"/>
                <w:kern w:val="0"/>
                <w:sz w:val="20"/>
                <w:szCs w:val="20"/>
              </w:rPr>
              <w:br w:type="textWrapping"/>
            </w:r>
            <w:r>
              <w:rPr>
                <w:rFonts w:hint="eastAsia" w:ascii="宋体" w:hAnsi="宋体" w:cs="宋体"/>
                <w:kern w:val="0"/>
                <w:sz w:val="20"/>
                <w:szCs w:val="20"/>
              </w:rPr>
              <w:t>防补光过曝: 支持</w:t>
            </w:r>
            <w:r>
              <w:rPr>
                <w:rFonts w:hint="eastAsia" w:ascii="宋体" w:hAnsi="宋体" w:cs="宋体"/>
                <w:kern w:val="0"/>
                <w:sz w:val="20"/>
                <w:szCs w:val="20"/>
              </w:rPr>
              <w:br w:type="textWrapping"/>
            </w:r>
            <w:r>
              <w:rPr>
                <w:rFonts w:hint="eastAsia" w:ascii="宋体" w:hAnsi="宋体" w:cs="宋体"/>
                <w:kern w:val="0"/>
                <w:sz w:val="20"/>
                <w:szCs w:val="20"/>
              </w:rPr>
              <w:t>补光灯类型: 红外灯</w:t>
            </w:r>
            <w:r>
              <w:rPr>
                <w:rFonts w:hint="eastAsia" w:ascii="宋体" w:hAnsi="宋体" w:cs="宋体"/>
                <w:kern w:val="0"/>
                <w:sz w:val="20"/>
                <w:szCs w:val="20"/>
              </w:rPr>
              <w:br w:type="textWrapping"/>
            </w:r>
            <w:r>
              <w:rPr>
                <w:rFonts w:hint="eastAsia" w:ascii="宋体" w:hAnsi="宋体" w:cs="宋体"/>
                <w:kern w:val="0"/>
                <w:sz w:val="20"/>
                <w:szCs w:val="20"/>
              </w:rPr>
              <w:t>最大图像尺寸: 2560 × 1440</w:t>
            </w:r>
            <w:r>
              <w:rPr>
                <w:rFonts w:hint="eastAsia" w:ascii="宋体" w:hAnsi="宋体" w:cs="宋体"/>
                <w:kern w:val="0"/>
                <w:sz w:val="20"/>
                <w:szCs w:val="20"/>
              </w:rPr>
              <w:br w:type="textWrapping"/>
            </w:r>
            <w:r>
              <w:rPr>
                <w:rFonts w:hint="eastAsia" w:ascii="宋体" w:hAnsi="宋体" w:cs="宋体"/>
                <w:kern w:val="0"/>
                <w:sz w:val="20"/>
                <w:szCs w:val="20"/>
              </w:rPr>
              <w:t>视频压缩标准: 主码流：H.265/H.264</w:t>
            </w:r>
            <w:r>
              <w:rPr>
                <w:rFonts w:hint="eastAsia" w:ascii="宋体" w:hAnsi="宋体" w:cs="宋体"/>
                <w:kern w:val="0"/>
                <w:sz w:val="20"/>
                <w:szCs w:val="20"/>
              </w:rPr>
              <w:br w:type="textWrapping"/>
            </w:r>
            <w:r>
              <w:rPr>
                <w:rFonts w:hint="eastAsia" w:ascii="宋体" w:hAnsi="宋体" w:cs="宋体"/>
                <w:kern w:val="0"/>
                <w:sz w:val="20"/>
                <w:szCs w:val="20"/>
              </w:rPr>
              <w:t>音频: 1个内置麦克风</w:t>
            </w:r>
            <w:r>
              <w:rPr>
                <w:rFonts w:hint="eastAsia" w:ascii="宋体" w:hAnsi="宋体" w:cs="宋体"/>
                <w:kern w:val="0"/>
                <w:sz w:val="20"/>
                <w:szCs w:val="20"/>
              </w:rPr>
              <w:br w:type="textWrapping"/>
            </w:r>
            <w:r>
              <w:rPr>
                <w:rFonts w:hint="eastAsia" w:ascii="宋体" w:hAnsi="宋体" w:cs="宋体"/>
                <w:kern w:val="0"/>
                <w:sz w:val="20"/>
                <w:szCs w:val="20"/>
              </w:rPr>
              <w:t>网络: 1个RJ45 10 M/100 M自适应以太网口</w:t>
            </w:r>
            <w:r>
              <w:rPr>
                <w:rFonts w:hint="eastAsia" w:ascii="宋体" w:hAnsi="宋体" w:cs="宋体"/>
                <w:kern w:val="0"/>
                <w:sz w:val="20"/>
                <w:szCs w:val="20"/>
              </w:rPr>
              <w:br w:type="textWrapping"/>
            </w:r>
            <w:r>
              <w:rPr>
                <w:rFonts w:hint="eastAsia" w:ascii="宋体" w:hAnsi="宋体" w:cs="宋体"/>
                <w:kern w:val="0"/>
                <w:sz w:val="20"/>
                <w:szCs w:val="20"/>
              </w:rPr>
              <w:t>存储温湿度: -30 ℃~60 ℃，湿度小于95%（无凝结）</w:t>
            </w:r>
            <w:r>
              <w:rPr>
                <w:rFonts w:hint="eastAsia" w:ascii="宋体" w:hAnsi="宋体" w:cs="宋体"/>
                <w:kern w:val="0"/>
                <w:sz w:val="20"/>
                <w:szCs w:val="20"/>
              </w:rPr>
              <w:br w:type="textWrapping"/>
            </w:r>
            <w:r>
              <w:rPr>
                <w:rFonts w:hint="eastAsia" w:ascii="宋体" w:hAnsi="宋体" w:cs="宋体"/>
                <w:kern w:val="0"/>
                <w:sz w:val="20"/>
                <w:szCs w:val="20"/>
              </w:rPr>
              <w:t>启动及工作温湿度: -30 ℃~60 ℃，湿度小于95%（无凝结）</w:t>
            </w:r>
            <w:r>
              <w:rPr>
                <w:rFonts w:hint="eastAsia" w:ascii="宋体" w:hAnsi="宋体" w:cs="宋体"/>
                <w:kern w:val="0"/>
                <w:sz w:val="20"/>
                <w:szCs w:val="20"/>
              </w:rPr>
              <w:br w:type="textWrapping"/>
            </w:r>
            <w:r>
              <w:rPr>
                <w:rFonts w:hint="eastAsia" w:ascii="宋体" w:hAnsi="宋体" w:cs="宋体"/>
                <w:kern w:val="0"/>
                <w:sz w:val="20"/>
                <w:szCs w:val="20"/>
              </w:rPr>
              <w:t>供电方式: DC：12 V ± 25%，支持防反接保护；PoE：802.3af，Class 3</w:t>
            </w:r>
            <w:r>
              <w:rPr>
                <w:rFonts w:hint="eastAsia" w:ascii="宋体" w:hAnsi="宋体" w:cs="宋体"/>
                <w:kern w:val="0"/>
                <w:sz w:val="20"/>
                <w:szCs w:val="20"/>
              </w:rPr>
              <w:br w:type="textWrapping"/>
            </w:r>
            <w:r>
              <w:rPr>
                <w:rFonts w:hint="eastAsia" w:ascii="宋体" w:hAnsi="宋体" w:cs="宋体"/>
                <w:kern w:val="0"/>
                <w:sz w:val="20"/>
                <w:szCs w:val="20"/>
              </w:rPr>
              <w:t>电流及功耗: DC：12 V，0.4 A，最大功耗：5 W；PoE：802.3af，36 V~57 V，0.2 A~0.15 A，最大功耗：6.5 W</w:t>
            </w:r>
            <w:r>
              <w:rPr>
                <w:rFonts w:hint="eastAsia" w:ascii="宋体" w:hAnsi="宋体" w:cs="宋体"/>
                <w:kern w:val="0"/>
                <w:sz w:val="20"/>
                <w:szCs w:val="20"/>
              </w:rPr>
              <w:br w:type="textWrapping"/>
            </w:r>
            <w:r>
              <w:rPr>
                <w:rFonts w:hint="eastAsia" w:ascii="宋体" w:hAnsi="宋体" w:cs="宋体"/>
                <w:kern w:val="0"/>
                <w:sz w:val="20"/>
                <w:szCs w:val="20"/>
              </w:rPr>
              <w:t>电源接口类型: Ø5.5 mm圆口</w:t>
            </w:r>
            <w:r>
              <w:rPr>
                <w:rFonts w:hint="eastAsia" w:ascii="宋体" w:hAnsi="宋体" w:cs="宋体"/>
                <w:kern w:val="0"/>
                <w:sz w:val="20"/>
                <w:szCs w:val="20"/>
              </w:rPr>
              <w:br w:type="textWrapping"/>
            </w:r>
            <w:r>
              <w:rPr>
                <w:rFonts w:hint="eastAsia" w:ascii="宋体" w:hAnsi="宋体" w:cs="宋体"/>
                <w:kern w:val="0"/>
                <w:sz w:val="20"/>
                <w:szCs w:val="20"/>
              </w:rPr>
              <w:t>防护: IP66</w:t>
            </w:r>
          </w:p>
        </w:tc>
        <w:tc>
          <w:tcPr>
            <w:tcW w:w="724" w:type="dxa"/>
            <w:noWrap w:val="0"/>
            <w:vAlign w:val="center"/>
          </w:tcPr>
          <w:p>
            <w:pPr>
              <w:widowControl/>
              <w:snapToGrid w:val="0"/>
              <w:jc w:val="center"/>
              <w:rPr>
                <w:rFonts w:ascii="宋体" w:hAnsi="宋体" w:cs="宋体"/>
                <w:kern w:val="0"/>
                <w:sz w:val="20"/>
                <w:szCs w:val="20"/>
              </w:rPr>
            </w:pPr>
            <w:r>
              <w:rPr>
                <w:rFonts w:ascii="宋体" w:hAnsi="宋体" w:cs="宋体"/>
                <w:kern w:val="0"/>
                <w:sz w:val="20"/>
                <w:szCs w:val="20"/>
              </w:rPr>
              <w:t>4</w:t>
            </w:r>
            <w:r>
              <w:rPr>
                <w:rFonts w:hint="eastAsia" w:ascii="宋体" w:hAnsi="宋体" w:cs="宋体"/>
                <w:kern w:val="0"/>
                <w:sz w:val="20"/>
                <w:szCs w:val="20"/>
              </w:rPr>
              <w:t>5</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只</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128</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室外400万枪机</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400万 1/3" CMOS 红外筒型网络摄像机</w:t>
            </w:r>
            <w:r>
              <w:rPr>
                <w:rFonts w:hint="eastAsia" w:ascii="宋体" w:hAnsi="宋体" w:cs="宋体"/>
                <w:kern w:val="0"/>
                <w:sz w:val="20"/>
                <w:szCs w:val="20"/>
              </w:rPr>
              <w:br w:type="textWrapping"/>
            </w:r>
            <w:r>
              <w:rPr>
                <w:rFonts w:hint="eastAsia" w:ascii="宋体" w:hAnsi="宋体" w:cs="宋体"/>
                <w:kern w:val="0"/>
                <w:sz w:val="20"/>
                <w:szCs w:val="20"/>
              </w:rPr>
              <w:t>智能侦测：支持越界侦测，区域入侵侦测</w:t>
            </w:r>
            <w:r>
              <w:rPr>
                <w:rFonts w:hint="eastAsia" w:ascii="宋体" w:hAnsi="宋体" w:cs="宋体"/>
                <w:kern w:val="0"/>
                <w:sz w:val="20"/>
                <w:szCs w:val="20"/>
              </w:rPr>
              <w:br w:type="textWrapping"/>
            </w:r>
            <w:r>
              <w:rPr>
                <w:rFonts w:hint="eastAsia" w:ascii="宋体" w:hAnsi="宋体" w:cs="宋体"/>
                <w:kern w:val="0"/>
                <w:sz w:val="20"/>
                <w:szCs w:val="20"/>
              </w:rPr>
              <w:t>最低照度: 彩色：0.005 Lux @（F1.2，AGC ON），0 Lux with IR</w:t>
            </w:r>
            <w:r>
              <w:rPr>
                <w:rFonts w:hint="eastAsia" w:ascii="宋体" w:hAnsi="宋体" w:cs="宋体"/>
                <w:kern w:val="0"/>
                <w:sz w:val="20"/>
                <w:szCs w:val="20"/>
              </w:rPr>
              <w:br w:type="textWrapping"/>
            </w:r>
            <w:r>
              <w:rPr>
                <w:rFonts w:hint="eastAsia" w:ascii="宋体" w:hAnsi="宋体" w:cs="宋体"/>
                <w:kern w:val="0"/>
                <w:sz w:val="20"/>
                <w:szCs w:val="20"/>
              </w:rPr>
              <w:t>宽动态: 120 dB</w:t>
            </w:r>
            <w:r>
              <w:rPr>
                <w:rFonts w:hint="eastAsia" w:ascii="宋体" w:hAnsi="宋体" w:cs="宋体"/>
                <w:kern w:val="0"/>
                <w:sz w:val="20"/>
                <w:szCs w:val="20"/>
              </w:rPr>
              <w:br w:type="textWrapping"/>
            </w:r>
            <w:r>
              <w:rPr>
                <w:rFonts w:hint="eastAsia" w:ascii="宋体" w:hAnsi="宋体" w:cs="宋体"/>
                <w:kern w:val="0"/>
                <w:sz w:val="20"/>
                <w:szCs w:val="20"/>
              </w:rPr>
              <w:t>焦距&amp;视场角:</w:t>
            </w:r>
            <w:r>
              <w:rPr>
                <w:rFonts w:hint="eastAsia" w:ascii="宋体" w:hAnsi="宋体" w:cs="宋体"/>
                <w:kern w:val="0"/>
                <w:sz w:val="20"/>
                <w:szCs w:val="20"/>
              </w:rPr>
              <w:br w:type="textWrapping"/>
            </w:r>
            <w:r>
              <w:rPr>
                <w:rFonts w:hint="eastAsia" w:ascii="宋体" w:hAnsi="宋体" w:cs="宋体"/>
                <w:kern w:val="0"/>
                <w:sz w:val="20"/>
                <w:szCs w:val="20"/>
              </w:rPr>
              <w:t>2.8 mm，水平视场角：97°，垂直视场角：52.3°，对角视场角：114.3°（2.8mm，4mm，6mm，8mm，12mm可选）</w:t>
            </w:r>
            <w:r>
              <w:rPr>
                <w:rFonts w:hint="eastAsia" w:ascii="宋体" w:hAnsi="宋体" w:cs="宋体"/>
                <w:kern w:val="0"/>
                <w:sz w:val="20"/>
                <w:szCs w:val="20"/>
              </w:rPr>
              <w:br w:type="textWrapping"/>
            </w:r>
            <w:r>
              <w:rPr>
                <w:rFonts w:hint="eastAsia" w:ascii="宋体" w:hAnsi="宋体" w:cs="宋体"/>
                <w:kern w:val="0"/>
                <w:sz w:val="20"/>
                <w:szCs w:val="20"/>
              </w:rPr>
              <w:t>补光距离: 最远可达30 m</w:t>
            </w:r>
            <w:r>
              <w:rPr>
                <w:rFonts w:hint="eastAsia" w:ascii="宋体" w:hAnsi="宋体" w:cs="宋体"/>
                <w:kern w:val="0"/>
                <w:sz w:val="20"/>
                <w:szCs w:val="20"/>
              </w:rPr>
              <w:br w:type="textWrapping"/>
            </w:r>
            <w:r>
              <w:rPr>
                <w:rFonts w:hint="eastAsia" w:ascii="宋体" w:hAnsi="宋体" w:cs="宋体"/>
                <w:kern w:val="0"/>
                <w:sz w:val="20"/>
                <w:szCs w:val="20"/>
              </w:rPr>
              <w:t>防补光过曝: 支持</w:t>
            </w:r>
            <w:r>
              <w:rPr>
                <w:rFonts w:hint="eastAsia" w:ascii="宋体" w:hAnsi="宋体" w:cs="宋体"/>
                <w:kern w:val="0"/>
                <w:sz w:val="20"/>
                <w:szCs w:val="20"/>
              </w:rPr>
              <w:br w:type="textWrapping"/>
            </w:r>
            <w:r>
              <w:rPr>
                <w:rFonts w:hint="eastAsia" w:ascii="宋体" w:hAnsi="宋体" w:cs="宋体"/>
                <w:kern w:val="0"/>
                <w:sz w:val="20"/>
                <w:szCs w:val="20"/>
              </w:rPr>
              <w:t>红外波长范围: 850 nm</w:t>
            </w:r>
            <w:r>
              <w:rPr>
                <w:rFonts w:hint="eastAsia" w:ascii="宋体" w:hAnsi="宋体" w:cs="宋体"/>
                <w:kern w:val="0"/>
                <w:sz w:val="20"/>
                <w:szCs w:val="20"/>
              </w:rPr>
              <w:br w:type="textWrapping"/>
            </w:r>
            <w:r>
              <w:rPr>
                <w:rFonts w:hint="eastAsia" w:ascii="宋体" w:hAnsi="宋体" w:cs="宋体"/>
                <w:kern w:val="0"/>
                <w:sz w:val="20"/>
                <w:szCs w:val="20"/>
              </w:rPr>
              <w:t>补光灯类型: 红外灯</w:t>
            </w:r>
            <w:r>
              <w:rPr>
                <w:rFonts w:hint="eastAsia" w:ascii="宋体" w:hAnsi="宋体" w:cs="宋体"/>
                <w:kern w:val="0"/>
                <w:sz w:val="20"/>
                <w:szCs w:val="20"/>
              </w:rPr>
              <w:br w:type="textWrapping"/>
            </w:r>
            <w:r>
              <w:rPr>
                <w:rFonts w:hint="eastAsia" w:ascii="宋体" w:hAnsi="宋体" w:cs="宋体"/>
                <w:kern w:val="0"/>
                <w:sz w:val="20"/>
                <w:szCs w:val="20"/>
              </w:rPr>
              <w:t>最大图像尺寸: 2560 × 1440</w:t>
            </w:r>
            <w:r>
              <w:rPr>
                <w:rFonts w:hint="eastAsia" w:ascii="宋体" w:hAnsi="宋体" w:cs="宋体"/>
                <w:kern w:val="0"/>
                <w:sz w:val="20"/>
                <w:szCs w:val="20"/>
              </w:rPr>
              <w:br w:type="textWrapping"/>
            </w:r>
            <w:r>
              <w:rPr>
                <w:rFonts w:hint="eastAsia" w:ascii="宋体" w:hAnsi="宋体" w:cs="宋体"/>
                <w:kern w:val="0"/>
                <w:sz w:val="20"/>
                <w:szCs w:val="20"/>
              </w:rPr>
              <w:t>视频压缩标准: 主码流：H.265/H.264</w:t>
            </w:r>
            <w:r>
              <w:rPr>
                <w:rFonts w:hint="eastAsia" w:ascii="宋体" w:hAnsi="宋体" w:cs="宋体"/>
                <w:kern w:val="0"/>
                <w:sz w:val="20"/>
                <w:szCs w:val="20"/>
              </w:rPr>
              <w:br w:type="textWrapping"/>
            </w:r>
            <w:r>
              <w:rPr>
                <w:rFonts w:hint="eastAsia" w:ascii="宋体" w:hAnsi="宋体" w:cs="宋体"/>
                <w:kern w:val="0"/>
                <w:sz w:val="20"/>
                <w:szCs w:val="20"/>
              </w:rPr>
              <w:t>网络存储: 支持NAS（NFS，SMB/CIFS均支持）</w:t>
            </w:r>
            <w:r>
              <w:rPr>
                <w:rFonts w:hint="eastAsia" w:ascii="宋体" w:hAnsi="宋体" w:cs="宋体"/>
                <w:kern w:val="0"/>
                <w:sz w:val="20"/>
                <w:szCs w:val="20"/>
              </w:rPr>
              <w:br w:type="textWrapping"/>
            </w:r>
            <w:r>
              <w:rPr>
                <w:rFonts w:hint="eastAsia" w:ascii="宋体" w:hAnsi="宋体" w:cs="宋体"/>
                <w:kern w:val="0"/>
                <w:sz w:val="20"/>
                <w:szCs w:val="20"/>
              </w:rPr>
              <w:t>音频: 1个内置麦克风</w:t>
            </w:r>
            <w:r>
              <w:rPr>
                <w:rFonts w:hint="eastAsia" w:ascii="宋体" w:hAnsi="宋体" w:cs="宋体"/>
                <w:kern w:val="0"/>
                <w:sz w:val="20"/>
                <w:szCs w:val="20"/>
              </w:rPr>
              <w:br w:type="textWrapping"/>
            </w:r>
            <w:r>
              <w:rPr>
                <w:rFonts w:hint="eastAsia" w:ascii="宋体" w:hAnsi="宋体" w:cs="宋体"/>
                <w:kern w:val="0"/>
                <w:sz w:val="20"/>
                <w:szCs w:val="20"/>
              </w:rPr>
              <w:t>网络: 1个RJ45 10 M/100 M自适应以太网口</w:t>
            </w:r>
            <w:r>
              <w:rPr>
                <w:rFonts w:hint="eastAsia" w:ascii="宋体" w:hAnsi="宋体" w:cs="宋体"/>
                <w:kern w:val="0"/>
                <w:sz w:val="20"/>
                <w:szCs w:val="20"/>
              </w:rPr>
              <w:br w:type="textWrapping"/>
            </w:r>
            <w:r>
              <w:rPr>
                <w:rFonts w:hint="eastAsia" w:ascii="宋体" w:hAnsi="宋体" w:cs="宋体"/>
                <w:kern w:val="0"/>
                <w:sz w:val="20"/>
                <w:szCs w:val="20"/>
              </w:rPr>
              <w:t>启动和工作温湿度: -30 ℃~60 ℃，湿度小于95%（无凝结）</w:t>
            </w:r>
            <w:r>
              <w:rPr>
                <w:rFonts w:hint="eastAsia" w:ascii="宋体" w:hAnsi="宋体" w:cs="宋体"/>
                <w:kern w:val="0"/>
                <w:sz w:val="20"/>
                <w:szCs w:val="20"/>
              </w:rPr>
              <w:br w:type="textWrapping"/>
            </w:r>
            <w:r>
              <w:rPr>
                <w:rFonts w:hint="eastAsia" w:ascii="宋体" w:hAnsi="宋体" w:cs="宋体"/>
                <w:kern w:val="0"/>
                <w:sz w:val="20"/>
                <w:szCs w:val="20"/>
              </w:rPr>
              <w:t>供电方式: DC：12 V ± 25%，支持防反接保护；PoE：802.3af，Class 3</w:t>
            </w:r>
            <w:r>
              <w:rPr>
                <w:rFonts w:hint="eastAsia" w:ascii="宋体" w:hAnsi="宋体" w:cs="宋体"/>
                <w:kern w:val="0"/>
                <w:sz w:val="20"/>
                <w:szCs w:val="20"/>
              </w:rPr>
              <w:br w:type="textWrapping"/>
            </w:r>
            <w:r>
              <w:rPr>
                <w:rFonts w:hint="eastAsia" w:ascii="宋体" w:hAnsi="宋体" w:cs="宋体"/>
                <w:kern w:val="0"/>
                <w:sz w:val="20"/>
                <w:szCs w:val="20"/>
              </w:rPr>
              <w:t>电流及功耗: DC：12 V，0.41 A，最大功耗：5 W；PoE：802.3af，36 V~57 V，0.18 A~0.11 A，最大功耗：6.5 W</w:t>
            </w:r>
            <w:r>
              <w:rPr>
                <w:rFonts w:hint="eastAsia" w:ascii="宋体" w:hAnsi="宋体" w:cs="宋体"/>
                <w:kern w:val="0"/>
                <w:sz w:val="20"/>
                <w:szCs w:val="20"/>
              </w:rPr>
              <w:br w:type="textWrapping"/>
            </w:r>
            <w:r>
              <w:rPr>
                <w:rFonts w:hint="eastAsia" w:ascii="宋体" w:hAnsi="宋体" w:cs="宋体"/>
                <w:kern w:val="0"/>
                <w:sz w:val="20"/>
                <w:szCs w:val="20"/>
              </w:rPr>
              <w:t>需支持IP67防尘防水。</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138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只</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129</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2400万AR球型鹰眼</w:t>
            </w:r>
          </w:p>
        </w:tc>
        <w:tc>
          <w:tcPr>
            <w:tcW w:w="8222" w:type="dxa"/>
            <w:noWrap w:val="0"/>
            <w:vAlign w:val="center"/>
          </w:tcPr>
          <w:p>
            <w:pPr>
              <w:widowControl/>
              <w:snapToGrid w:val="0"/>
              <w:jc w:val="left"/>
              <w:rPr>
                <w:rFonts w:hint="eastAsia" w:ascii="宋体" w:hAnsi="宋体" w:cs="宋体"/>
                <w:kern w:val="0"/>
                <w:sz w:val="20"/>
                <w:szCs w:val="20"/>
              </w:rPr>
            </w:pPr>
            <w:r>
              <w:rPr>
                <w:rFonts w:hint="eastAsia" w:ascii="宋体" w:hAnsi="宋体" w:cs="宋体"/>
                <w:kern w:val="0"/>
                <w:sz w:val="20"/>
                <w:szCs w:val="20"/>
              </w:rPr>
              <w:t>星光级全景网络高清智能球机，采用一体化设计，单产品即可同时提供全景与特写画面，兼顾全景与细节。</w:t>
            </w:r>
            <w:r>
              <w:rPr>
                <w:rFonts w:hint="eastAsia" w:ascii="宋体" w:hAnsi="宋体" w:cs="宋体"/>
                <w:kern w:val="0"/>
                <w:sz w:val="20"/>
                <w:szCs w:val="20"/>
              </w:rPr>
              <w:br w:type="textWrapping"/>
            </w:r>
            <w:r>
              <w:rPr>
                <w:rFonts w:hint="eastAsia" w:ascii="宋体" w:hAnsi="宋体" w:cs="宋体"/>
                <w:kern w:val="0"/>
                <w:sz w:val="20"/>
                <w:szCs w:val="20"/>
              </w:rPr>
              <w:t>支持GB35114安全加密</w:t>
            </w:r>
            <w:r>
              <w:rPr>
                <w:rFonts w:hint="eastAsia" w:ascii="宋体" w:hAnsi="宋体" w:cs="宋体"/>
                <w:kern w:val="0"/>
                <w:sz w:val="20"/>
                <w:szCs w:val="20"/>
              </w:rPr>
              <w:br w:type="textWrapping"/>
            </w:r>
            <w:r>
              <w:rPr>
                <w:rFonts w:hint="eastAsia" w:ascii="宋体" w:hAnsi="宋体" w:cs="宋体"/>
                <w:kern w:val="0"/>
                <w:sz w:val="20"/>
                <w:szCs w:val="20"/>
              </w:rPr>
              <w:t>支持全景和细节的标签映射，同一目标只需标定一次</w:t>
            </w:r>
            <w:r>
              <w:rPr>
                <w:rFonts w:hint="eastAsia" w:ascii="宋体" w:hAnsi="宋体" w:cs="宋体"/>
                <w:kern w:val="0"/>
                <w:sz w:val="20"/>
                <w:szCs w:val="20"/>
              </w:rPr>
              <w:br w:type="textWrapping"/>
            </w:r>
            <w:r>
              <w:rPr>
                <w:rFonts w:hint="eastAsia" w:ascii="宋体" w:hAnsi="宋体" w:cs="宋体"/>
                <w:kern w:val="0"/>
                <w:sz w:val="20"/>
                <w:szCs w:val="20"/>
              </w:rPr>
              <w:t>支持蓝宝石镜面玻璃、可视域模块，提升产品的室外环境适应</w:t>
            </w:r>
            <w:r>
              <w:rPr>
                <w:rFonts w:hint="eastAsia" w:ascii="宋体" w:hAnsi="宋体" w:cs="宋体"/>
                <w:kern w:val="0"/>
                <w:sz w:val="20"/>
                <w:szCs w:val="20"/>
              </w:rPr>
              <w:br w:type="textWrapping"/>
            </w:r>
            <w:r>
              <w:rPr>
                <w:rFonts w:hint="eastAsia" w:ascii="宋体" w:hAnsi="宋体" w:cs="宋体"/>
                <w:kern w:val="0"/>
                <w:sz w:val="20"/>
                <w:szCs w:val="20"/>
              </w:rPr>
              <w:t>全景细节镜头均采用蓝宝石镜面，具有抗风沙能力</w:t>
            </w:r>
            <w:r>
              <w:rPr>
                <w:rFonts w:hint="eastAsia" w:ascii="宋体" w:hAnsi="宋体" w:cs="宋体"/>
                <w:kern w:val="0"/>
                <w:sz w:val="20"/>
                <w:szCs w:val="20"/>
              </w:rPr>
              <w:br w:type="textWrapping"/>
            </w:r>
            <w:r>
              <w:rPr>
                <w:rFonts w:hint="eastAsia" w:ascii="宋体" w:hAnsi="宋体" w:cs="宋体"/>
                <w:kern w:val="0"/>
                <w:sz w:val="20"/>
                <w:szCs w:val="20"/>
              </w:rPr>
              <w:t>传感器类型: 【全景】1/1.8＂progressive scan CMOS，【细节】1/1.8＂progressive scan CMOS</w:t>
            </w:r>
            <w:r>
              <w:rPr>
                <w:rFonts w:hint="eastAsia" w:ascii="宋体" w:hAnsi="宋体" w:cs="宋体"/>
                <w:kern w:val="0"/>
                <w:sz w:val="20"/>
                <w:szCs w:val="20"/>
              </w:rPr>
              <w:br w:type="textWrapping"/>
            </w:r>
            <w:r>
              <w:rPr>
                <w:rFonts w:hint="eastAsia" w:ascii="宋体" w:hAnsi="宋体" w:cs="宋体"/>
                <w:kern w:val="0"/>
                <w:sz w:val="20"/>
                <w:szCs w:val="20"/>
              </w:rPr>
              <w:t xml:space="preserve">最低照度: </w:t>
            </w:r>
            <w:r>
              <w:rPr>
                <w:rFonts w:hint="eastAsia" w:ascii="宋体" w:hAnsi="宋体" w:cs="宋体"/>
                <w:kern w:val="0"/>
                <w:sz w:val="20"/>
                <w:szCs w:val="20"/>
              </w:rPr>
              <w:br w:type="textWrapping"/>
            </w:r>
            <w:r>
              <w:rPr>
                <w:rFonts w:hint="eastAsia" w:ascii="宋体" w:hAnsi="宋体" w:cs="宋体"/>
                <w:kern w:val="0"/>
                <w:sz w:val="20"/>
                <w:szCs w:val="20"/>
              </w:rPr>
              <w:t>【全景】0.0005 Lux/F1.0（彩色），0.0001 Lux/F1.0（黑白）</w:t>
            </w:r>
            <w:r>
              <w:rPr>
                <w:rFonts w:hint="eastAsia" w:ascii="宋体" w:hAnsi="宋体" w:cs="宋体"/>
                <w:kern w:val="0"/>
                <w:sz w:val="20"/>
                <w:szCs w:val="20"/>
              </w:rPr>
              <w:br w:type="textWrapping"/>
            </w:r>
            <w:r>
              <w:rPr>
                <w:rFonts w:hint="eastAsia" w:ascii="宋体" w:hAnsi="宋体" w:cs="宋体"/>
                <w:kern w:val="0"/>
                <w:sz w:val="20"/>
                <w:szCs w:val="20"/>
              </w:rPr>
              <w:t xml:space="preserve">【细节】星光级超低照度，0.0005 Lux/F1.2（彩色），0.0001 Lux/F1.2（黑白），0 Lux with IR </w:t>
            </w:r>
            <w:r>
              <w:rPr>
                <w:rFonts w:hint="eastAsia" w:ascii="宋体" w:hAnsi="宋体" w:cs="宋体"/>
                <w:kern w:val="0"/>
                <w:sz w:val="20"/>
                <w:szCs w:val="20"/>
              </w:rPr>
              <w:br w:type="textWrapping"/>
            </w:r>
            <w:r>
              <w:rPr>
                <w:rFonts w:hint="eastAsia" w:ascii="宋体" w:hAnsi="宋体" w:cs="宋体"/>
                <w:kern w:val="0"/>
                <w:sz w:val="20"/>
                <w:szCs w:val="20"/>
              </w:rPr>
              <w:t>光学变倍: 40倍</w:t>
            </w:r>
            <w:r>
              <w:rPr>
                <w:rFonts w:hint="eastAsia" w:ascii="宋体" w:hAnsi="宋体" w:cs="宋体"/>
                <w:kern w:val="0"/>
                <w:sz w:val="20"/>
                <w:szCs w:val="20"/>
              </w:rPr>
              <w:br w:type="textWrapping"/>
            </w:r>
            <w:r>
              <w:rPr>
                <w:rFonts w:hint="eastAsia" w:ascii="宋体" w:hAnsi="宋体" w:cs="宋体"/>
                <w:kern w:val="0"/>
                <w:sz w:val="20"/>
                <w:szCs w:val="20"/>
              </w:rPr>
              <w:t xml:space="preserve">视场角: </w:t>
            </w:r>
            <w:r>
              <w:rPr>
                <w:rFonts w:hint="eastAsia" w:ascii="宋体" w:hAnsi="宋体" w:cs="宋体"/>
                <w:kern w:val="0"/>
                <w:sz w:val="20"/>
                <w:szCs w:val="20"/>
              </w:rPr>
              <w:br w:type="textWrapping"/>
            </w:r>
            <w:r>
              <w:rPr>
                <w:rFonts w:hint="eastAsia" w:ascii="宋体" w:hAnsi="宋体" w:cs="宋体"/>
                <w:kern w:val="0"/>
                <w:sz w:val="20"/>
                <w:szCs w:val="20"/>
              </w:rPr>
              <w:t xml:space="preserve">水平视场角：56.6~1.8度（广角~望远） </w:t>
            </w:r>
            <w:r>
              <w:rPr>
                <w:rFonts w:hint="eastAsia" w:ascii="宋体" w:hAnsi="宋体" w:cs="宋体"/>
                <w:kern w:val="0"/>
                <w:sz w:val="20"/>
                <w:szCs w:val="20"/>
              </w:rPr>
              <w:br w:type="textWrapping"/>
            </w:r>
            <w:r>
              <w:rPr>
                <w:rFonts w:hint="eastAsia" w:ascii="宋体" w:hAnsi="宋体" w:cs="宋体"/>
                <w:kern w:val="0"/>
                <w:sz w:val="20"/>
                <w:szCs w:val="20"/>
              </w:rPr>
              <w:t xml:space="preserve">垂直视场角：33.7~1.0度（广角~望远） </w:t>
            </w:r>
            <w:r>
              <w:rPr>
                <w:rFonts w:hint="eastAsia" w:ascii="宋体" w:hAnsi="宋体" w:cs="宋体"/>
                <w:kern w:val="0"/>
                <w:sz w:val="20"/>
                <w:szCs w:val="20"/>
              </w:rPr>
              <w:br w:type="textWrapping"/>
            </w:r>
            <w:r>
              <w:rPr>
                <w:rFonts w:hint="eastAsia" w:ascii="宋体" w:hAnsi="宋体" w:cs="宋体"/>
                <w:kern w:val="0"/>
                <w:sz w:val="20"/>
                <w:szCs w:val="20"/>
              </w:rPr>
              <w:t>红外照射距离: 250 m</w:t>
            </w:r>
            <w:r>
              <w:rPr>
                <w:rFonts w:hint="eastAsia" w:ascii="宋体" w:hAnsi="宋体" w:cs="宋体"/>
                <w:kern w:val="0"/>
                <w:sz w:val="20"/>
                <w:szCs w:val="20"/>
              </w:rPr>
              <w:br w:type="textWrapping"/>
            </w:r>
            <w:r>
              <w:rPr>
                <w:rFonts w:hint="eastAsia" w:ascii="宋体" w:hAnsi="宋体" w:cs="宋体"/>
                <w:kern w:val="0"/>
                <w:sz w:val="20"/>
                <w:szCs w:val="20"/>
              </w:rPr>
              <w:t>防补光过曝: 支持</w:t>
            </w:r>
            <w:r>
              <w:rPr>
                <w:rFonts w:hint="eastAsia" w:ascii="宋体" w:hAnsi="宋体" w:cs="宋体"/>
                <w:kern w:val="0"/>
                <w:sz w:val="20"/>
                <w:szCs w:val="20"/>
              </w:rPr>
              <w:br w:type="textWrapping"/>
            </w:r>
            <w:r>
              <w:rPr>
                <w:rFonts w:hint="eastAsia" w:ascii="宋体" w:hAnsi="宋体" w:cs="宋体"/>
                <w:kern w:val="0"/>
                <w:sz w:val="20"/>
                <w:szCs w:val="20"/>
              </w:rPr>
              <w:t>水平范围: 360°</w:t>
            </w:r>
            <w:r>
              <w:rPr>
                <w:rFonts w:hint="eastAsia" w:ascii="宋体" w:hAnsi="宋体" w:cs="宋体"/>
                <w:kern w:val="0"/>
                <w:sz w:val="20"/>
                <w:szCs w:val="20"/>
              </w:rPr>
              <w:br w:type="textWrapping"/>
            </w:r>
            <w:r>
              <w:rPr>
                <w:rFonts w:hint="eastAsia" w:ascii="宋体" w:hAnsi="宋体" w:cs="宋体"/>
                <w:kern w:val="0"/>
                <w:sz w:val="20"/>
                <w:szCs w:val="20"/>
              </w:rPr>
              <w:t>垂直范围: -15°~90°（自动翻转）</w:t>
            </w:r>
            <w:r>
              <w:rPr>
                <w:rFonts w:hint="eastAsia" w:ascii="宋体" w:hAnsi="宋体" w:cs="宋体"/>
                <w:kern w:val="0"/>
                <w:sz w:val="20"/>
                <w:szCs w:val="20"/>
              </w:rPr>
              <w:br w:type="textWrapping"/>
            </w:r>
            <w:r>
              <w:rPr>
                <w:rFonts w:hint="eastAsia" w:ascii="宋体" w:hAnsi="宋体" w:cs="宋体"/>
                <w:kern w:val="0"/>
                <w:sz w:val="20"/>
                <w:szCs w:val="20"/>
              </w:rPr>
              <w:t xml:space="preserve">主码流帧率分辨率: </w:t>
            </w:r>
            <w:r>
              <w:rPr>
                <w:rFonts w:hint="eastAsia" w:ascii="宋体" w:hAnsi="宋体" w:cs="宋体"/>
                <w:kern w:val="0"/>
                <w:sz w:val="20"/>
                <w:szCs w:val="20"/>
              </w:rPr>
              <w:br w:type="textWrapping"/>
            </w:r>
            <w:r>
              <w:rPr>
                <w:rFonts w:hint="eastAsia" w:ascii="宋体" w:hAnsi="宋体" w:cs="宋体"/>
                <w:kern w:val="0"/>
                <w:sz w:val="20"/>
                <w:szCs w:val="20"/>
              </w:rPr>
              <w:t>【全景】50 Hz：25 fps（8160 × 2400）;60 Hz：30 fps（8160 × 2400）</w:t>
            </w:r>
            <w:r>
              <w:rPr>
                <w:rFonts w:hint="eastAsia" w:ascii="宋体" w:hAnsi="宋体" w:cs="宋体"/>
                <w:kern w:val="0"/>
                <w:sz w:val="20"/>
                <w:szCs w:val="20"/>
              </w:rPr>
              <w:br w:type="textWrapping"/>
            </w:r>
            <w:r>
              <w:rPr>
                <w:rFonts w:hint="eastAsia" w:ascii="宋体" w:hAnsi="宋体" w:cs="宋体"/>
                <w:kern w:val="0"/>
                <w:sz w:val="20"/>
                <w:szCs w:val="20"/>
              </w:rPr>
              <w:t>视频压缩标准: H.265，H.264，MJPEG</w:t>
            </w:r>
            <w:r>
              <w:rPr>
                <w:rFonts w:hint="eastAsia" w:ascii="宋体" w:hAnsi="宋体" w:cs="宋体"/>
                <w:kern w:val="0"/>
                <w:sz w:val="20"/>
                <w:szCs w:val="20"/>
              </w:rPr>
              <w:br w:type="textWrapping"/>
            </w:r>
            <w:r>
              <w:rPr>
                <w:rFonts w:hint="eastAsia" w:ascii="宋体" w:hAnsi="宋体" w:cs="宋体"/>
                <w:kern w:val="0"/>
                <w:sz w:val="20"/>
                <w:szCs w:val="20"/>
              </w:rPr>
              <w:t>网络存储: NAS（NFS，SMB/CIFS），ANR</w:t>
            </w:r>
            <w:r>
              <w:rPr>
                <w:rFonts w:hint="eastAsia" w:ascii="宋体" w:hAnsi="宋体" w:cs="宋体"/>
                <w:kern w:val="0"/>
                <w:sz w:val="20"/>
                <w:szCs w:val="20"/>
              </w:rPr>
              <w:br w:type="textWrapping"/>
            </w:r>
            <w:r>
              <w:rPr>
                <w:rFonts w:hint="eastAsia" w:ascii="宋体" w:hAnsi="宋体" w:cs="宋体"/>
                <w:kern w:val="0"/>
                <w:sz w:val="20"/>
                <w:szCs w:val="20"/>
              </w:rPr>
              <w:t>GPS: 支持</w:t>
            </w:r>
            <w:r>
              <w:rPr>
                <w:rFonts w:hint="eastAsia" w:ascii="宋体" w:hAnsi="宋体" w:cs="宋体"/>
                <w:kern w:val="0"/>
                <w:sz w:val="20"/>
                <w:szCs w:val="20"/>
              </w:rPr>
              <w:br w:type="textWrapping"/>
            </w:r>
            <w:r>
              <w:rPr>
                <w:rFonts w:hint="eastAsia" w:ascii="宋体" w:hAnsi="宋体" w:cs="宋体"/>
                <w:kern w:val="0"/>
                <w:sz w:val="20"/>
                <w:szCs w:val="20"/>
              </w:rPr>
              <w:t>电子罗盘: 支持</w:t>
            </w:r>
            <w:r>
              <w:rPr>
                <w:rFonts w:hint="eastAsia" w:ascii="宋体" w:hAnsi="宋体" w:cs="宋体"/>
                <w:kern w:val="0"/>
                <w:sz w:val="20"/>
                <w:szCs w:val="20"/>
              </w:rPr>
              <w:br w:type="textWrapping"/>
            </w:r>
            <w:r>
              <w:rPr>
                <w:rFonts w:hint="eastAsia" w:ascii="宋体" w:hAnsi="宋体" w:cs="宋体"/>
                <w:kern w:val="0"/>
                <w:sz w:val="20"/>
                <w:szCs w:val="20"/>
              </w:rPr>
              <w:t>网络接口: RJ45网口，自适应10 M/100 M/1000 M网络数据</w:t>
            </w:r>
            <w:r>
              <w:rPr>
                <w:rFonts w:hint="eastAsia" w:ascii="宋体" w:hAnsi="宋体" w:cs="宋体"/>
                <w:kern w:val="0"/>
                <w:sz w:val="20"/>
                <w:szCs w:val="20"/>
              </w:rPr>
              <w:br w:type="textWrapping"/>
            </w:r>
            <w:r>
              <w:rPr>
                <w:rFonts w:hint="eastAsia" w:ascii="宋体" w:hAnsi="宋体" w:cs="宋体"/>
                <w:kern w:val="0"/>
                <w:sz w:val="20"/>
                <w:szCs w:val="20"/>
              </w:rPr>
              <w:t>光纤接口: FC接口，内置光纤模块，1000 M网络数据，波长TX1310/RX1550 nm，单模单纤，20 km传输距离</w:t>
            </w:r>
            <w:r>
              <w:rPr>
                <w:rFonts w:hint="eastAsia" w:ascii="宋体" w:hAnsi="宋体" w:cs="宋体"/>
                <w:kern w:val="0"/>
                <w:sz w:val="20"/>
                <w:szCs w:val="20"/>
              </w:rPr>
              <w:br w:type="textWrapping"/>
            </w:r>
            <w:r>
              <w:rPr>
                <w:rFonts w:hint="eastAsia" w:ascii="宋体" w:hAnsi="宋体" w:cs="宋体"/>
                <w:kern w:val="0"/>
                <w:sz w:val="20"/>
                <w:szCs w:val="20"/>
              </w:rPr>
              <w:t>SD卡扩展: 支持MicroSD(即TF卡)/Micr SDHC/MicroSDXC卡，最大支持256 GB</w:t>
            </w:r>
            <w:r>
              <w:rPr>
                <w:rFonts w:hint="eastAsia" w:ascii="宋体" w:hAnsi="宋体" w:cs="宋体"/>
                <w:kern w:val="0"/>
                <w:sz w:val="20"/>
                <w:szCs w:val="20"/>
              </w:rPr>
              <w:br w:type="textWrapping"/>
            </w:r>
            <w:r>
              <w:rPr>
                <w:rFonts w:hint="eastAsia" w:ascii="宋体" w:hAnsi="宋体" w:cs="宋体"/>
                <w:kern w:val="0"/>
                <w:sz w:val="20"/>
                <w:szCs w:val="20"/>
              </w:rPr>
              <w:t>报警输入: 7路报警输入</w:t>
            </w:r>
            <w:r>
              <w:rPr>
                <w:rFonts w:hint="eastAsia" w:ascii="宋体" w:hAnsi="宋体" w:cs="宋体"/>
                <w:kern w:val="0"/>
                <w:sz w:val="20"/>
                <w:szCs w:val="20"/>
              </w:rPr>
              <w:br w:type="textWrapping"/>
            </w:r>
            <w:r>
              <w:rPr>
                <w:rFonts w:hint="eastAsia" w:ascii="宋体" w:hAnsi="宋体" w:cs="宋体"/>
                <w:kern w:val="0"/>
                <w:sz w:val="20"/>
                <w:szCs w:val="20"/>
              </w:rPr>
              <w:t>报警输出: 2路报警输出</w:t>
            </w:r>
            <w:r>
              <w:rPr>
                <w:rFonts w:hint="eastAsia" w:ascii="宋体" w:hAnsi="宋体" w:cs="宋体"/>
                <w:kern w:val="0"/>
                <w:sz w:val="20"/>
                <w:szCs w:val="20"/>
              </w:rPr>
              <w:br w:type="textWrapping"/>
            </w:r>
            <w:r>
              <w:rPr>
                <w:rFonts w:hint="eastAsia" w:ascii="宋体" w:hAnsi="宋体" w:cs="宋体"/>
                <w:kern w:val="0"/>
                <w:sz w:val="20"/>
                <w:szCs w:val="20"/>
              </w:rPr>
              <w:t>音频输入: 1路音频输入</w:t>
            </w:r>
            <w:r>
              <w:rPr>
                <w:rFonts w:hint="eastAsia" w:ascii="宋体" w:hAnsi="宋体" w:cs="宋体"/>
                <w:kern w:val="0"/>
                <w:sz w:val="20"/>
                <w:szCs w:val="20"/>
              </w:rPr>
              <w:br w:type="textWrapping"/>
            </w:r>
            <w:r>
              <w:rPr>
                <w:rFonts w:hint="eastAsia" w:ascii="宋体" w:hAnsi="宋体" w:cs="宋体"/>
                <w:kern w:val="0"/>
                <w:sz w:val="20"/>
                <w:szCs w:val="20"/>
              </w:rPr>
              <w:t>音频输出: 1路音频输出</w:t>
            </w:r>
            <w:r>
              <w:rPr>
                <w:rFonts w:hint="eastAsia" w:ascii="宋体" w:hAnsi="宋体" w:cs="宋体"/>
                <w:kern w:val="0"/>
                <w:sz w:val="20"/>
                <w:szCs w:val="20"/>
              </w:rPr>
              <w:br w:type="textWrapping"/>
            </w:r>
            <w:r>
              <w:rPr>
                <w:rFonts w:hint="eastAsia" w:ascii="宋体" w:hAnsi="宋体" w:cs="宋体"/>
                <w:kern w:val="0"/>
                <w:sz w:val="20"/>
                <w:szCs w:val="20"/>
              </w:rPr>
              <w:t>具有RS485接口</w:t>
            </w:r>
            <w:r>
              <w:rPr>
                <w:rFonts w:hint="eastAsia" w:ascii="宋体" w:hAnsi="宋体" w:cs="宋体"/>
                <w:kern w:val="0"/>
                <w:sz w:val="20"/>
                <w:szCs w:val="20"/>
              </w:rPr>
              <w:br w:type="textWrapping"/>
            </w:r>
            <w:r>
              <w:rPr>
                <w:rFonts w:hint="eastAsia" w:ascii="宋体" w:hAnsi="宋体" w:cs="宋体"/>
                <w:kern w:val="0"/>
                <w:sz w:val="20"/>
                <w:szCs w:val="20"/>
              </w:rPr>
              <w:t>供电方式: DC36 V</w:t>
            </w:r>
            <w:r>
              <w:rPr>
                <w:rFonts w:hint="eastAsia" w:ascii="宋体" w:hAnsi="宋体" w:cs="宋体"/>
                <w:kern w:val="0"/>
                <w:sz w:val="20"/>
                <w:szCs w:val="20"/>
              </w:rPr>
              <w:br w:type="textWrapping"/>
            </w:r>
            <w:r>
              <w:rPr>
                <w:rFonts w:hint="eastAsia" w:ascii="宋体" w:hAnsi="宋体" w:cs="宋体"/>
                <w:kern w:val="0"/>
                <w:sz w:val="20"/>
                <w:szCs w:val="20"/>
              </w:rPr>
              <w:t>设备功耗: 最大功耗：135 W（其中红外灯最大功耗：12 W）</w:t>
            </w:r>
            <w:r>
              <w:rPr>
                <w:rFonts w:hint="eastAsia" w:ascii="宋体" w:hAnsi="宋体" w:cs="宋体"/>
                <w:kern w:val="0"/>
                <w:sz w:val="20"/>
                <w:szCs w:val="20"/>
              </w:rPr>
              <w:br w:type="textWrapping"/>
            </w:r>
            <w:r>
              <w:rPr>
                <w:rFonts w:hint="eastAsia" w:ascii="宋体" w:hAnsi="宋体" w:cs="宋体"/>
                <w:kern w:val="0"/>
                <w:sz w:val="20"/>
                <w:szCs w:val="20"/>
              </w:rPr>
              <w:t>工作温湿度: -40 ℃~70 ℃，湿度小于90%</w:t>
            </w:r>
            <w:r>
              <w:rPr>
                <w:rFonts w:hint="eastAsia" w:ascii="宋体" w:hAnsi="宋体" w:cs="宋体"/>
                <w:kern w:val="0"/>
                <w:sz w:val="20"/>
                <w:szCs w:val="20"/>
              </w:rPr>
              <w:br w:type="textWrapping"/>
            </w:r>
            <w:r>
              <w:rPr>
                <w:rFonts w:hint="eastAsia" w:ascii="宋体" w:hAnsi="宋体" w:cs="宋体"/>
                <w:kern w:val="0"/>
                <w:sz w:val="20"/>
                <w:szCs w:val="20"/>
              </w:rPr>
              <w:t>恢复出厂设置: 支持</w:t>
            </w:r>
            <w:r>
              <w:rPr>
                <w:rFonts w:hint="eastAsia" w:ascii="宋体" w:hAnsi="宋体" w:cs="宋体"/>
                <w:kern w:val="0"/>
                <w:sz w:val="20"/>
                <w:szCs w:val="20"/>
              </w:rPr>
              <w:br w:type="textWrapping"/>
            </w:r>
            <w:r>
              <w:rPr>
                <w:rFonts w:hint="eastAsia" w:ascii="宋体" w:hAnsi="宋体" w:cs="宋体"/>
                <w:kern w:val="0"/>
                <w:sz w:val="20"/>
                <w:szCs w:val="20"/>
              </w:rPr>
              <w:t>除雾: 支持</w:t>
            </w:r>
            <w:r>
              <w:rPr>
                <w:rFonts w:hint="eastAsia" w:ascii="宋体" w:hAnsi="宋体" w:cs="宋体"/>
                <w:kern w:val="0"/>
                <w:sz w:val="20"/>
                <w:szCs w:val="20"/>
              </w:rPr>
              <w:br w:type="textWrapping"/>
            </w:r>
            <w:r>
              <w:rPr>
                <w:rFonts w:hint="eastAsia" w:ascii="宋体" w:hAnsi="宋体" w:cs="宋体"/>
                <w:kern w:val="0"/>
                <w:sz w:val="20"/>
                <w:szCs w:val="20"/>
              </w:rPr>
              <w:t>摄像机全景镜头光圈均不小于F1.0;</w:t>
            </w:r>
            <w:r>
              <w:rPr>
                <w:rFonts w:hint="eastAsia" w:ascii="宋体" w:hAnsi="宋体" w:cs="宋体"/>
                <w:kern w:val="0"/>
                <w:sz w:val="20"/>
                <w:szCs w:val="20"/>
              </w:rPr>
              <w:br w:type="textWrapping"/>
            </w:r>
            <w:r>
              <w:rPr>
                <w:rFonts w:hint="eastAsia" w:ascii="宋体" w:hAnsi="宋体" w:cs="宋体"/>
                <w:b/>
                <w:bCs/>
                <w:kern w:val="0"/>
                <w:sz w:val="20"/>
                <w:szCs w:val="20"/>
              </w:rPr>
              <w:t>自带镜头，另配6个图像采集模块，可输出1路主视频图像和6路辅视频图像。可将辅视频图像进行无缝拼接，拼接后的辅视频图像：水平视场角为270°，垂直视场角为80°（具有相应资质的第三方检测机构出具的检测报告）</w:t>
            </w:r>
            <w:r>
              <w:rPr>
                <w:rFonts w:hint="eastAsia" w:ascii="宋体" w:hAnsi="宋体" w:cs="宋体"/>
                <w:kern w:val="0"/>
                <w:sz w:val="20"/>
                <w:szCs w:val="20"/>
              </w:rPr>
              <w:br w:type="textWrapping"/>
            </w:r>
            <w:r>
              <w:rPr>
                <w:rFonts w:hint="eastAsia" w:ascii="宋体" w:hAnsi="宋体" w:cs="宋体"/>
                <w:kern w:val="0"/>
                <w:sz w:val="20"/>
                <w:szCs w:val="20"/>
              </w:rPr>
              <w:t>主视频支持不小于40倍光学变倍;</w:t>
            </w:r>
            <w:r>
              <w:rPr>
                <w:rFonts w:hint="eastAsia" w:ascii="宋体" w:hAnsi="宋体" w:cs="宋体"/>
                <w:kern w:val="0"/>
                <w:sz w:val="20"/>
                <w:szCs w:val="20"/>
              </w:rPr>
              <w:br w:type="textWrapping"/>
            </w:r>
            <w:r>
              <w:rPr>
                <w:rFonts w:hint="eastAsia" w:ascii="宋体" w:hAnsi="宋体" w:cs="宋体"/>
                <w:kern w:val="0"/>
                <w:sz w:val="20"/>
                <w:szCs w:val="20"/>
              </w:rPr>
              <w:t>具备AR视频标签添加，修改，删除和标准等系列管理功能，支持视频画面中添加最多500个标签；标签类型包括：**站视频标签，建筑物视频标签，卡口视频标签，普通视频标签等;</w:t>
            </w:r>
          </w:p>
          <w:p>
            <w:pPr>
              <w:widowControl/>
              <w:snapToGrid w:val="0"/>
              <w:jc w:val="left"/>
              <w:rPr>
                <w:rFonts w:ascii="宋体" w:hAnsi="宋体" w:cs="宋体"/>
                <w:kern w:val="0"/>
                <w:sz w:val="20"/>
                <w:szCs w:val="20"/>
              </w:rPr>
            </w:pPr>
            <w:r>
              <w:rPr>
                <w:rFonts w:hint="eastAsia" w:ascii="宋体" w:hAnsi="宋体" w:cs="宋体"/>
                <w:kern w:val="0"/>
                <w:sz w:val="20"/>
                <w:szCs w:val="20"/>
              </w:rPr>
              <w:t>产品支持人员密度功能，支持通过IE浏览器对辅助视频的全景画面设备不少于6个检测框，检测区域人数可通过OSD叠加的形式显示，并且可设置3个等级的人数，当检测框中的人数在3个等级之间变化时可触发报警。</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只</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含支架</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130</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人脸抓拍摄像机</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支持智能资源模式切换：人脸抓拍模式，道路监控模式，Smart事件模式</w:t>
            </w:r>
            <w:r>
              <w:rPr>
                <w:rFonts w:hint="eastAsia" w:ascii="宋体" w:hAnsi="宋体" w:cs="宋体"/>
                <w:kern w:val="0"/>
                <w:sz w:val="20"/>
                <w:szCs w:val="20"/>
              </w:rPr>
              <w:br w:type="textWrapping"/>
            </w:r>
            <w:r>
              <w:rPr>
                <w:rFonts w:hint="eastAsia" w:ascii="宋体" w:hAnsi="宋体" w:cs="宋体"/>
                <w:kern w:val="0"/>
                <w:sz w:val="20"/>
                <w:szCs w:val="20"/>
              </w:rPr>
              <w:t>最低照度: 彩色：0.0005 Lux @（F1.2，AGC ON），0 Lux with Light；黑白：0.0001 Lux @（F1.2，AGC ON），0 Lux with IR</w:t>
            </w:r>
            <w:r>
              <w:rPr>
                <w:rFonts w:hint="eastAsia" w:ascii="宋体" w:hAnsi="宋体" w:cs="宋体"/>
                <w:kern w:val="0"/>
                <w:sz w:val="20"/>
                <w:szCs w:val="20"/>
              </w:rPr>
              <w:br w:type="textWrapping"/>
            </w:r>
            <w:r>
              <w:rPr>
                <w:rFonts w:hint="eastAsia" w:ascii="宋体" w:hAnsi="宋体" w:cs="宋体"/>
                <w:kern w:val="0"/>
                <w:sz w:val="20"/>
                <w:szCs w:val="20"/>
              </w:rPr>
              <w:t>宽动态: 120dB</w:t>
            </w:r>
            <w:r>
              <w:rPr>
                <w:rFonts w:hint="eastAsia" w:ascii="宋体" w:hAnsi="宋体" w:cs="宋体"/>
                <w:kern w:val="0"/>
                <w:sz w:val="20"/>
                <w:szCs w:val="20"/>
              </w:rPr>
              <w:br w:type="textWrapping"/>
            </w:r>
            <w:r>
              <w:rPr>
                <w:rFonts w:hint="eastAsia" w:ascii="宋体" w:hAnsi="宋体" w:cs="宋体"/>
                <w:kern w:val="0"/>
                <w:sz w:val="20"/>
                <w:szCs w:val="20"/>
              </w:rPr>
              <w:t>焦距&amp;视场角:水平视场角：107°~39.8°</w:t>
            </w:r>
            <w:r>
              <w:rPr>
                <w:rFonts w:hint="eastAsia" w:ascii="宋体" w:hAnsi="宋体" w:cs="宋体"/>
                <w:kern w:val="0"/>
                <w:sz w:val="20"/>
                <w:szCs w:val="20"/>
              </w:rPr>
              <w:br w:type="textWrapping"/>
            </w:r>
            <w:r>
              <w:rPr>
                <w:rFonts w:hint="eastAsia" w:ascii="宋体" w:hAnsi="宋体" w:cs="宋体"/>
                <w:kern w:val="0"/>
                <w:sz w:val="20"/>
                <w:szCs w:val="20"/>
              </w:rPr>
              <w:t>补光灯类型: 红外</w:t>
            </w:r>
            <w:r>
              <w:rPr>
                <w:rFonts w:hint="eastAsia" w:ascii="宋体" w:hAnsi="宋体" w:cs="宋体"/>
                <w:kern w:val="0"/>
                <w:sz w:val="20"/>
                <w:szCs w:val="20"/>
              </w:rPr>
              <w:br w:type="textWrapping"/>
            </w:r>
            <w:r>
              <w:rPr>
                <w:rFonts w:hint="eastAsia" w:ascii="宋体" w:hAnsi="宋体" w:cs="宋体"/>
                <w:kern w:val="0"/>
                <w:sz w:val="20"/>
                <w:szCs w:val="20"/>
              </w:rPr>
              <w:t>补光距离:人脸抓拍/识别：7 m</w:t>
            </w:r>
            <w:r>
              <w:rPr>
                <w:rFonts w:hint="eastAsia" w:ascii="宋体" w:hAnsi="宋体" w:cs="宋体"/>
                <w:kern w:val="0"/>
                <w:sz w:val="20"/>
                <w:szCs w:val="20"/>
              </w:rPr>
              <w:br w:type="textWrapping"/>
            </w:r>
            <w:r>
              <w:rPr>
                <w:rFonts w:hint="eastAsia" w:ascii="宋体" w:hAnsi="宋体" w:cs="宋体"/>
                <w:kern w:val="0"/>
                <w:sz w:val="20"/>
                <w:szCs w:val="20"/>
              </w:rPr>
              <w:t>最大图像尺寸: 2560 × 1440</w:t>
            </w:r>
            <w:r>
              <w:rPr>
                <w:rFonts w:hint="eastAsia" w:ascii="宋体" w:hAnsi="宋体" w:cs="宋体"/>
                <w:kern w:val="0"/>
                <w:sz w:val="20"/>
                <w:szCs w:val="20"/>
              </w:rPr>
              <w:br w:type="textWrapping"/>
            </w:r>
            <w:r>
              <w:rPr>
                <w:rFonts w:hint="eastAsia" w:ascii="宋体" w:hAnsi="宋体" w:cs="宋体"/>
                <w:kern w:val="0"/>
                <w:sz w:val="20"/>
                <w:szCs w:val="20"/>
              </w:rPr>
              <w:t>视频压缩标准: H.265/H.264/MJPEG</w:t>
            </w:r>
            <w:r>
              <w:rPr>
                <w:rFonts w:hint="eastAsia" w:ascii="宋体" w:hAnsi="宋体" w:cs="宋体"/>
                <w:kern w:val="0"/>
                <w:sz w:val="20"/>
                <w:szCs w:val="20"/>
              </w:rPr>
              <w:br w:type="textWrapping"/>
            </w:r>
            <w:r>
              <w:rPr>
                <w:rFonts w:hint="eastAsia" w:ascii="宋体" w:hAnsi="宋体" w:cs="宋体"/>
                <w:kern w:val="0"/>
                <w:sz w:val="20"/>
                <w:szCs w:val="20"/>
              </w:rPr>
              <w:t>网络存储: 支持Micro SD(即TF卡)/Micro SDHC/Micro SDXC卡（最大256 GB）断网本地存储及断网续传，NAS（NFS，SMB/CIFS均支持）</w:t>
            </w:r>
            <w:r>
              <w:rPr>
                <w:rFonts w:hint="eastAsia" w:ascii="宋体" w:hAnsi="宋体" w:cs="宋体"/>
                <w:kern w:val="0"/>
                <w:sz w:val="20"/>
                <w:szCs w:val="20"/>
              </w:rPr>
              <w:br w:type="textWrapping"/>
            </w:r>
            <w:r>
              <w:rPr>
                <w:rFonts w:hint="eastAsia" w:ascii="宋体" w:hAnsi="宋体" w:cs="宋体"/>
                <w:kern w:val="0"/>
                <w:sz w:val="20"/>
                <w:szCs w:val="20"/>
              </w:rPr>
              <w:t>网络: 1个RJ45 10 M/100 M自适应以太网口</w:t>
            </w:r>
            <w:r>
              <w:rPr>
                <w:rFonts w:hint="eastAsia" w:ascii="宋体" w:hAnsi="宋体" w:cs="宋体"/>
                <w:kern w:val="0"/>
                <w:sz w:val="20"/>
                <w:szCs w:val="20"/>
              </w:rPr>
              <w:br w:type="textWrapping"/>
            </w:r>
            <w:r>
              <w:rPr>
                <w:rFonts w:hint="eastAsia" w:ascii="宋体" w:hAnsi="宋体" w:cs="宋体"/>
                <w:kern w:val="0"/>
                <w:sz w:val="20"/>
                <w:szCs w:val="20"/>
              </w:rPr>
              <w:t>音频: 2 路输入（Line in），1路输出（Line out）</w:t>
            </w:r>
            <w:r>
              <w:rPr>
                <w:rFonts w:hint="eastAsia" w:ascii="宋体" w:hAnsi="宋体" w:cs="宋体"/>
                <w:kern w:val="0"/>
                <w:sz w:val="20"/>
                <w:szCs w:val="20"/>
              </w:rPr>
              <w:br w:type="textWrapping"/>
            </w:r>
            <w:r>
              <w:rPr>
                <w:rFonts w:hint="eastAsia" w:ascii="宋体" w:hAnsi="宋体" w:cs="宋体"/>
                <w:kern w:val="0"/>
                <w:sz w:val="20"/>
                <w:szCs w:val="20"/>
              </w:rPr>
              <w:t>报警: 3路输入，2路输出</w:t>
            </w:r>
            <w:r>
              <w:rPr>
                <w:rFonts w:hint="eastAsia" w:ascii="宋体" w:hAnsi="宋体" w:cs="宋体"/>
                <w:kern w:val="0"/>
                <w:sz w:val="20"/>
                <w:szCs w:val="20"/>
              </w:rPr>
              <w:br w:type="textWrapping"/>
            </w:r>
            <w:r>
              <w:rPr>
                <w:rFonts w:hint="eastAsia" w:ascii="宋体" w:hAnsi="宋体" w:cs="宋体"/>
                <w:kern w:val="0"/>
                <w:sz w:val="20"/>
                <w:szCs w:val="20"/>
              </w:rPr>
              <w:t>电流及功耗: DC：12 V，1.33 A，最大功耗：15.9 W；PoE：802.3at，42.5 V~57 V，0.35 A~0.26 A，最大功耗：14.8 W</w:t>
            </w:r>
            <w:r>
              <w:rPr>
                <w:rFonts w:hint="eastAsia" w:ascii="宋体" w:hAnsi="宋体" w:cs="宋体"/>
                <w:kern w:val="0"/>
                <w:sz w:val="20"/>
                <w:szCs w:val="20"/>
              </w:rPr>
              <w:br w:type="textWrapping"/>
            </w:r>
            <w:r>
              <w:rPr>
                <w:rFonts w:hint="eastAsia" w:ascii="宋体" w:hAnsi="宋体" w:cs="宋体"/>
                <w:kern w:val="0"/>
                <w:sz w:val="20"/>
                <w:szCs w:val="20"/>
              </w:rPr>
              <w:t>存储温湿度: -30 ℃~60 ℃，湿度小于95%(无凝结)</w:t>
            </w:r>
            <w:r>
              <w:rPr>
                <w:rFonts w:hint="eastAsia" w:ascii="宋体" w:hAnsi="宋体" w:cs="宋体"/>
                <w:kern w:val="0"/>
                <w:sz w:val="20"/>
                <w:szCs w:val="20"/>
              </w:rPr>
              <w:br w:type="textWrapping"/>
            </w:r>
            <w:r>
              <w:rPr>
                <w:rFonts w:hint="eastAsia" w:ascii="宋体" w:hAnsi="宋体" w:cs="宋体"/>
                <w:kern w:val="0"/>
                <w:sz w:val="20"/>
                <w:szCs w:val="20"/>
              </w:rPr>
              <w:t>启动和工作温湿度: -30 ℃~60 ℃，湿度小于95%(无凝结)</w:t>
            </w:r>
            <w:r>
              <w:rPr>
                <w:rFonts w:hint="eastAsia" w:ascii="宋体" w:hAnsi="宋体" w:cs="宋体"/>
                <w:kern w:val="0"/>
                <w:sz w:val="20"/>
                <w:szCs w:val="20"/>
              </w:rPr>
              <w:br w:type="textWrapping"/>
            </w:r>
            <w:r>
              <w:rPr>
                <w:rFonts w:hint="eastAsia" w:ascii="宋体" w:hAnsi="宋体" w:cs="宋体"/>
                <w:kern w:val="0"/>
                <w:sz w:val="20"/>
                <w:szCs w:val="20"/>
              </w:rPr>
              <w:t>供电方式: DC：12V±20% ，支持防反接保护；PoE：802.3at,Type 2 Class 4</w:t>
            </w:r>
            <w:r>
              <w:rPr>
                <w:rFonts w:hint="eastAsia" w:ascii="宋体" w:hAnsi="宋体" w:cs="宋体"/>
                <w:kern w:val="0"/>
                <w:sz w:val="20"/>
                <w:szCs w:val="20"/>
              </w:rPr>
              <w:br w:type="textWrapping"/>
            </w:r>
            <w:r>
              <w:rPr>
                <w:rFonts w:hint="eastAsia" w:ascii="宋体" w:hAnsi="宋体" w:cs="宋体"/>
                <w:kern w:val="0"/>
                <w:sz w:val="20"/>
                <w:szCs w:val="20"/>
              </w:rPr>
              <w:t>防护: IP67</w:t>
            </w:r>
            <w:r>
              <w:rPr>
                <w:rFonts w:hint="eastAsia" w:ascii="宋体" w:hAnsi="宋体" w:cs="宋体"/>
                <w:kern w:val="0"/>
                <w:sz w:val="20"/>
                <w:szCs w:val="20"/>
              </w:rPr>
              <w:br w:type="textWrapping"/>
            </w:r>
            <w:r>
              <w:rPr>
                <w:rFonts w:hint="eastAsia" w:ascii="宋体" w:hAnsi="宋体" w:cs="宋体"/>
                <w:kern w:val="0"/>
                <w:sz w:val="20"/>
                <w:szCs w:val="20"/>
              </w:rPr>
              <w:t xml:space="preserve">  人脸检出率不小于99%。 </w:t>
            </w:r>
            <w:r>
              <w:rPr>
                <w:rFonts w:hint="eastAsia" w:ascii="宋体" w:hAnsi="宋体" w:cs="宋体"/>
                <w:kern w:val="0"/>
                <w:sz w:val="20"/>
                <w:szCs w:val="20"/>
              </w:rPr>
              <w:br w:type="textWrapping"/>
            </w:r>
            <w:r>
              <w:rPr>
                <w:rFonts w:hint="eastAsia" w:ascii="宋体" w:hAnsi="宋体" w:cs="宋体"/>
                <w:b/>
                <w:bCs/>
                <w:kern w:val="0"/>
                <w:sz w:val="20"/>
                <w:szCs w:val="20"/>
              </w:rPr>
              <w:t>车型识别白天准确率不小于99%，晚上准确率不小于95%。（具有相应资质的第三方检测机构出具的检测报告）</w:t>
            </w:r>
            <w:r>
              <w:rPr>
                <w:rFonts w:hint="eastAsia" w:ascii="宋体" w:hAnsi="宋体" w:cs="宋体"/>
                <w:kern w:val="0"/>
                <w:sz w:val="20"/>
                <w:szCs w:val="20"/>
              </w:rPr>
              <w:br w:type="textWrapping"/>
            </w:r>
            <w:r>
              <w:rPr>
                <w:rFonts w:hint="eastAsia" w:ascii="宋体" w:hAnsi="宋体" w:cs="宋体"/>
                <w:kern w:val="0"/>
                <w:sz w:val="20"/>
                <w:szCs w:val="20"/>
              </w:rPr>
              <w:t>同一静止场景相同图像质量下，设备在H.265编码方式时，开启智能编码功能和不开启智能编码相比，码率节约80%。</w:t>
            </w:r>
            <w:r>
              <w:rPr>
                <w:rFonts w:hint="eastAsia" w:ascii="宋体" w:hAnsi="宋体" w:cs="宋体"/>
                <w:kern w:val="0"/>
                <w:sz w:val="20"/>
                <w:szCs w:val="20"/>
              </w:rPr>
              <w:br w:type="textWrapping"/>
            </w:r>
            <w:r>
              <w:rPr>
                <w:rFonts w:hint="eastAsia" w:ascii="宋体" w:hAnsi="宋体" w:cs="宋体"/>
                <w:kern w:val="0"/>
                <w:sz w:val="20"/>
                <w:szCs w:val="20"/>
              </w:rPr>
              <w:t>支持数据感知功能，在IE 浏览器下，重启事件记录可包括正常重启和异常重启2种类型。正常重启可记录重启的时间、服务类型、用户名、IP/域名信息；异常重启可记录重启时间、异常类型信息。</w:t>
            </w:r>
            <w:r>
              <w:rPr>
                <w:rFonts w:hint="eastAsia" w:ascii="宋体" w:hAnsi="宋体" w:cs="宋体"/>
                <w:kern w:val="0"/>
                <w:sz w:val="20"/>
                <w:szCs w:val="20"/>
              </w:rPr>
              <w:br w:type="textWrapping"/>
            </w:r>
            <w:r>
              <w:rPr>
                <w:rFonts w:hint="eastAsia" w:ascii="宋体" w:hAnsi="宋体" w:cs="宋体"/>
                <w:kern w:val="0"/>
                <w:sz w:val="20"/>
                <w:szCs w:val="20"/>
              </w:rPr>
              <w:t>支持数据感知功能，可同时支持3路web监听通道，设备响应web端发送的查询请求，并返回对应的感知数据；断网重连后，报警信息可继续上传。</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只</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普通人脸识别</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131</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电梯摄像机</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电瓶车检测专用摄像机</w:t>
            </w:r>
            <w:r>
              <w:rPr>
                <w:rFonts w:hint="eastAsia" w:ascii="宋体" w:hAnsi="宋体" w:cs="宋体"/>
                <w:kern w:val="0"/>
                <w:sz w:val="20"/>
                <w:szCs w:val="20"/>
              </w:rPr>
              <w:br w:type="textWrapping"/>
            </w:r>
            <w:r>
              <w:rPr>
                <w:rFonts w:hint="eastAsia" w:ascii="宋体" w:hAnsi="宋体" w:cs="宋体"/>
                <w:kern w:val="0"/>
                <w:sz w:val="20"/>
                <w:szCs w:val="20"/>
              </w:rPr>
              <w:t>智能侦测：采用深度学习硬件及算法,提供精准的电瓶车侦测</w:t>
            </w:r>
            <w:r>
              <w:rPr>
                <w:rFonts w:hint="eastAsia" w:ascii="宋体" w:hAnsi="宋体" w:cs="宋体"/>
                <w:kern w:val="0"/>
                <w:sz w:val="20"/>
                <w:szCs w:val="20"/>
              </w:rPr>
              <w:br w:type="textWrapping"/>
            </w:r>
            <w:r>
              <w:rPr>
                <w:rFonts w:hint="eastAsia" w:ascii="宋体" w:hAnsi="宋体" w:cs="宋体"/>
                <w:kern w:val="0"/>
                <w:sz w:val="20"/>
                <w:szCs w:val="20"/>
              </w:rPr>
              <w:t>支持联动声音报警</w:t>
            </w:r>
            <w:r>
              <w:rPr>
                <w:rFonts w:hint="eastAsia" w:ascii="宋体" w:hAnsi="宋体" w:cs="宋体"/>
                <w:kern w:val="0"/>
                <w:sz w:val="20"/>
                <w:szCs w:val="20"/>
              </w:rPr>
              <w:br w:type="textWrapping"/>
            </w:r>
            <w:r>
              <w:rPr>
                <w:rFonts w:hint="eastAsia" w:ascii="宋体" w:hAnsi="宋体" w:cs="宋体"/>
                <w:kern w:val="0"/>
                <w:sz w:val="20"/>
                <w:szCs w:val="20"/>
              </w:rPr>
              <w:t>支持电动镜头</w:t>
            </w:r>
            <w:r>
              <w:rPr>
                <w:rFonts w:hint="eastAsia" w:ascii="宋体" w:hAnsi="宋体" w:cs="宋体"/>
                <w:kern w:val="0"/>
                <w:sz w:val="20"/>
                <w:szCs w:val="20"/>
              </w:rPr>
              <w:br w:type="textWrapping"/>
            </w:r>
            <w:r>
              <w:rPr>
                <w:rFonts w:hint="eastAsia" w:ascii="宋体" w:hAnsi="宋体" w:cs="宋体"/>
                <w:kern w:val="0"/>
                <w:sz w:val="20"/>
                <w:szCs w:val="20"/>
              </w:rPr>
              <w:t>传感器类型: 1/2.7" Progressive Scan CMOS</w:t>
            </w:r>
            <w:r>
              <w:rPr>
                <w:rFonts w:hint="eastAsia" w:ascii="宋体" w:hAnsi="宋体" w:cs="宋体"/>
                <w:kern w:val="0"/>
                <w:sz w:val="20"/>
                <w:szCs w:val="20"/>
              </w:rPr>
              <w:br w:type="textWrapping"/>
            </w:r>
            <w:r>
              <w:rPr>
                <w:rFonts w:hint="eastAsia" w:ascii="宋体" w:hAnsi="宋体" w:cs="宋体"/>
                <w:kern w:val="0"/>
                <w:sz w:val="20"/>
                <w:szCs w:val="20"/>
              </w:rPr>
              <w:t>最小照度: 0.005Lux @(F1.2,AGC ON) ,0 Lux with IR</w:t>
            </w:r>
            <w:r>
              <w:rPr>
                <w:rFonts w:hint="eastAsia" w:ascii="宋体" w:hAnsi="宋体" w:cs="宋体"/>
                <w:kern w:val="0"/>
                <w:sz w:val="20"/>
                <w:szCs w:val="20"/>
              </w:rPr>
              <w:br w:type="textWrapping"/>
            </w:r>
            <w:r>
              <w:rPr>
                <w:rFonts w:hint="eastAsia" w:ascii="宋体" w:hAnsi="宋体" w:cs="宋体"/>
                <w:kern w:val="0"/>
                <w:sz w:val="20"/>
                <w:szCs w:val="20"/>
              </w:rPr>
              <w:t>调整角度: 水平:0°~355°,垂直:0°~75°,旋转0°~355°</w:t>
            </w:r>
            <w:r>
              <w:rPr>
                <w:rFonts w:hint="eastAsia" w:ascii="宋体" w:hAnsi="宋体" w:cs="宋体"/>
                <w:kern w:val="0"/>
                <w:sz w:val="20"/>
                <w:szCs w:val="20"/>
              </w:rPr>
              <w:br w:type="textWrapping"/>
            </w:r>
            <w:r>
              <w:rPr>
                <w:rFonts w:hint="eastAsia" w:ascii="宋体" w:hAnsi="宋体" w:cs="宋体"/>
                <w:kern w:val="0"/>
                <w:sz w:val="20"/>
                <w:szCs w:val="20"/>
              </w:rPr>
              <w:t>最大图像尺寸: 2560 x 1440</w:t>
            </w:r>
            <w:r>
              <w:rPr>
                <w:rFonts w:hint="eastAsia" w:ascii="宋体" w:hAnsi="宋体" w:cs="宋体"/>
                <w:kern w:val="0"/>
                <w:sz w:val="20"/>
                <w:szCs w:val="20"/>
              </w:rPr>
              <w:br w:type="textWrapping"/>
            </w:r>
            <w:r>
              <w:rPr>
                <w:rFonts w:hint="eastAsia" w:ascii="宋体" w:hAnsi="宋体" w:cs="宋体"/>
                <w:kern w:val="0"/>
                <w:sz w:val="20"/>
                <w:szCs w:val="20"/>
              </w:rPr>
              <w:t>存储功能: 支持Micro SD(即TF卡)/Micro SDHC/Micro SDXC卡(256G)断网本地存储及断网续传</w:t>
            </w:r>
            <w:r>
              <w:rPr>
                <w:rFonts w:hint="eastAsia" w:ascii="宋体" w:hAnsi="宋体" w:cs="宋体"/>
                <w:kern w:val="0"/>
                <w:sz w:val="20"/>
                <w:szCs w:val="20"/>
              </w:rPr>
              <w:br w:type="textWrapping"/>
            </w:r>
            <w:r>
              <w:rPr>
                <w:rFonts w:hint="eastAsia" w:ascii="宋体" w:hAnsi="宋体" w:cs="宋体"/>
                <w:kern w:val="0"/>
                <w:sz w:val="20"/>
                <w:szCs w:val="20"/>
              </w:rPr>
              <w:t>音频接口: 内置麦克风和喇叭</w:t>
            </w:r>
            <w:r>
              <w:rPr>
                <w:rFonts w:hint="eastAsia" w:ascii="宋体" w:hAnsi="宋体" w:cs="宋体"/>
                <w:kern w:val="0"/>
                <w:sz w:val="20"/>
                <w:szCs w:val="20"/>
              </w:rPr>
              <w:br w:type="textWrapping"/>
            </w:r>
            <w:r>
              <w:rPr>
                <w:rFonts w:hint="eastAsia" w:ascii="宋体" w:hAnsi="宋体" w:cs="宋体"/>
                <w:kern w:val="0"/>
                <w:sz w:val="20"/>
                <w:szCs w:val="20"/>
              </w:rPr>
              <w:t>报警输入: 1路；报警输出: 1路</w:t>
            </w:r>
            <w:r>
              <w:rPr>
                <w:rFonts w:hint="eastAsia" w:ascii="宋体" w:hAnsi="宋体" w:cs="宋体"/>
                <w:kern w:val="0"/>
                <w:sz w:val="20"/>
                <w:szCs w:val="20"/>
              </w:rPr>
              <w:br w:type="textWrapping"/>
            </w:r>
            <w:r>
              <w:rPr>
                <w:rFonts w:hint="eastAsia" w:ascii="宋体" w:hAnsi="宋体" w:cs="宋体"/>
                <w:kern w:val="0"/>
                <w:sz w:val="20"/>
                <w:szCs w:val="20"/>
              </w:rPr>
              <w:t>红外照射距离: 最远可达30米</w:t>
            </w:r>
            <w:r>
              <w:rPr>
                <w:rFonts w:hint="eastAsia" w:ascii="宋体" w:hAnsi="宋体" w:cs="宋体"/>
                <w:kern w:val="0"/>
                <w:sz w:val="20"/>
                <w:szCs w:val="20"/>
              </w:rPr>
              <w:br w:type="textWrapping"/>
            </w:r>
            <w:r>
              <w:rPr>
                <w:rFonts w:hint="eastAsia" w:ascii="宋体" w:hAnsi="宋体" w:cs="宋体"/>
                <w:kern w:val="0"/>
                <w:sz w:val="20"/>
                <w:szCs w:val="20"/>
              </w:rPr>
              <w:t>防护等级: IP67，支持POE供电</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13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只</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132</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电梯无线网桥</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5.8G电梯网桥，802.11ac制式</w:t>
            </w:r>
            <w:r>
              <w:rPr>
                <w:rFonts w:hint="eastAsia" w:ascii="宋体" w:hAnsi="宋体" w:cs="宋体"/>
                <w:kern w:val="0"/>
                <w:sz w:val="20"/>
                <w:szCs w:val="20"/>
              </w:rPr>
              <w:br w:type="textWrapping"/>
            </w:r>
            <w:r>
              <w:rPr>
                <w:rFonts w:hint="eastAsia" w:ascii="宋体" w:hAnsi="宋体" w:cs="宋体"/>
                <w:kern w:val="0"/>
                <w:sz w:val="20"/>
                <w:szCs w:val="20"/>
              </w:rPr>
              <w:t>成对包装，距离500米</w:t>
            </w:r>
            <w:r>
              <w:rPr>
                <w:rFonts w:hint="eastAsia" w:ascii="宋体" w:hAnsi="宋体" w:cs="宋体"/>
                <w:kern w:val="0"/>
                <w:sz w:val="20"/>
                <w:szCs w:val="20"/>
              </w:rPr>
              <w:br w:type="textWrapping"/>
            </w:r>
            <w:r>
              <w:rPr>
                <w:rFonts w:hint="eastAsia" w:ascii="宋体" w:hAnsi="宋体" w:cs="宋体"/>
                <w:kern w:val="0"/>
                <w:sz w:val="20"/>
                <w:szCs w:val="20"/>
              </w:rPr>
              <w:t>3网口设计，支持路由功能</w:t>
            </w:r>
            <w:r>
              <w:rPr>
                <w:rFonts w:hint="eastAsia" w:ascii="宋体" w:hAnsi="宋体" w:cs="宋体"/>
                <w:kern w:val="0"/>
                <w:sz w:val="20"/>
                <w:szCs w:val="20"/>
              </w:rPr>
              <w:br w:type="textWrapping"/>
            </w:r>
            <w:r>
              <w:rPr>
                <w:rFonts w:hint="eastAsia" w:ascii="宋体" w:hAnsi="宋体" w:cs="宋体"/>
                <w:kern w:val="0"/>
                <w:sz w:val="20"/>
                <w:szCs w:val="20"/>
              </w:rPr>
              <w:t>定向天线</w:t>
            </w:r>
            <w:r>
              <w:rPr>
                <w:rFonts w:hint="eastAsia" w:ascii="宋体" w:hAnsi="宋体" w:cs="宋体"/>
                <w:kern w:val="0"/>
                <w:sz w:val="20"/>
                <w:szCs w:val="20"/>
              </w:rPr>
              <w:br w:type="textWrapping"/>
            </w:r>
            <w:r>
              <w:rPr>
                <w:rFonts w:hint="eastAsia" w:ascii="宋体" w:hAnsi="宋体" w:cs="宋体"/>
                <w:kern w:val="0"/>
                <w:sz w:val="20"/>
                <w:szCs w:val="20"/>
              </w:rPr>
              <w:t>成对包装</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13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只</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133</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400万全彩智能警戒摄像机</w:t>
            </w:r>
          </w:p>
        </w:tc>
        <w:tc>
          <w:tcPr>
            <w:tcW w:w="8222" w:type="dxa"/>
            <w:noWrap w:val="0"/>
            <w:vAlign w:val="center"/>
          </w:tcPr>
          <w:p>
            <w:pPr>
              <w:widowControl/>
              <w:snapToGrid w:val="0"/>
              <w:jc w:val="left"/>
              <w:rPr>
                <w:rFonts w:hint="eastAsia" w:ascii="宋体" w:hAnsi="宋体" w:cs="宋体"/>
                <w:kern w:val="0"/>
                <w:sz w:val="20"/>
                <w:szCs w:val="20"/>
              </w:rPr>
            </w:pPr>
            <w:r>
              <w:rPr>
                <w:rFonts w:hint="eastAsia" w:ascii="宋体" w:hAnsi="宋体" w:cs="宋体"/>
                <w:kern w:val="0"/>
                <w:sz w:val="20"/>
                <w:szCs w:val="20"/>
              </w:rPr>
              <w:t>400万1/1.8"CMOS 全彩筒型网络摄像机</w:t>
            </w:r>
            <w:r>
              <w:rPr>
                <w:rFonts w:hint="eastAsia" w:ascii="宋体" w:hAnsi="宋体" w:cs="宋体"/>
                <w:kern w:val="0"/>
                <w:sz w:val="20"/>
                <w:szCs w:val="20"/>
              </w:rPr>
              <w:br w:type="textWrapping"/>
            </w:r>
            <w:r>
              <w:rPr>
                <w:rFonts w:hint="eastAsia" w:ascii="宋体" w:hAnsi="宋体" w:cs="宋体"/>
                <w:kern w:val="0"/>
                <w:sz w:val="20"/>
                <w:szCs w:val="20"/>
              </w:rPr>
              <w:t>智能侦测：采用深度学习硬件及算法，提供精准的人车分类侦测，支持越界侦测，区域入侵侦测，进入区域侦测和离开区域侦测。</w:t>
            </w:r>
            <w:r>
              <w:rPr>
                <w:rFonts w:hint="eastAsia" w:ascii="宋体" w:hAnsi="宋体" w:cs="宋体"/>
                <w:kern w:val="0"/>
                <w:sz w:val="20"/>
                <w:szCs w:val="20"/>
              </w:rPr>
              <w:br w:type="textWrapping"/>
            </w:r>
            <w:r>
              <w:rPr>
                <w:rFonts w:hint="eastAsia" w:ascii="宋体" w:hAnsi="宋体" w:cs="宋体"/>
                <w:kern w:val="0"/>
                <w:sz w:val="20"/>
                <w:szCs w:val="20"/>
              </w:rPr>
              <w:t>支持声音报警功能，报警声音类型不小于10种，报警声级及报警次数可设置。</w:t>
            </w:r>
          </w:p>
          <w:p>
            <w:pPr>
              <w:widowControl/>
              <w:snapToGrid w:val="0"/>
              <w:jc w:val="left"/>
              <w:rPr>
                <w:rFonts w:ascii="宋体" w:hAnsi="宋体" w:cs="宋体"/>
                <w:kern w:val="0"/>
                <w:sz w:val="20"/>
                <w:szCs w:val="20"/>
              </w:rPr>
            </w:pPr>
            <w:r>
              <w:rPr>
                <w:rFonts w:hint="eastAsia" w:ascii="宋体" w:hAnsi="宋体" w:cs="宋体"/>
                <w:kern w:val="0"/>
                <w:sz w:val="20"/>
                <w:szCs w:val="20"/>
              </w:rPr>
              <w:t>全彩级高灵敏度感器，F1.0超大光圈镜头，为智能应用提供更清晰的视频流输入，全面提升智能业务处理的准确度</w:t>
            </w:r>
            <w:r>
              <w:rPr>
                <w:rFonts w:hint="eastAsia" w:ascii="宋体" w:hAnsi="宋体" w:cs="宋体"/>
                <w:kern w:val="0"/>
                <w:sz w:val="20"/>
                <w:szCs w:val="20"/>
              </w:rPr>
              <w:br w:type="textWrapping"/>
            </w:r>
            <w:r>
              <w:rPr>
                <w:rFonts w:hint="eastAsia" w:ascii="宋体" w:hAnsi="宋体" w:cs="宋体"/>
                <w:kern w:val="0"/>
                <w:sz w:val="20"/>
                <w:szCs w:val="20"/>
              </w:rPr>
              <w:t>最低照度:彩色：0.0005 Lux@(F1.0，AGC ON)，0 Lux with Light</w:t>
            </w:r>
            <w:r>
              <w:rPr>
                <w:rFonts w:hint="eastAsia" w:ascii="宋体" w:hAnsi="宋体" w:cs="宋体"/>
                <w:kern w:val="0"/>
                <w:sz w:val="20"/>
                <w:szCs w:val="20"/>
              </w:rPr>
              <w:br w:type="textWrapping"/>
            </w:r>
            <w:r>
              <w:rPr>
                <w:rFonts w:hint="eastAsia" w:ascii="宋体" w:hAnsi="宋体" w:cs="宋体"/>
                <w:kern w:val="0"/>
                <w:sz w:val="20"/>
                <w:szCs w:val="20"/>
              </w:rPr>
              <w:t>焦距和视场角:</w:t>
            </w:r>
            <w:r>
              <w:rPr>
                <w:rFonts w:hint="eastAsia" w:ascii="宋体" w:hAnsi="宋体" w:cs="宋体"/>
                <w:kern w:val="0"/>
                <w:sz w:val="20"/>
                <w:szCs w:val="20"/>
              </w:rPr>
              <w:br w:type="textWrapping"/>
            </w:r>
            <w:r>
              <w:rPr>
                <w:rFonts w:hint="eastAsia" w:ascii="宋体" w:hAnsi="宋体" w:cs="宋体"/>
                <w:kern w:val="0"/>
                <w:sz w:val="20"/>
                <w:szCs w:val="20"/>
              </w:rPr>
              <w:t>4 mm@ F1.0, 水平视场角：88.8°，垂直视场角：46.5°，对角线视场角：105°</w:t>
            </w:r>
            <w:r>
              <w:rPr>
                <w:rFonts w:hint="eastAsia" w:ascii="宋体" w:hAnsi="宋体" w:cs="宋体"/>
                <w:kern w:val="0"/>
                <w:sz w:val="20"/>
                <w:szCs w:val="20"/>
              </w:rPr>
              <w:br w:type="textWrapping"/>
            </w:r>
            <w:r>
              <w:rPr>
                <w:rFonts w:hint="eastAsia" w:ascii="宋体" w:hAnsi="宋体" w:cs="宋体"/>
                <w:kern w:val="0"/>
                <w:sz w:val="20"/>
                <w:szCs w:val="20"/>
              </w:rPr>
              <w:t>宽动态范围:120 dB</w:t>
            </w:r>
            <w:r>
              <w:rPr>
                <w:rFonts w:hint="eastAsia" w:ascii="宋体" w:hAnsi="宋体" w:cs="宋体"/>
                <w:kern w:val="0"/>
                <w:sz w:val="20"/>
                <w:szCs w:val="20"/>
              </w:rPr>
              <w:br w:type="textWrapping"/>
            </w:r>
            <w:r>
              <w:rPr>
                <w:rFonts w:hint="eastAsia" w:ascii="宋体" w:hAnsi="宋体" w:cs="宋体"/>
                <w:kern w:val="0"/>
                <w:sz w:val="20"/>
                <w:szCs w:val="20"/>
              </w:rPr>
              <w:t>视频压缩标准:H.265/H.264/MJPEG</w:t>
            </w:r>
            <w:r>
              <w:rPr>
                <w:rFonts w:hint="eastAsia" w:ascii="宋体" w:hAnsi="宋体" w:cs="宋体"/>
                <w:kern w:val="0"/>
                <w:sz w:val="20"/>
                <w:szCs w:val="20"/>
              </w:rPr>
              <w:br w:type="textWrapping"/>
            </w:r>
            <w:r>
              <w:rPr>
                <w:rFonts w:hint="eastAsia" w:ascii="宋体" w:hAnsi="宋体" w:cs="宋体"/>
                <w:kern w:val="0"/>
                <w:sz w:val="20"/>
                <w:szCs w:val="20"/>
              </w:rPr>
              <w:t>最大图像尺寸:2560 × 1440</w:t>
            </w:r>
            <w:r>
              <w:rPr>
                <w:rFonts w:hint="eastAsia" w:ascii="宋体" w:hAnsi="宋体" w:cs="宋体"/>
                <w:kern w:val="0"/>
                <w:sz w:val="20"/>
                <w:szCs w:val="20"/>
              </w:rPr>
              <w:br w:type="textWrapping"/>
            </w:r>
            <w:r>
              <w:rPr>
                <w:rFonts w:hint="eastAsia" w:ascii="宋体" w:hAnsi="宋体" w:cs="宋体"/>
                <w:kern w:val="0"/>
                <w:sz w:val="20"/>
                <w:szCs w:val="20"/>
              </w:rPr>
              <w:t>存储功能:NAS(NFS，SMB/CIFS均支持)，支持Micro SD(即TF卡)/Micro SDHC/Micro SDXC卡(最大256 GB)</w:t>
            </w:r>
            <w:r>
              <w:rPr>
                <w:rFonts w:hint="eastAsia" w:ascii="宋体" w:hAnsi="宋体" w:cs="宋体"/>
                <w:kern w:val="0"/>
                <w:sz w:val="20"/>
                <w:szCs w:val="20"/>
              </w:rPr>
              <w:br w:type="textWrapping"/>
            </w:r>
            <w:r>
              <w:rPr>
                <w:rFonts w:hint="eastAsia" w:ascii="宋体" w:hAnsi="宋体" w:cs="宋体"/>
                <w:kern w:val="0"/>
                <w:sz w:val="20"/>
                <w:szCs w:val="20"/>
              </w:rPr>
              <w:t>网络:1个RJ45 10 M/100 M自适应以太网口</w:t>
            </w:r>
            <w:r>
              <w:rPr>
                <w:rFonts w:hint="eastAsia" w:ascii="宋体" w:hAnsi="宋体" w:cs="宋体"/>
                <w:kern w:val="0"/>
                <w:sz w:val="20"/>
                <w:szCs w:val="20"/>
              </w:rPr>
              <w:br w:type="textWrapping"/>
            </w:r>
            <w:r>
              <w:rPr>
                <w:rFonts w:hint="eastAsia" w:ascii="宋体" w:hAnsi="宋体" w:cs="宋体"/>
                <w:kern w:val="0"/>
                <w:sz w:val="20"/>
                <w:szCs w:val="20"/>
              </w:rPr>
              <w:t>报警:1输入，1输出</w:t>
            </w:r>
            <w:r>
              <w:rPr>
                <w:rFonts w:hint="eastAsia" w:ascii="宋体" w:hAnsi="宋体" w:cs="宋体"/>
                <w:kern w:val="0"/>
                <w:sz w:val="20"/>
                <w:szCs w:val="20"/>
              </w:rPr>
              <w:br w:type="textWrapping"/>
            </w:r>
            <w:r>
              <w:rPr>
                <w:rFonts w:hint="eastAsia" w:ascii="宋体" w:hAnsi="宋体" w:cs="宋体"/>
                <w:kern w:val="0"/>
                <w:sz w:val="20"/>
                <w:szCs w:val="20"/>
              </w:rPr>
              <w:t>内置麦克风和喇叭。</w:t>
            </w:r>
            <w:r>
              <w:rPr>
                <w:rFonts w:hint="eastAsia" w:ascii="宋体" w:hAnsi="宋体" w:cs="宋体"/>
                <w:kern w:val="0"/>
                <w:sz w:val="20"/>
                <w:szCs w:val="20"/>
              </w:rPr>
              <w:br w:type="textWrapping"/>
            </w:r>
            <w:r>
              <w:rPr>
                <w:rFonts w:hint="eastAsia" w:ascii="宋体" w:hAnsi="宋体" w:cs="宋体"/>
                <w:kern w:val="0"/>
                <w:sz w:val="20"/>
                <w:szCs w:val="20"/>
              </w:rPr>
              <w:t>启动及工作温湿度:-30 ℃~60 ℃，湿度小于95%(无凝结)</w:t>
            </w:r>
            <w:r>
              <w:rPr>
                <w:rFonts w:hint="eastAsia" w:ascii="宋体" w:hAnsi="宋体" w:cs="宋体"/>
                <w:kern w:val="0"/>
                <w:sz w:val="20"/>
                <w:szCs w:val="20"/>
              </w:rPr>
              <w:br w:type="textWrapping"/>
            </w:r>
            <w:r>
              <w:rPr>
                <w:rFonts w:hint="eastAsia" w:ascii="宋体" w:hAnsi="宋体" w:cs="宋体"/>
                <w:kern w:val="0"/>
                <w:sz w:val="20"/>
                <w:szCs w:val="20"/>
              </w:rPr>
              <w:t>供电方式:DC：12 V ± 25%，支持防反接保护</w:t>
            </w:r>
            <w:r>
              <w:rPr>
                <w:rFonts w:hint="eastAsia" w:ascii="宋体" w:hAnsi="宋体" w:cs="宋体"/>
                <w:kern w:val="0"/>
                <w:sz w:val="20"/>
                <w:szCs w:val="20"/>
              </w:rPr>
              <w:br w:type="textWrapping"/>
            </w:r>
            <w:r>
              <w:rPr>
                <w:rFonts w:hint="eastAsia" w:ascii="宋体" w:hAnsi="宋体" w:cs="宋体"/>
                <w:kern w:val="0"/>
                <w:sz w:val="20"/>
                <w:szCs w:val="20"/>
              </w:rPr>
              <w:t>电流及功耗:DC：12 V，0.88 A，10.5 W Max</w:t>
            </w:r>
            <w:r>
              <w:rPr>
                <w:rFonts w:hint="eastAsia" w:ascii="宋体" w:hAnsi="宋体" w:cs="宋体"/>
                <w:kern w:val="0"/>
                <w:sz w:val="20"/>
                <w:szCs w:val="20"/>
              </w:rPr>
              <w:br w:type="textWrapping"/>
            </w:r>
            <w:r>
              <w:rPr>
                <w:rFonts w:hint="eastAsia" w:ascii="宋体" w:hAnsi="宋体" w:cs="宋体"/>
                <w:kern w:val="0"/>
                <w:sz w:val="20"/>
                <w:szCs w:val="20"/>
              </w:rPr>
              <w:t>补光:暖白光：最远可达30 m</w:t>
            </w:r>
            <w:r>
              <w:rPr>
                <w:rFonts w:hint="eastAsia" w:ascii="宋体" w:hAnsi="宋体" w:cs="宋体"/>
                <w:kern w:val="0"/>
                <w:sz w:val="20"/>
                <w:szCs w:val="20"/>
              </w:rPr>
              <w:br w:type="textWrapping"/>
            </w:r>
            <w:r>
              <w:rPr>
                <w:rFonts w:hint="eastAsia" w:ascii="宋体" w:hAnsi="宋体" w:cs="宋体"/>
                <w:kern w:val="0"/>
                <w:sz w:val="20"/>
                <w:szCs w:val="20"/>
              </w:rPr>
              <w:t>需具备智能报警防干扰功能，当在设定的检测范围内出现光线明暗变化、篮球滚动、狗行走、树摇晃时，不触发报警。</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40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只</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消防通道违停</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134</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逆行告警球型摄像机</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交通数据采集：车流量、车道平均速度、车头时距、车头间距、车道时间占有率、车道空间占有率</w:t>
            </w:r>
            <w:r>
              <w:rPr>
                <w:rFonts w:hint="eastAsia" w:ascii="宋体" w:hAnsi="宋体" w:cs="宋体"/>
                <w:kern w:val="0"/>
                <w:sz w:val="20"/>
                <w:szCs w:val="20"/>
              </w:rPr>
              <w:br w:type="textWrapping"/>
            </w:r>
            <w:r>
              <w:rPr>
                <w:rFonts w:hint="eastAsia" w:ascii="宋体" w:hAnsi="宋体" w:cs="宋体"/>
                <w:kern w:val="0"/>
                <w:sz w:val="20"/>
                <w:szCs w:val="20"/>
              </w:rPr>
              <w:t>支持深度学习算法，有效提升检测准确率</w:t>
            </w:r>
            <w:r>
              <w:rPr>
                <w:rFonts w:hint="eastAsia" w:ascii="宋体" w:hAnsi="宋体" w:cs="宋体"/>
                <w:kern w:val="0"/>
                <w:sz w:val="20"/>
                <w:szCs w:val="20"/>
              </w:rPr>
              <w:br w:type="textWrapping"/>
            </w:r>
            <w:r>
              <w:rPr>
                <w:rFonts w:hint="eastAsia" w:ascii="宋体" w:hAnsi="宋体" w:cs="宋体"/>
                <w:kern w:val="0"/>
                <w:sz w:val="20"/>
                <w:szCs w:val="20"/>
              </w:rPr>
              <w:t>支持多场景巡航检测，并可配置场景巡航自适应功能</w:t>
            </w:r>
            <w:r>
              <w:rPr>
                <w:rFonts w:hint="eastAsia" w:ascii="宋体" w:hAnsi="宋体" w:cs="宋体"/>
                <w:kern w:val="0"/>
                <w:sz w:val="20"/>
                <w:szCs w:val="20"/>
              </w:rPr>
              <w:br w:type="textWrapping"/>
            </w:r>
            <w:r>
              <w:rPr>
                <w:rFonts w:hint="eastAsia" w:ascii="宋体" w:hAnsi="宋体" w:cs="宋体"/>
                <w:kern w:val="0"/>
                <w:sz w:val="20"/>
                <w:szCs w:val="20"/>
              </w:rPr>
              <w:t>支持对静止或运动车辆的手动取证功能</w:t>
            </w:r>
            <w:r>
              <w:rPr>
                <w:rFonts w:hint="eastAsia" w:ascii="宋体" w:hAnsi="宋体" w:cs="宋体"/>
                <w:kern w:val="0"/>
                <w:sz w:val="20"/>
                <w:szCs w:val="20"/>
              </w:rPr>
              <w:br w:type="textWrapping"/>
            </w:r>
            <w:r>
              <w:rPr>
                <w:rFonts w:hint="eastAsia" w:ascii="宋体" w:hAnsi="宋体" w:cs="宋体"/>
                <w:kern w:val="0"/>
                <w:sz w:val="20"/>
                <w:szCs w:val="20"/>
              </w:rPr>
              <w:t>支持语音联动功能</w:t>
            </w:r>
            <w:r>
              <w:rPr>
                <w:rFonts w:hint="eastAsia" w:ascii="宋体" w:hAnsi="宋体" w:cs="宋体"/>
                <w:kern w:val="0"/>
                <w:sz w:val="20"/>
                <w:szCs w:val="20"/>
              </w:rPr>
              <w:br w:type="textWrapping"/>
            </w:r>
            <w:r>
              <w:rPr>
                <w:rFonts w:hint="eastAsia" w:ascii="宋体" w:hAnsi="宋体" w:cs="宋体"/>
                <w:kern w:val="0"/>
                <w:sz w:val="20"/>
                <w:szCs w:val="20"/>
              </w:rPr>
              <w:t>可配置多种字符叠加、图片合成模式，并支持违法图片叠加防伪水印</w:t>
            </w:r>
            <w:r>
              <w:rPr>
                <w:rFonts w:hint="eastAsia" w:ascii="宋体" w:hAnsi="宋体" w:cs="宋体"/>
                <w:kern w:val="0"/>
                <w:sz w:val="20"/>
                <w:szCs w:val="20"/>
              </w:rPr>
              <w:br w:type="textWrapping"/>
            </w:r>
            <w:r>
              <w:rPr>
                <w:rFonts w:hint="eastAsia" w:ascii="宋体" w:hAnsi="宋体" w:cs="宋体"/>
                <w:kern w:val="0"/>
                <w:sz w:val="20"/>
                <w:szCs w:val="20"/>
              </w:rPr>
              <w:t>传感器类型: 1/1.8＂ progressive scan CMOS</w:t>
            </w:r>
            <w:r>
              <w:rPr>
                <w:rFonts w:hint="eastAsia" w:ascii="宋体" w:hAnsi="宋体" w:cs="宋体"/>
                <w:kern w:val="0"/>
                <w:sz w:val="20"/>
                <w:szCs w:val="20"/>
              </w:rPr>
              <w:br w:type="textWrapping"/>
            </w:r>
            <w:r>
              <w:rPr>
                <w:rFonts w:hint="eastAsia" w:ascii="宋体" w:hAnsi="宋体" w:cs="宋体"/>
                <w:kern w:val="0"/>
                <w:sz w:val="20"/>
                <w:szCs w:val="20"/>
              </w:rPr>
              <w:t>最低照度: 彩色：0.0005Lux @ (F1.3，AGC ON)；黑白：0.0001Lux @(F1.3，AGC ON) ；0 Lux with IR</w:t>
            </w:r>
            <w:r>
              <w:rPr>
                <w:rFonts w:hint="eastAsia" w:ascii="宋体" w:hAnsi="宋体" w:cs="宋体"/>
                <w:kern w:val="0"/>
                <w:sz w:val="20"/>
                <w:szCs w:val="20"/>
              </w:rPr>
              <w:br w:type="textWrapping"/>
            </w:r>
            <w:r>
              <w:rPr>
                <w:rFonts w:hint="eastAsia" w:ascii="宋体" w:hAnsi="宋体" w:cs="宋体"/>
                <w:kern w:val="0"/>
                <w:sz w:val="20"/>
                <w:szCs w:val="20"/>
              </w:rPr>
              <w:t>宽动态: 120dB超宽动态</w:t>
            </w:r>
            <w:r>
              <w:rPr>
                <w:rFonts w:hint="eastAsia" w:ascii="宋体" w:hAnsi="宋体" w:cs="宋体"/>
                <w:kern w:val="0"/>
                <w:sz w:val="20"/>
                <w:szCs w:val="20"/>
              </w:rPr>
              <w:br w:type="textWrapping"/>
            </w:r>
            <w:r>
              <w:rPr>
                <w:rFonts w:hint="eastAsia" w:ascii="宋体" w:hAnsi="宋体" w:cs="宋体"/>
                <w:kern w:val="0"/>
                <w:sz w:val="20"/>
                <w:szCs w:val="20"/>
              </w:rPr>
              <w:t>光学变倍: 40倍</w:t>
            </w:r>
            <w:r>
              <w:rPr>
                <w:rFonts w:hint="eastAsia" w:ascii="宋体" w:hAnsi="宋体" w:cs="宋体"/>
                <w:kern w:val="0"/>
                <w:sz w:val="20"/>
                <w:szCs w:val="20"/>
              </w:rPr>
              <w:br w:type="textWrapping"/>
            </w:r>
            <w:r>
              <w:rPr>
                <w:rFonts w:hint="eastAsia" w:ascii="宋体" w:hAnsi="宋体" w:cs="宋体"/>
                <w:kern w:val="0"/>
                <w:sz w:val="20"/>
                <w:szCs w:val="20"/>
              </w:rPr>
              <w:t>主码流帧率分辨率: 50Hz:25fps(2560×1440); 60Hz:30fps(2560×1440)</w:t>
            </w:r>
            <w:r>
              <w:rPr>
                <w:rFonts w:hint="eastAsia" w:ascii="宋体" w:hAnsi="宋体" w:cs="宋体"/>
                <w:kern w:val="0"/>
                <w:sz w:val="20"/>
                <w:szCs w:val="20"/>
              </w:rPr>
              <w:br w:type="textWrapping"/>
            </w:r>
            <w:r>
              <w:rPr>
                <w:rFonts w:hint="eastAsia" w:ascii="宋体" w:hAnsi="宋体" w:cs="宋体"/>
                <w:kern w:val="0"/>
                <w:sz w:val="20"/>
                <w:szCs w:val="20"/>
              </w:rPr>
              <w:t>视频压缩标准: H.265,H.264,MJPEG</w:t>
            </w:r>
            <w:r>
              <w:rPr>
                <w:rFonts w:hint="eastAsia" w:ascii="宋体" w:hAnsi="宋体" w:cs="宋体"/>
                <w:kern w:val="0"/>
                <w:sz w:val="20"/>
                <w:szCs w:val="20"/>
              </w:rPr>
              <w:br w:type="textWrapping"/>
            </w:r>
            <w:r>
              <w:rPr>
                <w:rFonts w:hint="eastAsia" w:ascii="宋体" w:hAnsi="宋体" w:cs="宋体"/>
                <w:kern w:val="0"/>
                <w:sz w:val="20"/>
                <w:szCs w:val="20"/>
              </w:rPr>
              <w:t>网络存储: NAS (NFS, SMB/ CIFS)</w:t>
            </w:r>
            <w:r>
              <w:rPr>
                <w:rFonts w:hint="eastAsia" w:ascii="宋体" w:hAnsi="宋体" w:cs="宋体"/>
                <w:kern w:val="0"/>
                <w:sz w:val="20"/>
                <w:szCs w:val="20"/>
              </w:rPr>
              <w:br w:type="textWrapping"/>
            </w:r>
            <w:r>
              <w:rPr>
                <w:rFonts w:hint="eastAsia" w:ascii="宋体" w:hAnsi="宋体" w:cs="宋体"/>
                <w:kern w:val="0"/>
                <w:sz w:val="20"/>
                <w:szCs w:val="20"/>
              </w:rPr>
              <w:t>电源输出: AC24±25%</w:t>
            </w:r>
            <w:r>
              <w:rPr>
                <w:rFonts w:hint="eastAsia" w:ascii="宋体" w:hAnsi="宋体" w:cs="宋体"/>
                <w:kern w:val="0"/>
                <w:sz w:val="20"/>
                <w:szCs w:val="20"/>
              </w:rPr>
              <w:br w:type="textWrapping"/>
            </w:r>
            <w:r>
              <w:rPr>
                <w:rFonts w:hint="eastAsia" w:ascii="宋体" w:hAnsi="宋体" w:cs="宋体"/>
                <w:kern w:val="0"/>
                <w:sz w:val="20"/>
                <w:szCs w:val="20"/>
              </w:rPr>
              <w:t>网络接口: RJ45网口,自适应10M/100M网络数据</w:t>
            </w:r>
            <w:r>
              <w:rPr>
                <w:rFonts w:hint="eastAsia" w:ascii="宋体" w:hAnsi="宋体" w:cs="宋体"/>
                <w:kern w:val="0"/>
                <w:sz w:val="20"/>
                <w:szCs w:val="20"/>
              </w:rPr>
              <w:br w:type="textWrapping"/>
            </w:r>
            <w:r>
              <w:rPr>
                <w:rFonts w:hint="eastAsia" w:ascii="宋体" w:hAnsi="宋体" w:cs="宋体"/>
                <w:kern w:val="0"/>
                <w:sz w:val="20"/>
                <w:szCs w:val="20"/>
              </w:rPr>
              <w:t>SD卡扩展: 支持Micro SD(即TF卡)/Micro SDHC/Micro SDXC卡</w:t>
            </w:r>
            <w:r>
              <w:rPr>
                <w:rFonts w:hint="eastAsia" w:ascii="宋体" w:hAnsi="宋体" w:cs="宋体"/>
                <w:kern w:val="0"/>
                <w:sz w:val="20"/>
                <w:szCs w:val="20"/>
              </w:rPr>
              <w:br w:type="textWrapping"/>
            </w:r>
            <w:r>
              <w:rPr>
                <w:rFonts w:hint="eastAsia" w:ascii="宋体" w:hAnsi="宋体" w:cs="宋体"/>
                <w:kern w:val="0"/>
                <w:sz w:val="20"/>
                <w:szCs w:val="20"/>
              </w:rPr>
              <w:t xml:space="preserve">具有RS485接口 </w:t>
            </w:r>
            <w:r>
              <w:rPr>
                <w:rFonts w:hint="eastAsia" w:ascii="宋体" w:hAnsi="宋体" w:cs="宋体"/>
                <w:kern w:val="0"/>
                <w:sz w:val="20"/>
                <w:szCs w:val="20"/>
              </w:rPr>
              <w:br w:type="textWrapping"/>
            </w:r>
            <w:r>
              <w:rPr>
                <w:rFonts w:hint="eastAsia" w:ascii="宋体" w:hAnsi="宋体" w:cs="宋体"/>
                <w:kern w:val="0"/>
                <w:sz w:val="20"/>
                <w:szCs w:val="20"/>
              </w:rPr>
              <w:t>红外照射距离: 200米</w:t>
            </w:r>
            <w:r>
              <w:rPr>
                <w:rFonts w:hint="eastAsia" w:ascii="宋体" w:hAnsi="宋体" w:cs="宋体"/>
                <w:kern w:val="0"/>
                <w:sz w:val="20"/>
                <w:szCs w:val="20"/>
              </w:rPr>
              <w:br w:type="textWrapping"/>
            </w:r>
            <w:r>
              <w:rPr>
                <w:rFonts w:hint="eastAsia" w:ascii="宋体" w:hAnsi="宋体" w:cs="宋体"/>
                <w:kern w:val="0"/>
                <w:sz w:val="20"/>
                <w:szCs w:val="20"/>
              </w:rPr>
              <w:t>电流及功耗: 62W max (其中红外灯15W max,加热 5W max)</w:t>
            </w:r>
            <w:r>
              <w:rPr>
                <w:rFonts w:hint="eastAsia" w:ascii="宋体" w:hAnsi="宋体" w:cs="宋体"/>
                <w:kern w:val="0"/>
                <w:sz w:val="20"/>
                <w:szCs w:val="20"/>
              </w:rPr>
              <w:br w:type="textWrapping"/>
            </w:r>
            <w:r>
              <w:rPr>
                <w:rFonts w:hint="eastAsia" w:ascii="宋体" w:hAnsi="宋体" w:cs="宋体"/>
                <w:kern w:val="0"/>
                <w:sz w:val="20"/>
                <w:szCs w:val="20"/>
              </w:rPr>
              <w:t>工作温湿度: -40℃-70℃；湿度小于95%</w:t>
            </w:r>
            <w:r>
              <w:rPr>
                <w:rFonts w:hint="eastAsia" w:ascii="宋体" w:hAnsi="宋体" w:cs="宋体"/>
                <w:kern w:val="0"/>
                <w:sz w:val="20"/>
                <w:szCs w:val="20"/>
              </w:rPr>
              <w:br w:type="textWrapping"/>
            </w:r>
            <w:r>
              <w:rPr>
                <w:rFonts w:hint="eastAsia" w:ascii="宋体" w:hAnsi="宋体" w:cs="宋体"/>
                <w:kern w:val="0"/>
                <w:sz w:val="20"/>
                <w:szCs w:val="20"/>
              </w:rPr>
              <w:t>防护: IP67</w:t>
            </w:r>
            <w:r>
              <w:rPr>
                <w:rFonts w:hint="eastAsia" w:ascii="宋体" w:hAnsi="宋体" w:cs="宋体"/>
                <w:kern w:val="0"/>
                <w:sz w:val="20"/>
                <w:szCs w:val="20"/>
              </w:rPr>
              <w:br w:type="textWrapping"/>
            </w:r>
            <w:r>
              <w:rPr>
                <w:rFonts w:hint="eastAsia" w:ascii="宋体" w:hAnsi="宋体" w:cs="宋体"/>
                <w:kern w:val="0"/>
                <w:sz w:val="20"/>
                <w:szCs w:val="20"/>
              </w:rPr>
              <w:t>设备进行违法停车检测时，镜头倍率为1倍，白天有效检测距离最大为150米，其他倍率下，白天有效检测距离最大为400米;</w:t>
            </w:r>
            <w:r>
              <w:rPr>
                <w:rFonts w:hint="eastAsia" w:ascii="宋体" w:hAnsi="宋体" w:cs="宋体"/>
                <w:kern w:val="0"/>
                <w:sz w:val="20"/>
                <w:szCs w:val="20"/>
              </w:rPr>
              <w:br w:type="textWrapping"/>
            </w:r>
            <w:r>
              <w:rPr>
                <w:rFonts w:hint="eastAsia" w:ascii="宋体" w:hAnsi="宋体" w:cs="宋体"/>
                <w:kern w:val="0"/>
                <w:sz w:val="20"/>
                <w:szCs w:val="20"/>
              </w:rPr>
              <w:t>支持7路报警输入接口，2路报警输出接口，支持1路音频输入和输出接口。最大支持256GB的SD卡。</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只</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违停+逆向</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135</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800万高空抛物智能筒型摄像机</w:t>
            </w:r>
          </w:p>
        </w:tc>
        <w:tc>
          <w:tcPr>
            <w:tcW w:w="8222" w:type="dxa"/>
            <w:noWrap w:val="0"/>
            <w:vAlign w:val="center"/>
          </w:tcPr>
          <w:p>
            <w:pPr>
              <w:widowControl/>
              <w:snapToGrid w:val="0"/>
              <w:jc w:val="left"/>
              <w:rPr>
                <w:rFonts w:hint="eastAsia" w:ascii="宋体" w:hAnsi="宋体" w:cs="宋体"/>
                <w:kern w:val="0"/>
                <w:sz w:val="20"/>
                <w:szCs w:val="20"/>
              </w:rPr>
            </w:pPr>
            <w:r>
              <w:rPr>
                <w:rFonts w:hint="eastAsia" w:ascii="宋体" w:hAnsi="宋体" w:cs="宋体"/>
                <w:kern w:val="0"/>
                <w:sz w:val="20"/>
                <w:szCs w:val="20"/>
              </w:rPr>
              <w:t>800万 1/1.2" 高空抛物智能筒型摄像机</w:t>
            </w:r>
            <w:r>
              <w:rPr>
                <w:rFonts w:hint="eastAsia" w:ascii="宋体" w:hAnsi="宋体" w:cs="宋体"/>
                <w:kern w:val="0"/>
                <w:sz w:val="20"/>
                <w:szCs w:val="20"/>
              </w:rPr>
              <w:br w:type="textWrapping"/>
            </w:r>
            <w:r>
              <w:rPr>
                <w:rFonts w:hint="eastAsia" w:ascii="宋体" w:hAnsi="宋体" w:cs="宋体"/>
                <w:kern w:val="0"/>
                <w:sz w:val="20"/>
                <w:szCs w:val="20"/>
              </w:rPr>
              <w:t>专用于高空抛物监控场景，解决因安装方式和场景不同于普通监控而衍生出的场景适应性问题</w:t>
            </w:r>
            <w:r>
              <w:rPr>
                <w:rFonts w:hint="eastAsia" w:ascii="宋体" w:hAnsi="宋体" w:cs="宋体"/>
                <w:kern w:val="0"/>
                <w:sz w:val="20"/>
                <w:szCs w:val="20"/>
              </w:rPr>
              <w:br w:type="textWrapping"/>
            </w:r>
            <w:r>
              <w:rPr>
                <w:rFonts w:hint="eastAsia" w:ascii="宋体" w:hAnsi="宋体" w:cs="宋体"/>
                <w:kern w:val="0"/>
                <w:sz w:val="20"/>
                <w:szCs w:val="20"/>
              </w:rPr>
              <w:t>采用包围式遮光罩设计，避免图像产生异常光斑与反光</w:t>
            </w:r>
            <w:r>
              <w:rPr>
                <w:rFonts w:hint="eastAsia" w:ascii="宋体" w:hAnsi="宋体" w:cs="宋体"/>
                <w:kern w:val="0"/>
                <w:sz w:val="20"/>
                <w:szCs w:val="20"/>
              </w:rPr>
              <w:br w:type="textWrapping"/>
            </w:r>
            <w:r>
              <w:rPr>
                <w:rFonts w:hint="eastAsia" w:ascii="宋体" w:hAnsi="宋体" w:cs="宋体"/>
                <w:kern w:val="0"/>
                <w:sz w:val="20"/>
                <w:szCs w:val="20"/>
              </w:rPr>
              <w:t>支持镜头视窗玻璃加热，通过智能感知芯片，感应视窗玻璃温度，自动调节加热功率，无惧雨雪、降霜、凝露等</w:t>
            </w:r>
            <w:r>
              <w:rPr>
                <w:rFonts w:hint="eastAsia" w:ascii="宋体" w:hAnsi="宋体" w:cs="宋体"/>
                <w:kern w:val="0"/>
                <w:sz w:val="20"/>
                <w:szCs w:val="20"/>
              </w:rPr>
              <w:br w:type="textWrapping"/>
            </w:r>
            <w:r>
              <w:rPr>
                <w:rFonts w:hint="eastAsia" w:ascii="宋体" w:hAnsi="宋体" w:cs="宋体"/>
                <w:kern w:val="0"/>
                <w:sz w:val="20"/>
                <w:szCs w:val="20"/>
              </w:rPr>
              <w:t>专业级蓝玻璃镜头和专用图像算法，有效改善仰视场景下反射光与杂光干扰，解决逆光问题</w:t>
            </w:r>
            <w:r>
              <w:rPr>
                <w:rFonts w:hint="eastAsia" w:ascii="宋体" w:hAnsi="宋体" w:cs="宋体"/>
                <w:kern w:val="0"/>
                <w:sz w:val="20"/>
                <w:szCs w:val="20"/>
              </w:rPr>
              <w:br w:type="textWrapping"/>
            </w:r>
            <w:r>
              <w:rPr>
                <w:rFonts w:hint="eastAsia" w:ascii="宋体" w:hAnsi="宋体" w:cs="宋体"/>
                <w:kern w:val="0"/>
                <w:sz w:val="20"/>
                <w:szCs w:val="20"/>
              </w:rPr>
              <w:t>支持高空抛物事件智能检测，配置简洁；典型安装场景下可以有效检测出5 × 5像素以上抛落物；可有效过滤飞虫，飞鸟，树叶，晾晒衣物等干扰目标；支持4个算法屏蔽区域设置，减少环境影响</w:t>
            </w:r>
            <w:r>
              <w:rPr>
                <w:rFonts w:hint="eastAsia" w:ascii="宋体" w:hAnsi="宋体" w:cs="宋体"/>
                <w:kern w:val="0"/>
                <w:sz w:val="20"/>
                <w:szCs w:val="20"/>
              </w:rPr>
              <w:br w:type="textWrapping"/>
            </w:r>
            <w:r>
              <w:rPr>
                <w:rFonts w:hint="eastAsia" w:ascii="宋体" w:hAnsi="宋体" w:cs="宋体"/>
                <w:kern w:val="0"/>
                <w:sz w:val="20"/>
                <w:szCs w:val="20"/>
              </w:rPr>
              <w:t>支持马赛克遮挡隐私区域，保护住户隐私，最多支持8个区域设置</w:t>
            </w:r>
            <w:r>
              <w:rPr>
                <w:rFonts w:hint="eastAsia" w:ascii="宋体" w:hAnsi="宋体" w:cs="宋体"/>
                <w:kern w:val="0"/>
                <w:sz w:val="20"/>
                <w:szCs w:val="20"/>
              </w:rPr>
              <w:br w:type="textWrapping"/>
            </w:r>
            <w:r>
              <w:rPr>
                <w:rFonts w:hint="eastAsia" w:ascii="宋体" w:hAnsi="宋体" w:cs="宋体"/>
                <w:kern w:val="0"/>
                <w:sz w:val="20"/>
                <w:szCs w:val="20"/>
              </w:rPr>
              <w:t>宽动态: 超宽动态范围达120 dB</w:t>
            </w:r>
            <w:r>
              <w:rPr>
                <w:rFonts w:hint="eastAsia" w:ascii="宋体" w:hAnsi="宋体" w:cs="宋体"/>
                <w:kern w:val="0"/>
                <w:sz w:val="20"/>
                <w:szCs w:val="20"/>
              </w:rPr>
              <w:br w:type="textWrapping"/>
            </w:r>
            <w:r>
              <w:rPr>
                <w:rFonts w:hint="eastAsia" w:ascii="宋体" w:hAnsi="宋体" w:cs="宋体"/>
                <w:kern w:val="0"/>
                <w:sz w:val="20"/>
                <w:szCs w:val="20"/>
              </w:rPr>
              <w:t>最低照度: 彩色：0.0005 Lux @（F1.0，AGC ON）</w:t>
            </w:r>
            <w:r>
              <w:rPr>
                <w:rFonts w:hint="eastAsia" w:ascii="宋体" w:hAnsi="宋体" w:cs="宋体"/>
                <w:kern w:val="0"/>
                <w:sz w:val="20"/>
                <w:szCs w:val="20"/>
              </w:rPr>
              <w:br w:type="textWrapping"/>
            </w:r>
            <w:r>
              <w:rPr>
                <w:rFonts w:hint="eastAsia" w:ascii="宋体" w:hAnsi="宋体" w:cs="宋体"/>
                <w:kern w:val="0"/>
                <w:sz w:val="20"/>
                <w:szCs w:val="20"/>
              </w:rPr>
              <w:t xml:space="preserve">焦距&amp;视场角: </w:t>
            </w:r>
            <w:r>
              <w:rPr>
                <w:rFonts w:hint="eastAsia" w:ascii="宋体" w:hAnsi="宋体" w:cs="宋体"/>
                <w:kern w:val="0"/>
                <w:sz w:val="20"/>
                <w:szCs w:val="20"/>
              </w:rPr>
              <w:br w:type="textWrapping"/>
            </w:r>
            <w:r>
              <w:rPr>
                <w:rFonts w:hint="eastAsia" w:ascii="宋体" w:hAnsi="宋体" w:cs="宋体"/>
                <w:kern w:val="0"/>
                <w:sz w:val="20"/>
                <w:szCs w:val="20"/>
              </w:rPr>
              <w:t>4 mm @F1.0，水平视场角：88°，垂直视场角：47°，对角线视场角：104.3°</w:t>
            </w:r>
            <w:r>
              <w:rPr>
                <w:rFonts w:hint="eastAsia" w:ascii="宋体" w:hAnsi="宋体" w:cs="宋体"/>
                <w:kern w:val="0"/>
                <w:sz w:val="20"/>
                <w:szCs w:val="20"/>
              </w:rPr>
              <w:br w:type="textWrapping"/>
            </w:r>
            <w:r>
              <w:rPr>
                <w:rFonts w:hint="eastAsia" w:ascii="宋体" w:hAnsi="宋体" w:cs="宋体"/>
                <w:kern w:val="0"/>
                <w:sz w:val="20"/>
                <w:szCs w:val="20"/>
              </w:rPr>
              <w:t>6 mm @F1.0，水平视场角：54.1°，垂直视场角：29.8°，对角线视场角：62.9°</w:t>
            </w:r>
            <w:r>
              <w:rPr>
                <w:rFonts w:hint="eastAsia" w:ascii="宋体" w:hAnsi="宋体" w:cs="宋体"/>
                <w:kern w:val="0"/>
                <w:sz w:val="20"/>
                <w:szCs w:val="20"/>
              </w:rPr>
              <w:br w:type="textWrapping"/>
            </w:r>
            <w:r>
              <w:rPr>
                <w:rFonts w:hint="eastAsia" w:ascii="宋体" w:hAnsi="宋体" w:cs="宋体"/>
                <w:kern w:val="0"/>
                <w:sz w:val="20"/>
                <w:szCs w:val="20"/>
              </w:rPr>
              <w:t>最大图像尺寸: 3840 × 2160</w:t>
            </w:r>
            <w:r>
              <w:rPr>
                <w:rFonts w:hint="eastAsia" w:ascii="宋体" w:hAnsi="宋体" w:cs="宋体"/>
                <w:kern w:val="0"/>
                <w:sz w:val="20"/>
                <w:szCs w:val="20"/>
              </w:rPr>
              <w:br w:type="textWrapping"/>
            </w:r>
            <w:r>
              <w:rPr>
                <w:rFonts w:hint="eastAsia" w:ascii="宋体" w:hAnsi="宋体" w:cs="宋体"/>
                <w:kern w:val="0"/>
                <w:sz w:val="20"/>
                <w:szCs w:val="20"/>
              </w:rPr>
              <w:t>视频压缩标准: H.265/H.264/MJPEG</w:t>
            </w:r>
            <w:r>
              <w:rPr>
                <w:rFonts w:hint="eastAsia" w:ascii="宋体" w:hAnsi="宋体" w:cs="宋体"/>
                <w:kern w:val="0"/>
                <w:sz w:val="20"/>
                <w:szCs w:val="20"/>
              </w:rPr>
              <w:br w:type="textWrapping"/>
            </w:r>
            <w:r>
              <w:rPr>
                <w:rFonts w:hint="eastAsia" w:ascii="宋体" w:hAnsi="宋体" w:cs="宋体"/>
                <w:kern w:val="0"/>
                <w:sz w:val="20"/>
                <w:szCs w:val="20"/>
              </w:rPr>
              <w:t>网络存储: 支持Micro SD(即TF卡)/Micro SDHC/Micro SDXC卡（最大256 GB）断网本地存储及断网续传，NAS（NFS，SMB/CIFS均支持），配合海康黑卡支持SD卡加密及SD卡状态检测</w:t>
            </w:r>
            <w:r>
              <w:rPr>
                <w:rFonts w:hint="eastAsia" w:ascii="宋体" w:hAnsi="宋体" w:cs="宋体"/>
                <w:kern w:val="0"/>
                <w:sz w:val="20"/>
                <w:szCs w:val="20"/>
              </w:rPr>
              <w:br w:type="textWrapping"/>
            </w:r>
            <w:r>
              <w:rPr>
                <w:rFonts w:hint="eastAsia" w:ascii="宋体" w:hAnsi="宋体" w:cs="宋体"/>
                <w:kern w:val="0"/>
                <w:sz w:val="20"/>
                <w:szCs w:val="20"/>
              </w:rPr>
              <w:t>网络: 1个RJ45 10 M/100 M自适应以太网口</w:t>
            </w:r>
            <w:r>
              <w:rPr>
                <w:rFonts w:hint="eastAsia" w:ascii="宋体" w:hAnsi="宋体" w:cs="宋体"/>
                <w:kern w:val="0"/>
                <w:sz w:val="20"/>
                <w:szCs w:val="20"/>
              </w:rPr>
              <w:br w:type="textWrapping"/>
            </w:r>
            <w:r>
              <w:rPr>
                <w:rFonts w:hint="eastAsia" w:ascii="宋体" w:hAnsi="宋体" w:cs="宋体"/>
                <w:kern w:val="0"/>
                <w:sz w:val="20"/>
                <w:szCs w:val="20"/>
              </w:rPr>
              <w:t>复位: 支持</w:t>
            </w:r>
            <w:r>
              <w:rPr>
                <w:rFonts w:hint="eastAsia" w:ascii="宋体" w:hAnsi="宋体" w:cs="宋体"/>
                <w:kern w:val="0"/>
                <w:sz w:val="20"/>
                <w:szCs w:val="20"/>
              </w:rPr>
              <w:br w:type="textWrapping"/>
            </w:r>
            <w:r>
              <w:rPr>
                <w:rFonts w:hint="eastAsia" w:ascii="宋体" w:hAnsi="宋体" w:cs="宋体"/>
                <w:kern w:val="0"/>
                <w:sz w:val="20"/>
                <w:szCs w:val="20"/>
              </w:rPr>
              <w:t>雨刷: 支持</w:t>
            </w:r>
            <w:r>
              <w:rPr>
                <w:rFonts w:hint="eastAsia" w:ascii="宋体" w:hAnsi="宋体" w:cs="宋体"/>
                <w:kern w:val="0"/>
                <w:sz w:val="20"/>
                <w:szCs w:val="20"/>
              </w:rPr>
              <w:br w:type="textWrapping"/>
            </w:r>
            <w:r>
              <w:rPr>
                <w:rFonts w:hint="eastAsia" w:ascii="宋体" w:hAnsi="宋体" w:cs="宋体"/>
                <w:kern w:val="0"/>
                <w:sz w:val="20"/>
                <w:szCs w:val="20"/>
              </w:rPr>
              <w:t>扩展接口: 支持半导体制冷集水和喷水，实现自清洁</w:t>
            </w:r>
            <w:r>
              <w:rPr>
                <w:rFonts w:hint="eastAsia" w:ascii="宋体" w:hAnsi="宋体" w:cs="宋体"/>
                <w:kern w:val="0"/>
                <w:sz w:val="20"/>
                <w:szCs w:val="20"/>
              </w:rPr>
              <w:br w:type="textWrapping"/>
            </w:r>
            <w:r>
              <w:rPr>
                <w:rFonts w:hint="eastAsia" w:ascii="宋体" w:hAnsi="宋体" w:cs="宋体"/>
                <w:kern w:val="0"/>
                <w:sz w:val="20"/>
                <w:szCs w:val="20"/>
              </w:rPr>
              <w:t>电流及功耗: DC：12 V，1.5 A，最大功耗：18 W; PoE：802.3at，42.5 V~57 V，0.52 A~0.39 A，最大功耗：22.5 W</w:t>
            </w:r>
            <w:r>
              <w:rPr>
                <w:rFonts w:hint="eastAsia" w:ascii="宋体" w:hAnsi="宋体" w:cs="宋体"/>
                <w:kern w:val="0"/>
                <w:sz w:val="20"/>
                <w:szCs w:val="20"/>
              </w:rPr>
              <w:br w:type="textWrapping"/>
            </w:r>
            <w:r>
              <w:rPr>
                <w:rFonts w:hint="eastAsia" w:ascii="宋体" w:hAnsi="宋体" w:cs="宋体"/>
                <w:kern w:val="0"/>
                <w:sz w:val="20"/>
                <w:szCs w:val="20"/>
              </w:rPr>
              <w:t>电源接口类型: 三芯电源接口</w:t>
            </w:r>
            <w:r>
              <w:rPr>
                <w:rFonts w:hint="eastAsia" w:ascii="宋体" w:hAnsi="宋体" w:cs="宋体"/>
                <w:kern w:val="0"/>
                <w:sz w:val="20"/>
                <w:szCs w:val="20"/>
              </w:rPr>
              <w:br w:type="textWrapping"/>
            </w:r>
            <w:r>
              <w:rPr>
                <w:rFonts w:hint="eastAsia" w:ascii="宋体" w:hAnsi="宋体" w:cs="宋体"/>
                <w:kern w:val="0"/>
                <w:sz w:val="20"/>
                <w:szCs w:val="20"/>
              </w:rPr>
              <w:t>供电方式: DC：12 V ± 20%，支持防反接保护；PoE：802.3at，Class 4</w:t>
            </w:r>
            <w:r>
              <w:rPr>
                <w:rFonts w:hint="eastAsia" w:ascii="宋体" w:hAnsi="宋体" w:cs="宋体"/>
                <w:kern w:val="0"/>
                <w:sz w:val="20"/>
                <w:szCs w:val="20"/>
              </w:rPr>
              <w:br w:type="textWrapping"/>
            </w:r>
            <w:r>
              <w:rPr>
                <w:rFonts w:hint="eastAsia" w:ascii="宋体" w:hAnsi="宋体" w:cs="宋体"/>
                <w:kern w:val="0"/>
                <w:sz w:val="20"/>
                <w:szCs w:val="20"/>
              </w:rPr>
              <w:t>启动及工作温湿度: -30 ℃~60 ℃，湿度小于95%（无凝结）</w:t>
            </w:r>
            <w:r>
              <w:rPr>
                <w:rFonts w:hint="eastAsia" w:ascii="宋体" w:hAnsi="宋体" w:cs="宋体"/>
                <w:kern w:val="0"/>
                <w:sz w:val="20"/>
                <w:szCs w:val="20"/>
              </w:rPr>
              <w:br w:type="textWrapping"/>
            </w:r>
            <w:r>
              <w:rPr>
                <w:rFonts w:hint="eastAsia" w:ascii="宋体" w:hAnsi="宋体" w:cs="宋体"/>
                <w:kern w:val="0"/>
                <w:sz w:val="20"/>
                <w:szCs w:val="20"/>
              </w:rPr>
              <w:t>存储温湿度: -30 ℃~60 ℃，湿度小于95%（无凝结）</w:t>
            </w:r>
            <w:r>
              <w:rPr>
                <w:rFonts w:hint="eastAsia" w:ascii="宋体" w:hAnsi="宋体" w:cs="宋体"/>
                <w:kern w:val="0"/>
                <w:sz w:val="20"/>
                <w:szCs w:val="20"/>
              </w:rPr>
              <w:br w:type="textWrapping"/>
            </w:r>
            <w:r>
              <w:rPr>
                <w:rFonts w:hint="eastAsia" w:ascii="宋体" w:hAnsi="宋体" w:cs="宋体"/>
                <w:kern w:val="0"/>
                <w:sz w:val="20"/>
                <w:szCs w:val="20"/>
              </w:rPr>
              <w:t>防护: IP67</w:t>
            </w:r>
            <w:r>
              <w:rPr>
                <w:rFonts w:hint="eastAsia" w:ascii="宋体" w:hAnsi="宋体" w:cs="宋体"/>
                <w:kern w:val="0"/>
                <w:sz w:val="20"/>
                <w:szCs w:val="20"/>
              </w:rPr>
              <w:br w:type="textWrapping"/>
            </w:r>
            <w:r>
              <w:rPr>
                <w:rFonts w:hint="eastAsia" w:ascii="宋体" w:hAnsi="宋体" w:cs="宋体"/>
                <w:kern w:val="0"/>
                <w:sz w:val="20"/>
                <w:szCs w:val="20"/>
              </w:rPr>
              <w:t>高空抛物检测误报率≤1%。</w:t>
            </w:r>
            <w:r>
              <w:rPr>
                <w:rFonts w:hint="eastAsia" w:ascii="宋体" w:hAnsi="宋体" w:cs="宋体"/>
                <w:kern w:val="0"/>
                <w:sz w:val="20"/>
                <w:szCs w:val="20"/>
              </w:rPr>
              <w:br w:type="textWrapping"/>
            </w:r>
            <w:r>
              <w:rPr>
                <w:rFonts w:hint="eastAsia" w:ascii="宋体" w:hAnsi="宋体" w:cs="宋体"/>
                <w:kern w:val="0"/>
                <w:sz w:val="20"/>
                <w:szCs w:val="20"/>
              </w:rPr>
              <w:t>支持高空抛物抗扰功能，当出现非从高处落向低处的物体，不产生报警提示信息。</w:t>
            </w:r>
          </w:p>
          <w:p>
            <w:pPr>
              <w:widowControl/>
              <w:snapToGrid w:val="0"/>
              <w:jc w:val="left"/>
              <w:rPr>
                <w:rFonts w:hint="eastAsia" w:ascii="宋体" w:hAnsi="宋体" w:cs="宋体"/>
                <w:kern w:val="0"/>
                <w:sz w:val="20"/>
                <w:szCs w:val="20"/>
              </w:rPr>
            </w:pPr>
            <w:r>
              <w:rPr>
                <w:rFonts w:hint="eastAsia" w:ascii="宋体" w:hAnsi="宋体" w:cs="宋体"/>
                <w:kern w:val="0"/>
                <w:sz w:val="20"/>
                <w:szCs w:val="20"/>
              </w:rPr>
              <w:t>设备自带雨量感应器，根据雨量情况自动启停雨刷和调整雨刷速率，有效保证摄像机雨天成像清晰</w:t>
            </w:r>
            <w:r>
              <w:rPr>
                <w:rFonts w:hint="eastAsia" w:ascii="宋体" w:hAnsi="宋体" w:cs="宋体"/>
                <w:kern w:val="0"/>
                <w:sz w:val="20"/>
                <w:szCs w:val="20"/>
              </w:rPr>
              <w:br w:type="textWrapping"/>
            </w:r>
            <w:r>
              <w:rPr>
                <w:rFonts w:hint="eastAsia" w:ascii="宋体" w:hAnsi="宋体" w:cs="宋体"/>
                <w:kern w:val="0"/>
                <w:sz w:val="20"/>
                <w:szCs w:val="20"/>
              </w:rPr>
              <w:t>；</w:t>
            </w:r>
            <w:r>
              <w:rPr>
                <w:rFonts w:hint="eastAsia" w:ascii="宋体" w:hAnsi="宋体" w:cs="宋体"/>
                <w:kern w:val="0"/>
                <w:sz w:val="20"/>
                <w:szCs w:val="20"/>
              </w:rPr>
              <w:br w:type="textWrapping"/>
            </w:r>
            <w:r>
              <w:rPr>
                <w:rFonts w:hint="eastAsia" w:ascii="宋体" w:hAnsi="宋体" w:cs="宋体"/>
                <w:kern w:val="0"/>
                <w:sz w:val="20"/>
                <w:szCs w:val="20"/>
              </w:rPr>
              <w:t>支持镜头视窗玻璃加热，通过智能感知芯片，感应视窗玻璃温度，自动调节加热功率，无惧雨雪、降霜、凝露等；</w:t>
            </w:r>
            <w:r>
              <w:rPr>
                <w:rFonts w:hint="eastAsia" w:ascii="宋体" w:hAnsi="宋体" w:cs="宋体"/>
                <w:kern w:val="0"/>
                <w:sz w:val="20"/>
                <w:szCs w:val="20"/>
              </w:rPr>
              <w:br w:type="textWrapping"/>
            </w:r>
            <w:r>
              <w:rPr>
                <w:rFonts w:hint="eastAsia" w:ascii="宋体" w:hAnsi="宋体" w:cs="宋体"/>
                <w:kern w:val="0"/>
                <w:sz w:val="20"/>
                <w:szCs w:val="20"/>
              </w:rPr>
              <w:t>内置水量传感器和蓄水箱，可以自动感知雨水并支持蓄水功能;</w:t>
            </w:r>
          </w:p>
          <w:p>
            <w:pPr>
              <w:widowControl/>
              <w:snapToGrid w:val="0"/>
              <w:jc w:val="left"/>
              <w:rPr>
                <w:rFonts w:ascii="宋体" w:hAnsi="宋体" w:cs="宋体"/>
                <w:kern w:val="0"/>
                <w:sz w:val="20"/>
                <w:szCs w:val="20"/>
              </w:rPr>
            </w:pPr>
            <w:r>
              <w:rPr>
                <w:rFonts w:hint="eastAsia" w:ascii="宋体" w:hAnsi="宋体" w:cs="宋体"/>
                <w:b/>
                <w:bCs/>
                <w:kern w:val="0"/>
                <w:sz w:val="20"/>
                <w:szCs w:val="20"/>
              </w:rPr>
              <w:t>支持高空抛物事件智能检测，配置简洁；典型安装场景下可以有效检测出5 × 5像素以上抛落物；可有效过滤飞虫，飞鸟，树叶，晾晒衣物等干扰目标；支持4个算法屏蔽区域设置，减少环境影响。（具有相应资质的第三方检测机构出具的检测报告）</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12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只</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带轨迹识别</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136</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人员聚集徘徊监控摄像机</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支持3种智能资源模式切换：混合目标检测，人脸抓拍，Smart事件</w:t>
            </w:r>
            <w:r>
              <w:rPr>
                <w:rFonts w:hint="eastAsia" w:ascii="宋体" w:hAnsi="宋体" w:cs="宋体"/>
                <w:kern w:val="0"/>
                <w:sz w:val="20"/>
                <w:szCs w:val="20"/>
              </w:rPr>
              <w:br w:type="textWrapping"/>
            </w:r>
            <w:r>
              <w:rPr>
                <w:rFonts w:hint="eastAsia" w:ascii="宋体" w:hAnsi="宋体" w:cs="宋体"/>
                <w:kern w:val="0"/>
                <w:sz w:val="20"/>
                <w:szCs w:val="20"/>
              </w:rPr>
              <w:t>内置高效专利温和补光灯，告别光污染，保证夜间正常进行人脸抓拍</w:t>
            </w:r>
            <w:r>
              <w:rPr>
                <w:rFonts w:hint="eastAsia" w:ascii="宋体" w:hAnsi="宋体" w:cs="宋体"/>
                <w:kern w:val="0"/>
                <w:sz w:val="20"/>
                <w:szCs w:val="20"/>
              </w:rPr>
              <w:br w:type="textWrapping"/>
            </w:r>
            <w:r>
              <w:rPr>
                <w:rFonts w:hint="eastAsia" w:ascii="宋体" w:hAnsi="宋体" w:cs="宋体"/>
                <w:kern w:val="0"/>
                <w:sz w:val="20"/>
                <w:szCs w:val="20"/>
              </w:rPr>
              <w:t>最低照度: 彩色：0.0005 Lux @（F1.2，AGC ON）；黑白：0.0001 Lux @（F1.2，AGC ON），0 Lux with IR</w:t>
            </w:r>
            <w:r>
              <w:rPr>
                <w:rFonts w:hint="eastAsia" w:ascii="宋体" w:hAnsi="宋体" w:cs="宋体"/>
                <w:kern w:val="0"/>
                <w:sz w:val="20"/>
                <w:szCs w:val="20"/>
              </w:rPr>
              <w:br w:type="textWrapping"/>
            </w:r>
            <w:r>
              <w:rPr>
                <w:rFonts w:hint="eastAsia" w:ascii="宋体" w:hAnsi="宋体" w:cs="宋体"/>
                <w:kern w:val="0"/>
                <w:sz w:val="20"/>
                <w:szCs w:val="20"/>
              </w:rPr>
              <w:t>宽动态: 数字宽动态</w:t>
            </w:r>
            <w:r>
              <w:rPr>
                <w:rFonts w:hint="eastAsia" w:ascii="宋体" w:hAnsi="宋体" w:cs="宋体"/>
                <w:kern w:val="0"/>
                <w:sz w:val="20"/>
                <w:szCs w:val="20"/>
              </w:rPr>
              <w:br w:type="textWrapping"/>
            </w:r>
            <w:r>
              <w:rPr>
                <w:rFonts w:hint="eastAsia" w:ascii="宋体" w:hAnsi="宋体" w:cs="宋体"/>
                <w:kern w:val="0"/>
                <w:sz w:val="20"/>
                <w:szCs w:val="20"/>
              </w:rPr>
              <w:t>混光距离: 混合补光（750+白光）；人脸：3~6 m，普通监控：15 m</w:t>
            </w:r>
            <w:r>
              <w:rPr>
                <w:rFonts w:hint="eastAsia" w:ascii="宋体" w:hAnsi="宋体" w:cs="宋体"/>
                <w:kern w:val="0"/>
                <w:sz w:val="20"/>
                <w:szCs w:val="20"/>
              </w:rPr>
              <w:br w:type="textWrapping"/>
            </w:r>
            <w:r>
              <w:rPr>
                <w:rFonts w:hint="eastAsia" w:ascii="宋体" w:hAnsi="宋体" w:cs="宋体"/>
                <w:kern w:val="0"/>
                <w:sz w:val="20"/>
                <w:szCs w:val="20"/>
              </w:rPr>
              <w:t>波长范围: 750 nm</w:t>
            </w:r>
            <w:r>
              <w:rPr>
                <w:rFonts w:hint="eastAsia" w:ascii="宋体" w:hAnsi="宋体" w:cs="宋体"/>
                <w:kern w:val="0"/>
                <w:sz w:val="20"/>
                <w:szCs w:val="20"/>
              </w:rPr>
              <w:br w:type="textWrapping"/>
            </w:r>
            <w:r>
              <w:rPr>
                <w:rFonts w:hint="eastAsia" w:ascii="宋体" w:hAnsi="宋体" w:cs="宋体"/>
                <w:kern w:val="0"/>
                <w:sz w:val="20"/>
                <w:szCs w:val="20"/>
              </w:rPr>
              <w:t>最大图像尺寸: 1920 × 1080</w:t>
            </w:r>
            <w:r>
              <w:rPr>
                <w:rFonts w:hint="eastAsia" w:ascii="宋体" w:hAnsi="宋体" w:cs="宋体"/>
                <w:kern w:val="0"/>
                <w:sz w:val="20"/>
                <w:szCs w:val="20"/>
              </w:rPr>
              <w:br w:type="textWrapping"/>
            </w:r>
            <w:r>
              <w:rPr>
                <w:rFonts w:hint="eastAsia" w:ascii="宋体" w:hAnsi="宋体" w:cs="宋体"/>
                <w:kern w:val="0"/>
                <w:sz w:val="20"/>
                <w:szCs w:val="20"/>
              </w:rPr>
              <w:t>视频压缩标准: 主码流：H.265/H.264</w:t>
            </w:r>
            <w:r>
              <w:rPr>
                <w:rFonts w:hint="eastAsia" w:ascii="宋体" w:hAnsi="宋体" w:cs="宋体"/>
                <w:kern w:val="0"/>
                <w:sz w:val="20"/>
                <w:szCs w:val="20"/>
              </w:rPr>
              <w:br w:type="textWrapping"/>
            </w:r>
            <w:r>
              <w:rPr>
                <w:rFonts w:hint="eastAsia" w:ascii="宋体" w:hAnsi="宋体" w:cs="宋体"/>
                <w:kern w:val="0"/>
                <w:sz w:val="20"/>
                <w:szCs w:val="20"/>
              </w:rPr>
              <w:t>网络存储: 支持Micro SD(即TF卡)/Micro SDHC/Micro SDXC卡（最大256 GB）断网本地存储及断网续传，NAS（NFS，SMB/CIFS均支持）</w:t>
            </w:r>
            <w:r>
              <w:rPr>
                <w:rFonts w:hint="eastAsia" w:ascii="宋体" w:hAnsi="宋体" w:cs="宋体"/>
                <w:kern w:val="0"/>
                <w:sz w:val="20"/>
                <w:szCs w:val="20"/>
              </w:rPr>
              <w:br w:type="textWrapping"/>
            </w:r>
            <w:r>
              <w:rPr>
                <w:rFonts w:hint="eastAsia" w:ascii="宋体" w:hAnsi="宋体" w:cs="宋体"/>
                <w:kern w:val="0"/>
                <w:sz w:val="20"/>
                <w:szCs w:val="20"/>
              </w:rPr>
              <w:t>网络: 1个RJ45 10 M/100 M自适应以太网口</w:t>
            </w:r>
            <w:r>
              <w:rPr>
                <w:rFonts w:hint="eastAsia" w:ascii="宋体" w:hAnsi="宋体" w:cs="宋体"/>
                <w:kern w:val="0"/>
                <w:sz w:val="20"/>
                <w:szCs w:val="20"/>
              </w:rPr>
              <w:br w:type="textWrapping"/>
            </w:r>
            <w:r>
              <w:rPr>
                <w:rFonts w:hint="eastAsia" w:ascii="宋体" w:hAnsi="宋体" w:cs="宋体"/>
                <w:kern w:val="0"/>
                <w:sz w:val="20"/>
                <w:szCs w:val="20"/>
              </w:rPr>
              <w:t>音频: 1路输入（Line in）；1路输出；1个内置麦克风</w:t>
            </w:r>
            <w:r>
              <w:rPr>
                <w:rFonts w:hint="eastAsia" w:ascii="宋体" w:hAnsi="宋体" w:cs="宋体"/>
                <w:kern w:val="0"/>
                <w:sz w:val="20"/>
                <w:szCs w:val="20"/>
              </w:rPr>
              <w:br w:type="textWrapping"/>
            </w:r>
            <w:r>
              <w:rPr>
                <w:rFonts w:hint="eastAsia" w:ascii="宋体" w:hAnsi="宋体" w:cs="宋体"/>
                <w:kern w:val="0"/>
                <w:sz w:val="20"/>
                <w:szCs w:val="20"/>
              </w:rPr>
              <w:t>报警: 1路输入，1路输出</w:t>
            </w:r>
            <w:r>
              <w:rPr>
                <w:rFonts w:hint="eastAsia" w:ascii="宋体" w:hAnsi="宋体" w:cs="宋体"/>
                <w:kern w:val="0"/>
                <w:sz w:val="20"/>
                <w:szCs w:val="20"/>
              </w:rPr>
              <w:br w:type="textWrapping"/>
            </w:r>
            <w:r>
              <w:rPr>
                <w:rFonts w:hint="eastAsia" w:ascii="宋体" w:hAnsi="宋体" w:cs="宋体"/>
                <w:kern w:val="0"/>
                <w:sz w:val="20"/>
                <w:szCs w:val="20"/>
              </w:rPr>
              <w:t>复位: 支持</w:t>
            </w:r>
            <w:r>
              <w:rPr>
                <w:rFonts w:hint="eastAsia" w:ascii="宋体" w:hAnsi="宋体" w:cs="宋体"/>
                <w:kern w:val="0"/>
                <w:sz w:val="20"/>
                <w:szCs w:val="20"/>
              </w:rPr>
              <w:br w:type="textWrapping"/>
            </w:r>
            <w:r>
              <w:rPr>
                <w:rFonts w:hint="eastAsia" w:ascii="宋体" w:hAnsi="宋体" w:cs="宋体"/>
                <w:kern w:val="0"/>
                <w:sz w:val="20"/>
                <w:szCs w:val="20"/>
              </w:rPr>
              <w:t>电源输出: DC12 V，200 mA，拾音器供电使用</w:t>
            </w:r>
            <w:r>
              <w:rPr>
                <w:rFonts w:hint="eastAsia" w:ascii="宋体" w:hAnsi="宋体" w:cs="宋体"/>
                <w:kern w:val="0"/>
                <w:sz w:val="20"/>
                <w:szCs w:val="20"/>
              </w:rPr>
              <w:br w:type="textWrapping"/>
            </w:r>
            <w:r>
              <w:rPr>
                <w:rFonts w:hint="eastAsia" w:ascii="宋体" w:hAnsi="宋体" w:cs="宋体"/>
                <w:kern w:val="0"/>
                <w:sz w:val="20"/>
                <w:szCs w:val="20"/>
              </w:rPr>
              <w:t>存储温湿度: -30 ℃~60 ℃，湿度小于95%（无凝结）</w:t>
            </w:r>
            <w:r>
              <w:rPr>
                <w:rFonts w:hint="eastAsia" w:ascii="宋体" w:hAnsi="宋体" w:cs="宋体"/>
                <w:kern w:val="0"/>
                <w:sz w:val="20"/>
                <w:szCs w:val="20"/>
              </w:rPr>
              <w:br w:type="textWrapping"/>
            </w:r>
            <w:r>
              <w:rPr>
                <w:rFonts w:hint="eastAsia" w:ascii="宋体" w:hAnsi="宋体" w:cs="宋体"/>
                <w:kern w:val="0"/>
                <w:sz w:val="20"/>
                <w:szCs w:val="20"/>
              </w:rPr>
              <w:t>启动及工作温湿度: -30 ℃~60 ℃，湿度小于95%（无凝结）</w:t>
            </w:r>
            <w:r>
              <w:rPr>
                <w:rFonts w:hint="eastAsia" w:ascii="宋体" w:hAnsi="宋体" w:cs="宋体"/>
                <w:kern w:val="0"/>
                <w:sz w:val="20"/>
                <w:szCs w:val="20"/>
              </w:rPr>
              <w:br w:type="textWrapping"/>
            </w:r>
            <w:r>
              <w:rPr>
                <w:rFonts w:hint="eastAsia" w:ascii="宋体" w:hAnsi="宋体" w:cs="宋体"/>
                <w:kern w:val="0"/>
                <w:sz w:val="20"/>
                <w:szCs w:val="20"/>
              </w:rPr>
              <w:t>供电方式: DC：12 V ± 25%，支持防反接保护；PoE：802.3at，Class 4</w:t>
            </w:r>
            <w:r>
              <w:rPr>
                <w:rFonts w:hint="eastAsia" w:ascii="宋体" w:hAnsi="宋体" w:cs="宋体"/>
                <w:kern w:val="0"/>
                <w:sz w:val="20"/>
                <w:szCs w:val="20"/>
              </w:rPr>
              <w:br w:type="textWrapping"/>
            </w:r>
            <w:r>
              <w:rPr>
                <w:rFonts w:hint="eastAsia" w:ascii="宋体" w:hAnsi="宋体" w:cs="宋体"/>
                <w:kern w:val="0"/>
                <w:sz w:val="20"/>
                <w:szCs w:val="20"/>
              </w:rPr>
              <w:t>不低于IP66防尘防水等级。</w:t>
            </w:r>
            <w:r>
              <w:rPr>
                <w:rFonts w:hint="eastAsia" w:ascii="宋体" w:hAnsi="宋体" w:cs="宋体"/>
                <w:kern w:val="0"/>
                <w:sz w:val="20"/>
                <w:szCs w:val="20"/>
              </w:rPr>
              <w:br w:type="textWrapping"/>
            </w:r>
            <w:r>
              <w:rPr>
                <w:rFonts w:hint="eastAsia" w:ascii="宋体" w:hAnsi="宋体" w:cs="宋体"/>
                <w:kern w:val="0"/>
                <w:sz w:val="20"/>
                <w:szCs w:val="20"/>
              </w:rPr>
              <w:t>内置双镜头，靶面尺寸均不低于1/2.7英寸。</w:t>
            </w:r>
            <w:r>
              <w:rPr>
                <w:rFonts w:hint="eastAsia" w:ascii="宋体" w:hAnsi="宋体" w:cs="宋体"/>
                <w:kern w:val="0"/>
                <w:sz w:val="20"/>
                <w:szCs w:val="20"/>
              </w:rPr>
              <w:br w:type="textWrapping"/>
            </w:r>
            <w:r>
              <w:rPr>
                <w:rFonts w:hint="eastAsia" w:ascii="宋体" w:hAnsi="宋体" w:cs="宋体"/>
                <w:kern w:val="0"/>
                <w:sz w:val="20"/>
                <w:szCs w:val="20"/>
              </w:rPr>
              <w:t>内置两个图像传感器，分别输出黑白及彩色图像，可对视频图像进行融合输出。</w:t>
            </w:r>
            <w:r>
              <w:rPr>
                <w:rFonts w:hint="eastAsia" w:ascii="宋体" w:hAnsi="宋体" w:cs="宋体"/>
                <w:kern w:val="0"/>
                <w:sz w:val="20"/>
                <w:szCs w:val="20"/>
              </w:rPr>
              <w:br w:type="textWrapping"/>
            </w:r>
            <w:r>
              <w:rPr>
                <w:rFonts w:hint="eastAsia" w:ascii="宋体" w:hAnsi="宋体" w:cs="宋体"/>
                <w:kern w:val="0"/>
                <w:sz w:val="20"/>
                <w:szCs w:val="20"/>
              </w:rPr>
              <w:t>内置混合补光灯，每颗补光灯由红外灯、白光灯组成，可自动或手动调节补光灯的亮度。</w:t>
            </w:r>
            <w:r>
              <w:rPr>
                <w:rFonts w:hint="eastAsia" w:ascii="宋体" w:hAnsi="宋体" w:cs="宋体"/>
                <w:kern w:val="0"/>
                <w:sz w:val="20"/>
                <w:szCs w:val="20"/>
              </w:rPr>
              <w:br w:type="textWrapping"/>
            </w:r>
            <w:r>
              <w:rPr>
                <w:rFonts w:hint="eastAsia" w:ascii="宋体" w:hAnsi="宋体" w:cs="宋体"/>
                <w:kern w:val="0"/>
                <w:sz w:val="20"/>
                <w:szCs w:val="20"/>
              </w:rPr>
              <w:t>同一静止场景相同图像质量下，设备在H.265编码方式时，开启智能编码功能和不开启智能编码相比，码率节约80%。</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4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只</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137</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监控立杆（含基础件）</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不锈钢镀锌，高</w:t>
            </w:r>
            <w:r>
              <w:rPr>
                <w:rFonts w:ascii="宋体" w:hAnsi="宋体" w:cs="宋体"/>
                <w:kern w:val="0"/>
                <w:sz w:val="20"/>
                <w:szCs w:val="20"/>
              </w:rPr>
              <w:t>4</w:t>
            </w:r>
            <w:r>
              <w:rPr>
                <w:rFonts w:hint="eastAsia" w:ascii="宋体" w:hAnsi="宋体" w:cs="宋体"/>
                <w:kern w:val="0"/>
                <w:sz w:val="20"/>
                <w:szCs w:val="20"/>
              </w:rPr>
              <w:t>米，挑臂1米</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57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根</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138</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墙壁挑臂</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配套</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11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根</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139</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监控长支架</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铝合金立杆万向吊装，50CM</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71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根</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140</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8口POE交换机</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固化10/100/1000M以太网电口≥8个，100/1000M SFP千兆光接口≥2个</w:t>
            </w:r>
            <w:r>
              <w:rPr>
                <w:rFonts w:hint="eastAsia" w:ascii="宋体" w:hAnsi="宋体" w:cs="宋体"/>
                <w:kern w:val="0"/>
                <w:sz w:val="20"/>
                <w:szCs w:val="20"/>
              </w:rPr>
              <w:br w:type="textWrapping"/>
            </w:r>
            <w:r>
              <w:rPr>
                <w:rFonts w:hint="eastAsia" w:ascii="宋体" w:hAnsi="宋体" w:cs="宋体"/>
                <w:kern w:val="0"/>
                <w:sz w:val="20"/>
                <w:szCs w:val="20"/>
              </w:rPr>
              <w:t>交换容量≥256Gbps，包转发率≥30Mpps</w:t>
            </w:r>
            <w:r>
              <w:rPr>
                <w:rFonts w:hint="eastAsia" w:ascii="宋体" w:hAnsi="宋体" w:cs="宋体"/>
                <w:kern w:val="0"/>
                <w:sz w:val="20"/>
                <w:szCs w:val="20"/>
              </w:rPr>
              <w:br w:type="textWrapping"/>
            </w:r>
            <w:r>
              <w:rPr>
                <w:rFonts w:hint="eastAsia" w:ascii="宋体" w:hAnsi="宋体" w:cs="宋体"/>
                <w:kern w:val="0"/>
                <w:sz w:val="20"/>
                <w:szCs w:val="20"/>
              </w:rPr>
              <w:t>要求所投产品支持POE和POE+远程供电，POE供电功率为125W</w:t>
            </w:r>
            <w:r>
              <w:rPr>
                <w:rFonts w:hint="eastAsia" w:ascii="宋体" w:hAnsi="宋体" w:cs="宋体"/>
                <w:kern w:val="0"/>
                <w:sz w:val="20"/>
                <w:szCs w:val="20"/>
              </w:rPr>
              <w:br w:type="textWrapping"/>
            </w:r>
            <w:r>
              <w:rPr>
                <w:rFonts w:hint="eastAsia" w:ascii="宋体" w:hAnsi="宋体" w:cs="宋体"/>
                <w:kern w:val="0"/>
                <w:sz w:val="20"/>
                <w:szCs w:val="20"/>
              </w:rPr>
              <w:t>投标产品面板自带一键查看PoE供电状态功能的PoE按钮，轻按即可查看设备当前的通信状态和供电状态</w:t>
            </w:r>
            <w:r>
              <w:rPr>
                <w:rFonts w:hint="eastAsia" w:ascii="宋体" w:hAnsi="宋体" w:cs="宋体"/>
                <w:kern w:val="0"/>
                <w:sz w:val="20"/>
                <w:szCs w:val="20"/>
              </w:rPr>
              <w:br w:type="textWrapping"/>
            </w:r>
            <w:r>
              <w:rPr>
                <w:rFonts w:hint="eastAsia" w:ascii="宋体" w:hAnsi="宋体" w:cs="宋体"/>
                <w:kern w:val="0"/>
                <w:sz w:val="20"/>
                <w:szCs w:val="20"/>
              </w:rPr>
              <w:t>要求设备采用静音无风扇节能设计</w:t>
            </w:r>
            <w:r>
              <w:rPr>
                <w:rFonts w:hint="eastAsia" w:ascii="宋体" w:hAnsi="宋体" w:cs="宋体"/>
                <w:kern w:val="0"/>
                <w:sz w:val="20"/>
                <w:szCs w:val="20"/>
              </w:rPr>
              <w:br w:type="textWrapping"/>
            </w:r>
            <w:r>
              <w:rPr>
                <w:rFonts w:hint="eastAsia" w:ascii="宋体" w:hAnsi="宋体" w:cs="宋体"/>
                <w:kern w:val="0"/>
                <w:sz w:val="20"/>
                <w:szCs w:val="20"/>
              </w:rPr>
              <w:t>要求设备采用金属外壳和金属网口设计。</w:t>
            </w:r>
            <w:r>
              <w:rPr>
                <w:rFonts w:hint="eastAsia" w:ascii="宋体" w:hAnsi="宋体" w:cs="宋体"/>
                <w:kern w:val="0"/>
                <w:sz w:val="20"/>
                <w:szCs w:val="20"/>
              </w:rPr>
              <w:br w:type="textWrapping"/>
            </w:r>
            <w:r>
              <w:rPr>
                <w:rFonts w:hint="eastAsia" w:ascii="宋体" w:hAnsi="宋体" w:cs="宋体"/>
                <w:kern w:val="0"/>
                <w:sz w:val="20"/>
                <w:szCs w:val="20"/>
              </w:rPr>
              <w:t>支持端口浪涌抗扰度≥8KV（即具备8KV的防雷能力）。</w:t>
            </w:r>
            <w:r>
              <w:rPr>
                <w:rFonts w:hint="eastAsia" w:ascii="宋体" w:hAnsi="宋体" w:cs="宋体"/>
                <w:kern w:val="0"/>
                <w:sz w:val="20"/>
                <w:szCs w:val="20"/>
              </w:rPr>
              <w:br w:type="textWrapping"/>
            </w:r>
            <w:r>
              <w:rPr>
                <w:rFonts w:hint="eastAsia" w:ascii="宋体" w:hAnsi="宋体" w:cs="宋体"/>
                <w:kern w:val="0"/>
                <w:sz w:val="20"/>
                <w:szCs w:val="20"/>
              </w:rPr>
              <w:t>支持专门针对CPU的保护机制，能够针对发往CPU处理的各种报文进行流区分和优先级队列分级处理，保护交换机在各种环境下稳定工作</w:t>
            </w:r>
            <w:r>
              <w:rPr>
                <w:rFonts w:hint="eastAsia" w:ascii="宋体" w:hAnsi="宋体" w:cs="宋体"/>
                <w:kern w:val="0"/>
                <w:sz w:val="20"/>
                <w:szCs w:val="20"/>
              </w:rPr>
              <w:br w:type="textWrapping"/>
            </w:r>
            <w:r>
              <w:rPr>
                <w:rFonts w:hint="eastAsia" w:ascii="宋体" w:hAnsi="宋体" w:cs="宋体"/>
                <w:kern w:val="0"/>
                <w:sz w:val="20"/>
                <w:szCs w:val="20"/>
              </w:rPr>
              <w:t>符合国家低碳环保等政策要求，支持IEEE 802.3az标准的EEE节能技术。</w:t>
            </w:r>
            <w:r>
              <w:rPr>
                <w:rFonts w:hint="eastAsia" w:ascii="宋体" w:hAnsi="宋体" w:cs="宋体"/>
                <w:kern w:val="0"/>
                <w:sz w:val="20"/>
                <w:szCs w:val="20"/>
              </w:rPr>
              <w:br w:type="textWrapping"/>
            </w:r>
            <w:r>
              <w:rPr>
                <w:rFonts w:hint="eastAsia" w:ascii="宋体" w:hAnsi="宋体" w:cs="宋体"/>
                <w:kern w:val="0"/>
                <w:sz w:val="20"/>
                <w:szCs w:val="20"/>
              </w:rPr>
              <w:t>支持生成树协议STP(IEEE 802.1d)，RSTP(IEEE 802.1w)和MSTP(IEEE 802.1s)，完全保证快速收敛，提高容错能力，保证网络的稳定运行和链路的负载均衡，合理使用网络通道，提供冗余链路利用率。</w:t>
            </w:r>
            <w:r>
              <w:rPr>
                <w:rFonts w:hint="eastAsia" w:ascii="宋体" w:hAnsi="宋体" w:cs="宋体"/>
                <w:kern w:val="0"/>
                <w:sz w:val="20"/>
                <w:szCs w:val="20"/>
              </w:rPr>
              <w:br w:type="textWrapping"/>
            </w:r>
            <w:r>
              <w:rPr>
                <w:rFonts w:hint="eastAsia" w:ascii="宋体" w:hAnsi="宋体" w:cs="宋体"/>
                <w:kern w:val="0"/>
                <w:sz w:val="20"/>
                <w:szCs w:val="20"/>
              </w:rPr>
              <w:t>支持快速检测链路的通断和光纤链路的单向性，并支持端口下的环路检测功能，</w:t>
            </w:r>
            <w:r>
              <w:rPr>
                <w:rFonts w:hint="eastAsia" w:ascii="宋体" w:hAnsi="宋体" w:cs="宋体"/>
                <w:kern w:val="0"/>
                <w:sz w:val="20"/>
                <w:szCs w:val="20"/>
              </w:rPr>
              <w:br w:type="textWrapping"/>
            </w:r>
            <w:r>
              <w:rPr>
                <w:rFonts w:hint="eastAsia" w:ascii="宋体" w:hAnsi="宋体" w:cs="宋体"/>
                <w:kern w:val="0"/>
                <w:sz w:val="20"/>
                <w:szCs w:val="20"/>
              </w:rPr>
              <w:t>要求所投产品支持交换机即插即用，支持按功能区域零配置上线，支持图形化界面划分端口业务；</w:t>
            </w:r>
            <w:r>
              <w:rPr>
                <w:rFonts w:hint="eastAsia" w:ascii="宋体" w:hAnsi="宋体" w:cs="宋体"/>
                <w:kern w:val="0"/>
                <w:sz w:val="20"/>
                <w:szCs w:val="20"/>
              </w:rPr>
              <w:br w:type="textWrapping"/>
            </w:r>
            <w:r>
              <w:rPr>
                <w:rFonts w:hint="eastAsia" w:ascii="宋体" w:hAnsi="宋体" w:cs="宋体"/>
                <w:kern w:val="0"/>
                <w:sz w:val="20"/>
                <w:szCs w:val="20"/>
              </w:rPr>
              <w:t>支持SNMP、CLI(Telnet/Console)、Syslog、NTP、TFTP、Web</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108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华三、华为、锐捷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141</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8口网络交换机</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8个10/100/1000M自适应电口，1个100M/1G SFP光口，适配器供电（出厂已配），无风扇</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5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华三、华为、锐捷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142</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24口网络交换机</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固化10/100/1000M以太网电口≥24，100/1000M SFP千兆光接口≥4个，10/100/1000M复用电口≥2个</w:t>
            </w:r>
            <w:r>
              <w:rPr>
                <w:rFonts w:hint="eastAsia" w:ascii="宋体" w:hAnsi="宋体" w:cs="宋体"/>
                <w:kern w:val="0"/>
                <w:sz w:val="20"/>
                <w:szCs w:val="20"/>
              </w:rPr>
              <w:br w:type="textWrapping"/>
            </w:r>
            <w:r>
              <w:rPr>
                <w:rFonts w:hint="eastAsia" w:ascii="宋体" w:hAnsi="宋体" w:cs="宋体"/>
                <w:kern w:val="0"/>
                <w:sz w:val="20"/>
                <w:szCs w:val="20"/>
              </w:rPr>
              <w:t>要求设备采用静音无风扇节能设计。</w:t>
            </w:r>
            <w:r>
              <w:rPr>
                <w:rFonts w:hint="eastAsia" w:ascii="宋体" w:hAnsi="宋体" w:cs="宋体"/>
                <w:kern w:val="0"/>
                <w:sz w:val="20"/>
                <w:szCs w:val="20"/>
              </w:rPr>
              <w:br w:type="textWrapping"/>
            </w:r>
            <w:r>
              <w:rPr>
                <w:rFonts w:hint="eastAsia" w:ascii="宋体" w:hAnsi="宋体" w:cs="宋体"/>
                <w:kern w:val="0"/>
                <w:sz w:val="20"/>
                <w:szCs w:val="20"/>
              </w:rPr>
              <w:t>为保证设备在受到外界机械碰撞时能够正常运行，要求所投交换机IK防护测试级别至少达到IK05</w:t>
            </w:r>
            <w:r>
              <w:rPr>
                <w:rFonts w:hint="eastAsia" w:ascii="宋体" w:hAnsi="宋体" w:cs="宋体"/>
                <w:kern w:val="0"/>
                <w:sz w:val="20"/>
                <w:szCs w:val="20"/>
              </w:rPr>
              <w:br w:type="textWrapping"/>
            </w:r>
            <w:r>
              <w:rPr>
                <w:rFonts w:hint="eastAsia" w:ascii="宋体" w:hAnsi="宋体" w:cs="宋体"/>
                <w:kern w:val="0"/>
                <w:sz w:val="20"/>
                <w:szCs w:val="20"/>
              </w:rPr>
              <w:t>所投设备具有节能设计，功耗≤22W。</w:t>
            </w:r>
            <w:r>
              <w:rPr>
                <w:rFonts w:hint="eastAsia" w:ascii="宋体" w:hAnsi="宋体" w:cs="宋体"/>
                <w:kern w:val="0"/>
                <w:sz w:val="20"/>
                <w:szCs w:val="20"/>
              </w:rPr>
              <w:br w:type="textWrapping"/>
            </w:r>
            <w:r>
              <w:rPr>
                <w:rFonts w:hint="eastAsia" w:ascii="宋体" w:hAnsi="宋体" w:cs="宋体"/>
                <w:kern w:val="0"/>
                <w:sz w:val="20"/>
                <w:szCs w:val="20"/>
              </w:rPr>
              <w:t>要求所投产品端口浪涌抗扰度≥10KV（即具备10KV的防雷能力）</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15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华三、华为、锐捷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143</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千兆单模光模块</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SFP千兆单模光模块(1310nm,10km,LC)</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292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个</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华三、华为、锐捷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144</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restart"/>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周界安防</w:t>
            </w: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400万热成像周界摄像机</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400万+声光报警热成像双光谱网络筒型摄像机；</w:t>
            </w:r>
            <w:r>
              <w:rPr>
                <w:rFonts w:hint="eastAsia" w:ascii="宋体" w:hAnsi="宋体" w:cs="宋体"/>
                <w:kern w:val="0"/>
                <w:sz w:val="20"/>
                <w:szCs w:val="20"/>
              </w:rPr>
              <w:br w:type="textWrapping"/>
            </w:r>
            <w:r>
              <w:rPr>
                <w:rFonts w:hint="eastAsia" w:ascii="宋体" w:hAnsi="宋体" w:cs="宋体"/>
                <w:kern w:val="0"/>
                <w:sz w:val="20"/>
                <w:szCs w:val="20"/>
              </w:rPr>
              <w:t>热成像：分辨率160 × 120；;</w:t>
            </w:r>
            <w:r>
              <w:rPr>
                <w:rFonts w:hint="eastAsia" w:ascii="宋体" w:hAnsi="宋体" w:cs="宋体"/>
                <w:kern w:val="0"/>
                <w:sz w:val="20"/>
                <w:szCs w:val="20"/>
              </w:rPr>
              <w:br w:type="textWrapping"/>
            </w:r>
            <w:r>
              <w:rPr>
                <w:rFonts w:hint="eastAsia" w:ascii="宋体" w:hAnsi="宋体" w:cs="宋体"/>
                <w:kern w:val="0"/>
                <w:sz w:val="20"/>
                <w:szCs w:val="20"/>
              </w:rPr>
              <w:t>可见光：分辨率2688 × 1520；</w:t>
            </w:r>
            <w:r>
              <w:rPr>
                <w:rFonts w:hint="eastAsia" w:ascii="宋体" w:hAnsi="宋体" w:cs="宋体"/>
                <w:kern w:val="0"/>
                <w:sz w:val="20"/>
                <w:szCs w:val="20"/>
              </w:rPr>
              <w:br w:type="textWrapping"/>
            </w:r>
            <w:r>
              <w:rPr>
                <w:rFonts w:hint="eastAsia" w:ascii="宋体" w:hAnsi="宋体" w:cs="宋体"/>
                <w:kern w:val="0"/>
                <w:sz w:val="20"/>
                <w:szCs w:val="20"/>
              </w:rPr>
              <w:t>视频模式：双光融合；</w:t>
            </w:r>
            <w:r>
              <w:rPr>
                <w:rFonts w:hint="eastAsia" w:ascii="宋体" w:hAnsi="宋体" w:cs="宋体"/>
                <w:kern w:val="0"/>
                <w:sz w:val="20"/>
                <w:szCs w:val="20"/>
              </w:rPr>
              <w:br w:type="textWrapping"/>
            </w:r>
            <w:r>
              <w:rPr>
                <w:rFonts w:hint="eastAsia" w:ascii="宋体" w:hAnsi="宋体" w:cs="宋体"/>
                <w:kern w:val="0"/>
                <w:sz w:val="20"/>
                <w:szCs w:val="20"/>
              </w:rPr>
              <w:t>温度异常报警功能：</w:t>
            </w:r>
            <w:r>
              <w:rPr>
                <w:rFonts w:hint="eastAsia" w:ascii="宋体" w:hAnsi="宋体" w:cs="宋体"/>
                <w:kern w:val="0"/>
                <w:sz w:val="20"/>
                <w:szCs w:val="20"/>
              </w:rPr>
              <w:br w:type="textWrapping"/>
            </w:r>
            <w:r>
              <w:rPr>
                <w:rFonts w:hint="eastAsia" w:ascii="宋体" w:hAnsi="宋体" w:cs="宋体"/>
                <w:kern w:val="0"/>
                <w:sz w:val="20"/>
                <w:szCs w:val="20"/>
              </w:rPr>
              <w:t>测温精度：±2℃或量程的±2% ℃ （取最大值）；</w:t>
            </w:r>
            <w:r>
              <w:rPr>
                <w:rFonts w:hint="eastAsia" w:ascii="宋体" w:hAnsi="宋体" w:cs="宋体"/>
                <w:kern w:val="0"/>
                <w:sz w:val="20"/>
                <w:szCs w:val="20"/>
              </w:rPr>
              <w:br w:type="textWrapping"/>
            </w:r>
            <w:r>
              <w:rPr>
                <w:rFonts w:hint="eastAsia" w:ascii="宋体" w:hAnsi="宋体" w:cs="宋体"/>
                <w:kern w:val="0"/>
                <w:sz w:val="20"/>
                <w:szCs w:val="20"/>
              </w:rPr>
              <w:t>红外照射距离：30米；</w:t>
            </w:r>
            <w:r>
              <w:rPr>
                <w:rFonts w:hint="eastAsia" w:ascii="宋体" w:hAnsi="宋体" w:cs="宋体"/>
                <w:kern w:val="0"/>
                <w:sz w:val="20"/>
                <w:szCs w:val="20"/>
              </w:rPr>
              <w:br w:type="textWrapping"/>
            </w:r>
            <w:r>
              <w:rPr>
                <w:rFonts w:hint="eastAsia" w:ascii="宋体" w:hAnsi="宋体" w:cs="宋体"/>
                <w:kern w:val="0"/>
                <w:sz w:val="20"/>
                <w:szCs w:val="20"/>
              </w:rPr>
              <w:t>支持AI开放平台</w:t>
            </w:r>
            <w:r>
              <w:rPr>
                <w:rFonts w:hint="eastAsia" w:ascii="宋体" w:hAnsi="宋体" w:cs="宋体"/>
                <w:kern w:val="0"/>
                <w:sz w:val="20"/>
                <w:szCs w:val="20"/>
              </w:rPr>
              <w:br w:type="textWrapping"/>
            </w:r>
            <w:r>
              <w:rPr>
                <w:rFonts w:hint="eastAsia" w:ascii="宋体" w:hAnsi="宋体" w:cs="宋体"/>
                <w:kern w:val="0"/>
                <w:sz w:val="20"/>
                <w:szCs w:val="20"/>
              </w:rPr>
              <w:t>电源（出厂已带）：DC12V/POE，8W；</w:t>
            </w:r>
            <w:r>
              <w:rPr>
                <w:rFonts w:hint="eastAsia" w:ascii="宋体" w:hAnsi="宋体" w:cs="宋体"/>
                <w:kern w:val="0"/>
                <w:sz w:val="20"/>
                <w:szCs w:val="20"/>
              </w:rPr>
              <w:br w:type="textWrapping"/>
            </w:r>
            <w:r>
              <w:rPr>
                <w:rFonts w:hint="eastAsia" w:ascii="宋体" w:hAnsi="宋体" w:cs="宋体"/>
                <w:kern w:val="0"/>
                <w:sz w:val="20"/>
                <w:szCs w:val="20"/>
              </w:rPr>
              <w:t>防护等级：IP67;</w:t>
            </w:r>
            <w:r>
              <w:rPr>
                <w:rFonts w:hint="eastAsia" w:ascii="宋体" w:hAnsi="宋体" w:cs="宋体"/>
                <w:kern w:val="0"/>
                <w:sz w:val="20"/>
                <w:szCs w:val="20"/>
              </w:rPr>
              <w:br w:type="textWrapping"/>
            </w:r>
            <w:r>
              <w:rPr>
                <w:rFonts w:hint="eastAsia" w:ascii="宋体" w:hAnsi="宋体" w:cs="宋体"/>
                <w:kern w:val="0"/>
                <w:sz w:val="20"/>
                <w:szCs w:val="20"/>
              </w:rPr>
              <w:t>设备支持在-50℃-80℃范围内正常工作</w:t>
            </w:r>
            <w:r>
              <w:rPr>
                <w:rFonts w:hint="eastAsia" w:ascii="宋体" w:hAnsi="宋体" w:cs="宋体"/>
                <w:kern w:val="0"/>
                <w:sz w:val="20"/>
                <w:szCs w:val="20"/>
              </w:rPr>
              <w:br w:type="textWrapping"/>
            </w:r>
            <w:r>
              <w:rPr>
                <w:rFonts w:hint="eastAsia" w:ascii="宋体" w:hAnsi="宋体" w:cs="宋体"/>
                <w:kern w:val="0"/>
                <w:sz w:val="20"/>
                <w:szCs w:val="20"/>
              </w:rPr>
              <w:t>支持声音联动报警功能，支持灯光联动报警功能</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25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只</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145</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支架</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配套</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25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个</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146</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restart"/>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居家安防</w:t>
            </w: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图像抄表终端</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通信方式：NB-IOT</w:t>
            </w:r>
            <w:r>
              <w:rPr>
                <w:rFonts w:hint="eastAsia" w:ascii="宋体" w:hAnsi="宋体" w:cs="宋体"/>
                <w:kern w:val="0"/>
                <w:sz w:val="20"/>
                <w:szCs w:val="20"/>
              </w:rPr>
              <w:br w:type="textWrapping"/>
            </w:r>
            <w:r>
              <w:rPr>
                <w:rFonts w:hint="eastAsia" w:ascii="宋体" w:hAnsi="宋体" w:cs="宋体"/>
                <w:kern w:val="0"/>
                <w:sz w:val="20"/>
                <w:szCs w:val="20"/>
              </w:rPr>
              <w:t>图片尺寸：320*240 JPG</w:t>
            </w:r>
            <w:r>
              <w:rPr>
                <w:rFonts w:hint="eastAsia" w:ascii="宋体" w:hAnsi="宋体" w:cs="宋体"/>
                <w:kern w:val="0"/>
                <w:sz w:val="20"/>
                <w:szCs w:val="20"/>
              </w:rPr>
              <w:br w:type="textWrapping"/>
            </w:r>
            <w:r>
              <w:rPr>
                <w:rFonts w:hint="eastAsia" w:ascii="宋体" w:hAnsi="宋体" w:cs="宋体"/>
                <w:kern w:val="0"/>
                <w:sz w:val="20"/>
                <w:szCs w:val="20"/>
              </w:rPr>
              <w:t>图片大小：10~20K</w:t>
            </w:r>
            <w:r>
              <w:rPr>
                <w:rFonts w:hint="eastAsia" w:ascii="宋体" w:hAnsi="宋体" w:cs="宋体"/>
                <w:kern w:val="0"/>
                <w:sz w:val="20"/>
                <w:szCs w:val="20"/>
              </w:rPr>
              <w:br w:type="textWrapping"/>
            </w:r>
            <w:r>
              <w:rPr>
                <w:rFonts w:hint="eastAsia" w:ascii="宋体" w:hAnsi="宋体" w:cs="宋体"/>
                <w:kern w:val="0"/>
                <w:sz w:val="20"/>
                <w:szCs w:val="20"/>
              </w:rPr>
              <w:t>光源条件：自带补光，日夜不限</w:t>
            </w:r>
            <w:r>
              <w:rPr>
                <w:rFonts w:hint="eastAsia" w:ascii="宋体" w:hAnsi="宋体" w:cs="宋体"/>
                <w:kern w:val="0"/>
                <w:sz w:val="20"/>
                <w:szCs w:val="20"/>
              </w:rPr>
              <w:br w:type="textWrapping"/>
            </w:r>
            <w:r>
              <w:rPr>
                <w:rFonts w:hint="eastAsia" w:ascii="宋体" w:hAnsi="宋体" w:cs="宋体"/>
                <w:kern w:val="0"/>
                <w:sz w:val="20"/>
                <w:szCs w:val="20"/>
              </w:rPr>
              <w:t>待机电流：3.7uA</w:t>
            </w:r>
            <w:r>
              <w:rPr>
                <w:rFonts w:hint="eastAsia" w:ascii="宋体" w:hAnsi="宋体" w:cs="宋体"/>
                <w:kern w:val="0"/>
                <w:sz w:val="20"/>
                <w:szCs w:val="20"/>
              </w:rPr>
              <w:br w:type="textWrapping"/>
            </w:r>
            <w:r>
              <w:rPr>
                <w:rFonts w:hint="eastAsia" w:ascii="宋体" w:hAnsi="宋体" w:cs="宋体"/>
                <w:kern w:val="0"/>
                <w:sz w:val="20"/>
                <w:szCs w:val="20"/>
              </w:rPr>
              <w:t>工作电流：20mA~200mA 峰值电流200mA</w:t>
            </w:r>
            <w:r>
              <w:rPr>
                <w:rFonts w:hint="eastAsia" w:ascii="宋体" w:hAnsi="宋体" w:cs="宋体"/>
                <w:kern w:val="0"/>
                <w:sz w:val="20"/>
                <w:szCs w:val="20"/>
              </w:rPr>
              <w:br w:type="textWrapping"/>
            </w:r>
            <w:r>
              <w:rPr>
                <w:rFonts w:hint="eastAsia" w:ascii="宋体" w:hAnsi="宋体" w:cs="宋体"/>
                <w:kern w:val="0"/>
                <w:sz w:val="20"/>
                <w:szCs w:val="20"/>
              </w:rPr>
              <w:t>工作电压：2.8V至3.7V（低电量告警）</w:t>
            </w:r>
            <w:r>
              <w:rPr>
                <w:rFonts w:hint="eastAsia" w:ascii="宋体" w:hAnsi="宋体" w:cs="宋体"/>
                <w:kern w:val="0"/>
                <w:sz w:val="20"/>
                <w:szCs w:val="20"/>
              </w:rPr>
              <w:br w:type="textWrapping"/>
            </w:r>
            <w:r>
              <w:rPr>
                <w:rFonts w:hint="eastAsia" w:ascii="宋体" w:hAnsi="宋体" w:cs="宋体"/>
                <w:kern w:val="0"/>
                <w:sz w:val="20"/>
                <w:szCs w:val="20"/>
              </w:rPr>
              <w:t>电池规格：14505/3.7V/2000mAh一次性抄表专用锂电池</w:t>
            </w:r>
            <w:r>
              <w:rPr>
                <w:rFonts w:hint="eastAsia" w:ascii="宋体" w:hAnsi="宋体" w:cs="宋体"/>
                <w:kern w:val="0"/>
                <w:sz w:val="20"/>
                <w:szCs w:val="20"/>
              </w:rPr>
              <w:br w:type="textWrapping"/>
            </w:r>
            <w:r>
              <w:rPr>
                <w:rFonts w:hint="eastAsia" w:ascii="宋体" w:hAnsi="宋体" w:cs="宋体"/>
                <w:kern w:val="0"/>
                <w:sz w:val="20"/>
                <w:szCs w:val="20"/>
              </w:rPr>
              <w:t>传图次数：约1000张，按每周1次，理论上可使用18年</w:t>
            </w:r>
            <w:r>
              <w:rPr>
                <w:rFonts w:hint="eastAsia" w:ascii="宋体" w:hAnsi="宋体" w:cs="宋体"/>
                <w:kern w:val="0"/>
                <w:sz w:val="20"/>
                <w:szCs w:val="20"/>
              </w:rPr>
              <w:br w:type="textWrapping"/>
            </w:r>
            <w:r>
              <w:rPr>
                <w:rFonts w:hint="eastAsia" w:ascii="宋体" w:hAnsi="宋体" w:cs="宋体"/>
                <w:kern w:val="0"/>
                <w:sz w:val="20"/>
                <w:szCs w:val="20"/>
              </w:rPr>
              <w:t>可在数据中心设置工作周期</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40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西门子、华为、霍尼韦尔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147</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云端数据转发接口</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云端接收到的抄表图片转发到物业机房的管理软件上</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西门子、华为、霍尼韦尔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148</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图像识别与数据管理软件</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根据抄表终端上传的图片自动识别；</w:t>
            </w:r>
            <w:r>
              <w:rPr>
                <w:rFonts w:hint="eastAsia" w:ascii="宋体" w:hAnsi="宋体" w:cs="宋体"/>
                <w:kern w:val="0"/>
                <w:sz w:val="20"/>
                <w:szCs w:val="20"/>
              </w:rPr>
              <w:br w:type="textWrapping"/>
            </w:r>
            <w:r>
              <w:rPr>
                <w:rFonts w:hint="eastAsia" w:ascii="宋体" w:hAnsi="宋体" w:cs="宋体"/>
                <w:kern w:val="0"/>
                <w:sz w:val="20"/>
                <w:szCs w:val="20"/>
              </w:rPr>
              <w:t>识别数据异常告警；</w:t>
            </w:r>
            <w:r>
              <w:rPr>
                <w:rFonts w:hint="eastAsia" w:ascii="宋体" w:hAnsi="宋体" w:cs="宋体"/>
                <w:kern w:val="0"/>
                <w:sz w:val="20"/>
                <w:szCs w:val="20"/>
              </w:rPr>
              <w:br w:type="textWrapping"/>
            </w:r>
            <w:r>
              <w:rPr>
                <w:rFonts w:hint="eastAsia" w:ascii="宋体" w:hAnsi="宋体" w:cs="宋体"/>
                <w:kern w:val="0"/>
                <w:sz w:val="20"/>
                <w:szCs w:val="20"/>
              </w:rPr>
              <w:t>识别率自动提升AI算法；</w:t>
            </w:r>
            <w:r>
              <w:rPr>
                <w:rFonts w:hint="eastAsia" w:ascii="宋体" w:hAnsi="宋体" w:cs="宋体"/>
                <w:kern w:val="0"/>
                <w:sz w:val="20"/>
                <w:szCs w:val="20"/>
              </w:rPr>
              <w:br w:type="textWrapping"/>
            </w:r>
            <w:r>
              <w:rPr>
                <w:rFonts w:hint="eastAsia" w:ascii="宋体" w:hAnsi="宋体" w:cs="宋体"/>
                <w:kern w:val="0"/>
                <w:sz w:val="20"/>
                <w:szCs w:val="20"/>
              </w:rPr>
              <w:t>可信度提醒：对图片识别的结果可信度进行提醒显示；</w:t>
            </w:r>
            <w:r>
              <w:rPr>
                <w:rFonts w:hint="eastAsia" w:ascii="宋体" w:hAnsi="宋体" w:cs="宋体"/>
                <w:kern w:val="0"/>
                <w:sz w:val="20"/>
                <w:szCs w:val="20"/>
              </w:rPr>
              <w:br w:type="textWrapping"/>
            </w:r>
            <w:r>
              <w:rPr>
                <w:rFonts w:hint="eastAsia" w:ascii="宋体" w:hAnsi="宋体" w:cs="宋体"/>
                <w:kern w:val="0"/>
                <w:sz w:val="20"/>
                <w:szCs w:val="20"/>
              </w:rPr>
              <w:t>历史数据：可对指定终端的历史数据进行分类显示</w:t>
            </w:r>
            <w:r>
              <w:rPr>
                <w:rFonts w:hint="eastAsia" w:ascii="宋体" w:hAnsi="宋体" w:cs="宋体"/>
                <w:kern w:val="0"/>
                <w:sz w:val="20"/>
                <w:szCs w:val="20"/>
              </w:rPr>
              <w:br w:type="textWrapping"/>
            </w:r>
            <w:r>
              <w:rPr>
                <w:rFonts w:hint="eastAsia" w:ascii="宋体" w:hAnsi="宋体" w:cs="宋体"/>
                <w:kern w:val="0"/>
                <w:sz w:val="20"/>
                <w:szCs w:val="20"/>
              </w:rPr>
              <w:t>分级管理：可将项目与用户进行绑定，对设备进行分级管理</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西门子、华为、霍尼韦尔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149</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独立式光电感烟火灾探测报警器(NB)</w:t>
            </w:r>
          </w:p>
        </w:tc>
        <w:tc>
          <w:tcPr>
            <w:tcW w:w="8222" w:type="dxa"/>
            <w:noWrap w:val="0"/>
            <w:vAlign w:val="center"/>
          </w:tcPr>
          <w:p>
            <w:pPr>
              <w:widowControl/>
              <w:snapToGrid w:val="0"/>
              <w:jc w:val="left"/>
              <w:rPr>
                <w:rFonts w:hint="eastAsia" w:ascii="宋体" w:hAnsi="宋体" w:cs="宋体"/>
                <w:kern w:val="0"/>
                <w:sz w:val="20"/>
                <w:szCs w:val="20"/>
              </w:rPr>
            </w:pPr>
            <w:r>
              <w:rPr>
                <w:rFonts w:hint="eastAsia" w:ascii="宋体" w:hAnsi="宋体" w:cs="宋体"/>
                <w:kern w:val="0"/>
                <w:sz w:val="20"/>
                <w:szCs w:val="20"/>
              </w:rPr>
              <w:t>产品认证：3C认证</w:t>
            </w:r>
            <w:r>
              <w:rPr>
                <w:rFonts w:hint="eastAsia" w:ascii="宋体" w:hAnsi="宋体" w:cs="宋体"/>
                <w:kern w:val="0"/>
                <w:sz w:val="20"/>
                <w:szCs w:val="20"/>
              </w:rPr>
              <w:br w:type="textWrapping"/>
            </w:r>
            <w:r>
              <w:rPr>
                <w:rFonts w:hint="eastAsia" w:ascii="宋体" w:hAnsi="宋体" w:cs="宋体"/>
                <w:kern w:val="0"/>
                <w:sz w:val="20"/>
                <w:szCs w:val="20"/>
              </w:rPr>
              <w:t>通讯模块：NB-Iot通讯（全网通）</w:t>
            </w:r>
            <w:r>
              <w:rPr>
                <w:rFonts w:hint="eastAsia" w:ascii="宋体" w:hAnsi="宋体" w:cs="宋体"/>
                <w:kern w:val="0"/>
                <w:sz w:val="20"/>
                <w:szCs w:val="20"/>
              </w:rPr>
              <w:br w:type="textWrapping"/>
            </w:r>
            <w:r>
              <w:rPr>
                <w:rFonts w:hint="eastAsia" w:ascii="宋体" w:hAnsi="宋体" w:cs="宋体"/>
                <w:kern w:val="0"/>
                <w:sz w:val="20"/>
                <w:szCs w:val="20"/>
              </w:rPr>
              <w:t>工作原理：光电式</w:t>
            </w:r>
            <w:r>
              <w:rPr>
                <w:rFonts w:hint="eastAsia" w:ascii="宋体" w:hAnsi="宋体" w:cs="宋体"/>
                <w:kern w:val="0"/>
                <w:sz w:val="20"/>
                <w:szCs w:val="20"/>
              </w:rPr>
              <w:br w:type="textWrapping"/>
            </w:r>
            <w:r>
              <w:rPr>
                <w:rFonts w:hint="eastAsia" w:ascii="宋体" w:hAnsi="宋体" w:cs="宋体"/>
                <w:kern w:val="0"/>
                <w:sz w:val="20"/>
                <w:szCs w:val="20"/>
              </w:rPr>
              <w:t>工作电压：DC3.0V（锂电池）</w:t>
            </w:r>
            <w:r>
              <w:rPr>
                <w:rFonts w:hint="eastAsia" w:ascii="宋体" w:hAnsi="宋体" w:cs="宋体"/>
                <w:kern w:val="0"/>
                <w:sz w:val="20"/>
                <w:szCs w:val="20"/>
              </w:rPr>
              <w:br w:type="textWrapping"/>
            </w:r>
            <w:r>
              <w:rPr>
                <w:rFonts w:hint="eastAsia" w:ascii="宋体" w:hAnsi="宋体" w:cs="宋体"/>
                <w:kern w:val="0"/>
                <w:sz w:val="20"/>
                <w:szCs w:val="20"/>
              </w:rPr>
              <w:t>工作电流：静态电流≤13</w:t>
            </w:r>
            <w:r>
              <w:rPr>
                <w:rFonts w:ascii="Calibri" w:hAnsi="Calibri" w:cs="Calibri"/>
                <w:kern w:val="0"/>
                <w:sz w:val="20"/>
                <w:szCs w:val="20"/>
              </w:rPr>
              <w:t>μ</w:t>
            </w:r>
            <w:r>
              <w:rPr>
                <w:rFonts w:hint="eastAsia" w:ascii="宋体" w:hAnsi="宋体" w:cs="宋体"/>
                <w:kern w:val="0"/>
                <w:sz w:val="20"/>
                <w:szCs w:val="20"/>
              </w:rPr>
              <w:t>A，报警电流≤150mA</w:t>
            </w:r>
            <w:r>
              <w:rPr>
                <w:rFonts w:hint="eastAsia" w:ascii="宋体" w:hAnsi="宋体" w:cs="宋体"/>
                <w:kern w:val="0"/>
                <w:sz w:val="20"/>
                <w:szCs w:val="20"/>
              </w:rPr>
              <w:br w:type="textWrapping"/>
            </w:r>
            <w:r>
              <w:rPr>
                <w:rFonts w:hint="eastAsia" w:ascii="宋体" w:hAnsi="宋体" w:cs="宋体"/>
                <w:kern w:val="0"/>
                <w:sz w:val="20"/>
                <w:szCs w:val="20"/>
              </w:rPr>
              <w:t>报警方式：声光报警</w:t>
            </w:r>
            <w:r>
              <w:rPr>
                <w:rFonts w:hint="eastAsia" w:ascii="宋体" w:hAnsi="宋体" w:cs="宋体"/>
                <w:kern w:val="0"/>
                <w:sz w:val="20"/>
                <w:szCs w:val="20"/>
              </w:rPr>
              <w:br w:type="textWrapping"/>
            </w:r>
            <w:r>
              <w:rPr>
                <w:rFonts w:hint="eastAsia" w:ascii="宋体" w:hAnsi="宋体" w:cs="宋体"/>
                <w:kern w:val="0"/>
                <w:sz w:val="20"/>
                <w:szCs w:val="20"/>
              </w:rPr>
              <w:t>报警音量：≥85dB@3m（A计权）</w:t>
            </w:r>
            <w:r>
              <w:rPr>
                <w:rFonts w:hint="eastAsia" w:ascii="宋体" w:hAnsi="宋体" w:cs="宋体"/>
                <w:kern w:val="0"/>
                <w:sz w:val="20"/>
                <w:szCs w:val="20"/>
              </w:rPr>
              <w:br w:type="textWrapping"/>
            </w:r>
            <w:r>
              <w:rPr>
                <w:rFonts w:hint="eastAsia" w:ascii="宋体" w:hAnsi="宋体" w:cs="宋体"/>
                <w:kern w:val="0"/>
                <w:sz w:val="20"/>
                <w:szCs w:val="20"/>
              </w:rPr>
              <w:t>报警分类：火灾报警、低压报警、故障报警、防拆报警</w:t>
            </w:r>
            <w:r>
              <w:rPr>
                <w:rFonts w:hint="eastAsia" w:ascii="宋体" w:hAnsi="宋体" w:cs="宋体"/>
                <w:kern w:val="0"/>
                <w:sz w:val="20"/>
                <w:szCs w:val="20"/>
              </w:rPr>
              <w:br w:type="textWrapping"/>
            </w:r>
            <w:r>
              <w:rPr>
                <w:rFonts w:hint="eastAsia" w:ascii="宋体" w:hAnsi="宋体" w:cs="宋体"/>
                <w:kern w:val="0"/>
                <w:sz w:val="20"/>
                <w:szCs w:val="20"/>
              </w:rPr>
              <w:t>使用环境：温度：-10℃～55℃， 相对湿度：≤95% （无凝露）</w:t>
            </w:r>
            <w:r>
              <w:rPr>
                <w:rFonts w:hint="eastAsia" w:ascii="宋体" w:hAnsi="宋体" w:cs="宋体"/>
                <w:kern w:val="0"/>
                <w:sz w:val="20"/>
                <w:szCs w:val="20"/>
              </w:rPr>
              <w:br w:type="textWrapping"/>
            </w:r>
            <w:r>
              <w:rPr>
                <w:rFonts w:hint="eastAsia" w:ascii="宋体" w:hAnsi="宋体" w:cs="宋体"/>
                <w:kern w:val="0"/>
                <w:sz w:val="20"/>
                <w:szCs w:val="20"/>
              </w:rPr>
              <w:t>产品必须取得应急管理部消防产品合格评定中心执行国家标准GB 20517-2006《独立式感烟火灾探测报警器》的强制性产品认证证书（3C认证）。</w:t>
            </w:r>
            <w:r>
              <w:rPr>
                <w:rFonts w:hint="eastAsia" w:ascii="宋体" w:hAnsi="宋体" w:cs="宋体"/>
                <w:kern w:val="0"/>
                <w:sz w:val="20"/>
                <w:szCs w:val="20"/>
              </w:rPr>
              <w:br w:type="textWrapping"/>
            </w:r>
            <w:r>
              <w:rPr>
                <w:rFonts w:hint="eastAsia" w:ascii="宋体" w:hAnsi="宋体" w:cs="宋体"/>
                <w:kern w:val="0"/>
                <w:sz w:val="20"/>
                <w:szCs w:val="20"/>
              </w:rPr>
              <w:t>通过NB-IoT方式实现数据上报通讯，支持电信，移动，联通。</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40</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150</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NB-IoT紧急呼叫按钮</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工作电源：DC3.0V</w:t>
            </w:r>
            <w:r>
              <w:rPr>
                <w:rFonts w:hint="eastAsia" w:ascii="宋体" w:hAnsi="宋体" w:cs="宋体"/>
                <w:kern w:val="0"/>
                <w:sz w:val="20"/>
                <w:szCs w:val="20"/>
              </w:rPr>
              <w:br w:type="textWrapping"/>
            </w:r>
            <w:r>
              <w:rPr>
                <w:rFonts w:hint="eastAsia" w:ascii="宋体" w:hAnsi="宋体" w:cs="宋体"/>
                <w:kern w:val="0"/>
                <w:sz w:val="20"/>
                <w:szCs w:val="20"/>
              </w:rPr>
              <w:t>无线传输方式：NB-IoT</w:t>
            </w:r>
            <w:r>
              <w:rPr>
                <w:rFonts w:hint="eastAsia" w:ascii="宋体" w:hAnsi="宋体" w:cs="宋体"/>
                <w:kern w:val="0"/>
                <w:sz w:val="20"/>
                <w:szCs w:val="20"/>
              </w:rPr>
              <w:br w:type="textWrapping"/>
            </w:r>
            <w:r>
              <w:rPr>
                <w:rFonts w:hint="eastAsia" w:ascii="宋体" w:hAnsi="宋体" w:cs="宋体"/>
                <w:kern w:val="0"/>
                <w:sz w:val="20"/>
                <w:szCs w:val="20"/>
              </w:rPr>
              <w:t>频率：B1/B3/B5/B8</w:t>
            </w:r>
            <w:r>
              <w:rPr>
                <w:rFonts w:hint="eastAsia" w:ascii="宋体" w:hAnsi="宋体" w:cs="宋体"/>
                <w:kern w:val="0"/>
                <w:sz w:val="20"/>
                <w:szCs w:val="20"/>
              </w:rPr>
              <w:br w:type="textWrapping"/>
            </w:r>
            <w:r>
              <w:rPr>
                <w:rFonts w:hint="eastAsia" w:ascii="宋体" w:hAnsi="宋体" w:cs="宋体"/>
                <w:kern w:val="0"/>
                <w:sz w:val="20"/>
                <w:szCs w:val="20"/>
              </w:rPr>
              <w:t>速率：上行16kb/s   下行25kb/s</w:t>
            </w:r>
            <w:r>
              <w:rPr>
                <w:rFonts w:hint="eastAsia" w:ascii="宋体" w:hAnsi="宋体" w:cs="宋体"/>
                <w:kern w:val="0"/>
                <w:sz w:val="20"/>
                <w:szCs w:val="20"/>
              </w:rPr>
              <w:br w:type="textWrapping"/>
            </w:r>
            <w:r>
              <w:rPr>
                <w:rFonts w:hint="eastAsia" w:ascii="宋体" w:hAnsi="宋体" w:cs="宋体"/>
                <w:kern w:val="0"/>
                <w:sz w:val="20"/>
                <w:szCs w:val="20"/>
              </w:rPr>
              <w:t>待机电流：＜0.06uA</w:t>
            </w:r>
            <w:r>
              <w:rPr>
                <w:rFonts w:hint="eastAsia" w:ascii="宋体" w:hAnsi="宋体" w:cs="宋体"/>
                <w:kern w:val="0"/>
                <w:sz w:val="20"/>
                <w:szCs w:val="20"/>
              </w:rPr>
              <w:br w:type="textWrapping"/>
            </w:r>
            <w:r>
              <w:rPr>
                <w:rFonts w:hint="eastAsia" w:ascii="宋体" w:hAnsi="宋体" w:cs="宋体"/>
                <w:kern w:val="0"/>
                <w:sz w:val="20"/>
                <w:szCs w:val="20"/>
              </w:rPr>
              <w:t>待机时间：3年（每天不超过5次信号传输的情况下）</w:t>
            </w:r>
            <w:r>
              <w:rPr>
                <w:rFonts w:hint="eastAsia" w:ascii="宋体" w:hAnsi="宋体" w:cs="宋体"/>
                <w:kern w:val="0"/>
                <w:sz w:val="20"/>
                <w:szCs w:val="20"/>
              </w:rPr>
              <w:br w:type="textWrapping"/>
            </w:r>
            <w:r>
              <w:rPr>
                <w:rFonts w:hint="eastAsia" w:ascii="宋体" w:hAnsi="宋体" w:cs="宋体"/>
                <w:kern w:val="0"/>
                <w:sz w:val="20"/>
                <w:szCs w:val="20"/>
              </w:rPr>
              <w:t>心跳时间：1次/天</w:t>
            </w:r>
            <w:r>
              <w:rPr>
                <w:rFonts w:hint="eastAsia" w:ascii="宋体" w:hAnsi="宋体" w:cs="宋体"/>
                <w:kern w:val="0"/>
                <w:sz w:val="20"/>
                <w:szCs w:val="20"/>
              </w:rPr>
              <w:br w:type="textWrapping"/>
            </w:r>
            <w:r>
              <w:rPr>
                <w:rFonts w:hint="eastAsia" w:ascii="宋体" w:hAnsi="宋体" w:cs="宋体"/>
                <w:kern w:val="0"/>
                <w:sz w:val="20"/>
                <w:szCs w:val="20"/>
              </w:rPr>
              <w:t>电池电量：锂锰电池 DC3.0\V  1400mAh</w:t>
            </w:r>
            <w:r>
              <w:rPr>
                <w:rFonts w:hint="eastAsia" w:ascii="宋体" w:hAnsi="宋体" w:cs="宋体"/>
                <w:kern w:val="0"/>
                <w:sz w:val="20"/>
                <w:szCs w:val="20"/>
              </w:rPr>
              <w:br w:type="textWrapping"/>
            </w:r>
            <w:r>
              <w:rPr>
                <w:rFonts w:hint="eastAsia" w:ascii="宋体" w:hAnsi="宋体" w:cs="宋体"/>
                <w:kern w:val="0"/>
                <w:sz w:val="20"/>
                <w:szCs w:val="20"/>
              </w:rPr>
              <w:t>低电量报警：支持</w:t>
            </w:r>
            <w:r>
              <w:rPr>
                <w:rFonts w:hint="eastAsia" w:ascii="宋体" w:hAnsi="宋体" w:cs="宋体"/>
                <w:kern w:val="0"/>
                <w:sz w:val="20"/>
                <w:szCs w:val="20"/>
              </w:rPr>
              <w:br w:type="textWrapping"/>
            </w:r>
            <w:r>
              <w:rPr>
                <w:rFonts w:hint="eastAsia" w:ascii="宋体" w:hAnsi="宋体" w:cs="宋体"/>
                <w:kern w:val="0"/>
                <w:sz w:val="20"/>
                <w:szCs w:val="20"/>
              </w:rPr>
              <w:t>报警电流：＜100mA</w:t>
            </w:r>
            <w:r>
              <w:rPr>
                <w:rFonts w:hint="eastAsia" w:ascii="宋体" w:hAnsi="宋体" w:cs="宋体"/>
                <w:kern w:val="0"/>
                <w:sz w:val="20"/>
                <w:szCs w:val="20"/>
              </w:rPr>
              <w:br w:type="textWrapping"/>
            </w:r>
            <w:r>
              <w:rPr>
                <w:rFonts w:hint="eastAsia" w:ascii="宋体" w:hAnsi="宋体" w:cs="宋体"/>
                <w:kern w:val="0"/>
                <w:sz w:val="20"/>
                <w:szCs w:val="20"/>
              </w:rPr>
              <w:t>支持电池电量和信号值数据上传</w:t>
            </w:r>
            <w:r>
              <w:rPr>
                <w:rFonts w:hint="eastAsia" w:ascii="宋体" w:hAnsi="宋体" w:cs="宋体"/>
                <w:kern w:val="0"/>
                <w:sz w:val="20"/>
                <w:szCs w:val="20"/>
              </w:rPr>
              <w:br w:type="textWrapping"/>
            </w:r>
            <w:r>
              <w:rPr>
                <w:rFonts w:hint="eastAsia" w:ascii="宋体" w:hAnsi="宋体" w:cs="宋体"/>
                <w:kern w:val="0"/>
                <w:sz w:val="20"/>
                <w:szCs w:val="20"/>
              </w:rPr>
              <w:t>支持低电量和信号弱报警</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41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巡鹰、广合霖、翼信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151</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NB-IoT烟雾报警器</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支持三大运营商网络</w:t>
            </w:r>
            <w:r>
              <w:rPr>
                <w:rFonts w:hint="eastAsia" w:ascii="宋体" w:hAnsi="宋体" w:cs="宋体"/>
                <w:kern w:val="0"/>
                <w:sz w:val="20"/>
                <w:szCs w:val="20"/>
              </w:rPr>
              <w:br w:type="textWrapping"/>
            </w:r>
            <w:r>
              <w:rPr>
                <w:rFonts w:hint="eastAsia" w:ascii="宋体" w:hAnsi="宋体" w:cs="宋体"/>
                <w:kern w:val="0"/>
                <w:sz w:val="20"/>
                <w:szCs w:val="20"/>
              </w:rPr>
              <w:t>探测类型：光电式感烟火灾报警器 智能编码：内置MCU和光电感烟电路  报警阀值：0.20-0.5dB/m，</w:t>
            </w:r>
            <w:r>
              <w:rPr>
                <w:rFonts w:hint="eastAsia" w:ascii="宋体" w:hAnsi="宋体" w:cs="宋体"/>
                <w:kern w:val="0"/>
                <w:sz w:val="20"/>
                <w:szCs w:val="20"/>
              </w:rPr>
              <w:br w:type="textWrapping"/>
            </w:r>
            <w:r>
              <w:rPr>
                <w:rFonts w:hint="eastAsia" w:ascii="宋体" w:hAnsi="宋体" w:cs="宋体"/>
                <w:kern w:val="0"/>
                <w:sz w:val="20"/>
                <w:szCs w:val="20"/>
              </w:rPr>
              <w:t xml:space="preserve">灵敏度等级：Ⅱ或Ⅲ级  </w:t>
            </w:r>
            <w:r>
              <w:rPr>
                <w:rFonts w:hint="eastAsia" w:ascii="宋体" w:hAnsi="宋体" w:cs="宋体"/>
                <w:kern w:val="0"/>
                <w:sz w:val="20"/>
                <w:szCs w:val="20"/>
              </w:rPr>
              <w:br w:type="textWrapping"/>
            </w:r>
            <w:r>
              <w:rPr>
                <w:rFonts w:hint="eastAsia" w:ascii="宋体" w:hAnsi="宋体" w:cs="宋体"/>
                <w:kern w:val="0"/>
                <w:sz w:val="20"/>
                <w:szCs w:val="20"/>
              </w:rPr>
              <w:t xml:space="preserve">报警音量：≥80dB(正前方3米处)  报警方式：声、光同时警  </w:t>
            </w:r>
            <w:r>
              <w:rPr>
                <w:rFonts w:hint="eastAsia" w:ascii="宋体" w:hAnsi="宋体" w:cs="宋体"/>
                <w:kern w:val="0"/>
                <w:sz w:val="20"/>
                <w:szCs w:val="20"/>
              </w:rPr>
              <w:br w:type="textWrapping"/>
            </w:r>
            <w:r>
              <w:rPr>
                <w:rFonts w:hint="eastAsia" w:ascii="宋体" w:hAnsi="宋体" w:cs="宋体"/>
                <w:kern w:val="0"/>
                <w:sz w:val="20"/>
                <w:szCs w:val="20"/>
              </w:rPr>
              <w:t>工作电流：静态＜20µA，</w:t>
            </w:r>
            <w:r>
              <w:rPr>
                <w:rFonts w:hint="eastAsia" w:ascii="宋体" w:hAnsi="宋体" w:cs="宋体"/>
                <w:kern w:val="0"/>
                <w:sz w:val="20"/>
                <w:szCs w:val="20"/>
              </w:rPr>
              <w:br w:type="textWrapping"/>
            </w:r>
            <w:r>
              <w:rPr>
                <w:rFonts w:hint="eastAsia" w:ascii="宋体" w:hAnsi="宋体" w:cs="宋体"/>
                <w:kern w:val="0"/>
                <w:sz w:val="20"/>
                <w:szCs w:val="20"/>
              </w:rPr>
              <w:t xml:space="preserve">报警电流：＜200mA  </w:t>
            </w:r>
            <w:r>
              <w:rPr>
                <w:rFonts w:hint="eastAsia" w:ascii="宋体" w:hAnsi="宋体" w:cs="宋体"/>
                <w:kern w:val="0"/>
                <w:sz w:val="20"/>
                <w:szCs w:val="20"/>
              </w:rPr>
              <w:br w:type="textWrapping"/>
            </w:r>
            <w:r>
              <w:rPr>
                <w:rFonts w:hint="eastAsia" w:ascii="宋体" w:hAnsi="宋体" w:cs="宋体"/>
                <w:kern w:val="0"/>
                <w:sz w:val="20"/>
                <w:szCs w:val="20"/>
              </w:rPr>
              <w:t xml:space="preserve">通信指标 无线传输方式：NB-IoT  支持周期上报，间隔小于24小时  </w:t>
            </w:r>
            <w:r>
              <w:rPr>
                <w:rFonts w:hint="eastAsia" w:ascii="宋体" w:hAnsi="宋体" w:cs="宋体"/>
                <w:kern w:val="0"/>
                <w:sz w:val="20"/>
                <w:szCs w:val="20"/>
              </w:rPr>
              <w:br w:type="textWrapping"/>
            </w:r>
            <w:r>
              <w:rPr>
                <w:rFonts w:hint="eastAsia" w:ascii="宋体" w:hAnsi="宋体" w:cs="宋体"/>
                <w:kern w:val="0"/>
                <w:sz w:val="20"/>
                <w:szCs w:val="20"/>
              </w:rPr>
              <w:t>支持上传电池电量和信号CSQ值</w:t>
            </w:r>
            <w:r>
              <w:rPr>
                <w:rFonts w:hint="eastAsia" w:ascii="宋体" w:hAnsi="宋体" w:cs="宋体"/>
                <w:kern w:val="0"/>
                <w:sz w:val="20"/>
                <w:szCs w:val="20"/>
              </w:rPr>
              <w:br w:type="textWrapping"/>
            </w:r>
            <w:r>
              <w:rPr>
                <w:rFonts w:hint="eastAsia" w:ascii="宋体" w:hAnsi="宋体" w:cs="宋体"/>
                <w:kern w:val="0"/>
                <w:sz w:val="20"/>
                <w:szCs w:val="20"/>
              </w:rPr>
              <w:t xml:space="preserve">支持电池低电量报警功能 </w:t>
            </w:r>
            <w:r>
              <w:rPr>
                <w:rFonts w:hint="eastAsia" w:ascii="宋体" w:hAnsi="宋体" w:cs="宋体"/>
                <w:kern w:val="0"/>
                <w:sz w:val="20"/>
                <w:szCs w:val="20"/>
              </w:rPr>
              <w:br w:type="textWrapping"/>
            </w:r>
            <w:r>
              <w:rPr>
                <w:rFonts w:hint="eastAsia" w:ascii="宋体" w:hAnsi="宋体" w:cs="宋体"/>
                <w:kern w:val="0"/>
                <w:sz w:val="20"/>
                <w:szCs w:val="20"/>
              </w:rPr>
              <w:t xml:space="preserve">电池:3.0V锂电池2400mAh   </w:t>
            </w:r>
            <w:r>
              <w:rPr>
                <w:rFonts w:hint="eastAsia" w:ascii="宋体" w:hAnsi="宋体" w:cs="宋体"/>
                <w:kern w:val="0"/>
                <w:sz w:val="20"/>
                <w:szCs w:val="20"/>
              </w:rPr>
              <w:br w:type="textWrapping"/>
            </w:r>
            <w:r>
              <w:rPr>
                <w:rFonts w:hint="eastAsia" w:ascii="宋体" w:hAnsi="宋体" w:cs="宋体"/>
                <w:kern w:val="0"/>
                <w:sz w:val="20"/>
                <w:szCs w:val="20"/>
              </w:rPr>
              <w:t xml:space="preserve">电池使用寿命3年 </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41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巡鹰、广合霖、翼信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152</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NB-IoT门磁报警器</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支持三大运营商网络</w:t>
            </w:r>
            <w:r>
              <w:rPr>
                <w:rFonts w:hint="eastAsia" w:ascii="宋体" w:hAnsi="宋体" w:cs="宋体"/>
                <w:kern w:val="0"/>
                <w:sz w:val="20"/>
                <w:szCs w:val="20"/>
              </w:rPr>
              <w:br w:type="textWrapping"/>
            </w:r>
            <w:r>
              <w:rPr>
                <w:rFonts w:hint="eastAsia" w:ascii="宋体" w:hAnsi="宋体" w:cs="宋体"/>
                <w:kern w:val="0"/>
                <w:sz w:val="20"/>
                <w:szCs w:val="20"/>
              </w:rPr>
              <w:t>安装间隔距离：小于1.5CM</w:t>
            </w:r>
            <w:r>
              <w:rPr>
                <w:rFonts w:hint="eastAsia" w:ascii="宋体" w:hAnsi="宋体" w:cs="宋体"/>
                <w:kern w:val="0"/>
                <w:sz w:val="20"/>
                <w:szCs w:val="20"/>
              </w:rPr>
              <w:br w:type="textWrapping"/>
            </w:r>
            <w:r>
              <w:rPr>
                <w:rFonts w:hint="eastAsia" w:ascii="宋体" w:hAnsi="宋体" w:cs="宋体"/>
                <w:kern w:val="0"/>
                <w:sz w:val="20"/>
                <w:szCs w:val="20"/>
              </w:rPr>
              <w:t>静态电流：&lt;20uA,报警电流：&lt;100mA</w:t>
            </w:r>
            <w:r>
              <w:rPr>
                <w:rFonts w:hint="eastAsia" w:ascii="宋体" w:hAnsi="宋体" w:cs="宋体"/>
                <w:kern w:val="0"/>
                <w:sz w:val="20"/>
                <w:szCs w:val="20"/>
              </w:rPr>
              <w:br w:type="textWrapping"/>
            </w:r>
            <w:r>
              <w:rPr>
                <w:rFonts w:hint="eastAsia" w:ascii="宋体" w:hAnsi="宋体" w:cs="宋体"/>
                <w:kern w:val="0"/>
                <w:sz w:val="20"/>
                <w:szCs w:val="20"/>
              </w:rPr>
              <w:t>无线传输方式：NB-IoT</w:t>
            </w:r>
            <w:r>
              <w:rPr>
                <w:rFonts w:hint="eastAsia" w:ascii="宋体" w:hAnsi="宋体" w:cs="宋体"/>
                <w:kern w:val="0"/>
                <w:sz w:val="20"/>
                <w:szCs w:val="20"/>
              </w:rPr>
              <w:br w:type="textWrapping"/>
            </w:r>
            <w:r>
              <w:rPr>
                <w:rFonts w:hint="eastAsia" w:ascii="宋体" w:hAnsi="宋体" w:cs="宋体"/>
                <w:kern w:val="0"/>
                <w:sz w:val="20"/>
                <w:szCs w:val="20"/>
              </w:rPr>
              <w:t>频率：B1/B3/B5/B8</w:t>
            </w:r>
            <w:r>
              <w:rPr>
                <w:rFonts w:hint="eastAsia" w:ascii="宋体" w:hAnsi="宋体" w:cs="宋体"/>
                <w:kern w:val="0"/>
                <w:sz w:val="20"/>
                <w:szCs w:val="20"/>
              </w:rPr>
              <w:br w:type="textWrapping"/>
            </w:r>
            <w:r>
              <w:rPr>
                <w:rFonts w:hint="eastAsia" w:ascii="宋体" w:hAnsi="宋体" w:cs="宋体"/>
                <w:kern w:val="0"/>
                <w:sz w:val="20"/>
                <w:szCs w:val="20"/>
              </w:rPr>
              <w:t>速率：上行16kb/s   下行25kb/s</w:t>
            </w:r>
            <w:r>
              <w:rPr>
                <w:rFonts w:hint="eastAsia" w:ascii="宋体" w:hAnsi="宋体" w:cs="宋体"/>
                <w:kern w:val="0"/>
                <w:sz w:val="20"/>
                <w:szCs w:val="20"/>
              </w:rPr>
              <w:br w:type="textWrapping"/>
            </w:r>
            <w:r>
              <w:rPr>
                <w:rFonts w:hint="eastAsia" w:ascii="宋体" w:hAnsi="宋体" w:cs="宋体"/>
                <w:kern w:val="0"/>
                <w:sz w:val="20"/>
                <w:szCs w:val="20"/>
              </w:rPr>
              <w:t>电池容量：DC3.7V   850mAh</w:t>
            </w:r>
            <w:r>
              <w:rPr>
                <w:rFonts w:hint="eastAsia" w:ascii="宋体" w:hAnsi="宋体" w:cs="宋体"/>
                <w:kern w:val="0"/>
                <w:sz w:val="20"/>
                <w:szCs w:val="20"/>
              </w:rPr>
              <w:br w:type="textWrapping"/>
            </w:r>
            <w:r>
              <w:rPr>
                <w:rFonts w:hint="eastAsia" w:ascii="宋体" w:hAnsi="宋体" w:cs="宋体"/>
                <w:kern w:val="0"/>
                <w:sz w:val="20"/>
                <w:szCs w:val="20"/>
              </w:rPr>
              <w:t>待机时间：充满电可使用3-6个月</w:t>
            </w:r>
            <w:r>
              <w:rPr>
                <w:rFonts w:hint="eastAsia" w:ascii="宋体" w:hAnsi="宋体" w:cs="宋体"/>
                <w:kern w:val="0"/>
                <w:sz w:val="20"/>
                <w:szCs w:val="20"/>
              </w:rPr>
              <w:br w:type="textWrapping"/>
            </w:r>
            <w:r>
              <w:rPr>
                <w:rFonts w:hint="eastAsia" w:ascii="宋体" w:hAnsi="宋体" w:cs="宋体"/>
                <w:kern w:val="0"/>
                <w:sz w:val="20"/>
                <w:szCs w:val="20"/>
              </w:rPr>
              <w:t>心跳时间：1次/天</w:t>
            </w:r>
            <w:r>
              <w:rPr>
                <w:rFonts w:hint="eastAsia" w:ascii="宋体" w:hAnsi="宋体" w:cs="宋体"/>
                <w:kern w:val="0"/>
                <w:sz w:val="20"/>
                <w:szCs w:val="20"/>
              </w:rPr>
              <w:br w:type="textWrapping"/>
            </w:r>
            <w:r>
              <w:rPr>
                <w:rFonts w:hint="eastAsia" w:ascii="宋体" w:hAnsi="宋体" w:cs="宋体"/>
                <w:kern w:val="0"/>
                <w:sz w:val="20"/>
                <w:szCs w:val="20"/>
              </w:rPr>
              <w:t>低电量报警：支持</w:t>
            </w:r>
            <w:r>
              <w:rPr>
                <w:rFonts w:hint="eastAsia" w:ascii="宋体" w:hAnsi="宋体" w:cs="宋体"/>
                <w:kern w:val="0"/>
                <w:sz w:val="20"/>
                <w:szCs w:val="20"/>
              </w:rPr>
              <w:br w:type="textWrapping"/>
            </w:r>
            <w:r>
              <w:rPr>
                <w:rFonts w:hint="eastAsia" w:ascii="宋体" w:hAnsi="宋体" w:cs="宋体"/>
                <w:kern w:val="0"/>
                <w:sz w:val="20"/>
                <w:szCs w:val="20"/>
              </w:rPr>
              <w:t>支持电池电量和信号值数据上传</w:t>
            </w:r>
            <w:r>
              <w:rPr>
                <w:rFonts w:hint="eastAsia" w:ascii="宋体" w:hAnsi="宋体" w:cs="宋体"/>
                <w:kern w:val="0"/>
                <w:sz w:val="20"/>
                <w:szCs w:val="20"/>
              </w:rPr>
              <w:br w:type="textWrapping"/>
            </w:r>
            <w:r>
              <w:rPr>
                <w:rFonts w:hint="eastAsia" w:ascii="宋体" w:hAnsi="宋体" w:cs="宋体"/>
                <w:kern w:val="0"/>
                <w:sz w:val="20"/>
                <w:szCs w:val="20"/>
              </w:rPr>
              <w:t>支持低电量和信号弱报警</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41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巡鹰、广合霖、翼信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153</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智能手环</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1、支持GPS/北斗+WIFI+蓝牙BLE 支持室内精准定位</w:t>
            </w:r>
            <w:r>
              <w:rPr>
                <w:rFonts w:hint="eastAsia" w:ascii="宋体" w:hAnsi="宋体" w:cs="宋体"/>
                <w:kern w:val="0"/>
                <w:sz w:val="20"/>
                <w:szCs w:val="20"/>
              </w:rPr>
              <w:br w:type="textWrapping"/>
            </w:r>
            <w:r>
              <w:rPr>
                <w:rFonts w:hint="eastAsia" w:ascii="宋体" w:hAnsi="宋体" w:cs="宋体"/>
                <w:kern w:val="0"/>
                <w:sz w:val="20"/>
                <w:szCs w:val="20"/>
              </w:rPr>
              <w:t>2、NBIOT 5G窄带通信，低耗能长续航，含3年流量费</w:t>
            </w:r>
            <w:r>
              <w:rPr>
                <w:rFonts w:hint="eastAsia" w:ascii="宋体" w:hAnsi="宋体" w:cs="宋体"/>
                <w:kern w:val="0"/>
                <w:sz w:val="20"/>
                <w:szCs w:val="20"/>
              </w:rPr>
              <w:br w:type="textWrapping"/>
            </w:r>
            <w:r>
              <w:rPr>
                <w:rFonts w:hint="eastAsia" w:ascii="宋体" w:hAnsi="宋体" w:cs="宋体"/>
                <w:kern w:val="0"/>
                <w:sz w:val="20"/>
                <w:szCs w:val="20"/>
              </w:rPr>
              <w:t>3、支持体温/心率/血压/计步/睡眠</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41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巡鹰、广合霖、翼信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154</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室外消火栓智能采集终端</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工作模式：定时主动上报，上报周期可任意设置</w:t>
            </w:r>
            <w:r>
              <w:rPr>
                <w:rFonts w:hint="eastAsia" w:ascii="宋体" w:hAnsi="宋体" w:cs="宋体"/>
                <w:kern w:val="0"/>
                <w:sz w:val="20"/>
                <w:szCs w:val="20"/>
              </w:rPr>
              <w:br w:type="textWrapping"/>
            </w:r>
            <w:r>
              <w:rPr>
                <w:rFonts w:hint="eastAsia" w:ascii="宋体" w:hAnsi="宋体" w:cs="宋体"/>
                <w:kern w:val="0"/>
                <w:sz w:val="20"/>
                <w:szCs w:val="20"/>
              </w:rPr>
              <w:t>通讯方式：NB-IoT</w:t>
            </w:r>
            <w:r>
              <w:rPr>
                <w:rFonts w:hint="eastAsia" w:ascii="宋体" w:hAnsi="宋体" w:cs="宋体"/>
                <w:kern w:val="0"/>
                <w:sz w:val="20"/>
                <w:szCs w:val="20"/>
              </w:rPr>
              <w:br w:type="textWrapping"/>
            </w:r>
            <w:r>
              <w:rPr>
                <w:rFonts w:hint="eastAsia" w:ascii="宋体" w:hAnsi="宋体" w:cs="宋体"/>
                <w:kern w:val="0"/>
                <w:sz w:val="20"/>
                <w:szCs w:val="20"/>
              </w:rPr>
              <w:t>工业时钟：内置工业时钟，自动校时</w:t>
            </w:r>
            <w:r>
              <w:rPr>
                <w:rFonts w:hint="eastAsia" w:ascii="宋体" w:hAnsi="宋体" w:cs="宋体"/>
                <w:kern w:val="0"/>
                <w:sz w:val="20"/>
                <w:szCs w:val="20"/>
              </w:rPr>
              <w:br w:type="textWrapping"/>
            </w:r>
            <w:r>
              <w:rPr>
                <w:rFonts w:hint="eastAsia" w:ascii="宋体" w:hAnsi="宋体" w:cs="宋体"/>
                <w:kern w:val="0"/>
                <w:sz w:val="20"/>
                <w:szCs w:val="20"/>
              </w:rPr>
              <w:t>数据间隔：采样时间间隔、上报时间间隔可设置</w:t>
            </w:r>
            <w:r>
              <w:rPr>
                <w:rFonts w:hint="eastAsia" w:ascii="宋体" w:hAnsi="宋体" w:cs="宋体"/>
                <w:kern w:val="0"/>
                <w:sz w:val="20"/>
                <w:szCs w:val="20"/>
              </w:rPr>
              <w:br w:type="textWrapping"/>
            </w:r>
            <w:r>
              <w:rPr>
                <w:rFonts w:hint="eastAsia" w:ascii="宋体" w:hAnsi="宋体" w:cs="宋体"/>
                <w:kern w:val="0"/>
                <w:sz w:val="20"/>
                <w:szCs w:val="20"/>
              </w:rPr>
              <w:t>参数设置：本地串口设置</w:t>
            </w:r>
            <w:r>
              <w:rPr>
                <w:rFonts w:hint="eastAsia" w:ascii="宋体" w:hAnsi="宋体" w:cs="宋体"/>
                <w:kern w:val="0"/>
                <w:sz w:val="20"/>
                <w:szCs w:val="20"/>
              </w:rPr>
              <w:br w:type="textWrapping"/>
            </w:r>
            <w:r>
              <w:rPr>
                <w:rFonts w:hint="eastAsia" w:ascii="宋体" w:hAnsi="宋体" w:cs="宋体"/>
                <w:kern w:val="0"/>
                <w:sz w:val="20"/>
                <w:szCs w:val="20"/>
              </w:rPr>
              <w:t>测量范围：0～2.5MPa，其他量程可定制</w:t>
            </w:r>
            <w:r>
              <w:rPr>
                <w:rFonts w:hint="eastAsia" w:ascii="宋体" w:hAnsi="宋体" w:cs="宋体"/>
                <w:kern w:val="0"/>
                <w:sz w:val="20"/>
                <w:szCs w:val="20"/>
              </w:rPr>
              <w:br w:type="textWrapping"/>
            </w:r>
            <w:r>
              <w:rPr>
                <w:rFonts w:hint="eastAsia" w:ascii="宋体" w:hAnsi="宋体" w:cs="宋体"/>
                <w:kern w:val="0"/>
                <w:sz w:val="20"/>
                <w:szCs w:val="20"/>
              </w:rPr>
              <w:t>过程连接：M20*1.5MM</w:t>
            </w:r>
            <w:r>
              <w:rPr>
                <w:rFonts w:hint="eastAsia" w:ascii="宋体" w:hAnsi="宋体" w:cs="宋体"/>
                <w:kern w:val="0"/>
                <w:sz w:val="20"/>
                <w:szCs w:val="20"/>
              </w:rPr>
              <w:br w:type="textWrapping"/>
            </w:r>
            <w:r>
              <w:rPr>
                <w:rFonts w:hint="eastAsia" w:ascii="宋体" w:hAnsi="宋体" w:cs="宋体"/>
                <w:kern w:val="0"/>
                <w:sz w:val="20"/>
                <w:szCs w:val="20"/>
              </w:rPr>
              <w:t xml:space="preserve">供电方式：高能锂亚电池供电，30分钟上传一次可使用三年 </w:t>
            </w:r>
            <w:r>
              <w:rPr>
                <w:rFonts w:hint="eastAsia" w:ascii="宋体" w:hAnsi="宋体" w:cs="宋体"/>
                <w:kern w:val="0"/>
                <w:sz w:val="20"/>
                <w:szCs w:val="20"/>
              </w:rPr>
              <w:br w:type="textWrapping"/>
            </w:r>
            <w:r>
              <w:rPr>
                <w:rFonts w:hint="eastAsia" w:ascii="宋体" w:hAnsi="宋体" w:cs="宋体"/>
                <w:kern w:val="0"/>
                <w:sz w:val="20"/>
                <w:szCs w:val="20"/>
              </w:rPr>
              <w:t>工作电流：休眠&lt;5uA,发射&lt;200mA</w:t>
            </w:r>
            <w:r>
              <w:rPr>
                <w:rFonts w:hint="eastAsia" w:ascii="宋体" w:hAnsi="宋体" w:cs="宋体"/>
                <w:kern w:val="0"/>
                <w:sz w:val="20"/>
                <w:szCs w:val="20"/>
              </w:rPr>
              <w:br w:type="textWrapping"/>
            </w:r>
            <w:r>
              <w:rPr>
                <w:rFonts w:hint="eastAsia" w:ascii="宋体" w:hAnsi="宋体" w:cs="宋体"/>
                <w:kern w:val="0"/>
                <w:sz w:val="20"/>
                <w:szCs w:val="20"/>
              </w:rPr>
              <w:t xml:space="preserve">工作环境：温度：-20℃～70℃，湿度：＜90% </w:t>
            </w:r>
            <w:r>
              <w:rPr>
                <w:rFonts w:hint="eastAsia" w:ascii="宋体" w:hAnsi="宋体" w:cs="宋体"/>
                <w:kern w:val="0"/>
                <w:sz w:val="20"/>
                <w:szCs w:val="20"/>
              </w:rPr>
              <w:br w:type="textWrapping"/>
            </w:r>
            <w:r>
              <w:rPr>
                <w:rFonts w:hint="eastAsia" w:ascii="宋体" w:hAnsi="宋体" w:cs="宋体"/>
                <w:kern w:val="0"/>
                <w:sz w:val="20"/>
                <w:szCs w:val="20"/>
              </w:rPr>
              <w:t>防护等级：IP65，防水、防尘</w:t>
            </w:r>
            <w:r>
              <w:rPr>
                <w:rFonts w:hint="eastAsia" w:ascii="宋体" w:hAnsi="宋体" w:cs="宋体"/>
                <w:kern w:val="0"/>
                <w:sz w:val="20"/>
                <w:szCs w:val="20"/>
              </w:rPr>
              <w:br w:type="textWrapping"/>
            </w:r>
            <w:r>
              <w:rPr>
                <w:rFonts w:hint="eastAsia" w:ascii="宋体" w:hAnsi="宋体" w:cs="宋体"/>
                <w:b/>
                <w:bCs/>
                <w:kern w:val="0"/>
                <w:sz w:val="20"/>
                <w:szCs w:val="20"/>
              </w:rPr>
              <w:t>报警功能：支持出水报警、碰撞报警、倾斜报警、水压过压和欠压报警报警功能（提供封面具有 CMA、CNAS、ilac-MRA 标志的检测报告）</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3</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155</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路由器</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无线网络支持频率: 2.4G&amp;5G 有线传输率: 百兆端口</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41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锐捷、华为、华三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156</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NB-IoT物联网卡</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1G/月，含3年通信流量费</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83</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张</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联通、电信、移动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157</w:t>
            </w:r>
          </w:p>
        </w:tc>
        <w:tc>
          <w:tcPr>
            <w:tcW w:w="425" w:type="dxa"/>
            <w:vMerge w:val="restart"/>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未来治理</w:t>
            </w:r>
          </w:p>
        </w:tc>
        <w:tc>
          <w:tcPr>
            <w:tcW w:w="417" w:type="dxa"/>
            <w:vMerge w:val="restart"/>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会议室</w:t>
            </w: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室内LED屏</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xml:space="preserve">像素结构  表贴三合一 SMD1212 黑灯 </w:t>
            </w:r>
            <w:r>
              <w:rPr>
                <w:rFonts w:hint="eastAsia" w:ascii="宋体" w:hAnsi="宋体" w:cs="宋体"/>
                <w:kern w:val="0"/>
                <w:sz w:val="20"/>
                <w:szCs w:val="20"/>
              </w:rPr>
              <w:br w:type="textWrapping"/>
            </w:r>
            <w:r>
              <w:rPr>
                <w:rFonts w:hint="eastAsia" w:ascii="宋体" w:hAnsi="宋体" w:cs="宋体"/>
                <w:kern w:val="0"/>
                <w:sz w:val="20"/>
                <w:szCs w:val="20"/>
              </w:rPr>
              <w:t xml:space="preserve">像素间距（mm）  1.53 </w:t>
            </w:r>
            <w:r>
              <w:rPr>
                <w:rFonts w:hint="eastAsia" w:ascii="宋体" w:hAnsi="宋体" w:cs="宋体"/>
                <w:kern w:val="0"/>
                <w:sz w:val="20"/>
                <w:szCs w:val="20"/>
              </w:rPr>
              <w:br w:type="textWrapping"/>
            </w:r>
            <w:r>
              <w:rPr>
                <w:rFonts w:hint="eastAsia" w:ascii="宋体" w:hAnsi="宋体" w:cs="宋体"/>
                <w:kern w:val="0"/>
                <w:sz w:val="20"/>
                <w:szCs w:val="20"/>
              </w:rPr>
              <w:t xml:space="preserve">像素密度（点/m2 ）  422500 </w:t>
            </w:r>
            <w:r>
              <w:rPr>
                <w:rFonts w:hint="eastAsia" w:ascii="宋体" w:hAnsi="宋体" w:cs="宋体"/>
                <w:kern w:val="0"/>
                <w:sz w:val="20"/>
                <w:szCs w:val="20"/>
              </w:rPr>
              <w:br w:type="textWrapping"/>
            </w:r>
            <w:r>
              <w:rPr>
                <w:rFonts w:hint="eastAsia" w:ascii="宋体" w:hAnsi="宋体" w:cs="宋体"/>
                <w:kern w:val="0"/>
                <w:sz w:val="20"/>
                <w:szCs w:val="20"/>
              </w:rPr>
              <w:t xml:space="preserve">维护方式  磁吸前维护 </w:t>
            </w:r>
            <w:r>
              <w:rPr>
                <w:rFonts w:hint="eastAsia" w:ascii="宋体" w:hAnsi="宋体" w:cs="宋体"/>
                <w:kern w:val="0"/>
                <w:sz w:val="20"/>
                <w:szCs w:val="20"/>
              </w:rPr>
              <w:br w:type="textWrapping"/>
            </w:r>
            <w:r>
              <w:rPr>
                <w:rFonts w:hint="eastAsia" w:ascii="宋体" w:hAnsi="宋体" w:cs="宋体"/>
                <w:kern w:val="0"/>
                <w:sz w:val="20"/>
                <w:szCs w:val="20"/>
              </w:rPr>
              <w:t xml:space="preserve">显示屏亮度（nits）  600 </w:t>
            </w:r>
            <w:r>
              <w:rPr>
                <w:rFonts w:hint="eastAsia" w:ascii="宋体" w:hAnsi="宋体" w:cs="宋体"/>
                <w:kern w:val="0"/>
                <w:sz w:val="20"/>
                <w:szCs w:val="20"/>
              </w:rPr>
              <w:br w:type="textWrapping"/>
            </w:r>
            <w:r>
              <w:rPr>
                <w:rFonts w:hint="eastAsia" w:ascii="宋体" w:hAnsi="宋体" w:cs="宋体"/>
                <w:kern w:val="0"/>
                <w:sz w:val="20"/>
                <w:szCs w:val="20"/>
              </w:rPr>
              <w:t xml:space="preserve">色温（K）  8000—19000 可调 </w:t>
            </w:r>
            <w:r>
              <w:rPr>
                <w:rFonts w:hint="eastAsia" w:ascii="宋体" w:hAnsi="宋体" w:cs="宋体"/>
                <w:kern w:val="0"/>
                <w:sz w:val="20"/>
                <w:szCs w:val="20"/>
              </w:rPr>
              <w:br w:type="textWrapping"/>
            </w:r>
            <w:r>
              <w:rPr>
                <w:rFonts w:hint="eastAsia" w:ascii="宋体" w:hAnsi="宋体" w:cs="宋体"/>
                <w:kern w:val="0"/>
                <w:sz w:val="20"/>
                <w:szCs w:val="20"/>
              </w:rPr>
              <w:t xml:space="preserve">水平视角（°）  160 </w:t>
            </w:r>
            <w:r>
              <w:rPr>
                <w:rFonts w:hint="eastAsia" w:ascii="宋体" w:hAnsi="宋体" w:cs="宋体"/>
                <w:kern w:val="0"/>
                <w:sz w:val="20"/>
                <w:szCs w:val="20"/>
              </w:rPr>
              <w:br w:type="textWrapping"/>
            </w:r>
            <w:r>
              <w:rPr>
                <w:rFonts w:hint="eastAsia" w:ascii="宋体" w:hAnsi="宋体" w:cs="宋体"/>
                <w:kern w:val="0"/>
                <w:sz w:val="20"/>
                <w:szCs w:val="20"/>
              </w:rPr>
              <w:t xml:space="preserve">垂直视角（°）  160 </w:t>
            </w:r>
            <w:r>
              <w:rPr>
                <w:rFonts w:hint="eastAsia" w:ascii="宋体" w:hAnsi="宋体" w:cs="宋体"/>
                <w:kern w:val="0"/>
                <w:sz w:val="20"/>
                <w:szCs w:val="20"/>
              </w:rPr>
              <w:br w:type="textWrapping"/>
            </w:r>
            <w:r>
              <w:rPr>
                <w:rFonts w:hint="eastAsia" w:ascii="宋体" w:hAnsi="宋体" w:cs="宋体"/>
                <w:kern w:val="0"/>
                <w:sz w:val="20"/>
                <w:szCs w:val="20"/>
              </w:rPr>
              <w:t xml:space="preserve">对比度  4000:1 </w:t>
            </w:r>
            <w:r>
              <w:rPr>
                <w:rFonts w:hint="eastAsia" w:ascii="宋体" w:hAnsi="宋体" w:cs="宋体"/>
                <w:kern w:val="0"/>
                <w:sz w:val="20"/>
                <w:szCs w:val="20"/>
              </w:rPr>
              <w:br w:type="textWrapping"/>
            </w:r>
            <w:r>
              <w:rPr>
                <w:rFonts w:hint="eastAsia" w:ascii="宋体" w:hAnsi="宋体" w:cs="宋体"/>
                <w:kern w:val="0"/>
                <w:sz w:val="20"/>
                <w:szCs w:val="20"/>
              </w:rPr>
              <w:t xml:space="preserve">亮度均匀性  ≥97% </w:t>
            </w:r>
            <w:r>
              <w:rPr>
                <w:rFonts w:hint="eastAsia" w:ascii="宋体" w:hAnsi="宋体" w:cs="宋体"/>
                <w:kern w:val="0"/>
                <w:sz w:val="20"/>
                <w:szCs w:val="20"/>
              </w:rPr>
              <w:br w:type="textWrapping"/>
            </w:r>
            <w:r>
              <w:rPr>
                <w:rFonts w:hint="eastAsia" w:ascii="宋体" w:hAnsi="宋体" w:cs="宋体"/>
                <w:kern w:val="0"/>
                <w:sz w:val="20"/>
                <w:szCs w:val="20"/>
              </w:rPr>
              <w:t xml:space="preserve">色度均匀性  ±0.003Cx,Cy 之内 </w:t>
            </w:r>
            <w:r>
              <w:rPr>
                <w:rFonts w:hint="eastAsia" w:ascii="宋体" w:hAnsi="宋体" w:cs="宋体"/>
                <w:kern w:val="0"/>
                <w:sz w:val="20"/>
                <w:szCs w:val="20"/>
              </w:rPr>
              <w:br w:type="textWrapping"/>
            </w:r>
            <w:r>
              <w:rPr>
                <w:rFonts w:hint="eastAsia" w:ascii="宋体" w:hAnsi="宋体" w:cs="宋体"/>
                <w:kern w:val="0"/>
                <w:sz w:val="20"/>
                <w:szCs w:val="20"/>
              </w:rPr>
              <w:t xml:space="preserve">最佳视距（m）  ≥2 </w:t>
            </w:r>
            <w:r>
              <w:rPr>
                <w:rFonts w:hint="eastAsia" w:ascii="宋体" w:hAnsi="宋体" w:cs="宋体"/>
                <w:kern w:val="0"/>
                <w:sz w:val="20"/>
                <w:szCs w:val="20"/>
              </w:rPr>
              <w:br w:type="textWrapping"/>
            </w:r>
            <w:r>
              <w:rPr>
                <w:rFonts w:hint="eastAsia" w:ascii="宋体" w:hAnsi="宋体" w:cs="宋体"/>
                <w:kern w:val="0"/>
                <w:sz w:val="20"/>
                <w:szCs w:val="20"/>
              </w:rPr>
              <w:t xml:space="preserve">峰值功耗（W/m2）  410 </w:t>
            </w:r>
            <w:r>
              <w:rPr>
                <w:rFonts w:hint="eastAsia" w:ascii="宋体" w:hAnsi="宋体" w:cs="宋体"/>
                <w:kern w:val="0"/>
                <w:sz w:val="20"/>
                <w:szCs w:val="20"/>
              </w:rPr>
              <w:br w:type="textWrapping"/>
            </w:r>
            <w:r>
              <w:rPr>
                <w:rFonts w:hint="eastAsia" w:ascii="宋体" w:hAnsi="宋体" w:cs="宋体"/>
                <w:kern w:val="0"/>
                <w:sz w:val="20"/>
                <w:szCs w:val="20"/>
              </w:rPr>
              <w:t xml:space="preserve">平均功耗（W/m2）  210 </w:t>
            </w:r>
            <w:r>
              <w:rPr>
                <w:rFonts w:hint="eastAsia" w:ascii="宋体" w:hAnsi="宋体" w:cs="宋体"/>
                <w:kern w:val="0"/>
                <w:sz w:val="20"/>
                <w:szCs w:val="20"/>
              </w:rPr>
              <w:br w:type="textWrapping"/>
            </w:r>
            <w:r>
              <w:rPr>
                <w:rFonts w:hint="eastAsia" w:ascii="宋体" w:hAnsi="宋体" w:cs="宋体"/>
                <w:kern w:val="0"/>
                <w:sz w:val="20"/>
                <w:szCs w:val="20"/>
              </w:rPr>
              <w:t xml:space="preserve">供电要求      AC220-240V </w:t>
            </w:r>
            <w:r>
              <w:rPr>
                <w:rFonts w:hint="eastAsia" w:ascii="宋体" w:hAnsi="宋体" w:cs="宋体"/>
                <w:kern w:val="0"/>
                <w:sz w:val="20"/>
                <w:szCs w:val="20"/>
              </w:rPr>
              <w:br w:type="textWrapping"/>
            </w:r>
            <w:r>
              <w:rPr>
                <w:rFonts w:hint="eastAsia" w:ascii="宋体" w:hAnsi="宋体" w:cs="宋体"/>
                <w:kern w:val="0"/>
                <w:sz w:val="20"/>
                <w:szCs w:val="20"/>
              </w:rPr>
              <w:t xml:space="preserve">驱动方式    恒流驱动  </w:t>
            </w:r>
            <w:r>
              <w:rPr>
                <w:rFonts w:hint="eastAsia" w:ascii="宋体" w:hAnsi="宋体" w:cs="宋体"/>
                <w:kern w:val="0"/>
                <w:sz w:val="20"/>
                <w:szCs w:val="20"/>
              </w:rPr>
              <w:br w:type="textWrapping"/>
            </w:r>
            <w:r>
              <w:rPr>
                <w:rFonts w:hint="eastAsia" w:ascii="宋体" w:hAnsi="宋体" w:cs="宋体"/>
                <w:kern w:val="0"/>
                <w:sz w:val="20"/>
                <w:szCs w:val="20"/>
              </w:rPr>
              <w:t xml:space="preserve">换帧频率（Hz）  60 </w:t>
            </w:r>
            <w:r>
              <w:rPr>
                <w:rFonts w:hint="eastAsia" w:ascii="宋体" w:hAnsi="宋体" w:cs="宋体"/>
                <w:kern w:val="0"/>
                <w:sz w:val="20"/>
                <w:szCs w:val="20"/>
              </w:rPr>
              <w:br w:type="textWrapping"/>
            </w:r>
            <w:r>
              <w:rPr>
                <w:rFonts w:hint="eastAsia" w:ascii="宋体" w:hAnsi="宋体" w:cs="宋体"/>
                <w:kern w:val="0"/>
                <w:sz w:val="20"/>
                <w:szCs w:val="20"/>
              </w:rPr>
              <w:t xml:space="preserve">刷新率（Hz）  ≥3840 </w:t>
            </w:r>
            <w:r>
              <w:rPr>
                <w:rFonts w:hint="eastAsia" w:ascii="宋体" w:hAnsi="宋体" w:cs="宋体"/>
                <w:kern w:val="0"/>
                <w:sz w:val="20"/>
                <w:szCs w:val="20"/>
              </w:rPr>
              <w:br w:type="textWrapping"/>
            </w:r>
            <w:r>
              <w:rPr>
                <w:rFonts w:hint="eastAsia" w:ascii="宋体" w:hAnsi="宋体" w:cs="宋体"/>
                <w:kern w:val="0"/>
                <w:sz w:val="20"/>
                <w:szCs w:val="20"/>
              </w:rPr>
              <w:t xml:space="preserve">工作温度范围（℃）  -10—40    </w:t>
            </w:r>
            <w:r>
              <w:rPr>
                <w:rFonts w:hint="eastAsia" w:ascii="宋体" w:hAnsi="宋体" w:cs="宋体"/>
                <w:kern w:val="0"/>
                <w:sz w:val="20"/>
                <w:szCs w:val="20"/>
              </w:rPr>
              <w:br w:type="textWrapping"/>
            </w:r>
            <w:r>
              <w:rPr>
                <w:rFonts w:hint="eastAsia" w:ascii="宋体" w:hAnsi="宋体" w:cs="宋体"/>
                <w:kern w:val="0"/>
                <w:sz w:val="20"/>
                <w:szCs w:val="20"/>
              </w:rPr>
              <w:t xml:space="preserve">工作湿度范围（RH）无结露  10-80% </w:t>
            </w:r>
            <w:r>
              <w:rPr>
                <w:rFonts w:hint="eastAsia" w:ascii="宋体" w:hAnsi="宋体" w:cs="宋体"/>
                <w:kern w:val="0"/>
                <w:sz w:val="20"/>
                <w:szCs w:val="20"/>
              </w:rPr>
              <w:br w:type="textWrapping"/>
            </w:r>
            <w:r>
              <w:rPr>
                <w:rFonts w:hint="eastAsia" w:ascii="宋体" w:hAnsi="宋体" w:cs="宋体"/>
                <w:kern w:val="0"/>
                <w:sz w:val="20"/>
                <w:szCs w:val="20"/>
              </w:rPr>
              <w:t xml:space="preserve">信号接口  HUB 320 接口 </w:t>
            </w:r>
            <w:r>
              <w:rPr>
                <w:rFonts w:hint="eastAsia" w:ascii="宋体" w:hAnsi="宋体" w:cs="宋体"/>
                <w:kern w:val="0"/>
                <w:sz w:val="20"/>
                <w:szCs w:val="20"/>
              </w:rPr>
              <w:br w:type="textWrapping"/>
            </w:r>
            <w:r>
              <w:rPr>
                <w:rFonts w:hint="eastAsia" w:ascii="宋体" w:hAnsi="宋体" w:cs="宋体"/>
                <w:kern w:val="0"/>
                <w:sz w:val="20"/>
                <w:szCs w:val="20"/>
              </w:rPr>
              <w:t xml:space="preserve">电源接口  VH4PIN </w:t>
            </w:r>
            <w:r>
              <w:rPr>
                <w:rFonts w:hint="eastAsia" w:ascii="宋体" w:hAnsi="宋体" w:cs="宋体"/>
                <w:kern w:val="0"/>
                <w:sz w:val="20"/>
                <w:szCs w:val="20"/>
              </w:rPr>
              <w:br w:type="textWrapping"/>
            </w:r>
            <w:r>
              <w:rPr>
                <w:rFonts w:hint="eastAsia" w:ascii="宋体" w:hAnsi="宋体" w:cs="宋体"/>
                <w:kern w:val="0"/>
                <w:sz w:val="20"/>
                <w:szCs w:val="20"/>
              </w:rPr>
              <w:t>支持多bin色度校正，校正数据存储在模组里，采用色彩管 理系统，在LED控制系统对视频解码后，添加二次过滤显示算法，对显示屏每一个发光二极管进行逐点14位颜色校正。</w:t>
            </w:r>
          </w:p>
          <w:p>
            <w:pPr>
              <w:widowControl/>
              <w:snapToGrid w:val="0"/>
              <w:jc w:val="left"/>
              <w:rPr>
                <w:rFonts w:ascii="宋体" w:hAnsi="宋体" w:cs="宋体"/>
                <w:kern w:val="0"/>
                <w:sz w:val="20"/>
                <w:szCs w:val="20"/>
              </w:rPr>
            </w:pPr>
            <w:r>
              <w:rPr>
                <w:rFonts w:hint="eastAsia" w:ascii="宋体" w:hAnsi="宋体" w:cs="宋体"/>
                <w:kern w:val="0"/>
                <w:sz w:val="20"/>
                <w:szCs w:val="20"/>
              </w:rPr>
              <w:t>LED显示屏控制系统的信号发送/转接/接收卡必须做环路冗余备 份，信号支持双回路热备份自动转换，单元箱体采用双冗余电源 供电，具有自动切换功能；视频及控制信号采用菊花链式环接。</w:t>
            </w:r>
          </w:p>
          <w:p>
            <w:pPr>
              <w:widowControl/>
              <w:snapToGrid w:val="0"/>
              <w:jc w:val="left"/>
              <w:rPr>
                <w:rFonts w:ascii="宋体" w:hAnsi="宋体" w:cs="宋体"/>
                <w:kern w:val="0"/>
                <w:sz w:val="20"/>
                <w:szCs w:val="20"/>
              </w:rPr>
            </w:pPr>
            <w:r>
              <w:rPr>
                <w:rFonts w:hint="eastAsia" w:ascii="宋体" w:hAnsi="宋体" w:cs="宋体"/>
                <w:kern w:val="0"/>
                <w:sz w:val="20"/>
                <w:szCs w:val="20"/>
              </w:rPr>
              <w:t>支持多bin色度校正，校正数据存储在模组里，采用色彩管理系统，在LED控制系统对视频解码后，添加二次过滤显示算法，对显示屏每一个发光二极管进行逐点14位颜色校正。</w:t>
            </w:r>
          </w:p>
          <w:p>
            <w:pPr>
              <w:widowControl/>
              <w:snapToGrid w:val="0"/>
              <w:jc w:val="left"/>
              <w:rPr>
                <w:rFonts w:ascii="宋体" w:hAnsi="宋体" w:cs="宋体"/>
                <w:b/>
                <w:bCs/>
                <w:kern w:val="0"/>
                <w:sz w:val="20"/>
                <w:szCs w:val="20"/>
              </w:rPr>
            </w:pPr>
            <w:r>
              <w:rPr>
                <w:rFonts w:hint="eastAsia" w:ascii="宋体" w:hAnsi="宋体" w:cs="宋体"/>
                <w:b/>
                <w:bCs/>
                <w:kern w:val="0"/>
                <w:sz w:val="20"/>
                <w:szCs w:val="20"/>
              </w:rPr>
              <w:t>显示屏符合HDR显示认证技术规范CESI/TS008-2016（提供具有相应资质的第三方检测报告复印件）</w:t>
            </w:r>
          </w:p>
          <w:p>
            <w:pPr>
              <w:widowControl/>
              <w:snapToGrid w:val="0"/>
              <w:jc w:val="left"/>
              <w:rPr>
                <w:rFonts w:ascii="宋体" w:hAnsi="宋体" w:cs="宋体"/>
                <w:kern w:val="0"/>
                <w:sz w:val="20"/>
                <w:szCs w:val="20"/>
              </w:rPr>
            </w:pPr>
            <w:r>
              <w:rPr>
                <w:rFonts w:hint="eastAsia" w:ascii="宋体" w:hAnsi="宋体" w:cs="宋体"/>
                <w:b/>
                <w:bCs/>
                <w:kern w:val="0"/>
                <w:sz w:val="20"/>
                <w:szCs w:val="20"/>
              </w:rPr>
              <w:t>显示屏具有TUV认证中心出具的低蓝光认证证书。</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6.14</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洲明、海康威视、利亚德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158</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钢结构</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主框架采用热镀锌方管铝方通焊接，焊点须打磨喷防锈漆处理，黑炭不锈钢1.2厚装饰面，含包边装饰材料</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6.14</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洲明、海康威视、利亚德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159</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LED开关电源</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xml:space="preserve">总输出功率（W）200                                                                                                                                                                                                                  输入电压范围（Vac）200—240                                                                                                                                                                                                              输出电压（Vdc）+5.0                                                                                                                                                                                                        输出电流范围（A）0-40.0                                                                                                                                                                                                         稳压精度±2%                                                                                                                                                                                                                        纹波及噪音（mVp-p） ≤150 </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30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洲明、海康威视、利亚德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160</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多媒体智能管理平台</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轻量版大屏显控软件，支持8Gwindows系统部署，包含大屏显控、平板操控、内容切换、中控管理的功能。</w:t>
            </w:r>
            <w:r>
              <w:rPr>
                <w:rFonts w:hint="eastAsia" w:ascii="宋体" w:hAnsi="宋体" w:cs="宋体"/>
                <w:kern w:val="0"/>
                <w:sz w:val="20"/>
                <w:szCs w:val="20"/>
              </w:rPr>
              <w:br w:type="textWrapping"/>
            </w:r>
            <w:r>
              <w:rPr>
                <w:rFonts w:hint="eastAsia" w:ascii="宋体" w:hAnsi="宋体" w:cs="宋体"/>
                <w:kern w:val="0"/>
                <w:sz w:val="20"/>
                <w:szCs w:val="20"/>
              </w:rPr>
              <w:t xml:space="preserve"> 1、系统具备 C/S 和 B/S 结构，可通过客户端软件、平板和浏览器对大屏系统进行统一管理，包括大屏门户、 场景配置、预案切换、远程操控、 信号控制、 一键上墙、内容切换、多屏互动、窗口叠加/拼接/漫游/放大/缩小/移动/关闭等操作；支持查看信号源实时画面，实时查看大屏中正在播放的内容等功能。</w:t>
            </w:r>
            <w:r>
              <w:rPr>
                <w:rFonts w:hint="eastAsia" w:ascii="宋体" w:hAnsi="宋体" w:cs="宋体"/>
                <w:kern w:val="0"/>
                <w:sz w:val="20"/>
                <w:szCs w:val="20"/>
              </w:rPr>
              <w:br w:type="textWrapping"/>
            </w:r>
            <w:r>
              <w:rPr>
                <w:rFonts w:hint="eastAsia" w:ascii="宋体" w:hAnsi="宋体" w:cs="宋体"/>
                <w:kern w:val="0"/>
                <w:sz w:val="20"/>
                <w:szCs w:val="20"/>
              </w:rPr>
              <w:t>2、支持拼控器、播控主机、PC主机、中控主机设备增删改查的统一管理；支持查看播控主机、 PC 主机、中控主机设备的在线/离线状态；支持通过平台远程重启、更新播控主机的程序；支持场景关联播控主机的开关量模式。</w:t>
            </w:r>
            <w:r>
              <w:rPr>
                <w:rFonts w:hint="eastAsia" w:ascii="宋体" w:hAnsi="宋体" w:cs="宋体"/>
                <w:kern w:val="0"/>
                <w:sz w:val="20"/>
                <w:szCs w:val="20"/>
              </w:rPr>
              <w:br w:type="textWrapping"/>
            </w:r>
            <w:r>
              <w:rPr>
                <w:rFonts w:hint="eastAsia" w:ascii="宋体" w:hAnsi="宋体" w:cs="宋体"/>
                <w:kern w:val="0"/>
                <w:sz w:val="20"/>
                <w:szCs w:val="20"/>
              </w:rPr>
              <w:t>3、支持查看指定屏幕场景的播放状态，可添加、修改、删除、切换场景，并且可将场景关联中控模式，使场景与灯光、空调、投影等设备开关量模式联动。</w:t>
            </w:r>
            <w:r>
              <w:rPr>
                <w:rFonts w:hint="eastAsia" w:ascii="宋体" w:hAnsi="宋体" w:cs="宋体"/>
                <w:kern w:val="0"/>
                <w:sz w:val="20"/>
                <w:szCs w:val="20"/>
              </w:rPr>
              <w:br w:type="textWrapping"/>
            </w:r>
            <w:r>
              <w:rPr>
                <w:rFonts w:hint="eastAsia" w:ascii="宋体" w:hAnsi="宋体" w:cs="宋体"/>
                <w:kern w:val="0"/>
                <w:sz w:val="20"/>
                <w:szCs w:val="20"/>
              </w:rPr>
              <w:t>4、支持按照当前选定的显示屏建立相同分辨率的场景，以图形化编辑方式对窗口的开窗参数、窗口比例、窗口位置、窗口大小、窗口层级等参数进行设置，以鼠标拖动方式将信号、视频文件、字幕、图片、程序包等加载至场景中指定播放窗口；支持将网页、程序包、图片、视频、 PPT、Word 文档、 Excel、 PDF、文本等内容窗口拖动到大屏中，每种类型窗口可添加多个文件，可设置内容文件播放时长，内容播放顺序等属性；支持实时查看大屏显示的内容，可远程操控数据可视化面本、AR 客户端、VR 网页端、第三方业务系统等。</w:t>
            </w:r>
            <w:r>
              <w:rPr>
                <w:rFonts w:hint="eastAsia" w:ascii="宋体" w:hAnsi="宋体" w:cs="宋体"/>
                <w:kern w:val="0"/>
                <w:sz w:val="20"/>
                <w:szCs w:val="20"/>
              </w:rPr>
              <w:br w:type="textWrapping"/>
            </w:r>
            <w:r>
              <w:rPr>
                <w:rFonts w:hint="eastAsia" w:ascii="宋体" w:hAnsi="宋体" w:cs="宋体"/>
                <w:kern w:val="0"/>
                <w:sz w:val="20"/>
                <w:szCs w:val="20"/>
              </w:rPr>
              <w:t>5、大屏上支持显示配置好的门户，作为统一的门户入口，可控制单块或多块屏幕一起切换；支持自定义设置门户标题、背景图片、菜单名称、菜单图片、菜单链接内容，包含页面、场景、二级门户等。</w:t>
            </w:r>
            <w:r>
              <w:rPr>
                <w:rFonts w:hint="eastAsia" w:ascii="宋体" w:hAnsi="宋体" w:cs="宋体"/>
                <w:kern w:val="0"/>
                <w:sz w:val="20"/>
                <w:szCs w:val="20"/>
              </w:rPr>
              <w:br w:type="textWrapping"/>
            </w:r>
            <w:r>
              <w:rPr>
                <w:rFonts w:hint="eastAsia" w:ascii="宋体" w:hAnsi="宋体" w:cs="宋体"/>
                <w:kern w:val="0"/>
                <w:sz w:val="20"/>
                <w:szCs w:val="20"/>
              </w:rPr>
              <w:t>6、可控制大屏的智能控制功能，包括广告、会议、监控、护眼模式的开启屏保，以及对具有除湿功能的大屏进行除湿。</w:t>
            </w:r>
            <w:r>
              <w:rPr>
                <w:rFonts w:hint="eastAsia" w:ascii="宋体" w:hAnsi="宋体" w:cs="宋体"/>
                <w:kern w:val="0"/>
                <w:sz w:val="20"/>
                <w:szCs w:val="20"/>
              </w:rPr>
              <w:br w:type="textWrapping"/>
            </w:r>
            <w:r>
              <w:rPr>
                <w:rFonts w:hint="eastAsia" w:ascii="宋体" w:hAnsi="宋体" w:cs="宋体"/>
                <w:kern w:val="0"/>
                <w:sz w:val="20"/>
                <w:szCs w:val="20"/>
              </w:rPr>
              <w:t>7、支持可视化展示播控主机、屏幕、拼控器、中控主机、 PC 主机等设备的在离线统计信息以及播控主机的页面数量、分辨率、温度、稳定运行时长、设备告警等信息。</w:t>
            </w:r>
            <w:r>
              <w:rPr>
                <w:rFonts w:hint="eastAsia" w:ascii="宋体" w:hAnsi="宋体" w:cs="宋体"/>
                <w:kern w:val="0"/>
                <w:sz w:val="20"/>
                <w:szCs w:val="20"/>
              </w:rPr>
              <w:br w:type="textWrapping"/>
            </w:r>
            <w:r>
              <w:rPr>
                <w:rFonts w:hint="eastAsia" w:ascii="宋体" w:hAnsi="宋体" w:cs="宋体"/>
                <w:kern w:val="0"/>
                <w:sz w:val="20"/>
                <w:szCs w:val="20"/>
              </w:rPr>
              <w:t>8、支持屏幕、网页、窗口等类型投屏，不需要外接物理线缆；通过电脑/平板远程控制播控主机，并可实时显示画面，支持设置抓屏区域的分辨率，可设置为7680×2160、 3840×2160、 2736×1824、 1920×1080、 1280×720；</w:t>
            </w:r>
            <w:r>
              <w:rPr>
                <w:rFonts w:hint="eastAsia" w:ascii="宋体" w:hAnsi="宋体" w:cs="宋体"/>
                <w:kern w:val="0"/>
                <w:sz w:val="20"/>
                <w:szCs w:val="20"/>
              </w:rPr>
              <w:br w:type="textWrapping"/>
            </w:r>
            <w:r>
              <w:rPr>
                <w:rFonts w:hint="eastAsia" w:ascii="宋体" w:hAnsi="宋体" w:cs="宋体"/>
                <w:kern w:val="0"/>
                <w:sz w:val="20"/>
                <w:szCs w:val="20"/>
              </w:rPr>
              <w:t>9、支持通过平板设置大屏门户菜单，可切换屏幕进行内容显示；支持通过门户菜单实现对大屏内容显示的导航操作；支持控制正在播放视频的进度，启动、停止播放；支持在平板上进行 PPT 上一页、下一页等操作；支持同步 WEB 端平台添加的所有内容，可实时切换大屏中显示的网页、视频、图片等；支持查看场景详情；支持拖动信号源至场景，可设置该信号窗口的大小、位置、置顶、放大/还原、层级等；支持查看场景下的信号源列表；支持查看预案、启动预案、停止预案；支持通过鹰眼视图框选大屏局部进行查看和控制；支持查看服务器 cpu、 gpu、内存参数；可实时查看大屏正在播放内容；可在播放信号源内容之前进行预查看，不影响大屏内容当前显示的内容；支持在平板上移动、删除虚拟 LED；支持实时查看大屏显示的内容，可远程操控数据可视化面本、AR 客户端、VR 网页端、第三方业务系统等。</w:t>
            </w:r>
            <w:r>
              <w:rPr>
                <w:rFonts w:hint="eastAsia" w:ascii="宋体" w:hAnsi="宋体" w:cs="宋体"/>
                <w:kern w:val="0"/>
                <w:sz w:val="20"/>
                <w:szCs w:val="20"/>
              </w:rPr>
              <w:br w:type="textWrapping"/>
            </w:r>
            <w:r>
              <w:rPr>
                <w:rFonts w:hint="eastAsia" w:ascii="宋体" w:hAnsi="宋体" w:cs="宋体"/>
                <w:kern w:val="0"/>
                <w:sz w:val="20"/>
                <w:szCs w:val="20"/>
              </w:rPr>
              <w:t>10、软件平台采用模块化设计，实现实时浏览、录像回放、大屏管理、字幕管理、中控管理、音频配置、信息发布等系统互联互通，在同一平台下可对不同功能模块进行操作，实现统一管理。</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洲明、海康威视、利亚德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161</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视频处理器</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1.设备应为纯硬件FPGA架构，CrossPoint全总线交换技术，背板等效带宽，不能内置PC/X86/X64架构硬件，以避免X86/X64架构天然存在的计算可靠性和准确性缺陷以及设备运行不稳定问题。</w:t>
            </w:r>
            <w:r>
              <w:rPr>
                <w:rFonts w:hint="eastAsia" w:ascii="宋体" w:hAnsi="宋体" w:cs="宋体"/>
                <w:kern w:val="0"/>
                <w:sz w:val="20"/>
                <w:szCs w:val="20"/>
              </w:rPr>
              <w:br w:type="textWrapping"/>
            </w:r>
            <w:r>
              <w:rPr>
                <w:rFonts w:hint="eastAsia" w:ascii="宋体" w:hAnsi="宋体" w:cs="宋体"/>
                <w:kern w:val="0"/>
                <w:sz w:val="20"/>
                <w:szCs w:val="20"/>
              </w:rPr>
              <w:t>2.输入输出板卡可热插拔，输入板卡热插拔恢复时间＜2s，输出板卡热插拔恢复时间＜8s。</w:t>
            </w:r>
            <w:r>
              <w:rPr>
                <w:rFonts w:hint="eastAsia" w:ascii="宋体" w:hAnsi="宋体" w:cs="宋体"/>
                <w:kern w:val="0"/>
                <w:sz w:val="20"/>
                <w:szCs w:val="20"/>
              </w:rPr>
              <w:br w:type="textWrapping"/>
            </w:r>
            <w:r>
              <w:rPr>
                <w:rFonts w:hint="eastAsia" w:ascii="宋体" w:hAnsi="宋体" w:cs="宋体"/>
                <w:kern w:val="0"/>
                <w:sz w:val="20"/>
                <w:szCs w:val="20"/>
              </w:rPr>
              <w:t>3.开机时间≤10s，启动电源至输出最总画面的时间间隔。</w:t>
            </w:r>
            <w:r>
              <w:rPr>
                <w:rFonts w:hint="eastAsia" w:ascii="宋体" w:hAnsi="宋体" w:cs="宋体"/>
                <w:kern w:val="0"/>
                <w:sz w:val="20"/>
                <w:szCs w:val="20"/>
              </w:rPr>
              <w:br w:type="textWrapping"/>
            </w:r>
            <w:r>
              <w:rPr>
                <w:rFonts w:hint="eastAsia" w:ascii="宋体" w:hAnsi="宋体" w:cs="宋体"/>
                <w:kern w:val="0"/>
                <w:sz w:val="20"/>
                <w:szCs w:val="20"/>
              </w:rPr>
              <w:t>4、平均故障时间间隔（MTBF）不小于96000小时，保证设备能够稳定运行。</w:t>
            </w:r>
            <w:r>
              <w:rPr>
                <w:rFonts w:hint="eastAsia" w:ascii="宋体" w:hAnsi="宋体" w:cs="宋体"/>
                <w:kern w:val="0"/>
                <w:sz w:val="20"/>
                <w:szCs w:val="20"/>
              </w:rPr>
              <w:br w:type="textWrapping"/>
            </w:r>
            <w:r>
              <w:rPr>
                <w:rFonts w:hint="eastAsia" w:ascii="宋体" w:hAnsi="宋体" w:cs="宋体"/>
                <w:kern w:val="0"/>
                <w:sz w:val="20"/>
                <w:szCs w:val="20"/>
              </w:rPr>
              <w:t>5、最大单机背板信号处理带宽不小于720Gbps。</w:t>
            </w:r>
            <w:r>
              <w:rPr>
                <w:rFonts w:hint="eastAsia" w:ascii="宋体" w:hAnsi="宋体" w:cs="宋体"/>
                <w:kern w:val="0"/>
                <w:sz w:val="20"/>
                <w:szCs w:val="20"/>
              </w:rPr>
              <w:br w:type="textWrapping"/>
            </w:r>
            <w:r>
              <w:rPr>
                <w:rFonts w:hint="eastAsia" w:ascii="宋体" w:hAnsi="宋体" w:cs="宋体"/>
                <w:kern w:val="0"/>
                <w:sz w:val="20"/>
                <w:szCs w:val="20"/>
              </w:rPr>
              <w:t>6.支持集中采集DVI、VGA、CVBS、HDBaseT、HDMI、SDI、YPbPr、光纤等2K信号，Dual-link DVI、HDMI 1.4、DisplayPort等4K信号。</w:t>
            </w:r>
            <w:r>
              <w:rPr>
                <w:rFonts w:hint="eastAsia" w:ascii="宋体" w:hAnsi="宋体" w:cs="宋体"/>
                <w:kern w:val="0"/>
                <w:sz w:val="20"/>
                <w:szCs w:val="20"/>
              </w:rPr>
              <w:br w:type="textWrapping"/>
            </w:r>
            <w:r>
              <w:rPr>
                <w:rFonts w:hint="eastAsia" w:ascii="宋体" w:hAnsi="宋体" w:cs="宋体"/>
                <w:kern w:val="0"/>
                <w:sz w:val="20"/>
                <w:szCs w:val="20"/>
              </w:rPr>
              <w:t>7.支持DVI、HDBaseT、HDMI、SDI、光纤、CVBS、Ypbpr等常见的2K信号输出，Dual-link DVI、HDMI 1.4等4K信号输出。</w:t>
            </w:r>
            <w:r>
              <w:rPr>
                <w:rFonts w:hint="eastAsia" w:ascii="宋体" w:hAnsi="宋体" w:cs="宋体"/>
                <w:kern w:val="0"/>
                <w:sz w:val="20"/>
                <w:szCs w:val="20"/>
              </w:rPr>
              <w:br w:type="textWrapping"/>
            </w:r>
            <w:r>
              <w:rPr>
                <w:rFonts w:hint="eastAsia" w:ascii="宋体" w:hAnsi="宋体" w:cs="宋体"/>
                <w:kern w:val="0"/>
                <w:sz w:val="20"/>
                <w:szCs w:val="20"/>
              </w:rPr>
              <w:t>8.单台设备最大规模支持128路高清输入，144路高清输出，均不需要设备级联。）</w:t>
            </w:r>
            <w:r>
              <w:rPr>
                <w:rFonts w:hint="eastAsia" w:ascii="宋体" w:hAnsi="宋体" w:cs="宋体"/>
                <w:kern w:val="0"/>
                <w:sz w:val="20"/>
                <w:szCs w:val="20"/>
              </w:rPr>
              <w:br w:type="textWrapping"/>
            </w:r>
            <w:r>
              <w:rPr>
                <w:rFonts w:hint="eastAsia" w:ascii="宋体" w:hAnsi="宋体" w:cs="宋体"/>
                <w:kern w:val="0"/>
                <w:sz w:val="20"/>
                <w:szCs w:val="20"/>
              </w:rPr>
              <w:t>9.设备具备静态底图功能，设备支持超大分辨率底图显示，横纵分辨率最大65535像素。</w:t>
            </w:r>
            <w:r>
              <w:rPr>
                <w:rFonts w:hint="eastAsia" w:ascii="宋体" w:hAnsi="宋体" w:cs="宋体"/>
                <w:kern w:val="0"/>
                <w:sz w:val="20"/>
                <w:szCs w:val="20"/>
              </w:rPr>
              <w:br w:type="textWrapping"/>
            </w:r>
            <w:r>
              <w:rPr>
                <w:rFonts w:hint="eastAsia" w:ascii="宋体" w:hAnsi="宋体" w:cs="宋体"/>
                <w:kern w:val="0"/>
                <w:sz w:val="20"/>
                <w:szCs w:val="20"/>
              </w:rPr>
              <w:t>10.支持设置拼接屏的拼缝补偿，可精确到1个像素。</w:t>
            </w:r>
            <w:r>
              <w:rPr>
                <w:rFonts w:hint="eastAsia" w:ascii="宋体" w:hAnsi="宋体" w:cs="宋体"/>
                <w:kern w:val="0"/>
                <w:sz w:val="20"/>
                <w:szCs w:val="20"/>
              </w:rPr>
              <w:br w:type="textWrapping"/>
            </w:r>
            <w:r>
              <w:rPr>
                <w:rFonts w:hint="eastAsia" w:ascii="宋体" w:hAnsi="宋体" w:cs="宋体"/>
                <w:kern w:val="0"/>
                <w:sz w:val="20"/>
                <w:szCs w:val="20"/>
              </w:rPr>
              <w:t>11.具备7x24 小时长时间连续开机工作的能力。</w:t>
            </w:r>
            <w:r>
              <w:rPr>
                <w:rFonts w:hint="eastAsia" w:ascii="宋体" w:hAnsi="宋体" w:cs="宋体"/>
                <w:kern w:val="0"/>
                <w:sz w:val="20"/>
                <w:szCs w:val="20"/>
              </w:rPr>
              <w:br w:type="textWrapping"/>
            </w:r>
            <w:r>
              <w:rPr>
                <w:rFonts w:hint="eastAsia" w:ascii="宋体" w:hAnsi="宋体" w:cs="宋体"/>
                <w:kern w:val="0"/>
                <w:sz w:val="20"/>
                <w:szCs w:val="20"/>
              </w:rPr>
              <w:t>12.支持视频网络运维管理协议，实时监测设备的运行状态，对设备异常情况进行报警。</w:t>
            </w:r>
            <w:r>
              <w:rPr>
                <w:rFonts w:hint="eastAsia" w:ascii="宋体" w:hAnsi="宋体" w:cs="宋体"/>
                <w:kern w:val="0"/>
                <w:sz w:val="20"/>
                <w:szCs w:val="20"/>
              </w:rPr>
              <w:br w:type="textWrapping"/>
            </w:r>
            <w:r>
              <w:rPr>
                <w:rFonts w:hint="eastAsia" w:ascii="宋体" w:hAnsi="宋体" w:cs="宋体"/>
                <w:kern w:val="0"/>
                <w:sz w:val="20"/>
                <w:szCs w:val="20"/>
              </w:rPr>
              <w:t>13.产品生产厂家应具有GB/T 28001-2011 idt OHSAS 18001:2007职业健康安全管理体系认证 14.可联控市面主流品牌矩阵切换器，开放联控接口。</w:t>
            </w:r>
            <w:r>
              <w:rPr>
                <w:rFonts w:hint="eastAsia" w:ascii="宋体" w:hAnsi="宋体" w:cs="宋体"/>
                <w:kern w:val="0"/>
                <w:sz w:val="20"/>
                <w:szCs w:val="20"/>
              </w:rPr>
              <w:br w:type="textWrapping"/>
            </w:r>
            <w:r>
              <w:rPr>
                <w:rFonts w:hint="eastAsia" w:ascii="宋体" w:hAnsi="宋体" w:cs="宋体"/>
                <w:kern w:val="0"/>
                <w:sz w:val="20"/>
                <w:szCs w:val="20"/>
              </w:rPr>
              <w:t>15.支持集成中控功能，实现对大屏幕的开关控制。</w:t>
            </w:r>
            <w:r>
              <w:rPr>
                <w:rFonts w:hint="eastAsia" w:ascii="宋体" w:hAnsi="宋体" w:cs="宋体"/>
                <w:kern w:val="0"/>
                <w:sz w:val="20"/>
                <w:szCs w:val="20"/>
              </w:rPr>
              <w:br w:type="textWrapping"/>
            </w:r>
            <w:r>
              <w:rPr>
                <w:rFonts w:hint="eastAsia" w:ascii="宋体" w:hAnsi="宋体" w:cs="宋体"/>
                <w:kern w:val="0"/>
                <w:sz w:val="20"/>
                <w:szCs w:val="20"/>
              </w:rPr>
              <w:t>16.支持 RS232串口和网络TCP/IP控制，开放控制协议，可与各品牌中控系统轻松集成。</w:t>
            </w:r>
            <w:r>
              <w:rPr>
                <w:rFonts w:hint="eastAsia" w:ascii="宋体" w:hAnsi="宋体" w:cs="宋体"/>
                <w:kern w:val="0"/>
                <w:sz w:val="20"/>
                <w:szCs w:val="20"/>
              </w:rPr>
              <w:br w:type="textWrapping"/>
            </w:r>
            <w:r>
              <w:rPr>
                <w:rFonts w:hint="eastAsia" w:ascii="宋体" w:hAnsi="宋体" w:cs="宋体"/>
                <w:kern w:val="0"/>
                <w:sz w:val="20"/>
                <w:szCs w:val="20"/>
              </w:rPr>
              <w:t>17.支持移动终端软件控制，不用外加中控直接实现场景调取等功能。</w:t>
            </w:r>
            <w:r>
              <w:rPr>
                <w:rFonts w:hint="eastAsia" w:ascii="宋体" w:hAnsi="宋体" w:cs="宋体"/>
                <w:kern w:val="0"/>
                <w:sz w:val="20"/>
                <w:szCs w:val="20"/>
              </w:rPr>
              <w:br w:type="textWrapping"/>
            </w:r>
            <w:r>
              <w:rPr>
                <w:rFonts w:hint="eastAsia" w:ascii="宋体" w:hAnsi="宋体" w:cs="宋体"/>
                <w:kern w:val="0"/>
                <w:sz w:val="20"/>
                <w:szCs w:val="20"/>
              </w:rPr>
              <w:t>18.支持故障检测功能，支持输入信号丢失检测，使用灰色标示。</w:t>
            </w:r>
            <w:r>
              <w:rPr>
                <w:rFonts w:hint="eastAsia" w:ascii="宋体" w:hAnsi="宋体" w:cs="宋体"/>
                <w:kern w:val="0"/>
                <w:sz w:val="20"/>
                <w:szCs w:val="20"/>
              </w:rPr>
              <w:br w:type="textWrapping"/>
            </w:r>
            <w:r>
              <w:rPr>
                <w:rFonts w:hint="eastAsia" w:ascii="宋体" w:hAnsi="宋体" w:cs="宋体"/>
                <w:kern w:val="0"/>
                <w:sz w:val="20"/>
                <w:szCs w:val="20"/>
              </w:rPr>
              <w:t>19.软件支持Windows操作系统和麒麟操作系统。</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洲明、海康威视、利亚德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162</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机柜</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42U机柜600*600</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洲明、海康威视、利亚德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163</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辅材</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含插头、VGA连接线、HDMI线、电源插座等</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164</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restart"/>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展示中心</w:t>
            </w: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显示屏（驾驶舱）</w:t>
            </w:r>
          </w:p>
        </w:tc>
        <w:tc>
          <w:tcPr>
            <w:tcW w:w="8222" w:type="dxa"/>
            <w:noWrap w:val="0"/>
            <w:vAlign w:val="center"/>
          </w:tcPr>
          <w:p>
            <w:pPr>
              <w:widowControl/>
              <w:snapToGrid w:val="0"/>
              <w:jc w:val="left"/>
              <w:rPr>
                <w:rFonts w:ascii="宋体" w:hAnsi="宋体" w:cs="宋体"/>
                <w:kern w:val="0"/>
                <w:sz w:val="20"/>
                <w:szCs w:val="20"/>
                <w:highlight w:val="yellow"/>
              </w:rPr>
            </w:pPr>
            <w:r>
              <w:rPr>
                <w:rFonts w:hint="eastAsia" w:ascii="宋体" w:hAnsi="宋体" w:cs="宋体"/>
                <w:kern w:val="0"/>
                <w:sz w:val="20"/>
                <w:szCs w:val="20"/>
              </w:rPr>
              <w:t>像素结构 表贴三合一 SMD1515黑灯</w:t>
            </w:r>
            <w:r>
              <w:rPr>
                <w:rFonts w:hint="eastAsia" w:ascii="宋体" w:hAnsi="宋体" w:cs="宋体"/>
                <w:kern w:val="0"/>
                <w:sz w:val="20"/>
                <w:szCs w:val="20"/>
              </w:rPr>
              <w:br w:type="textWrapping"/>
            </w:r>
            <w:r>
              <w:rPr>
                <w:rFonts w:hint="eastAsia" w:ascii="宋体" w:hAnsi="宋体" w:cs="宋体"/>
                <w:kern w:val="0"/>
                <w:sz w:val="20"/>
                <w:szCs w:val="20"/>
              </w:rPr>
              <w:t>像素间距（mm） 2.0</w:t>
            </w:r>
            <w:r>
              <w:rPr>
                <w:rFonts w:hint="eastAsia" w:ascii="宋体" w:hAnsi="宋体" w:cs="宋体"/>
                <w:kern w:val="0"/>
                <w:sz w:val="20"/>
                <w:szCs w:val="20"/>
              </w:rPr>
              <w:br w:type="textWrapping"/>
            </w:r>
            <w:r>
              <w:rPr>
                <w:rFonts w:hint="eastAsia" w:ascii="宋体" w:hAnsi="宋体" w:cs="宋体"/>
                <w:kern w:val="0"/>
                <w:sz w:val="20"/>
                <w:szCs w:val="20"/>
              </w:rPr>
              <w:t>像素密度（点/m2 ） 250000</w:t>
            </w:r>
            <w:r>
              <w:rPr>
                <w:rFonts w:hint="eastAsia" w:ascii="宋体" w:hAnsi="宋体" w:cs="宋体"/>
                <w:kern w:val="0"/>
                <w:sz w:val="20"/>
                <w:szCs w:val="20"/>
              </w:rPr>
              <w:br w:type="textWrapping"/>
            </w:r>
            <w:r>
              <w:rPr>
                <w:rFonts w:hint="eastAsia" w:ascii="宋体" w:hAnsi="宋体" w:cs="宋体"/>
                <w:kern w:val="0"/>
                <w:sz w:val="20"/>
                <w:szCs w:val="20"/>
              </w:rPr>
              <w:t>维护方式 磁吸前维护</w:t>
            </w:r>
            <w:r>
              <w:rPr>
                <w:rFonts w:hint="eastAsia" w:ascii="宋体" w:hAnsi="宋体" w:cs="宋体"/>
                <w:kern w:val="0"/>
                <w:sz w:val="20"/>
                <w:szCs w:val="20"/>
              </w:rPr>
              <w:br w:type="textWrapping"/>
            </w:r>
            <w:r>
              <w:rPr>
                <w:rFonts w:hint="eastAsia" w:ascii="宋体" w:hAnsi="宋体" w:cs="宋体"/>
                <w:kern w:val="0"/>
                <w:sz w:val="20"/>
                <w:szCs w:val="20"/>
              </w:rPr>
              <w:t>显示屏亮度（nits） 600</w:t>
            </w:r>
            <w:r>
              <w:rPr>
                <w:rFonts w:hint="eastAsia" w:ascii="宋体" w:hAnsi="宋体" w:cs="宋体"/>
                <w:kern w:val="0"/>
                <w:sz w:val="20"/>
                <w:szCs w:val="20"/>
              </w:rPr>
              <w:br w:type="textWrapping"/>
            </w:r>
            <w:r>
              <w:rPr>
                <w:rFonts w:hint="eastAsia" w:ascii="宋体" w:hAnsi="宋体" w:cs="宋体"/>
                <w:kern w:val="0"/>
                <w:sz w:val="20"/>
                <w:szCs w:val="20"/>
              </w:rPr>
              <w:t>色温（K） 8000—19000 可调</w:t>
            </w:r>
            <w:r>
              <w:rPr>
                <w:rFonts w:hint="eastAsia" w:ascii="宋体" w:hAnsi="宋体" w:cs="宋体"/>
                <w:kern w:val="0"/>
                <w:sz w:val="20"/>
                <w:szCs w:val="20"/>
              </w:rPr>
              <w:br w:type="textWrapping"/>
            </w:r>
            <w:r>
              <w:rPr>
                <w:rFonts w:hint="eastAsia" w:ascii="宋体" w:hAnsi="宋体" w:cs="宋体"/>
                <w:kern w:val="0"/>
                <w:sz w:val="20"/>
                <w:szCs w:val="20"/>
              </w:rPr>
              <w:t>水平视角（°） 160</w:t>
            </w:r>
            <w:r>
              <w:rPr>
                <w:rFonts w:hint="eastAsia" w:ascii="宋体" w:hAnsi="宋体" w:cs="宋体"/>
                <w:kern w:val="0"/>
                <w:sz w:val="20"/>
                <w:szCs w:val="20"/>
              </w:rPr>
              <w:br w:type="textWrapping"/>
            </w:r>
            <w:r>
              <w:rPr>
                <w:rFonts w:hint="eastAsia" w:ascii="宋体" w:hAnsi="宋体" w:cs="宋体"/>
                <w:kern w:val="0"/>
                <w:sz w:val="20"/>
                <w:szCs w:val="20"/>
              </w:rPr>
              <w:t>垂直视角（°） 160</w:t>
            </w:r>
            <w:r>
              <w:rPr>
                <w:rFonts w:hint="eastAsia" w:ascii="宋体" w:hAnsi="宋体" w:cs="宋体"/>
                <w:kern w:val="0"/>
                <w:sz w:val="20"/>
                <w:szCs w:val="20"/>
              </w:rPr>
              <w:br w:type="textWrapping"/>
            </w:r>
            <w:r>
              <w:rPr>
                <w:rFonts w:hint="eastAsia" w:ascii="宋体" w:hAnsi="宋体" w:cs="宋体"/>
                <w:kern w:val="0"/>
                <w:sz w:val="20"/>
                <w:szCs w:val="20"/>
              </w:rPr>
              <w:t>对比度 4000:1</w:t>
            </w:r>
            <w:r>
              <w:rPr>
                <w:rFonts w:hint="eastAsia" w:ascii="宋体" w:hAnsi="宋体" w:cs="宋体"/>
                <w:kern w:val="0"/>
                <w:sz w:val="20"/>
                <w:szCs w:val="20"/>
              </w:rPr>
              <w:br w:type="textWrapping"/>
            </w:r>
            <w:r>
              <w:rPr>
                <w:rFonts w:hint="eastAsia" w:ascii="宋体" w:hAnsi="宋体" w:cs="宋体"/>
                <w:kern w:val="0"/>
                <w:sz w:val="20"/>
                <w:szCs w:val="20"/>
              </w:rPr>
              <w:t>亮度均匀性 ≥97%</w:t>
            </w:r>
            <w:r>
              <w:rPr>
                <w:rFonts w:hint="eastAsia" w:ascii="宋体" w:hAnsi="宋体" w:cs="宋体"/>
                <w:kern w:val="0"/>
                <w:sz w:val="20"/>
                <w:szCs w:val="20"/>
              </w:rPr>
              <w:br w:type="textWrapping"/>
            </w:r>
            <w:r>
              <w:rPr>
                <w:rFonts w:hint="eastAsia" w:ascii="宋体" w:hAnsi="宋体" w:cs="宋体"/>
                <w:kern w:val="0"/>
                <w:sz w:val="20"/>
                <w:szCs w:val="20"/>
              </w:rPr>
              <w:t>色度均匀性 ±0.003Cx,Cy 之内</w:t>
            </w:r>
            <w:r>
              <w:rPr>
                <w:rFonts w:hint="eastAsia" w:ascii="宋体" w:hAnsi="宋体" w:cs="宋体"/>
                <w:kern w:val="0"/>
                <w:sz w:val="20"/>
                <w:szCs w:val="20"/>
              </w:rPr>
              <w:br w:type="textWrapping"/>
            </w:r>
            <w:r>
              <w:rPr>
                <w:rFonts w:hint="eastAsia" w:ascii="宋体" w:hAnsi="宋体" w:cs="宋体"/>
                <w:kern w:val="0"/>
                <w:sz w:val="20"/>
                <w:szCs w:val="20"/>
              </w:rPr>
              <w:t>最佳视距（m） ≥2</w:t>
            </w:r>
            <w:r>
              <w:rPr>
                <w:rFonts w:hint="eastAsia" w:ascii="宋体" w:hAnsi="宋体" w:cs="宋体"/>
                <w:kern w:val="0"/>
                <w:sz w:val="20"/>
                <w:szCs w:val="20"/>
              </w:rPr>
              <w:br w:type="textWrapping"/>
            </w:r>
            <w:r>
              <w:rPr>
                <w:rFonts w:hint="eastAsia" w:ascii="宋体" w:hAnsi="宋体" w:cs="宋体"/>
                <w:kern w:val="0"/>
                <w:sz w:val="20"/>
                <w:szCs w:val="20"/>
              </w:rPr>
              <w:t>峰值功耗（W/m2） 410</w:t>
            </w:r>
            <w:r>
              <w:rPr>
                <w:rFonts w:hint="eastAsia" w:ascii="宋体" w:hAnsi="宋体" w:cs="宋体"/>
                <w:kern w:val="0"/>
                <w:sz w:val="20"/>
                <w:szCs w:val="20"/>
              </w:rPr>
              <w:br w:type="textWrapping"/>
            </w:r>
            <w:r>
              <w:rPr>
                <w:rFonts w:hint="eastAsia" w:ascii="宋体" w:hAnsi="宋体" w:cs="宋体"/>
                <w:kern w:val="0"/>
                <w:sz w:val="20"/>
                <w:szCs w:val="20"/>
              </w:rPr>
              <w:t>平均功耗（W/m2） 205</w:t>
            </w:r>
            <w:r>
              <w:rPr>
                <w:rFonts w:hint="eastAsia" w:ascii="宋体" w:hAnsi="宋体" w:cs="宋体"/>
                <w:kern w:val="0"/>
                <w:sz w:val="20"/>
                <w:szCs w:val="20"/>
              </w:rPr>
              <w:br w:type="textWrapping"/>
            </w:r>
            <w:r>
              <w:rPr>
                <w:rFonts w:hint="eastAsia" w:ascii="宋体" w:hAnsi="宋体" w:cs="宋体"/>
                <w:kern w:val="0"/>
                <w:sz w:val="20"/>
                <w:szCs w:val="20"/>
              </w:rPr>
              <w:t>供电要求     AC220-240V</w:t>
            </w:r>
            <w:r>
              <w:rPr>
                <w:rFonts w:hint="eastAsia" w:ascii="宋体" w:hAnsi="宋体" w:cs="宋体"/>
                <w:kern w:val="0"/>
                <w:sz w:val="20"/>
                <w:szCs w:val="20"/>
              </w:rPr>
              <w:br w:type="textWrapping"/>
            </w:r>
            <w:r>
              <w:rPr>
                <w:rFonts w:hint="eastAsia" w:ascii="宋体" w:hAnsi="宋体" w:cs="宋体"/>
                <w:kern w:val="0"/>
                <w:sz w:val="20"/>
                <w:szCs w:val="20"/>
              </w:rPr>
              <w:t xml:space="preserve">驱动方式   恒流驱动 </w:t>
            </w:r>
            <w:r>
              <w:rPr>
                <w:rFonts w:hint="eastAsia" w:ascii="宋体" w:hAnsi="宋体" w:cs="宋体"/>
                <w:kern w:val="0"/>
                <w:sz w:val="20"/>
                <w:szCs w:val="20"/>
              </w:rPr>
              <w:br w:type="textWrapping"/>
            </w:r>
            <w:r>
              <w:rPr>
                <w:rFonts w:hint="eastAsia" w:ascii="宋体" w:hAnsi="宋体" w:cs="宋体"/>
                <w:kern w:val="0"/>
                <w:sz w:val="20"/>
                <w:szCs w:val="20"/>
              </w:rPr>
              <w:t>换帧频率（Hz） 60</w:t>
            </w:r>
            <w:r>
              <w:rPr>
                <w:rFonts w:hint="eastAsia" w:ascii="宋体" w:hAnsi="宋体" w:cs="宋体"/>
                <w:kern w:val="0"/>
                <w:sz w:val="20"/>
                <w:szCs w:val="20"/>
              </w:rPr>
              <w:br w:type="textWrapping"/>
            </w:r>
            <w:r>
              <w:rPr>
                <w:rFonts w:hint="eastAsia" w:ascii="宋体" w:hAnsi="宋体" w:cs="宋体"/>
                <w:kern w:val="0"/>
                <w:sz w:val="20"/>
                <w:szCs w:val="20"/>
              </w:rPr>
              <w:t>刷新率（Hz） ≥3840</w:t>
            </w:r>
            <w:r>
              <w:rPr>
                <w:rFonts w:hint="eastAsia" w:ascii="宋体" w:hAnsi="宋体" w:cs="宋体"/>
                <w:kern w:val="0"/>
                <w:sz w:val="20"/>
                <w:szCs w:val="20"/>
              </w:rPr>
              <w:br w:type="textWrapping"/>
            </w:r>
            <w:r>
              <w:rPr>
                <w:rFonts w:hint="eastAsia" w:ascii="宋体" w:hAnsi="宋体" w:cs="宋体"/>
                <w:kern w:val="0"/>
                <w:sz w:val="20"/>
                <w:szCs w:val="20"/>
              </w:rPr>
              <w:t xml:space="preserve">工作温度范围（℃） -10—40   </w:t>
            </w:r>
            <w:r>
              <w:rPr>
                <w:rFonts w:hint="eastAsia" w:ascii="宋体" w:hAnsi="宋体" w:cs="宋体"/>
                <w:kern w:val="0"/>
                <w:sz w:val="20"/>
                <w:szCs w:val="20"/>
              </w:rPr>
              <w:br w:type="textWrapping"/>
            </w:r>
            <w:r>
              <w:rPr>
                <w:rFonts w:hint="eastAsia" w:ascii="宋体" w:hAnsi="宋体" w:cs="宋体"/>
                <w:kern w:val="0"/>
                <w:sz w:val="20"/>
                <w:szCs w:val="20"/>
              </w:rPr>
              <w:t>工作湿度范围（RH）无结露 10-80%</w:t>
            </w:r>
            <w:r>
              <w:rPr>
                <w:rFonts w:hint="eastAsia" w:ascii="宋体" w:hAnsi="宋体" w:cs="宋体"/>
                <w:kern w:val="0"/>
                <w:sz w:val="20"/>
                <w:szCs w:val="20"/>
              </w:rPr>
              <w:br w:type="textWrapping"/>
            </w:r>
            <w:r>
              <w:rPr>
                <w:rFonts w:hint="eastAsia" w:ascii="宋体" w:hAnsi="宋体" w:cs="宋体"/>
                <w:kern w:val="0"/>
                <w:sz w:val="20"/>
                <w:szCs w:val="20"/>
              </w:rPr>
              <w:t>信号接口 HUB 75E接口</w:t>
            </w:r>
            <w:r>
              <w:rPr>
                <w:rFonts w:hint="eastAsia" w:ascii="宋体" w:hAnsi="宋体" w:cs="宋体"/>
                <w:kern w:val="0"/>
                <w:sz w:val="20"/>
                <w:szCs w:val="20"/>
              </w:rPr>
              <w:br w:type="textWrapping"/>
            </w:r>
            <w:r>
              <w:rPr>
                <w:rFonts w:hint="eastAsia" w:ascii="宋体" w:hAnsi="宋体" w:cs="宋体"/>
                <w:kern w:val="0"/>
                <w:sz w:val="20"/>
                <w:szCs w:val="20"/>
              </w:rPr>
              <w:t xml:space="preserve">电源接口 VH4PIN      </w:t>
            </w:r>
            <w:r>
              <w:rPr>
                <w:rFonts w:hint="eastAsia" w:ascii="宋体" w:hAnsi="宋体" w:cs="宋体"/>
                <w:kern w:val="0"/>
                <w:sz w:val="20"/>
                <w:szCs w:val="20"/>
              </w:rPr>
              <w:br w:type="textWrapping"/>
            </w:r>
            <w:r>
              <w:rPr>
                <w:rFonts w:hint="eastAsia" w:ascii="宋体" w:hAnsi="宋体" w:cs="宋体"/>
                <w:kern w:val="0"/>
                <w:sz w:val="20"/>
                <w:szCs w:val="20"/>
              </w:rPr>
              <w:t>显示屏具备20条以上可选择的</w:t>
            </w:r>
            <w:r>
              <w:rPr>
                <w:rFonts w:ascii="Calibri" w:hAnsi="Calibri" w:cs="Calibri"/>
                <w:kern w:val="0"/>
                <w:sz w:val="20"/>
                <w:szCs w:val="20"/>
              </w:rPr>
              <w:t>γ</w:t>
            </w:r>
            <w:r>
              <w:rPr>
                <w:rFonts w:hint="eastAsia" w:ascii="宋体" w:hAnsi="宋体" w:cs="宋体"/>
                <w:kern w:val="0"/>
                <w:sz w:val="20"/>
                <w:szCs w:val="20"/>
              </w:rPr>
              <w:t>校正曲线，用户可根据要求自行调整</w:t>
            </w:r>
            <w:r>
              <w:rPr>
                <w:rFonts w:hint="eastAsia" w:ascii="宋体" w:hAnsi="宋体" w:cs="宋体"/>
                <w:kern w:val="0"/>
                <w:sz w:val="20"/>
                <w:szCs w:val="20"/>
              </w:rPr>
              <w:br w:type="textWrapping"/>
            </w:r>
            <w:r>
              <w:rPr>
                <w:rFonts w:hint="eastAsia" w:ascii="宋体" w:hAnsi="宋体" w:cs="宋体"/>
                <w:kern w:val="0"/>
                <w:sz w:val="20"/>
                <w:szCs w:val="20"/>
              </w:rPr>
              <w:t>LED显示屏控制系统的信号发送/转接/接收卡必须做环路冗余备 份，信号支持双回路热备份自动转换，单元箱体采用双冗余电源 供电，具有自动切换功能；视频及控制信号采用菊花链式环接。</w:t>
            </w:r>
          </w:p>
          <w:p>
            <w:pPr>
              <w:widowControl/>
              <w:snapToGrid w:val="0"/>
              <w:jc w:val="left"/>
              <w:rPr>
                <w:rFonts w:ascii="宋体" w:hAnsi="宋体" w:cs="宋体"/>
                <w:b/>
                <w:bCs/>
                <w:kern w:val="0"/>
                <w:sz w:val="20"/>
                <w:szCs w:val="20"/>
              </w:rPr>
            </w:pPr>
            <w:r>
              <w:rPr>
                <w:rFonts w:hint="eastAsia" w:ascii="宋体" w:hAnsi="宋体" w:cs="宋体"/>
                <w:b/>
                <w:bCs/>
                <w:kern w:val="0"/>
                <w:sz w:val="20"/>
                <w:szCs w:val="20"/>
              </w:rPr>
              <w:t>LED显示屏控制系统的信号发送/转接/接收卡必须做环路冗余备 份，信号支持双回路热备份自动转换，单元箱体采用双冗余电源 供电，具有自动切换功能；视频及控制信号采用菊花链式环接。（提供封面具有ilac-MRA、CNAS、CMA、标识盖章的权威检测报告）</w:t>
            </w:r>
          </w:p>
          <w:p>
            <w:pPr>
              <w:widowControl/>
              <w:snapToGrid w:val="0"/>
              <w:jc w:val="left"/>
              <w:rPr>
                <w:rFonts w:ascii="宋体" w:hAnsi="宋体" w:cs="宋体"/>
                <w:kern w:val="0"/>
                <w:sz w:val="20"/>
                <w:szCs w:val="20"/>
              </w:rPr>
            </w:pPr>
            <w:r>
              <w:rPr>
                <w:rFonts w:hint="eastAsia" w:ascii="宋体" w:hAnsi="宋体" w:cs="宋体"/>
                <w:kern w:val="0"/>
                <w:sz w:val="20"/>
                <w:szCs w:val="20"/>
              </w:rPr>
              <w:t>支持多bin色度校正，校正数据存储在模组里，采用色彩管理系统，在LED控制系统对视频解码后，添加二次过滤显示算法，对显示屏每一个发光二极管进行逐点14位颜色校正。</w:t>
            </w:r>
          </w:p>
          <w:p>
            <w:pPr>
              <w:widowControl/>
              <w:snapToGrid w:val="0"/>
              <w:jc w:val="left"/>
              <w:rPr>
                <w:rFonts w:hint="eastAsia" w:ascii="宋体" w:hAnsi="宋体" w:cs="宋体"/>
                <w:kern w:val="0"/>
                <w:sz w:val="20"/>
                <w:szCs w:val="20"/>
              </w:rPr>
            </w:pPr>
            <w:r>
              <w:rPr>
                <w:rFonts w:hint="eastAsia" w:ascii="宋体" w:hAnsi="宋体" w:cs="宋体"/>
                <w:kern w:val="0"/>
                <w:sz w:val="20"/>
                <w:szCs w:val="20"/>
              </w:rPr>
              <w:t>显示屏符合HDR显示认证技术规范CESI/TS008-2016.</w:t>
            </w:r>
          </w:p>
          <w:p>
            <w:pPr>
              <w:widowControl/>
              <w:snapToGrid w:val="0"/>
              <w:jc w:val="left"/>
              <w:rPr>
                <w:rFonts w:ascii="宋体" w:hAnsi="宋体" w:cs="宋体"/>
                <w:kern w:val="0"/>
                <w:sz w:val="20"/>
                <w:szCs w:val="20"/>
              </w:rPr>
            </w:pPr>
            <w:r>
              <w:rPr>
                <w:rFonts w:hint="eastAsia" w:ascii="宋体" w:hAnsi="宋体" w:cs="宋体"/>
                <w:kern w:val="0"/>
                <w:sz w:val="20"/>
                <w:szCs w:val="20"/>
              </w:rPr>
              <w:t>显示屏具有TUV认证中心出具的低蓝光认证证书。</w:t>
            </w:r>
          </w:p>
          <w:p>
            <w:pPr>
              <w:widowControl/>
              <w:snapToGrid w:val="0"/>
              <w:jc w:val="left"/>
              <w:rPr>
                <w:rFonts w:ascii="宋体" w:hAnsi="宋体" w:cs="宋体"/>
                <w:kern w:val="0"/>
                <w:sz w:val="20"/>
                <w:szCs w:val="20"/>
              </w:rPr>
            </w:pPr>
            <w:r>
              <w:rPr>
                <w:rFonts w:hint="eastAsia" w:ascii="宋体" w:hAnsi="宋体" w:cs="宋体"/>
                <w:kern w:val="0"/>
                <w:sz w:val="20"/>
                <w:szCs w:val="20"/>
              </w:rPr>
              <w:t>显示屏具有视觉低疲劳电子产品认证证书</w:t>
            </w:r>
          </w:p>
          <w:p>
            <w:pPr>
              <w:widowControl/>
              <w:snapToGrid w:val="0"/>
              <w:jc w:val="left"/>
              <w:rPr>
                <w:rFonts w:ascii="宋体" w:hAnsi="宋体" w:cs="宋体"/>
                <w:kern w:val="0"/>
                <w:sz w:val="20"/>
                <w:szCs w:val="20"/>
              </w:rPr>
            </w:pPr>
            <w:r>
              <w:rPr>
                <w:rFonts w:hint="eastAsia" w:ascii="宋体" w:hAnsi="宋体" w:cs="宋体"/>
                <w:kern w:val="0"/>
                <w:sz w:val="20"/>
                <w:szCs w:val="20"/>
              </w:rPr>
              <w:t>显示屏厂家具有产品及平台开发体系CMMI5证书和中国软件行业信用AAA级证书</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12</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洲明、海康威视、利亚德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165</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接收卡</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集成16个标准HUB75接口，免接HUB板</w:t>
            </w:r>
            <w:r>
              <w:rPr>
                <w:rFonts w:hint="eastAsia" w:ascii="宋体" w:hAnsi="宋体" w:cs="宋体"/>
                <w:kern w:val="0"/>
                <w:sz w:val="20"/>
                <w:szCs w:val="20"/>
              </w:rPr>
              <w:br w:type="textWrapping"/>
            </w:r>
            <w:r>
              <w:rPr>
                <w:rFonts w:hint="eastAsia" w:ascii="宋体" w:hAnsi="宋体" w:cs="宋体"/>
                <w:kern w:val="0"/>
                <w:sz w:val="20"/>
                <w:szCs w:val="20"/>
              </w:rPr>
              <w:t>采用千兆网口通信，可以连接PC</w:t>
            </w:r>
            <w:r>
              <w:rPr>
                <w:rFonts w:hint="eastAsia" w:ascii="宋体" w:hAnsi="宋体" w:cs="宋体"/>
                <w:kern w:val="0"/>
                <w:sz w:val="20"/>
                <w:szCs w:val="20"/>
              </w:rPr>
              <w:br w:type="textWrapping"/>
            </w:r>
            <w:r>
              <w:rPr>
                <w:rFonts w:hint="eastAsia" w:ascii="宋体" w:hAnsi="宋体" w:cs="宋体"/>
                <w:kern w:val="0"/>
                <w:sz w:val="20"/>
                <w:szCs w:val="20"/>
              </w:rPr>
              <w:t>支持亮色度逐点校正</w:t>
            </w:r>
            <w:r>
              <w:rPr>
                <w:rFonts w:hint="eastAsia" w:ascii="宋体" w:hAnsi="宋体" w:cs="宋体"/>
                <w:kern w:val="0"/>
                <w:sz w:val="20"/>
                <w:szCs w:val="20"/>
              </w:rPr>
              <w:br w:type="textWrapping"/>
            </w:r>
            <w:r>
              <w:rPr>
                <w:rFonts w:hint="eastAsia" w:ascii="宋体" w:hAnsi="宋体" w:cs="宋体"/>
                <w:kern w:val="0"/>
                <w:sz w:val="20"/>
                <w:szCs w:val="20"/>
              </w:rPr>
              <w:t>支持接收卡预存画面设置。</w:t>
            </w:r>
            <w:r>
              <w:rPr>
                <w:rFonts w:hint="eastAsia" w:ascii="宋体" w:hAnsi="宋体" w:cs="宋体"/>
                <w:kern w:val="0"/>
                <w:sz w:val="20"/>
                <w:szCs w:val="20"/>
              </w:rPr>
              <w:br w:type="textWrapping"/>
            </w:r>
            <w:r>
              <w:rPr>
                <w:rFonts w:hint="eastAsia" w:ascii="宋体" w:hAnsi="宋体" w:cs="宋体"/>
                <w:kern w:val="0"/>
                <w:sz w:val="20"/>
                <w:szCs w:val="20"/>
              </w:rPr>
              <w:t>支持温度、电压、网线通讯和视频源信号状态检测。</w:t>
            </w:r>
            <w:r>
              <w:rPr>
                <w:rFonts w:hint="eastAsia" w:ascii="宋体" w:hAnsi="宋体" w:cs="宋体"/>
                <w:kern w:val="0"/>
                <w:sz w:val="20"/>
                <w:szCs w:val="20"/>
              </w:rPr>
              <w:br w:type="textWrapping"/>
            </w:r>
            <w:r>
              <w:rPr>
                <w:rFonts w:hint="eastAsia" w:ascii="宋体" w:hAnsi="宋体" w:cs="宋体"/>
                <w:kern w:val="0"/>
                <w:sz w:val="20"/>
                <w:szCs w:val="20"/>
              </w:rPr>
              <w:t>支持 5Pin 液晶模块</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洲明、海康威视、利亚德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166</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LED拼接服务器</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集成发送卡、视频处理、U盘播放功能于一体；</w:t>
            </w:r>
            <w:r>
              <w:rPr>
                <w:rFonts w:hint="eastAsia" w:ascii="宋体" w:hAnsi="宋体" w:cs="宋体"/>
                <w:kern w:val="0"/>
                <w:sz w:val="20"/>
                <w:szCs w:val="20"/>
              </w:rPr>
              <w:br w:type="textWrapping"/>
            </w:r>
            <w:r>
              <w:rPr>
                <w:rFonts w:hint="eastAsia" w:ascii="宋体" w:hAnsi="宋体" w:cs="宋体"/>
                <w:kern w:val="0"/>
                <w:sz w:val="20"/>
                <w:szCs w:val="20"/>
              </w:rPr>
              <w:t>支持 1 路 3G-SDI，2 路 HDMI1.3，1 路 DVI，1 路 USB 播放</w:t>
            </w:r>
            <w:r>
              <w:rPr>
                <w:rFonts w:hint="eastAsia" w:ascii="宋体" w:hAnsi="宋体" w:cs="宋体"/>
                <w:kern w:val="0"/>
                <w:sz w:val="20"/>
                <w:szCs w:val="20"/>
              </w:rPr>
              <w:br w:type="textWrapping"/>
            </w:r>
            <w:r>
              <w:rPr>
                <w:rFonts w:hint="eastAsia" w:ascii="宋体" w:hAnsi="宋体" w:cs="宋体"/>
                <w:kern w:val="0"/>
                <w:sz w:val="20"/>
                <w:szCs w:val="20"/>
              </w:rPr>
              <w:t>支持6路网口输出，390万像素带载；</w:t>
            </w:r>
            <w:r>
              <w:rPr>
                <w:rFonts w:hint="eastAsia" w:ascii="宋体" w:hAnsi="宋体" w:cs="宋体"/>
                <w:kern w:val="0"/>
                <w:sz w:val="20"/>
                <w:szCs w:val="20"/>
              </w:rPr>
              <w:br w:type="textWrapping"/>
            </w:r>
            <w:r>
              <w:rPr>
                <w:rFonts w:hint="eastAsia" w:ascii="宋体" w:hAnsi="宋体" w:cs="宋体"/>
                <w:kern w:val="0"/>
                <w:sz w:val="20"/>
                <w:szCs w:val="20"/>
              </w:rPr>
              <w:t>支持画面全屏缩放、点对点显示、自定义缩放三种缩放模式；</w:t>
            </w:r>
            <w:r>
              <w:rPr>
                <w:rFonts w:hint="eastAsia" w:ascii="宋体" w:hAnsi="宋体" w:cs="宋体"/>
                <w:kern w:val="0"/>
                <w:sz w:val="20"/>
                <w:szCs w:val="20"/>
              </w:rPr>
              <w:br w:type="textWrapping"/>
            </w:r>
            <w:r>
              <w:rPr>
                <w:rFonts w:hint="eastAsia" w:ascii="宋体" w:hAnsi="宋体" w:cs="宋体"/>
                <w:kern w:val="0"/>
                <w:sz w:val="20"/>
                <w:szCs w:val="20"/>
              </w:rPr>
              <w:t>支持窗口位置、大小调整及窗口截取功能</w:t>
            </w:r>
            <w:r>
              <w:rPr>
                <w:rFonts w:hint="eastAsia" w:ascii="宋体" w:hAnsi="宋体" w:cs="宋体"/>
                <w:kern w:val="0"/>
                <w:sz w:val="20"/>
                <w:szCs w:val="20"/>
              </w:rPr>
              <w:br w:type="textWrapping"/>
            </w:r>
            <w:r>
              <w:rPr>
                <w:rFonts w:hint="eastAsia" w:ascii="宋体" w:hAnsi="宋体" w:cs="宋体"/>
                <w:kern w:val="0"/>
                <w:sz w:val="20"/>
                <w:szCs w:val="20"/>
              </w:rPr>
              <w:t>支持10个预设场景.</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洲明、海康威视、利亚德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167</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运行工作站</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处理器： i5</w:t>
            </w:r>
            <w:r>
              <w:rPr>
                <w:rFonts w:hint="eastAsia" w:ascii="宋体" w:hAnsi="宋体" w:cs="宋体"/>
                <w:kern w:val="0"/>
                <w:sz w:val="20"/>
                <w:szCs w:val="20"/>
              </w:rPr>
              <w:br w:type="textWrapping"/>
            </w:r>
            <w:r>
              <w:rPr>
                <w:rFonts w:hint="eastAsia" w:ascii="宋体" w:hAnsi="宋体" w:cs="宋体"/>
                <w:kern w:val="0"/>
                <w:sz w:val="20"/>
                <w:szCs w:val="20"/>
              </w:rPr>
              <w:t>内存 32G</w:t>
            </w:r>
            <w:r>
              <w:rPr>
                <w:rFonts w:hint="eastAsia" w:ascii="宋体" w:hAnsi="宋体" w:cs="宋体"/>
                <w:kern w:val="0"/>
                <w:sz w:val="20"/>
                <w:szCs w:val="20"/>
              </w:rPr>
              <w:br w:type="textWrapping"/>
            </w:r>
            <w:r>
              <w:rPr>
                <w:rFonts w:hint="eastAsia" w:ascii="宋体" w:hAnsi="宋体" w:cs="宋体"/>
                <w:kern w:val="0"/>
                <w:sz w:val="20"/>
                <w:szCs w:val="20"/>
              </w:rPr>
              <w:t>硬盘： 512固态硬盘</w:t>
            </w:r>
            <w:r>
              <w:rPr>
                <w:rFonts w:hint="eastAsia" w:ascii="宋体" w:hAnsi="宋体" w:cs="宋体"/>
                <w:kern w:val="0"/>
                <w:sz w:val="20"/>
                <w:szCs w:val="20"/>
              </w:rPr>
              <w:br w:type="textWrapping"/>
            </w:r>
            <w:r>
              <w:rPr>
                <w:rFonts w:hint="eastAsia" w:ascii="宋体" w:hAnsi="宋体" w:cs="宋体"/>
                <w:kern w:val="0"/>
                <w:sz w:val="20"/>
                <w:szCs w:val="20"/>
              </w:rPr>
              <w:t xml:space="preserve">显卡：  独显  GT 1660 6G  </w:t>
            </w:r>
            <w:r>
              <w:rPr>
                <w:rFonts w:hint="eastAsia" w:ascii="宋体" w:hAnsi="宋体" w:cs="宋体"/>
                <w:kern w:val="0"/>
                <w:sz w:val="20"/>
                <w:szCs w:val="20"/>
              </w:rPr>
              <w:br w:type="textWrapping"/>
            </w:r>
            <w:r>
              <w:rPr>
                <w:rFonts w:hint="eastAsia" w:ascii="宋体" w:hAnsi="宋体" w:cs="宋体"/>
                <w:kern w:val="0"/>
                <w:sz w:val="20"/>
                <w:szCs w:val="20"/>
              </w:rPr>
              <w:t xml:space="preserve">系统：企业版win10 </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联想、戴尔、惠普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168</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钢结构支撑与拼接机架</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包含两部分：支撑结构架子与拼接架（设计与材料），用于大型LED多屏幕拼接的钢结构支撑与背架</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12</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洲明、海康威视、利亚德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169</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配电柜</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配电柜20KW,具备过压、过流、欠压、缺相、短路、断路保护与报警功能,具备分步延时起动和分步延时断电的功能。</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个</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170</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全频音柱</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1.支持多通道接收处理功能；</w:t>
            </w:r>
            <w:r>
              <w:rPr>
                <w:rFonts w:hint="eastAsia" w:ascii="宋体" w:hAnsi="宋体" w:cs="宋体"/>
                <w:kern w:val="0"/>
                <w:sz w:val="20"/>
                <w:szCs w:val="20"/>
              </w:rPr>
              <w:br w:type="textWrapping"/>
            </w:r>
            <w:r>
              <w:rPr>
                <w:rFonts w:hint="eastAsia" w:ascii="宋体" w:hAnsi="宋体" w:cs="宋体"/>
                <w:kern w:val="0"/>
                <w:sz w:val="20"/>
                <w:szCs w:val="20"/>
              </w:rPr>
              <w:t>2.具有100V定压输入；</w:t>
            </w:r>
            <w:r>
              <w:rPr>
                <w:rFonts w:hint="eastAsia" w:ascii="宋体" w:hAnsi="宋体" w:cs="宋体"/>
                <w:kern w:val="0"/>
                <w:sz w:val="20"/>
                <w:szCs w:val="20"/>
              </w:rPr>
              <w:br w:type="textWrapping"/>
            </w:r>
            <w:r>
              <w:rPr>
                <w:rFonts w:hint="eastAsia" w:ascii="宋体" w:hAnsi="宋体" w:cs="宋体"/>
                <w:kern w:val="0"/>
                <w:sz w:val="20"/>
                <w:szCs w:val="20"/>
              </w:rPr>
              <w:t>3.内部功放具有过压、过热、短路等保护功能；</w:t>
            </w:r>
            <w:r>
              <w:rPr>
                <w:rFonts w:hint="eastAsia" w:ascii="宋体" w:hAnsi="宋体" w:cs="宋体"/>
                <w:kern w:val="0"/>
                <w:sz w:val="20"/>
                <w:szCs w:val="20"/>
              </w:rPr>
              <w:br w:type="textWrapping"/>
            </w:r>
            <w:r>
              <w:rPr>
                <w:rFonts w:hint="eastAsia" w:ascii="宋体" w:hAnsi="宋体" w:cs="宋体"/>
                <w:kern w:val="0"/>
                <w:sz w:val="20"/>
                <w:szCs w:val="20"/>
              </w:rPr>
              <w:t>4.具有本地音量和线路音量调节。</w:t>
            </w:r>
            <w:r>
              <w:rPr>
                <w:rFonts w:hint="eastAsia" w:ascii="宋体" w:hAnsi="宋体" w:cs="宋体"/>
                <w:kern w:val="0"/>
                <w:sz w:val="20"/>
                <w:szCs w:val="20"/>
              </w:rPr>
              <w:br w:type="textWrapping"/>
            </w:r>
            <w:r>
              <w:rPr>
                <w:rFonts w:hint="eastAsia" w:ascii="宋体" w:hAnsi="宋体" w:cs="宋体"/>
                <w:kern w:val="0"/>
                <w:sz w:val="20"/>
                <w:szCs w:val="20"/>
              </w:rPr>
              <w:t>规格参数：</w:t>
            </w:r>
            <w:r>
              <w:rPr>
                <w:rFonts w:hint="eastAsia" w:ascii="宋体" w:hAnsi="宋体" w:cs="宋体"/>
                <w:kern w:val="0"/>
                <w:sz w:val="20"/>
                <w:szCs w:val="20"/>
              </w:rPr>
              <w:br w:type="textWrapping"/>
            </w:r>
            <w:r>
              <w:rPr>
                <w:rFonts w:hint="eastAsia" w:ascii="宋体" w:hAnsi="宋体" w:cs="宋体"/>
                <w:kern w:val="0"/>
                <w:sz w:val="20"/>
                <w:szCs w:val="20"/>
              </w:rPr>
              <w:t>工作电压范围：DC10V~15V/2A;</w:t>
            </w:r>
            <w:r>
              <w:rPr>
                <w:rFonts w:hint="eastAsia" w:ascii="宋体" w:hAnsi="宋体" w:cs="宋体"/>
                <w:kern w:val="0"/>
                <w:sz w:val="20"/>
                <w:szCs w:val="20"/>
              </w:rPr>
              <w:br w:type="textWrapping"/>
            </w:r>
            <w:r>
              <w:rPr>
                <w:rFonts w:hint="eastAsia" w:ascii="宋体" w:hAnsi="宋体" w:cs="宋体"/>
                <w:kern w:val="0"/>
                <w:sz w:val="20"/>
                <w:szCs w:val="20"/>
              </w:rPr>
              <w:t>额定功率:30W/4</w:t>
            </w:r>
            <w:r>
              <w:rPr>
                <w:rFonts w:ascii="Calibri" w:hAnsi="Calibri" w:cs="Calibri"/>
                <w:kern w:val="0"/>
                <w:sz w:val="20"/>
                <w:szCs w:val="20"/>
              </w:rPr>
              <w:t>Ω</w:t>
            </w:r>
            <w:r>
              <w:rPr>
                <w:rFonts w:hint="eastAsia" w:ascii="宋体" w:hAnsi="宋体" w:cs="宋体"/>
                <w:kern w:val="0"/>
                <w:sz w:val="20"/>
                <w:szCs w:val="20"/>
              </w:rPr>
              <w:t>;</w:t>
            </w:r>
            <w:r>
              <w:rPr>
                <w:rFonts w:hint="eastAsia" w:ascii="宋体" w:hAnsi="宋体" w:cs="宋体"/>
                <w:kern w:val="0"/>
                <w:sz w:val="20"/>
                <w:szCs w:val="20"/>
              </w:rPr>
              <w:br w:type="textWrapping"/>
            </w:r>
            <w:r>
              <w:rPr>
                <w:rFonts w:hint="eastAsia" w:ascii="宋体" w:hAnsi="宋体" w:cs="宋体"/>
                <w:kern w:val="0"/>
                <w:sz w:val="20"/>
                <w:szCs w:val="20"/>
              </w:rPr>
              <w:t>频响：90Hz~20KH,灵敏度：92dB;</w:t>
            </w:r>
            <w:r>
              <w:rPr>
                <w:rFonts w:hint="eastAsia" w:ascii="宋体" w:hAnsi="宋体" w:cs="宋体"/>
                <w:kern w:val="0"/>
                <w:sz w:val="20"/>
                <w:szCs w:val="20"/>
              </w:rPr>
              <w:br w:type="textWrapping"/>
            </w:r>
            <w:r>
              <w:rPr>
                <w:rFonts w:hint="eastAsia" w:ascii="宋体" w:hAnsi="宋体" w:cs="宋体"/>
                <w:kern w:val="0"/>
                <w:sz w:val="20"/>
                <w:szCs w:val="20"/>
              </w:rPr>
              <w:t>喇叭：5“’×1,2“’×1</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ITC、迪士普、湖山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171</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专业功放</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额定输出功率 240W</w:t>
            </w:r>
            <w:r>
              <w:rPr>
                <w:rFonts w:hint="eastAsia" w:ascii="宋体" w:hAnsi="宋体" w:cs="宋体"/>
                <w:kern w:val="0"/>
                <w:sz w:val="20"/>
                <w:szCs w:val="20"/>
              </w:rPr>
              <w:br w:type="textWrapping"/>
            </w:r>
            <w:r>
              <w:rPr>
                <w:rFonts w:hint="eastAsia" w:ascii="宋体" w:hAnsi="宋体" w:cs="宋体"/>
                <w:kern w:val="0"/>
                <w:sz w:val="20"/>
                <w:szCs w:val="20"/>
              </w:rPr>
              <w:t>具有市电波动保护功能，支持过压保护，欠压保护</w:t>
            </w:r>
            <w:r>
              <w:rPr>
                <w:rFonts w:hint="eastAsia" w:ascii="宋体" w:hAnsi="宋体" w:cs="宋体"/>
                <w:kern w:val="0"/>
                <w:sz w:val="20"/>
                <w:szCs w:val="20"/>
              </w:rPr>
              <w:br w:type="textWrapping"/>
            </w:r>
            <w:r>
              <w:rPr>
                <w:rFonts w:hint="eastAsia" w:ascii="宋体" w:hAnsi="宋体" w:cs="宋体"/>
                <w:kern w:val="0"/>
                <w:sz w:val="20"/>
                <w:szCs w:val="20"/>
              </w:rPr>
              <w:t>设备设有异常工作保护警告功能，当输入信号过大、负载过重、温度过高、线路短路时，对应的指示灯提示，有极高的可靠性</w:t>
            </w:r>
            <w:r>
              <w:rPr>
                <w:rFonts w:hint="eastAsia" w:ascii="宋体" w:hAnsi="宋体" w:cs="宋体"/>
                <w:kern w:val="0"/>
                <w:sz w:val="20"/>
                <w:szCs w:val="20"/>
              </w:rPr>
              <w:br w:type="textWrapping"/>
            </w:r>
            <w:r>
              <w:rPr>
                <w:rFonts w:hint="eastAsia" w:ascii="宋体" w:hAnsi="宋体" w:cs="宋体"/>
                <w:kern w:val="0"/>
                <w:sz w:val="20"/>
                <w:szCs w:val="20"/>
              </w:rPr>
              <w:t>话筒</w:t>
            </w:r>
            <w:r>
              <w:rPr>
                <w:rFonts w:hint="eastAsia" w:ascii="宋体" w:hAnsi="宋体" w:cs="宋体"/>
                <w:kern w:val="0"/>
                <w:sz w:val="20"/>
                <w:szCs w:val="20"/>
              </w:rPr>
              <w:br w:type="textWrapping"/>
            </w:r>
            <w:r>
              <w:rPr>
                <w:rFonts w:hint="eastAsia" w:ascii="宋体" w:hAnsi="宋体" w:cs="宋体"/>
                <w:kern w:val="0"/>
                <w:sz w:val="20"/>
                <w:szCs w:val="20"/>
              </w:rPr>
              <w:t>紧急线路 EMC 输入具有最高优先级别，可强切其他线路输入功能</w:t>
            </w:r>
            <w:r>
              <w:rPr>
                <w:rFonts w:hint="eastAsia" w:ascii="宋体" w:hAnsi="宋体" w:cs="宋体"/>
                <w:kern w:val="0"/>
                <w:sz w:val="20"/>
                <w:szCs w:val="20"/>
              </w:rPr>
              <w:br w:type="textWrapping"/>
            </w:r>
            <w:r>
              <w:rPr>
                <w:rFonts w:hint="eastAsia" w:ascii="宋体" w:hAnsi="宋体" w:cs="宋体"/>
                <w:kern w:val="0"/>
                <w:sz w:val="20"/>
                <w:szCs w:val="20"/>
              </w:rPr>
              <w:t>2路辅助线路输入，1路紧急输入，2路话筒输入和1路辅助输出，</w:t>
            </w:r>
            <w:r>
              <w:rPr>
                <w:rFonts w:hint="eastAsia" w:ascii="宋体" w:hAnsi="宋体" w:cs="宋体"/>
                <w:kern w:val="0"/>
                <w:sz w:val="20"/>
                <w:szCs w:val="20"/>
              </w:rPr>
              <w:br w:type="textWrapping"/>
            </w:r>
            <w:r>
              <w:rPr>
                <w:rFonts w:hint="eastAsia" w:ascii="宋体" w:hAnsi="宋体" w:cs="宋体"/>
                <w:kern w:val="0"/>
                <w:sz w:val="20"/>
                <w:szCs w:val="20"/>
              </w:rPr>
              <w:t>可级联下一台功放设有高低音调节功能，总音量控制</w:t>
            </w:r>
            <w:r>
              <w:rPr>
                <w:rFonts w:hint="eastAsia" w:ascii="宋体" w:hAnsi="宋体" w:cs="宋体"/>
                <w:kern w:val="0"/>
                <w:sz w:val="20"/>
                <w:szCs w:val="20"/>
              </w:rPr>
              <w:br w:type="textWrapping"/>
            </w:r>
            <w:r>
              <w:rPr>
                <w:rFonts w:hint="eastAsia" w:ascii="宋体" w:hAnsi="宋体" w:cs="宋体"/>
                <w:kern w:val="0"/>
                <w:sz w:val="20"/>
                <w:szCs w:val="20"/>
              </w:rPr>
              <w:t>6路独立分区选择输出，每路分区输出音量独立调节，100V定压输出</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ITC、迪士普、湖山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172</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触摸一体机</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xml:space="preserve">结构参数 </w:t>
            </w:r>
            <w:r>
              <w:rPr>
                <w:rFonts w:hint="eastAsia" w:ascii="宋体" w:hAnsi="宋体" w:cs="宋体"/>
                <w:kern w:val="0"/>
                <w:sz w:val="20"/>
                <w:szCs w:val="20"/>
              </w:rPr>
              <w:br w:type="textWrapping"/>
            </w:r>
            <w:r>
              <w:rPr>
                <w:rFonts w:hint="eastAsia" w:ascii="宋体" w:hAnsi="宋体" w:cs="宋体"/>
                <w:kern w:val="0"/>
                <w:sz w:val="20"/>
                <w:szCs w:val="20"/>
              </w:rPr>
              <w:t>外壳材料 铝合金+SECC钣金件</w:t>
            </w:r>
            <w:r>
              <w:rPr>
                <w:rFonts w:hint="eastAsia" w:ascii="宋体" w:hAnsi="宋体" w:cs="宋体"/>
                <w:kern w:val="0"/>
                <w:sz w:val="20"/>
                <w:szCs w:val="20"/>
              </w:rPr>
              <w:br w:type="textWrapping"/>
            </w:r>
            <w:r>
              <w:rPr>
                <w:rFonts w:hint="eastAsia" w:ascii="宋体" w:hAnsi="宋体" w:cs="宋体"/>
                <w:kern w:val="0"/>
                <w:sz w:val="20"/>
                <w:szCs w:val="20"/>
              </w:rPr>
              <w:t>外壳颜色 灰色</w:t>
            </w:r>
            <w:r>
              <w:rPr>
                <w:rFonts w:hint="eastAsia" w:ascii="宋体" w:hAnsi="宋体" w:cs="宋体"/>
                <w:kern w:val="0"/>
                <w:sz w:val="20"/>
                <w:szCs w:val="20"/>
              </w:rPr>
              <w:br w:type="textWrapping"/>
            </w:r>
            <w:r>
              <w:rPr>
                <w:rFonts w:hint="eastAsia" w:ascii="宋体" w:hAnsi="宋体" w:cs="宋体"/>
                <w:kern w:val="0"/>
                <w:sz w:val="20"/>
                <w:szCs w:val="20"/>
              </w:rPr>
              <w:t xml:space="preserve">墙支撑 壁挂 </w:t>
            </w:r>
            <w:r>
              <w:rPr>
                <w:rFonts w:hint="eastAsia" w:ascii="宋体" w:hAnsi="宋体" w:cs="宋体"/>
                <w:kern w:val="0"/>
                <w:sz w:val="20"/>
                <w:szCs w:val="20"/>
              </w:rPr>
              <w:br w:type="textWrapping"/>
            </w:r>
            <w:r>
              <w:rPr>
                <w:rFonts w:hint="eastAsia" w:ascii="宋体" w:hAnsi="宋体" w:cs="宋体"/>
                <w:kern w:val="0"/>
                <w:sz w:val="20"/>
                <w:szCs w:val="20"/>
              </w:rPr>
              <w:t xml:space="preserve">显示参数 </w:t>
            </w:r>
            <w:r>
              <w:rPr>
                <w:rFonts w:hint="eastAsia" w:ascii="宋体" w:hAnsi="宋体" w:cs="宋体"/>
                <w:kern w:val="0"/>
                <w:sz w:val="20"/>
                <w:szCs w:val="20"/>
              </w:rPr>
              <w:br w:type="textWrapping"/>
            </w:r>
            <w:r>
              <w:rPr>
                <w:rFonts w:hint="eastAsia" w:ascii="宋体" w:hAnsi="宋体" w:cs="宋体"/>
                <w:kern w:val="0"/>
                <w:sz w:val="20"/>
                <w:szCs w:val="20"/>
              </w:rPr>
              <w:t>显示模式 标准、用户、游戏、亮丽</w:t>
            </w:r>
            <w:r>
              <w:rPr>
                <w:rFonts w:hint="eastAsia" w:ascii="宋体" w:hAnsi="宋体" w:cs="宋体"/>
                <w:kern w:val="0"/>
                <w:sz w:val="20"/>
                <w:szCs w:val="20"/>
              </w:rPr>
              <w:br w:type="textWrapping"/>
            </w:r>
            <w:r>
              <w:rPr>
                <w:rFonts w:hint="eastAsia" w:ascii="宋体" w:hAnsi="宋体" w:cs="宋体"/>
                <w:kern w:val="0"/>
                <w:sz w:val="20"/>
                <w:szCs w:val="20"/>
              </w:rPr>
              <w:t>背光源类型 LED背光</w:t>
            </w:r>
            <w:r>
              <w:rPr>
                <w:rFonts w:hint="eastAsia" w:ascii="宋体" w:hAnsi="宋体" w:cs="宋体"/>
                <w:kern w:val="0"/>
                <w:sz w:val="20"/>
                <w:szCs w:val="20"/>
              </w:rPr>
              <w:br w:type="textWrapping"/>
            </w:r>
            <w:r>
              <w:rPr>
                <w:rFonts w:hint="eastAsia" w:ascii="宋体" w:hAnsi="宋体" w:cs="宋体"/>
                <w:kern w:val="0"/>
                <w:sz w:val="20"/>
                <w:szCs w:val="20"/>
              </w:rPr>
              <w:t>物理分辨率 3840 × 2160</w:t>
            </w:r>
            <w:r>
              <w:rPr>
                <w:rFonts w:hint="eastAsia" w:ascii="宋体" w:hAnsi="宋体" w:cs="宋体"/>
                <w:kern w:val="0"/>
                <w:sz w:val="20"/>
                <w:szCs w:val="20"/>
              </w:rPr>
              <w:br w:type="textWrapping"/>
            </w:r>
            <w:r>
              <w:rPr>
                <w:rFonts w:hint="eastAsia" w:ascii="宋体" w:hAnsi="宋体" w:cs="宋体"/>
                <w:kern w:val="0"/>
                <w:sz w:val="20"/>
                <w:szCs w:val="20"/>
              </w:rPr>
              <w:t>亮度 500 cd/m²</w:t>
            </w:r>
            <w:r>
              <w:rPr>
                <w:rFonts w:hint="eastAsia" w:ascii="宋体" w:hAnsi="宋体" w:cs="宋体"/>
                <w:kern w:val="0"/>
                <w:sz w:val="20"/>
                <w:szCs w:val="20"/>
              </w:rPr>
              <w:br w:type="textWrapping"/>
            </w:r>
            <w:r>
              <w:rPr>
                <w:rFonts w:hint="eastAsia" w:ascii="宋体" w:hAnsi="宋体" w:cs="宋体"/>
                <w:kern w:val="0"/>
                <w:sz w:val="20"/>
                <w:szCs w:val="20"/>
              </w:rPr>
              <w:t>对比度 6000：1</w:t>
            </w:r>
            <w:r>
              <w:rPr>
                <w:rFonts w:hint="eastAsia" w:ascii="宋体" w:hAnsi="宋体" w:cs="宋体"/>
                <w:kern w:val="0"/>
                <w:sz w:val="20"/>
                <w:szCs w:val="20"/>
              </w:rPr>
              <w:br w:type="textWrapping"/>
            </w:r>
            <w:r>
              <w:rPr>
                <w:rFonts w:hint="eastAsia" w:ascii="宋体" w:hAnsi="宋体" w:cs="宋体"/>
                <w:kern w:val="0"/>
                <w:sz w:val="20"/>
                <w:szCs w:val="20"/>
              </w:rPr>
              <w:t>响应时间 3 ms</w:t>
            </w:r>
            <w:r>
              <w:rPr>
                <w:rFonts w:hint="eastAsia" w:ascii="宋体" w:hAnsi="宋体" w:cs="宋体"/>
                <w:kern w:val="0"/>
                <w:sz w:val="20"/>
                <w:szCs w:val="20"/>
              </w:rPr>
              <w:br w:type="textWrapping"/>
            </w:r>
            <w:r>
              <w:rPr>
                <w:rFonts w:hint="eastAsia" w:ascii="宋体" w:hAnsi="宋体" w:cs="宋体"/>
                <w:kern w:val="0"/>
                <w:sz w:val="20"/>
                <w:szCs w:val="20"/>
              </w:rPr>
              <w:t>对角线尺寸 64.5 inch</w:t>
            </w:r>
            <w:r>
              <w:rPr>
                <w:rFonts w:hint="eastAsia" w:ascii="宋体" w:hAnsi="宋体" w:cs="宋体"/>
                <w:kern w:val="0"/>
                <w:sz w:val="20"/>
                <w:szCs w:val="20"/>
              </w:rPr>
              <w:br w:type="textWrapping"/>
            </w:r>
            <w:r>
              <w:rPr>
                <w:rFonts w:hint="eastAsia" w:ascii="宋体" w:hAnsi="宋体" w:cs="宋体"/>
                <w:kern w:val="0"/>
                <w:sz w:val="20"/>
                <w:szCs w:val="20"/>
              </w:rPr>
              <w:t>色彩饱和度 92%</w:t>
            </w:r>
            <w:r>
              <w:rPr>
                <w:rFonts w:hint="eastAsia" w:ascii="宋体" w:hAnsi="宋体" w:cs="宋体"/>
                <w:kern w:val="0"/>
                <w:sz w:val="20"/>
                <w:szCs w:val="20"/>
              </w:rPr>
              <w:br w:type="textWrapping"/>
            </w:r>
            <w:r>
              <w:rPr>
                <w:rFonts w:hint="eastAsia" w:ascii="宋体" w:hAnsi="宋体" w:cs="宋体"/>
                <w:kern w:val="0"/>
                <w:sz w:val="20"/>
                <w:szCs w:val="20"/>
              </w:rPr>
              <w:t>屏幕材质 A规屏</w:t>
            </w:r>
            <w:r>
              <w:rPr>
                <w:rFonts w:hint="eastAsia" w:ascii="宋体" w:hAnsi="宋体" w:cs="宋体"/>
                <w:kern w:val="0"/>
                <w:sz w:val="20"/>
                <w:szCs w:val="20"/>
              </w:rPr>
              <w:br w:type="textWrapping"/>
            </w:r>
            <w:r>
              <w:rPr>
                <w:rFonts w:hint="eastAsia" w:ascii="宋体" w:hAnsi="宋体" w:cs="宋体"/>
                <w:kern w:val="0"/>
                <w:sz w:val="20"/>
                <w:szCs w:val="20"/>
              </w:rPr>
              <w:t xml:space="preserve">系统参数 </w:t>
            </w:r>
            <w:r>
              <w:rPr>
                <w:rFonts w:hint="eastAsia" w:ascii="宋体" w:hAnsi="宋体" w:cs="宋体"/>
                <w:kern w:val="0"/>
                <w:sz w:val="20"/>
                <w:szCs w:val="20"/>
              </w:rPr>
              <w:br w:type="textWrapping"/>
            </w:r>
            <w:r>
              <w:rPr>
                <w:rFonts w:hint="eastAsia" w:ascii="宋体" w:hAnsi="宋体" w:cs="宋体"/>
                <w:kern w:val="0"/>
                <w:sz w:val="20"/>
                <w:szCs w:val="20"/>
              </w:rPr>
              <w:t>操作系统 Android 8.0</w:t>
            </w:r>
            <w:r>
              <w:rPr>
                <w:rFonts w:hint="eastAsia" w:ascii="宋体" w:hAnsi="宋体" w:cs="宋体"/>
                <w:kern w:val="0"/>
                <w:sz w:val="20"/>
                <w:szCs w:val="20"/>
              </w:rPr>
              <w:br w:type="textWrapping"/>
            </w:r>
            <w:r>
              <w:rPr>
                <w:rFonts w:hint="eastAsia" w:ascii="宋体" w:hAnsi="宋体" w:cs="宋体"/>
                <w:kern w:val="0"/>
                <w:sz w:val="20"/>
                <w:szCs w:val="20"/>
              </w:rPr>
              <w:t>CPU Cortex A73 2核 + A53 2核  1.4 G/1.1 GHz</w:t>
            </w:r>
            <w:r>
              <w:rPr>
                <w:rFonts w:hint="eastAsia" w:ascii="宋体" w:hAnsi="宋体" w:cs="宋体"/>
                <w:kern w:val="0"/>
                <w:sz w:val="20"/>
                <w:szCs w:val="20"/>
              </w:rPr>
              <w:br w:type="textWrapping"/>
            </w:r>
            <w:r>
              <w:rPr>
                <w:rFonts w:hint="eastAsia" w:ascii="宋体" w:hAnsi="宋体" w:cs="宋体"/>
                <w:kern w:val="0"/>
                <w:sz w:val="20"/>
                <w:szCs w:val="20"/>
              </w:rPr>
              <w:t>内存 3 GB  DDR3 1 GB DDR4 2 GB</w:t>
            </w:r>
            <w:r>
              <w:rPr>
                <w:rFonts w:hint="eastAsia" w:ascii="宋体" w:hAnsi="宋体" w:cs="宋体"/>
                <w:kern w:val="0"/>
                <w:sz w:val="20"/>
                <w:szCs w:val="20"/>
              </w:rPr>
              <w:br w:type="textWrapping"/>
            </w:r>
            <w:r>
              <w:rPr>
                <w:rFonts w:hint="eastAsia" w:ascii="宋体" w:hAnsi="宋体" w:cs="宋体"/>
                <w:kern w:val="0"/>
                <w:sz w:val="20"/>
                <w:szCs w:val="20"/>
              </w:rPr>
              <w:t>内置存储 8 GB</w:t>
            </w:r>
            <w:r>
              <w:rPr>
                <w:rFonts w:hint="eastAsia" w:ascii="宋体" w:hAnsi="宋体" w:cs="宋体"/>
                <w:kern w:val="0"/>
                <w:sz w:val="20"/>
                <w:szCs w:val="20"/>
              </w:rPr>
              <w:br w:type="textWrapping"/>
            </w:r>
            <w:r>
              <w:rPr>
                <w:rFonts w:hint="eastAsia" w:ascii="宋体" w:hAnsi="宋体" w:cs="宋体"/>
                <w:kern w:val="0"/>
                <w:sz w:val="20"/>
                <w:szCs w:val="20"/>
              </w:rPr>
              <w:t xml:space="preserve">触控参数 </w:t>
            </w:r>
            <w:r>
              <w:rPr>
                <w:rFonts w:hint="eastAsia" w:ascii="宋体" w:hAnsi="宋体" w:cs="宋体"/>
                <w:kern w:val="0"/>
                <w:sz w:val="20"/>
                <w:szCs w:val="20"/>
              </w:rPr>
              <w:br w:type="textWrapping"/>
            </w:r>
            <w:r>
              <w:rPr>
                <w:rFonts w:hint="eastAsia" w:ascii="宋体" w:hAnsi="宋体" w:cs="宋体"/>
                <w:kern w:val="0"/>
                <w:sz w:val="20"/>
                <w:szCs w:val="20"/>
              </w:rPr>
              <w:t>触摸方式 光学红外触摸</w:t>
            </w:r>
            <w:r>
              <w:rPr>
                <w:rFonts w:hint="eastAsia" w:ascii="宋体" w:hAnsi="宋体" w:cs="宋体"/>
                <w:kern w:val="0"/>
                <w:sz w:val="20"/>
                <w:szCs w:val="20"/>
              </w:rPr>
              <w:br w:type="textWrapping"/>
            </w:r>
            <w:r>
              <w:rPr>
                <w:rFonts w:hint="eastAsia" w:ascii="宋体" w:hAnsi="宋体" w:cs="宋体"/>
                <w:kern w:val="0"/>
                <w:sz w:val="20"/>
                <w:szCs w:val="20"/>
              </w:rPr>
              <w:t>玻璃 3.2 mm全钢化玻璃，防眩光、防撞击、防划</w:t>
            </w:r>
            <w:r>
              <w:rPr>
                <w:rFonts w:hint="eastAsia" w:ascii="宋体" w:hAnsi="宋体" w:cs="宋体"/>
                <w:kern w:val="0"/>
                <w:sz w:val="20"/>
                <w:szCs w:val="20"/>
              </w:rPr>
              <w:br w:type="textWrapping"/>
            </w:r>
            <w:r>
              <w:rPr>
                <w:rFonts w:hint="eastAsia" w:ascii="宋体" w:hAnsi="宋体" w:cs="宋体"/>
                <w:kern w:val="0"/>
                <w:sz w:val="20"/>
                <w:szCs w:val="20"/>
              </w:rPr>
              <w:t>触控点 最高20点触控书写</w:t>
            </w:r>
            <w:r>
              <w:rPr>
                <w:rFonts w:hint="eastAsia" w:ascii="宋体" w:hAnsi="宋体" w:cs="宋体"/>
                <w:kern w:val="0"/>
                <w:sz w:val="20"/>
                <w:szCs w:val="20"/>
              </w:rPr>
              <w:br w:type="textWrapping"/>
            </w:r>
            <w:r>
              <w:rPr>
                <w:rFonts w:hint="eastAsia" w:ascii="宋体" w:hAnsi="宋体" w:cs="宋体"/>
                <w:kern w:val="0"/>
                <w:sz w:val="20"/>
                <w:szCs w:val="20"/>
              </w:rPr>
              <w:t>玻璃透过率 ≥ 92%</w:t>
            </w:r>
            <w:r>
              <w:rPr>
                <w:rFonts w:hint="eastAsia" w:ascii="宋体" w:hAnsi="宋体" w:cs="宋体"/>
                <w:kern w:val="0"/>
                <w:sz w:val="20"/>
                <w:szCs w:val="20"/>
              </w:rPr>
              <w:br w:type="textWrapping"/>
            </w:r>
            <w:r>
              <w:rPr>
                <w:rFonts w:hint="eastAsia" w:ascii="宋体" w:hAnsi="宋体" w:cs="宋体"/>
                <w:kern w:val="0"/>
                <w:sz w:val="20"/>
                <w:szCs w:val="20"/>
              </w:rPr>
              <w:t>输入方式 手指或专用笔</w:t>
            </w:r>
            <w:r>
              <w:rPr>
                <w:rFonts w:hint="eastAsia" w:ascii="宋体" w:hAnsi="宋体" w:cs="宋体"/>
                <w:kern w:val="0"/>
                <w:sz w:val="20"/>
                <w:szCs w:val="20"/>
              </w:rPr>
              <w:br w:type="textWrapping"/>
            </w:r>
            <w:r>
              <w:rPr>
                <w:rFonts w:hint="eastAsia" w:ascii="宋体" w:hAnsi="宋体" w:cs="宋体"/>
                <w:kern w:val="0"/>
                <w:sz w:val="20"/>
                <w:szCs w:val="20"/>
              </w:rPr>
              <w:t>差值分辨率 32767 × 32767</w:t>
            </w:r>
            <w:r>
              <w:rPr>
                <w:rFonts w:hint="eastAsia" w:ascii="宋体" w:hAnsi="宋体" w:cs="宋体"/>
                <w:kern w:val="0"/>
                <w:sz w:val="20"/>
                <w:szCs w:val="20"/>
              </w:rPr>
              <w:br w:type="textWrapping"/>
            </w:r>
            <w:r>
              <w:rPr>
                <w:rFonts w:hint="eastAsia" w:ascii="宋体" w:hAnsi="宋体" w:cs="宋体"/>
                <w:kern w:val="0"/>
                <w:sz w:val="20"/>
                <w:szCs w:val="20"/>
              </w:rPr>
              <w:t>最小触摸物体 直径 ≥ 6 mm非透明物体</w:t>
            </w:r>
            <w:r>
              <w:rPr>
                <w:rFonts w:hint="eastAsia" w:ascii="宋体" w:hAnsi="宋体" w:cs="宋体"/>
                <w:kern w:val="0"/>
                <w:sz w:val="20"/>
                <w:szCs w:val="20"/>
              </w:rPr>
              <w:br w:type="textWrapping"/>
            </w:r>
            <w:r>
              <w:rPr>
                <w:rFonts w:hint="eastAsia" w:ascii="宋体" w:hAnsi="宋体" w:cs="宋体"/>
                <w:kern w:val="0"/>
                <w:sz w:val="20"/>
                <w:szCs w:val="20"/>
              </w:rPr>
              <w:t>理论点击次数 无限次</w:t>
            </w:r>
            <w:r>
              <w:rPr>
                <w:rFonts w:hint="eastAsia" w:ascii="宋体" w:hAnsi="宋体" w:cs="宋体"/>
                <w:kern w:val="0"/>
                <w:sz w:val="20"/>
                <w:szCs w:val="20"/>
              </w:rPr>
              <w:br w:type="textWrapping"/>
            </w:r>
            <w:r>
              <w:rPr>
                <w:rFonts w:hint="eastAsia" w:ascii="宋体" w:hAnsi="宋体" w:cs="宋体"/>
                <w:kern w:val="0"/>
                <w:sz w:val="20"/>
                <w:szCs w:val="20"/>
              </w:rPr>
              <w:t xml:space="preserve">接口参数 </w:t>
            </w:r>
            <w:r>
              <w:rPr>
                <w:rFonts w:hint="eastAsia" w:ascii="宋体" w:hAnsi="宋体" w:cs="宋体"/>
                <w:kern w:val="0"/>
                <w:sz w:val="20"/>
                <w:szCs w:val="20"/>
              </w:rPr>
              <w:br w:type="textWrapping"/>
            </w:r>
            <w:r>
              <w:rPr>
                <w:rFonts w:hint="eastAsia" w:ascii="宋体" w:hAnsi="宋体" w:cs="宋体"/>
                <w:kern w:val="0"/>
                <w:sz w:val="20"/>
                <w:szCs w:val="20"/>
              </w:rPr>
              <w:t>音视频输入接口 TV × 1；HDMI × 2；VGA × 1；YPbPr × 1；AV-IN × 1；LINE-IN × 2</w:t>
            </w:r>
            <w:r>
              <w:rPr>
                <w:rFonts w:hint="eastAsia" w:ascii="宋体" w:hAnsi="宋体" w:cs="宋体"/>
                <w:kern w:val="0"/>
                <w:sz w:val="20"/>
                <w:szCs w:val="20"/>
              </w:rPr>
              <w:br w:type="textWrapping"/>
            </w:r>
            <w:r>
              <w:rPr>
                <w:rFonts w:hint="eastAsia" w:ascii="宋体" w:hAnsi="宋体" w:cs="宋体"/>
                <w:kern w:val="0"/>
                <w:sz w:val="20"/>
                <w:szCs w:val="20"/>
              </w:rPr>
              <w:t>音视频输出接口 LINE-OUT × 1；SPDIF-OUT × 1</w:t>
            </w:r>
            <w:r>
              <w:rPr>
                <w:rFonts w:hint="eastAsia" w:ascii="宋体" w:hAnsi="宋体" w:cs="宋体"/>
                <w:kern w:val="0"/>
                <w:sz w:val="20"/>
                <w:szCs w:val="20"/>
              </w:rPr>
              <w:br w:type="textWrapping"/>
            </w:r>
            <w:r>
              <w:rPr>
                <w:rFonts w:hint="eastAsia" w:ascii="宋体" w:hAnsi="宋体" w:cs="宋体"/>
                <w:kern w:val="0"/>
                <w:sz w:val="20"/>
                <w:szCs w:val="20"/>
              </w:rPr>
              <w:t>网络接口 LAN × 2</w:t>
            </w:r>
            <w:r>
              <w:rPr>
                <w:rFonts w:hint="eastAsia" w:ascii="宋体" w:hAnsi="宋体" w:cs="宋体"/>
                <w:kern w:val="0"/>
                <w:sz w:val="20"/>
                <w:szCs w:val="20"/>
              </w:rPr>
              <w:br w:type="textWrapping"/>
            </w:r>
            <w:r>
              <w:rPr>
                <w:rFonts w:hint="eastAsia" w:ascii="宋体" w:hAnsi="宋体" w:cs="宋体"/>
                <w:kern w:val="0"/>
                <w:sz w:val="20"/>
                <w:szCs w:val="20"/>
              </w:rPr>
              <w:t>存储控制接口 前置USB (PC + Android) × 3；侧面Android-USB × 2；TOUCH-USB × 1；RS232 × 1</w:t>
            </w:r>
            <w:r>
              <w:rPr>
                <w:rFonts w:hint="eastAsia" w:ascii="宋体" w:hAnsi="宋体" w:cs="宋体"/>
                <w:kern w:val="0"/>
                <w:sz w:val="20"/>
                <w:szCs w:val="20"/>
              </w:rPr>
              <w:br w:type="textWrapping"/>
            </w:r>
            <w:r>
              <w:rPr>
                <w:rFonts w:hint="eastAsia" w:ascii="宋体" w:hAnsi="宋体" w:cs="宋体"/>
                <w:kern w:val="0"/>
                <w:sz w:val="20"/>
                <w:szCs w:val="20"/>
              </w:rPr>
              <w:t xml:space="preserve">功能参数 </w:t>
            </w:r>
            <w:r>
              <w:rPr>
                <w:rFonts w:hint="eastAsia" w:ascii="宋体" w:hAnsi="宋体" w:cs="宋体"/>
                <w:kern w:val="0"/>
                <w:sz w:val="20"/>
                <w:szCs w:val="20"/>
              </w:rPr>
              <w:br w:type="textWrapping"/>
            </w:r>
            <w:r>
              <w:rPr>
                <w:rFonts w:hint="eastAsia" w:ascii="宋体" w:hAnsi="宋体" w:cs="宋体"/>
                <w:kern w:val="0"/>
                <w:sz w:val="20"/>
                <w:szCs w:val="20"/>
              </w:rPr>
              <w:t>内部喇叭 15 W × 2</w:t>
            </w:r>
            <w:r>
              <w:rPr>
                <w:rFonts w:hint="eastAsia" w:ascii="宋体" w:hAnsi="宋体" w:cs="宋体"/>
                <w:kern w:val="0"/>
                <w:sz w:val="20"/>
                <w:szCs w:val="20"/>
              </w:rPr>
              <w:br w:type="textWrapping"/>
            </w:r>
            <w:r>
              <w:rPr>
                <w:rFonts w:hint="eastAsia" w:ascii="宋体" w:hAnsi="宋体" w:cs="宋体"/>
                <w:kern w:val="0"/>
                <w:sz w:val="20"/>
                <w:szCs w:val="20"/>
              </w:rPr>
              <w:t>电源开关 1个</w:t>
            </w:r>
            <w:r>
              <w:rPr>
                <w:rFonts w:hint="eastAsia" w:ascii="宋体" w:hAnsi="宋体" w:cs="宋体"/>
                <w:kern w:val="0"/>
                <w:sz w:val="20"/>
                <w:szCs w:val="20"/>
              </w:rPr>
              <w:br w:type="textWrapping"/>
            </w:r>
            <w:r>
              <w:rPr>
                <w:rFonts w:hint="eastAsia" w:ascii="宋体" w:hAnsi="宋体" w:cs="宋体"/>
                <w:kern w:val="0"/>
                <w:sz w:val="20"/>
                <w:szCs w:val="20"/>
              </w:rPr>
              <w:t>OSD语言 英文/中文</w:t>
            </w:r>
            <w:r>
              <w:rPr>
                <w:rFonts w:hint="eastAsia" w:ascii="宋体" w:hAnsi="宋体" w:cs="宋体"/>
                <w:kern w:val="0"/>
                <w:sz w:val="20"/>
                <w:szCs w:val="20"/>
              </w:rPr>
              <w:br w:type="textWrapping"/>
            </w:r>
            <w:r>
              <w:rPr>
                <w:rFonts w:hint="eastAsia" w:ascii="宋体" w:hAnsi="宋体" w:cs="宋体"/>
                <w:kern w:val="0"/>
                <w:sz w:val="20"/>
                <w:szCs w:val="20"/>
              </w:rPr>
              <w:t xml:space="preserve">电源参数 </w:t>
            </w:r>
            <w:r>
              <w:rPr>
                <w:rFonts w:hint="eastAsia" w:ascii="宋体" w:hAnsi="宋体" w:cs="宋体"/>
                <w:kern w:val="0"/>
                <w:sz w:val="20"/>
                <w:szCs w:val="20"/>
              </w:rPr>
              <w:br w:type="textWrapping"/>
            </w:r>
            <w:r>
              <w:rPr>
                <w:rFonts w:hint="eastAsia" w:ascii="宋体" w:hAnsi="宋体" w:cs="宋体"/>
                <w:kern w:val="0"/>
                <w:sz w:val="20"/>
                <w:szCs w:val="20"/>
              </w:rPr>
              <w:t>待机功耗 ≤ 0.5 W</w:t>
            </w:r>
            <w:r>
              <w:rPr>
                <w:rFonts w:hint="eastAsia" w:ascii="宋体" w:hAnsi="宋体" w:cs="宋体"/>
                <w:kern w:val="0"/>
                <w:sz w:val="20"/>
                <w:szCs w:val="20"/>
              </w:rPr>
              <w:br w:type="textWrapping"/>
            </w:r>
            <w:r>
              <w:rPr>
                <w:rFonts w:hint="eastAsia" w:ascii="宋体" w:hAnsi="宋体" w:cs="宋体"/>
                <w:kern w:val="0"/>
                <w:sz w:val="20"/>
                <w:szCs w:val="20"/>
              </w:rPr>
              <w:t>功耗 ≤ 250 W</w:t>
            </w:r>
            <w:r>
              <w:rPr>
                <w:rFonts w:hint="eastAsia" w:ascii="宋体" w:hAnsi="宋体" w:cs="宋体"/>
                <w:kern w:val="0"/>
                <w:sz w:val="20"/>
                <w:szCs w:val="20"/>
              </w:rPr>
              <w:br w:type="textWrapping"/>
            </w:r>
            <w:r>
              <w:rPr>
                <w:rFonts w:hint="eastAsia" w:ascii="宋体" w:hAnsi="宋体" w:cs="宋体"/>
                <w:kern w:val="0"/>
                <w:sz w:val="20"/>
                <w:szCs w:val="20"/>
              </w:rPr>
              <w:t xml:space="preserve">运行环境 </w:t>
            </w:r>
            <w:r>
              <w:rPr>
                <w:rFonts w:hint="eastAsia" w:ascii="宋体" w:hAnsi="宋体" w:cs="宋体"/>
                <w:kern w:val="0"/>
                <w:sz w:val="20"/>
                <w:szCs w:val="20"/>
              </w:rPr>
              <w:br w:type="textWrapping"/>
            </w:r>
            <w:r>
              <w:rPr>
                <w:rFonts w:hint="eastAsia" w:ascii="宋体" w:hAnsi="宋体" w:cs="宋体"/>
                <w:kern w:val="0"/>
                <w:sz w:val="20"/>
                <w:szCs w:val="20"/>
              </w:rPr>
              <w:t>工作温度 0 ℃ ~ 40 ℃</w:t>
            </w:r>
            <w:r>
              <w:rPr>
                <w:rFonts w:hint="eastAsia" w:ascii="宋体" w:hAnsi="宋体" w:cs="宋体"/>
                <w:kern w:val="0"/>
                <w:sz w:val="20"/>
                <w:szCs w:val="20"/>
              </w:rPr>
              <w:br w:type="textWrapping"/>
            </w:r>
            <w:r>
              <w:rPr>
                <w:rFonts w:hint="eastAsia" w:ascii="宋体" w:hAnsi="宋体" w:cs="宋体"/>
                <w:kern w:val="0"/>
                <w:sz w:val="20"/>
                <w:szCs w:val="20"/>
              </w:rPr>
              <w:t>YPbPr/VGA接入：设备支持同时接入YPbPr、VGA通道信号，在通道选择中可实现YPbPr/VGA通道选择和信号读取</w:t>
            </w:r>
            <w:r>
              <w:rPr>
                <w:rFonts w:hint="eastAsia" w:ascii="宋体" w:hAnsi="宋体" w:cs="宋体"/>
                <w:kern w:val="0"/>
                <w:sz w:val="20"/>
                <w:szCs w:val="20"/>
              </w:rPr>
              <w:br w:type="textWrapping"/>
            </w:r>
            <w:r>
              <w:rPr>
                <w:rFonts w:hint="eastAsia" w:ascii="宋体" w:hAnsi="宋体" w:cs="宋体"/>
                <w:kern w:val="0"/>
                <w:sz w:val="20"/>
                <w:szCs w:val="20"/>
              </w:rPr>
              <w:t>一体机设备自带ram≥3GB</w:t>
            </w:r>
            <w:r>
              <w:rPr>
                <w:rFonts w:hint="eastAsia" w:ascii="宋体" w:hAnsi="宋体" w:cs="宋体"/>
                <w:kern w:val="0"/>
                <w:sz w:val="20"/>
                <w:szCs w:val="20"/>
              </w:rPr>
              <w:br w:type="textWrapping"/>
            </w:r>
            <w:r>
              <w:rPr>
                <w:rFonts w:hint="eastAsia" w:ascii="宋体" w:hAnsi="宋体" w:cs="宋体"/>
                <w:kern w:val="0"/>
                <w:sz w:val="20"/>
                <w:szCs w:val="20"/>
              </w:rPr>
              <w:t>一键滤蓝光：为保护学生视力，有效减轻师生用眼疲劳，整机具有减滤蓝光功能，可通过前置物理功能按键一键启用滤蓝光模式</w:t>
            </w:r>
            <w:r>
              <w:rPr>
                <w:rFonts w:hint="eastAsia" w:ascii="宋体" w:hAnsi="宋体" w:cs="宋体"/>
                <w:kern w:val="0"/>
                <w:sz w:val="20"/>
                <w:szCs w:val="20"/>
              </w:rPr>
              <w:br w:type="textWrapping"/>
            </w:r>
            <w:r>
              <w:rPr>
                <w:rFonts w:hint="eastAsia" w:ascii="宋体" w:hAnsi="宋体" w:cs="宋体"/>
                <w:kern w:val="0"/>
                <w:sz w:val="20"/>
                <w:szCs w:val="20"/>
              </w:rPr>
              <w:t>整机天线：整机缝隙天线支持wifi 2.4GHz频段的station功能（上网），2.4&amp;5GHz的AP功能（分享热点）。station 模式，无干扰环境，通信距离30米（通信速率大于 10Mbps/sec），AP模式，无干扰环境，通信距离10米（通信速率大于10Mbps/sec）</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可控制显示大屏界面</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洲明、海康威视、利亚德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173</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触摸一体机底座</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定制</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洲明、海康威视、利亚德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174</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数字音频处理器</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可通过外置UTWR1盒与电脑进行连接,可实现互联网远程控制</w:t>
            </w:r>
            <w:r>
              <w:rPr>
                <w:rFonts w:hint="eastAsia" w:ascii="宋体" w:hAnsi="宋体" w:cs="宋体"/>
                <w:kern w:val="0"/>
                <w:sz w:val="20"/>
                <w:szCs w:val="20"/>
              </w:rPr>
              <w:br w:type="textWrapping"/>
            </w:r>
            <w:r>
              <w:rPr>
                <w:rFonts w:hint="eastAsia" w:ascii="宋体" w:hAnsi="宋体" w:cs="宋体"/>
                <w:kern w:val="0"/>
                <w:sz w:val="20"/>
                <w:szCs w:val="20"/>
              </w:rPr>
              <w:t>设备软件内置中控代码生成器、可实现一键中英文切换</w:t>
            </w:r>
            <w:r>
              <w:rPr>
                <w:rFonts w:hint="eastAsia" w:ascii="宋体" w:hAnsi="宋体" w:cs="宋体"/>
                <w:kern w:val="0"/>
                <w:sz w:val="20"/>
                <w:szCs w:val="20"/>
              </w:rPr>
              <w:br w:type="textWrapping"/>
            </w:r>
            <w:r>
              <w:rPr>
                <w:rFonts w:hint="eastAsia" w:ascii="宋体" w:hAnsi="宋体" w:cs="宋体"/>
                <w:kern w:val="0"/>
                <w:sz w:val="20"/>
                <w:szCs w:val="20"/>
              </w:rPr>
              <w:t>支持设备输入、输出、系统功能分别设置密码进行锁定，实现数据保密</w:t>
            </w:r>
            <w:r>
              <w:rPr>
                <w:rFonts w:hint="eastAsia" w:ascii="宋体" w:hAnsi="宋体" w:cs="宋体"/>
                <w:kern w:val="0"/>
                <w:sz w:val="20"/>
                <w:szCs w:val="20"/>
              </w:rPr>
              <w:br w:type="textWrapping"/>
            </w:r>
            <w:r>
              <w:rPr>
                <w:rFonts w:hint="eastAsia" w:ascii="宋体" w:hAnsi="宋体" w:cs="宋体"/>
                <w:kern w:val="0"/>
                <w:sz w:val="20"/>
                <w:szCs w:val="20"/>
              </w:rPr>
              <w:t>可以通过USB接口或RS485接口连接中控来控制矩阵和通道的哑音</w:t>
            </w:r>
            <w:r>
              <w:rPr>
                <w:rFonts w:hint="eastAsia" w:ascii="宋体" w:hAnsi="宋体" w:cs="宋体"/>
                <w:kern w:val="0"/>
                <w:sz w:val="20"/>
                <w:szCs w:val="20"/>
              </w:rPr>
              <w:br w:type="textWrapping"/>
            </w:r>
            <w:r>
              <w:rPr>
                <w:rFonts w:hint="eastAsia" w:ascii="宋体" w:hAnsi="宋体" w:cs="宋体"/>
                <w:kern w:val="0"/>
                <w:sz w:val="20"/>
                <w:szCs w:val="20"/>
              </w:rPr>
              <w:t xml:space="preserve">输出通道还可控制压缩、限幅及选择输入信号通道，并能将某通道的所有参数复制到另外一个通道同时进行联动控制 </w:t>
            </w:r>
            <w:r>
              <w:rPr>
                <w:rFonts w:ascii="Symbol" w:hAnsi="Symbol" w:cs="宋体"/>
                <w:kern w:val="0"/>
                <w:sz w:val="20"/>
                <w:szCs w:val="20"/>
              </w:rPr>
              <w:t>n</w:t>
            </w:r>
            <w:r>
              <w:rPr>
                <w:rFonts w:hint="eastAsia" w:ascii="宋体" w:hAnsi="宋体" w:cs="宋体"/>
                <w:kern w:val="0"/>
                <w:sz w:val="20"/>
                <w:szCs w:val="20"/>
              </w:rPr>
              <w:t xml:space="preserve"> 可以通过USB接口或RS485接口连接中控来控制矩阵和通道的哑音</w:t>
            </w:r>
            <w:r>
              <w:rPr>
                <w:rFonts w:hint="eastAsia" w:ascii="宋体" w:hAnsi="宋体" w:cs="宋体"/>
                <w:kern w:val="0"/>
                <w:sz w:val="20"/>
                <w:szCs w:val="20"/>
              </w:rPr>
              <w:br w:type="textWrapping"/>
            </w:r>
            <w:r>
              <w:rPr>
                <w:rFonts w:hint="eastAsia" w:ascii="宋体" w:hAnsi="宋体" w:cs="宋体"/>
                <w:kern w:val="0"/>
                <w:sz w:val="20"/>
                <w:szCs w:val="20"/>
              </w:rPr>
              <w:t>每个输入和输出均有延时和相位控制及哑音设置，延时最长可达1000ms，延时单位可选择毫秒(ms)、米(m)、英尺(ft)三种，延时可通过粗调及细调模式进行调节。</w:t>
            </w:r>
            <w:r>
              <w:rPr>
                <w:rFonts w:hint="eastAsia" w:ascii="宋体" w:hAnsi="宋体" w:cs="宋体"/>
                <w:kern w:val="0"/>
                <w:sz w:val="20"/>
                <w:szCs w:val="20"/>
              </w:rPr>
              <w:br w:type="textWrapping"/>
            </w:r>
            <w:r>
              <w:rPr>
                <w:rFonts w:hint="eastAsia" w:ascii="宋体" w:hAnsi="宋体" w:cs="宋体"/>
                <w:kern w:val="0"/>
                <w:sz w:val="20"/>
                <w:szCs w:val="20"/>
              </w:rPr>
              <w:t>2×24 LCD蓝色背光显示功能设置，5段LED显示输入/输出的精确数字电平表、哑音及编辑状态</w:t>
            </w:r>
            <w:r>
              <w:rPr>
                <w:rFonts w:hint="eastAsia" w:ascii="宋体" w:hAnsi="宋体" w:cs="宋体"/>
                <w:kern w:val="0"/>
                <w:sz w:val="20"/>
                <w:szCs w:val="20"/>
              </w:rPr>
              <w:br w:type="textWrapping"/>
            </w:r>
            <w:r>
              <w:rPr>
                <w:rFonts w:hint="eastAsia" w:ascii="宋体" w:hAnsi="宋体" w:cs="宋体"/>
                <w:kern w:val="0"/>
                <w:sz w:val="20"/>
                <w:szCs w:val="20"/>
              </w:rPr>
              <w:t>每个输入通道可调噪声门，并且每个输入通道有两段全参数可调的动态均衡（DEQ），自动增益控制</w:t>
            </w:r>
            <w:r>
              <w:rPr>
                <w:rFonts w:hint="eastAsia" w:ascii="宋体" w:hAnsi="宋体" w:cs="宋体"/>
                <w:kern w:val="0"/>
                <w:sz w:val="20"/>
                <w:szCs w:val="20"/>
              </w:rPr>
              <w:br w:type="textWrapping"/>
            </w:r>
            <w:r>
              <w:rPr>
                <w:rFonts w:hint="eastAsia" w:ascii="宋体" w:hAnsi="宋体" w:cs="宋体"/>
                <w:kern w:val="0"/>
                <w:sz w:val="20"/>
                <w:szCs w:val="20"/>
              </w:rPr>
              <w:t>每个输入和输出均有6段独立的全参量均衡，调节增益范围可达±20dB，同时还可选择参量、高调、低调、1阶全通、2阶全通5种均衡模式</w:t>
            </w:r>
            <w:r>
              <w:rPr>
                <w:rFonts w:hint="eastAsia" w:ascii="宋体" w:hAnsi="宋体" w:cs="宋体"/>
                <w:kern w:val="0"/>
                <w:sz w:val="20"/>
                <w:szCs w:val="20"/>
              </w:rPr>
              <w:br w:type="textWrapping"/>
            </w:r>
            <w:r>
              <w:rPr>
                <w:rFonts w:hint="eastAsia" w:ascii="宋体" w:hAnsi="宋体" w:cs="宋体"/>
                <w:kern w:val="0"/>
                <w:sz w:val="20"/>
                <w:szCs w:val="20"/>
              </w:rPr>
              <w:t>可通过面板的SYSTEM按键来设定密码锁定面板控制功能，以防止参数被修改</w:t>
            </w:r>
            <w:r>
              <w:rPr>
                <w:rFonts w:hint="eastAsia" w:ascii="宋体" w:hAnsi="宋体" w:cs="宋体"/>
                <w:kern w:val="0"/>
                <w:sz w:val="20"/>
                <w:szCs w:val="20"/>
              </w:rPr>
              <w:br w:type="textWrapping"/>
            </w:r>
            <w:r>
              <w:rPr>
                <w:rFonts w:hint="eastAsia" w:ascii="宋体" w:hAnsi="宋体" w:cs="宋体"/>
                <w:kern w:val="0"/>
                <w:sz w:val="20"/>
                <w:szCs w:val="20"/>
              </w:rPr>
              <w:t>单机最多可存储30组用户程序</w:t>
            </w:r>
            <w:r>
              <w:rPr>
                <w:rFonts w:hint="eastAsia" w:ascii="宋体" w:hAnsi="宋体" w:cs="宋体"/>
                <w:kern w:val="0"/>
                <w:sz w:val="20"/>
                <w:szCs w:val="20"/>
              </w:rPr>
              <w:br w:type="textWrapping"/>
            </w:r>
            <w:r>
              <w:rPr>
                <w:rFonts w:hint="eastAsia" w:ascii="宋体" w:hAnsi="宋体" w:cs="宋体"/>
                <w:kern w:val="0"/>
                <w:sz w:val="20"/>
                <w:szCs w:val="20"/>
              </w:rPr>
              <w:t>直接用面板的功能键和拔轮进行功能设置或是连接电脑通过PC控制软件来控制，均十分方便、直观和简洁</w:t>
            </w:r>
            <w:r>
              <w:rPr>
                <w:rFonts w:hint="eastAsia" w:ascii="宋体" w:hAnsi="宋体" w:cs="宋体"/>
                <w:kern w:val="0"/>
                <w:sz w:val="20"/>
                <w:szCs w:val="20"/>
              </w:rPr>
              <w:br w:type="textWrapping"/>
            </w:r>
            <w:r>
              <w:rPr>
                <w:rFonts w:hint="eastAsia" w:ascii="宋体" w:hAnsi="宋体" w:cs="宋体"/>
                <w:kern w:val="0"/>
                <w:sz w:val="20"/>
                <w:szCs w:val="20"/>
              </w:rPr>
              <w:t>提供USB2.0、USB3.0和RS485连接电脑，其中RS485接口可最多连接250台设备和超过1500米的距离外用电脑来控制</w:t>
            </w:r>
            <w:r>
              <w:rPr>
                <w:rFonts w:hint="eastAsia" w:ascii="宋体" w:hAnsi="宋体" w:cs="宋体"/>
                <w:kern w:val="0"/>
                <w:sz w:val="20"/>
                <w:szCs w:val="20"/>
              </w:rPr>
              <w:br w:type="textWrapping"/>
            </w:r>
            <w:r>
              <w:rPr>
                <w:rFonts w:hint="eastAsia" w:ascii="宋体" w:hAnsi="宋体" w:cs="宋体"/>
                <w:kern w:val="0"/>
                <w:sz w:val="20"/>
                <w:szCs w:val="20"/>
              </w:rPr>
              <w:t>有2路输入4路输出多种型号选择，可灵活组合多种分频模式，高、低通分频点均可达20Hz～20KHz；</w:t>
            </w:r>
            <w:r>
              <w:rPr>
                <w:rFonts w:hint="eastAsia" w:ascii="宋体" w:hAnsi="宋体" w:cs="宋体"/>
                <w:kern w:val="0"/>
                <w:sz w:val="20"/>
                <w:szCs w:val="20"/>
              </w:rPr>
              <w:br w:type="textWrapping"/>
            </w:r>
            <w:r>
              <w:rPr>
                <w:rFonts w:hint="eastAsia" w:ascii="宋体" w:hAnsi="宋体" w:cs="宋体"/>
                <w:kern w:val="0"/>
                <w:sz w:val="20"/>
                <w:szCs w:val="20"/>
              </w:rPr>
              <w:t>96KHz采样频率，32-bit DSP处理器，24-bit A/D及D/A转换</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ITC、迪士普、湖山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175</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电源时序器</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1.设有电子锁，可手动控制十路电源依次开启。</w:t>
            </w:r>
            <w:r>
              <w:rPr>
                <w:rFonts w:hint="eastAsia" w:ascii="宋体" w:hAnsi="宋体" w:cs="宋体"/>
                <w:kern w:val="0"/>
                <w:sz w:val="20"/>
                <w:szCs w:val="20"/>
              </w:rPr>
              <w:br w:type="textWrapping"/>
            </w:r>
            <w:r>
              <w:rPr>
                <w:rFonts w:hint="eastAsia" w:ascii="宋体" w:hAnsi="宋体" w:cs="宋体"/>
                <w:kern w:val="0"/>
                <w:sz w:val="20"/>
                <w:szCs w:val="20"/>
              </w:rPr>
              <w:t>2.可当传统电源时序器使用。</w:t>
            </w:r>
            <w:r>
              <w:rPr>
                <w:rFonts w:hint="eastAsia" w:ascii="宋体" w:hAnsi="宋体" w:cs="宋体"/>
                <w:kern w:val="0"/>
                <w:sz w:val="20"/>
                <w:szCs w:val="20"/>
              </w:rPr>
              <w:br w:type="textWrapping"/>
            </w:r>
            <w:r>
              <w:rPr>
                <w:rFonts w:hint="eastAsia" w:ascii="宋体" w:hAnsi="宋体" w:cs="宋体"/>
                <w:kern w:val="0"/>
                <w:sz w:val="20"/>
                <w:szCs w:val="20"/>
              </w:rPr>
              <w:t>3.设有十路交流电源输出。</w:t>
            </w:r>
            <w:r>
              <w:rPr>
                <w:rFonts w:hint="eastAsia" w:ascii="宋体" w:hAnsi="宋体" w:cs="宋体"/>
                <w:kern w:val="0"/>
                <w:sz w:val="20"/>
                <w:szCs w:val="20"/>
              </w:rPr>
              <w:br w:type="textWrapping"/>
            </w:r>
            <w:r>
              <w:rPr>
                <w:rFonts w:hint="eastAsia" w:ascii="宋体" w:hAnsi="宋体" w:cs="宋体"/>
                <w:kern w:val="0"/>
                <w:sz w:val="20"/>
                <w:szCs w:val="20"/>
              </w:rPr>
              <w:t>电源、功耗 AC220V 50Hz，≤50W</w:t>
            </w:r>
            <w:r>
              <w:rPr>
                <w:rFonts w:hint="eastAsia" w:ascii="宋体" w:hAnsi="宋体" w:cs="宋体"/>
                <w:kern w:val="0"/>
                <w:sz w:val="20"/>
                <w:szCs w:val="20"/>
              </w:rPr>
              <w:br w:type="textWrapping"/>
            </w:r>
            <w:r>
              <w:rPr>
                <w:rFonts w:hint="eastAsia" w:ascii="宋体" w:hAnsi="宋体" w:cs="宋体"/>
                <w:kern w:val="0"/>
                <w:sz w:val="20"/>
                <w:szCs w:val="20"/>
              </w:rPr>
              <w:t xml:space="preserve">单路容量 3KVA </w:t>
            </w:r>
            <w:r>
              <w:rPr>
                <w:rFonts w:hint="eastAsia" w:ascii="宋体" w:hAnsi="宋体" w:cs="宋体"/>
                <w:kern w:val="0"/>
                <w:sz w:val="20"/>
                <w:szCs w:val="20"/>
              </w:rPr>
              <w:br w:type="textWrapping"/>
            </w:r>
            <w:r>
              <w:rPr>
                <w:rFonts w:hint="eastAsia" w:ascii="宋体" w:hAnsi="宋体" w:cs="宋体"/>
                <w:kern w:val="0"/>
                <w:sz w:val="20"/>
                <w:szCs w:val="20"/>
              </w:rPr>
              <w:t>整机容量 5KVA</w:t>
            </w:r>
            <w:r>
              <w:rPr>
                <w:rFonts w:hint="eastAsia" w:ascii="宋体" w:hAnsi="宋体" w:cs="宋体"/>
                <w:kern w:val="0"/>
                <w:sz w:val="20"/>
                <w:szCs w:val="20"/>
              </w:rPr>
              <w:br w:type="textWrapping"/>
            </w:r>
            <w:r>
              <w:rPr>
                <w:rFonts w:hint="eastAsia" w:ascii="宋体" w:hAnsi="宋体" w:cs="宋体"/>
                <w:kern w:val="0"/>
                <w:sz w:val="20"/>
                <w:szCs w:val="20"/>
              </w:rPr>
              <w:t>信噪比, 频响 ≥85dB, 50Hz-18KHz</w:t>
            </w:r>
            <w:r>
              <w:rPr>
                <w:rFonts w:hint="eastAsia" w:ascii="宋体" w:hAnsi="宋体" w:cs="宋体"/>
                <w:kern w:val="0"/>
                <w:sz w:val="20"/>
                <w:szCs w:val="20"/>
              </w:rPr>
              <w:br w:type="textWrapping"/>
            </w:r>
            <w:r>
              <w:rPr>
                <w:rFonts w:hint="eastAsia" w:ascii="宋体" w:hAnsi="宋体" w:cs="宋体"/>
                <w:kern w:val="0"/>
                <w:sz w:val="20"/>
                <w:szCs w:val="20"/>
              </w:rPr>
              <w:t>接口 10路电源输出接口</w:t>
            </w:r>
            <w:r>
              <w:rPr>
                <w:rFonts w:hint="eastAsia" w:ascii="宋体" w:hAnsi="宋体" w:cs="宋体"/>
                <w:kern w:val="0"/>
                <w:sz w:val="20"/>
                <w:szCs w:val="20"/>
              </w:rPr>
              <w:br w:type="textWrapping"/>
            </w:r>
            <w:r>
              <w:rPr>
                <w:rFonts w:hint="eastAsia" w:ascii="宋体" w:hAnsi="宋体" w:cs="宋体"/>
                <w:kern w:val="0"/>
                <w:sz w:val="20"/>
                <w:szCs w:val="20"/>
              </w:rPr>
              <w:t>工作温度、湿度 -10℃～50℃, ≤90%RH（无结露）</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ITC、迪士普、湖山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176</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中控系统</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1、ARM Cortex-A9架构CPU，512M DDR内存，4G Flash闪存；</w:t>
            </w:r>
            <w:r>
              <w:rPr>
                <w:rFonts w:hint="eastAsia" w:ascii="宋体" w:hAnsi="宋体" w:cs="宋体"/>
                <w:kern w:val="0"/>
                <w:sz w:val="20"/>
                <w:szCs w:val="20"/>
              </w:rPr>
              <w:br w:type="textWrapping"/>
            </w:r>
            <w:r>
              <w:rPr>
                <w:rFonts w:hint="eastAsia" w:ascii="宋体" w:hAnsi="宋体" w:cs="宋体"/>
                <w:kern w:val="0"/>
                <w:sz w:val="20"/>
                <w:szCs w:val="20"/>
              </w:rPr>
              <w:t>2、采用1200MHz主频的64位内嵌式处理器；</w:t>
            </w:r>
            <w:r>
              <w:rPr>
                <w:rFonts w:hint="eastAsia" w:ascii="宋体" w:hAnsi="宋体" w:cs="宋体"/>
                <w:kern w:val="0"/>
                <w:sz w:val="20"/>
                <w:szCs w:val="20"/>
              </w:rPr>
              <w:br w:type="textWrapping"/>
            </w:r>
            <w:r>
              <w:rPr>
                <w:rFonts w:hint="eastAsia" w:ascii="宋体" w:hAnsi="宋体" w:cs="宋体"/>
                <w:kern w:val="0"/>
                <w:sz w:val="20"/>
                <w:szCs w:val="20"/>
              </w:rPr>
              <w:t>3、8路独立可编程的红外发射接口，支持控制多台相同或不同的红外设备；</w:t>
            </w:r>
            <w:r>
              <w:rPr>
                <w:rFonts w:hint="eastAsia" w:ascii="宋体" w:hAnsi="宋体" w:cs="宋体"/>
                <w:kern w:val="0"/>
                <w:sz w:val="20"/>
                <w:szCs w:val="20"/>
              </w:rPr>
              <w:br w:type="textWrapping"/>
            </w:r>
            <w:r>
              <w:rPr>
                <w:rFonts w:hint="eastAsia" w:ascii="宋体" w:hAnsi="宋体" w:cs="宋体"/>
                <w:kern w:val="0"/>
                <w:sz w:val="20"/>
                <w:szCs w:val="20"/>
              </w:rPr>
              <w:t>4、8路独立可编程RS-232/422/485控制接口，用户可编程设置多种控制协议和代码；</w:t>
            </w:r>
            <w:r>
              <w:rPr>
                <w:rFonts w:hint="eastAsia" w:ascii="宋体" w:hAnsi="宋体" w:cs="宋体"/>
                <w:kern w:val="0"/>
                <w:sz w:val="20"/>
                <w:szCs w:val="20"/>
              </w:rPr>
              <w:br w:type="textWrapping"/>
            </w:r>
            <w:r>
              <w:rPr>
                <w:rFonts w:hint="eastAsia" w:ascii="宋体" w:hAnsi="宋体" w:cs="宋体"/>
                <w:kern w:val="0"/>
                <w:sz w:val="20"/>
                <w:szCs w:val="20"/>
              </w:rPr>
              <w:t xml:space="preserve">5、8路弱电继电器接口； </w:t>
            </w:r>
            <w:r>
              <w:rPr>
                <w:rFonts w:hint="eastAsia" w:ascii="宋体" w:hAnsi="宋体" w:cs="宋体"/>
                <w:kern w:val="0"/>
                <w:sz w:val="20"/>
                <w:szCs w:val="20"/>
              </w:rPr>
              <w:br w:type="textWrapping"/>
            </w:r>
            <w:r>
              <w:rPr>
                <w:rFonts w:hint="eastAsia" w:ascii="宋体" w:hAnsi="宋体" w:cs="宋体"/>
                <w:kern w:val="0"/>
                <w:sz w:val="20"/>
                <w:szCs w:val="20"/>
              </w:rPr>
              <w:t xml:space="preserve">6、8路数字输入/输出IO接口； </w:t>
            </w:r>
            <w:r>
              <w:rPr>
                <w:rFonts w:hint="eastAsia" w:ascii="宋体" w:hAnsi="宋体" w:cs="宋体"/>
                <w:kern w:val="0"/>
                <w:sz w:val="20"/>
                <w:szCs w:val="20"/>
              </w:rPr>
              <w:br w:type="textWrapping"/>
            </w:r>
            <w:r>
              <w:rPr>
                <w:rFonts w:hint="eastAsia" w:ascii="宋体" w:hAnsi="宋体" w:cs="宋体"/>
                <w:kern w:val="0"/>
                <w:sz w:val="20"/>
                <w:szCs w:val="20"/>
              </w:rPr>
              <w:t xml:space="preserve">7、网络通讯：T-BUS、Ethernet； </w:t>
            </w:r>
            <w:r>
              <w:rPr>
                <w:rFonts w:hint="eastAsia" w:ascii="宋体" w:hAnsi="宋体" w:cs="宋体"/>
                <w:kern w:val="0"/>
                <w:sz w:val="20"/>
                <w:szCs w:val="20"/>
              </w:rPr>
              <w:br w:type="textWrapping"/>
            </w:r>
            <w:r>
              <w:rPr>
                <w:rFonts w:hint="eastAsia" w:ascii="宋体" w:hAnsi="宋体" w:cs="宋体"/>
                <w:kern w:val="0"/>
                <w:sz w:val="20"/>
                <w:szCs w:val="20"/>
              </w:rPr>
              <w:t xml:space="preserve">8、USB2.0编程通讯接口； </w:t>
            </w:r>
            <w:r>
              <w:rPr>
                <w:rFonts w:hint="eastAsia" w:ascii="宋体" w:hAnsi="宋体" w:cs="宋体"/>
                <w:kern w:val="0"/>
                <w:sz w:val="20"/>
                <w:szCs w:val="20"/>
              </w:rPr>
              <w:br w:type="textWrapping"/>
            </w:r>
            <w:r>
              <w:rPr>
                <w:rFonts w:hint="eastAsia" w:ascii="宋体" w:hAnsi="宋体" w:cs="宋体"/>
                <w:kern w:val="0"/>
                <w:sz w:val="20"/>
                <w:szCs w:val="20"/>
              </w:rPr>
              <w:t>9、内嵌式红外学习器，方便调式和维护；</w:t>
            </w:r>
            <w:r>
              <w:rPr>
                <w:rFonts w:hint="eastAsia" w:ascii="宋体" w:hAnsi="宋体" w:cs="宋体"/>
                <w:kern w:val="0"/>
                <w:sz w:val="20"/>
                <w:szCs w:val="20"/>
              </w:rPr>
              <w:br w:type="textWrapping"/>
            </w:r>
            <w:r>
              <w:rPr>
                <w:rFonts w:hint="eastAsia" w:ascii="宋体" w:hAnsi="宋体" w:cs="宋体"/>
                <w:kern w:val="0"/>
                <w:sz w:val="20"/>
                <w:szCs w:val="20"/>
              </w:rPr>
              <w:t>10、支持本地及远程多种控制方式；</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ITC、迪士普、湖山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177</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配电柜</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200KW 标准配电柜(支持远程控制开关机)</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178</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机柜</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42U服务器机柜</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个</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179</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墙面石膏板白色乳胶漆</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75轻钢龙骨9.5mm厚纸面石膏板白色乳胶漆饰面</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86</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180</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白色烤漆板造型墙面</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75轻钢龙骨15mm厚阻燃板基层15mm厚白色烤漆板面层</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42</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181</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背漆玻璃</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75轻钢龙骨10mm厚阻燃板基层5mm厚背漆玻璃面层</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49</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182</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圆柱基层处理</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圆柱基层处理</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6.8</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183</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黑色不锈钢踢脚线</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黑色不锈钢踢脚线</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23.6</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米</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184</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黑色铝方通吊顶天棚</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专用龙骨吊挂，定制黑色铝方通天棚</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29.4</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185</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边棚石膏板基层乳胶漆饰面</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与走廊结合处天花边棚</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16</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186</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配电（电气管线）</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配电（电气管线）</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110</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187</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照明灯具、开关面板、插座</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方型灯具、LED灯带、墙面面光源等</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项</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188</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平面广告及发光字</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墙面喷绘、立体字、发光字、展板、及时贴、绿色树造型</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项</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189</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自助服务终端</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集成打印机、高拍仪、工控机、触摸屏、热敏打印机、身份证读卡器和指纹仪等设备，能够为办事群众提供便捷的政务服务。</w:t>
            </w:r>
            <w:r>
              <w:rPr>
                <w:rFonts w:hint="eastAsia" w:ascii="宋体" w:hAnsi="宋体" w:cs="宋体"/>
                <w:b/>
                <w:bCs/>
                <w:kern w:val="0"/>
                <w:sz w:val="20"/>
                <w:szCs w:val="20"/>
                <w:lang w:eastAsia="zh-CN"/>
              </w:rPr>
              <w:t>终端需能运行行政服务中心综合便民自助终端服务系统，需</w:t>
            </w:r>
            <w:r>
              <w:rPr>
                <w:rFonts w:hint="eastAsia" w:ascii="宋体" w:hAnsi="宋体" w:cs="宋体"/>
                <w:b/>
                <w:bCs/>
                <w:kern w:val="0"/>
                <w:sz w:val="20"/>
                <w:szCs w:val="20"/>
                <w:lang w:val="en-US" w:eastAsia="zh-CN"/>
              </w:rPr>
              <w:t>作出承诺</w:t>
            </w:r>
            <w:r>
              <w:rPr>
                <w:rFonts w:hint="eastAsia" w:ascii="宋体" w:hAnsi="宋体" w:cs="宋体"/>
                <w:b/>
                <w:bCs/>
                <w:kern w:val="0"/>
                <w:sz w:val="20"/>
                <w:szCs w:val="20"/>
                <w:lang w:eastAsia="zh-CN"/>
              </w:rPr>
              <w:t>。</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南威、国泰、金赋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190</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平板电脑</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xml:space="preserve">11英寸 2.5k高清屏 刷新率120Hz </w:t>
            </w:r>
            <w:r>
              <w:rPr>
                <w:rFonts w:hint="eastAsia" w:ascii="宋体" w:hAnsi="宋体" w:cs="宋体"/>
                <w:kern w:val="0"/>
                <w:sz w:val="20"/>
                <w:szCs w:val="20"/>
              </w:rPr>
              <w:br w:type="textWrapping"/>
            </w:r>
            <w:r>
              <w:rPr>
                <w:rFonts w:hint="eastAsia" w:ascii="宋体" w:hAnsi="宋体" w:cs="宋体"/>
                <w:kern w:val="0"/>
                <w:sz w:val="20"/>
                <w:szCs w:val="20"/>
              </w:rPr>
              <w:t xml:space="preserve">连接方式WiFi </w:t>
            </w:r>
            <w:r>
              <w:rPr>
                <w:rFonts w:hint="eastAsia" w:ascii="宋体" w:hAnsi="宋体" w:cs="宋体"/>
                <w:kern w:val="0"/>
                <w:sz w:val="20"/>
                <w:szCs w:val="20"/>
              </w:rPr>
              <w:br w:type="textWrapping"/>
            </w:r>
            <w:r>
              <w:rPr>
                <w:rFonts w:hint="eastAsia" w:ascii="宋体" w:hAnsi="宋体" w:cs="宋体"/>
                <w:kern w:val="0"/>
                <w:sz w:val="20"/>
                <w:szCs w:val="20"/>
              </w:rPr>
              <w:t xml:space="preserve">电池容量≥8000mAh </w:t>
            </w:r>
            <w:r>
              <w:rPr>
                <w:rFonts w:hint="eastAsia" w:ascii="宋体" w:hAnsi="宋体" w:cs="宋体"/>
                <w:kern w:val="0"/>
                <w:sz w:val="20"/>
                <w:szCs w:val="20"/>
              </w:rPr>
              <w:br w:type="textWrapping"/>
            </w:r>
            <w:r>
              <w:rPr>
                <w:rFonts w:hint="eastAsia" w:ascii="宋体" w:hAnsi="宋体" w:cs="宋体"/>
                <w:kern w:val="0"/>
                <w:sz w:val="20"/>
                <w:szCs w:val="20"/>
              </w:rPr>
              <w:t>处理器≥骁龙870，</w:t>
            </w:r>
            <w:r>
              <w:rPr>
                <w:rFonts w:hint="eastAsia" w:ascii="宋体" w:hAnsi="宋体" w:cs="宋体"/>
                <w:kern w:val="0"/>
                <w:sz w:val="20"/>
                <w:szCs w:val="20"/>
              </w:rPr>
              <w:br w:type="textWrapping"/>
            </w:r>
            <w:r>
              <w:rPr>
                <w:rFonts w:hint="eastAsia" w:ascii="宋体" w:hAnsi="宋体" w:cs="宋体"/>
                <w:kern w:val="0"/>
                <w:sz w:val="20"/>
                <w:szCs w:val="20"/>
              </w:rPr>
              <w:t>内存组合≥6+128g</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b/>
                <w:bCs/>
                <w:kern w:val="0"/>
                <w:sz w:val="20"/>
                <w:szCs w:val="20"/>
              </w:rPr>
            </w:pPr>
            <w:r>
              <w:rPr>
                <w:rFonts w:hint="eastAsia" w:ascii="宋体" w:hAnsi="宋体" w:cs="宋体"/>
                <w:b/>
                <w:bCs/>
                <w:kern w:val="0"/>
                <w:sz w:val="20"/>
                <w:szCs w:val="20"/>
              </w:rPr>
              <w:t>　</w:t>
            </w:r>
          </w:p>
        </w:tc>
        <w:tc>
          <w:tcPr>
            <w:tcW w:w="1414" w:type="dxa"/>
            <w:noWrap w:val="0"/>
            <w:vAlign w:val="center"/>
          </w:tcPr>
          <w:p>
            <w:pPr>
              <w:widowControl/>
              <w:snapToGrid w:val="0"/>
              <w:jc w:val="center"/>
              <w:rPr>
                <w:rFonts w:ascii="宋体" w:hAnsi="宋体" w:cs="宋体"/>
                <w:b/>
                <w:bCs/>
                <w:kern w:val="0"/>
                <w:sz w:val="20"/>
                <w:szCs w:val="20"/>
              </w:rPr>
            </w:pPr>
            <w:r>
              <w:rPr>
                <w:rFonts w:hint="eastAsia" w:ascii="宋体" w:hAnsi="宋体" w:cs="宋体"/>
                <w:b/>
                <w:bCs/>
                <w:kern w:val="0"/>
                <w:sz w:val="20"/>
                <w:szCs w:val="20"/>
              </w:rPr>
              <w:t>华为、小米、联想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191</w:t>
            </w:r>
          </w:p>
        </w:tc>
        <w:tc>
          <w:tcPr>
            <w:tcW w:w="425" w:type="dxa"/>
            <w:vMerge w:val="restart"/>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基础建设</w:t>
            </w:r>
          </w:p>
        </w:tc>
        <w:tc>
          <w:tcPr>
            <w:tcW w:w="417" w:type="dxa"/>
            <w:vMerge w:val="restart"/>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综合布线</w:t>
            </w: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双口86型面板</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双口86型面板</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11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个</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西蒙、一舟、普天天纪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192</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6类非屏蔽模块</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6类非屏蔽数据、语音模块</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22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个</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西蒙、一舟、普天天纪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193</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室内6类网线</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6类非屏蔽双绞线、穿管或线槽内铺设</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1000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米</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sz w:val="20"/>
                <w:szCs w:val="20"/>
              </w:rPr>
              <w:t>西蒙、一舟、普天天纪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194</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2芯皮线光缆</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2芯皮线光缆</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200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米</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西蒙、一舟、普天天纪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195</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6类RJ45头</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6类RJ45水晶</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1000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个</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sz w:val="20"/>
                <w:szCs w:val="20"/>
              </w:rPr>
              <w:t>西蒙、一舟、普天天纪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196</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开关电源</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DC12V/10A；带自恢复功能</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25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个</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明纬、德力西、正泰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197</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室外6类网线</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室外型CAT6</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35000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米</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西蒙、一舟、普天天纪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198</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2芯电缆</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xml:space="preserve"> RVV-2*1.0</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5800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米</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sz w:val="20"/>
                <w:szCs w:val="20"/>
              </w:rPr>
              <w:t>西蒙、一舟、普天天纪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199</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3芯电缆</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xml:space="preserve"> RVV-3*1.5</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2300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米</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sz w:val="20"/>
                <w:szCs w:val="20"/>
              </w:rPr>
              <w:t>西蒙、一舟、普天天纪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20</w:t>
            </w:r>
            <w:r>
              <w:rPr>
                <w:rFonts w:ascii="宋体" w:hAnsi="宋体" w:cs="宋体"/>
                <w:kern w:val="0"/>
                <w:sz w:val="20"/>
                <w:szCs w:val="20"/>
              </w:rPr>
              <w:t>0</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4芯电缆</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xml:space="preserve"> RVV-4*1.0</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2200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米</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西蒙、一舟、普天天纪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20</w:t>
            </w:r>
            <w:r>
              <w:rPr>
                <w:rFonts w:ascii="宋体" w:hAnsi="宋体" w:cs="宋体"/>
                <w:kern w:val="0"/>
                <w:sz w:val="20"/>
                <w:szCs w:val="20"/>
              </w:rPr>
              <w:t>1</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户内信息箱</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户内信息箱350*450*120</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3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个</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鸿雁、超粤、宏发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20</w:t>
            </w:r>
            <w:r>
              <w:rPr>
                <w:rFonts w:ascii="宋体" w:hAnsi="宋体" w:cs="宋体"/>
                <w:kern w:val="0"/>
                <w:sz w:val="20"/>
                <w:szCs w:val="20"/>
              </w:rPr>
              <w:t>2</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室外6芯单模光缆</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穿管或室外管道内铺设</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8600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米</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亨通、湖州、长跃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20</w:t>
            </w:r>
            <w:r>
              <w:rPr>
                <w:rFonts w:ascii="宋体" w:hAnsi="宋体" w:cs="宋体"/>
                <w:kern w:val="0"/>
                <w:sz w:val="20"/>
                <w:szCs w:val="20"/>
              </w:rPr>
              <w:t>3</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室外12芯单模光缆</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穿管或室外管道内铺设</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8800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米</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亨通、湖州、长跃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20</w:t>
            </w:r>
            <w:r>
              <w:rPr>
                <w:rFonts w:ascii="宋体" w:hAnsi="宋体" w:cs="宋体"/>
                <w:kern w:val="0"/>
                <w:sz w:val="20"/>
                <w:szCs w:val="20"/>
              </w:rPr>
              <w:t>4</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室外48芯单模光缆</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穿管或室外管道内铺设</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1100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米</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sz w:val="20"/>
                <w:szCs w:val="20"/>
              </w:rPr>
              <w:t>亨通、湖州、长跃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20</w:t>
            </w:r>
            <w:r>
              <w:rPr>
                <w:rFonts w:ascii="宋体" w:hAnsi="宋体" w:cs="宋体"/>
                <w:kern w:val="0"/>
                <w:sz w:val="20"/>
                <w:szCs w:val="20"/>
              </w:rPr>
              <w:t>5</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室外96芯单模光缆</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穿管或室外管道内铺设</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1000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米</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亨通、湖州、长跃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hint="eastAsia" w:ascii="宋体" w:hAnsi="宋体" w:cs="宋体"/>
                <w:kern w:val="0"/>
                <w:sz w:val="20"/>
                <w:szCs w:val="20"/>
              </w:rPr>
            </w:pPr>
            <w:r>
              <w:rPr>
                <w:rFonts w:hint="eastAsia" w:ascii="宋体" w:hAnsi="宋体" w:cs="宋体"/>
                <w:kern w:val="0"/>
                <w:sz w:val="20"/>
                <w:szCs w:val="20"/>
              </w:rPr>
              <w:t>20</w:t>
            </w:r>
            <w:r>
              <w:rPr>
                <w:rFonts w:ascii="宋体" w:hAnsi="宋体" w:cs="宋体"/>
                <w:kern w:val="0"/>
                <w:sz w:val="20"/>
                <w:szCs w:val="20"/>
              </w:rPr>
              <w:t>6</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hint="eastAsia" w:ascii="宋体" w:hAnsi="宋体" w:cs="宋体"/>
                <w:kern w:val="0"/>
                <w:sz w:val="20"/>
                <w:szCs w:val="20"/>
              </w:rPr>
            </w:pPr>
            <w:r>
              <w:rPr>
                <w:rFonts w:hint="eastAsia" w:ascii="宋体" w:hAnsi="宋体" w:cs="宋体"/>
                <w:kern w:val="0"/>
                <w:sz w:val="20"/>
                <w:szCs w:val="20"/>
              </w:rPr>
              <w:t>电缆</w:t>
            </w:r>
          </w:p>
        </w:tc>
        <w:tc>
          <w:tcPr>
            <w:tcW w:w="8222" w:type="dxa"/>
            <w:noWrap w:val="0"/>
            <w:vAlign w:val="center"/>
          </w:tcPr>
          <w:p>
            <w:pPr>
              <w:widowControl/>
              <w:snapToGrid w:val="0"/>
              <w:jc w:val="left"/>
              <w:rPr>
                <w:rFonts w:hint="eastAsia" w:ascii="宋体" w:hAnsi="宋体" w:cs="宋体"/>
                <w:kern w:val="0"/>
                <w:sz w:val="20"/>
                <w:szCs w:val="20"/>
              </w:rPr>
            </w:pPr>
            <w:r>
              <w:rPr>
                <w:rFonts w:hint="eastAsia" w:ascii="宋体" w:hAnsi="宋体" w:cs="宋体"/>
                <w:kern w:val="0"/>
                <w:sz w:val="20"/>
                <w:szCs w:val="20"/>
              </w:rPr>
              <w:t>YJV-3*</w:t>
            </w:r>
            <w:r>
              <w:rPr>
                <w:rFonts w:ascii="宋体" w:hAnsi="宋体" w:cs="宋体"/>
                <w:kern w:val="0"/>
                <w:sz w:val="20"/>
                <w:szCs w:val="20"/>
              </w:rPr>
              <w:t>2.5</w:t>
            </w:r>
          </w:p>
        </w:tc>
        <w:tc>
          <w:tcPr>
            <w:tcW w:w="724" w:type="dxa"/>
            <w:noWrap w:val="0"/>
            <w:vAlign w:val="center"/>
          </w:tcPr>
          <w:p>
            <w:pPr>
              <w:widowControl/>
              <w:snapToGrid w:val="0"/>
              <w:jc w:val="center"/>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r>
              <w:rPr>
                <w:rFonts w:hint="eastAsia" w:ascii="宋体" w:hAnsi="宋体" w:cs="宋体"/>
                <w:kern w:val="0"/>
                <w:sz w:val="20"/>
                <w:szCs w:val="20"/>
              </w:rPr>
              <w:t xml:space="preserve">00 </w:t>
            </w:r>
          </w:p>
        </w:tc>
        <w:tc>
          <w:tcPr>
            <w:tcW w:w="472" w:type="dxa"/>
            <w:noWrap w:val="0"/>
            <w:vAlign w:val="center"/>
          </w:tcPr>
          <w:p>
            <w:pPr>
              <w:widowControl/>
              <w:snapToGrid w:val="0"/>
              <w:jc w:val="center"/>
              <w:rPr>
                <w:rFonts w:hint="eastAsia" w:ascii="宋体" w:hAnsi="宋体" w:cs="宋体"/>
                <w:kern w:val="0"/>
                <w:sz w:val="20"/>
                <w:szCs w:val="20"/>
              </w:rPr>
            </w:pPr>
            <w:r>
              <w:rPr>
                <w:rFonts w:hint="eastAsia" w:ascii="宋体" w:hAnsi="宋体" w:cs="宋体"/>
                <w:kern w:val="0"/>
                <w:sz w:val="20"/>
                <w:szCs w:val="20"/>
              </w:rPr>
              <w:t>米</w:t>
            </w:r>
          </w:p>
        </w:tc>
        <w:tc>
          <w:tcPr>
            <w:tcW w:w="675" w:type="dxa"/>
            <w:noWrap w:val="0"/>
            <w:vAlign w:val="center"/>
          </w:tcPr>
          <w:p>
            <w:pPr>
              <w:widowControl/>
              <w:snapToGrid w:val="0"/>
              <w:jc w:val="center"/>
              <w:rPr>
                <w:rFonts w:hint="eastAsia"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hint="eastAsia" w:ascii="宋体" w:hAnsi="宋体" w:cs="宋体"/>
                <w:kern w:val="0"/>
                <w:sz w:val="20"/>
                <w:szCs w:val="20"/>
              </w:rPr>
            </w:pPr>
            <w:r>
              <w:rPr>
                <w:rFonts w:hint="eastAsia" w:ascii="宋体" w:hAnsi="宋体" w:cs="宋体"/>
                <w:kern w:val="0"/>
                <w:sz w:val="20"/>
                <w:szCs w:val="20"/>
              </w:rPr>
              <w:t>亘古、万马、飞洲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207</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电缆</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YJV-3*6+1*4</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1800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米</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亘古、万马、飞洲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208</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电缆</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YJV-3*35+2*16</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500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米</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亘古、万马、飞洲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209</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电缆</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YJV-3×50＋2×35</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300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米</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亘古、万马、飞洲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210</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电缆头</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与电缆配套</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120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只</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亘古、万马、飞洲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211</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24口</w:t>
            </w:r>
            <w:r>
              <w:rPr>
                <w:rFonts w:ascii="宋体" w:hAnsi="宋体" w:cs="宋体"/>
                <w:kern w:val="0"/>
                <w:sz w:val="20"/>
                <w:szCs w:val="20"/>
              </w:rPr>
              <w:t>6</w:t>
            </w:r>
            <w:r>
              <w:rPr>
                <w:rFonts w:hint="eastAsia" w:ascii="宋体" w:hAnsi="宋体" w:cs="宋体"/>
                <w:kern w:val="0"/>
                <w:sz w:val="20"/>
                <w:szCs w:val="20"/>
              </w:rPr>
              <w:t>类配线架</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含模块、柜内或箱内安装</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个</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不带寻址</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西蒙、一舟、普天天纪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212</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24口光纤配线架</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柜内或箱内安装</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19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个</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西蒙、一舟、普天天纪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213</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12口光纤配线架</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柜内或箱内安装</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30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个</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西蒙、一舟、普天天纪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214</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24口光纤配线架</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柜内或箱内安装</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12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个</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西蒙、一舟、普天天纪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215</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光纤熔接</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光纤熔接</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1066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头</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216</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LC单模尾纤</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2米LC-LC尾纤</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460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根</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西蒙、一舟、普天天纪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217</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3米跳线</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LC-LC双芯单模光纤，机柜内安装</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255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根</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西蒙、一舟、普天天纪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218</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3米跳线</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超五类网线，机柜内安装</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100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根</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西蒙、一舟、普天天纪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219</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1U理线器</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机柜内安装</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8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个</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西蒙、一舟、普天天纪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220</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室外抱杆挂箱</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箱体外观及结构：可以墙挂、挂杆式两用安装；</w:t>
            </w:r>
          </w:p>
          <w:p>
            <w:pPr>
              <w:widowControl/>
              <w:snapToGrid w:val="0"/>
              <w:jc w:val="left"/>
              <w:rPr>
                <w:rFonts w:ascii="宋体" w:hAnsi="宋体" w:cs="宋体"/>
                <w:kern w:val="0"/>
                <w:sz w:val="20"/>
                <w:szCs w:val="20"/>
              </w:rPr>
            </w:pPr>
            <w:r>
              <w:rPr>
                <w:rFonts w:hint="eastAsia" w:ascii="宋体" w:hAnsi="宋体" w:cs="宋体"/>
                <w:kern w:val="0"/>
                <w:sz w:val="20"/>
                <w:szCs w:val="20"/>
              </w:rPr>
              <w:t>箱体尺寸：(宽)400×(深)250×(高)500mm；</w:t>
            </w:r>
          </w:p>
          <w:p>
            <w:pPr>
              <w:widowControl/>
              <w:snapToGrid w:val="0"/>
              <w:jc w:val="left"/>
              <w:rPr>
                <w:rFonts w:ascii="宋体" w:hAnsi="宋体" w:cs="宋体"/>
                <w:kern w:val="0"/>
                <w:sz w:val="20"/>
                <w:szCs w:val="20"/>
              </w:rPr>
            </w:pPr>
            <w:r>
              <w:rPr>
                <w:rFonts w:hint="eastAsia" w:ascii="宋体" w:hAnsi="宋体" w:cs="宋体"/>
                <w:kern w:val="0"/>
                <w:sz w:val="20"/>
                <w:szCs w:val="20"/>
              </w:rPr>
              <w:t>材料厚度：0.9mm；</w:t>
            </w:r>
          </w:p>
          <w:p>
            <w:pPr>
              <w:widowControl/>
              <w:snapToGrid w:val="0"/>
              <w:jc w:val="left"/>
              <w:rPr>
                <w:rFonts w:ascii="宋体" w:hAnsi="宋体" w:cs="宋体"/>
                <w:kern w:val="0"/>
                <w:sz w:val="20"/>
                <w:szCs w:val="20"/>
              </w:rPr>
            </w:pPr>
            <w:r>
              <w:rPr>
                <w:rFonts w:hint="eastAsia" w:ascii="宋体" w:hAnsi="宋体" w:cs="宋体"/>
                <w:kern w:val="0"/>
                <w:sz w:val="20"/>
                <w:szCs w:val="20"/>
              </w:rPr>
              <w:t>箱体材料：采用201不锈钢材质；</w:t>
            </w:r>
          </w:p>
          <w:p>
            <w:pPr>
              <w:widowControl/>
              <w:snapToGrid w:val="0"/>
              <w:jc w:val="left"/>
              <w:rPr>
                <w:rFonts w:ascii="宋体" w:hAnsi="宋体" w:cs="宋体"/>
                <w:kern w:val="0"/>
                <w:sz w:val="20"/>
                <w:szCs w:val="20"/>
              </w:rPr>
            </w:pPr>
            <w:r>
              <w:rPr>
                <w:rFonts w:hint="eastAsia" w:ascii="宋体" w:hAnsi="宋体" w:cs="宋体"/>
                <w:kern w:val="0"/>
                <w:sz w:val="20"/>
                <w:szCs w:val="20"/>
              </w:rPr>
              <w:t>结构为露天防雨箱，门采用防水结构；</w:t>
            </w:r>
          </w:p>
          <w:p>
            <w:pPr>
              <w:widowControl/>
              <w:snapToGrid w:val="0"/>
              <w:jc w:val="left"/>
              <w:rPr>
                <w:rFonts w:ascii="宋体" w:hAnsi="宋体" w:cs="宋体"/>
                <w:kern w:val="0"/>
                <w:sz w:val="20"/>
                <w:szCs w:val="20"/>
              </w:rPr>
            </w:pPr>
            <w:r>
              <w:rPr>
                <w:rFonts w:hint="eastAsia" w:ascii="宋体" w:hAnsi="宋体" w:cs="宋体"/>
                <w:kern w:val="0"/>
                <w:sz w:val="20"/>
                <w:szCs w:val="20"/>
              </w:rPr>
              <w:t>锁采用防水全封闭式；</w:t>
            </w:r>
          </w:p>
          <w:p>
            <w:pPr>
              <w:widowControl/>
              <w:snapToGrid w:val="0"/>
              <w:jc w:val="left"/>
              <w:rPr>
                <w:rFonts w:ascii="宋体" w:hAnsi="宋体" w:cs="宋体"/>
                <w:kern w:val="0"/>
                <w:sz w:val="20"/>
                <w:szCs w:val="20"/>
              </w:rPr>
            </w:pPr>
            <w:r>
              <w:rPr>
                <w:rFonts w:hint="eastAsia" w:ascii="宋体" w:hAnsi="宋体" w:cs="宋体"/>
                <w:kern w:val="0"/>
                <w:sz w:val="20"/>
                <w:szCs w:val="20"/>
              </w:rPr>
              <w:t>采用遮阳顶棚，在机箱下部设计了换气百叶窗；</w:t>
            </w:r>
          </w:p>
          <w:p>
            <w:pPr>
              <w:widowControl/>
              <w:snapToGrid w:val="0"/>
              <w:jc w:val="left"/>
              <w:rPr>
                <w:rFonts w:ascii="宋体" w:hAnsi="宋体" w:cs="宋体"/>
                <w:kern w:val="0"/>
                <w:sz w:val="20"/>
                <w:szCs w:val="20"/>
              </w:rPr>
            </w:pPr>
            <w:r>
              <w:rPr>
                <w:rFonts w:hint="eastAsia" w:ascii="宋体" w:hAnsi="宋体" w:cs="宋体"/>
                <w:kern w:val="0"/>
                <w:sz w:val="20"/>
                <w:szCs w:val="20"/>
              </w:rPr>
              <w:t>箱体防护等级：达到IP53防护等级；</w:t>
            </w:r>
          </w:p>
          <w:p>
            <w:pPr>
              <w:widowControl/>
              <w:snapToGrid w:val="0"/>
              <w:jc w:val="left"/>
              <w:rPr>
                <w:rFonts w:ascii="宋体" w:hAnsi="宋体" w:cs="宋体"/>
                <w:kern w:val="0"/>
                <w:sz w:val="20"/>
                <w:szCs w:val="20"/>
              </w:rPr>
            </w:pPr>
            <w:r>
              <w:rPr>
                <w:rFonts w:hint="eastAsia" w:ascii="宋体" w:hAnsi="宋体" w:cs="宋体"/>
                <w:kern w:val="0"/>
                <w:sz w:val="20"/>
                <w:szCs w:val="20"/>
              </w:rPr>
              <w:t>内部:含光纤熔接盘、光缆固定架、4位插座接线板、1只2P32A空开、层板1块及相关固定件等。</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47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个</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鸿雁、超粤、宏发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221</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室外落地式汇聚箱</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箱体外观及结构：落地式安装；</w:t>
            </w:r>
          </w:p>
          <w:p>
            <w:pPr>
              <w:widowControl/>
              <w:snapToGrid w:val="0"/>
              <w:jc w:val="left"/>
              <w:rPr>
                <w:rFonts w:ascii="宋体" w:hAnsi="宋体" w:cs="宋体"/>
                <w:kern w:val="0"/>
                <w:sz w:val="20"/>
                <w:szCs w:val="20"/>
              </w:rPr>
            </w:pPr>
            <w:r>
              <w:rPr>
                <w:rFonts w:hint="eastAsia" w:ascii="宋体" w:hAnsi="宋体" w:cs="宋体"/>
                <w:kern w:val="0"/>
                <w:sz w:val="20"/>
                <w:szCs w:val="20"/>
              </w:rPr>
              <w:t>箱体尺寸：宽500×高800+座150×深500（mm）；</w:t>
            </w:r>
          </w:p>
          <w:p>
            <w:pPr>
              <w:widowControl/>
              <w:snapToGrid w:val="0"/>
              <w:jc w:val="left"/>
              <w:rPr>
                <w:rFonts w:ascii="宋体" w:hAnsi="宋体" w:cs="宋体"/>
                <w:kern w:val="0"/>
                <w:sz w:val="20"/>
                <w:szCs w:val="20"/>
              </w:rPr>
            </w:pPr>
            <w:r>
              <w:rPr>
                <w:rFonts w:hint="eastAsia" w:ascii="宋体" w:hAnsi="宋体" w:cs="宋体"/>
                <w:kern w:val="0"/>
                <w:sz w:val="20"/>
                <w:szCs w:val="20"/>
              </w:rPr>
              <w:t>材料厚度：1.1mm；</w:t>
            </w:r>
          </w:p>
          <w:p>
            <w:pPr>
              <w:widowControl/>
              <w:snapToGrid w:val="0"/>
              <w:jc w:val="left"/>
              <w:rPr>
                <w:rFonts w:ascii="宋体" w:hAnsi="宋体" w:cs="宋体"/>
                <w:kern w:val="0"/>
                <w:sz w:val="20"/>
                <w:szCs w:val="20"/>
              </w:rPr>
            </w:pPr>
            <w:r>
              <w:rPr>
                <w:rFonts w:hint="eastAsia" w:ascii="宋体" w:hAnsi="宋体" w:cs="宋体"/>
                <w:kern w:val="0"/>
                <w:sz w:val="20"/>
                <w:szCs w:val="20"/>
              </w:rPr>
              <w:t>箱体材料：采用201不锈钢材质；</w:t>
            </w:r>
          </w:p>
          <w:p>
            <w:pPr>
              <w:widowControl/>
              <w:snapToGrid w:val="0"/>
              <w:jc w:val="left"/>
              <w:rPr>
                <w:rFonts w:ascii="宋体" w:hAnsi="宋体" w:cs="宋体"/>
                <w:kern w:val="0"/>
                <w:sz w:val="20"/>
                <w:szCs w:val="20"/>
              </w:rPr>
            </w:pPr>
            <w:r>
              <w:rPr>
                <w:rFonts w:hint="eastAsia" w:ascii="宋体" w:hAnsi="宋体" w:cs="宋体"/>
                <w:kern w:val="0"/>
                <w:sz w:val="20"/>
                <w:szCs w:val="20"/>
              </w:rPr>
              <w:t>结构为露天防雨箱，门采用防水结构；</w:t>
            </w:r>
          </w:p>
          <w:p>
            <w:pPr>
              <w:widowControl/>
              <w:snapToGrid w:val="0"/>
              <w:jc w:val="left"/>
              <w:rPr>
                <w:rFonts w:ascii="宋体" w:hAnsi="宋体" w:cs="宋体"/>
                <w:kern w:val="0"/>
                <w:sz w:val="20"/>
                <w:szCs w:val="20"/>
              </w:rPr>
            </w:pPr>
            <w:r>
              <w:rPr>
                <w:rFonts w:hint="eastAsia" w:ascii="宋体" w:hAnsi="宋体" w:cs="宋体"/>
                <w:kern w:val="0"/>
                <w:sz w:val="20"/>
                <w:szCs w:val="20"/>
              </w:rPr>
              <w:t>锁采用防水全封闭式；</w:t>
            </w:r>
          </w:p>
          <w:p>
            <w:pPr>
              <w:widowControl/>
              <w:snapToGrid w:val="0"/>
              <w:jc w:val="left"/>
              <w:rPr>
                <w:rFonts w:ascii="宋体" w:hAnsi="宋体" w:cs="宋体"/>
                <w:kern w:val="0"/>
                <w:sz w:val="20"/>
                <w:szCs w:val="20"/>
              </w:rPr>
            </w:pPr>
            <w:r>
              <w:rPr>
                <w:rFonts w:hint="eastAsia" w:ascii="宋体" w:hAnsi="宋体" w:cs="宋体"/>
                <w:kern w:val="0"/>
                <w:sz w:val="20"/>
                <w:szCs w:val="20"/>
              </w:rPr>
              <w:t>采用遮阳顶棚，底座与箱体内部之间设计有活动的封板；</w:t>
            </w:r>
          </w:p>
          <w:p>
            <w:pPr>
              <w:widowControl/>
              <w:snapToGrid w:val="0"/>
              <w:jc w:val="left"/>
              <w:rPr>
                <w:rFonts w:ascii="宋体" w:hAnsi="宋体" w:cs="宋体"/>
                <w:kern w:val="0"/>
                <w:sz w:val="20"/>
                <w:szCs w:val="20"/>
              </w:rPr>
            </w:pPr>
            <w:r>
              <w:rPr>
                <w:rFonts w:hint="eastAsia" w:ascii="宋体" w:hAnsi="宋体" w:cs="宋体"/>
                <w:kern w:val="0"/>
                <w:sz w:val="20"/>
                <w:szCs w:val="20"/>
              </w:rPr>
              <w:t>箱体含层板2块；</w:t>
            </w:r>
          </w:p>
          <w:p>
            <w:pPr>
              <w:widowControl/>
              <w:snapToGrid w:val="0"/>
              <w:jc w:val="left"/>
              <w:rPr>
                <w:rFonts w:ascii="宋体" w:hAnsi="宋体" w:cs="宋体"/>
                <w:kern w:val="0"/>
                <w:sz w:val="20"/>
                <w:szCs w:val="20"/>
              </w:rPr>
            </w:pPr>
            <w:r>
              <w:rPr>
                <w:rFonts w:hint="eastAsia" w:ascii="宋体" w:hAnsi="宋体" w:cs="宋体"/>
                <w:kern w:val="0"/>
                <w:sz w:val="20"/>
                <w:szCs w:val="20"/>
              </w:rPr>
              <w:t>箱体防护等级：达到IP53防护等级；</w:t>
            </w:r>
          </w:p>
          <w:p>
            <w:pPr>
              <w:widowControl/>
              <w:snapToGrid w:val="0"/>
              <w:jc w:val="left"/>
              <w:rPr>
                <w:rFonts w:ascii="宋体" w:hAnsi="宋体" w:cs="宋体"/>
                <w:kern w:val="0"/>
                <w:sz w:val="20"/>
                <w:szCs w:val="20"/>
              </w:rPr>
            </w:pPr>
            <w:r>
              <w:rPr>
                <w:rFonts w:hint="eastAsia" w:ascii="宋体" w:hAnsi="宋体" w:cs="宋体"/>
                <w:kern w:val="0"/>
                <w:sz w:val="20"/>
                <w:szCs w:val="20"/>
              </w:rPr>
              <w:t>内部:含光纤熔接盘、光缆固定架、4个5孔插座接线板、3只2P32A空开、自动重合闸XYLD-63、温控风扇、相关固定件等。</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5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鸿雁、超粤、宏发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222</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电力分支箱</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含空开</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18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个</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鸿雁、超粤、宏发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223</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电力分支箱基础</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C20混凝土，1100*600*950（长宽深）</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18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224</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墙柜</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墙面安装</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建云、图腾、跃图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225</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42U机柜</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600*600*2000落地安装</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5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建云、图腾、跃图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226</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42U服务器机柜</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1200*600*2000落地安装</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建云、图腾、跃图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227</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restart"/>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综合管路</w:t>
            </w: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弱电桥架(金属防火型),</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中间带防火隔板 200×100</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220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米</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萧山恒光、浙江远大、浩翔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228</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镀锌钢管</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SC50</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5000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米</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浙江金洲、湖光、天津利达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229</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半硬质塑料管</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PE40</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60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米</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伟星、中财、公元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230</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半硬质塑料管</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PE50</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1800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米</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伟星、中财、公元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231</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半硬质塑料管</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PVC20</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2700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米</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伟星、中财、公元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232</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强电手孔井</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强电手孔井400*400</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个</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233</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强电手孔井</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强电2#手孔井</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55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个</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234</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弱电手孔井</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弱电手孔井500*400</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65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个</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235</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弱电手孔井</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弱电手孔井450*840</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6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个</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236</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4m路灯基础</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800*600*600</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22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个</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237</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监控杆基础</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800*600*600</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57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个</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238</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慢充充电桩基础</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C20混凝土，650*500*200（长宽深）</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20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个</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239</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快充充电桩基础</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C20混凝土，1100*1000*200（长宽深）</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4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个</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240</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MS Gothic" w:hAnsi="MS Gothic" w:eastAsia="MS Gothic" w:cs="MS Gothic"/>
                <w:kern w:val="0"/>
                <w:sz w:val="20"/>
                <w:szCs w:val="20"/>
              </w:rPr>
              <w:t>∅</w:t>
            </w:r>
            <w:r>
              <w:rPr>
                <w:rFonts w:hint="eastAsia" w:ascii="宋体" w:hAnsi="宋体" w:cs="宋体"/>
                <w:kern w:val="0"/>
                <w:sz w:val="20"/>
                <w:szCs w:val="20"/>
              </w:rPr>
              <w:t>25金属软管</w:t>
            </w:r>
          </w:p>
        </w:tc>
        <w:tc>
          <w:tcPr>
            <w:tcW w:w="8222" w:type="dxa"/>
            <w:noWrap w:val="0"/>
            <w:vAlign w:val="center"/>
          </w:tcPr>
          <w:p>
            <w:pPr>
              <w:widowControl/>
              <w:snapToGrid w:val="0"/>
              <w:jc w:val="left"/>
              <w:rPr>
                <w:rFonts w:ascii="宋体" w:hAnsi="宋体" w:cs="宋体"/>
                <w:kern w:val="0"/>
                <w:sz w:val="20"/>
                <w:szCs w:val="20"/>
              </w:rPr>
            </w:pPr>
            <w:r>
              <w:rPr>
                <w:rFonts w:hint="eastAsia" w:ascii="MS Gothic" w:hAnsi="MS Gothic" w:eastAsia="MS Gothic" w:cs="MS Gothic"/>
                <w:kern w:val="0"/>
                <w:sz w:val="20"/>
                <w:szCs w:val="20"/>
              </w:rPr>
              <w:t>∅</w:t>
            </w:r>
            <w:r>
              <w:rPr>
                <w:rFonts w:hint="eastAsia" w:ascii="宋体" w:hAnsi="宋体" w:cs="宋体"/>
                <w:kern w:val="0"/>
                <w:sz w:val="20"/>
                <w:szCs w:val="20"/>
              </w:rPr>
              <w:t>25金属软管</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800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米</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241</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MS Gothic" w:hAnsi="MS Gothic" w:eastAsia="MS Gothic" w:cs="MS Gothic"/>
                <w:kern w:val="0"/>
                <w:sz w:val="20"/>
                <w:szCs w:val="20"/>
              </w:rPr>
              <w:t>∅</w:t>
            </w:r>
            <w:r>
              <w:rPr>
                <w:rFonts w:hint="eastAsia" w:ascii="宋体" w:hAnsi="宋体" w:cs="宋体"/>
                <w:kern w:val="0"/>
                <w:sz w:val="20"/>
                <w:szCs w:val="20"/>
              </w:rPr>
              <w:t>20金属软管</w:t>
            </w:r>
          </w:p>
        </w:tc>
        <w:tc>
          <w:tcPr>
            <w:tcW w:w="8222" w:type="dxa"/>
            <w:noWrap w:val="0"/>
            <w:vAlign w:val="center"/>
          </w:tcPr>
          <w:p>
            <w:pPr>
              <w:widowControl/>
              <w:snapToGrid w:val="0"/>
              <w:jc w:val="left"/>
              <w:rPr>
                <w:rFonts w:ascii="宋体" w:hAnsi="宋体" w:cs="宋体"/>
                <w:kern w:val="0"/>
                <w:sz w:val="20"/>
                <w:szCs w:val="20"/>
              </w:rPr>
            </w:pPr>
            <w:r>
              <w:rPr>
                <w:rFonts w:hint="eastAsia" w:ascii="MS Gothic" w:hAnsi="MS Gothic" w:eastAsia="MS Gothic" w:cs="MS Gothic"/>
                <w:kern w:val="0"/>
                <w:sz w:val="20"/>
                <w:szCs w:val="20"/>
              </w:rPr>
              <w:t>∅</w:t>
            </w:r>
            <w:r>
              <w:rPr>
                <w:rFonts w:hint="eastAsia" w:ascii="宋体" w:hAnsi="宋体" w:cs="宋体"/>
                <w:kern w:val="0"/>
                <w:sz w:val="20"/>
                <w:szCs w:val="20"/>
              </w:rPr>
              <w:t>20金属软管</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300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米</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sz w:val="20"/>
                <w:szCs w:val="20"/>
              </w:rPr>
              <w:t>国产</w:t>
            </w:r>
            <w:r>
              <w:rPr>
                <w:rFonts w:hint="eastAsia" w:ascii="宋体" w:hAnsi="宋体" w:cs="宋体"/>
                <w:kern w:val="0"/>
                <w:sz w:val="20"/>
                <w:szCs w:val="20"/>
              </w:rPr>
              <w:t>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242</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86型底盒</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86型底盒</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15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只</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西蒙、一舟、普瑞斯曼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243</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管路敷设费用</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开挖、回填土恢复水泥路、石板、绿化等</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6560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米</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244</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restart"/>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机房设备</w:t>
            </w: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数据交换系统</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双服务器主机架构，每个主机2U标准机架式机箱。</w:t>
            </w:r>
          </w:p>
          <w:p>
            <w:pPr>
              <w:widowControl/>
              <w:snapToGrid w:val="0"/>
              <w:jc w:val="left"/>
              <w:rPr>
                <w:rFonts w:ascii="宋体" w:hAnsi="宋体" w:cs="宋体"/>
                <w:kern w:val="0"/>
                <w:sz w:val="20"/>
                <w:szCs w:val="20"/>
              </w:rPr>
            </w:pPr>
            <w:r>
              <w:rPr>
                <w:rFonts w:hint="eastAsia" w:ascii="宋体" w:hAnsi="宋体" w:cs="宋体"/>
                <w:kern w:val="0"/>
                <w:sz w:val="20"/>
                <w:szCs w:val="20"/>
              </w:rPr>
              <w:t>电源特性：服务器专用冗余电源。</w:t>
            </w:r>
          </w:p>
          <w:p>
            <w:pPr>
              <w:widowControl/>
              <w:snapToGrid w:val="0"/>
              <w:jc w:val="left"/>
              <w:rPr>
                <w:rFonts w:ascii="宋体" w:hAnsi="宋体" w:cs="宋体"/>
                <w:kern w:val="0"/>
                <w:sz w:val="20"/>
                <w:szCs w:val="20"/>
              </w:rPr>
            </w:pPr>
            <w:r>
              <w:rPr>
                <w:rFonts w:hint="eastAsia" w:ascii="宋体" w:hAnsi="宋体" w:cs="宋体"/>
                <w:kern w:val="0"/>
                <w:sz w:val="20"/>
                <w:szCs w:val="20"/>
              </w:rPr>
              <w:t>网络接口：内外网主机分别不少于4个100/1000M Base-TX网络接口。USB口：内外网主机分别不少于6个USB口。</w:t>
            </w:r>
          </w:p>
          <w:p>
            <w:pPr>
              <w:widowControl/>
              <w:snapToGrid w:val="0"/>
              <w:jc w:val="left"/>
              <w:rPr>
                <w:rFonts w:ascii="宋体" w:hAnsi="宋体" w:cs="宋体"/>
                <w:kern w:val="0"/>
                <w:sz w:val="20"/>
                <w:szCs w:val="20"/>
              </w:rPr>
            </w:pPr>
            <w:r>
              <w:rPr>
                <w:rFonts w:hint="eastAsia" w:ascii="宋体" w:hAnsi="宋体" w:cs="宋体"/>
                <w:kern w:val="0"/>
                <w:sz w:val="20"/>
                <w:szCs w:val="20"/>
              </w:rPr>
              <w:t>交换能力：≥600Mbps；</w:t>
            </w:r>
          </w:p>
          <w:p>
            <w:pPr>
              <w:widowControl/>
              <w:snapToGrid w:val="0"/>
              <w:jc w:val="left"/>
              <w:rPr>
                <w:rFonts w:ascii="宋体" w:hAnsi="宋体" w:cs="宋体"/>
                <w:kern w:val="0"/>
                <w:sz w:val="20"/>
                <w:szCs w:val="20"/>
              </w:rPr>
            </w:pPr>
            <w:r>
              <w:rPr>
                <w:rFonts w:hint="eastAsia" w:ascii="宋体" w:hAnsi="宋体" w:cs="宋体"/>
                <w:kern w:val="0"/>
                <w:sz w:val="20"/>
                <w:szCs w:val="20"/>
              </w:rPr>
              <w:t>并发会话：6000个；</w:t>
            </w:r>
          </w:p>
          <w:p>
            <w:pPr>
              <w:widowControl/>
              <w:snapToGrid w:val="0"/>
              <w:jc w:val="left"/>
              <w:rPr>
                <w:rFonts w:ascii="宋体" w:hAnsi="宋体" w:cs="宋体"/>
                <w:kern w:val="0"/>
                <w:sz w:val="20"/>
                <w:szCs w:val="20"/>
              </w:rPr>
            </w:pPr>
            <w:r>
              <w:rPr>
                <w:rFonts w:hint="eastAsia" w:ascii="宋体" w:hAnsi="宋体" w:cs="宋体"/>
                <w:kern w:val="0"/>
                <w:sz w:val="20"/>
                <w:szCs w:val="20"/>
              </w:rPr>
              <w:t>数据库到数据库交换记录数（＞100Kb/记录）：≥2000条/秒；</w:t>
            </w:r>
          </w:p>
          <w:p>
            <w:pPr>
              <w:widowControl/>
              <w:snapToGrid w:val="0"/>
              <w:jc w:val="left"/>
              <w:rPr>
                <w:rFonts w:ascii="宋体" w:hAnsi="宋体" w:cs="宋体"/>
                <w:kern w:val="0"/>
                <w:sz w:val="20"/>
                <w:szCs w:val="20"/>
              </w:rPr>
            </w:pPr>
            <w:r>
              <w:rPr>
                <w:rFonts w:hint="eastAsia" w:ascii="宋体" w:hAnsi="宋体" w:cs="宋体"/>
                <w:kern w:val="0"/>
                <w:sz w:val="20"/>
                <w:szCs w:val="20"/>
              </w:rPr>
              <w:t>文件数据处理数（＞100Kb/个）：≥1500个/秒；</w:t>
            </w:r>
          </w:p>
          <w:p>
            <w:pPr>
              <w:widowControl/>
              <w:snapToGrid w:val="0"/>
              <w:jc w:val="left"/>
              <w:rPr>
                <w:rFonts w:ascii="宋体" w:hAnsi="宋体" w:cs="宋体"/>
                <w:kern w:val="0"/>
                <w:sz w:val="20"/>
                <w:szCs w:val="20"/>
              </w:rPr>
            </w:pPr>
            <w:r>
              <w:rPr>
                <w:rFonts w:hint="eastAsia" w:ascii="宋体" w:hAnsi="宋体" w:cs="宋体"/>
                <w:kern w:val="0"/>
                <w:sz w:val="20"/>
                <w:szCs w:val="20"/>
              </w:rPr>
              <w:t>最大支持服务个数：≥60；</w:t>
            </w:r>
          </w:p>
          <w:p>
            <w:pPr>
              <w:widowControl/>
              <w:snapToGrid w:val="0"/>
              <w:jc w:val="left"/>
              <w:rPr>
                <w:rFonts w:ascii="宋体" w:hAnsi="宋体" w:cs="宋体"/>
                <w:kern w:val="0"/>
                <w:sz w:val="20"/>
                <w:szCs w:val="20"/>
              </w:rPr>
            </w:pPr>
            <w:r>
              <w:rPr>
                <w:rFonts w:hint="eastAsia" w:ascii="宋体" w:hAnsi="宋体" w:cs="宋体"/>
                <w:kern w:val="0"/>
                <w:sz w:val="20"/>
                <w:szCs w:val="20"/>
              </w:rPr>
              <w:t>文件数据处理吞吐量：≥600Mbps；</w:t>
            </w:r>
          </w:p>
          <w:p>
            <w:pPr>
              <w:widowControl/>
              <w:snapToGrid w:val="0"/>
              <w:jc w:val="left"/>
              <w:rPr>
                <w:rFonts w:ascii="宋体" w:hAnsi="宋体" w:cs="宋体"/>
                <w:kern w:val="0"/>
                <w:sz w:val="20"/>
                <w:szCs w:val="20"/>
              </w:rPr>
            </w:pPr>
            <w:r>
              <w:rPr>
                <w:rFonts w:hint="eastAsia" w:ascii="宋体" w:hAnsi="宋体" w:cs="宋体"/>
                <w:kern w:val="0"/>
                <w:sz w:val="20"/>
                <w:szCs w:val="20"/>
              </w:rPr>
              <w:t>应用层数据交换速度（FTP）：≥600Mbps；</w:t>
            </w:r>
          </w:p>
          <w:p>
            <w:pPr>
              <w:widowControl/>
              <w:snapToGrid w:val="0"/>
              <w:jc w:val="left"/>
              <w:rPr>
                <w:rFonts w:ascii="宋体" w:hAnsi="宋体" w:cs="宋体"/>
                <w:kern w:val="0"/>
                <w:sz w:val="20"/>
                <w:szCs w:val="20"/>
              </w:rPr>
            </w:pPr>
            <w:r>
              <w:rPr>
                <w:rFonts w:hint="eastAsia" w:ascii="宋体" w:hAnsi="宋体" w:cs="宋体"/>
                <w:kern w:val="0"/>
                <w:sz w:val="20"/>
                <w:szCs w:val="20"/>
              </w:rPr>
              <w:t>最大数据文件：≥30G；</w:t>
            </w:r>
          </w:p>
          <w:p>
            <w:pPr>
              <w:widowControl/>
              <w:snapToGrid w:val="0"/>
              <w:jc w:val="left"/>
              <w:rPr>
                <w:rFonts w:ascii="宋体" w:hAnsi="宋体" w:cs="宋体"/>
                <w:kern w:val="0"/>
                <w:sz w:val="20"/>
                <w:szCs w:val="20"/>
              </w:rPr>
            </w:pPr>
            <w:r>
              <w:rPr>
                <w:rFonts w:hint="eastAsia" w:ascii="宋体" w:hAnsi="宋体" w:cs="宋体"/>
                <w:kern w:val="0"/>
                <w:sz w:val="20"/>
                <w:szCs w:val="20"/>
              </w:rPr>
              <w:t>目录监控触发时间：＜1秒；</w:t>
            </w:r>
          </w:p>
          <w:p>
            <w:pPr>
              <w:widowControl/>
              <w:snapToGrid w:val="0"/>
              <w:jc w:val="left"/>
              <w:rPr>
                <w:rFonts w:ascii="宋体" w:hAnsi="宋体" w:cs="宋体"/>
                <w:kern w:val="0"/>
                <w:sz w:val="20"/>
                <w:szCs w:val="20"/>
              </w:rPr>
            </w:pPr>
            <w:r>
              <w:rPr>
                <w:rFonts w:hint="eastAsia" w:ascii="宋体" w:hAnsi="宋体" w:cs="宋体"/>
                <w:kern w:val="0"/>
                <w:sz w:val="20"/>
                <w:szCs w:val="20"/>
              </w:rPr>
              <w:t>最大传输延时：＜40ms；</w:t>
            </w:r>
          </w:p>
          <w:p>
            <w:pPr>
              <w:widowControl/>
              <w:snapToGrid w:val="0"/>
              <w:jc w:val="left"/>
              <w:rPr>
                <w:rFonts w:ascii="宋体" w:hAnsi="宋体" w:cs="宋体"/>
                <w:b/>
                <w:bCs/>
                <w:color w:val="FF0000"/>
                <w:kern w:val="0"/>
                <w:sz w:val="20"/>
                <w:szCs w:val="20"/>
              </w:rPr>
            </w:pPr>
            <w:r>
              <w:rPr>
                <w:rFonts w:hint="eastAsia" w:ascii="宋体" w:hAnsi="宋体" w:cs="宋体"/>
                <w:kern w:val="0"/>
                <w:sz w:val="20"/>
                <w:szCs w:val="20"/>
              </w:rPr>
              <w:t>稳定性运行时间（MTBF）：＞50000小时；</w:t>
            </w:r>
          </w:p>
          <w:p>
            <w:pPr>
              <w:widowControl/>
              <w:snapToGrid w:val="0"/>
              <w:jc w:val="left"/>
              <w:rPr>
                <w:rFonts w:ascii="宋体" w:hAnsi="宋体" w:cs="宋体"/>
                <w:kern w:val="0"/>
                <w:sz w:val="20"/>
                <w:szCs w:val="20"/>
              </w:rPr>
            </w:pPr>
            <w:r>
              <w:rPr>
                <w:rFonts w:hint="eastAsia" w:ascii="宋体" w:hAnsi="宋体" w:cs="宋体"/>
                <w:kern w:val="0"/>
                <w:sz w:val="20"/>
                <w:szCs w:val="20"/>
              </w:rPr>
              <w:t>3年原厂硬件维保服务。</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启明星辰，上海辰锐，中科富星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245</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隔离网闸</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不少于12个10/100/1000M自适应电口，8个千兆SFP接口，内外网主机系统分别具有独立的网络口、管理口、HA口（热备口）；4个USB口</w:t>
            </w:r>
          </w:p>
          <w:p>
            <w:pPr>
              <w:widowControl/>
              <w:snapToGrid w:val="0"/>
              <w:jc w:val="left"/>
              <w:rPr>
                <w:rFonts w:ascii="宋体" w:hAnsi="宋体" w:cs="宋体"/>
                <w:kern w:val="0"/>
                <w:sz w:val="20"/>
                <w:szCs w:val="20"/>
              </w:rPr>
            </w:pPr>
            <w:r>
              <w:rPr>
                <w:rFonts w:hint="eastAsia" w:ascii="宋体" w:hAnsi="宋体" w:cs="宋体"/>
                <w:kern w:val="0"/>
                <w:sz w:val="20"/>
                <w:szCs w:val="20"/>
              </w:rPr>
              <w:t>内外网主机系统分别具有1个RJ45  CONSLE口；</w:t>
            </w:r>
          </w:p>
          <w:p>
            <w:pPr>
              <w:widowControl/>
              <w:snapToGrid w:val="0"/>
              <w:jc w:val="left"/>
              <w:rPr>
                <w:rFonts w:ascii="宋体" w:hAnsi="宋体" w:cs="宋体"/>
                <w:kern w:val="0"/>
                <w:sz w:val="20"/>
                <w:szCs w:val="20"/>
              </w:rPr>
            </w:pPr>
            <w:r>
              <w:rPr>
                <w:rFonts w:hint="eastAsia" w:ascii="宋体" w:hAnsi="宋体" w:cs="宋体"/>
                <w:kern w:val="0"/>
                <w:sz w:val="20"/>
                <w:szCs w:val="20"/>
              </w:rPr>
              <w:t>系统吞吐量不小于800Mbps；并发连接数不小于6万；</w:t>
            </w:r>
          </w:p>
          <w:p>
            <w:pPr>
              <w:widowControl/>
              <w:snapToGrid w:val="0"/>
              <w:jc w:val="left"/>
              <w:rPr>
                <w:rFonts w:ascii="宋体" w:hAnsi="宋体" w:cs="宋体"/>
                <w:kern w:val="0"/>
                <w:sz w:val="20"/>
                <w:szCs w:val="20"/>
              </w:rPr>
            </w:pPr>
            <w:r>
              <w:rPr>
                <w:rFonts w:hint="eastAsia" w:ascii="宋体" w:hAnsi="宋体" w:cs="宋体"/>
                <w:kern w:val="0"/>
                <w:sz w:val="20"/>
                <w:szCs w:val="20"/>
              </w:rPr>
              <w:t>文件交换可以采用客户端方式和无客户端方式的部署；支持增量传输、发送后删除、改名传输等发送策略；（提供产品功能界面截图证明）</w:t>
            </w:r>
          </w:p>
          <w:p>
            <w:pPr>
              <w:widowControl/>
              <w:snapToGrid w:val="0"/>
              <w:jc w:val="left"/>
              <w:rPr>
                <w:rFonts w:ascii="宋体" w:hAnsi="宋体" w:cs="宋体"/>
                <w:kern w:val="0"/>
                <w:sz w:val="20"/>
                <w:szCs w:val="20"/>
              </w:rPr>
            </w:pPr>
            <w:r>
              <w:rPr>
                <w:rFonts w:hint="eastAsia" w:ascii="宋体" w:hAnsi="宋体" w:cs="宋体"/>
                <w:kern w:val="0"/>
                <w:sz w:val="20"/>
                <w:szCs w:val="20"/>
              </w:rPr>
              <w:t xml:space="preserve">支持文件传输长度及MD5校验，并支持校验失败自动重传； </w:t>
            </w:r>
          </w:p>
          <w:p>
            <w:pPr>
              <w:widowControl/>
              <w:snapToGrid w:val="0"/>
              <w:jc w:val="left"/>
              <w:rPr>
                <w:rFonts w:ascii="宋体" w:hAnsi="宋体" w:cs="宋体"/>
                <w:kern w:val="0"/>
                <w:sz w:val="20"/>
                <w:szCs w:val="20"/>
              </w:rPr>
            </w:pPr>
            <w:r>
              <w:rPr>
                <w:rFonts w:hint="eastAsia" w:ascii="宋体" w:hAnsi="宋体" w:cs="宋体"/>
                <w:kern w:val="0"/>
                <w:sz w:val="20"/>
                <w:szCs w:val="20"/>
              </w:rPr>
              <w:t>支持文件格式特征过滤；并能提供文件类型判断工具以帮助用户识别不常见文件类型</w:t>
            </w:r>
          </w:p>
          <w:p>
            <w:pPr>
              <w:widowControl/>
              <w:snapToGrid w:val="0"/>
              <w:jc w:val="left"/>
              <w:rPr>
                <w:rFonts w:ascii="宋体" w:hAnsi="宋体" w:cs="宋体"/>
                <w:kern w:val="0"/>
                <w:sz w:val="20"/>
                <w:szCs w:val="20"/>
              </w:rPr>
            </w:pPr>
            <w:r>
              <w:rPr>
                <w:rFonts w:hint="eastAsia" w:ascii="宋体" w:hAnsi="宋体" w:cs="宋体"/>
                <w:kern w:val="0"/>
                <w:sz w:val="20"/>
                <w:szCs w:val="20"/>
              </w:rPr>
              <w:t>支持病毒检测；支持一对多，多对一同步方式；</w:t>
            </w:r>
          </w:p>
          <w:p>
            <w:pPr>
              <w:widowControl/>
              <w:snapToGrid w:val="0"/>
              <w:jc w:val="left"/>
              <w:rPr>
                <w:rFonts w:ascii="宋体" w:hAnsi="宋体" w:cs="宋体"/>
                <w:kern w:val="0"/>
                <w:sz w:val="20"/>
                <w:szCs w:val="20"/>
              </w:rPr>
            </w:pPr>
            <w:r>
              <w:rPr>
                <w:rFonts w:hint="eastAsia" w:ascii="宋体" w:hAnsi="宋体" w:cs="宋体"/>
                <w:kern w:val="0"/>
                <w:sz w:val="20"/>
                <w:szCs w:val="20"/>
              </w:rPr>
              <w:t>支持数据容错处理，当数据同步失败时，用户可以查询、恢复、删除未能正常传输的数据；</w:t>
            </w:r>
          </w:p>
          <w:p>
            <w:pPr>
              <w:widowControl/>
              <w:snapToGrid w:val="0"/>
              <w:jc w:val="left"/>
              <w:rPr>
                <w:rFonts w:ascii="宋体" w:hAnsi="宋体" w:cs="宋体"/>
                <w:kern w:val="0"/>
                <w:sz w:val="20"/>
                <w:szCs w:val="20"/>
              </w:rPr>
            </w:pPr>
            <w:r>
              <w:rPr>
                <w:rFonts w:hint="eastAsia" w:ascii="宋体" w:hAnsi="宋体" w:cs="宋体"/>
                <w:kern w:val="0"/>
                <w:sz w:val="20"/>
                <w:szCs w:val="20"/>
              </w:rPr>
              <w:t xml:space="preserve">支持字段值按条件进行数据同步； </w:t>
            </w:r>
          </w:p>
          <w:p>
            <w:pPr>
              <w:widowControl/>
              <w:snapToGrid w:val="0"/>
              <w:jc w:val="left"/>
              <w:rPr>
                <w:rFonts w:ascii="宋体" w:hAnsi="宋体" w:cs="宋体"/>
                <w:kern w:val="0"/>
                <w:sz w:val="20"/>
                <w:szCs w:val="20"/>
              </w:rPr>
            </w:pPr>
            <w:r>
              <w:rPr>
                <w:rFonts w:hint="eastAsia" w:ascii="宋体" w:hAnsi="宋体" w:cs="宋体"/>
                <w:kern w:val="0"/>
                <w:sz w:val="20"/>
                <w:szCs w:val="20"/>
              </w:rPr>
              <w:t xml:space="preserve">支持数据库同步客户端的双机热备技术，为用户提供更高的冗余技术支持； </w:t>
            </w:r>
          </w:p>
          <w:p>
            <w:pPr>
              <w:widowControl/>
              <w:snapToGrid w:val="0"/>
              <w:jc w:val="left"/>
              <w:rPr>
                <w:rFonts w:ascii="宋体" w:hAnsi="宋体" w:cs="宋体"/>
                <w:kern w:val="0"/>
                <w:sz w:val="20"/>
                <w:szCs w:val="20"/>
              </w:rPr>
            </w:pPr>
            <w:r>
              <w:rPr>
                <w:rFonts w:hint="eastAsia" w:ascii="宋体" w:hAnsi="宋体" w:cs="宋体"/>
                <w:kern w:val="0"/>
                <w:sz w:val="20"/>
                <w:szCs w:val="20"/>
              </w:rPr>
              <w:t>支持病毒检测功能；支持页面关键字过滤；支持URL过滤；</w:t>
            </w:r>
          </w:p>
          <w:p>
            <w:pPr>
              <w:widowControl/>
              <w:snapToGrid w:val="0"/>
              <w:jc w:val="left"/>
              <w:rPr>
                <w:rFonts w:ascii="宋体" w:hAnsi="宋体" w:cs="宋体"/>
                <w:b/>
                <w:bCs/>
                <w:kern w:val="0"/>
                <w:sz w:val="20"/>
                <w:szCs w:val="20"/>
              </w:rPr>
            </w:pPr>
            <w:r>
              <w:rPr>
                <w:rFonts w:hint="eastAsia" w:ascii="宋体" w:hAnsi="宋体" w:cs="宋体"/>
                <w:kern w:val="0"/>
                <w:sz w:val="20"/>
                <w:szCs w:val="20"/>
              </w:rPr>
              <w:t>支持HTTP请求类型（GET/POST/CONNECT/HEAD）过滤；支持HTTP请求头部大小限制；</w:t>
            </w:r>
          </w:p>
          <w:p>
            <w:pPr>
              <w:widowControl/>
              <w:snapToGrid w:val="0"/>
              <w:jc w:val="left"/>
              <w:rPr>
                <w:rFonts w:ascii="宋体" w:hAnsi="宋体" w:cs="宋体"/>
                <w:kern w:val="0"/>
                <w:sz w:val="20"/>
                <w:szCs w:val="20"/>
              </w:rPr>
            </w:pPr>
            <w:r>
              <w:rPr>
                <w:rFonts w:hint="eastAsia" w:ascii="宋体" w:hAnsi="宋体" w:cs="宋体"/>
                <w:kern w:val="0"/>
                <w:sz w:val="20"/>
                <w:szCs w:val="20"/>
              </w:rPr>
              <w:t>3年原厂硬件维保服务。</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启明星辰，上海辰锐，中科富星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246</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计算机网络核心交换机</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xml:space="preserve">整机要求主控引擎与业务板卡完全物理分离；整机独立业务槽位≥6个，独立引擎槽位≥2个；                                  </w:t>
            </w:r>
            <w:r>
              <w:rPr>
                <w:rFonts w:hint="eastAsia" w:ascii="宋体" w:hAnsi="宋体" w:cs="宋体"/>
                <w:kern w:val="0"/>
                <w:sz w:val="20"/>
                <w:szCs w:val="20"/>
              </w:rPr>
              <w:br w:type="textWrapping"/>
            </w:r>
            <w:r>
              <w:rPr>
                <w:rFonts w:hint="eastAsia" w:ascii="宋体" w:hAnsi="宋体" w:cs="宋体"/>
                <w:kern w:val="0"/>
                <w:sz w:val="20"/>
                <w:szCs w:val="20"/>
              </w:rPr>
              <w:t>交换容量≥300T，包转发性能≥57600Mpps；</w:t>
            </w:r>
            <w:r>
              <w:rPr>
                <w:rFonts w:hint="eastAsia" w:ascii="宋体" w:hAnsi="宋体" w:cs="宋体"/>
                <w:kern w:val="0"/>
                <w:sz w:val="20"/>
                <w:szCs w:val="20"/>
              </w:rPr>
              <w:br w:type="textWrapping"/>
            </w:r>
            <w:r>
              <w:rPr>
                <w:rFonts w:hint="eastAsia" w:ascii="宋体" w:hAnsi="宋体" w:cs="宋体"/>
                <w:kern w:val="0"/>
                <w:sz w:val="20"/>
                <w:szCs w:val="20"/>
              </w:rPr>
              <w:t>支持配置POE线卡，并由独立POE电源槽供电；</w:t>
            </w:r>
            <w:r>
              <w:rPr>
                <w:rFonts w:hint="eastAsia" w:ascii="宋体" w:hAnsi="宋体" w:cs="宋体"/>
                <w:kern w:val="0"/>
                <w:sz w:val="20"/>
                <w:szCs w:val="20"/>
              </w:rPr>
              <w:br w:type="textWrapping"/>
            </w:r>
            <w:r>
              <w:rPr>
                <w:rFonts w:hint="eastAsia" w:ascii="宋体" w:hAnsi="宋体" w:cs="宋体"/>
                <w:kern w:val="0"/>
                <w:sz w:val="20"/>
                <w:szCs w:val="20"/>
              </w:rPr>
              <w:t>所投产品电源槽位≥4个，支持工作温度：0℃到 50℃；</w:t>
            </w:r>
            <w:r>
              <w:rPr>
                <w:rFonts w:hint="eastAsia" w:ascii="宋体" w:hAnsi="宋体" w:cs="宋体"/>
                <w:kern w:val="0"/>
                <w:sz w:val="20"/>
                <w:szCs w:val="20"/>
              </w:rPr>
              <w:br w:type="textWrapping"/>
            </w:r>
            <w:r>
              <w:rPr>
                <w:rFonts w:hint="eastAsia" w:ascii="宋体" w:hAnsi="宋体" w:cs="宋体"/>
                <w:kern w:val="0"/>
                <w:sz w:val="20"/>
                <w:szCs w:val="20"/>
              </w:rPr>
              <w:t>支持光口故障隔离，支持启机系统双物理芯片；</w:t>
            </w:r>
            <w:r>
              <w:rPr>
                <w:rFonts w:hint="eastAsia" w:ascii="宋体" w:hAnsi="宋体" w:cs="宋体"/>
                <w:kern w:val="0"/>
                <w:sz w:val="20"/>
                <w:szCs w:val="20"/>
              </w:rPr>
              <w:br w:type="textWrapping"/>
            </w:r>
            <w:r>
              <w:rPr>
                <w:rFonts w:hint="eastAsia" w:ascii="宋体" w:hAnsi="宋体" w:cs="宋体"/>
                <w:b/>
                <w:bCs/>
                <w:kern w:val="0"/>
                <w:sz w:val="20"/>
                <w:szCs w:val="20"/>
              </w:rPr>
              <w:t>支持单业务板卡同时可用端口数量≥52个；</w:t>
            </w:r>
            <w:r>
              <w:rPr>
                <w:rFonts w:hint="eastAsia" w:ascii="宋体" w:hAnsi="宋体" w:cs="宋体"/>
                <w:kern w:val="0"/>
                <w:sz w:val="20"/>
                <w:szCs w:val="20"/>
              </w:rPr>
              <w:t xml:space="preserve"> </w:t>
            </w:r>
            <w:r>
              <w:rPr>
                <w:rFonts w:hint="eastAsia" w:ascii="宋体" w:hAnsi="宋体" w:cs="宋体"/>
                <w:kern w:val="0"/>
                <w:sz w:val="20"/>
                <w:szCs w:val="20"/>
              </w:rPr>
              <w:br w:type="textWrapping"/>
            </w:r>
            <w:r>
              <w:rPr>
                <w:rFonts w:hint="eastAsia" w:ascii="宋体" w:hAnsi="宋体" w:cs="宋体"/>
                <w:kern w:val="0"/>
                <w:sz w:val="20"/>
                <w:szCs w:val="20"/>
              </w:rPr>
              <w:t>支持IPv6静态路由、RIPng、OSPF v3、BGP4+ 等路由协议；</w:t>
            </w:r>
            <w:r>
              <w:rPr>
                <w:rFonts w:hint="eastAsia" w:ascii="宋体" w:hAnsi="宋体" w:cs="宋体"/>
                <w:kern w:val="0"/>
                <w:sz w:val="20"/>
                <w:szCs w:val="20"/>
              </w:rPr>
              <w:br w:type="textWrapping"/>
            </w:r>
            <w:r>
              <w:rPr>
                <w:rFonts w:hint="eastAsia" w:ascii="宋体" w:hAnsi="宋体" w:cs="宋体"/>
                <w:kern w:val="0"/>
                <w:sz w:val="20"/>
                <w:szCs w:val="20"/>
              </w:rPr>
              <w:t>支持专门针对CPU的保护机制，能够针对发往CPU处理的各种报文进行流量控制和优先级处理，保护交换机在各种环境下稳定工作。</w:t>
            </w:r>
            <w:r>
              <w:rPr>
                <w:rFonts w:hint="eastAsia" w:ascii="宋体" w:hAnsi="宋体" w:cs="宋体"/>
                <w:kern w:val="0"/>
                <w:sz w:val="20"/>
                <w:szCs w:val="20"/>
              </w:rPr>
              <w:br w:type="textWrapping"/>
            </w:r>
            <w:r>
              <w:rPr>
                <w:rFonts w:hint="eastAsia" w:ascii="宋体" w:hAnsi="宋体" w:cs="宋体"/>
                <w:kern w:val="0"/>
                <w:sz w:val="20"/>
                <w:szCs w:val="20"/>
              </w:rPr>
              <w:t>单台配置主控引擎≥2块、电源模块≥2块、千兆光口≥48个、千兆可复用电口≥24个、万兆光口≥8个，要求所有端口非路由引擎或交换网板自带的接口。</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华三、华为、锐捷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247</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安防系统核心交换机</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交换容量≥162Tbps，包转发率≥36700Mpps；</w:t>
            </w:r>
            <w:r>
              <w:rPr>
                <w:rFonts w:hint="eastAsia" w:ascii="宋体" w:hAnsi="宋体" w:cs="宋体"/>
                <w:kern w:val="0"/>
                <w:sz w:val="20"/>
                <w:szCs w:val="20"/>
              </w:rPr>
              <w:br w:type="textWrapping"/>
            </w:r>
            <w:r>
              <w:rPr>
                <w:rFonts w:hint="eastAsia" w:ascii="宋体" w:hAnsi="宋体" w:cs="宋体"/>
                <w:kern w:val="0"/>
                <w:sz w:val="20"/>
                <w:szCs w:val="20"/>
              </w:rPr>
              <w:t>主控引擎与业务板卡完全物理分离, 采用全分布式转发处理架构，独立主控引擎插槽≥2个，独立业务插槽数≥3个；主控引擎故障情况下，不能影响整机转发能力</w:t>
            </w:r>
            <w:r>
              <w:rPr>
                <w:rFonts w:hint="eastAsia" w:ascii="宋体" w:hAnsi="宋体" w:cs="宋体"/>
                <w:kern w:val="0"/>
                <w:sz w:val="20"/>
                <w:szCs w:val="20"/>
              </w:rPr>
              <w:br w:type="textWrapping"/>
            </w:r>
            <w:r>
              <w:rPr>
                <w:rFonts w:hint="eastAsia" w:ascii="宋体" w:hAnsi="宋体" w:cs="宋体"/>
                <w:kern w:val="0"/>
                <w:sz w:val="20"/>
                <w:szCs w:val="20"/>
              </w:rPr>
              <w:t>要求单台配置≥24个1000M自适应电口，≥24个1GSFP光口，≥4个万兆光口，配置≥2个引擎，≥2个电源；</w:t>
            </w:r>
            <w:r>
              <w:rPr>
                <w:rFonts w:hint="eastAsia" w:ascii="宋体" w:hAnsi="宋体" w:cs="宋体"/>
                <w:kern w:val="0"/>
                <w:sz w:val="20"/>
                <w:szCs w:val="20"/>
              </w:rPr>
              <w:br w:type="textWrapping"/>
            </w:r>
            <w:r>
              <w:rPr>
                <w:rFonts w:hint="eastAsia" w:ascii="宋体" w:hAnsi="宋体" w:cs="宋体"/>
                <w:kern w:val="0"/>
                <w:sz w:val="20"/>
                <w:szCs w:val="20"/>
              </w:rPr>
              <w:t>为了适应机柜并排部署，机箱业务板卡区采用后出风风道设计；</w:t>
            </w:r>
            <w:r>
              <w:rPr>
                <w:rFonts w:hint="eastAsia" w:ascii="宋体" w:hAnsi="宋体" w:cs="宋体"/>
                <w:kern w:val="0"/>
                <w:sz w:val="20"/>
                <w:szCs w:val="20"/>
              </w:rPr>
              <w:br w:type="textWrapping"/>
            </w:r>
            <w:r>
              <w:rPr>
                <w:rFonts w:hint="eastAsia" w:ascii="宋体" w:hAnsi="宋体" w:cs="宋体"/>
                <w:kern w:val="0"/>
                <w:sz w:val="20"/>
                <w:szCs w:val="20"/>
              </w:rPr>
              <w:t>为提高设备面板空间利用率，要求采用高密度端口设计，所投产品单张业务卡最大可用物理端口≥52个； N:1虚拟化：可将2台物理设备虚拟化为1台逻辑设备，虚拟组内设备具备统一的二层及三层转发表项，统一的管理界面，并可实现跨设备链路聚合</w:t>
            </w:r>
            <w:r>
              <w:rPr>
                <w:rFonts w:hint="eastAsia" w:ascii="宋体" w:hAnsi="宋体" w:cs="宋体"/>
                <w:kern w:val="0"/>
                <w:sz w:val="20"/>
                <w:szCs w:val="20"/>
              </w:rPr>
              <w:br w:type="textWrapping"/>
            </w:r>
            <w:r>
              <w:rPr>
                <w:rFonts w:hint="eastAsia" w:ascii="宋体" w:hAnsi="宋体" w:cs="宋体"/>
                <w:kern w:val="0"/>
                <w:sz w:val="20"/>
                <w:szCs w:val="20"/>
              </w:rPr>
              <w:t>支持IEEE 802.1d(STP)、 802.1w(RSTP)、 802.1s(MSTP)，</w:t>
            </w:r>
            <w:r>
              <w:rPr>
                <w:rFonts w:hint="eastAsia" w:ascii="宋体" w:hAnsi="宋体" w:cs="宋体"/>
                <w:kern w:val="0"/>
                <w:sz w:val="20"/>
                <w:szCs w:val="20"/>
              </w:rPr>
              <w:br w:type="textWrapping"/>
            </w:r>
            <w:r>
              <w:rPr>
                <w:rFonts w:hint="eastAsia" w:ascii="宋体" w:hAnsi="宋体" w:cs="宋体"/>
                <w:kern w:val="0"/>
                <w:sz w:val="20"/>
                <w:szCs w:val="20"/>
              </w:rPr>
              <w:t>支持VLAN内端口隔离，</w:t>
            </w:r>
            <w:r>
              <w:rPr>
                <w:rFonts w:hint="eastAsia" w:ascii="宋体" w:hAnsi="宋体" w:cs="宋体"/>
                <w:kern w:val="0"/>
                <w:sz w:val="20"/>
                <w:szCs w:val="20"/>
              </w:rPr>
              <w:br w:type="textWrapping"/>
            </w:r>
            <w:r>
              <w:rPr>
                <w:rFonts w:hint="eastAsia" w:ascii="宋体" w:hAnsi="宋体" w:cs="宋体"/>
                <w:kern w:val="0"/>
                <w:sz w:val="20"/>
                <w:szCs w:val="20"/>
              </w:rPr>
              <w:t>支持端口聚合</w:t>
            </w:r>
            <w:r>
              <w:rPr>
                <w:rFonts w:hint="eastAsia" w:ascii="宋体" w:hAnsi="宋体" w:cs="宋体"/>
                <w:kern w:val="0"/>
                <w:sz w:val="20"/>
                <w:szCs w:val="20"/>
              </w:rPr>
              <w:br w:type="textWrapping"/>
            </w:r>
            <w:r>
              <w:rPr>
                <w:rFonts w:hint="eastAsia" w:ascii="宋体" w:hAnsi="宋体" w:cs="宋体"/>
                <w:kern w:val="0"/>
                <w:sz w:val="20"/>
                <w:szCs w:val="20"/>
              </w:rPr>
              <w:t>支持IPv6过渡技术，IPv4/IPv6双栈、6over4隧道、4 over6隧道</w:t>
            </w:r>
            <w:r>
              <w:rPr>
                <w:rFonts w:hint="eastAsia" w:ascii="宋体" w:hAnsi="宋体" w:cs="宋体"/>
                <w:kern w:val="0"/>
                <w:sz w:val="20"/>
                <w:szCs w:val="20"/>
              </w:rPr>
              <w:br w:type="textWrapping"/>
            </w:r>
            <w:r>
              <w:rPr>
                <w:rFonts w:hint="eastAsia" w:ascii="宋体" w:hAnsi="宋体" w:cs="宋体"/>
                <w:kern w:val="0"/>
                <w:sz w:val="20"/>
                <w:szCs w:val="20"/>
              </w:rPr>
              <w:t>支持IPv6 DHCP SERVER、IPv6 DHCP Relay、DHCP Snooping</w:t>
            </w:r>
            <w:r>
              <w:rPr>
                <w:rFonts w:hint="eastAsia" w:ascii="宋体" w:hAnsi="宋体" w:cs="宋体"/>
                <w:kern w:val="0"/>
                <w:sz w:val="20"/>
                <w:szCs w:val="20"/>
              </w:rPr>
              <w:br w:type="textWrapping"/>
            </w:r>
            <w:r>
              <w:rPr>
                <w:rFonts w:hint="eastAsia" w:ascii="宋体" w:hAnsi="宋体" w:cs="宋体"/>
                <w:kern w:val="0"/>
                <w:sz w:val="20"/>
                <w:szCs w:val="20"/>
              </w:rPr>
              <w:t>设备支持云管理功能，支持对设备监控与端口配置，列表形式的统一监控。支持设备名称、MAC地址、SN、管理地址、出口地址、设备型号、软件版本、在线状态的监控，支持设备名称的修改配置。支持自动生产网络拓扑功能。支持配置批量下发、复制配置、查看当前配置、手动/自动配置备份、恢复配置、配置对比。</w:t>
            </w:r>
            <w:r>
              <w:rPr>
                <w:rFonts w:hint="eastAsia" w:ascii="宋体" w:hAnsi="宋体" w:cs="宋体"/>
                <w:kern w:val="0"/>
                <w:sz w:val="20"/>
                <w:szCs w:val="20"/>
              </w:rPr>
              <w:br w:type="textWrapping"/>
            </w:r>
            <w:r>
              <w:rPr>
                <w:rFonts w:hint="eastAsia" w:ascii="宋体" w:hAnsi="宋体" w:cs="宋体"/>
                <w:kern w:val="0"/>
                <w:sz w:val="20"/>
                <w:szCs w:val="20"/>
              </w:rPr>
              <w:t>支持基于GRPC的Telemetry技术，实现对CPU、内存等信息的周期性采集。</w:t>
            </w:r>
            <w:r>
              <w:rPr>
                <w:rFonts w:hint="eastAsia" w:ascii="宋体" w:hAnsi="宋体" w:cs="宋体"/>
                <w:kern w:val="0"/>
                <w:sz w:val="20"/>
                <w:szCs w:val="20"/>
              </w:rPr>
              <w:br w:type="textWrapping"/>
            </w:r>
            <w:r>
              <w:rPr>
                <w:rFonts w:hint="eastAsia" w:ascii="宋体" w:hAnsi="宋体" w:cs="宋体"/>
                <w:kern w:val="0"/>
                <w:sz w:val="20"/>
                <w:szCs w:val="20"/>
              </w:rPr>
              <w:t>支持SNMP V1/V2/V3、Telnet、RMON、SSHv2.0</w:t>
            </w:r>
            <w:r>
              <w:rPr>
                <w:rFonts w:hint="eastAsia" w:ascii="宋体" w:hAnsi="宋体" w:cs="宋体"/>
                <w:kern w:val="0"/>
                <w:sz w:val="20"/>
                <w:szCs w:val="20"/>
              </w:rPr>
              <w:br w:type="textWrapping"/>
            </w:r>
            <w:r>
              <w:rPr>
                <w:rFonts w:hint="eastAsia" w:ascii="宋体" w:hAnsi="宋体" w:cs="宋体"/>
                <w:kern w:val="0"/>
                <w:sz w:val="20"/>
                <w:szCs w:val="20"/>
              </w:rPr>
              <w:t>支持通过命令行、中文图形化配置软件等方式进行配置和管理</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华三、华为、锐捷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248</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服务图形主机</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图形服务器适配专业大数据可视化交互系统的运行而配套图形渲染装置。</w:t>
            </w:r>
            <w:r>
              <w:rPr>
                <w:rFonts w:hint="eastAsia" w:ascii="宋体" w:hAnsi="宋体" w:cs="宋体"/>
                <w:kern w:val="0"/>
                <w:sz w:val="20"/>
                <w:szCs w:val="20"/>
              </w:rPr>
              <w:br w:type="textWrapping"/>
            </w:r>
            <w:r>
              <w:rPr>
                <w:rFonts w:hint="eastAsia" w:ascii="宋体" w:hAnsi="宋体" w:cs="宋体"/>
                <w:kern w:val="0"/>
                <w:sz w:val="20"/>
                <w:szCs w:val="20"/>
              </w:rPr>
              <w:t>CPU：INTEL core i7-10700k</w:t>
            </w:r>
            <w:r>
              <w:rPr>
                <w:rFonts w:hint="eastAsia" w:ascii="宋体" w:hAnsi="宋体" w:cs="宋体"/>
                <w:kern w:val="0"/>
                <w:sz w:val="20"/>
                <w:szCs w:val="20"/>
              </w:rPr>
              <w:br w:type="textWrapping"/>
            </w:r>
            <w:r>
              <w:rPr>
                <w:rFonts w:hint="eastAsia" w:ascii="宋体" w:hAnsi="宋体" w:cs="宋体"/>
                <w:kern w:val="0"/>
                <w:sz w:val="20"/>
                <w:szCs w:val="20"/>
              </w:rPr>
              <w:t>内存：2*32G</w:t>
            </w:r>
            <w:r>
              <w:rPr>
                <w:rFonts w:hint="eastAsia" w:ascii="宋体" w:hAnsi="宋体" w:cs="宋体"/>
                <w:kern w:val="0"/>
                <w:sz w:val="20"/>
                <w:szCs w:val="20"/>
              </w:rPr>
              <w:br w:type="textWrapping"/>
            </w:r>
            <w:r>
              <w:rPr>
                <w:rFonts w:hint="eastAsia" w:ascii="宋体" w:hAnsi="宋体" w:cs="宋体"/>
                <w:kern w:val="0"/>
                <w:sz w:val="20"/>
                <w:szCs w:val="20"/>
              </w:rPr>
              <w:t>固态硬盘：1T M.2</w:t>
            </w:r>
            <w:r>
              <w:rPr>
                <w:rFonts w:hint="eastAsia" w:ascii="宋体" w:hAnsi="宋体" w:cs="宋体"/>
                <w:kern w:val="0"/>
                <w:sz w:val="20"/>
                <w:szCs w:val="20"/>
              </w:rPr>
              <w:br w:type="textWrapping"/>
            </w:r>
            <w:r>
              <w:rPr>
                <w:rFonts w:hint="eastAsia" w:ascii="宋体" w:hAnsi="宋体" w:cs="宋体"/>
                <w:kern w:val="0"/>
                <w:sz w:val="20"/>
                <w:szCs w:val="20"/>
              </w:rPr>
              <w:t xml:space="preserve">显卡芯片：RTX 3060 </w:t>
            </w:r>
            <w:r>
              <w:rPr>
                <w:rFonts w:hint="eastAsia" w:ascii="宋体" w:hAnsi="宋体" w:cs="宋体"/>
                <w:kern w:val="0"/>
                <w:sz w:val="20"/>
                <w:szCs w:val="20"/>
              </w:rPr>
              <w:br w:type="textWrapping"/>
            </w:r>
            <w:r>
              <w:rPr>
                <w:rFonts w:hint="eastAsia" w:ascii="宋体" w:hAnsi="宋体" w:cs="宋体"/>
                <w:kern w:val="0"/>
                <w:sz w:val="20"/>
                <w:szCs w:val="20"/>
              </w:rPr>
              <w:t>电源：650W</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b/>
                <w:bCs/>
                <w:kern w:val="0"/>
                <w:sz w:val="20"/>
                <w:szCs w:val="20"/>
              </w:rPr>
            </w:pPr>
            <w:r>
              <w:rPr>
                <w:rFonts w:hint="eastAsia" w:ascii="宋体" w:hAnsi="宋体" w:cs="宋体"/>
                <w:b/>
                <w:bCs/>
                <w:kern w:val="0"/>
                <w:sz w:val="20"/>
                <w:szCs w:val="20"/>
              </w:rPr>
              <w:t>　</w:t>
            </w:r>
          </w:p>
        </w:tc>
        <w:tc>
          <w:tcPr>
            <w:tcW w:w="1414" w:type="dxa"/>
            <w:noWrap w:val="0"/>
            <w:vAlign w:val="center"/>
          </w:tcPr>
          <w:p>
            <w:pPr>
              <w:widowControl/>
              <w:snapToGrid w:val="0"/>
              <w:jc w:val="center"/>
              <w:rPr>
                <w:rFonts w:ascii="宋体" w:hAnsi="宋体" w:cs="宋体"/>
                <w:b/>
                <w:bCs/>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249</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人脸名单比对服务器</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名单库比对报警 24路图片流或8路视频流</w:t>
            </w:r>
            <w:r>
              <w:rPr>
                <w:rFonts w:hint="eastAsia" w:ascii="宋体" w:hAnsi="宋体" w:cs="宋体"/>
                <w:kern w:val="0"/>
                <w:sz w:val="20"/>
                <w:szCs w:val="20"/>
              </w:rPr>
              <w:br w:type="textWrapping"/>
            </w:r>
            <w:r>
              <w:rPr>
                <w:rFonts w:hint="eastAsia" w:ascii="宋体" w:hAnsi="宋体" w:cs="宋体"/>
                <w:kern w:val="0"/>
                <w:sz w:val="20"/>
                <w:szCs w:val="20"/>
              </w:rPr>
              <w:t>32个人脸名单库，总库容10万张（平均50KB/张）</w:t>
            </w:r>
            <w:r>
              <w:rPr>
                <w:rFonts w:hint="eastAsia" w:ascii="宋体" w:hAnsi="宋体" w:cs="宋体"/>
                <w:kern w:val="0"/>
                <w:sz w:val="20"/>
                <w:szCs w:val="20"/>
              </w:rPr>
              <w:br w:type="textWrapping"/>
            </w:r>
            <w:r>
              <w:rPr>
                <w:rFonts w:hint="eastAsia" w:ascii="宋体" w:hAnsi="宋体" w:cs="宋体"/>
                <w:kern w:val="0"/>
                <w:sz w:val="20"/>
                <w:szCs w:val="20"/>
              </w:rPr>
              <w:t>人脸抓拍库1000万</w:t>
            </w:r>
            <w:r>
              <w:rPr>
                <w:rFonts w:hint="eastAsia" w:ascii="宋体" w:hAnsi="宋体" w:cs="宋体"/>
                <w:kern w:val="0"/>
                <w:sz w:val="20"/>
                <w:szCs w:val="20"/>
              </w:rPr>
              <w:br w:type="textWrapping"/>
            </w:r>
            <w:r>
              <w:rPr>
                <w:rFonts w:hint="eastAsia" w:ascii="宋体" w:hAnsi="宋体" w:cs="宋体"/>
                <w:kern w:val="0"/>
                <w:sz w:val="20"/>
                <w:szCs w:val="20"/>
              </w:rPr>
              <w:t>路人档案10万份</w:t>
            </w:r>
            <w:r>
              <w:rPr>
                <w:rFonts w:hint="eastAsia" w:ascii="宋体" w:hAnsi="宋体" w:cs="宋体"/>
                <w:kern w:val="0"/>
                <w:sz w:val="20"/>
                <w:szCs w:val="20"/>
              </w:rPr>
              <w:br w:type="textWrapping"/>
            </w:r>
            <w:r>
              <w:rPr>
                <w:rFonts w:hint="eastAsia" w:ascii="宋体" w:hAnsi="宋体" w:cs="宋体"/>
                <w:kern w:val="0"/>
                <w:sz w:val="20"/>
                <w:szCs w:val="20"/>
              </w:rPr>
              <w:t>支持陌生人报警</w:t>
            </w:r>
            <w:r>
              <w:rPr>
                <w:rFonts w:hint="eastAsia" w:ascii="宋体" w:hAnsi="宋体" w:cs="宋体"/>
                <w:kern w:val="0"/>
                <w:sz w:val="20"/>
                <w:szCs w:val="20"/>
              </w:rPr>
              <w:br w:type="textWrapping"/>
            </w:r>
            <w:r>
              <w:rPr>
                <w:rFonts w:hint="eastAsia" w:ascii="宋体" w:hAnsi="宋体" w:cs="宋体"/>
                <w:kern w:val="0"/>
                <w:sz w:val="20"/>
                <w:szCs w:val="20"/>
              </w:rPr>
              <w:t>支持人员频次统计</w:t>
            </w:r>
            <w:r>
              <w:rPr>
                <w:rFonts w:hint="eastAsia" w:ascii="宋体" w:hAnsi="宋体" w:cs="宋体"/>
                <w:kern w:val="0"/>
                <w:sz w:val="20"/>
                <w:szCs w:val="20"/>
              </w:rPr>
              <w:br w:type="textWrapping"/>
            </w:r>
            <w:r>
              <w:rPr>
                <w:rFonts w:hint="eastAsia" w:ascii="宋体" w:hAnsi="宋体" w:cs="宋体"/>
                <w:kern w:val="0"/>
                <w:sz w:val="20"/>
                <w:szCs w:val="20"/>
              </w:rPr>
              <w:t>支持人脸签到和考勤</w:t>
            </w:r>
            <w:r>
              <w:rPr>
                <w:rFonts w:hint="eastAsia" w:ascii="宋体" w:hAnsi="宋体" w:cs="宋体"/>
                <w:kern w:val="0"/>
                <w:sz w:val="20"/>
                <w:szCs w:val="20"/>
              </w:rPr>
              <w:br w:type="textWrapping"/>
            </w:r>
            <w:r>
              <w:rPr>
                <w:rFonts w:hint="eastAsia" w:ascii="宋体" w:hAnsi="宋体" w:cs="宋体"/>
                <w:kern w:val="0"/>
                <w:sz w:val="20"/>
                <w:szCs w:val="20"/>
              </w:rPr>
              <w:t>支持人脸1V1比对</w:t>
            </w:r>
            <w:r>
              <w:rPr>
                <w:rFonts w:hint="eastAsia" w:ascii="宋体" w:hAnsi="宋体" w:cs="宋体"/>
                <w:kern w:val="0"/>
                <w:sz w:val="20"/>
                <w:szCs w:val="20"/>
              </w:rPr>
              <w:br w:type="textWrapping"/>
            </w:r>
            <w:r>
              <w:rPr>
                <w:rFonts w:hint="eastAsia" w:ascii="宋体" w:hAnsi="宋体" w:cs="宋体"/>
                <w:kern w:val="0"/>
                <w:sz w:val="20"/>
                <w:szCs w:val="20"/>
              </w:rPr>
              <w:t>支持以脸搜脸、按姓名检索、按属性检索</w:t>
            </w:r>
            <w:r>
              <w:rPr>
                <w:rFonts w:hint="eastAsia" w:ascii="宋体" w:hAnsi="宋体" w:cs="宋体"/>
                <w:kern w:val="0"/>
                <w:sz w:val="20"/>
                <w:szCs w:val="20"/>
              </w:rPr>
              <w:br w:type="textWrapping"/>
            </w:r>
            <w:r>
              <w:rPr>
                <w:rFonts w:hint="eastAsia" w:ascii="宋体" w:hAnsi="宋体" w:cs="宋体"/>
                <w:kern w:val="0"/>
                <w:sz w:val="20"/>
                <w:szCs w:val="20"/>
              </w:rPr>
              <w:t>硬件规格：</w:t>
            </w:r>
            <w:r>
              <w:rPr>
                <w:rFonts w:hint="eastAsia" w:ascii="宋体" w:hAnsi="宋体" w:cs="宋体"/>
                <w:kern w:val="0"/>
                <w:sz w:val="20"/>
                <w:szCs w:val="20"/>
              </w:rPr>
              <w:br w:type="textWrapping"/>
            </w:r>
            <w:r>
              <w:rPr>
                <w:rFonts w:hint="eastAsia" w:ascii="宋体" w:hAnsi="宋体" w:cs="宋体"/>
                <w:kern w:val="0"/>
                <w:sz w:val="20"/>
                <w:szCs w:val="20"/>
              </w:rPr>
              <w:t>2U标准机架式</w:t>
            </w:r>
            <w:r>
              <w:rPr>
                <w:rFonts w:hint="eastAsia" w:ascii="宋体" w:hAnsi="宋体" w:cs="宋体"/>
                <w:kern w:val="0"/>
                <w:sz w:val="20"/>
                <w:szCs w:val="20"/>
              </w:rPr>
              <w:br w:type="textWrapping"/>
            </w:r>
            <w:r>
              <w:rPr>
                <w:rFonts w:hint="eastAsia" w:ascii="宋体" w:hAnsi="宋体" w:cs="宋体"/>
                <w:kern w:val="0"/>
                <w:sz w:val="20"/>
                <w:szCs w:val="20"/>
              </w:rPr>
              <w:t>2个HDMI，2个VGA,HDMI+VGA组内同源</w:t>
            </w:r>
            <w:r>
              <w:rPr>
                <w:rFonts w:hint="eastAsia" w:ascii="宋体" w:hAnsi="宋体" w:cs="宋体"/>
                <w:kern w:val="0"/>
                <w:sz w:val="20"/>
                <w:szCs w:val="20"/>
              </w:rPr>
              <w:br w:type="textWrapping"/>
            </w:r>
            <w:r>
              <w:rPr>
                <w:rFonts w:hint="eastAsia" w:ascii="宋体" w:hAnsi="宋体" w:cs="宋体"/>
                <w:kern w:val="0"/>
                <w:sz w:val="20"/>
                <w:szCs w:val="20"/>
              </w:rPr>
              <w:t>8盘位，可满配10T硬盘(支持硬盘型号参考硬盘兼容性列表，推荐使用AI盘)</w:t>
            </w:r>
            <w:r>
              <w:rPr>
                <w:rFonts w:hint="eastAsia" w:ascii="宋体" w:hAnsi="宋体" w:cs="宋体"/>
                <w:kern w:val="0"/>
                <w:sz w:val="20"/>
                <w:szCs w:val="20"/>
              </w:rPr>
              <w:br w:type="textWrapping"/>
            </w:r>
            <w:r>
              <w:rPr>
                <w:rFonts w:hint="eastAsia" w:ascii="宋体" w:hAnsi="宋体" w:cs="宋体"/>
                <w:kern w:val="0"/>
                <w:sz w:val="20"/>
                <w:szCs w:val="20"/>
              </w:rPr>
              <w:t>2个千兆网口</w:t>
            </w:r>
            <w:r>
              <w:rPr>
                <w:rFonts w:hint="eastAsia" w:ascii="宋体" w:hAnsi="宋体" w:cs="宋体"/>
                <w:kern w:val="0"/>
                <w:sz w:val="20"/>
                <w:szCs w:val="20"/>
              </w:rPr>
              <w:br w:type="textWrapping"/>
            </w:r>
            <w:r>
              <w:rPr>
                <w:rFonts w:hint="eastAsia" w:ascii="宋体" w:hAnsi="宋体" w:cs="宋体"/>
                <w:kern w:val="0"/>
                <w:sz w:val="20"/>
                <w:szCs w:val="20"/>
              </w:rPr>
              <w:t>2个USB2.0接口、1个USB3.0接口</w:t>
            </w:r>
            <w:r>
              <w:rPr>
                <w:rFonts w:hint="eastAsia" w:ascii="宋体" w:hAnsi="宋体" w:cs="宋体"/>
                <w:kern w:val="0"/>
                <w:sz w:val="20"/>
                <w:szCs w:val="20"/>
              </w:rPr>
              <w:br w:type="textWrapping"/>
            </w:r>
            <w:r>
              <w:rPr>
                <w:rFonts w:hint="eastAsia" w:ascii="宋体" w:hAnsi="宋体" w:cs="宋体"/>
                <w:kern w:val="0"/>
                <w:sz w:val="20"/>
                <w:szCs w:val="20"/>
              </w:rPr>
              <w:t>1个eSATA接口</w:t>
            </w:r>
            <w:r>
              <w:rPr>
                <w:rFonts w:hint="eastAsia" w:ascii="宋体" w:hAnsi="宋体" w:cs="宋体"/>
                <w:kern w:val="0"/>
                <w:sz w:val="20"/>
                <w:szCs w:val="20"/>
              </w:rPr>
              <w:br w:type="textWrapping"/>
            </w:r>
            <w:r>
              <w:rPr>
                <w:rFonts w:hint="eastAsia" w:ascii="宋体" w:hAnsi="宋体" w:cs="宋体"/>
                <w:kern w:val="0"/>
                <w:sz w:val="20"/>
                <w:szCs w:val="20"/>
              </w:rPr>
              <w:t>支持RAID0、1、5、10，支持全局热备盘</w:t>
            </w:r>
            <w:r>
              <w:rPr>
                <w:rFonts w:hint="eastAsia" w:ascii="宋体" w:hAnsi="宋体" w:cs="宋体"/>
                <w:kern w:val="0"/>
                <w:sz w:val="20"/>
                <w:szCs w:val="20"/>
              </w:rPr>
              <w:br w:type="textWrapping"/>
            </w:r>
            <w:r>
              <w:rPr>
                <w:rFonts w:hint="eastAsia" w:ascii="宋体" w:hAnsi="宋体" w:cs="宋体"/>
                <w:kern w:val="0"/>
                <w:sz w:val="20"/>
                <w:szCs w:val="20"/>
              </w:rPr>
              <w:t>报警IO：16进8出</w:t>
            </w:r>
            <w:r>
              <w:rPr>
                <w:rFonts w:hint="eastAsia" w:ascii="宋体" w:hAnsi="宋体" w:cs="宋体"/>
                <w:kern w:val="0"/>
                <w:sz w:val="20"/>
                <w:szCs w:val="20"/>
              </w:rPr>
              <w:br w:type="textWrapping"/>
            </w:r>
            <w:r>
              <w:rPr>
                <w:rFonts w:hint="eastAsia" w:ascii="宋体" w:hAnsi="宋体" w:cs="宋体"/>
                <w:kern w:val="0"/>
                <w:sz w:val="20"/>
                <w:szCs w:val="20"/>
              </w:rPr>
              <w:t>软件性能：</w:t>
            </w:r>
            <w:r>
              <w:rPr>
                <w:rFonts w:hint="eastAsia" w:ascii="宋体" w:hAnsi="宋体" w:cs="宋体"/>
                <w:kern w:val="0"/>
                <w:sz w:val="20"/>
                <w:szCs w:val="20"/>
              </w:rPr>
              <w:br w:type="textWrapping"/>
            </w:r>
            <w:r>
              <w:rPr>
                <w:rFonts w:hint="eastAsia" w:ascii="宋体" w:hAnsi="宋体" w:cs="宋体"/>
                <w:kern w:val="0"/>
                <w:sz w:val="20"/>
                <w:szCs w:val="20"/>
              </w:rPr>
              <w:t>输入带宽：320M 输出带宽：256M</w:t>
            </w:r>
            <w:r>
              <w:rPr>
                <w:rFonts w:hint="eastAsia" w:ascii="宋体" w:hAnsi="宋体" w:cs="宋体"/>
                <w:kern w:val="0"/>
                <w:sz w:val="20"/>
                <w:szCs w:val="20"/>
              </w:rPr>
              <w:br w:type="textWrapping"/>
            </w:r>
            <w:r>
              <w:rPr>
                <w:rFonts w:hint="eastAsia" w:ascii="宋体" w:hAnsi="宋体" w:cs="宋体"/>
                <w:kern w:val="0"/>
                <w:sz w:val="20"/>
                <w:szCs w:val="20"/>
              </w:rPr>
              <w:t>开启RAID功能带宽降低：输入带宽：200M  输出带宽：200M</w:t>
            </w:r>
            <w:r>
              <w:rPr>
                <w:rFonts w:hint="eastAsia" w:ascii="宋体" w:hAnsi="宋体" w:cs="宋体"/>
                <w:kern w:val="0"/>
                <w:sz w:val="20"/>
                <w:szCs w:val="20"/>
              </w:rPr>
              <w:br w:type="textWrapping"/>
            </w:r>
            <w:r>
              <w:rPr>
                <w:rFonts w:hint="eastAsia" w:ascii="宋体" w:hAnsi="宋体" w:cs="宋体"/>
                <w:kern w:val="0"/>
                <w:sz w:val="20"/>
                <w:szCs w:val="20"/>
              </w:rPr>
              <w:t>最大支持16×1080P解码</w:t>
            </w:r>
            <w:r>
              <w:rPr>
                <w:rFonts w:hint="eastAsia" w:ascii="宋体" w:hAnsi="宋体" w:cs="宋体"/>
                <w:kern w:val="0"/>
                <w:sz w:val="20"/>
                <w:szCs w:val="20"/>
              </w:rPr>
              <w:br w:type="textWrapping"/>
            </w:r>
            <w:r>
              <w:rPr>
                <w:rFonts w:hint="eastAsia" w:ascii="宋体" w:hAnsi="宋体" w:cs="宋体"/>
                <w:kern w:val="0"/>
                <w:sz w:val="20"/>
                <w:szCs w:val="20"/>
              </w:rPr>
              <w:t>支持Smart265/H.265/Smart264/H.264编码前端自适应接入 、解码</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250</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网关(含路由器)</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标准1U机箱，多核非X86架构，配置千兆电口≥8个，千兆光口≥1个，万兆光口≥1个，配置硬盘容量≥1T，内存≥2GB；</w:t>
            </w:r>
            <w:r>
              <w:rPr>
                <w:rFonts w:hint="eastAsia" w:ascii="宋体" w:hAnsi="宋体" w:cs="宋体"/>
                <w:kern w:val="0"/>
                <w:sz w:val="20"/>
                <w:szCs w:val="20"/>
              </w:rPr>
              <w:br w:type="textWrapping"/>
            </w:r>
            <w:r>
              <w:rPr>
                <w:rFonts w:hint="eastAsia" w:ascii="宋体" w:hAnsi="宋体" w:cs="宋体"/>
                <w:kern w:val="0"/>
                <w:sz w:val="20"/>
                <w:szCs w:val="20"/>
              </w:rPr>
              <w:t>典型吞吐性能≥1.5Gbps；并发连接数≥60万；支持网关、网桥等多种部署模式；</w:t>
            </w:r>
            <w:r>
              <w:rPr>
                <w:rFonts w:hint="eastAsia" w:ascii="宋体" w:hAnsi="宋体" w:cs="宋体"/>
                <w:kern w:val="0"/>
                <w:sz w:val="20"/>
                <w:szCs w:val="20"/>
              </w:rPr>
              <w:br w:type="textWrapping"/>
            </w:r>
            <w:r>
              <w:rPr>
                <w:rFonts w:hint="eastAsia" w:ascii="宋体" w:hAnsi="宋体" w:cs="宋体"/>
                <w:kern w:val="0"/>
                <w:sz w:val="20"/>
                <w:szCs w:val="20"/>
              </w:rPr>
              <w:t>支持静态路由、RIP(V1/V2)、RIPng、OSPFv2等多种路由协议；</w:t>
            </w:r>
            <w:r>
              <w:rPr>
                <w:rFonts w:hint="eastAsia" w:ascii="宋体" w:hAnsi="宋体" w:cs="宋体"/>
                <w:kern w:val="0"/>
                <w:sz w:val="20"/>
                <w:szCs w:val="20"/>
              </w:rPr>
              <w:br w:type="textWrapping"/>
            </w:r>
            <w:r>
              <w:rPr>
                <w:rFonts w:hint="eastAsia" w:ascii="宋体" w:hAnsi="宋体" w:cs="宋体"/>
                <w:kern w:val="0"/>
                <w:sz w:val="20"/>
                <w:szCs w:val="20"/>
              </w:rPr>
              <w:t>支持多链路负载均衡；支持地址库路由，包含移动、联通、电信、教育、电信通五家地址库；支持正向DNS代理功能；支持应用路由功能，支持基于通讯、视频等应用进行路由选择，应用路由效果可通过图表呈现；支持智能DNS；支持IPV6，DNS配置支持IPV6，设备的静态路由、默认路由、应用路由等支持IPV6；</w:t>
            </w:r>
            <w:r>
              <w:rPr>
                <w:rFonts w:hint="eastAsia" w:ascii="宋体" w:hAnsi="宋体" w:cs="宋体"/>
                <w:kern w:val="0"/>
                <w:sz w:val="20"/>
                <w:szCs w:val="20"/>
              </w:rPr>
              <w:br w:type="textWrapping"/>
            </w:r>
            <w:r>
              <w:rPr>
                <w:rFonts w:hint="eastAsia" w:ascii="宋体" w:hAnsi="宋体" w:cs="宋体"/>
                <w:kern w:val="0"/>
                <w:sz w:val="20"/>
                <w:szCs w:val="20"/>
              </w:rPr>
              <w:t>支持DHCP功能，支持显示地址池使用情况，包含地址数、地址总数、已经分配地址数、使用率，支持IP安全绑定情况显示；支持IP地址智能管理图形界面显示，可显示固态在线IP、固态离线IP、动态分配IP、接口IP、排除IP、冲突IP；无需安装任何客户端，支持IP地址绑定，可单MAC绑定、IP+主机名绑定、IP+MAC绑定、IP+MAC+主机名绑定、IP+主机名+接入设备绑定、IP+MAC+主机名+接入设备绑定，进而实现DHCP无感知准入控制；</w:t>
            </w:r>
            <w:r>
              <w:rPr>
                <w:rFonts w:hint="eastAsia" w:ascii="宋体" w:hAnsi="宋体" w:cs="宋体"/>
                <w:kern w:val="0"/>
                <w:sz w:val="20"/>
                <w:szCs w:val="20"/>
              </w:rPr>
              <w:br w:type="textWrapping"/>
            </w:r>
            <w:r>
              <w:rPr>
                <w:rFonts w:hint="eastAsia" w:ascii="宋体" w:hAnsi="宋体" w:cs="宋体"/>
                <w:kern w:val="0"/>
                <w:sz w:val="20"/>
                <w:szCs w:val="20"/>
              </w:rPr>
              <w:t>应用识别和流量管理，支持流量识别保障功能：能够精确识别网络应用，保障关键业务的系统带宽，具备完善的应用协议库，协议识别数量≥2500种；支持VPN内流量的可视化监控，支持VPN内流量流量控制；</w:t>
            </w:r>
            <w:r>
              <w:rPr>
                <w:rFonts w:hint="eastAsia" w:ascii="宋体" w:hAnsi="宋体" w:cs="宋体"/>
                <w:kern w:val="0"/>
                <w:sz w:val="20"/>
                <w:szCs w:val="20"/>
              </w:rPr>
              <w:br w:type="textWrapping"/>
            </w:r>
            <w:r>
              <w:rPr>
                <w:rFonts w:hint="eastAsia" w:ascii="宋体" w:hAnsi="宋体" w:cs="宋体"/>
                <w:kern w:val="0"/>
                <w:sz w:val="20"/>
                <w:szCs w:val="20"/>
              </w:rPr>
              <w:t>支持上网行为管理及内容审计，所投产品URL数据库、应用分类库、地址库、内容审计特征库、配置至少5年免费升级；</w:t>
            </w:r>
            <w:r>
              <w:rPr>
                <w:rFonts w:hint="eastAsia" w:ascii="宋体" w:hAnsi="宋体" w:cs="宋体"/>
                <w:kern w:val="0"/>
                <w:sz w:val="20"/>
                <w:szCs w:val="20"/>
              </w:rPr>
              <w:br w:type="textWrapping"/>
            </w:r>
            <w:r>
              <w:rPr>
                <w:rFonts w:hint="eastAsia" w:ascii="宋体" w:hAnsi="宋体" w:cs="宋体"/>
                <w:kern w:val="0"/>
                <w:sz w:val="20"/>
                <w:szCs w:val="20"/>
              </w:rPr>
              <w:t>所投产品IM聊天可支持基于聊天内容关键字的策略控制，通过插件可以实现QQ聊天内容的审计；</w:t>
            </w:r>
            <w:r>
              <w:rPr>
                <w:rFonts w:hint="eastAsia" w:ascii="宋体" w:hAnsi="宋体" w:cs="宋体"/>
                <w:kern w:val="0"/>
                <w:sz w:val="20"/>
                <w:szCs w:val="20"/>
              </w:rPr>
              <w:br w:type="textWrapping"/>
            </w:r>
            <w:r>
              <w:rPr>
                <w:rFonts w:hint="eastAsia" w:ascii="宋体" w:hAnsi="宋体" w:cs="宋体"/>
                <w:kern w:val="0"/>
                <w:sz w:val="20"/>
                <w:szCs w:val="20"/>
              </w:rPr>
              <w:t>支持业务加速，支持网络资源加速（主动缓存），可对指定网络资源提供热点资源本地化服务,为防止虚假应标，需提供配置及资源热点页面；</w:t>
            </w:r>
            <w:r>
              <w:rPr>
                <w:rFonts w:hint="eastAsia" w:ascii="宋体" w:hAnsi="宋体" w:cs="宋体"/>
                <w:kern w:val="0"/>
                <w:sz w:val="20"/>
                <w:szCs w:val="20"/>
              </w:rPr>
              <w:br w:type="textWrapping"/>
            </w:r>
            <w:r>
              <w:rPr>
                <w:rFonts w:hint="eastAsia" w:ascii="宋体" w:hAnsi="宋体" w:cs="宋体"/>
                <w:kern w:val="0"/>
                <w:sz w:val="20"/>
                <w:szCs w:val="20"/>
              </w:rPr>
              <w:t>支持状态检测防火墙，支持防攻击：支持防land攻击、防UDP Flood 攻击、防ARP Flood报文攻击等；</w:t>
            </w:r>
            <w:r>
              <w:rPr>
                <w:rFonts w:hint="eastAsia" w:ascii="宋体" w:hAnsi="宋体" w:cs="宋体"/>
                <w:kern w:val="0"/>
                <w:sz w:val="20"/>
                <w:szCs w:val="20"/>
              </w:rPr>
              <w:br w:type="textWrapping"/>
            </w:r>
            <w:r>
              <w:rPr>
                <w:rFonts w:hint="eastAsia" w:ascii="宋体" w:hAnsi="宋体" w:cs="宋体"/>
                <w:kern w:val="0"/>
                <w:sz w:val="20"/>
                <w:szCs w:val="20"/>
              </w:rPr>
              <w:t>支持SSL VPN，并提供≥600个免费SSL VPN接入授权；支持IPSec VPN，并提供≥600路免费Ipsec VPN接入授权，支持WINDOWS、安卓、MAC、IOS操作系统SSLVPN客户端软件；</w:t>
            </w:r>
            <w:r>
              <w:rPr>
                <w:rFonts w:hint="eastAsia" w:ascii="宋体" w:hAnsi="宋体" w:cs="宋体"/>
                <w:kern w:val="0"/>
                <w:sz w:val="20"/>
                <w:szCs w:val="20"/>
              </w:rPr>
              <w:br w:type="textWrapping"/>
            </w:r>
            <w:r>
              <w:rPr>
                <w:rFonts w:hint="eastAsia" w:ascii="宋体" w:hAnsi="宋体" w:cs="宋体"/>
                <w:kern w:val="0"/>
                <w:sz w:val="20"/>
                <w:szCs w:val="20"/>
              </w:rPr>
              <w:t>支持对无线AP进行管理，可自动发现接入AP，支持设置STA优先接入5G频段(band select)，默认配置64个AP管理授权，最大可扩容至256个；</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华三、华为、锐捷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251</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防火墙</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系统具有良好的可扩展性，能够扩展支持病毒防御、入侵防御、应用识别、垃圾邮件过滤、文件防泄漏、上网行为管理、APT防御、僵尸主机检测、IPSEC VPN与SSL VPN等功能；</w:t>
            </w:r>
            <w:r>
              <w:rPr>
                <w:rFonts w:hint="eastAsia" w:ascii="宋体" w:hAnsi="宋体" w:cs="宋体"/>
                <w:kern w:val="0"/>
                <w:sz w:val="20"/>
                <w:szCs w:val="20"/>
              </w:rPr>
              <w:br w:type="textWrapping"/>
            </w:r>
            <w:r>
              <w:rPr>
                <w:rFonts w:hint="eastAsia" w:ascii="宋体" w:hAnsi="宋体" w:cs="宋体"/>
                <w:kern w:val="0"/>
                <w:sz w:val="20"/>
                <w:szCs w:val="20"/>
              </w:rPr>
              <w:t>要求实配千兆电口数量≥32个；实配千兆光口数量≥2个；为保障接口稳定性，所投产品必须是全部是固化接口，而非板卡接口。</w:t>
            </w:r>
            <w:r>
              <w:rPr>
                <w:rFonts w:hint="eastAsia" w:ascii="宋体" w:hAnsi="宋体" w:cs="宋体"/>
                <w:kern w:val="0"/>
                <w:sz w:val="20"/>
                <w:szCs w:val="20"/>
              </w:rPr>
              <w:br w:type="textWrapping"/>
            </w:r>
            <w:r>
              <w:rPr>
                <w:rFonts w:hint="eastAsia" w:ascii="宋体" w:hAnsi="宋体" w:cs="宋体"/>
                <w:kern w:val="0"/>
                <w:sz w:val="20"/>
                <w:szCs w:val="20"/>
              </w:rPr>
              <w:t>三层网络吞吐≥7.4Gbps ，IPS吞吐量≥500Mbps，最大并发连接≥200万，最大新建连接≥3万；</w:t>
            </w:r>
            <w:r>
              <w:rPr>
                <w:rFonts w:hint="eastAsia" w:ascii="宋体" w:hAnsi="宋体" w:cs="宋体"/>
                <w:kern w:val="0"/>
                <w:sz w:val="20"/>
                <w:szCs w:val="20"/>
              </w:rPr>
              <w:br w:type="textWrapping"/>
            </w:r>
            <w:r>
              <w:rPr>
                <w:rFonts w:hint="eastAsia" w:ascii="宋体" w:hAnsi="宋体" w:cs="宋体"/>
                <w:kern w:val="0"/>
                <w:sz w:val="20"/>
                <w:szCs w:val="20"/>
              </w:rPr>
              <w:t>IPSEC VPN隧道数≥2000，设备本身要求自带2000个 IPSec VPN授权；SSL VPN并发用户数≥300，设备本身要求自带300个 SSL VPN授权。</w:t>
            </w:r>
            <w:r>
              <w:rPr>
                <w:rFonts w:hint="eastAsia" w:ascii="宋体" w:hAnsi="宋体" w:cs="宋体"/>
                <w:kern w:val="0"/>
                <w:sz w:val="20"/>
                <w:szCs w:val="20"/>
              </w:rPr>
              <w:br w:type="textWrapping"/>
            </w:r>
            <w:r>
              <w:rPr>
                <w:rFonts w:hint="eastAsia" w:ascii="宋体" w:hAnsi="宋体" w:cs="宋体"/>
                <w:kern w:val="0"/>
                <w:sz w:val="20"/>
                <w:szCs w:val="20"/>
              </w:rPr>
              <w:t>支持路由模式、透明（网桥模式）、混合模式</w:t>
            </w:r>
            <w:r>
              <w:rPr>
                <w:rFonts w:hint="eastAsia" w:ascii="宋体" w:hAnsi="宋体" w:cs="宋体"/>
                <w:kern w:val="0"/>
                <w:sz w:val="20"/>
                <w:szCs w:val="20"/>
              </w:rPr>
              <w:br w:type="textWrapping"/>
            </w:r>
            <w:r>
              <w:rPr>
                <w:rFonts w:hint="eastAsia" w:ascii="宋体" w:hAnsi="宋体" w:cs="宋体"/>
                <w:kern w:val="0"/>
                <w:sz w:val="20"/>
                <w:szCs w:val="20"/>
              </w:rPr>
              <w:t>要求支持虚拟防火墙，且每个虚拟防火墙独立管理；</w:t>
            </w:r>
            <w:r>
              <w:rPr>
                <w:rFonts w:hint="eastAsia" w:ascii="宋体" w:hAnsi="宋体" w:cs="宋体"/>
                <w:kern w:val="0"/>
                <w:sz w:val="20"/>
                <w:szCs w:val="20"/>
              </w:rPr>
              <w:br w:type="textWrapping"/>
            </w:r>
            <w:r>
              <w:rPr>
                <w:rFonts w:hint="eastAsia" w:ascii="宋体" w:hAnsi="宋体" w:cs="宋体"/>
                <w:kern w:val="0"/>
                <w:sz w:val="20"/>
                <w:szCs w:val="20"/>
              </w:rPr>
              <w:t>为保障不同业务不同安全策略，要求支持每个虚拟防火墙能进行路由表、策略、VPN等设置；能够在虚拟系统中应用所有安全特性。</w:t>
            </w:r>
            <w:r>
              <w:rPr>
                <w:rFonts w:hint="eastAsia" w:ascii="宋体" w:hAnsi="宋体" w:cs="宋体"/>
                <w:kern w:val="0"/>
                <w:sz w:val="20"/>
                <w:szCs w:val="20"/>
              </w:rPr>
              <w:br w:type="textWrapping"/>
            </w:r>
            <w:r>
              <w:rPr>
                <w:rFonts w:hint="eastAsia" w:ascii="宋体" w:hAnsi="宋体" w:cs="宋体"/>
                <w:kern w:val="0"/>
                <w:sz w:val="20"/>
                <w:szCs w:val="20"/>
              </w:rPr>
              <w:t>支持不同虚拟防火墙之间数据路由和透明转发模式；</w:t>
            </w:r>
            <w:r>
              <w:rPr>
                <w:rFonts w:hint="eastAsia" w:ascii="宋体" w:hAnsi="宋体" w:cs="宋体"/>
                <w:kern w:val="0"/>
                <w:sz w:val="20"/>
                <w:szCs w:val="20"/>
              </w:rPr>
              <w:br w:type="textWrapping"/>
            </w:r>
            <w:r>
              <w:rPr>
                <w:rFonts w:hint="eastAsia" w:ascii="宋体" w:hAnsi="宋体" w:cs="宋体"/>
                <w:kern w:val="0"/>
                <w:sz w:val="20"/>
                <w:szCs w:val="20"/>
              </w:rPr>
              <w:t>支持等值路由（ECMP），并支持链路权重设置。</w:t>
            </w:r>
            <w:r>
              <w:rPr>
                <w:rFonts w:hint="eastAsia" w:ascii="宋体" w:hAnsi="宋体" w:cs="宋体"/>
                <w:kern w:val="0"/>
                <w:sz w:val="20"/>
                <w:szCs w:val="20"/>
              </w:rPr>
              <w:br w:type="textWrapping"/>
            </w:r>
            <w:r>
              <w:rPr>
                <w:rFonts w:hint="eastAsia" w:ascii="宋体" w:hAnsi="宋体" w:cs="宋体"/>
                <w:kern w:val="0"/>
                <w:sz w:val="20"/>
                <w:szCs w:val="20"/>
              </w:rPr>
              <w:t>支持主-备和主-主HA方案。双机热备要能支持多种组网形式，确保可靠性，并且数据接口和心跳线支持冗余。</w:t>
            </w:r>
            <w:r>
              <w:rPr>
                <w:rFonts w:hint="eastAsia" w:ascii="宋体" w:hAnsi="宋体" w:cs="宋体"/>
                <w:kern w:val="0"/>
                <w:sz w:val="20"/>
                <w:szCs w:val="20"/>
              </w:rPr>
              <w:br w:type="textWrapping"/>
            </w:r>
            <w:r>
              <w:rPr>
                <w:rFonts w:hint="eastAsia" w:ascii="宋体" w:hAnsi="宋体" w:cs="宋体"/>
                <w:kern w:val="0"/>
                <w:sz w:val="20"/>
                <w:szCs w:val="20"/>
              </w:rPr>
              <w:t>支持策略路由、组播路由、静态路由、RIP(v1/v2)、OSPF、BGP、IS-IS等；</w:t>
            </w:r>
            <w:r>
              <w:rPr>
                <w:rFonts w:hint="eastAsia" w:ascii="宋体" w:hAnsi="宋体" w:cs="宋体"/>
                <w:kern w:val="0"/>
                <w:sz w:val="20"/>
                <w:szCs w:val="20"/>
              </w:rPr>
              <w:br w:type="textWrapping"/>
            </w:r>
            <w:r>
              <w:rPr>
                <w:rFonts w:hint="eastAsia" w:ascii="宋体" w:hAnsi="宋体" w:cs="宋体"/>
                <w:kern w:val="0"/>
                <w:sz w:val="20"/>
                <w:szCs w:val="20"/>
              </w:rPr>
              <w:t>支持802.1Q Trunk，支持不同VLAN之间的数据隔离。</w:t>
            </w:r>
            <w:r>
              <w:rPr>
                <w:rFonts w:hint="eastAsia" w:ascii="宋体" w:hAnsi="宋体" w:cs="宋体"/>
                <w:kern w:val="0"/>
                <w:sz w:val="20"/>
                <w:szCs w:val="20"/>
              </w:rPr>
              <w:br w:type="textWrapping"/>
            </w:r>
            <w:r>
              <w:rPr>
                <w:rFonts w:hint="eastAsia" w:ascii="宋体" w:hAnsi="宋体" w:cs="宋体"/>
                <w:kern w:val="0"/>
                <w:sz w:val="20"/>
                <w:szCs w:val="20"/>
              </w:rPr>
              <w:t>支持状态检测、包过滤、深度应用层检测；</w:t>
            </w:r>
            <w:r>
              <w:rPr>
                <w:rFonts w:hint="eastAsia" w:ascii="宋体" w:hAnsi="宋体" w:cs="宋体"/>
                <w:kern w:val="0"/>
                <w:sz w:val="20"/>
                <w:szCs w:val="20"/>
              </w:rPr>
              <w:br w:type="textWrapping"/>
            </w:r>
            <w:r>
              <w:rPr>
                <w:rFonts w:hint="eastAsia" w:ascii="宋体" w:hAnsi="宋体" w:cs="宋体"/>
                <w:kern w:val="0"/>
                <w:sz w:val="20"/>
                <w:szCs w:val="20"/>
              </w:rPr>
              <w:t>支持SYN Flood、UDP Flood、ICMP Flood、LAND攻击、Smurf攻击、Fraggle攻击、Winnuke等攻击防护；</w:t>
            </w:r>
            <w:r>
              <w:rPr>
                <w:rFonts w:hint="eastAsia" w:ascii="宋体" w:hAnsi="宋体" w:cs="宋体"/>
                <w:kern w:val="0"/>
                <w:sz w:val="20"/>
                <w:szCs w:val="20"/>
              </w:rPr>
              <w:br w:type="textWrapping"/>
            </w:r>
            <w:r>
              <w:rPr>
                <w:rFonts w:hint="eastAsia" w:ascii="宋体" w:hAnsi="宋体" w:cs="宋体"/>
                <w:kern w:val="0"/>
                <w:sz w:val="20"/>
                <w:szCs w:val="20"/>
              </w:rPr>
              <w:t>策略具备接口、地址、服务、时间、用户、带宽等的配置。</w:t>
            </w:r>
            <w:r>
              <w:rPr>
                <w:rFonts w:hint="eastAsia" w:ascii="宋体" w:hAnsi="宋体" w:cs="宋体"/>
                <w:kern w:val="0"/>
                <w:sz w:val="20"/>
                <w:szCs w:val="20"/>
              </w:rPr>
              <w:br w:type="textWrapping"/>
            </w:r>
            <w:r>
              <w:rPr>
                <w:rFonts w:hint="eastAsia" w:ascii="宋体" w:hAnsi="宋体" w:cs="宋体"/>
                <w:kern w:val="0"/>
                <w:sz w:val="20"/>
                <w:szCs w:val="20"/>
              </w:rPr>
              <w:t>支持基于特定源地址、目的地址、应用端口组合的会话数限制。</w:t>
            </w:r>
            <w:r>
              <w:rPr>
                <w:rFonts w:hint="eastAsia" w:ascii="宋体" w:hAnsi="宋体" w:cs="宋体"/>
                <w:kern w:val="0"/>
                <w:sz w:val="20"/>
                <w:szCs w:val="20"/>
              </w:rPr>
              <w:br w:type="textWrapping"/>
            </w:r>
            <w:r>
              <w:rPr>
                <w:rFonts w:hint="eastAsia" w:ascii="宋体" w:hAnsi="宋体" w:cs="宋体"/>
                <w:kern w:val="0"/>
                <w:sz w:val="20"/>
                <w:szCs w:val="20"/>
              </w:rPr>
              <w:t>为保障语音系统效果，支持VoIP防护，可基于SIP与SCCP协议防护，可限制SIP的注册请求，可限制SCCP的呼叫建立；</w:t>
            </w:r>
            <w:r>
              <w:rPr>
                <w:rFonts w:hint="eastAsia" w:ascii="宋体" w:hAnsi="宋体" w:cs="宋体"/>
                <w:kern w:val="0"/>
                <w:sz w:val="20"/>
                <w:szCs w:val="20"/>
              </w:rPr>
              <w:br w:type="textWrapping"/>
            </w:r>
            <w:r>
              <w:rPr>
                <w:rFonts w:hint="eastAsia" w:ascii="宋体" w:hAnsi="宋体" w:cs="宋体"/>
                <w:kern w:val="0"/>
                <w:sz w:val="20"/>
                <w:szCs w:val="20"/>
              </w:rPr>
              <w:t>支持用户自定义攻击特征；</w:t>
            </w:r>
            <w:r>
              <w:rPr>
                <w:rFonts w:hint="eastAsia" w:ascii="宋体" w:hAnsi="宋体" w:cs="宋体"/>
                <w:kern w:val="0"/>
                <w:sz w:val="20"/>
                <w:szCs w:val="20"/>
              </w:rPr>
              <w:br w:type="textWrapping"/>
            </w:r>
            <w:r>
              <w:rPr>
                <w:rFonts w:hint="eastAsia" w:ascii="宋体" w:hAnsi="宋体" w:cs="宋体"/>
                <w:kern w:val="0"/>
                <w:sz w:val="20"/>
                <w:szCs w:val="20"/>
              </w:rPr>
              <w:t>入侵检测特征库≥5000种；</w:t>
            </w:r>
            <w:r>
              <w:rPr>
                <w:rFonts w:hint="eastAsia" w:ascii="宋体" w:hAnsi="宋体" w:cs="宋体"/>
                <w:kern w:val="0"/>
                <w:sz w:val="20"/>
                <w:szCs w:val="20"/>
              </w:rPr>
              <w:br w:type="textWrapping"/>
            </w:r>
            <w:r>
              <w:rPr>
                <w:rFonts w:hint="eastAsia" w:ascii="宋体" w:hAnsi="宋体" w:cs="宋体"/>
                <w:kern w:val="0"/>
                <w:sz w:val="20"/>
                <w:szCs w:val="20"/>
              </w:rPr>
              <w:t>要求支持邮件内容、邮件标题、附件内容进行检测和过滤；</w:t>
            </w:r>
            <w:r>
              <w:rPr>
                <w:rFonts w:hint="eastAsia" w:ascii="宋体" w:hAnsi="宋体" w:cs="宋体"/>
                <w:kern w:val="0"/>
                <w:sz w:val="20"/>
                <w:szCs w:val="20"/>
              </w:rPr>
              <w:br w:type="textWrapping"/>
            </w:r>
            <w:r>
              <w:rPr>
                <w:rFonts w:hint="eastAsia" w:ascii="宋体" w:hAnsi="宋体" w:cs="宋体"/>
                <w:kern w:val="0"/>
                <w:sz w:val="20"/>
                <w:szCs w:val="20"/>
              </w:rPr>
              <w:t>支持防数据泄漏功能，能对HTTP、FTP、SMTP、POP3等协议中的敏感内容进行过滤和阻断。</w:t>
            </w:r>
            <w:r>
              <w:rPr>
                <w:rFonts w:hint="eastAsia" w:ascii="宋体" w:hAnsi="宋体" w:cs="宋体"/>
                <w:kern w:val="0"/>
                <w:sz w:val="20"/>
                <w:szCs w:val="20"/>
              </w:rPr>
              <w:br w:type="textWrapping"/>
            </w:r>
            <w:r>
              <w:rPr>
                <w:rFonts w:hint="eastAsia" w:ascii="宋体" w:hAnsi="宋体" w:cs="宋体"/>
                <w:kern w:val="0"/>
                <w:sz w:val="20"/>
                <w:szCs w:val="20"/>
              </w:rPr>
              <w:t>应用程序列表数量大于2900种；</w:t>
            </w:r>
            <w:r>
              <w:rPr>
                <w:rFonts w:hint="eastAsia" w:ascii="宋体" w:hAnsi="宋体" w:cs="宋体"/>
                <w:kern w:val="0"/>
                <w:sz w:val="20"/>
                <w:szCs w:val="20"/>
              </w:rPr>
              <w:br w:type="textWrapping"/>
            </w:r>
            <w:r>
              <w:rPr>
                <w:rFonts w:hint="eastAsia" w:ascii="宋体" w:hAnsi="宋体" w:cs="宋体"/>
                <w:kern w:val="0"/>
                <w:sz w:val="20"/>
                <w:szCs w:val="20"/>
              </w:rPr>
              <w:t>支持基于应用防御、入侵防御、恶意软件防御的统计结果定义用户的信誉值</w:t>
            </w:r>
            <w:r>
              <w:rPr>
                <w:rFonts w:hint="eastAsia" w:ascii="宋体" w:hAnsi="宋体" w:cs="宋体"/>
                <w:kern w:val="0"/>
                <w:sz w:val="20"/>
                <w:szCs w:val="20"/>
              </w:rPr>
              <w:br w:type="textWrapping"/>
            </w:r>
            <w:r>
              <w:rPr>
                <w:rFonts w:hint="eastAsia" w:ascii="宋体" w:hAnsi="宋体" w:cs="宋体"/>
                <w:kern w:val="0"/>
                <w:sz w:val="20"/>
                <w:szCs w:val="20"/>
              </w:rPr>
              <w:t>支持僵尸主机、C&amp;C客户端检测功能</w:t>
            </w:r>
            <w:r>
              <w:rPr>
                <w:rFonts w:hint="eastAsia" w:ascii="宋体" w:hAnsi="宋体" w:cs="宋体"/>
                <w:kern w:val="0"/>
                <w:sz w:val="20"/>
                <w:szCs w:val="20"/>
              </w:rPr>
              <w:br w:type="textWrapping"/>
            </w:r>
            <w:r>
              <w:rPr>
                <w:rFonts w:hint="eastAsia" w:ascii="宋体" w:hAnsi="宋体" w:cs="宋体"/>
                <w:kern w:val="0"/>
                <w:sz w:val="20"/>
                <w:szCs w:val="20"/>
              </w:rPr>
              <w:t>支持0-day恶意软件变种、可疑文件等APT高级可持续威胁的统计功能</w:t>
            </w:r>
            <w:r>
              <w:rPr>
                <w:rFonts w:hint="eastAsia" w:ascii="宋体" w:hAnsi="宋体" w:cs="宋体"/>
                <w:kern w:val="0"/>
                <w:sz w:val="20"/>
                <w:szCs w:val="20"/>
              </w:rPr>
              <w:br w:type="textWrapping"/>
            </w:r>
            <w:r>
              <w:rPr>
                <w:rFonts w:hint="eastAsia" w:ascii="宋体" w:hAnsi="宋体" w:cs="宋体"/>
                <w:kern w:val="0"/>
                <w:sz w:val="20"/>
                <w:szCs w:val="20"/>
              </w:rPr>
              <w:t>为了支持业务扩展，要求支持IPv4/IPv6双栈</w:t>
            </w:r>
            <w:r>
              <w:rPr>
                <w:rFonts w:hint="eastAsia" w:ascii="宋体" w:hAnsi="宋体" w:cs="宋体"/>
                <w:kern w:val="0"/>
                <w:sz w:val="20"/>
                <w:szCs w:val="20"/>
              </w:rPr>
              <w:br w:type="textWrapping"/>
            </w:r>
            <w:r>
              <w:rPr>
                <w:rFonts w:hint="eastAsia" w:ascii="宋体" w:hAnsi="宋体" w:cs="宋体"/>
                <w:kern w:val="0"/>
                <w:sz w:val="20"/>
                <w:szCs w:val="20"/>
              </w:rPr>
              <w:t xml:space="preserve">为更好的支持IPv6业务，要求支持基于IPv6的策略设置、内容过滤、IPS检测、代理、流控和VPN功能     </w:t>
            </w:r>
          </w:p>
          <w:p>
            <w:pPr>
              <w:widowControl/>
              <w:snapToGrid w:val="0"/>
              <w:jc w:val="left"/>
              <w:rPr>
                <w:rFonts w:ascii="宋体" w:hAnsi="宋体" w:cs="宋体"/>
                <w:kern w:val="0"/>
                <w:sz w:val="20"/>
                <w:szCs w:val="20"/>
              </w:rPr>
            </w:pPr>
            <w:r>
              <w:rPr>
                <w:rFonts w:hint="eastAsia" w:ascii="宋体" w:hAnsi="宋体" w:cs="宋体"/>
                <w:kern w:val="0"/>
                <w:sz w:val="20"/>
                <w:szCs w:val="20"/>
              </w:rPr>
              <w:t>要求配置3年特征库授权；</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华三、华为、锐捷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252</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48口光口交换机</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固化端口：≥48个100/1000Mbps光口，≥4个SFP+光口</w:t>
            </w:r>
            <w:r>
              <w:rPr>
                <w:rFonts w:hint="eastAsia" w:ascii="宋体" w:hAnsi="宋体" w:cs="宋体"/>
                <w:kern w:val="0"/>
                <w:sz w:val="20"/>
                <w:szCs w:val="20"/>
              </w:rPr>
              <w:br w:type="textWrapping"/>
            </w:r>
            <w:r>
              <w:rPr>
                <w:rFonts w:hint="eastAsia" w:ascii="宋体" w:hAnsi="宋体" w:cs="宋体"/>
                <w:kern w:val="0"/>
                <w:sz w:val="20"/>
                <w:szCs w:val="20"/>
              </w:rPr>
              <w:t>设备可提供2个扩展槽</w:t>
            </w:r>
            <w:r>
              <w:rPr>
                <w:rFonts w:hint="eastAsia" w:ascii="宋体" w:hAnsi="宋体" w:cs="宋体"/>
                <w:kern w:val="0"/>
                <w:sz w:val="20"/>
                <w:szCs w:val="20"/>
              </w:rPr>
              <w:br w:type="textWrapping"/>
            </w:r>
            <w:r>
              <w:rPr>
                <w:rFonts w:hint="eastAsia" w:ascii="宋体" w:hAnsi="宋体" w:cs="宋体"/>
                <w:kern w:val="0"/>
                <w:sz w:val="20"/>
                <w:szCs w:val="20"/>
              </w:rPr>
              <w:t>支持万兆光口≥8个</w:t>
            </w:r>
            <w:r>
              <w:rPr>
                <w:rFonts w:hint="eastAsia" w:ascii="宋体" w:hAnsi="宋体" w:cs="宋体"/>
                <w:kern w:val="0"/>
                <w:sz w:val="20"/>
                <w:szCs w:val="20"/>
              </w:rPr>
              <w:br w:type="textWrapping"/>
            </w:r>
            <w:r>
              <w:rPr>
                <w:rFonts w:hint="eastAsia" w:ascii="宋体" w:hAnsi="宋体" w:cs="宋体"/>
                <w:kern w:val="0"/>
                <w:sz w:val="20"/>
                <w:szCs w:val="20"/>
              </w:rPr>
              <w:t>交换容量≥736Gbps，包转发率≥252Mpps</w:t>
            </w:r>
            <w:r>
              <w:rPr>
                <w:rFonts w:hint="eastAsia" w:ascii="宋体" w:hAnsi="宋体" w:cs="宋体"/>
                <w:kern w:val="0"/>
                <w:sz w:val="20"/>
                <w:szCs w:val="20"/>
              </w:rPr>
              <w:br w:type="textWrapping"/>
            </w:r>
            <w:r>
              <w:rPr>
                <w:rFonts w:hint="eastAsia" w:ascii="宋体" w:hAnsi="宋体" w:cs="宋体"/>
                <w:kern w:val="0"/>
                <w:sz w:val="20"/>
                <w:szCs w:val="20"/>
              </w:rPr>
              <w:t>工作温度0-50°</w:t>
            </w:r>
            <w:r>
              <w:rPr>
                <w:rFonts w:hint="eastAsia" w:ascii="宋体" w:hAnsi="宋体" w:cs="宋体"/>
                <w:kern w:val="0"/>
                <w:sz w:val="20"/>
                <w:szCs w:val="20"/>
              </w:rPr>
              <w:br w:type="textWrapping"/>
            </w:r>
            <w:r>
              <w:rPr>
                <w:rFonts w:hint="eastAsia" w:ascii="宋体" w:hAnsi="宋体" w:cs="宋体"/>
                <w:kern w:val="0"/>
                <w:sz w:val="20"/>
                <w:szCs w:val="20"/>
              </w:rPr>
              <w:t>整机采用绿色环保设计，满负荷情况下功耗≤100W。</w:t>
            </w:r>
            <w:r>
              <w:rPr>
                <w:rFonts w:hint="eastAsia" w:ascii="宋体" w:hAnsi="宋体" w:cs="宋体"/>
                <w:kern w:val="0"/>
                <w:sz w:val="20"/>
                <w:szCs w:val="20"/>
              </w:rPr>
              <w:br w:type="textWrapping"/>
            </w:r>
            <w:r>
              <w:rPr>
                <w:rFonts w:hint="eastAsia" w:ascii="宋体" w:hAnsi="宋体" w:cs="宋体"/>
                <w:kern w:val="0"/>
                <w:sz w:val="20"/>
                <w:szCs w:val="20"/>
              </w:rPr>
              <w:t>要求所投设备，MAC地址≥64K，ARP表项≥20K。</w:t>
            </w:r>
            <w:r>
              <w:rPr>
                <w:rFonts w:hint="eastAsia" w:ascii="宋体" w:hAnsi="宋体" w:cs="宋体"/>
                <w:kern w:val="0"/>
                <w:sz w:val="20"/>
                <w:szCs w:val="20"/>
              </w:rPr>
              <w:br w:type="textWrapping"/>
            </w:r>
            <w:r>
              <w:rPr>
                <w:rFonts w:hint="eastAsia" w:ascii="宋体" w:hAnsi="宋体" w:cs="宋体"/>
                <w:kern w:val="0"/>
                <w:sz w:val="20"/>
                <w:szCs w:val="20"/>
              </w:rPr>
              <w:t>支持RIP，OSPF，BGP，RIPng，OSPFv3，BGP4+</w:t>
            </w:r>
            <w:r>
              <w:rPr>
                <w:rFonts w:hint="eastAsia" w:ascii="宋体" w:hAnsi="宋体" w:cs="宋体"/>
                <w:kern w:val="0"/>
                <w:sz w:val="20"/>
                <w:szCs w:val="20"/>
              </w:rPr>
              <w:br w:type="textWrapping"/>
            </w:r>
            <w:r>
              <w:rPr>
                <w:rFonts w:hint="eastAsia" w:ascii="宋体" w:hAnsi="宋体" w:cs="宋体"/>
                <w:kern w:val="0"/>
                <w:sz w:val="20"/>
                <w:szCs w:val="20"/>
              </w:rPr>
              <w:t xml:space="preserve">支持IGMP v1/v2/v3，IGMP v1/v2/v3 Snooping，支持PIM-DM，PIM-SM，PIM-SSM，PIM for IPv6 </w:t>
            </w:r>
            <w:r>
              <w:rPr>
                <w:rFonts w:hint="eastAsia" w:ascii="宋体" w:hAnsi="宋体" w:cs="宋体"/>
                <w:kern w:val="0"/>
                <w:sz w:val="20"/>
                <w:szCs w:val="20"/>
              </w:rPr>
              <w:br w:type="textWrapping"/>
            </w:r>
            <w:r>
              <w:rPr>
                <w:rFonts w:hint="eastAsia" w:ascii="宋体" w:hAnsi="宋体" w:cs="宋体"/>
                <w:kern w:val="0"/>
                <w:sz w:val="20"/>
                <w:szCs w:val="20"/>
              </w:rPr>
              <w:t>要求所投设备支持1对1、1对多、多对1和基于流的镜像；且支持RSPAN和ERSPAN</w:t>
            </w:r>
            <w:r>
              <w:rPr>
                <w:rFonts w:hint="eastAsia" w:ascii="宋体" w:hAnsi="宋体" w:cs="宋体"/>
                <w:kern w:val="0"/>
                <w:sz w:val="20"/>
                <w:szCs w:val="20"/>
              </w:rPr>
              <w:br w:type="textWrapping"/>
            </w:r>
            <w:r>
              <w:rPr>
                <w:rFonts w:hint="eastAsia" w:ascii="宋体" w:hAnsi="宋体" w:cs="宋体"/>
                <w:kern w:val="0"/>
                <w:sz w:val="20"/>
                <w:szCs w:val="20"/>
              </w:rPr>
              <w:t>支持SAVI功能，可防止地址解析欺骗。</w:t>
            </w:r>
            <w:r>
              <w:rPr>
                <w:rFonts w:hint="eastAsia" w:ascii="宋体" w:hAnsi="宋体" w:cs="宋体"/>
                <w:kern w:val="0"/>
                <w:sz w:val="20"/>
                <w:szCs w:val="20"/>
              </w:rPr>
              <w:br w:type="textWrapping"/>
            </w:r>
            <w:r>
              <w:rPr>
                <w:rFonts w:hint="eastAsia" w:ascii="宋体" w:hAnsi="宋体" w:cs="宋体"/>
                <w:kern w:val="0"/>
                <w:sz w:val="20"/>
                <w:szCs w:val="20"/>
              </w:rPr>
              <w:t>支持专门针对CPU保护机制的CPP功能，可将送CPU的报文，如ARP报文的速率进行限制，使CPU的使用率降低到15%以内，保障了CPU安全。</w:t>
            </w:r>
            <w:r>
              <w:rPr>
                <w:rFonts w:hint="eastAsia" w:ascii="宋体" w:hAnsi="宋体" w:cs="宋体"/>
                <w:kern w:val="0"/>
                <w:sz w:val="20"/>
                <w:szCs w:val="20"/>
              </w:rPr>
              <w:br w:type="textWrapping"/>
            </w:r>
            <w:r>
              <w:rPr>
                <w:rFonts w:hint="eastAsia" w:ascii="宋体" w:hAnsi="宋体" w:cs="宋体"/>
                <w:kern w:val="0"/>
                <w:sz w:val="20"/>
                <w:szCs w:val="20"/>
              </w:rPr>
              <w:t>支持专门基础网络保护机制的功能，支持多种类型的防护，如ARP防护，当ARP速率超过攻击水线，对有攻击行为的用户进行隔离，保证设备和整网的安全稳定运行。</w:t>
            </w:r>
            <w:r>
              <w:rPr>
                <w:rFonts w:hint="eastAsia" w:ascii="宋体" w:hAnsi="宋体" w:cs="宋体"/>
                <w:kern w:val="0"/>
                <w:sz w:val="20"/>
                <w:szCs w:val="20"/>
              </w:rPr>
              <w:br w:type="textWrapping"/>
            </w:r>
            <w:r>
              <w:rPr>
                <w:rFonts w:hint="eastAsia" w:ascii="宋体" w:hAnsi="宋体" w:cs="宋体"/>
                <w:kern w:val="0"/>
                <w:sz w:val="20"/>
                <w:szCs w:val="20"/>
              </w:rPr>
              <w:t>要求所投产品支持sFlow网络监测技术。</w:t>
            </w:r>
            <w:r>
              <w:rPr>
                <w:rFonts w:hint="eastAsia" w:ascii="宋体" w:hAnsi="宋体" w:cs="宋体"/>
                <w:kern w:val="0"/>
                <w:sz w:val="20"/>
                <w:szCs w:val="20"/>
              </w:rPr>
              <w:br w:type="textWrapping"/>
            </w:r>
            <w:r>
              <w:rPr>
                <w:rFonts w:hint="eastAsia" w:ascii="宋体" w:hAnsi="宋体" w:cs="宋体"/>
                <w:kern w:val="0"/>
                <w:sz w:val="20"/>
                <w:szCs w:val="20"/>
              </w:rPr>
              <w:t>支持虚拟化功能，可将多台物理设备虚拟化为一台逻辑设备统一管理，并且链路故障的收敛时间≤50ms。</w:t>
            </w:r>
            <w:r>
              <w:rPr>
                <w:rFonts w:hint="eastAsia" w:ascii="宋体" w:hAnsi="宋体" w:cs="宋体"/>
                <w:kern w:val="0"/>
                <w:sz w:val="20"/>
                <w:szCs w:val="20"/>
              </w:rPr>
              <w:br w:type="textWrapping"/>
            </w:r>
            <w:r>
              <w:rPr>
                <w:rFonts w:hint="eastAsia" w:ascii="宋体" w:hAnsi="宋体" w:cs="宋体"/>
                <w:kern w:val="0"/>
                <w:sz w:val="20"/>
                <w:szCs w:val="20"/>
              </w:rPr>
              <w:t>要求所投产品支持ITU-TG.8032国际公有环网协议ERPS,并且链路故障的收敛时间≤50ms。</w:t>
            </w:r>
            <w:r>
              <w:rPr>
                <w:rFonts w:hint="eastAsia" w:ascii="宋体" w:hAnsi="宋体" w:cs="宋体"/>
                <w:kern w:val="0"/>
                <w:sz w:val="20"/>
                <w:szCs w:val="20"/>
              </w:rPr>
              <w:br w:type="textWrapping"/>
            </w:r>
            <w:r>
              <w:rPr>
                <w:rFonts w:hint="eastAsia" w:ascii="宋体" w:hAnsi="宋体" w:cs="宋体"/>
                <w:kern w:val="0"/>
                <w:sz w:val="20"/>
                <w:szCs w:val="20"/>
              </w:rPr>
              <w:t>符合国家低碳环保等政策要求，支持IEEE 802.3az标准的EEE节能技术。</w:t>
            </w:r>
            <w:r>
              <w:rPr>
                <w:rFonts w:hint="eastAsia" w:ascii="宋体" w:hAnsi="宋体" w:cs="宋体"/>
                <w:kern w:val="0"/>
                <w:sz w:val="20"/>
                <w:szCs w:val="20"/>
              </w:rPr>
              <w:br w:type="textWrapping"/>
            </w:r>
            <w:r>
              <w:rPr>
                <w:rFonts w:hint="eastAsia" w:ascii="宋体" w:hAnsi="宋体" w:cs="宋体"/>
                <w:kern w:val="0"/>
                <w:sz w:val="20"/>
                <w:szCs w:val="20"/>
              </w:rPr>
              <w:t>要求所投产品支持软件定义网络SDN，符合OpenFlow 1.3协议标准。</w:t>
            </w:r>
            <w:r>
              <w:rPr>
                <w:rFonts w:hint="eastAsia" w:ascii="宋体" w:hAnsi="宋体" w:cs="宋体"/>
                <w:kern w:val="0"/>
                <w:sz w:val="20"/>
                <w:szCs w:val="20"/>
              </w:rPr>
              <w:br w:type="textWrapping"/>
            </w:r>
            <w:r>
              <w:rPr>
                <w:rFonts w:hint="eastAsia" w:ascii="宋体" w:hAnsi="宋体" w:cs="宋体"/>
                <w:kern w:val="0"/>
                <w:sz w:val="20"/>
                <w:szCs w:val="20"/>
              </w:rPr>
              <w:t>设备自带云管理功能，支持一键设备发现，并在线生成交付验收报告；支持一键全网巡检操作，随时随地掌握网络健康状况，并自动生成巡检报告；支持一键升级、定时升级网络中的网络设备；支持分级分权功能，实现分布区域，统一管理等。</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3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华三、华为、锐捷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253</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48口交换机</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包转发率≥86Mpps， 10/100/1000M以太网端口≥48，固化1G SFP光接口≥4个；</w:t>
            </w:r>
            <w:r>
              <w:rPr>
                <w:rFonts w:hint="eastAsia" w:ascii="宋体" w:hAnsi="宋体" w:cs="宋体"/>
                <w:kern w:val="0"/>
                <w:sz w:val="20"/>
                <w:szCs w:val="20"/>
              </w:rPr>
              <w:br w:type="textWrapping"/>
            </w:r>
            <w:r>
              <w:rPr>
                <w:rFonts w:hint="eastAsia" w:ascii="宋体" w:hAnsi="宋体" w:cs="宋体"/>
                <w:kern w:val="0"/>
                <w:sz w:val="20"/>
                <w:szCs w:val="20"/>
              </w:rPr>
              <w:t>为保证设备在受到外界机械碰撞时能够正常运行，要求所投交换机IK防护测试级别至少达到IK05；</w:t>
            </w:r>
            <w:r>
              <w:rPr>
                <w:rFonts w:hint="eastAsia" w:ascii="宋体" w:hAnsi="宋体" w:cs="宋体"/>
                <w:kern w:val="0"/>
                <w:sz w:val="20"/>
                <w:szCs w:val="20"/>
              </w:rPr>
              <w:br w:type="textWrapping"/>
            </w:r>
            <w:r>
              <w:rPr>
                <w:rFonts w:hint="eastAsia" w:ascii="宋体" w:hAnsi="宋体" w:cs="宋体"/>
                <w:kern w:val="0"/>
                <w:sz w:val="20"/>
                <w:szCs w:val="20"/>
              </w:rPr>
              <w:t>支持生成树协议STP(IEEE 802.1d)，RSTP(IEEE 802.1w)和MSTP(IEEE 802.1s)，完全保证快速收敛，提高容错能力，保证网络的稳定运行和链路的负载均衡，合理使用网络通道，提供冗余链路利用率；</w:t>
            </w:r>
            <w:r>
              <w:rPr>
                <w:rFonts w:hint="eastAsia" w:ascii="宋体" w:hAnsi="宋体" w:cs="宋体"/>
                <w:kern w:val="0"/>
                <w:sz w:val="20"/>
                <w:szCs w:val="20"/>
              </w:rPr>
              <w:br w:type="textWrapping"/>
            </w:r>
            <w:r>
              <w:rPr>
                <w:rFonts w:hint="eastAsia" w:ascii="宋体" w:hAnsi="宋体" w:cs="宋体"/>
                <w:kern w:val="0"/>
                <w:sz w:val="20"/>
                <w:szCs w:val="20"/>
              </w:rPr>
              <w:t>支持IPV4/IPV6静态路由；</w:t>
            </w:r>
            <w:r>
              <w:rPr>
                <w:rFonts w:hint="eastAsia" w:ascii="宋体" w:hAnsi="宋体" w:cs="宋体"/>
                <w:kern w:val="0"/>
                <w:sz w:val="20"/>
                <w:szCs w:val="20"/>
              </w:rPr>
              <w:br w:type="textWrapping"/>
            </w:r>
            <w:r>
              <w:rPr>
                <w:rFonts w:hint="eastAsia" w:ascii="宋体" w:hAnsi="宋体" w:cs="宋体"/>
                <w:kern w:val="0"/>
                <w:sz w:val="20"/>
                <w:szCs w:val="20"/>
              </w:rPr>
              <w:t>支持特有的CPU保护策略，对发往CPU的数据流，进行流区分和优先级队列分级处理，并根据需要实施带宽限速，充分保护CPU不被非法流量占用、恶意攻击和资源消耗；</w:t>
            </w:r>
            <w:r>
              <w:rPr>
                <w:rFonts w:hint="eastAsia" w:ascii="宋体" w:hAnsi="宋体" w:cs="宋体"/>
                <w:kern w:val="0"/>
                <w:sz w:val="20"/>
                <w:szCs w:val="20"/>
              </w:rPr>
              <w:br w:type="textWrapping"/>
            </w:r>
            <w:r>
              <w:rPr>
                <w:rFonts w:hint="eastAsia" w:ascii="宋体" w:hAnsi="宋体" w:cs="宋体"/>
                <w:kern w:val="0"/>
                <w:sz w:val="20"/>
                <w:szCs w:val="20"/>
              </w:rPr>
              <w:t>支持快速链路检测协议RLDP，可快速检测链路的通断和光纤链路的单向性，并支持端口下的环路检测功能，防止端口下因私接Hub等设备形成的环路而导致网络故障的现象。</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xml:space="preserve">5 </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华三、华为、锐捷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254</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8口网络交换机</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固化10/100/1000M以太网电口≥8个，100/1000M SFP千兆光接口≥2个</w:t>
            </w:r>
            <w:r>
              <w:rPr>
                <w:rFonts w:hint="eastAsia" w:ascii="宋体" w:hAnsi="宋体" w:cs="宋体"/>
                <w:kern w:val="0"/>
                <w:sz w:val="20"/>
                <w:szCs w:val="20"/>
              </w:rPr>
              <w:br w:type="textWrapping"/>
            </w:r>
            <w:r>
              <w:rPr>
                <w:rFonts w:hint="eastAsia" w:ascii="宋体" w:hAnsi="宋体" w:cs="宋体"/>
                <w:kern w:val="0"/>
                <w:sz w:val="20"/>
                <w:szCs w:val="20"/>
              </w:rPr>
              <w:t>要求设备采用静音无风扇节能设计；</w:t>
            </w:r>
            <w:r>
              <w:rPr>
                <w:rFonts w:hint="eastAsia" w:ascii="宋体" w:hAnsi="宋体" w:cs="宋体"/>
                <w:kern w:val="0"/>
                <w:sz w:val="20"/>
                <w:szCs w:val="20"/>
              </w:rPr>
              <w:br w:type="textWrapping"/>
            </w:r>
            <w:r>
              <w:rPr>
                <w:rFonts w:hint="eastAsia" w:ascii="宋体" w:hAnsi="宋体" w:cs="宋体"/>
                <w:kern w:val="0"/>
                <w:sz w:val="20"/>
                <w:szCs w:val="20"/>
              </w:rPr>
              <w:t>为保证设备在受到外界机械碰撞时能够正常运行，要求所投交换机IK防护测试级别至少达到IK05；</w:t>
            </w:r>
            <w:r>
              <w:rPr>
                <w:rFonts w:hint="eastAsia" w:ascii="宋体" w:hAnsi="宋体" w:cs="宋体"/>
                <w:kern w:val="0"/>
                <w:sz w:val="20"/>
                <w:szCs w:val="20"/>
              </w:rPr>
              <w:br w:type="textWrapping"/>
            </w:r>
            <w:r>
              <w:rPr>
                <w:rFonts w:hint="eastAsia" w:ascii="宋体" w:hAnsi="宋体" w:cs="宋体"/>
                <w:kern w:val="0"/>
                <w:sz w:val="20"/>
                <w:szCs w:val="20"/>
              </w:rPr>
              <w:t>工作温度-5°-55°；</w:t>
            </w:r>
            <w:r>
              <w:rPr>
                <w:rFonts w:hint="eastAsia" w:ascii="宋体" w:hAnsi="宋体" w:cs="宋体"/>
                <w:kern w:val="0"/>
                <w:sz w:val="20"/>
                <w:szCs w:val="20"/>
              </w:rPr>
              <w:br w:type="textWrapping"/>
            </w:r>
            <w:r>
              <w:rPr>
                <w:rFonts w:hint="eastAsia" w:ascii="宋体" w:hAnsi="宋体" w:cs="宋体"/>
                <w:kern w:val="0"/>
                <w:sz w:val="20"/>
                <w:szCs w:val="20"/>
              </w:rPr>
              <w:t>所投设备具有节能设计，功耗≤8W；</w:t>
            </w:r>
            <w:r>
              <w:rPr>
                <w:rFonts w:hint="eastAsia" w:ascii="宋体" w:hAnsi="宋体" w:cs="宋体"/>
                <w:kern w:val="0"/>
                <w:sz w:val="20"/>
                <w:szCs w:val="20"/>
              </w:rPr>
              <w:br w:type="textWrapping"/>
            </w:r>
            <w:r>
              <w:rPr>
                <w:rFonts w:hint="eastAsia" w:ascii="宋体" w:hAnsi="宋体" w:cs="宋体"/>
                <w:kern w:val="0"/>
                <w:sz w:val="20"/>
                <w:szCs w:val="20"/>
              </w:rPr>
              <w:t>要求所投产品端口浪涌抗扰度≥10KV（即具备10KV的防雷能力）；</w:t>
            </w:r>
            <w:r>
              <w:rPr>
                <w:rFonts w:hint="eastAsia" w:ascii="宋体" w:hAnsi="宋体" w:cs="宋体"/>
                <w:kern w:val="0"/>
                <w:sz w:val="20"/>
                <w:szCs w:val="20"/>
              </w:rPr>
              <w:br w:type="textWrapping"/>
            </w:r>
            <w:r>
              <w:rPr>
                <w:rFonts w:hint="eastAsia" w:ascii="宋体" w:hAnsi="宋体" w:cs="宋体"/>
                <w:kern w:val="0"/>
                <w:sz w:val="20"/>
                <w:szCs w:val="20"/>
              </w:rPr>
              <w:t>支持专门针对CPU的保护机制，能够针对发往CPU处理的各种报文进行流区分和优先级队列分级处理，保护交换机在各种环境下稳定工作；</w:t>
            </w:r>
            <w:r>
              <w:rPr>
                <w:rFonts w:hint="eastAsia" w:ascii="宋体" w:hAnsi="宋体" w:cs="宋体"/>
                <w:kern w:val="0"/>
                <w:sz w:val="20"/>
                <w:szCs w:val="20"/>
              </w:rPr>
              <w:br w:type="textWrapping"/>
            </w:r>
            <w:r>
              <w:rPr>
                <w:rFonts w:hint="eastAsia" w:ascii="宋体" w:hAnsi="宋体" w:cs="宋体"/>
                <w:kern w:val="0"/>
                <w:sz w:val="20"/>
                <w:szCs w:val="20"/>
              </w:rPr>
              <w:t>符合国家低碳环保等政策要求，支持IEEE 802.3az标准的EEE节能技术；</w:t>
            </w:r>
            <w:r>
              <w:rPr>
                <w:rFonts w:hint="eastAsia" w:ascii="宋体" w:hAnsi="宋体" w:cs="宋体"/>
                <w:kern w:val="0"/>
                <w:sz w:val="20"/>
                <w:szCs w:val="20"/>
              </w:rPr>
              <w:br w:type="textWrapping"/>
            </w:r>
            <w:r>
              <w:rPr>
                <w:rFonts w:hint="eastAsia" w:ascii="宋体" w:hAnsi="宋体" w:cs="宋体"/>
                <w:kern w:val="0"/>
                <w:sz w:val="20"/>
                <w:szCs w:val="20"/>
              </w:rPr>
              <w:t>支持SNMP、CLI(Telnet/Console)、Syslog、NTP、TFTP、Web</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3</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华三、华为、锐捷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255</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高清线HDMI</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高清线HDMI（长度配套），10米</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7</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根</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绿联、秋叶原、山泽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256</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工作站</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i7-10700F 16G 2T+256GSSD 2G独显/23"LCD</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4</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DELL、联想、惠普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257</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安防服务器</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4210×1/64G DDR4/1.2T 10K  SAS×2(RAID_1)/SAS_HBA/1GbE×2/550W(1+1)/2U/16DIMM</w:t>
            </w:r>
            <w:r>
              <w:rPr>
                <w:rFonts w:hint="eastAsia" w:ascii="宋体" w:hAnsi="宋体" w:cs="宋体"/>
                <w:kern w:val="0"/>
                <w:sz w:val="20"/>
                <w:szCs w:val="20"/>
              </w:rPr>
              <w:br w:type="textWrapping"/>
            </w:r>
            <w:r>
              <w:rPr>
                <w:rFonts w:hint="eastAsia" w:ascii="宋体" w:hAnsi="宋体" w:cs="宋体"/>
                <w:kern w:val="0"/>
                <w:sz w:val="20"/>
                <w:szCs w:val="20"/>
              </w:rPr>
              <w:t>2U双路标准机架式服务器</w:t>
            </w:r>
            <w:r>
              <w:rPr>
                <w:rFonts w:hint="eastAsia" w:ascii="宋体" w:hAnsi="宋体" w:cs="宋体"/>
                <w:kern w:val="0"/>
                <w:sz w:val="20"/>
                <w:szCs w:val="20"/>
              </w:rPr>
              <w:br w:type="textWrapping"/>
            </w:r>
            <w:r>
              <w:rPr>
                <w:rFonts w:hint="eastAsia" w:ascii="宋体" w:hAnsi="宋体" w:cs="宋体"/>
                <w:kern w:val="0"/>
                <w:sz w:val="20"/>
                <w:szCs w:val="20"/>
              </w:rPr>
              <w:t>CPU：1颗intel至强系列处理器，核数≥10核，主频≥2.2GHz</w:t>
            </w:r>
            <w:r>
              <w:rPr>
                <w:rFonts w:hint="eastAsia" w:ascii="宋体" w:hAnsi="宋体" w:cs="宋体"/>
                <w:kern w:val="0"/>
                <w:sz w:val="20"/>
                <w:szCs w:val="20"/>
              </w:rPr>
              <w:br w:type="textWrapping"/>
            </w:r>
            <w:r>
              <w:rPr>
                <w:rFonts w:hint="eastAsia" w:ascii="宋体" w:hAnsi="宋体" w:cs="宋体"/>
                <w:kern w:val="0"/>
                <w:sz w:val="20"/>
                <w:szCs w:val="20"/>
              </w:rPr>
              <w:t>内存：32G*2 DDR4，16根内存插槽，最大支持扩展至2TB内存</w:t>
            </w:r>
            <w:r>
              <w:rPr>
                <w:rFonts w:hint="eastAsia" w:ascii="宋体" w:hAnsi="宋体" w:cs="宋体"/>
                <w:kern w:val="0"/>
                <w:sz w:val="20"/>
                <w:szCs w:val="20"/>
              </w:rPr>
              <w:br w:type="textWrapping"/>
            </w:r>
            <w:r>
              <w:rPr>
                <w:rFonts w:hint="eastAsia" w:ascii="宋体" w:hAnsi="宋体" w:cs="宋体"/>
                <w:kern w:val="0"/>
                <w:sz w:val="20"/>
                <w:szCs w:val="20"/>
              </w:rPr>
              <w:t>硬盘：2块1.2T 10K 2.5寸 SAS硬盘</w:t>
            </w:r>
            <w:r>
              <w:rPr>
                <w:rFonts w:hint="eastAsia" w:ascii="宋体" w:hAnsi="宋体" w:cs="宋体"/>
                <w:kern w:val="0"/>
                <w:sz w:val="20"/>
                <w:szCs w:val="20"/>
              </w:rPr>
              <w:br w:type="textWrapping"/>
            </w:r>
            <w:r>
              <w:rPr>
                <w:rFonts w:hint="eastAsia" w:ascii="宋体" w:hAnsi="宋体" w:cs="宋体"/>
                <w:kern w:val="0"/>
                <w:sz w:val="20"/>
                <w:szCs w:val="20"/>
              </w:rPr>
              <w:t>阵列卡：SAS_HBA卡, 支持RAID 0/1/10</w:t>
            </w:r>
            <w:r>
              <w:rPr>
                <w:rFonts w:hint="eastAsia" w:ascii="宋体" w:hAnsi="宋体" w:cs="宋体"/>
                <w:kern w:val="0"/>
                <w:sz w:val="20"/>
                <w:szCs w:val="20"/>
              </w:rPr>
              <w:br w:type="textWrapping"/>
            </w:r>
            <w:r>
              <w:rPr>
                <w:rFonts w:hint="eastAsia" w:ascii="宋体" w:hAnsi="宋体" w:cs="宋体"/>
                <w:kern w:val="0"/>
                <w:sz w:val="20"/>
                <w:szCs w:val="20"/>
              </w:rPr>
              <w:t>PCIE扩展：最大可支持6个PCIE扩展插槽</w:t>
            </w:r>
            <w:r>
              <w:rPr>
                <w:rFonts w:hint="eastAsia" w:ascii="宋体" w:hAnsi="宋体" w:cs="宋体"/>
                <w:kern w:val="0"/>
                <w:sz w:val="20"/>
                <w:szCs w:val="20"/>
              </w:rPr>
              <w:br w:type="textWrapping"/>
            </w:r>
            <w:r>
              <w:rPr>
                <w:rFonts w:hint="eastAsia" w:ascii="宋体" w:hAnsi="宋体" w:cs="宋体"/>
                <w:kern w:val="0"/>
                <w:sz w:val="20"/>
                <w:szCs w:val="20"/>
              </w:rPr>
              <w:t>网口：2个千兆电口</w:t>
            </w:r>
            <w:r>
              <w:rPr>
                <w:rFonts w:hint="eastAsia" w:ascii="宋体" w:hAnsi="宋体" w:cs="宋体"/>
                <w:kern w:val="0"/>
                <w:sz w:val="20"/>
                <w:szCs w:val="20"/>
              </w:rPr>
              <w:br w:type="textWrapping"/>
            </w:r>
            <w:r>
              <w:rPr>
                <w:rFonts w:hint="eastAsia" w:ascii="宋体" w:hAnsi="宋体" w:cs="宋体"/>
                <w:kern w:val="0"/>
                <w:sz w:val="20"/>
                <w:szCs w:val="20"/>
              </w:rPr>
              <w:t>其他接口：1个RJ45管理接口，后置2个USB 3.0接口，前置2个USB2.0接口，1个VGA接口</w:t>
            </w:r>
            <w:r>
              <w:rPr>
                <w:rFonts w:hint="eastAsia" w:ascii="宋体" w:hAnsi="宋体" w:cs="宋体"/>
                <w:kern w:val="0"/>
                <w:sz w:val="20"/>
                <w:szCs w:val="20"/>
              </w:rPr>
              <w:br w:type="textWrapping"/>
            </w:r>
            <w:r>
              <w:rPr>
                <w:rFonts w:hint="eastAsia" w:ascii="宋体" w:hAnsi="宋体" w:cs="宋体"/>
                <w:kern w:val="0"/>
                <w:sz w:val="20"/>
                <w:szCs w:val="20"/>
              </w:rPr>
              <w:t xml:space="preserve">电源：标配550W（1+1）高效铂金CRPS冗余电源 </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258</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基础软件包</w:t>
            </w:r>
          </w:p>
        </w:tc>
        <w:tc>
          <w:tcPr>
            <w:tcW w:w="8222" w:type="dxa"/>
            <w:noWrap w:val="0"/>
            <w:vAlign w:val="center"/>
          </w:tcPr>
          <w:p>
            <w:pPr>
              <w:widowControl/>
              <w:snapToGrid w:val="0"/>
              <w:jc w:val="left"/>
              <w:rPr>
                <w:rFonts w:hint="eastAsia" w:ascii="宋体" w:hAnsi="宋体" w:cs="宋体"/>
                <w:kern w:val="0"/>
                <w:sz w:val="20"/>
                <w:szCs w:val="20"/>
              </w:rPr>
            </w:pPr>
            <w:r>
              <w:rPr>
                <w:rFonts w:hint="eastAsia" w:ascii="宋体" w:hAnsi="宋体" w:cs="宋体"/>
                <w:kern w:val="0"/>
                <w:sz w:val="20"/>
                <w:szCs w:val="20"/>
              </w:rPr>
              <w:t>提供业务应用依赖的基础资源信息及基础服务能力，包括系统基础信息管理、地图应用服务、事件联动应用服务。</w:t>
            </w:r>
            <w:r>
              <w:rPr>
                <w:rFonts w:hint="eastAsia" w:ascii="宋体" w:hAnsi="宋体" w:cs="宋体"/>
                <w:kern w:val="0"/>
                <w:sz w:val="20"/>
                <w:szCs w:val="20"/>
              </w:rPr>
              <w:br w:type="textWrapping"/>
            </w:r>
            <w:r>
              <w:rPr>
                <w:rFonts w:hint="eastAsia" w:ascii="宋体" w:hAnsi="宋体" w:cs="宋体"/>
                <w:kern w:val="0"/>
                <w:sz w:val="20"/>
                <w:szCs w:val="20"/>
              </w:rPr>
              <w:t>系统基础信息管理：</w:t>
            </w:r>
            <w:r>
              <w:rPr>
                <w:rFonts w:hint="eastAsia" w:ascii="宋体" w:hAnsi="宋体" w:cs="宋体"/>
                <w:kern w:val="0"/>
                <w:sz w:val="20"/>
                <w:szCs w:val="20"/>
              </w:rPr>
              <w:br w:type="textWrapping"/>
            </w:r>
            <w:r>
              <w:rPr>
                <w:rFonts w:hint="eastAsia" w:ascii="宋体" w:hAnsi="宋体" w:cs="宋体"/>
                <w:kern w:val="0"/>
                <w:sz w:val="20"/>
                <w:szCs w:val="20"/>
              </w:rPr>
              <w:t>系统基础信息管理提供了系统业务应用依赖的基础资源，包括安保用户管理、安保基础数据管理、安保区域管理、安保系统配置、物联设备管理，统一管理了组织、区域、人员、卡片、车辆和物联设备等资源，并提供人车、人卡的关联关系配置能力。</w:t>
            </w:r>
            <w:r>
              <w:rPr>
                <w:rFonts w:hint="eastAsia" w:ascii="宋体" w:hAnsi="宋体" w:cs="宋体"/>
                <w:kern w:val="0"/>
                <w:sz w:val="20"/>
                <w:szCs w:val="20"/>
              </w:rPr>
              <w:br w:type="textWrapping"/>
            </w:r>
            <w:r>
              <w:rPr>
                <w:rFonts w:hint="eastAsia" w:ascii="宋体" w:hAnsi="宋体" w:cs="宋体"/>
                <w:kern w:val="0"/>
                <w:sz w:val="20"/>
                <w:szCs w:val="20"/>
              </w:rPr>
              <w:t>一、组织资源管理</w:t>
            </w:r>
            <w:r>
              <w:rPr>
                <w:rFonts w:hint="eastAsia" w:ascii="宋体" w:hAnsi="宋体" w:cs="宋体"/>
                <w:kern w:val="0"/>
                <w:sz w:val="20"/>
                <w:szCs w:val="20"/>
              </w:rPr>
              <w:br w:type="textWrapping"/>
            </w:r>
            <w:r>
              <w:rPr>
                <w:rFonts w:hint="eastAsia" w:ascii="宋体" w:hAnsi="宋体" w:cs="宋体"/>
                <w:kern w:val="0"/>
                <w:sz w:val="20"/>
                <w:szCs w:val="20"/>
              </w:rPr>
              <w:t>1、支持组织基础信息的增删改查、导入、导出等功能；</w:t>
            </w:r>
            <w:r>
              <w:rPr>
                <w:rFonts w:hint="eastAsia" w:ascii="宋体" w:hAnsi="宋体" w:cs="宋体"/>
                <w:kern w:val="0"/>
                <w:sz w:val="20"/>
                <w:szCs w:val="20"/>
              </w:rPr>
              <w:br w:type="textWrapping"/>
            </w:r>
            <w:r>
              <w:rPr>
                <w:rFonts w:hint="eastAsia" w:ascii="宋体" w:hAnsi="宋体" w:cs="宋体"/>
                <w:kern w:val="0"/>
                <w:sz w:val="20"/>
                <w:szCs w:val="20"/>
              </w:rPr>
              <w:t>二、区域资源管理</w:t>
            </w:r>
            <w:r>
              <w:rPr>
                <w:rFonts w:hint="eastAsia" w:ascii="宋体" w:hAnsi="宋体" w:cs="宋体"/>
                <w:kern w:val="0"/>
                <w:sz w:val="20"/>
                <w:szCs w:val="20"/>
              </w:rPr>
              <w:br w:type="textWrapping"/>
            </w:r>
            <w:r>
              <w:rPr>
                <w:rFonts w:hint="eastAsia" w:ascii="宋体" w:hAnsi="宋体" w:cs="宋体"/>
                <w:kern w:val="0"/>
                <w:sz w:val="20"/>
                <w:szCs w:val="20"/>
              </w:rPr>
              <w:t>1、支持区域基础信息的增删改查、导入、导出等功能；</w:t>
            </w:r>
            <w:r>
              <w:rPr>
                <w:rFonts w:hint="eastAsia" w:ascii="宋体" w:hAnsi="宋体" w:cs="宋体"/>
                <w:kern w:val="0"/>
                <w:sz w:val="20"/>
                <w:szCs w:val="20"/>
              </w:rPr>
              <w:br w:type="textWrapping"/>
            </w:r>
            <w:r>
              <w:rPr>
                <w:rFonts w:hint="eastAsia" w:ascii="宋体" w:hAnsi="宋体" w:cs="宋体"/>
                <w:kern w:val="0"/>
                <w:sz w:val="20"/>
                <w:szCs w:val="20"/>
              </w:rPr>
              <w:t>三、人员信息管理</w:t>
            </w:r>
            <w:r>
              <w:rPr>
                <w:rFonts w:hint="eastAsia" w:ascii="宋体" w:hAnsi="宋体" w:cs="宋体"/>
                <w:kern w:val="0"/>
                <w:sz w:val="20"/>
                <w:szCs w:val="20"/>
              </w:rPr>
              <w:br w:type="textWrapping"/>
            </w:r>
            <w:r>
              <w:rPr>
                <w:rFonts w:hint="eastAsia" w:ascii="宋体" w:hAnsi="宋体" w:cs="宋体"/>
                <w:kern w:val="0"/>
                <w:sz w:val="20"/>
                <w:szCs w:val="20"/>
              </w:rPr>
              <w:t>1、支持人员信息的增删改查、导入、导出，包括人脸、指纹采集；</w:t>
            </w:r>
            <w:r>
              <w:rPr>
                <w:rFonts w:hint="eastAsia" w:ascii="宋体" w:hAnsi="宋体" w:cs="宋体"/>
                <w:kern w:val="0"/>
                <w:sz w:val="20"/>
                <w:szCs w:val="20"/>
              </w:rPr>
              <w:br w:type="textWrapping"/>
            </w:r>
            <w:r>
              <w:rPr>
                <w:rFonts w:hint="eastAsia" w:ascii="宋体" w:hAnsi="宋体" w:cs="宋体"/>
                <w:kern w:val="0"/>
                <w:sz w:val="20"/>
                <w:szCs w:val="20"/>
              </w:rPr>
              <w:t>2、支持人员基础信息自定义扩展；</w:t>
            </w:r>
            <w:r>
              <w:rPr>
                <w:rFonts w:hint="eastAsia" w:ascii="宋体" w:hAnsi="宋体" w:cs="宋体"/>
                <w:kern w:val="0"/>
                <w:sz w:val="20"/>
                <w:szCs w:val="20"/>
              </w:rPr>
              <w:br w:type="textWrapping"/>
            </w:r>
            <w:r>
              <w:rPr>
                <w:rFonts w:hint="eastAsia" w:ascii="宋体" w:hAnsi="宋体" w:cs="宋体"/>
                <w:kern w:val="0"/>
                <w:sz w:val="20"/>
                <w:szCs w:val="20"/>
              </w:rPr>
              <w:t>四、卡片信息管理</w:t>
            </w:r>
            <w:r>
              <w:rPr>
                <w:rFonts w:hint="eastAsia" w:ascii="宋体" w:hAnsi="宋体" w:cs="宋体"/>
                <w:kern w:val="0"/>
                <w:sz w:val="20"/>
                <w:szCs w:val="20"/>
              </w:rPr>
              <w:br w:type="textWrapping"/>
            </w:r>
            <w:r>
              <w:rPr>
                <w:rFonts w:hint="eastAsia" w:ascii="宋体" w:hAnsi="宋体" w:cs="宋体"/>
                <w:kern w:val="0"/>
                <w:sz w:val="20"/>
                <w:szCs w:val="20"/>
              </w:rPr>
              <w:t>1、支持卡片基本信息的增删改查、导入、导出；</w:t>
            </w:r>
            <w:r>
              <w:rPr>
                <w:rFonts w:hint="eastAsia" w:ascii="宋体" w:hAnsi="宋体" w:cs="宋体"/>
                <w:kern w:val="0"/>
                <w:sz w:val="20"/>
                <w:szCs w:val="20"/>
              </w:rPr>
              <w:br w:type="textWrapping"/>
            </w:r>
            <w:r>
              <w:rPr>
                <w:rFonts w:hint="eastAsia" w:ascii="宋体" w:hAnsi="宋体" w:cs="宋体"/>
                <w:kern w:val="0"/>
                <w:sz w:val="20"/>
                <w:szCs w:val="20"/>
              </w:rPr>
              <w:t>2、支持人员开卡、退卡、挂失、解挂、换卡及卡扇区加密；</w:t>
            </w:r>
            <w:r>
              <w:rPr>
                <w:rFonts w:hint="eastAsia" w:ascii="宋体" w:hAnsi="宋体" w:cs="宋体"/>
                <w:kern w:val="0"/>
                <w:sz w:val="20"/>
                <w:szCs w:val="20"/>
              </w:rPr>
              <w:br w:type="textWrapping"/>
            </w:r>
            <w:r>
              <w:rPr>
                <w:rFonts w:hint="eastAsia" w:ascii="宋体" w:hAnsi="宋体" w:cs="宋体"/>
                <w:kern w:val="0"/>
                <w:sz w:val="20"/>
                <w:szCs w:val="20"/>
              </w:rPr>
              <w:t>五、车辆信息管理</w:t>
            </w:r>
            <w:r>
              <w:rPr>
                <w:rFonts w:hint="eastAsia" w:ascii="宋体" w:hAnsi="宋体" w:cs="宋体"/>
                <w:kern w:val="0"/>
                <w:sz w:val="20"/>
                <w:szCs w:val="20"/>
              </w:rPr>
              <w:br w:type="textWrapping"/>
            </w:r>
            <w:r>
              <w:rPr>
                <w:rFonts w:hint="eastAsia" w:ascii="宋体" w:hAnsi="宋体" w:cs="宋体"/>
                <w:kern w:val="0"/>
                <w:sz w:val="20"/>
                <w:szCs w:val="20"/>
              </w:rPr>
              <w:t>1、支持车辆基本信息的增删改查、导入、导出；</w:t>
            </w:r>
            <w:r>
              <w:rPr>
                <w:rFonts w:hint="eastAsia" w:ascii="宋体" w:hAnsi="宋体" w:cs="宋体"/>
                <w:kern w:val="0"/>
                <w:sz w:val="20"/>
                <w:szCs w:val="20"/>
              </w:rPr>
              <w:br w:type="textWrapping"/>
            </w:r>
            <w:r>
              <w:rPr>
                <w:rFonts w:hint="eastAsia" w:ascii="宋体" w:hAnsi="宋体" w:cs="宋体"/>
                <w:kern w:val="0"/>
                <w:sz w:val="20"/>
                <w:szCs w:val="20"/>
              </w:rPr>
              <w:t>支持多色彩（红、橙、黄）展示运行告警状态，支持告警统计、概览、处理，支持告警记录查看、查询，支持告警单条、批量处理；支持系统最近7天每日告警数统计，支持评分量化系统监控指数，显示系统运行状态.</w:t>
            </w:r>
          </w:p>
          <w:p>
            <w:pPr>
              <w:widowControl/>
              <w:snapToGrid w:val="0"/>
              <w:jc w:val="left"/>
              <w:rPr>
                <w:rFonts w:hint="eastAsia" w:ascii="宋体" w:hAnsi="宋体" w:cs="宋体"/>
                <w:kern w:val="0"/>
                <w:sz w:val="20"/>
                <w:szCs w:val="20"/>
              </w:rPr>
            </w:pPr>
            <w:r>
              <w:rPr>
                <w:rFonts w:hint="eastAsia" w:ascii="宋体" w:hAnsi="宋体" w:cs="宋体"/>
                <w:b w:val="0"/>
                <w:bCs w:val="0"/>
                <w:kern w:val="0"/>
                <w:sz w:val="20"/>
                <w:szCs w:val="20"/>
              </w:rPr>
              <w:t>要求可无缝接入公安雪亮工程，并提供</w:t>
            </w:r>
            <w:r>
              <w:rPr>
                <w:rFonts w:hint="eastAsia" w:ascii="宋体" w:hAnsi="宋体" w:cs="宋体"/>
                <w:b w:val="0"/>
                <w:bCs w:val="0"/>
                <w:kern w:val="0"/>
                <w:sz w:val="20"/>
                <w:szCs w:val="20"/>
                <w:lang w:val="en-US" w:eastAsia="zh-CN"/>
              </w:rPr>
              <w:t>相应</w:t>
            </w:r>
            <w:r>
              <w:rPr>
                <w:rFonts w:hint="eastAsia" w:ascii="宋体" w:hAnsi="宋体" w:cs="宋体"/>
                <w:b w:val="0"/>
                <w:bCs w:val="0"/>
                <w:kern w:val="0"/>
                <w:sz w:val="20"/>
                <w:szCs w:val="20"/>
              </w:rPr>
              <w:t>证明。</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259</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视频监控</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视频监控应用提供视频管理服务，支持编码设备通过海康设备网络SDK协议、海康Ehome协议、海康ISUP5.0协议、GB28181协议、ONVIF协议、大华设备网络SDK协议、萤石协议接入平台，实现视频预览、录像回放、视频上墙、视频事件监控服务能力，并且在网络带宽不足、有流量限制的网络环境下可以通过以图片替代视频的模式提供监控服务。</w:t>
            </w:r>
            <w:r>
              <w:rPr>
                <w:rFonts w:hint="eastAsia" w:ascii="宋体" w:hAnsi="宋体" w:cs="宋体"/>
                <w:kern w:val="0"/>
                <w:sz w:val="20"/>
                <w:szCs w:val="20"/>
              </w:rPr>
              <w:br w:type="textWrapping"/>
            </w:r>
            <w:r>
              <w:rPr>
                <w:rFonts w:hint="eastAsia" w:ascii="宋体" w:hAnsi="宋体" w:cs="宋体"/>
                <w:kern w:val="0"/>
                <w:sz w:val="20"/>
                <w:szCs w:val="20"/>
              </w:rPr>
              <w:t>一、视频预览</w:t>
            </w:r>
            <w:r>
              <w:rPr>
                <w:rFonts w:hint="eastAsia" w:ascii="宋体" w:hAnsi="宋体" w:cs="宋体"/>
                <w:kern w:val="0"/>
                <w:sz w:val="20"/>
                <w:szCs w:val="20"/>
              </w:rPr>
              <w:br w:type="textWrapping"/>
            </w:r>
            <w:r>
              <w:rPr>
                <w:rFonts w:hint="eastAsia" w:ascii="宋体" w:hAnsi="宋体" w:cs="宋体"/>
                <w:kern w:val="0"/>
                <w:sz w:val="20"/>
                <w:szCs w:val="20"/>
              </w:rPr>
              <w:t>1、支持视频实时预览能力，实现预览窗口布局切换、预览画面自适应及全屏切换；</w:t>
            </w:r>
            <w:r>
              <w:rPr>
                <w:rFonts w:hint="eastAsia" w:ascii="宋体" w:hAnsi="宋体" w:cs="宋体"/>
                <w:kern w:val="0"/>
                <w:sz w:val="20"/>
                <w:szCs w:val="20"/>
              </w:rPr>
              <w:br w:type="textWrapping"/>
            </w:r>
            <w:r>
              <w:rPr>
                <w:rFonts w:hint="eastAsia" w:ascii="宋体" w:hAnsi="宋体" w:cs="宋体"/>
                <w:kern w:val="0"/>
                <w:sz w:val="20"/>
                <w:szCs w:val="20"/>
              </w:rPr>
              <w:t>2、支持云台控制、实时抓图、紧急录像、即时回放、主子码流切换、声音开启\关闭、辅屏预览（1个辅屏）、对讲、广播、报警输出控制的能力；</w:t>
            </w:r>
            <w:r>
              <w:rPr>
                <w:rFonts w:hint="eastAsia" w:ascii="宋体" w:hAnsi="宋体" w:cs="宋体"/>
                <w:kern w:val="0"/>
                <w:sz w:val="20"/>
                <w:szCs w:val="20"/>
              </w:rPr>
              <w:br w:type="textWrapping"/>
            </w:r>
            <w:r>
              <w:rPr>
                <w:rFonts w:hint="eastAsia" w:ascii="宋体" w:hAnsi="宋体" w:cs="宋体"/>
                <w:kern w:val="0"/>
                <w:sz w:val="20"/>
                <w:szCs w:val="20"/>
              </w:rPr>
              <w:t>3、支持智能规则展示的能力（如：针对热成像设备温度信息实时展示）；</w:t>
            </w:r>
            <w:r>
              <w:rPr>
                <w:rFonts w:hint="eastAsia" w:ascii="宋体" w:hAnsi="宋体" w:cs="宋体"/>
                <w:kern w:val="0"/>
                <w:sz w:val="20"/>
                <w:szCs w:val="20"/>
              </w:rPr>
              <w:br w:type="textWrapping"/>
            </w:r>
            <w:r>
              <w:rPr>
                <w:rFonts w:hint="eastAsia" w:ascii="宋体" w:hAnsi="宋体" w:cs="宋体"/>
                <w:kern w:val="0"/>
                <w:sz w:val="20"/>
                <w:szCs w:val="20"/>
              </w:rPr>
              <w:t>4、支持资源视图管理能力，以视图形式管理监控点、视频预览轮巡等自定义资源组，其中视图类型包含公有视图和私有视图；</w:t>
            </w:r>
            <w:r>
              <w:rPr>
                <w:rFonts w:hint="eastAsia" w:ascii="宋体" w:hAnsi="宋体" w:cs="宋体"/>
                <w:kern w:val="0"/>
                <w:sz w:val="20"/>
                <w:szCs w:val="20"/>
              </w:rPr>
              <w:br w:type="textWrapping"/>
            </w:r>
            <w:r>
              <w:rPr>
                <w:rFonts w:hint="eastAsia" w:ascii="宋体" w:hAnsi="宋体" w:cs="宋体"/>
                <w:kern w:val="0"/>
                <w:sz w:val="20"/>
                <w:szCs w:val="20"/>
              </w:rPr>
              <w:t>5、支持全景视频监控预览能力，支持球型鹰眼、全景摄像机的全景模式；</w:t>
            </w:r>
            <w:r>
              <w:rPr>
                <w:rFonts w:hint="eastAsia" w:ascii="宋体" w:hAnsi="宋体" w:cs="宋体"/>
                <w:kern w:val="0"/>
                <w:sz w:val="20"/>
                <w:szCs w:val="20"/>
              </w:rPr>
              <w:br w:type="textWrapping"/>
            </w:r>
            <w:r>
              <w:rPr>
                <w:rFonts w:hint="eastAsia" w:ascii="宋体" w:hAnsi="宋体" w:cs="宋体"/>
                <w:kern w:val="0"/>
                <w:sz w:val="20"/>
                <w:szCs w:val="20"/>
              </w:rPr>
              <w:t>二、录像回放</w:t>
            </w:r>
            <w:r>
              <w:rPr>
                <w:rFonts w:hint="eastAsia" w:ascii="宋体" w:hAnsi="宋体" w:cs="宋体"/>
                <w:kern w:val="0"/>
                <w:sz w:val="20"/>
                <w:szCs w:val="20"/>
              </w:rPr>
              <w:br w:type="textWrapping"/>
            </w:r>
            <w:r>
              <w:rPr>
                <w:rFonts w:hint="eastAsia" w:ascii="宋体" w:hAnsi="宋体" w:cs="宋体"/>
                <w:kern w:val="0"/>
                <w:sz w:val="20"/>
                <w:szCs w:val="20"/>
              </w:rPr>
              <w:t>1、支持录像计划管理能力，支持实时录像计划、录像回传计划；</w:t>
            </w:r>
            <w:r>
              <w:rPr>
                <w:rFonts w:hint="eastAsia" w:ascii="宋体" w:hAnsi="宋体" w:cs="宋体"/>
                <w:kern w:val="0"/>
                <w:sz w:val="20"/>
                <w:szCs w:val="20"/>
              </w:rPr>
              <w:br w:type="textWrapping"/>
            </w:r>
            <w:r>
              <w:rPr>
                <w:rFonts w:hint="eastAsia" w:ascii="宋体" w:hAnsi="宋体" w:cs="宋体"/>
                <w:kern w:val="0"/>
                <w:sz w:val="20"/>
                <w:szCs w:val="20"/>
              </w:rPr>
              <w:t>2、支持录像回放能力，支持多画面同步回放和异步回放切换、超高倍速回放、分段回放、录像下载、录像剪辑、录像标签、录像锁定、录像抓图；</w:t>
            </w:r>
            <w:r>
              <w:rPr>
                <w:rFonts w:hint="eastAsia" w:ascii="宋体" w:hAnsi="宋体" w:cs="宋体"/>
                <w:kern w:val="0"/>
                <w:sz w:val="20"/>
                <w:szCs w:val="20"/>
              </w:rPr>
              <w:br w:type="textWrapping"/>
            </w:r>
            <w:r>
              <w:rPr>
                <w:rFonts w:hint="eastAsia" w:ascii="宋体" w:hAnsi="宋体" w:cs="宋体"/>
                <w:kern w:val="0"/>
                <w:sz w:val="20"/>
                <w:szCs w:val="20"/>
              </w:rPr>
              <w:t>三、图片监控</w:t>
            </w:r>
            <w:r>
              <w:rPr>
                <w:rFonts w:hint="eastAsia" w:ascii="宋体" w:hAnsi="宋体" w:cs="宋体"/>
                <w:kern w:val="0"/>
                <w:sz w:val="20"/>
                <w:szCs w:val="20"/>
              </w:rPr>
              <w:br w:type="textWrapping"/>
            </w:r>
            <w:r>
              <w:rPr>
                <w:rFonts w:hint="eastAsia" w:ascii="宋体" w:hAnsi="宋体" w:cs="宋体"/>
                <w:kern w:val="0"/>
                <w:sz w:val="20"/>
                <w:szCs w:val="20"/>
              </w:rPr>
              <w:t>1、支持视频预览与图片实时监控模式切换能力，实现图片监控模式；</w:t>
            </w:r>
            <w:r>
              <w:rPr>
                <w:rFonts w:hint="eastAsia" w:ascii="宋体" w:hAnsi="宋体" w:cs="宋体"/>
                <w:kern w:val="0"/>
                <w:sz w:val="20"/>
                <w:szCs w:val="20"/>
              </w:rPr>
              <w:br w:type="textWrapping"/>
            </w:r>
            <w:r>
              <w:rPr>
                <w:rFonts w:hint="eastAsia" w:ascii="宋体" w:hAnsi="宋体" w:cs="宋体"/>
                <w:kern w:val="0"/>
                <w:sz w:val="20"/>
                <w:szCs w:val="20"/>
              </w:rPr>
              <w:t>2、支持图片查询回放能力，实现按监控点、时间段展示抓拍图片；</w:t>
            </w:r>
            <w:r>
              <w:rPr>
                <w:rFonts w:hint="eastAsia" w:ascii="宋体" w:hAnsi="宋体" w:cs="宋体"/>
                <w:kern w:val="0"/>
                <w:sz w:val="20"/>
                <w:szCs w:val="20"/>
              </w:rPr>
              <w:br w:type="textWrapping"/>
            </w:r>
            <w:r>
              <w:rPr>
                <w:rFonts w:hint="eastAsia" w:ascii="宋体" w:hAnsi="宋体" w:cs="宋体"/>
                <w:kern w:val="0"/>
                <w:sz w:val="20"/>
                <w:szCs w:val="20"/>
              </w:rPr>
              <w:t>3、支持图片自动播放能力，支持图片自动播放速度可设置；</w:t>
            </w:r>
            <w:r>
              <w:rPr>
                <w:rFonts w:hint="eastAsia" w:ascii="宋体" w:hAnsi="宋体" w:cs="宋体"/>
                <w:kern w:val="0"/>
                <w:sz w:val="20"/>
                <w:szCs w:val="20"/>
              </w:rPr>
              <w:br w:type="textWrapping"/>
            </w:r>
            <w:r>
              <w:rPr>
                <w:rFonts w:hint="eastAsia" w:ascii="宋体" w:hAnsi="宋体" w:cs="宋体"/>
                <w:kern w:val="0"/>
                <w:sz w:val="20"/>
                <w:szCs w:val="20"/>
              </w:rPr>
              <w:t>4、支持图片下载能力；</w:t>
            </w:r>
            <w:r>
              <w:rPr>
                <w:rFonts w:hint="eastAsia" w:ascii="宋体" w:hAnsi="宋体" w:cs="宋体"/>
                <w:kern w:val="0"/>
                <w:sz w:val="20"/>
                <w:szCs w:val="20"/>
              </w:rPr>
              <w:br w:type="textWrapping"/>
            </w:r>
            <w:r>
              <w:rPr>
                <w:rFonts w:hint="eastAsia" w:ascii="宋体" w:hAnsi="宋体" w:cs="宋体"/>
                <w:kern w:val="0"/>
                <w:sz w:val="20"/>
                <w:szCs w:val="20"/>
              </w:rPr>
              <w:t>四、视频上墙</w:t>
            </w:r>
            <w:r>
              <w:rPr>
                <w:rFonts w:hint="eastAsia" w:ascii="宋体" w:hAnsi="宋体" w:cs="宋体"/>
                <w:kern w:val="0"/>
                <w:sz w:val="20"/>
                <w:szCs w:val="20"/>
              </w:rPr>
              <w:br w:type="textWrapping"/>
            </w:r>
            <w:r>
              <w:rPr>
                <w:rFonts w:hint="eastAsia" w:ascii="宋体" w:hAnsi="宋体" w:cs="宋体"/>
                <w:kern w:val="0"/>
                <w:sz w:val="20"/>
                <w:szCs w:val="20"/>
              </w:rPr>
              <w:t>1、支持电视墙场景管理能力，实现场景窗口配置、场景切换计划配置以及轮巡计划的管理；</w:t>
            </w:r>
            <w:r>
              <w:rPr>
                <w:rFonts w:hint="eastAsia" w:ascii="宋体" w:hAnsi="宋体" w:cs="宋体"/>
                <w:kern w:val="0"/>
                <w:sz w:val="20"/>
                <w:szCs w:val="20"/>
              </w:rPr>
              <w:br w:type="textWrapping"/>
            </w:r>
            <w:r>
              <w:rPr>
                <w:rFonts w:hint="eastAsia" w:ascii="宋体" w:hAnsi="宋体" w:cs="宋体"/>
                <w:kern w:val="0"/>
                <w:sz w:val="20"/>
                <w:szCs w:val="20"/>
              </w:rPr>
              <w:t>2、支持上墙控制能力，实现场景一键上墙、场景切换、电视墙切换、监控点上下墙、轮巡控制操作；</w:t>
            </w:r>
            <w:r>
              <w:rPr>
                <w:rFonts w:hint="eastAsia" w:ascii="宋体" w:hAnsi="宋体" w:cs="宋体"/>
                <w:kern w:val="0"/>
                <w:sz w:val="20"/>
                <w:szCs w:val="20"/>
              </w:rPr>
              <w:br w:type="textWrapping"/>
            </w:r>
            <w:r>
              <w:rPr>
                <w:rFonts w:hint="eastAsia" w:ascii="宋体" w:hAnsi="宋体" w:cs="宋体"/>
                <w:kern w:val="0"/>
                <w:sz w:val="20"/>
                <w:szCs w:val="20"/>
              </w:rPr>
              <w:t>五、视频事件</w:t>
            </w:r>
            <w:r>
              <w:rPr>
                <w:rFonts w:hint="eastAsia" w:ascii="宋体" w:hAnsi="宋体" w:cs="宋体"/>
                <w:kern w:val="0"/>
                <w:sz w:val="20"/>
                <w:szCs w:val="20"/>
              </w:rPr>
              <w:br w:type="textWrapping"/>
            </w:r>
            <w:r>
              <w:rPr>
                <w:rFonts w:hint="eastAsia" w:ascii="宋体" w:hAnsi="宋体" w:cs="宋体"/>
                <w:kern w:val="0"/>
                <w:sz w:val="20"/>
                <w:szCs w:val="20"/>
              </w:rPr>
              <w:t>1、支持视频事件布撤防能力，可按计划模版进行布防，事件类型包括移动侦测、视频丢失、视频遮挡、报警输入、报警输出；</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400</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路</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260</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门禁管理</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基础门禁管理通过接入多种门禁设备，利用卡片、人脸、指纹介质，实现人员身份识别、出入管控等智能应用，主要提供门禁权限管理、事件管理、门禁状态查看、门禁远程控制、人员出入记录实时展示、远程呼叫对讲等应用。</w:t>
            </w:r>
            <w:r>
              <w:rPr>
                <w:rFonts w:hint="eastAsia" w:ascii="宋体" w:hAnsi="宋体" w:cs="宋体"/>
                <w:kern w:val="0"/>
                <w:sz w:val="20"/>
                <w:szCs w:val="20"/>
              </w:rPr>
              <w:br w:type="textWrapping"/>
            </w:r>
            <w:r>
              <w:rPr>
                <w:rFonts w:hint="eastAsia" w:ascii="宋体" w:hAnsi="宋体" w:cs="宋体"/>
                <w:kern w:val="0"/>
                <w:sz w:val="20"/>
                <w:szCs w:val="20"/>
              </w:rPr>
              <w:t>支持人员通行记录区分：内部人员、外部人员、陌生人员</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28</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路</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261</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园区出入人员测温管理</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人体测温应用通过热成像测温技术，提供快速测温能力，高效筛选体温异常人员，为管理人员提供无接触式且高效的人员测温管理方式，辅助疫情防控工作开展。</w:t>
            </w:r>
            <w:r>
              <w:rPr>
                <w:rFonts w:hint="eastAsia" w:ascii="宋体" w:hAnsi="宋体" w:cs="宋体"/>
                <w:kern w:val="0"/>
                <w:sz w:val="20"/>
                <w:szCs w:val="20"/>
              </w:rPr>
              <w:br w:type="textWrapping"/>
            </w:r>
            <w:r>
              <w:rPr>
                <w:rFonts w:hint="eastAsia" w:ascii="宋体" w:hAnsi="宋体" w:cs="宋体"/>
                <w:kern w:val="0"/>
                <w:sz w:val="20"/>
                <w:szCs w:val="20"/>
              </w:rPr>
              <w:t>1、支持测温点管理能力，包含视频测温点、门禁测温点、安检门测温点；</w:t>
            </w:r>
            <w:r>
              <w:rPr>
                <w:rFonts w:hint="eastAsia" w:ascii="宋体" w:hAnsi="宋体" w:cs="宋体"/>
                <w:kern w:val="0"/>
                <w:sz w:val="20"/>
                <w:szCs w:val="20"/>
              </w:rPr>
              <w:br w:type="textWrapping"/>
            </w:r>
            <w:r>
              <w:rPr>
                <w:rFonts w:hint="eastAsia" w:ascii="宋体" w:hAnsi="宋体" w:cs="宋体"/>
                <w:kern w:val="0"/>
                <w:sz w:val="20"/>
                <w:szCs w:val="20"/>
              </w:rPr>
              <w:t>2、支持测温实时监控能力，实时监测体温异常人员；</w:t>
            </w:r>
            <w:r>
              <w:rPr>
                <w:rFonts w:hint="eastAsia" w:ascii="宋体" w:hAnsi="宋体" w:cs="宋体"/>
                <w:kern w:val="0"/>
                <w:sz w:val="20"/>
                <w:szCs w:val="20"/>
              </w:rPr>
              <w:br w:type="textWrapping"/>
            </w:r>
            <w:r>
              <w:rPr>
                <w:rFonts w:hint="eastAsia" w:ascii="宋体" w:hAnsi="宋体" w:cs="宋体"/>
                <w:kern w:val="0"/>
                <w:sz w:val="20"/>
                <w:szCs w:val="20"/>
              </w:rPr>
              <w:t>3、支持测温历史事件记录及管理能力；</w:t>
            </w:r>
            <w:r>
              <w:rPr>
                <w:rFonts w:hint="eastAsia" w:ascii="宋体" w:hAnsi="宋体" w:cs="宋体"/>
                <w:kern w:val="0"/>
                <w:sz w:val="20"/>
                <w:szCs w:val="20"/>
              </w:rPr>
              <w:br w:type="textWrapping"/>
            </w:r>
            <w:r>
              <w:rPr>
                <w:rFonts w:hint="eastAsia" w:ascii="宋体" w:hAnsi="宋体" w:cs="宋体"/>
                <w:kern w:val="0"/>
                <w:sz w:val="20"/>
                <w:szCs w:val="20"/>
              </w:rPr>
              <w:t>4、支持测温异常人员信息管理能力；</w:t>
            </w:r>
            <w:r>
              <w:rPr>
                <w:rFonts w:hint="eastAsia" w:ascii="宋体" w:hAnsi="宋体" w:cs="宋体"/>
                <w:kern w:val="0"/>
                <w:sz w:val="20"/>
                <w:szCs w:val="20"/>
              </w:rPr>
              <w:br w:type="textWrapping"/>
            </w:r>
            <w:r>
              <w:rPr>
                <w:rFonts w:hint="eastAsia" w:ascii="宋体" w:hAnsi="宋体" w:cs="宋体"/>
                <w:kern w:val="0"/>
                <w:sz w:val="20"/>
                <w:szCs w:val="20"/>
              </w:rPr>
              <w:t>5、支持测温数据统计能力，支持输出测温报告。</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5</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路</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262</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出入口车辆放行管理</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出入口车辆放行管理通过接入多种出入口道闸设备，利用车牌号码、卡片，实现车辆识别、出入管控等应用，主要提供出入口车道管理、车辆管理、车辆放行规则管理、出入口LED显示和语音播报管理、库内车辆管理、过车记录查询、车流量统计等应用，支持中心和岗亭监控出入口过车实况、道闸反控和语音对讲协助功能</w:t>
            </w:r>
            <w:r>
              <w:rPr>
                <w:rFonts w:hint="eastAsia" w:ascii="宋体" w:hAnsi="宋体" w:cs="宋体"/>
                <w:kern w:val="0"/>
                <w:sz w:val="20"/>
                <w:szCs w:val="20"/>
              </w:rPr>
              <w:br w:type="textWrapping"/>
            </w:r>
            <w:r>
              <w:rPr>
                <w:rFonts w:hint="eastAsia" w:ascii="宋体" w:hAnsi="宋体" w:cs="宋体"/>
                <w:kern w:val="0"/>
                <w:sz w:val="20"/>
                <w:szCs w:val="20"/>
              </w:rPr>
              <w:t>一、出入口车道管理</w:t>
            </w:r>
            <w:r>
              <w:rPr>
                <w:rFonts w:hint="eastAsia" w:ascii="宋体" w:hAnsi="宋体" w:cs="宋体"/>
                <w:kern w:val="0"/>
                <w:sz w:val="20"/>
                <w:szCs w:val="20"/>
              </w:rPr>
              <w:br w:type="textWrapping"/>
            </w:r>
            <w:r>
              <w:rPr>
                <w:rFonts w:hint="eastAsia" w:ascii="宋体" w:hAnsi="宋体" w:cs="宋体"/>
                <w:kern w:val="0"/>
                <w:sz w:val="20"/>
                <w:szCs w:val="20"/>
              </w:rPr>
              <w:t>1、支持停车场出入口设备的管理，包含出入口抓拍机、道闸、显示屏等</w:t>
            </w:r>
            <w:r>
              <w:rPr>
                <w:rFonts w:hint="eastAsia" w:ascii="宋体" w:hAnsi="宋体" w:cs="宋体"/>
                <w:kern w:val="0"/>
                <w:sz w:val="20"/>
                <w:szCs w:val="20"/>
              </w:rPr>
              <w:br w:type="textWrapping"/>
            </w:r>
            <w:r>
              <w:rPr>
                <w:rFonts w:hint="eastAsia" w:ascii="宋体" w:hAnsi="宋体" w:cs="宋体"/>
                <w:kern w:val="0"/>
                <w:sz w:val="20"/>
                <w:szCs w:val="20"/>
              </w:rPr>
              <w:t>2、支持对停车场的管理，配置停车库的名称、车位数、车道信息、车库管理人员电话</w:t>
            </w:r>
            <w:r>
              <w:rPr>
                <w:rFonts w:hint="eastAsia" w:ascii="宋体" w:hAnsi="宋体" w:cs="宋体"/>
                <w:kern w:val="0"/>
                <w:sz w:val="20"/>
                <w:szCs w:val="20"/>
              </w:rPr>
              <w:br w:type="textWrapping"/>
            </w:r>
            <w:r>
              <w:rPr>
                <w:rFonts w:hint="eastAsia" w:ascii="宋体" w:hAnsi="宋体" w:cs="宋体"/>
                <w:kern w:val="0"/>
                <w:sz w:val="20"/>
                <w:szCs w:val="20"/>
              </w:rPr>
              <w:t>3、支持对车道的管理，支持管理车道方向、识别模式（车牌识别、卡号识别）和启用时段</w:t>
            </w:r>
            <w:r>
              <w:rPr>
                <w:rFonts w:hint="eastAsia" w:ascii="宋体" w:hAnsi="宋体" w:cs="宋体"/>
                <w:kern w:val="0"/>
                <w:sz w:val="20"/>
                <w:szCs w:val="20"/>
              </w:rPr>
              <w:br w:type="textWrapping"/>
            </w:r>
            <w:r>
              <w:rPr>
                <w:rFonts w:hint="eastAsia" w:ascii="宋体" w:hAnsi="宋体" w:cs="宋体"/>
                <w:kern w:val="0"/>
                <w:sz w:val="20"/>
                <w:szCs w:val="20"/>
              </w:rPr>
              <w:t>二、车辆管理</w:t>
            </w:r>
            <w:r>
              <w:rPr>
                <w:rFonts w:hint="eastAsia" w:ascii="宋体" w:hAnsi="宋体" w:cs="宋体"/>
                <w:kern w:val="0"/>
                <w:sz w:val="20"/>
                <w:szCs w:val="20"/>
              </w:rPr>
              <w:br w:type="textWrapping"/>
            </w:r>
            <w:r>
              <w:rPr>
                <w:rFonts w:hint="eastAsia" w:ascii="宋体" w:hAnsi="宋体" w:cs="宋体"/>
                <w:kern w:val="0"/>
                <w:sz w:val="20"/>
                <w:szCs w:val="20"/>
              </w:rPr>
              <w:t>1、支持固定车、临时车、预约车、黑名单车辆的管理</w:t>
            </w:r>
            <w:r>
              <w:rPr>
                <w:rFonts w:hint="eastAsia" w:ascii="宋体" w:hAnsi="宋体" w:cs="宋体"/>
                <w:kern w:val="0"/>
                <w:sz w:val="20"/>
                <w:szCs w:val="20"/>
              </w:rPr>
              <w:br w:type="textWrapping"/>
            </w:r>
            <w:r>
              <w:rPr>
                <w:rFonts w:hint="eastAsia" w:ascii="宋体" w:hAnsi="宋体" w:cs="宋体"/>
                <w:kern w:val="0"/>
                <w:sz w:val="20"/>
                <w:szCs w:val="20"/>
              </w:rPr>
              <w:t>2、支持黑名单车辆管控，黑名单车辆进出报警提醒</w:t>
            </w:r>
            <w:r>
              <w:rPr>
                <w:rFonts w:hint="eastAsia" w:ascii="宋体" w:hAnsi="宋体" w:cs="宋体"/>
                <w:kern w:val="0"/>
                <w:sz w:val="20"/>
                <w:szCs w:val="20"/>
              </w:rPr>
              <w:br w:type="textWrapping"/>
            </w:r>
            <w:r>
              <w:rPr>
                <w:rFonts w:hint="eastAsia" w:ascii="宋体" w:hAnsi="宋体" w:cs="宋体"/>
                <w:kern w:val="0"/>
                <w:sz w:val="20"/>
                <w:szCs w:val="20"/>
              </w:rPr>
              <w:t>3、支持预约车管理，按次预约和按时段预约</w:t>
            </w:r>
            <w:r>
              <w:rPr>
                <w:rFonts w:hint="eastAsia" w:ascii="宋体" w:hAnsi="宋体" w:cs="宋体"/>
                <w:kern w:val="0"/>
                <w:sz w:val="20"/>
                <w:szCs w:val="20"/>
              </w:rPr>
              <w:br w:type="textWrapping"/>
            </w:r>
            <w:r>
              <w:rPr>
                <w:rFonts w:hint="eastAsia" w:ascii="宋体" w:hAnsi="宋体" w:cs="宋体"/>
                <w:kern w:val="0"/>
                <w:sz w:val="20"/>
                <w:szCs w:val="20"/>
              </w:rPr>
              <w:t>三、车辆放行规则管理</w:t>
            </w:r>
            <w:r>
              <w:rPr>
                <w:rFonts w:hint="eastAsia" w:ascii="宋体" w:hAnsi="宋体" w:cs="宋体"/>
                <w:kern w:val="0"/>
                <w:sz w:val="20"/>
                <w:szCs w:val="20"/>
              </w:rPr>
              <w:br w:type="textWrapping"/>
            </w:r>
            <w:r>
              <w:rPr>
                <w:rFonts w:hint="eastAsia" w:ascii="宋体" w:hAnsi="宋体" w:cs="宋体"/>
                <w:kern w:val="0"/>
                <w:sz w:val="20"/>
                <w:szCs w:val="20"/>
              </w:rPr>
              <w:t>1、支持嵌套停车场场景下的车辆进出管理和余位统计</w:t>
            </w:r>
            <w:r>
              <w:rPr>
                <w:rFonts w:hint="eastAsia" w:ascii="宋体" w:hAnsi="宋体" w:cs="宋体"/>
                <w:kern w:val="0"/>
                <w:sz w:val="20"/>
                <w:szCs w:val="20"/>
              </w:rPr>
              <w:br w:type="textWrapping"/>
            </w:r>
            <w:r>
              <w:rPr>
                <w:rFonts w:hint="eastAsia" w:ascii="宋体" w:hAnsi="宋体" w:cs="宋体"/>
                <w:kern w:val="0"/>
                <w:sz w:val="20"/>
                <w:szCs w:val="20"/>
              </w:rPr>
              <w:t>2、支持出入口潮汐车道、摩托车车道、混行车道的车道模式</w:t>
            </w:r>
            <w:r>
              <w:rPr>
                <w:rFonts w:hint="eastAsia" w:ascii="宋体" w:hAnsi="宋体" w:cs="宋体"/>
                <w:kern w:val="0"/>
                <w:sz w:val="20"/>
                <w:szCs w:val="20"/>
              </w:rPr>
              <w:br w:type="textWrapping"/>
            </w:r>
            <w:r>
              <w:rPr>
                <w:rFonts w:hint="eastAsia" w:ascii="宋体" w:hAnsi="宋体" w:cs="宋体"/>
                <w:kern w:val="0"/>
                <w:sz w:val="20"/>
                <w:szCs w:val="20"/>
              </w:rPr>
              <w:t>3、支持自动放行、手动放行和单进单出等多种放行模式；支持车位满时固定车辆、临时车辆自动放行</w:t>
            </w:r>
            <w:r>
              <w:rPr>
                <w:rFonts w:hint="eastAsia" w:ascii="宋体" w:hAnsi="宋体" w:cs="宋体"/>
                <w:kern w:val="0"/>
                <w:sz w:val="20"/>
                <w:szCs w:val="20"/>
              </w:rPr>
              <w:br w:type="textWrapping"/>
            </w:r>
            <w:r>
              <w:rPr>
                <w:rFonts w:hint="eastAsia" w:ascii="宋体" w:hAnsi="宋体" w:cs="宋体"/>
                <w:kern w:val="0"/>
                <w:sz w:val="20"/>
                <w:szCs w:val="20"/>
              </w:rPr>
              <w:t>4、支持配置特殊车辆（武警车、警车、使馆车）、车牌类型、车牌前缀，自动放行</w:t>
            </w:r>
            <w:r>
              <w:rPr>
                <w:rFonts w:hint="eastAsia" w:ascii="宋体" w:hAnsi="宋体" w:cs="宋体"/>
                <w:kern w:val="0"/>
                <w:sz w:val="20"/>
                <w:szCs w:val="20"/>
              </w:rPr>
              <w:br w:type="textWrapping"/>
            </w:r>
            <w:r>
              <w:rPr>
                <w:rFonts w:hint="eastAsia" w:ascii="宋体" w:hAnsi="宋体" w:cs="宋体"/>
                <w:kern w:val="0"/>
                <w:sz w:val="20"/>
                <w:szCs w:val="20"/>
              </w:rPr>
              <w:t>5、支持配置节假日车辆自动免费放行</w:t>
            </w:r>
            <w:r>
              <w:rPr>
                <w:rFonts w:hint="eastAsia" w:ascii="宋体" w:hAnsi="宋体" w:cs="宋体"/>
                <w:kern w:val="0"/>
                <w:sz w:val="20"/>
                <w:szCs w:val="20"/>
              </w:rPr>
              <w:br w:type="textWrapping"/>
            </w:r>
            <w:r>
              <w:rPr>
                <w:rFonts w:hint="eastAsia" w:ascii="宋体" w:hAnsi="宋体" w:cs="宋体"/>
                <w:kern w:val="0"/>
                <w:sz w:val="20"/>
                <w:szCs w:val="20"/>
              </w:rPr>
              <w:t>6、支持按车辆群组配置放行规则，按放行时段（全天、按日、按周）配置入场和出场放行权限、车位满是否放行、是否余位统计群组车进行配置</w:t>
            </w:r>
            <w:r>
              <w:rPr>
                <w:rFonts w:hint="eastAsia" w:ascii="宋体" w:hAnsi="宋体" w:cs="宋体"/>
                <w:kern w:val="0"/>
                <w:sz w:val="20"/>
                <w:szCs w:val="20"/>
              </w:rPr>
              <w:br w:type="textWrapping"/>
            </w:r>
            <w:r>
              <w:rPr>
                <w:rFonts w:hint="eastAsia" w:ascii="宋体" w:hAnsi="宋体" w:cs="宋体"/>
                <w:kern w:val="0"/>
                <w:sz w:val="20"/>
                <w:szCs w:val="20"/>
              </w:rPr>
              <w:t>7、支持一户多车。当车主只有一个车位两辆车时，只允许一辆车进入停车场</w:t>
            </w:r>
            <w:r>
              <w:rPr>
                <w:rFonts w:hint="eastAsia" w:ascii="宋体" w:hAnsi="宋体" w:cs="宋体"/>
                <w:kern w:val="0"/>
                <w:sz w:val="20"/>
                <w:szCs w:val="20"/>
              </w:rPr>
              <w:br w:type="textWrapping"/>
            </w:r>
            <w:r>
              <w:rPr>
                <w:rFonts w:hint="eastAsia" w:ascii="宋体" w:hAnsi="宋体" w:cs="宋体"/>
                <w:kern w:val="0"/>
                <w:sz w:val="20"/>
                <w:szCs w:val="20"/>
              </w:rPr>
              <w:t>8、支持车辆满位排队进场，当停车场车位满时，有车辆出场后，</w:t>
            </w:r>
            <w:r>
              <w:rPr>
                <w:rFonts w:hint="eastAsia" w:ascii="宋体" w:hAnsi="宋体" w:cs="宋体"/>
                <w:kern w:val="0"/>
                <w:sz w:val="20"/>
                <w:szCs w:val="20"/>
              </w:rPr>
              <w:br w:type="textWrapping"/>
            </w:r>
            <w:r>
              <w:rPr>
                <w:rFonts w:hint="eastAsia" w:ascii="宋体" w:hAnsi="宋体" w:cs="宋体"/>
                <w:kern w:val="0"/>
                <w:sz w:val="20"/>
                <w:szCs w:val="20"/>
              </w:rPr>
              <w:t>四、出入口显示和语音播报管理</w:t>
            </w:r>
            <w:r>
              <w:rPr>
                <w:rFonts w:hint="eastAsia" w:ascii="宋体" w:hAnsi="宋体" w:cs="宋体"/>
                <w:kern w:val="0"/>
                <w:sz w:val="20"/>
                <w:szCs w:val="20"/>
              </w:rPr>
              <w:br w:type="textWrapping"/>
            </w:r>
            <w:r>
              <w:rPr>
                <w:rFonts w:hint="eastAsia" w:ascii="宋体" w:hAnsi="宋体" w:cs="宋体"/>
                <w:kern w:val="0"/>
                <w:sz w:val="20"/>
                <w:szCs w:val="20"/>
              </w:rPr>
              <w:t>1、支持根据车道类型自定义配置LED屏的显示内容，支持过车显示内容和空闲显示内容，显示内容可自定义配置文字颜色、文字对齐方式、显示方式和显示内容</w:t>
            </w:r>
            <w:r>
              <w:rPr>
                <w:rFonts w:hint="eastAsia" w:ascii="宋体" w:hAnsi="宋体" w:cs="宋体"/>
                <w:kern w:val="0"/>
                <w:sz w:val="20"/>
                <w:szCs w:val="20"/>
              </w:rPr>
              <w:br w:type="textWrapping"/>
            </w:r>
            <w:r>
              <w:rPr>
                <w:rFonts w:hint="eastAsia" w:ascii="宋体" w:hAnsi="宋体" w:cs="宋体"/>
                <w:kern w:val="0"/>
                <w:sz w:val="20"/>
                <w:szCs w:val="20"/>
              </w:rPr>
              <w:t>2、出入口显示屏的空闲显示内容包括：空余车位、当前时间、当前日期及自定义文字</w:t>
            </w:r>
            <w:r>
              <w:rPr>
                <w:rFonts w:hint="eastAsia" w:ascii="宋体" w:hAnsi="宋体" w:cs="宋体"/>
                <w:kern w:val="0"/>
                <w:sz w:val="20"/>
                <w:szCs w:val="20"/>
              </w:rPr>
              <w:br w:type="textWrapping"/>
            </w:r>
            <w:r>
              <w:rPr>
                <w:rFonts w:hint="eastAsia" w:ascii="宋体" w:hAnsi="宋体" w:cs="宋体"/>
                <w:kern w:val="0"/>
                <w:sz w:val="20"/>
                <w:szCs w:val="20"/>
              </w:rPr>
              <w:t>3、出入口显示屏的过车显示内容，可以根据车辆类型配置不同的内容，包括：车牌号码、车辆卡号、车辆类型、入场时间、到期提醒、空余车位、账户余额、车辆分类、一户多车满位及自定义文字</w:t>
            </w:r>
            <w:r>
              <w:rPr>
                <w:rFonts w:hint="eastAsia" w:ascii="宋体" w:hAnsi="宋体" w:cs="宋体"/>
                <w:kern w:val="0"/>
                <w:sz w:val="20"/>
                <w:szCs w:val="20"/>
              </w:rPr>
              <w:br w:type="textWrapping"/>
            </w:r>
            <w:r>
              <w:rPr>
                <w:rFonts w:hint="eastAsia" w:ascii="宋体" w:hAnsi="宋体" w:cs="宋体"/>
                <w:kern w:val="0"/>
                <w:sz w:val="20"/>
                <w:szCs w:val="20"/>
              </w:rPr>
              <w:t>4、出入口显示屏支持根据车道的启用和禁用状态显示对应的图标</w:t>
            </w:r>
            <w:r>
              <w:rPr>
                <w:rFonts w:hint="eastAsia" w:ascii="宋体" w:hAnsi="宋体" w:cs="宋体"/>
                <w:kern w:val="0"/>
                <w:sz w:val="20"/>
                <w:szCs w:val="20"/>
              </w:rPr>
              <w:br w:type="textWrapping"/>
            </w:r>
            <w:r>
              <w:rPr>
                <w:rFonts w:hint="eastAsia" w:ascii="宋体" w:hAnsi="宋体" w:cs="宋体"/>
                <w:kern w:val="0"/>
                <w:sz w:val="20"/>
                <w:szCs w:val="20"/>
              </w:rPr>
              <w:t>5、支持根据车辆类型，自定义配置入场播报、出场播报和放行播报的语音播报内容</w:t>
            </w:r>
            <w:r>
              <w:rPr>
                <w:rFonts w:hint="eastAsia" w:ascii="宋体" w:hAnsi="宋体" w:cs="宋体"/>
                <w:kern w:val="0"/>
                <w:sz w:val="20"/>
                <w:szCs w:val="20"/>
              </w:rPr>
              <w:br w:type="textWrapping"/>
            </w:r>
            <w:r>
              <w:rPr>
                <w:rFonts w:hint="eastAsia" w:ascii="宋体" w:hAnsi="宋体" w:cs="宋体"/>
                <w:kern w:val="0"/>
                <w:sz w:val="20"/>
                <w:szCs w:val="20"/>
              </w:rPr>
              <w:t>6、语音播报的入场播报，包括：车牌号码、到期时间、一户多车满位、欢迎光临/车位已满、车辆分类及自定义文字</w:t>
            </w:r>
            <w:r>
              <w:rPr>
                <w:rFonts w:hint="eastAsia" w:ascii="宋体" w:hAnsi="宋体" w:cs="宋体"/>
                <w:kern w:val="0"/>
                <w:sz w:val="20"/>
                <w:szCs w:val="20"/>
              </w:rPr>
              <w:br w:type="textWrapping"/>
            </w:r>
            <w:r>
              <w:rPr>
                <w:rFonts w:hint="eastAsia" w:ascii="宋体" w:hAnsi="宋体" w:cs="宋体"/>
                <w:kern w:val="0"/>
                <w:sz w:val="20"/>
                <w:szCs w:val="20"/>
              </w:rPr>
              <w:t>7、语音播报的出场播报，包括：车牌号码、车辆卡号、入场时间、收费金额/到期提醒、出场时间、停车时长、余额提醒、车辆分类及自定义文字</w:t>
            </w:r>
            <w:r>
              <w:rPr>
                <w:rFonts w:hint="eastAsia" w:ascii="宋体" w:hAnsi="宋体" w:cs="宋体"/>
                <w:kern w:val="0"/>
                <w:sz w:val="20"/>
                <w:szCs w:val="20"/>
              </w:rPr>
              <w:br w:type="textWrapping"/>
            </w:r>
            <w:r>
              <w:rPr>
                <w:rFonts w:hint="eastAsia" w:ascii="宋体" w:hAnsi="宋体" w:cs="宋体"/>
                <w:kern w:val="0"/>
                <w:sz w:val="20"/>
                <w:szCs w:val="20"/>
              </w:rPr>
              <w:t>五、库内车辆管理</w:t>
            </w:r>
            <w:r>
              <w:rPr>
                <w:rFonts w:hint="eastAsia" w:ascii="宋体" w:hAnsi="宋体" w:cs="宋体"/>
                <w:kern w:val="0"/>
                <w:sz w:val="20"/>
                <w:szCs w:val="20"/>
              </w:rPr>
              <w:br w:type="textWrapping"/>
            </w:r>
            <w:r>
              <w:rPr>
                <w:rFonts w:hint="eastAsia" w:ascii="宋体" w:hAnsi="宋体" w:cs="宋体"/>
                <w:kern w:val="0"/>
                <w:sz w:val="20"/>
                <w:szCs w:val="20"/>
              </w:rPr>
              <w:t>1、支持按停车时长进行库内车辆的查询</w:t>
            </w:r>
            <w:r>
              <w:rPr>
                <w:rFonts w:hint="eastAsia" w:ascii="宋体" w:hAnsi="宋体" w:cs="宋体"/>
                <w:kern w:val="0"/>
                <w:sz w:val="20"/>
                <w:szCs w:val="20"/>
              </w:rPr>
              <w:br w:type="textWrapping"/>
            </w:r>
            <w:r>
              <w:rPr>
                <w:rFonts w:hint="eastAsia" w:ascii="宋体" w:hAnsi="宋体" w:cs="宋体"/>
                <w:kern w:val="0"/>
                <w:sz w:val="20"/>
                <w:szCs w:val="20"/>
              </w:rPr>
              <w:t>2、支持对库内车辆进行车牌校正</w:t>
            </w:r>
            <w:r>
              <w:rPr>
                <w:rFonts w:hint="eastAsia" w:ascii="宋体" w:hAnsi="宋体" w:cs="宋体"/>
                <w:kern w:val="0"/>
                <w:sz w:val="20"/>
                <w:szCs w:val="20"/>
              </w:rPr>
              <w:br w:type="textWrapping"/>
            </w:r>
            <w:r>
              <w:rPr>
                <w:rFonts w:hint="eastAsia" w:ascii="宋体" w:hAnsi="宋体" w:cs="宋体"/>
                <w:kern w:val="0"/>
                <w:sz w:val="20"/>
                <w:szCs w:val="20"/>
              </w:rPr>
              <w:t>3、支持对场内异常车辆的记录进行清理</w:t>
            </w:r>
            <w:r>
              <w:rPr>
                <w:rFonts w:hint="eastAsia" w:ascii="宋体" w:hAnsi="宋体" w:cs="宋体"/>
                <w:kern w:val="0"/>
                <w:sz w:val="20"/>
                <w:szCs w:val="20"/>
              </w:rPr>
              <w:br w:type="textWrapping"/>
            </w:r>
            <w:r>
              <w:rPr>
                <w:rFonts w:hint="eastAsia" w:ascii="宋体" w:hAnsi="宋体" w:cs="宋体"/>
                <w:kern w:val="0"/>
                <w:sz w:val="20"/>
                <w:szCs w:val="20"/>
              </w:rPr>
              <w:t>4、支持对场内无牌车定期自动清理</w:t>
            </w:r>
            <w:r>
              <w:rPr>
                <w:rFonts w:hint="eastAsia" w:ascii="宋体" w:hAnsi="宋体" w:cs="宋体"/>
                <w:kern w:val="0"/>
                <w:sz w:val="20"/>
                <w:szCs w:val="20"/>
              </w:rPr>
              <w:br w:type="textWrapping"/>
            </w:r>
            <w:r>
              <w:rPr>
                <w:rFonts w:hint="eastAsia" w:ascii="宋体" w:hAnsi="宋体" w:cs="宋体"/>
                <w:kern w:val="0"/>
                <w:sz w:val="20"/>
                <w:szCs w:val="20"/>
              </w:rPr>
              <w:t>六、记录查询和统计</w:t>
            </w:r>
            <w:r>
              <w:rPr>
                <w:rFonts w:hint="eastAsia" w:ascii="宋体" w:hAnsi="宋体" w:cs="宋体"/>
                <w:kern w:val="0"/>
                <w:sz w:val="20"/>
                <w:szCs w:val="20"/>
              </w:rPr>
              <w:br w:type="textWrapping"/>
            </w:r>
            <w:r>
              <w:rPr>
                <w:rFonts w:hint="eastAsia" w:ascii="宋体" w:hAnsi="宋体" w:cs="宋体"/>
                <w:kern w:val="0"/>
                <w:sz w:val="20"/>
                <w:szCs w:val="20"/>
              </w:rPr>
              <w:t>1、支持多种记录查询包括：过车记录、停车记录、场内车辆记录、预约记录、班次记录；查询结果支持列表和图片两种方式展示</w:t>
            </w:r>
            <w:r>
              <w:rPr>
                <w:rFonts w:hint="eastAsia" w:ascii="宋体" w:hAnsi="宋体" w:cs="宋体"/>
                <w:kern w:val="0"/>
                <w:sz w:val="20"/>
                <w:szCs w:val="20"/>
              </w:rPr>
              <w:br w:type="textWrapping"/>
            </w:r>
            <w:r>
              <w:rPr>
                <w:rFonts w:hint="eastAsia" w:ascii="宋体" w:hAnsi="宋体" w:cs="宋体"/>
                <w:kern w:val="0"/>
                <w:sz w:val="20"/>
                <w:szCs w:val="20"/>
              </w:rPr>
              <w:t>2、支持车流量按日、月、年、自定义日期，统计停车场车辆进出的车流量总数、平均车流量、峰值车流量</w:t>
            </w:r>
            <w:r>
              <w:rPr>
                <w:rFonts w:hint="eastAsia" w:ascii="宋体" w:hAnsi="宋体" w:cs="宋体"/>
                <w:kern w:val="0"/>
                <w:sz w:val="20"/>
                <w:szCs w:val="20"/>
              </w:rPr>
              <w:br w:type="textWrapping"/>
            </w:r>
            <w:r>
              <w:rPr>
                <w:rFonts w:hint="eastAsia" w:ascii="宋体" w:hAnsi="宋体" w:cs="宋体"/>
                <w:kern w:val="0"/>
                <w:sz w:val="20"/>
                <w:szCs w:val="20"/>
              </w:rPr>
              <w:t>八、岗亭管控</w:t>
            </w:r>
            <w:r>
              <w:rPr>
                <w:rFonts w:hint="eastAsia" w:ascii="宋体" w:hAnsi="宋体" w:cs="宋体"/>
                <w:kern w:val="0"/>
                <w:sz w:val="20"/>
                <w:szCs w:val="20"/>
              </w:rPr>
              <w:br w:type="textWrapping"/>
            </w:r>
            <w:r>
              <w:rPr>
                <w:rFonts w:hint="eastAsia" w:ascii="宋体" w:hAnsi="宋体" w:cs="宋体"/>
                <w:kern w:val="0"/>
                <w:sz w:val="20"/>
                <w:szCs w:val="20"/>
              </w:rPr>
              <w:t>1、支持查看停车场的总车位、剩余车位和预约车位信息</w:t>
            </w:r>
            <w:r>
              <w:rPr>
                <w:rFonts w:hint="eastAsia" w:ascii="宋体" w:hAnsi="宋体" w:cs="宋体"/>
                <w:kern w:val="0"/>
                <w:sz w:val="20"/>
                <w:szCs w:val="20"/>
              </w:rPr>
              <w:br w:type="textWrapping"/>
            </w:r>
            <w:r>
              <w:rPr>
                <w:rFonts w:hint="eastAsia" w:ascii="宋体" w:hAnsi="宋体" w:cs="宋体"/>
                <w:kern w:val="0"/>
                <w:sz w:val="20"/>
                <w:szCs w:val="20"/>
              </w:rPr>
              <w:t>2、支持查看各车道的过车信息，包含过车时间、车牌号、放行状态</w:t>
            </w:r>
            <w:r>
              <w:rPr>
                <w:rFonts w:hint="eastAsia" w:ascii="宋体" w:hAnsi="宋体" w:cs="宋体"/>
                <w:kern w:val="0"/>
                <w:sz w:val="20"/>
                <w:szCs w:val="20"/>
              </w:rPr>
              <w:br w:type="textWrapping"/>
            </w:r>
            <w:r>
              <w:rPr>
                <w:rFonts w:hint="eastAsia" w:ascii="宋体" w:hAnsi="宋体" w:cs="宋体"/>
                <w:kern w:val="0"/>
                <w:sz w:val="20"/>
                <w:szCs w:val="20"/>
              </w:rPr>
              <w:t>3、支持控制车道开闸、常开、关闸</w:t>
            </w:r>
            <w:r>
              <w:rPr>
                <w:rFonts w:hint="eastAsia" w:ascii="宋体" w:hAnsi="宋体" w:cs="宋体"/>
                <w:kern w:val="0"/>
                <w:sz w:val="20"/>
                <w:szCs w:val="20"/>
              </w:rPr>
              <w:br w:type="textWrapping"/>
            </w:r>
            <w:r>
              <w:rPr>
                <w:rFonts w:hint="eastAsia" w:ascii="宋体" w:hAnsi="宋体" w:cs="宋体"/>
                <w:kern w:val="0"/>
                <w:sz w:val="20"/>
                <w:szCs w:val="20"/>
              </w:rPr>
              <w:t>4、支持查看各车道设备的在线状态</w:t>
            </w:r>
            <w:r>
              <w:rPr>
                <w:rFonts w:hint="eastAsia" w:ascii="宋体" w:hAnsi="宋体" w:cs="宋体"/>
                <w:kern w:val="0"/>
                <w:sz w:val="20"/>
                <w:szCs w:val="20"/>
              </w:rPr>
              <w:br w:type="textWrapping"/>
            </w:r>
            <w:r>
              <w:rPr>
                <w:rFonts w:hint="eastAsia" w:ascii="宋体" w:hAnsi="宋体" w:cs="宋体"/>
                <w:kern w:val="0"/>
                <w:sz w:val="20"/>
                <w:szCs w:val="20"/>
              </w:rPr>
              <w:t>5、支持对在出入口的车辆进行校正车牌、修改车辆类型和手动放行。</w:t>
            </w:r>
            <w:r>
              <w:rPr>
                <w:rFonts w:hint="eastAsia" w:ascii="宋体" w:hAnsi="宋体" w:cs="宋体"/>
                <w:kern w:val="0"/>
                <w:sz w:val="20"/>
                <w:szCs w:val="20"/>
              </w:rPr>
              <w:br w:type="textWrapping"/>
            </w:r>
            <w:r>
              <w:rPr>
                <w:rFonts w:hint="eastAsia" w:ascii="宋体" w:hAnsi="宋体" w:cs="宋体"/>
                <w:kern w:val="0"/>
                <w:sz w:val="20"/>
                <w:szCs w:val="20"/>
              </w:rPr>
              <w:t>6、支持查询过车记录、预约车辆、固定车辆信息</w:t>
            </w:r>
            <w:r>
              <w:rPr>
                <w:rFonts w:hint="eastAsia" w:ascii="宋体" w:hAnsi="宋体" w:cs="宋体"/>
                <w:kern w:val="0"/>
                <w:sz w:val="20"/>
                <w:szCs w:val="20"/>
              </w:rPr>
              <w:br w:type="textWrapping"/>
            </w:r>
            <w:r>
              <w:rPr>
                <w:rFonts w:hint="eastAsia" w:ascii="宋体" w:hAnsi="宋体" w:cs="宋体"/>
                <w:kern w:val="0"/>
                <w:sz w:val="20"/>
                <w:szCs w:val="20"/>
              </w:rPr>
              <w:t>7、支持将车辆添加到黑名单</w:t>
            </w:r>
            <w:r>
              <w:rPr>
                <w:rFonts w:hint="eastAsia" w:ascii="宋体" w:hAnsi="宋体" w:cs="宋体"/>
                <w:kern w:val="0"/>
                <w:sz w:val="20"/>
                <w:szCs w:val="20"/>
              </w:rPr>
              <w:br w:type="textWrapping"/>
            </w:r>
            <w:r>
              <w:rPr>
                <w:rFonts w:hint="eastAsia" w:ascii="宋体" w:hAnsi="宋体" w:cs="宋体"/>
                <w:kern w:val="0"/>
                <w:sz w:val="20"/>
                <w:szCs w:val="20"/>
              </w:rPr>
              <w:t>8、支持违章车辆在出入口实现放行限制，并展示违章详情记录</w:t>
            </w:r>
            <w:r>
              <w:rPr>
                <w:rFonts w:hint="eastAsia" w:ascii="宋体" w:hAnsi="宋体" w:cs="宋体"/>
                <w:kern w:val="0"/>
                <w:sz w:val="20"/>
                <w:szCs w:val="20"/>
              </w:rPr>
              <w:br w:type="textWrapping"/>
            </w:r>
            <w:r>
              <w:rPr>
                <w:rFonts w:hint="eastAsia" w:ascii="宋体" w:hAnsi="宋体" w:cs="宋体"/>
                <w:kern w:val="0"/>
                <w:sz w:val="20"/>
                <w:szCs w:val="20"/>
              </w:rPr>
              <w:t xml:space="preserve">九、中心管控 </w:t>
            </w:r>
            <w:r>
              <w:rPr>
                <w:rFonts w:hint="eastAsia" w:ascii="宋体" w:hAnsi="宋体" w:cs="宋体"/>
                <w:kern w:val="0"/>
                <w:sz w:val="20"/>
                <w:szCs w:val="20"/>
              </w:rPr>
              <w:br w:type="textWrapping"/>
            </w:r>
            <w:r>
              <w:rPr>
                <w:rFonts w:hint="eastAsia" w:ascii="宋体" w:hAnsi="宋体" w:cs="宋体"/>
                <w:kern w:val="0"/>
                <w:sz w:val="20"/>
                <w:szCs w:val="20"/>
              </w:rPr>
              <w:t>1、支持查看车道的过车记录，包含过车时间、车牌号码、车辆类型、停车库、入库口等</w:t>
            </w:r>
            <w:r>
              <w:rPr>
                <w:rFonts w:hint="eastAsia" w:ascii="宋体" w:hAnsi="宋体" w:cs="宋体"/>
                <w:kern w:val="0"/>
                <w:sz w:val="20"/>
                <w:szCs w:val="20"/>
              </w:rPr>
              <w:br w:type="textWrapping"/>
            </w:r>
            <w:r>
              <w:rPr>
                <w:rFonts w:hint="eastAsia" w:ascii="宋体" w:hAnsi="宋体" w:cs="宋体"/>
                <w:kern w:val="0"/>
                <w:sz w:val="20"/>
                <w:szCs w:val="20"/>
              </w:rPr>
              <w:t>2、支持远程控制车道，对车道进行开闸、关闸、常开和呼叫的操作</w:t>
            </w:r>
            <w:r>
              <w:rPr>
                <w:rFonts w:hint="eastAsia" w:ascii="宋体" w:hAnsi="宋体" w:cs="宋体"/>
                <w:kern w:val="0"/>
                <w:sz w:val="20"/>
                <w:szCs w:val="20"/>
              </w:rPr>
              <w:br w:type="textWrapping"/>
            </w:r>
            <w:r>
              <w:rPr>
                <w:rFonts w:hint="eastAsia" w:ascii="宋体" w:hAnsi="宋体" w:cs="宋体"/>
                <w:kern w:val="0"/>
                <w:sz w:val="20"/>
                <w:szCs w:val="20"/>
              </w:rPr>
              <w:t>3、支持远程查看各车道设备的在线状态</w:t>
            </w:r>
            <w:r>
              <w:rPr>
                <w:rFonts w:hint="eastAsia" w:ascii="宋体" w:hAnsi="宋体" w:cs="宋体"/>
                <w:kern w:val="0"/>
                <w:sz w:val="20"/>
                <w:szCs w:val="20"/>
              </w:rPr>
              <w:br w:type="textWrapping"/>
            </w:r>
            <w:r>
              <w:rPr>
                <w:rFonts w:hint="eastAsia" w:ascii="宋体" w:hAnsi="宋体" w:cs="宋体"/>
                <w:kern w:val="0"/>
                <w:sz w:val="20"/>
                <w:szCs w:val="20"/>
              </w:rPr>
              <w:t>4、支持出入口票箱、可视对讲发起与中心对讲，中心对车辆进行校正车牌、手动放行的操作</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16</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车道</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263</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车辆行驶监控</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对社区的车辆通过GPS和视频监控技术，管理车辆行车路线和规范驾驶员行为。</w:t>
            </w:r>
            <w:r>
              <w:rPr>
                <w:rFonts w:hint="eastAsia" w:ascii="宋体" w:hAnsi="宋体" w:cs="宋体"/>
                <w:kern w:val="0"/>
                <w:sz w:val="20"/>
                <w:szCs w:val="20"/>
              </w:rPr>
              <w:br w:type="textWrapping"/>
            </w:r>
            <w:r>
              <w:rPr>
                <w:rFonts w:hint="eastAsia" w:ascii="宋体" w:hAnsi="宋体" w:cs="宋体"/>
                <w:kern w:val="0"/>
                <w:sz w:val="20"/>
                <w:szCs w:val="20"/>
              </w:rPr>
              <w:t>1、支持对车辆行驶布控，包括电子围栏和行驶线路布控。支持进行超速、出入围栏、长时间停留、偏离路线的报警检测</w:t>
            </w:r>
            <w:r>
              <w:rPr>
                <w:rFonts w:hint="eastAsia" w:ascii="宋体" w:hAnsi="宋体" w:cs="宋体"/>
                <w:kern w:val="0"/>
                <w:sz w:val="20"/>
                <w:szCs w:val="20"/>
              </w:rPr>
              <w:br w:type="textWrapping"/>
            </w:r>
            <w:r>
              <w:rPr>
                <w:rFonts w:hint="eastAsia" w:ascii="宋体" w:hAnsi="宋体" w:cs="宋体"/>
                <w:kern w:val="0"/>
                <w:sz w:val="20"/>
                <w:szCs w:val="20"/>
              </w:rPr>
              <w:t>2、支持车辆实时定位、查看车载实时监控画面和历史录像</w:t>
            </w:r>
            <w:r>
              <w:rPr>
                <w:rFonts w:hint="eastAsia" w:ascii="宋体" w:hAnsi="宋体" w:cs="宋体"/>
                <w:kern w:val="0"/>
                <w:sz w:val="20"/>
                <w:szCs w:val="20"/>
              </w:rPr>
              <w:br w:type="textWrapping"/>
            </w:r>
            <w:r>
              <w:rPr>
                <w:rFonts w:hint="eastAsia" w:ascii="宋体" w:hAnsi="宋体" w:cs="宋体"/>
                <w:kern w:val="0"/>
                <w:sz w:val="20"/>
                <w:szCs w:val="20"/>
              </w:rPr>
              <w:t>3、支持对选定车辆的历史行驶轨迹进行回放查看</w:t>
            </w:r>
            <w:r>
              <w:rPr>
                <w:rFonts w:hint="eastAsia" w:ascii="宋体" w:hAnsi="宋体" w:cs="宋体"/>
                <w:kern w:val="0"/>
                <w:sz w:val="20"/>
                <w:szCs w:val="20"/>
              </w:rPr>
              <w:br w:type="textWrapping"/>
            </w:r>
            <w:r>
              <w:rPr>
                <w:rFonts w:hint="eastAsia" w:ascii="宋体" w:hAnsi="宋体" w:cs="宋体"/>
                <w:kern w:val="0"/>
                <w:sz w:val="20"/>
                <w:szCs w:val="20"/>
              </w:rPr>
              <w:t>4、支持ehome、isup5.0、部标808协议设备接入</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264</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消防视频水电气监测</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支持对视频图像火灾报警监测、可燃气体监测（NB燃气、433燃气）、电气火灾监测、消防水系统监测、灭火器监测、充电桩监测</w:t>
            </w:r>
            <w:r>
              <w:rPr>
                <w:rFonts w:hint="eastAsia" w:ascii="宋体" w:hAnsi="宋体" w:cs="宋体"/>
                <w:kern w:val="0"/>
                <w:sz w:val="20"/>
                <w:szCs w:val="20"/>
              </w:rPr>
              <w:br w:type="textWrapping"/>
            </w:r>
            <w:r>
              <w:rPr>
                <w:rFonts w:hint="eastAsia" w:ascii="宋体" w:hAnsi="宋体" w:cs="宋体"/>
                <w:kern w:val="0"/>
                <w:sz w:val="20"/>
                <w:szCs w:val="20"/>
              </w:rPr>
              <w:t>视频图像预警系统主要包含的设备类型有智能分析仪、安消智能摄像机、安消联动摄像机、可视化烟雾探测器；此系统下属的所有设备均为复合型设备，即具备不止一个功能，为视频功能，传感器功能，监控点功能的有机组合；</w:t>
            </w:r>
            <w:r>
              <w:rPr>
                <w:rFonts w:hint="eastAsia" w:ascii="宋体" w:hAnsi="宋体" w:cs="宋体"/>
                <w:kern w:val="0"/>
                <w:sz w:val="20"/>
                <w:szCs w:val="20"/>
              </w:rPr>
              <w:br w:type="textWrapping"/>
            </w:r>
            <w:r>
              <w:rPr>
                <w:rFonts w:hint="eastAsia" w:ascii="宋体" w:hAnsi="宋体" w:cs="宋体"/>
                <w:kern w:val="0"/>
                <w:sz w:val="20"/>
                <w:szCs w:val="20"/>
              </w:rPr>
              <w:t>可燃气体系统包含的设备类型有：独立式可燃气体报警器；主要提供独立式可燃气体报警器的设备以及下属传感器的相关管理；</w:t>
            </w:r>
            <w:r>
              <w:rPr>
                <w:rFonts w:hint="eastAsia" w:ascii="宋体" w:hAnsi="宋体" w:cs="宋体"/>
                <w:kern w:val="0"/>
                <w:sz w:val="20"/>
                <w:szCs w:val="20"/>
              </w:rPr>
              <w:br w:type="textWrapping"/>
            </w:r>
            <w:r>
              <w:rPr>
                <w:rFonts w:hint="eastAsia" w:ascii="宋体" w:hAnsi="宋体" w:cs="宋体"/>
                <w:kern w:val="0"/>
                <w:sz w:val="20"/>
                <w:szCs w:val="20"/>
              </w:rPr>
              <w:t>电气火灾系统包含的设备类型有：用电主机；主要提供对用电主机设备以及下属的传感器的管理；以及针对JL协议的下属的空开传感器的空开计划等的下发；</w:t>
            </w:r>
            <w:r>
              <w:rPr>
                <w:rFonts w:hint="eastAsia" w:ascii="宋体" w:hAnsi="宋体" w:cs="宋体"/>
                <w:kern w:val="0"/>
                <w:sz w:val="20"/>
                <w:szCs w:val="20"/>
              </w:rPr>
              <w:br w:type="textWrapping"/>
            </w:r>
            <w:r>
              <w:rPr>
                <w:rFonts w:hint="eastAsia" w:ascii="宋体" w:hAnsi="宋体" w:cs="宋体"/>
                <w:kern w:val="0"/>
                <w:sz w:val="20"/>
                <w:szCs w:val="20"/>
              </w:rPr>
              <w:t>消防用水系统下支持的设备类型有：用水主机、室外消火栓、一体式无线压力液位表等设备类型；支持对此系统下属所有设备类型以及传感器的管理；</w:t>
            </w:r>
            <w:r>
              <w:rPr>
                <w:rFonts w:hint="eastAsia" w:ascii="宋体" w:hAnsi="宋体" w:cs="宋体"/>
                <w:kern w:val="0"/>
                <w:sz w:val="20"/>
                <w:szCs w:val="20"/>
              </w:rPr>
              <w:br w:type="textWrapping"/>
            </w:r>
            <w:r>
              <w:rPr>
                <w:rFonts w:hint="eastAsia" w:ascii="宋体" w:hAnsi="宋体" w:cs="宋体"/>
                <w:kern w:val="0"/>
                <w:sz w:val="20"/>
                <w:szCs w:val="20"/>
              </w:rPr>
              <w:t>灭火器系统下面主要包含的设备类型有：灭火器；支持对此设备类型以及下属的传感器的管理；</w:t>
            </w:r>
            <w:r>
              <w:rPr>
                <w:rFonts w:hint="eastAsia" w:ascii="宋体" w:hAnsi="宋体" w:cs="宋体"/>
                <w:kern w:val="0"/>
                <w:sz w:val="20"/>
                <w:szCs w:val="20"/>
              </w:rPr>
              <w:br w:type="textWrapping"/>
            </w:r>
            <w:r>
              <w:rPr>
                <w:rFonts w:hint="eastAsia" w:ascii="宋体" w:hAnsi="宋体" w:cs="宋体"/>
                <w:kern w:val="0"/>
                <w:sz w:val="20"/>
                <w:szCs w:val="20"/>
              </w:rPr>
              <w:t>充电桩系统中主要包含的设备类型有：充电桩；支持对充电桩配置充电桩地址，以及对设备和下属的传感器进行管理；</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消防通道违停、逆向分析</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265</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消防工作台</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控制消防工作台模块，消控室工作人员在工作台中可查看报警预警信息并进行处理：</w:t>
            </w:r>
            <w:r>
              <w:rPr>
                <w:rFonts w:hint="eastAsia" w:ascii="宋体" w:hAnsi="宋体" w:cs="宋体"/>
                <w:kern w:val="0"/>
                <w:sz w:val="20"/>
                <w:szCs w:val="20"/>
              </w:rPr>
              <w:br w:type="textWrapping"/>
            </w:r>
            <w:r>
              <w:rPr>
                <w:rFonts w:hint="eastAsia" w:ascii="宋体" w:hAnsi="宋体" w:cs="宋体"/>
                <w:kern w:val="0"/>
                <w:sz w:val="20"/>
                <w:szCs w:val="20"/>
              </w:rPr>
              <w:t>1. 支持报警实时接收。</w:t>
            </w:r>
            <w:r>
              <w:rPr>
                <w:rFonts w:hint="eastAsia" w:ascii="宋体" w:hAnsi="宋体" w:cs="宋体"/>
                <w:kern w:val="0"/>
                <w:sz w:val="20"/>
                <w:szCs w:val="20"/>
              </w:rPr>
              <w:br w:type="textWrapping"/>
            </w:r>
            <w:r>
              <w:rPr>
                <w:rFonts w:hint="eastAsia" w:ascii="宋体" w:hAnsi="宋体" w:cs="宋体"/>
                <w:kern w:val="0"/>
                <w:sz w:val="20"/>
                <w:szCs w:val="20"/>
              </w:rPr>
              <w:t>2. 支持未读报警红点提示，及多用户处理报警提醒。</w:t>
            </w:r>
            <w:r>
              <w:rPr>
                <w:rFonts w:hint="eastAsia" w:ascii="宋体" w:hAnsi="宋体" w:cs="宋体"/>
                <w:kern w:val="0"/>
                <w:sz w:val="20"/>
                <w:szCs w:val="20"/>
              </w:rPr>
              <w:br w:type="textWrapping"/>
            </w:r>
            <w:r>
              <w:rPr>
                <w:rFonts w:hint="eastAsia" w:ascii="宋体" w:hAnsi="宋体" w:cs="宋体"/>
                <w:kern w:val="0"/>
                <w:sz w:val="20"/>
                <w:szCs w:val="20"/>
              </w:rPr>
              <w:t>3. 支持报警根据报警等级、报警类型、时间范围、处理状态组合条件搜索。</w:t>
            </w:r>
            <w:r>
              <w:rPr>
                <w:rFonts w:hint="eastAsia" w:ascii="宋体" w:hAnsi="宋体" w:cs="宋体"/>
                <w:kern w:val="0"/>
                <w:sz w:val="20"/>
                <w:szCs w:val="20"/>
              </w:rPr>
              <w:br w:type="textWrapping"/>
            </w:r>
            <w:r>
              <w:rPr>
                <w:rFonts w:hint="eastAsia" w:ascii="宋体" w:hAnsi="宋体" w:cs="宋体"/>
                <w:kern w:val="0"/>
                <w:sz w:val="20"/>
                <w:szCs w:val="20"/>
              </w:rPr>
              <w:t>4. 支持报警根据报警源、报警位置、所属区域进行模糊搜索。</w:t>
            </w:r>
            <w:r>
              <w:rPr>
                <w:rFonts w:hint="eastAsia" w:ascii="宋体" w:hAnsi="宋体" w:cs="宋体"/>
                <w:kern w:val="0"/>
                <w:sz w:val="20"/>
                <w:szCs w:val="20"/>
              </w:rPr>
              <w:br w:type="textWrapping"/>
            </w:r>
            <w:r>
              <w:rPr>
                <w:rFonts w:hint="eastAsia" w:ascii="宋体" w:hAnsi="宋体" w:cs="宋体"/>
                <w:kern w:val="0"/>
                <w:sz w:val="20"/>
                <w:szCs w:val="20"/>
              </w:rPr>
              <w:t>5. 支持发生报警的资源点平面图或GIS地图位置展示。</w:t>
            </w:r>
            <w:r>
              <w:rPr>
                <w:rFonts w:hint="eastAsia" w:ascii="宋体" w:hAnsi="宋体" w:cs="宋体"/>
                <w:kern w:val="0"/>
                <w:sz w:val="20"/>
                <w:szCs w:val="20"/>
              </w:rPr>
              <w:br w:type="textWrapping"/>
            </w:r>
            <w:r>
              <w:rPr>
                <w:rFonts w:hint="eastAsia" w:ascii="宋体" w:hAnsi="宋体" w:cs="宋体"/>
                <w:kern w:val="0"/>
                <w:sz w:val="20"/>
                <w:szCs w:val="20"/>
              </w:rPr>
              <w:t>6. 支持报警联动视频预览、回放、抓图展示。</w:t>
            </w:r>
            <w:r>
              <w:rPr>
                <w:rFonts w:hint="eastAsia" w:ascii="宋体" w:hAnsi="宋体" w:cs="宋体"/>
                <w:kern w:val="0"/>
                <w:sz w:val="20"/>
                <w:szCs w:val="20"/>
              </w:rPr>
              <w:br w:type="textWrapping"/>
            </w:r>
            <w:r>
              <w:rPr>
                <w:rFonts w:hint="eastAsia" w:ascii="宋体" w:hAnsi="宋体" w:cs="宋体"/>
                <w:kern w:val="0"/>
                <w:sz w:val="20"/>
                <w:szCs w:val="20"/>
              </w:rPr>
              <w:t>7. 支持报警处理，当处理结果选择为误报时，支持报警转隐患</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266</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消防设备网管</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对消防的设备网络、故障等信息进行管理：</w:t>
            </w:r>
            <w:r>
              <w:rPr>
                <w:rFonts w:hint="eastAsia" w:ascii="宋体" w:hAnsi="宋体" w:cs="宋体"/>
                <w:kern w:val="0"/>
                <w:sz w:val="20"/>
                <w:szCs w:val="20"/>
              </w:rPr>
              <w:br w:type="textWrapping"/>
            </w:r>
            <w:r>
              <w:rPr>
                <w:rFonts w:hint="eastAsia" w:ascii="宋体" w:hAnsi="宋体" w:cs="宋体"/>
                <w:kern w:val="0"/>
                <w:sz w:val="20"/>
                <w:szCs w:val="20"/>
              </w:rPr>
              <w:t>1. 支持展示消防设备运维概况，包括设备总数、在线数、离线数、在线率、正常数、故障数、正常率；支持以列表形式展示消防设备的设备名称、所在区域、设备编号、设备类型、巡检时间、在线状态、部件状态、操作（详细信息）；</w:t>
            </w:r>
            <w:r>
              <w:rPr>
                <w:rFonts w:hint="eastAsia" w:ascii="宋体" w:hAnsi="宋体" w:cs="宋体"/>
                <w:kern w:val="0"/>
                <w:sz w:val="20"/>
                <w:szCs w:val="20"/>
              </w:rPr>
              <w:br w:type="textWrapping"/>
            </w:r>
            <w:r>
              <w:rPr>
                <w:rFonts w:hint="eastAsia" w:ascii="宋体" w:hAnsi="宋体" w:cs="宋体"/>
                <w:kern w:val="0"/>
                <w:sz w:val="20"/>
                <w:szCs w:val="20"/>
              </w:rPr>
              <w:t>2. 支持根据在线状态（不限/在线/离线）、设备名称、设备类型、部件状态、设备编号显示消防设备列表；</w:t>
            </w:r>
            <w:r>
              <w:rPr>
                <w:rFonts w:hint="eastAsia" w:ascii="宋体" w:hAnsi="宋体" w:cs="宋体"/>
                <w:kern w:val="0"/>
                <w:sz w:val="20"/>
                <w:szCs w:val="20"/>
              </w:rPr>
              <w:br w:type="textWrapping"/>
            </w:r>
            <w:r>
              <w:rPr>
                <w:rFonts w:hint="eastAsia" w:ascii="宋体" w:hAnsi="宋体" w:cs="宋体"/>
                <w:kern w:val="0"/>
                <w:sz w:val="20"/>
                <w:szCs w:val="20"/>
              </w:rPr>
              <w:t>3. 支持展示传感器运维概况，包括传感器总数、正常数、故障数、正常率；</w:t>
            </w:r>
            <w:r>
              <w:rPr>
                <w:rFonts w:hint="eastAsia" w:ascii="宋体" w:hAnsi="宋体" w:cs="宋体"/>
                <w:kern w:val="0"/>
                <w:sz w:val="20"/>
                <w:szCs w:val="20"/>
              </w:rPr>
              <w:br w:type="textWrapping"/>
            </w:r>
            <w:r>
              <w:rPr>
                <w:rFonts w:hint="eastAsia" w:ascii="宋体" w:hAnsi="宋体" w:cs="宋体"/>
                <w:kern w:val="0"/>
                <w:sz w:val="20"/>
                <w:szCs w:val="20"/>
              </w:rPr>
              <w:t>4. 支持以列表形式展示传感器的传感器名称、所属区域、传感器编号、所属设备、传感器类型；</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267</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安防数据看板（依赖数据可视化平台）</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1、支持根据后台配置的监控点位，展示预览画面（最大支持4画面）</w:t>
            </w:r>
            <w:r>
              <w:rPr>
                <w:rFonts w:hint="eastAsia" w:ascii="宋体" w:hAnsi="宋体" w:cs="宋体"/>
                <w:kern w:val="0"/>
                <w:sz w:val="20"/>
                <w:szCs w:val="20"/>
              </w:rPr>
              <w:br w:type="textWrapping"/>
            </w:r>
            <w:r>
              <w:rPr>
                <w:rFonts w:hint="eastAsia" w:ascii="宋体" w:hAnsi="宋体" w:cs="宋体"/>
                <w:kern w:val="0"/>
                <w:sz w:val="20"/>
                <w:szCs w:val="20"/>
              </w:rPr>
              <w:t>2、支持展示最近的重点人员记录和陌生人记录，配置固定时间刷新</w:t>
            </w:r>
            <w:r>
              <w:rPr>
                <w:rFonts w:hint="eastAsia" w:ascii="宋体" w:hAnsi="宋体" w:cs="宋体"/>
                <w:kern w:val="0"/>
                <w:sz w:val="20"/>
                <w:szCs w:val="20"/>
              </w:rPr>
              <w:br w:type="textWrapping"/>
            </w:r>
            <w:r>
              <w:rPr>
                <w:rFonts w:hint="eastAsia" w:ascii="宋体" w:hAnsi="宋体" w:cs="宋体"/>
                <w:kern w:val="0"/>
                <w:sz w:val="20"/>
                <w:szCs w:val="20"/>
              </w:rPr>
              <w:t>3、支持展示当日访客的统计，包含总访客数、来访中人数、未登记人数、已签离人数；以曲线图的形式展示今日、近7日，近30日的访客人数</w:t>
            </w:r>
            <w:r>
              <w:rPr>
                <w:rFonts w:hint="eastAsia" w:ascii="宋体" w:hAnsi="宋体" w:cs="宋体"/>
                <w:kern w:val="0"/>
                <w:sz w:val="20"/>
                <w:szCs w:val="20"/>
              </w:rPr>
              <w:br w:type="textWrapping"/>
            </w:r>
            <w:r>
              <w:rPr>
                <w:rFonts w:hint="eastAsia" w:ascii="宋体" w:hAnsi="宋体" w:cs="宋体"/>
                <w:kern w:val="0"/>
                <w:sz w:val="20"/>
                <w:szCs w:val="20"/>
              </w:rPr>
              <w:t>4、支持展示最近的门禁人员出入记录</w:t>
            </w:r>
            <w:r>
              <w:rPr>
                <w:rFonts w:hint="eastAsia" w:ascii="宋体" w:hAnsi="宋体" w:cs="宋体"/>
                <w:kern w:val="0"/>
                <w:sz w:val="20"/>
                <w:szCs w:val="20"/>
              </w:rPr>
              <w:br w:type="textWrapping"/>
            </w:r>
            <w:r>
              <w:rPr>
                <w:rFonts w:hint="eastAsia" w:ascii="宋体" w:hAnsi="宋体" w:cs="宋体"/>
                <w:kern w:val="0"/>
                <w:sz w:val="20"/>
                <w:szCs w:val="20"/>
              </w:rPr>
              <w:t>5、支持展示车辆违章统计，包含超速，逆行，违停</w:t>
            </w:r>
            <w:r>
              <w:rPr>
                <w:rFonts w:hint="eastAsia" w:ascii="宋体" w:hAnsi="宋体" w:cs="宋体"/>
                <w:kern w:val="0"/>
                <w:sz w:val="20"/>
                <w:szCs w:val="20"/>
              </w:rPr>
              <w:br w:type="textWrapping"/>
            </w:r>
            <w:r>
              <w:rPr>
                <w:rFonts w:hint="eastAsia" w:ascii="宋体" w:hAnsi="宋体" w:cs="宋体"/>
                <w:kern w:val="0"/>
                <w:sz w:val="20"/>
                <w:szCs w:val="20"/>
              </w:rPr>
              <w:t>6、支持展示设备的在线率、离线率等运维数据</w:t>
            </w:r>
            <w:r>
              <w:rPr>
                <w:rFonts w:hint="eastAsia" w:ascii="宋体" w:hAnsi="宋体" w:cs="宋体"/>
                <w:kern w:val="0"/>
                <w:sz w:val="20"/>
                <w:szCs w:val="20"/>
              </w:rPr>
              <w:br w:type="textWrapping"/>
            </w:r>
            <w:r>
              <w:rPr>
                <w:rFonts w:hint="eastAsia" w:ascii="宋体" w:hAnsi="宋体" w:cs="宋体"/>
                <w:kern w:val="0"/>
                <w:sz w:val="20"/>
                <w:szCs w:val="20"/>
              </w:rPr>
              <w:t>7、支持展示当天告警统计、告警已处理数和未处理数据</w:t>
            </w:r>
            <w:r>
              <w:rPr>
                <w:rFonts w:hint="eastAsia" w:ascii="宋体" w:hAnsi="宋体" w:cs="宋体"/>
                <w:kern w:val="0"/>
                <w:sz w:val="20"/>
                <w:szCs w:val="20"/>
              </w:rPr>
              <w:br w:type="textWrapping"/>
            </w:r>
            <w:r>
              <w:rPr>
                <w:rFonts w:hint="eastAsia" w:ascii="宋体" w:hAnsi="宋体" w:cs="宋体"/>
                <w:kern w:val="0"/>
                <w:sz w:val="20"/>
                <w:szCs w:val="20"/>
              </w:rPr>
              <w:t>8、支持展示固定车和临时车数量、总车位数。支持以日、月、年为纬度统计车辆进出情况和停车场营收情况</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268</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24盘位磁盘阵列（含24块8T硬盘）</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单设备应配置≥64位多核处理器，≥4GB内存，内存支持扩展到≥32GB，需配置冗余金牌电源，支持双系统</w:t>
            </w:r>
            <w:r>
              <w:rPr>
                <w:rFonts w:hint="eastAsia" w:ascii="宋体" w:hAnsi="宋体" w:cs="宋体"/>
                <w:kern w:val="0"/>
                <w:sz w:val="20"/>
                <w:szCs w:val="20"/>
              </w:rPr>
              <w:br w:type="textWrapping"/>
            </w:r>
            <w:r>
              <w:rPr>
                <w:rFonts w:hint="eastAsia" w:ascii="宋体" w:hAnsi="宋体" w:cs="宋体"/>
                <w:kern w:val="0"/>
                <w:sz w:val="20"/>
                <w:szCs w:val="20"/>
              </w:rPr>
              <w:t>单设备应标配≥2个千兆网口，可增扩≥2个万兆口或≥2个光纤接口或增配≥4个HDMI接口或≥2个SAS3.0接口</w:t>
            </w:r>
            <w:r>
              <w:rPr>
                <w:rFonts w:hint="eastAsia" w:ascii="宋体" w:hAnsi="宋体" w:cs="宋体"/>
                <w:kern w:val="0"/>
                <w:sz w:val="20"/>
                <w:szCs w:val="20"/>
              </w:rPr>
              <w:br w:type="textWrapping"/>
            </w:r>
            <w:r>
              <w:rPr>
                <w:rFonts w:hint="eastAsia" w:ascii="宋体" w:hAnsi="宋体" w:cs="宋体"/>
                <w:kern w:val="0"/>
                <w:sz w:val="20"/>
                <w:szCs w:val="20"/>
              </w:rPr>
              <w:t>应支持FCSAN、IPSAN、NAS存储功能</w:t>
            </w:r>
            <w:r>
              <w:rPr>
                <w:rFonts w:hint="eastAsia" w:ascii="宋体" w:hAnsi="宋体" w:cs="宋体"/>
                <w:kern w:val="0"/>
                <w:sz w:val="20"/>
                <w:szCs w:val="20"/>
              </w:rPr>
              <w:br w:type="textWrapping"/>
            </w:r>
            <w:r>
              <w:rPr>
                <w:rFonts w:hint="eastAsia" w:ascii="宋体" w:hAnsi="宋体" w:cs="宋体"/>
                <w:kern w:val="0"/>
                <w:sz w:val="20"/>
                <w:szCs w:val="20"/>
              </w:rPr>
              <w:t>接入24块8TSATA磁盘，支持磁盘交错启动和漫游，并支持在线热插拔；</w:t>
            </w:r>
            <w:r>
              <w:rPr>
                <w:rFonts w:hint="eastAsia" w:ascii="宋体" w:hAnsi="宋体" w:cs="宋体"/>
                <w:kern w:val="0"/>
                <w:sz w:val="20"/>
                <w:szCs w:val="20"/>
              </w:rPr>
              <w:br w:type="textWrapping"/>
            </w:r>
            <w:r>
              <w:rPr>
                <w:rFonts w:hint="eastAsia" w:ascii="宋体" w:hAnsi="宋体" w:cs="宋体"/>
                <w:kern w:val="0"/>
                <w:sz w:val="20"/>
                <w:szCs w:val="20"/>
              </w:rPr>
              <w:t>可接入硬盘≥24块，支持SATA和SAS混插，并支持≥12级扩展柜级联扩展；</w:t>
            </w:r>
            <w:r>
              <w:rPr>
                <w:rFonts w:hint="eastAsia" w:ascii="宋体" w:hAnsi="宋体" w:cs="宋体"/>
                <w:kern w:val="0"/>
                <w:sz w:val="20"/>
                <w:szCs w:val="20"/>
              </w:rPr>
              <w:br w:type="textWrapping"/>
            </w:r>
            <w:r>
              <w:rPr>
                <w:rFonts w:hint="eastAsia" w:ascii="宋体" w:hAnsi="宋体" w:cs="宋体"/>
                <w:kern w:val="0"/>
                <w:sz w:val="20"/>
                <w:szCs w:val="20"/>
              </w:rPr>
              <w:t>应能提供RAID0、1、3、5、6、10、50，60、JBOD模式，支持全局、局部等多种热备选择，支持坏盘自动重构；</w:t>
            </w:r>
            <w:r>
              <w:rPr>
                <w:rFonts w:hint="eastAsia" w:ascii="宋体" w:hAnsi="宋体" w:cs="宋体"/>
                <w:kern w:val="0"/>
                <w:sz w:val="20"/>
                <w:szCs w:val="20"/>
              </w:rPr>
              <w:br w:type="textWrapping"/>
            </w:r>
            <w:r>
              <w:rPr>
                <w:rFonts w:hint="eastAsia" w:ascii="宋体" w:hAnsi="宋体" w:cs="宋体"/>
                <w:kern w:val="0"/>
                <w:sz w:val="20"/>
                <w:szCs w:val="20"/>
              </w:rPr>
              <w:t>设备可对视音频、图片、智能数据（智能行为分析录像）流进行混合直存，无须存储服务器和图片服务器的参与，平台服务器宕机时，存储业务正常</w:t>
            </w:r>
            <w:r>
              <w:rPr>
                <w:rFonts w:hint="eastAsia" w:ascii="宋体" w:hAnsi="宋体" w:cs="宋体"/>
                <w:kern w:val="0"/>
                <w:sz w:val="20"/>
                <w:szCs w:val="20"/>
              </w:rPr>
              <w:br w:type="textWrapping"/>
            </w:r>
            <w:r>
              <w:rPr>
                <w:rFonts w:hint="eastAsia" w:ascii="宋体" w:hAnsi="宋体" w:cs="宋体"/>
                <w:kern w:val="0"/>
                <w:sz w:val="20"/>
                <w:szCs w:val="20"/>
              </w:rPr>
              <w:t>应能接入并存储1880Mbps视频图像，同时转发1880Mbps的视频图像；同时回放512Mbps的视频图像</w:t>
            </w:r>
            <w:r>
              <w:rPr>
                <w:rFonts w:hint="eastAsia" w:ascii="宋体" w:hAnsi="宋体" w:cs="宋体"/>
                <w:kern w:val="0"/>
                <w:sz w:val="20"/>
                <w:szCs w:val="20"/>
              </w:rPr>
              <w:br w:type="textWrapping"/>
            </w:r>
            <w:r>
              <w:rPr>
                <w:rFonts w:hint="eastAsia" w:ascii="宋体" w:hAnsi="宋体" w:cs="宋体"/>
                <w:kern w:val="0"/>
                <w:sz w:val="20"/>
                <w:szCs w:val="20"/>
              </w:rPr>
              <w:t>支持不低于600MBps图片并发输入，同时不低于600MBps图片并发输出</w:t>
            </w:r>
            <w:r>
              <w:rPr>
                <w:rFonts w:hint="eastAsia" w:ascii="宋体" w:hAnsi="宋体" w:cs="宋体"/>
                <w:kern w:val="0"/>
                <w:sz w:val="20"/>
                <w:szCs w:val="20"/>
              </w:rPr>
              <w:br w:type="textWrapping"/>
            </w:r>
            <w:r>
              <w:rPr>
                <w:rFonts w:hint="eastAsia" w:ascii="宋体" w:hAnsi="宋体" w:cs="宋体"/>
                <w:kern w:val="0"/>
                <w:sz w:val="20"/>
                <w:szCs w:val="20"/>
              </w:rPr>
              <w:t>当RAID中某块工作正常的硬盘被误拔出后，60分钟内插回，该硬盘能恢复到原RAID中，系统自动恢复工作，而且会对拔掉的硬盘进行增量数据恢复</w:t>
            </w:r>
            <w:r>
              <w:rPr>
                <w:rFonts w:hint="eastAsia" w:ascii="宋体" w:hAnsi="宋体" w:cs="宋体"/>
                <w:kern w:val="0"/>
                <w:sz w:val="20"/>
                <w:szCs w:val="20"/>
              </w:rPr>
              <w:br w:type="textWrapping"/>
            </w:r>
            <w:r>
              <w:rPr>
                <w:rFonts w:hint="eastAsia" w:ascii="宋体" w:hAnsi="宋体" w:cs="宋体"/>
                <w:kern w:val="0"/>
                <w:sz w:val="20"/>
                <w:szCs w:val="20"/>
              </w:rPr>
              <w:t>在RAID内丢失2块（含）以上硬盘但至少有1块正常磁盘时，无需等待丢失盘恢复，保留的硬盘中的数据可正常读出，且新数据可正常写入</w:t>
            </w:r>
            <w:r>
              <w:rPr>
                <w:rFonts w:hint="eastAsia" w:ascii="宋体" w:hAnsi="宋体" w:cs="宋体"/>
                <w:kern w:val="0"/>
                <w:sz w:val="20"/>
                <w:szCs w:val="20"/>
              </w:rPr>
              <w:br w:type="textWrapping"/>
            </w:r>
            <w:r>
              <w:rPr>
                <w:rFonts w:hint="eastAsia" w:ascii="宋体" w:hAnsi="宋体" w:cs="宋体"/>
                <w:kern w:val="0"/>
                <w:sz w:val="20"/>
                <w:szCs w:val="20"/>
              </w:rPr>
              <w:t>支持接入单前端设备不超出30路码流冗余存储</w:t>
            </w:r>
            <w:r>
              <w:rPr>
                <w:rFonts w:hint="eastAsia" w:ascii="宋体" w:hAnsi="宋体" w:cs="宋体"/>
                <w:kern w:val="0"/>
                <w:sz w:val="20"/>
                <w:szCs w:val="20"/>
              </w:rPr>
              <w:br w:type="textWrapping"/>
            </w:r>
            <w:r>
              <w:rPr>
                <w:rFonts w:hint="eastAsia" w:ascii="宋体" w:hAnsi="宋体" w:cs="宋体"/>
                <w:kern w:val="0"/>
                <w:sz w:val="20"/>
                <w:szCs w:val="20"/>
              </w:rPr>
              <w:t>根据数据对象的重要性（例如：系统信息、配置信息、报警录像、普通录像等）、访问频率等属性按照预先设定的分层存储区域可进行自动分层存储并可实现快速访问</w:t>
            </w:r>
            <w:r>
              <w:rPr>
                <w:rFonts w:hint="eastAsia" w:ascii="宋体" w:hAnsi="宋体" w:cs="宋体"/>
                <w:kern w:val="0"/>
                <w:sz w:val="20"/>
                <w:szCs w:val="20"/>
              </w:rPr>
              <w:br w:type="textWrapping"/>
            </w:r>
            <w:r>
              <w:rPr>
                <w:rFonts w:hint="eastAsia" w:ascii="宋体" w:hAnsi="宋体" w:cs="宋体"/>
                <w:kern w:val="0"/>
                <w:sz w:val="20"/>
                <w:szCs w:val="20"/>
              </w:rPr>
              <w:t>设备在不增加任何外围服务器硬件的情况下可由存储设备直接进行虚拟化系统部署</w:t>
            </w:r>
            <w:r>
              <w:rPr>
                <w:rFonts w:hint="eastAsia" w:ascii="宋体" w:hAnsi="宋体" w:cs="宋体"/>
                <w:kern w:val="0"/>
                <w:sz w:val="20"/>
                <w:szCs w:val="20"/>
              </w:rPr>
              <w:br w:type="textWrapping"/>
            </w:r>
            <w:r>
              <w:rPr>
                <w:rFonts w:hint="eastAsia" w:ascii="宋体" w:hAnsi="宋体" w:cs="宋体"/>
                <w:kern w:val="0"/>
                <w:sz w:val="20"/>
                <w:szCs w:val="20"/>
              </w:rPr>
              <w:t>设备应能预录报警触发前1-40分钟的视频录像。</w:t>
            </w:r>
            <w:r>
              <w:rPr>
                <w:rFonts w:hint="eastAsia" w:ascii="宋体" w:hAnsi="宋体" w:cs="宋体"/>
                <w:kern w:val="0"/>
                <w:sz w:val="20"/>
                <w:szCs w:val="20"/>
              </w:rPr>
              <w:br w:type="textWrapping"/>
            </w:r>
            <w:r>
              <w:rPr>
                <w:rFonts w:hint="eastAsia" w:ascii="宋体" w:hAnsi="宋体" w:cs="宋体"/>
                <w:kern w:val="0"/>
                <w:sz w:val="20"/>
                <w:szCs w:val="20"/>
              </w:rPr>
              <w:t>可接入MPEG4、H.264、H.265、Smart265、SVAC编码格式的前端设备并存储录像文件,可将大华、宇视、海康等厂商SDK封装格式的视频流转成标准（MPEG4、H.264、H.265、SVAC、4K等编码格式）PS流（ProgramStream）输出。</w:t>
            </w:r>
            <w:r>
              <w:rPr>
                <w:rFonts w:hint="eastAsia" w:ascii="宋体" w:hAnsi="宋体" w:cs="宋体"/>
                <w:kern w:val="0"/>
                <w:sz w:val="20"/>
                <w:szCs w:val="20"/>
              </w:rPr>
              <w:br w:type="textWrapping"/>
            </w:r>
            <w:r>
              <w:rPr>
                <w:rFonts w:hint="eastAsia" w:ascii="宋体" w:hAnsi="宋体" w:cs="宋体"/>
                <w:kern w:val="0"/>
                <w:sz w:val="20"/>
                <w:szCs w:val="20"/>
              </w:rPr>
              <w:t>可在视频画面上绘制区域或界线，检索指定范围内的报警录像；可输入车牌号码可查证出相关图片和视频；可按照报警事件进行检索。可通过客户端将交通卡口数据（包括车标、车道、车速范围、车牌及车身颜色），行为分析的图片及数据（包括进入警戒线、进入警戒区、物品遗留、人脸检测）进行检索、查看、下载图片及进行录像</w:t>
            </w:r>
            <w:r>
              <w:rPr>
                <w:rFonts w:hint="eastAsia" w:ascii="宋体" w:hAnsi="宋体" w:cs="宋体"/>
                <w:kern w:val="0"/>
                <w:sz w:val="20"/>
                <w:szCs w:val="20"/>
              </w:rPr>
              <w:br w:type="textWrapping"/>
            </w:r>
            <w:r>
              <w:rPr>
                <w:rFonts w:hint="eastAsia" w:ascii="宋体" w:hAnsi="宋体" w:cs="宋体"/>
                <w:kern w:val="0"/>
                <w:sz w:val="20"/>
                <w:szCs w:val="20"/>
              </w:rPr>
              <w:t>网络中断后重新恢复，设备可续存断网期间存储在前端设备中的录像文件，并可通过IE浏览器设置自动回传和手动回传。支持256路4M的录像回传</w:t>
            </w:r>
            <w:r>
              <w:rPr>
                <w:rFonts w:hint="eastAsia" w:ascii="宋体" w:hAnsi="宋体" w:cs="宋体"/>
                <w:kern w:val="0"/>
                <w:sz w:val="20"/>
                <w:szCs w:val="20"/>
              </w:rPr>
              <w:br w:type="textWrapping"/>
            </w:r>
            <w:r>
              <w:rPr>
                <w:rFonts w:hint="eastAsia" w:ascii="宋体" w:hAnsi="宋体" w:cs="宋体"/>
                <w:kern w:val="0"/>
                <w:sz w:val="20"/>
                <w:szCs w:val="20"/>
              </w:rPr>
              <w:t>当录像视频流发生丢失5s以上可在日志中记录报警信息。</w:t>
            </w:r>
            <w:r>
              <w:rPr>
                <w:rFonts w:hint="eastAsia" w:ascii="宋体" w:hAnsi="宋体" w:cs="宋体"/>
                <w:kern w:val="0"/>
                <w:sz w:val="20"/>
                <w:szCs w:val="20"/>
              </w:rPr>
              <w:br w:type="textWrapping"/>
            </w:r>
            <w:r>
              <w:rPr>
                <w:rFonts w:hint="eastAsia" w:ascii="宋体" w:hAnsi="宋体" w:cs="宋体"/>
                <w:kern w:val="0"/>
                <w:sz w:val="20"/>
                <w:szCs w:val="20"/>
              </w:rPr>
              <w:t>可对指定的录像段或指定事件的1个或多个前端的不同时间段的录像段添加标签，并自动备份到存档卷中，使之不会被覆盖删除。</w:t>
            </w:r>
            <w:r>
              <w:rPr>
                <w:rFonts w:hint="eastAsia" w:ascii="宋体" w:hAnsi="宋体" w:cs="宋体"/>
                <w:kern w:val="0"/>
                <w:sz w:val="20"/>
                <w:szCs w:val="20"/>
              </w:rPr>
              <w:br w:type="textWrapping"/>
            </w:r>
            <w:r>
              <w:rPr>
                <w:rFonts w:hint="eastAsia" w:ascii="宋体" w:hAnsi="宋体" w:cs="宋体"/>
                <w:kern w:val="0"/>
                <w:sz w:val="20"/>
                <w:szCs w:val="20"/>
              </w:rPr>
              <w:t>设备可同时支持视频、图片、智能流和文件直写存储。</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3</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269</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地面抹平</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二遍成活</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38.3</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地面工程</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270</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地面防尘漆（含墙板下侧墙）</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二遍成活</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38.3</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地面工程</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天地之星、立邦、多乐士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271</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空调防水槽</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定制</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项</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地面工程</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272</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地面保温处理</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30mm</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38.3</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地面工程</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273</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保温棉铝贴面</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2mm</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38.3</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地面工程</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274</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防静电全钢活动地板</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600*600*35mm，无边</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38.3</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地面工程</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华一、沈飞、红日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275</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防静电地板紧固件</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定制</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38.3</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地面工程</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华一、沈飞、红日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276</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墙面贴脚线</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定制</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38.3</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米</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地面工程</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277</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台阶</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定制</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3</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项</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地面工程</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278</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接地专用紫铜排</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40*4</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30</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米</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防雷接地</w:t>
            </w:r>
          </w:p>
        </w:tc>
        <w:tc>
          <w:tcPr>
            <w:tcW w:w="1414" w:type="dxa"/>
            <w:noWrap w:val="0"/>
            <w:vAlign w:val="center"/>
          </w:tcPr>
          <w:p>
            <w:pPr>
              <w:widowControl/>
              <w:snapToGrid w:val="0"/>
              <w:jc w:val="center"/>
              <w:rPr>
                <w:rFonts w:ascii="宋体" w:hAnsi="宋体" w:cs="宋体"/>
                <w:kern w:val="0"/>
                <w:sz w:val="20"/>
                <w:szCs w:val="20"/>
              </w:rPr>
            </w:pPr>
            <w:r>
              <w:rPr>
                <w:rFonts w:hint="eastAsia"/>
                <w:sz w:val="20"/>
                <w:szCs w:val="20"/>
              </w:rPr>
              <w:t>国产</w:t>
            </w:r>
            <w:r>
              <w:rPr>
                <w:rFonts w:hint="eastAsia" w:ascii="宋体" w:hAnsi="宋体" w:cs="宋体"/>
                <w:kern w:val="0"/>
                <w:sz w:val="20"/>
                <w:szCs w:val="20"/>
              </w:rPr>
              <w:t>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279</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接地专用紫铜带</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50*0.5</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200</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米</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防雷接地</w:t>
            </w:r>
          </w:p>
        </w:tc>
        <w:tc>
          <w:tcPr>
            <w:tcW w:w="1414" w:type="dxa"/>
            <w:noWrap w:val="0"/>
            <w:vAlign w:val="center"/>
          </w:tcPr>
          <w:p>
            <w:pPr>
              <w:widowControl/>
              <w:snapToGrid w:val="0"/>
              <w:jc w:val="center"/>
              <w:rPr>
                <w:rFonts w:ascii="宋体" w:hAnsi="宋体" w:cs="宋体"/>
                <w:kern w:val="0"/>
                <w:sz w:val="20"/>
                <w:szCs w:val="20"/>
              </w:rPr>
            </w:pPr>
            <w:r>
              <w:rPr>
                <w:rFonts w:hint="eastAsia"/>
                <w:sz w:val="20"/>
                <w:szCs w:val="20"/>
              </w:rPr>
              <w:t>国产</w:t>
            </w:r>
            <w:r>
              <w:rPr>
                <w:rFonts w:hint="eastAsia" w:ascii="宋体" w:hAnsi="宋体" w:cs="宋体"/>
                <w:kern w:val="0"/>
                <w:sz w:val="20"/>
                <w:szCs w:val="20"/>
              </w:rPr>
              <w:t>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280</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接地专用主导线</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50㎡</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70</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米</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防雷接地</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281</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接地专用分导线</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10㎡</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70</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米</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防雷接地</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282</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绝缘支柱</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绝缘支柱</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70</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防雷接地</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283</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等电位箱体制作及连接</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等电位箱体制作及连接</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防雷接地</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284</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防雷防浪涌保护器</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LT-100/4P(NB)</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防雷接地</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285</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防雷防浪涌保护器</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LT-80/4P(NB)</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防雷接地</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286</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防雷防浪涌保护器</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LT-40/4P(NB)</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防雷接地</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287</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辅材</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含插头、螺钉、电源插座等</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项</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防雷接地</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288</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UPS主机</w:t>
            </w:r>
          </w:p>
        </w:tc>
        <w:tc>
          <w:tcPr>
            <w:tcW w:w="8222" w:type="dxa"/>
            <w:noWrap w:val="0"/>
            <w:vAlign w:val="center"/>
          </w:tcPr>
          <w:p>
            <w:pPr>
              <w:widowControl/>
              <w:snapToGrid w:val="0"/>
              <w:jc w:val="left"/>
              <w:rPr>
                <w:rFonts w:ascii="宋体" w:hAnsi="宋体" w:cs="宋体"/>
                <w:b/>
                <w:bCs/>
                <w:kern w:val="0"/>
                <w:sz w:val="20"/>
                <w:szCs w:val="20"/>
              </w:rPr>
            </w:pPr>
            <w:r>
              <w:rPr>
                <w:rFonts w:hint="eastAsia" w:ascii="宋体" w:hAnsi="宋体" w:cs="宋体"/>
                <w:b/>
                <w:bCs/>
                <w:kern w:val="0"/>
                <w:sz w:val="20"/>
                <w:szCs w:val="20"/>
              </w:rPr>
              <w:t>1、UPS主机基本要求为：塔式UPS，功率为30kVA，三进三出,输出电压3</w:t>
            </w:r>
            <w:r>
              <w:rPr>
                <w:rFonts w:ascii="宋体" w:hAnsi="宋体" w:cs="宋体"/>
                <w:b/>
                <w:bCs/>
                <w:kern w:val="0"/>
                <w:sz w:val="20"/>
                <w:szCs w:val="20"/>
              </w:rPr>
              <w:t>80</w:t>
            </w:r>
            <w:r>
              <w:rPr>
                <w:rFonts w:hint="eastAsia" w:ascii="宋体" w:hAnsi="宋体" w:cs="宋体"/>
                <w:b/>
                <w:bCs/>
                <w:kern w:val="0"/>
                <w:sz w:val="20"/>
                <w:szCs w:val="20"/>
              </w:rPr>
              <w:t>V，全正面维护，投标方需提供生产厂家盖章的设备样本证明材料。</w:t>
            </w:r>
          </w:p>
          <w:p>
            <w:pPr>
              <w:widowControl/>
              <w:snapToGrid w:val="0"/>
              <w:jc w:val="left"/>
              <w:rPr>
                <w:rFonts w:ascii="宋体" w:hAnsi="宋体" w:cs="宋体"/>
                <w:kern w:val="0"/>
                <w:sz w:val="20"/>
                <w:szCs w:val="20"/>
              </w:rPr>
            </w:pPr>
            <w:r>
              <w:rPr>
                <w:rFonts w:hint="eastAsia" w:ascii="宋体" w:hAnsi="宋体" w:cs="宋体"/>
                <w:kern w:val="0"/>
                <w:sz w:val="20"/>
                <w:szCs w:val="20"/>
              </w:rPr>
              <w:t>2、为了满足现场设备维护要求，UPS主机必须标配维护旁路开关，同时，为了配电安全，不得选用隔离开关，必须采用断路器，投标方需提供所投产品生产厂家盖章的实物照片证明。</w:t>
            </w:r>
          </w:p>
          <w:p>
            <w:pPr>
              <w:widowControl/>
              <w:snapToGrid w:val="0"/>
              <w:jc w:val="left"/>
              <w:rPr>
                <w:rFonts w:ascii="宋体" w:hAnsi="宋体" w:cs="宋体"/>
                <w:kern w:val="0"/>
                <w:sz w:val="20"/>
                <w:szCs w:val="20"/>
              </w:rPr>
            </w:pPr>
            <w:r>
              <w:rPr>
                <w:rFonts w:hint="eastAsia" w:ascii="宋体" w:hAnsi="宋体" w:cs="宋体"/>
                <w:kern w:val="0"/>
                <w:sz w:val="20"/>
                <w:szCs w:val="20"/>
              </w:rPr>
              <w:t>3、为了现场搬运方便，UPS底部必须具备万向轮，方便移动搬运，实现快速就位。</w:t>
            </w:r>
          </w:p>
          <w:p>
            <w:pPr>
              <w:widowControl/>
              <w:snapToGrid w:val="0"/>
              <w:jc w:val="left"/>
              <w:rPr>
                <w:rFonts w:ascii="宋体" w:hAnsi="宋体" w:cs="宋体"/>
                <w:kern w:val="0"/>
                <w:sz w:val="20"/>
                <w:szCs w:val="20"/>
              </w:rPr>
            </w:pPr>
            <w:r>
              <w:rPr>
                <w:rFonts w:hint="eastAsia" w:ascii="宋体" w:hAnsi="宋体" w:cs="宋体"/>
                <w:kern w:val="0"/>
                <w:sz w:val="20"/>
                <w:szCs w:val="20"/>
              </w:rPr>
              <w:t>4、通过并机线即可实现UPS并联，具备并机冗余和并机扩容两种模式，应用更加灵活；数字并机均流、采用全数字均流技术，抗干扰能力强，可靠性更高。</w:t>
            </w:r>
          </w:p>
          <w:p>
            <w:pPr>
              <w:widowControl/>
              <w:snapToGrid w:val="0"/>
              <w:jc w:val="left"/>
              <w:rPr>
                <w:rFonts w:ascii="宋体" w:hAnsi="宋体" w:cs="宋体"/>
                <w:kern w:val="0"/>
                <w:sz w:val="20"/>
                <w:szCs w:val="20"/>
              </w:rPr>
            </w:pPr>
            <w:r>
              <w:rPr>
                <w:rFonts w:hint="eastAsia" w:ascii="宋体" w:hAnsi="宋体" w:cs="宋体"/>
                <w:kern w:val="0"/>
                <w:sz w:val="20"/>
                <w:szCs w:val="20"/>
              </w:rPr>
              <w:t>5、输入电压范围：单相输入电压80V～280V ，输入电压宽，适应恶劣电网环境。</w:t>
            </w:r>
          </w:p>
          <w:p>
            <w:pPr>
              <w:widowControl/>
              <w:snapToGrid w:val="0"/>
              <w:jc w:val="left"/>
              <w:rPr>
                <w:rFonts w:ascii="宋体" w:hAnsi="宋体" w:cs="宋体"/>
                <w:kern w:val="0"/>
                <w:sz w:val="20"/>
                <w:szCs w:val="20"/>
              </w:rPr>
            </w:pPr>
            <w:r>
              <w:rPr>
                <w:rFonts w:hint="eastAsia" w:ascii="宋体" w:hAnsi="宋体" w:cs="宋体"/>
                <w:kern w:val="0"/>
                <w:sz w:val="20"/>
                <w:szCs w:val="20"/>
              </w:rPr>
              <w:t>6、UPS应具备智能发电机管理功能：当前端市电停电，可由UPS发送指令启动发电机。</w:t>
            </w:r>
          </w:p>
          <w:p>
            <w:pPr>
              <w:widowControl/>
              <w:snapToGrid w:val="0"/>
              <w:jc w:val="left"/>
              <w:rPr>
                <w:rFonts w:ascii="宋体" w:hAnsi="宋体" w:cs="宋体"/>
                <w:kern w:val="0"/>
                <w:sz w:val="20"/>
                <w:szCs w:val="20"/>
              </w:rPr>
            </w:pPr>
            <w:r>
              <w:rPr>
                <w:rFonts w:hint="eastAsia" w:ascii="宋体" w:hAnsi="宋体" w:cs="宋体"/>
                <w:kern w:val="0"/>
                <w:sz w:val="20"/>
                <w:szCs w:val="20"/>
              </w:rPr>
              <w:t>7、绿色环保，输入功率因数&gt;0.99，输入谐波电流：&lt;3%。</w:t>
            </w:r>
          </w:p>
          <w:p>
            <w:pPr>
              <w:widowControl/>
              <w:snapToGrid w:val="0"/>
              <w:jc w:val="left"/>
              <w:rPr>
                <w:rFonts w:ascii="宋体" w:hAnsi="宋体" w:cs="宋体"/>
                <w:kern w:val="0"/>
                <w:sz w:val="20"/>
                <w:szCs w:val="20"/>
              </w:rPr>
            </w:pPr>
            <w:r>
              <w:rPr>
                <w:rFonts w:hint="eastAsia" w:ascii="宋体" w:hAnsi="宋体" w:cs="宋体"/>
                <w:kern w:val="0"/>
                <w:sz w:val="20"/>
                <w:szCs w:val="20"/>
              </w:rPr>
              <w:t>8、电池电压：±15～±20节可调，直流电压±180～±240V 、电池可调范围大，现场配置灵活。</w:t>
            </w:r>
          </w:p>
          <w:p>
            <w:pPr>
              <w:widowControl/>
              <w:snapToGrid w:val="0"/>
              <w:jc w:val="left"/>
              <w:rPr>
                <w:rFonts w:ascii="宋体" w:hAnsi="宋体" w:cs="宋体"/>
                <w:kern w:val="0"/>
                <w:sz w:val="20"/>
                <w:szCs w:val="20"/>
              </w:rPr>
            </w:pPr>
            <w:r>
              <w:rPr>
                <w:rFonts w:hint="eastAsia" w:ascii="宋体" w:hAnsi="宋体" w:cs="宋体"/>
                <w:kern w:val="0"/>
                <w:sz w:val="20"/>
                <w:szCs w:val="20"/>
              </w:rPr>
              <w:t>9、整机效率：满载＞96%，半载＞96%。</w:t>
            </w:r>
          </w:p>
          <w:p>
            <w:pPr>
              <w:widowControl/>
              <w:snapToGrid w:val="0"/>
              <w:jc w:val="left"/>
              <w:rPr>
                <w:rFonts w:ascii="宋体" w:hAnsi="宋体" w:cs="宋体"/>
                <w:kern w:val="0"/>
                <w:sz w:val="20"/>
                <w:szCs w:val="20"/>
              </w:rPr>
            </w:pPr>
            <w:r>
              <w:rPr>
                <w:rFonts w:hint="eastAsia" w:ascii="宋体" w:hAnsi="宋体" w:cs="宋体"/>
                <w:kern w:val="0"/>
                <w:sz w:val="20"/>
                <w:szCs w:val="20"/>
              </w:rPr>
              <w:t>10、带载能力强：输出PF=1，输出端可带更多负载。</w:t>
            </w:r>
          </w:p>
          <w:p>
            <w:pPr>
              <w:widowControl/>
              <w:snapToGrid w:val="0"/>
              <w:jc w:val="left"/>
              <w:rPr>
                <w:rFonts w:ascii="宋体" w:hAnsi="宋体" w:cs="宋体"/>
                <w:kern w:val="0"/>
                <w:sz w:val="20"/>
                <w:szCs w:val="20"/>
              </w:rPr>
            </w:pPr>
            <w:r>
              <w:rPr>
                <w:rFonts w:hint="eastAsia" w:ascii="宋体" w:hAnsi="宋体" w:cs="宋体"/>
                <w:kern w:val="0"/>
                <w:sz w:val="20"/>
                <w:szCs w:val="20"/>
              </w:rPr>
              <w:t>11、输出同步： 支持输出母线同步功能、具备输出双母线功能，现场应用灵活。</w:t>
            </w:r>
          </w:p>
          <w:p>
            <w:pPr>
              <w:widowControl/>
              <w:snapToGrid w:val="0"/>
              <w:jc w:val="left"/>
              <w:rPr>
                <w:rFonts w:ascii="宋体" w:hAnsi="宋体" w:cs="宋体"/>
                <w:kern w:val="0"/>
                <w:sz w:val="20"/>
                <w:szCs w:val="20"/>
              </w:rPr>
            </w:pPr>
            <w:r>
              <w:rPr>
                <w:rFonts w:hint="eastAsia" w:ascii="宋体" w:hAnsi="宋体" w:cs="宋体"/>
                <w:kern w:val="0"/>
                <w:sz w:val="20"/>
                <w:szCs w:val="20"/>
              </w:rPr>
              <w:t>12、输出THDV：≤3%（线性负载）。</w:t>
            </w:r>
          </w:p>
          <w:p>
            <w:pPr>
              <w:widowControl/>
              <w:snapToGrid w:val="0"/>
              <w:jc w:val="left"/>
              <w:rPr>
                <w:rFonts w:ascii="宋体" w:hAnsi="宋体" w:cs="宋体"/>
                <w:kern w:val="0"/>
                <w:sz w:val="20"/>
                <w:szCs w:val="20"/>
              </w:rPr>
            </w:pPr>
            <w:r>
              <w:rPr>
                <w:rFonts w:hint="eastAsia" w:ascii="宋体" w:hAnsi="宋体" w:cs="宋体"/>
                <w:kern w:val="0"/>
                <w:sz w:val="20"/>
                <w:szCs w:val="20"/>
              </w:rPr>
              <w:t>13、UPS具备自动除尘功能，当设备运行周期较长或设备积尘过多时，UPS启动自动在线除尘功能，无需停机维护，防范未然，提高供电可靠性。。</w:t>
            </w:r>
          </w:p>
          <w:p>
            <w:pPr>
              <w:widowControl/>
              <w:snapToGrid w:val="0"/>
              <w:jc w:val="left"/>
              <w:rPr>
                <w:rFonts w:ascii="宋体" w:hAnsi="宋体" w:cs="宋体"/>
                <w:kern w:val="0"/>
                <w:sz w:val="20"/>
                <w:szCs w:val="20"/>
              </w:rPr>
            </w:pPr>
            <w:r>
              <w:rPr>
                <w:rFonts w:hint="eastAsia" w:ascii="宋体" w:hAnsi="宋体" w:cs="宋体"/>
                <w:kern w:val="0"/>
                <w:sz w:val="20"/>
                <w:szCs w:val="20"/>
              </w:rPr>
              <w:t>14、中文触摸液晶屏，具有触控LCD+LED指示的操作界面，实时记录工作状态和运行信息，管理更加直观；操作界面要求配备手动开关机按钮，确保在触摸屏失效时依然可以开关机操作。</w:t>
            </w:r>
          </w:p>
          <w:p>
            <w:pPr>
              <w:widowControl/>
              <w:snapToGrid w:val="0"/>
              <w:jc w:val="left"/>
              <w:rPr>
                <w:rFonts w:ascii="宋体" w:hAnsi="宋体" w:cs="宋体"/>
                <w:kern w:val="0"/>
                <w:sz w:val="20"/>
                <w:szCs w:val="20"/>
              </w:rPr>
            </w:pPr>
            <w:r>
              <w:rPr>
                <w:rFonts w:hint="eastAsia" w:ascii="宋体" w:hAnsi="宋体" w:cs="宋体"/>
                <w:kern w:val="0"/>
                <w:sz w:val="20"/>
                <w:szCs w:val="20"/>
              </w:rPr>
              <w:t>15、为满足现场运维要求，实现快速运维与现场记录，UPS主机应具备智能录波功能与示波功能，并在UPS面板上显示，可通过四通道示波界面显示故障前后的电力波形。</w:t>
            </w:r>
          </w:p>
          <w:p>
            <w:pPr>
              <w:widowControl/>
              <w:snapToGrid w:val="0"/>
              <w:jc w:val="left"/>
              <w:rPr>
                <w:rFonts w:ascii="宋体" w:hAnsi="宋体" w:cs="宋体"/>
                <w:kern w:val="0"/>
                <w:sz w:val="20"/>
                <w:szCs w:val="20"/>
              </w:rPr>
            </w:pPr>
            <w:r>
              <w:rPr>
                <w:rFonts w:hint="eastAsia" w:ascii="宋体" w:hAnsi="宋体" w:cs="宋体"/>
                <w:kern w:val="0"/>
                <w:sz w:val="20"/>
                <w:szCs w:val="20"/>
              </w:rPr>
              <w:t>16、主机近端标配EPO按钮，同时具备远程干接点接口，灵活使用，确保现场紧急状况下能够快速断电，保护设备安全。</w:t>
            </w:r>
          </w:p>
          <w:p>
            <w:pPr>
              <w:widowControl/>
              <w:snapToGrid w:val="0"/>
              <w:jc w:val="left"/>
              <w:rPr>
                <w:rFonts w:ascii="宋体" w:hAnsi="宋体" w:cs="宋体"/>
                <w:kern w:val="0"/>
                <w:sz w:val="20"/>
                <w:szCs w:val="20"/>
              </w:rPr>
            </w:pPr>
            <w:r>
              <w:rPr>
                <w:rFonts w:hint="eastAsia" w:ascii="宋体" w:hAnsi="宋体" w:cs="宋体"/>
                <w:kern w:val="0"/>
                <w:sz w:val="20"/>
                <w:szCs w:val="20"/>
              </w:rPr>
              <w:t>17、自老化功能：具备自老化功能，有效解决现场调试及老化的负载问题，减少投资。</w:t>
            </w:r>
          </w:p>
          <w:p>
            <w:pPr>
              <w:widowControl/>
              <w:snapToGrid w:val="0"/>
              <w:jc w:val="left"/>
              <w:rPr>
                <w:rFonts w:ascii="宋体" w:hAnsi="宋体" w:cs="宋体"/>
                <w:kern w:val="0"/>
                <w:sz w:val="20"/>
                <w:szCs w:val="20"/>
              </w:rPr>
            </w:pPr>
            <w:r>
              <w:rPr>
                <w:rFonts w:hint="eastAsia" w:ascii="宋体" w:hAnsi="宋体" w:cs="宋体"/>
                <w:kern w:val="0"/>
                <w:sz w:val="20"/>
                <w:szCs w:val="20"/>
              </w:rPr>
              <w:t>18、变频器功能 ：具备变频功能，在50Hz（或60Hz）电网里获得60Hz（或50Hz）的输出；</w:t>
            </w:r>
          </w:p>
          <w:p>
            <w:pPr>
              <w:widowControl/>
              <w:snapToGrid w:val="0"/>
              <w:jc w:val="left"/>
              <w:rPr>
                <w:rFonts w:ascii="宋体" w:hAnsi="宋体" w:cs="宋体"/>
                <w:kern w:val="0"/>
                <w:sz w:val="20"/>
                <w:szCs w:val="20"/>
              </w:rPr>
            </w:pPr>
            <w:r>
              <w:rPr>
                <w:rFonts w:hint="eastAsia" w:ascii="宋体" w:hAnsi="宋体" w:cs="宋体"/>
                <w:kern w:val="0"/>
                <w:sz w:val="20"/>
                <w:szCs w:val="20"/>
              </w:rPr>
              <w:t>19、电池智能管理：电池管理功能丰富，既方便电池日常维护，也可延长电池使用寿命。</w:t>
            </w:r>
          </w:p>
          <w:p>
            <w:pPr>
              <w:widowControl/>
              <w:snapToGrid w:val="0"/>
              <w:jc w:val="left"/>
              <w:rPr>
                <w:rFonts w:ascii="宋体" w:hAnsi="宋体" w:cs="宋体"/>
                <w:kern w:val="0"/>
                <w:sz w:val="20"/>
                <w:szCs w:val="20"/>
              </w:rPr>
            </w:pPr>
            <w:r>
              <w:rPr>
                <w:rFonts w:hint="eastAsia" w:ascii="宋体" w:hAnsi="宋体" w:cs="宋体"/>
                <w:kern w:val="0"/>
                <w:sz w:val="20"/>
                <w:szCs w:val="20"/>
              </w:rPr>
              <w:t>20、蓄电池品牌需与主机为同一品牌，方便设备统一管理和用户维护</w:t>
            </w:r>
          </w:p>
          <w:p>
            <w:pPr>
              <w:widowControl/>
              <w:snapToGrid w:val="0"/>
              <w:jc w:val="left"/>
              <w:rPr>
                <w:rFonts w:ascii="宋体" w:hAnsi="宋体" w:cs="宋体"/>
                <w:kern w:val="0"/>
                <w:sz w:val="20"/>
                <w:szCs w:val="20"/>
              </w:rPr>
            </w:pPr>
            <w:r>
              <w:rPr>
                <w:rFonts w:hint="eastAsia" w:ascii="宋体" w:hAnsi="宋体" w:cs="宋体"/>
                <w:kern w:val="0"/>
                <w:sz w:val="20"/>
                <w:szCs w:val="20"/>
              </w:rPr>
              <w:t>21、为了保证电池故障开关能够及时断开，电池开关箱内电池开关必须采用断路器，该指标需要现场确认。</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UPS电源系统</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科华、山特、台达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289</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蓄电池</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1.蓄电池采用12V-100AH免维护蓄电池， 2.蓄电池应采用镶嵌式内螺纹铜芯端子，确保无金属铅或铅合金外露。3.蓄电池槽、盖应采用高强度ABS材料制造，并具有阻燃性，正常工作条件下不出现鼓胀或收缩变形。 4.重量：≥28KG。与主机同一品牌</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64</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节</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UPS电源系统</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科华、山特、台达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290</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开放式电池箱</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32节/柜，尺寸按现场定制</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UPS电源系统</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291</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直流控制开关</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电池开关柜，尺寸：500×300×600 DC160A开关。</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UPS电源系统</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292</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并机套件</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配套</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UPS电源系统</w:t>
            </w:r>
          </w:p>
        </w:tc>
        <w:tc>
          <w:tcPr>
            <w:tcW w:w="1414" w:type="dxa"/>
            <w:noWrap w:val="0"/>
            <w:vAlign w:val="center"/>
          </w:tcPr>
          <w:p>
            <w:pPr>
              <w:widowControl/>
              <w:snapToGrid w:val="0"/>
              <w:jc w:val="center"/>
              <w:rPr>
                <w:rFonts w:ascii="宋体" w:hAnsi="宋体" w:cs="宋体"/>
                <w:kern w:val="0"/>
                <w:sz w:val="20"/>
                <w:szCs w:val="20"/>
              </w:rPr>
            </w:pPr>
            <w:r>
              <w:rPr>
                <w:rFonts w:hint="eastAsia"/>
                <w:sz w:val="20"/>
                <w:szCs w:val="20"/>
              </w:rPr>
              <w:t>国产</w:t>
            </w:r>
            <w:r>
              <w:rPr>
                <w:rFonts w:hint="eastAsia" w:ascii="宋体" w:hAnsi="宋体" w:cs="宋体"/>
                <w:kern w:val="0"/>
                <w:sz w:val="20"/>
                <w:szCs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293</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控制箱</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定制，内含断路器</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UPS电源系统</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294</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机房动环</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定制</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套</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国产定制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295</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柜式空调</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5P</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空调系统</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格力、美的、三菱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296</w:t>
            </w:r>
          </w:p>
        </w:tc>
        <w:tc>
          <w:tcPr>
            <w:tcW w:w="425" w:type="dxa"/>
            <w:vMerge w:val="continue"/>
            <w:noWrap w:val="0"/>
            <w:vAlign w:val="center"/>
          </w:tcPr>
          <w:p>
            <w:pPr>
              <w:widowControl/>
              <w:snapToGrid w:val="0"/>
              <w:jc w:val="left"/>
              <w:rPr>
                <w:rFonts w:ascii="宋体" w:hAnsi="宋体" w:cs="宋体"/>
                <w:kern w:val="0"/>
                <w:sz w:val="20"/>
                <w:szCs w:val="20"/>
              </w:rPr>
            </w:pPr>
          </w:p>
        </w:tc>
        <w:tc>
          <w:tcPr>
            <w:tcW w:w="417" w:type="dxa"/>
            <w:vMerge w:val="continue"/>
            <w:noWrap w:val="0"/>
            <w:vAlign w:val="center"/>
          </w:tcPr>
          <w:p>
            <w:pPr>
              <w:widowControl/>
              <w:snapToGrid w:val="0"/>
              <w:jc w:val="left"/>
              <w:rPr>
                <w:rFonts w:ascii="宋体" w:hAnsi="宋体" w:cs="宋体"/>
                <w:kern w:val="0"/>
                <w:sz w:val="20"/>
                <w:szCs w:val="20"/>
              </w:rPr>
            </w:pPr>
          </w:p>
        </w:tc>
        <w:tc>
          <w:tcPr>
            <w:tcW w:w="1241"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消防灭火器</w:t>
            </w:r>
          </w:p>
        </w:tc>
        <w:tc>
          <w:tcPr>
            <w:tcW w:w="8222" w:type="dxa"/>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手提式七氟丙烷，2KG</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台</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浙安、嘉小鸭、洪湖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8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97</w:t>
            </w:r>
          </w:p>
        </w:tc>
        <w:tc>
          <w:tcPr>
            <w:tcW w:w="842" w:type="dxa"/>
            <w:gridSpan w:val="2"/>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施工费</w:t>
            </w:r>
          </w:p>
        </w:tc>
        <w:tc>
          <w:tcPr>
            <w:tcW w:w="9463" w:type="dxa"/>
            <w:gridSpan w:val="2"/>
            <w:noWrap w:val="0"/>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包含调试、脚手架搭拆、开孔、封堵（含消防）等满足</w:t>
            </w:r>
            <w:r>
              <w:rPr>
                <w:rFonts w:hint="eastAsia" w:ascii="宋体" w:hAnsi="宋体" w:cs="宋体"/>
                <w:kern w:val="0"/>
                <w:sz w:val="20"/>
                <w:szCs w:val="20"/>
                <w:lang w:val="en-US" w:eastAsia="zh-CN"/>
              </w:rPr>
              <w:t>系统正常运行</w:t>
            </w:r>
            <w:r>
              <w:rPr>
                <w:rFonts w:hint="eastAsia" w:ascii="宋体" w:hAnsi="宋体" w:cs="宋体"/>
                <w:kern w:val="0"/>
                <w:sz w:val="20"/>
                <w:szCs w:val="20"/>
              </w:rPr>
              <w:t>完成的一切费用</w:t>
            </w:r>
          </w:p>
        </w:tc>
        <w:tc>
          <w:tcPr>
            <w:tcW w:w="724"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472"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项</w:t>
            </w:r>
          </w:p>
        </w:tc>
        <w:tc>
          <w:tcPr>
            <w:tcW w:w="675" w:type="dxa"/>
            <w:noWrap w:val="0"/>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414" w:type="dxa"/>
            <w:noWrap w:val="0"/>
            <w:vAlign w:val="center"/>
          </w:tcPr>
          <w:p>
            <w:pPr>
              <w:widowControl/>
              <w:snapToGrid w:val="0"/>
              <w:jc w:val="center"/>
              <w:rPr>
                <w:rFonts w:ascii="宋体" w:hAnsi="宋体" w:cs="宋体"/>
                <w:kern w:val="0"/>
                <w:sz w:val="20"/>
                <w:szCs w:val="20"/>
              </w:rPr>
            </w:pPr>
          </w:p>
        </w:tc>
      </w:tr>
    </w:tbl>
    <w:p>
      <w:pPr>
        <w:pStyle w:val="4"/>
        <w:keepLines w:val="0"/>
        <w:adjustRightInd w:val="0"/>
        <w:snapToGrid w:val="0"/>
        <w:spacing w:before="0" w:after="0" w:line="440" w:lineRule="exact"/>
        <w:jc w:val="both"/>
        <w:rPr>
          <w:rFonts w:hint="eastAsia" w:ascii="宋体" w:hAnsi="宋体" w:eastAsia="宋体" w:cs="宋体"/>
          <w:kern w:val="2"/>
          <w:sz w:val="21"/>
          <w:szCs w:val="24"/>
        </w:rPr>
      </w:pPr>
      <w:r>
        <w:rPr>
          <w:rFonts w:hint="eastAsia" w:ascii="宋体" w:hAnsi="宋体" w:eastAsia="宋体" w:cs="宋体"/>
          <w:kern w:val="2"/>
          <w:sz w:val="21"/>
          <w:szCs w:val="24"/>
        </w:rPr>
        <w:t>注：1、本采购项目的核心产品为：数据交换系统。</w:t>
      </w:r>
    </w:p>
    <w:p>
      <w:pPr>
        <w:pStyle w:val="4"/>
        <w:keepLines w:val="0"/>
        <w:adjustRightInd w:val="0"/>
        <w:snapToGrid w:val="0"/>
        <w:spacing w:before="0" w:after="0" w:line="440" w:lineRule="exact"/>
        <w:jc w:val="both"/>
        <w:rPr>
          <w:rFonts w:hint="eastAsia" w:ascii="宋体" w:hAnsi="宋体" w:eastAsia="宋体" w:cs="宋体"/>
          <w:b w:val="0"/>
          <w:bCs w:val="0"/>
          <w:kern w:val="2"/>
          <w:sz w:val="21"/>
          <w:szCs w:val="24"/>
        </w:rPr>
      </w:pPr>
      <w:r>
        <w:rPr>
          <w:rFonts w:hint="eastAsia" w:ascii="宋体" w:hAnsi="宋体" w:eastAsia="宋体" w:cs="宋体"/>
          <w:b w:val="0"/>
          <w:bCs w:val="0"/>
          <w:kern w:val="2"/>
          <w:sz w:val="21"/>
          <w:szCs w:val="24"/>
        </w:rPr>
        <w:t>2、除招标文件推荐的品牌外，欢迎其他能满足本项目技术</w:t>
      </w:r>
      <w:bookmarkStart w:id="8" w:name="_Hlk78367345"/>
      <w:r>
        <w:rPr>
          <w:rFonts w:hint="eastAsia" w:ascii="宋体" w:hAnsi="宋体" w:eastAsia="宋体" w:cs="宋体"/>
          <w:b w:val="0"/>
          <w:bCs w:val="0"/>
          <w:kern w:val="2"/>
          <w:sz w:val="21"/>
          <w:szCs w:val="24"/>
        </w:rPr>
        <w:t>需求</w:t>
      </w:r>
      <w:bookmarkEnd w:id="8"/>
      <w:r>
        <w:rPr>
          <w:rFonts w:hint="eastAsia" w:ascii="宋体" w:hAnsi="宋体" w:eastAsia="宋体" w:cs="宋体"/>
          <w:b w:val="0"/>
          <w:bCs w:val="0"/>
          <w:kern w:val="2"/>
          <w:sz w:val="21"/>
          <w:szCs w:val="24"/>
        </w:rPr>
        <w:t>且性能与所推荐品牌相当或更优的产品参加投标。上述技术需求如出现某类品牌型号特有的技术指标或性能，则供投标人参考,不作为实质性响应条款。招标文件提供的图片为参考式样和颜色，投标人请提供所投产品的图片。</w:t>
      </w:r>
    </w:p>
    <w:p>
      <w:pPr>
        <w:adjustRightInd w:val="0"/>
        <w:snapToGrid w:val="0"/>
        <w:spacing w:line="440" w:lineRule="exact"/>
        <w:rPr>
          <w:rFonts w:hint="eastAsia" w:ascii="宋体" w:hAnsi="宋体" w:cs="宋体"/>
        </w:rPr>
        <w:sectPr>
          <w:pgSz w:w="16838" w:h="11906" w:orient="landscape"/>
          <w:pgMar w:top="1800" w:right="1440" w:bottom="1800" w:left="1440" w:header="851" w:footer="992" w:gutter="0"/>
          <w:cols w:space="720" w:num="1"/>
          <w:rtlGutter w:val="1"/>
          <w:docGrid w:type="lines" w:linePitch="326" w:charSpace="0"/>
        </w:sectPr>
      </w:pPr>
      <w:r>
        <w:rPr>
          <w:rFonts w:hint="eastAsia" w:ascii="宋体" w:hAnsi="宋体" w:cs="宋体"/>
        </w:rPr>
        <w:t>3、▲投标总报价按照招标文件提供的工程量清单数量报价，不得减少。</w:t>
      </w:r>
    </w:p>
    <w:p>
      <w:pPr>
        <w:pStyle w:val="4"/>
        <w:snapToGrid w:val="0"/>
        <w:spacing w:before="0" w:after="0" w:line="440" w:lineRule="exact"/>
      </w:pPr>
      <w:r>
        <w:rPr>
          <w:rFonts w:hint="eastAsia" w:ascii="宋体" w:hAnsi="宋体" w:eastAsia="宋体" w:cs="宋体"/>
          <w:sz w:val="24"/>
          <w:szCs w:val="24"/>
        </w:rPr>
        <w:t>线路、云计算及云安全</w:t>
      </w:r>
    </w:p>
    <w:p>
      <w:pPr>
        <w:snapToGrid w:val="0"/>
        <w:spacing w:line="440" w:lineRule="exact"/>
        <w:ind w:firstLine="480"/>
      </w:pPr>
      <w:r>
        <w:rPr>
          <w:rFonts w:hint="eastAsia"/>
          <w:szCs w:val="21"/>
        </w:rPr>
        <w:t>本次项目作为政府未来社区创建需要，因此涉及的服务器、数据库、安全设备等相关资源，需租用台州政务云相关服务器、数据库及相关安全设备等资源，资源清单如下：</w:t>
      </w:r>
    </w:p>
    <w:tbl>
      <w:tblPr>
        <w:tblStyle w:val="48"/>
        <w:tblW w:w="0" w:type="auto"/>
        <w:jc w:val="center"/>
        <w:tblLayout w:type="fixed"/>
        <w:tblCellMar>
          <w:top w:w="0" w:type="dxa"/>
          <w:left w:w="108" w:type="dxa"/>
          <w:bottom w:w="0" w:type="dxa"/>
          <w:right w:w="108" w:type="dxa"/>
        </w:tblCellMar>
      </w:tblPr>
      <w:tblGrid>
        <w:gridCol w:w="568"/>
        <w:gridCol w:w="391"/>
        <w:gridCol w:w="1628"/>
        <w:gridCol w:w="4961"/>
        <w:gridCol w:w="532"/>
        <w:gridCol w:w="744"/>
      </w:tblGrid>
      <w:tr>
        <w:tblPrEx>
          <w:tblCellMar>
            <w:top w:w="0" w:type="dxa"/>
            <w:left w:w="108" w:type="dxa"/>
            <w:bottom w:w="0" w:type="dxa"/>
            <w:right w:w="108" w:type="dxa"/>
          </w:tblCellMar>
        </w:tblPrEx>
        <w:trPr>
          <w:trHeight w:val="290" w:hRule="atLeast"/>
          <w:jc w:val="center"/>
        </w:trPr>
        <w:tc>
          <w:tcPr>
            <w:tcW w:w="568"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2019" w:type="dxa"/>
            <w:gridSpan w:val="2"/>
            <w:tcBorders>
              <w:top w:val="single" w:color="auto" w:sz="8" w:space="0"/>
              <w:left w:val="nil"/>
              <w:bottom w:val="single" w:color="auto" w:sz="8" w:space="0"/>
              <w:right w:val="single" w:color="000000" w:sz="8" w:space="0"/>
            </w:tcBorders>
            <w:noWrap w:val="0"/>
            <w:vAlign w:val="center"/>
          </w:tcPr>
          <w:p>
            <w:pPr>
              <w:widowControl/>
              <w:snapToGrid w:val="0"/>
              <w:jc w:val="center"/>
              <w:rPr>
                <w:rFonts w:ascii="宋体" w:hAnsi="宋体" w:cs="宋体"/>
                <w:b/>
                <w:bCs/>
                <w:color w:val="000000"/>
                <w:kern w:val="0"/>
                <w:sz w:val="20"/>
                <w:szCs w:val="20"/>
              </w:rPr>
            </w:pPr>
            <w:r>
              <w:rPr>
                <w:rFonts w:hint="eastAsia" w:ascii="宋体" w:hAnsi="宋体" w:cs="宋体"/>
                <w:b/>
                <w:bCs/>
                <w:color w:val="000000"/>
                <w:kern w:val="0"/>
                <w:sz w:val="20"/>
                <w:szCs w:val="20"/>
              </w:rPr>
              <w:t>内容</w:t>
            </w:r>
          </w:p>
        </w:tc>
        <w:tc>
          <w:tcPr>
            <w:tcW w:w="4961" w:type="dxa"/>
            <w:tcBorders>
              <w:top w:val="single" w:color="auto" w:sz="8" w:space="0"/>
              <w:left w:val="nil"/>
              <w:bottom w:val="single" w:color="auto" w:sz="8" w:space="0"/>
              <w:right w:val="single" w:color="auto" w:sz="8" w:space="0"/>
            </w:tcBorders>
            <w:noWrap w:val="0"/>
            <w:vAlign w:val="center"/>
          </w:tcPr>
          <w:p>
            <w:pPr>
              <w:widowControl/>
              <w:snapToGrid w:val="0"/>
              <w:jc w:val="center"/>
              <w:rPr>
                <w:rFonts w:ascii="宋体" w:hAnsi="宋体" w:cs="宋体"/>
                <w:b/>
                <w:bCs/>
                <w:color w:val="000000"/>
                <w:kern w:val="0"/>
                <w:sz w:val="20"/>
                <w:szCs w:val="20"/>
              </w:rPr>
            </w:pPr>
            <w:r>
              <w:rPr>
                <w:rFonts w:hint="eastAsia" w:ascii="宋体" w:hAnsi="宋体" w:cs="宋体"/>
                <w:b/>
                <w:bCs/>
                <w:color w:val="000000"/>
                <w:kern w:val="0"/>
                <w:sz w:val="20"/>
                <w:szCs w:val="20"/>
              </w:rPr>
              <w:t>规格</w:t>
            </w:r>
          </w:p>
        </w:tc>
        <w:tc>
          <w:tcPr>
            <w:tcW w:w="532" w:type="dxa"/>
            <w:tcBorders>
              <w:top w:val="single" w:color="auto" w:sz="8" w:space="0"/>
              <w:left w:val="nil"/>
              <w:bottom w:val="single" w:color="auto" w:sz="8" w:space="0"/>
              <w:right w:val="single" w:color="auto" w:sz="8" w:space="0"/>
            </w:tcBorders>
            <w:noWrap w:val="0"/>
            <w:vAlign w:val="center"/>
          </w:tcPr>
          <w:p>
            <w:pPr>
              <w:widowControl/>
              <w:snapToGrid w:val="0"/>
              <w:jc w:val="center"/>
              <w:rPr>
                <w:rFonts w:ascii="宋体" w:hAnsi="宋体" w:cs="宋体"/>
                <w:b/>
                <w:bCs/>
                <w:color w:val="000000"/>
                <w:kern w:val="0"/>
                <w:sz w:val="20"/>
                <w:szCs w:val="20"/>
              </w:rPr>
            </w:pPr>
            <w:r>
              <w:rPr>
                <w:rFonts w:hint="eastAsia" w:ascii="宋体" w:hAnsi="宋体" w:cs="宋体"/>
                <w:b/>
                <w:bCs/>
                <w:color w:val="000000"/>
                <w:kern w:val="0"/>
                <w:sz w:val="20"/>
                <w:szCs w:val="20"/>
              </w:rPr>
              <w:t>数量</w:t>
            </w:r>
          </w:p>
        </w:tc>
        <w:tc>
          <w:tcPr>
            <w:tcW w:w="744" w:type="dxa"/>
            <w:tcBorders>
              <w:top w:val="single" w:color="auto" w:sz="8" w:space="0"/>
              <w:left w:val="nil"/>
              <w:bottom w:val="single" w:color="auto" w:sz="8" w:space="0"/>
              <w:right w:val="single" w:color="auto" w:sz="8" w:space="0"/>
            </w:tcBorders>
            <w:noWrap w:val="0"/>
            <w:vAlign w:val="center"/>
          </w:tcPr>
          <w:p>
            <w:pPr>
              <w:widowControl/>
              <w:snapToGrid w:val="0"/>
              <w:jc w:val="center"/>
              <w:rPr>
                <w:rFonts w:ascii="宋体" w:hAnsi="宋体" w:cs="宋体"/>
                <w:b/>
                <w:bCs/>
                <w:color w:val="000000"/>
                <w:kern w:val="0"/>
                <w:sz w:val="20"/>
                <w:szCs w:val="20"/>
              </w:rPr>
            </w:pPr>
            <w:r>
              <w:rPr>
                <w:rFonts w:hint="eastAsia" w:ascii="宋体" w:hAnsi="宋体" w:cs="宋体"/>
                <w:b/>
                <w:bCs/>
                <w:color w:val="000000"/>
                <w:kern w:val="0"/>
                <w:sz w:val="20"/>
                <w:szCs w:val="20"/>
              </w:rPr>
              <w:t>备注</w:t>
            </w:r>
          </w:p>
        </w:tc>
      </w:tr>
      <w:tr>
        <w:tblPrEx>
          <w:tblCellMar>
            <w:top w:w="0" w:type="dxa"/>
            <w:left w:w="108" w:type="dxa"/>
            <w:bottom w:w="0" w:type="dxa"/>
            <w:right w:w="108" w:type="dxa"/>
          </w:tblCellMar>
        </w:tblPrEx>
        <w:trPr>
          <w:trHeight w:val="290" w:hRule="atLeast"/>
          <w:jc w:val="center"/>
        </w:trPr>
        <w:tc>
          <w:tcPr>
            <w:tcW w:w="568" w:type="dxa"/>
            <w:tcBorders>
              <w:top w:val="nil"/>
              <w:left w:val="single" w:color="auto" w:sz="8" w:space="0"/>
              <w:bottom w:val="single" w:color="auto" w:sz="8" w:space="0"/>
              <w:right w:val="single" w:color="auto" w:sz="8"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91" w:type="dxa"/>
            <w:vMerge w:val="restart"/>
            <w:tcBorders>
              <w:top w:val="nil"/>
              <w:left w:val="single" w:color="auto" w:sz="8" w:space="0"/>
              <w:bottom w:val="single" w:color="000000" w:sz="8" w:space="0"/>
              <w:right w:val="single" w:color="auto" w:sz="8"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线路</w:t>
            </w:r>
          </w:p>
        </w:tc>
        <w:tc>
          <w:tcPr>
            <w:tcW w:w="1628" w:type="dxa"/>
            <w:tcBorders>
              <w:top w:val="nil"/>
              <w:left w:val="nil"/>
              <w:bottom w:val="single" w:color="auto" w:sz="8" w:space="0"/>
              <w:right w:val="single" w:color="auto" w:sz="8"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政务外网</w:t>
            </w:r>
          </w:p>
        </w:tc>
        <w:tc>
          <w:tcPr>
            <w:tcW w:w="4961" w:type="dxa"/>
            <w:tcBorders>
              <w:top w:val="nil"/>
              <w:left w:val="nil"/>
              <w:bottom w:val="single" w:color="auto" w:sz="8" w:space="0"/>
              <w:right w:val="single" w:color="auto" w:sz="8" w:space="0"/>
            </w:tcBorders>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100M，三年</w:t>
            </w:r>
          </w:p>
        </w:tc>
        <w:tc>
          <w:tcPr>
            <w:tcW w:w="532" w:type="dxa"/>
            <w:tcBorders>
              <w:top w:val="nil"/>
              <w:left w:val="nil"/>
              <w:bottom w:val="single" w:color="auto" w:sz="8" w:space="0"/>
              <w:right w:val="single" w:color="auto" w:sz="8"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44" w:type="dxa"/>
            <w:tcBorders>
              <w:top w:val="nil"/>
              <w:left w:val="nil"/>
              <w:bottom w:val="nil"/>
              <w:right w:val="single" w:color="auto" w:sz="8"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机房</w:t>
            </w:r>
          </w:p>
        </w:tc>
      </w:tr>
      <w:tr>
        <w:tblPrEx>
          <w:tblCellMar>
            <w:top w:w="0" w:type="dxa"/>
            <w:left w:w="108" w:type="dxa"/>
            <w:bottom w:w="0" w:type="dxa"/>
            <w:right w:w="108" w:type="dxa"/>
          </w:tblCellMar>
        </w:tblPrEx>
        <w:trPr>
          <w:trHeight w:val="290" w:hRule="atLeast"/>
          <w:jc w:val="center"/>
        </w:trPr>
        <w:tc>
          <w:tcPr>
            <w:tcW w:w="568" w:type="dxa"/>
            <w:tcBorders>
              <w:top w:val="nil"/>
              <w:left w:val="single" w:color="auto" w:sz="8" w:space="0"/>
              <w:bottom w:val="single" w:color="auto" w:sz="8" w:space="0"/>
              <w:right w:val="single" w:color="auto" w:sz="8"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391" w:type="dxa"/>
            <w:vMerge w:val="continue"/>
            <w:tcBorders>
              <w:top w:val="nil"/>
              <w:left w:val="single" w:color="auto" w:sz="8" w:space="0"/>
              <w:bottom w:val="single" w:color="000000" w:sz="8" w:space="0"/>
              <w:right w:val="single" w:color="auto" w:sz="8" w:space="0"/>
            </w:tcBorders>
            <w:noWrap w:val="0"/>
            <w:vAlign w:val="center"/>
          </w:tcPr>
          <w:p>
            <w:pPr>
              <w:widowControl/>
              <w:snapToGrid w:val="0"/>
              <w:jc w:val="left"/>
              <w:rPr>
                <w:rFonts w:ascii="宋体" w:hAnsi="宋体" w:cs="宋体"/>
                <w:color w:val="000000"/>
                <w:kern w:val="0"/>
                <w:sz w:val="20"/>
                <w:szCs w:val="20"/>
              </w:rPr>
            </w:pPr>
          </w:p>
        </w:tc>
        <w:tc>
          <w:tcPr>
            <w:tcW w:w="1628" w:type="dxa"/>
            <w:tcBorders>
              <w:top w:val="nil"/>
              <w:left w:val="nil"/>
              <w:bottom w:val="single" w:color="auto" w:sz="8" w:space="0"/>
              <w:right w:val="single" w:color="auto" w:sz="8"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互联网专线</w:t>
            </w:r>
          </w:p>
        </w:tc>
        <w:tc>
          <w:tcPr>
            <w:tcW w:w="4961" w:type="dxa"/>
            <w:tcBorders>
              <w:top w:val="nil"/>
              <w:left w:val="nil"/>
              <w:bottom w:val="single" w:color="auto" w:sz="8" w:space="0"/>
              <w:right w:val="single" w:color="auto" w:sz="8" w:space="0"/>
            </w:tcBorders>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100M，三年</w:t>
            </w:r>
          </w:p>
        </w:tc>
        <w:tc>
          <w:tcPr>
            <w:tcW w:w="532" w:type="dxa"/>
            <w:tcBorders>
              <w:top w:val="nil"/>
              <w:left w:val="nil"/>
              <w:bottom w:val="single" w:color="auto" w:sz="8" w:space="0"/>
              <w:right w:val="single" w:color="auto" w:sz="8"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44" w:type="dxa"/>
            <w:tcBorders>
              <w:top w:val="single" w:color="auto" w:sz="8" w:space="0"/>
              <w:left w:val="nil"/>
              <w:bottom w:val="nil"/>
              <w:right w:val="single" w:color="auto" w:sz="8"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机房</w:t>
            </w:r>
          </w:p>
        </w:tc>
      </w:tr>
      <w:tr>
        <w:tblPrEx>
          <w:tblCellMar>
            <w:top w:w="0" w:type="dxa"/>
            <w:left w:w="108" w:type="dxa"/>
            <w:bottom w:w="0" w:type="dxa"/>
            <w:right w:w="108" w:type="dxa"/>
          </w:tblCellMar>
        </w:tblPrEx>
        <w:trPr>
          <w:trHeight w:val="290" w:hRule="atLeast"/>
          <w:jc w:val="center"/>
        </w:trPr>
        <w:tc>
          <w:tcPr>
            <w:tcW w:w="568" w:type="dxa"/>
            <w:tcBorders>
              <w:top w:val="nil"/>
              <w:left w:val="single" w:color="auto" w:sz="8" w:space="0"/>
              <w:bottom w:val="single" w:color="auto" w:sz="8" w:space="0"/>
              <w:right w:val="single" w:color="auto" w:sz="8"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391" w:type="dxa"/>
            <w:vMerge w:val="continue"/>
            <w:tcBorders>
              <w:top w:val="nil"/>
              <w:left w:val="single" w:color="auto" w:sz="8" w:space="0"/>
              <w:bottom w:val="single" w:color="000000" w:sz="8" w:space="0"/>
              <w:right w:val="single" w:color="auto" w:sz="8" w:space="0"/>
            </w:tcBorders>
            <w:noWrap w:val="0"/>
            <w:vAlign w:val="center"/>
          </w:tcPr>
          <w:p>
            <w:pPr>
              <w:widowControl/>
              <w:snapToGrid w:val="0"/>
              <w:jc w:val="left"/>
              <w:rPr>
                <w:rFonts w:ascii="宋体" w:hAnsi="宋体" w:cs="宋体"/>
                <w:color w:val="000000"/>
                <w:kern w:val="0"/>
                <w:sz w:val="20"/>
                <w:szCs w:val="20"/>
              </w:rPr>
            </w:pPr>
          </w:p>
        </w:tc>
        <w:tc>
          <w:tcPr>
            <w:tcW w:w="1628" w:type="dxa"/>
            <w:tcBorders>
              <w:top w:val="nil"/>
              <w:left w:val="nil"/>
              <w:bottom w:val="single" w:color="auto" w:sz="8" w:space="0"/>
              <w:right w:val="single" w:color="auto" w:sz="8"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宽带</w:t>
            </w:r>
          </w:p>
        </w:tc>
        <w:tc>
          <w:tcPr>
            <w:tcW w:w="4961" w:type="dxa"/>
            <w:tcBorders>
              <w:top w:val="nil"/>
              <w:left w:val="nil"/>
              <w:bottom w:val="single" w:color="auto" w:sz="8" w:space="0"/>
              <w:right w:val="single" w:color="auto" w:sz="8" w:space="0"/>
            </w:tcBorders>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100M，三年</w:t>
            </w:r>
          </w:p>
        </w:tc>
        <w:tc>
          <w:tcPr>
            <w:tcW w:w="532" w:type="dxa"/>
            <w:tcBorders>
              <w:top w:val="nil"/>
              <w:left w:val="nil"/>
              <w:bottom w:val="single" w:color="auto" w:sz="8" w:space="0"/>
              <w:right w:val="single" w:color="auto" w:sz="8"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4</w:t>
            </w:r>
            <w:r>
              <w:rPr>
                <w:rFonts w:ascii="宋体" w:hAnsi="宋体" w:cs="宋体"/>
                <w:color w:val="000000"/>
                <w:kern w:val="0"/>
                <w:sz w:val="20"/>
                <w:szCs w:val="20"/>
              </w:rPr>
              <w:t>1</w:t>
            </w:r>
          </w:p>
        </w:tc>
        <w:tc>
          <w:tcPr>
            <w:tcW w:w="744" w:type="dxa"/>
            <w:tcBorders>
              <w:top w:val="single" w:color="auto" w:sz="8" w:space="0"/>
              <w:left w:val="nil"/>
              <w:bottom w:val="nil"/>
              <w:right w:val="single" w:color="auto" w:sz="8"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居家安防</w:t>
            </w:r>
          </w:p>
        </w:tc>
      </w:tr>
      <w:tr>
        <w:tblPrEx>
          <w:tblCellMar>
            <w:top w:w="0" w:type="dxa"/>
            <w:left w:w="108" w:type="dxa"/>
            <w:bottom w:w="0" w:type="dxa"/>
            <w:right w:w="108" w:type="dxa"/>
          </w:tblCellMar>
        </w:tblPrEx>
        <w:trPr>
          <w:trHeight w:val="290" w:hRule="atLeast"/>
          <w:jc w:val="center"/>
        </w:trPr>
        <w:tc>
          <w:tcPr>
            <w:tcW w:w="568" w:type="dxa"/>
            <w:tcBorders>
              <w:top w:val="nil"/>
              <w:left w:val="single" w:color="auto" w:sz="8" w:space="0"/>
              <w:bottom w:val="single" w:color="auto" w:sz="8" w:space="0"/>
              <w:right w:val="single" w:color="auto" w:sz="8"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391" w:type="dxa"/>
            <w:vMerge w:val="restart"/>
            <w:tcBorders>
              <w:top w:val="nil"/>
              <w:left w:val="single" w:color="auto" w:sz="8" w:space="0"/>
              <w:bottom w:val="single" w:color="000000" w:sz="8" w:space="0"/>
              <w:right w:val="single" w:color="auto" w:sz="8"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云主机</w:t>
            </w:r>
          </w:p>
        </w:tc>
        <w:tc>
          <w:tcPr>
            <w:tcW w:w="1628" w:type="dxa"/>
            <w:tcBorders>
              <w:top w:val="nil"/>
              <w:left w:val="nil"/>
              <w:bottom w:val="single" w:color="auto" w:sz="8" w:space="0"/>
              <w:right w:val="single" w:color="auto" w:sz="8"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RDS数据库</w:t>
            </w:r>
          </w:p>
        </w:tc>
        <w:tc>
          <w:tcPr>
            <w:tcW w:w="4961" w:type="dxa"/>
            <w:tcBorders>
              <w:top w:val="nil"/>
              <w:left w:val="nil"/>
              <w:bottom w:val="single" w:color="auto" w:sz="8" w:space="0"/>
              <w:right w:val="single" w:color="auto" w:sz="8" w:space="0"/>
            </w:tcBorders>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8核 16G 40G SSD + 400G 高效云盘（MYSQL数据库5.7 高可用版）</w:t>
            </w:r>
          </w:p>
        </w:tc>
        <w:tc>
          <w:tcPr>
            <w:tcW w:w="532" w:type="dxa"/>
            <w:tcBorders>
              <w:top w:val="nil"/>
              <w:left w:val="nil"/>
              <w:bottom w:val="single" w:color="auto" w:sz="8" w:space="0"/>
              <w:right w:val="single" w:color="auto" w:sz="8"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44" w:type="dxa"/>
            <w:vMerge w:val="restart"/>
            <w:tcBorders>
              <w:top w:val="single" w:color="auto" w:sz="8" w:space="0"/>
              <w:left w:val="single" w:color="auto" w:sz="8" w:space="0"/>
              <w:bottom w:val="single" w:color="000000" w:sz="8" w:space="0"/>
              <w:right w:val="single" w:color="auto" w:sz="4"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一年</w:t>
            </w:r>
          </w:p>
        </w:tc>
      </w:tr>
      <w:tr>
        <w:tblPrEx>
          <w:tblCellMar>
            <w:top w:w="0" w:type="dxa"/>
            <w:left w:w="108" w:type="dxa"/>
            <w:bottom w:w="0" w:type="dxa"/>
            <w:right w:w="108" w:type="dxa"/>
          </w:tblCellMar>
        </w:tblPrEx>
        <w:trPr>
          <w:trHeight w:val="290" w:hRule="atLeast"/>
          <w:jc w:val="center"/>
        </w:trPr>
        <w:tc>
          <w:tcPr>
            <w:tcW w:w="568" w:type="dxa"/>
            <w:tcBorders>
              <w:top w:val="nil"/>
              <w:left w:val="single" w:color="auto" w:sz="8" w:space="0"/>
              <w:bottom w:val="single" w:color="auto" w:sz="8" w:space="0"/>
              <w:right w:val="single" w:color="auto" w:sz="8"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391" w:type="dxa"/>
            <w:vMerge w:val="continue"/>
            <w:tcBorders>
              <w:top w:val="nil"/>
              <w:left w:val="single" w:color="auto" w:sz="8" w:space="0"/>
              <w:bottom w:val="single" w:color="000000" w:sz="8" w:space="0"/>
              <w:right w:val="single" w:color="auto" w:sz="8" w:space="0"/>
            </w:tcBorders>
            <w:noWrap w:val="0"/>
            <w:vAlign w:val="center"/>
          </w:tcPr>
          <w:p>
            <w:pPr>
              <w:widowControl/>
              <w:snapToGrid w:val="0"/>
              <w:jc w:val="left"/>
              <w:rPr>
                <w:rFonts w:ascii="宋体" w:hAnsi="宋体" w:cs="宋体"/>
                <w:color w:val="000000"/>
                <w:kern w:val="0"/>
                <w:sz w:val="20"/>
                <w:szCs w:val="20"/>
              </w:rPr>
            </w:pPr>
          </w:p>
        </w:tc>
        <w:tc>
          <w:tcPr>
            <w:tcW w:w="1628" w:type="dxa"/>
            <w:tcBorders>
              <w:top w:val="nil"/>
              <w:left w:val="nil"/>
              <w:bottom w:val="single" w:color="auto" w:sz="8" w:space="0"/>
              <w:right w:val="single" w:color="auto" w:sz="8"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应用服务器</w:t>
            </w:r>
          </w:p>
        </w:tc>
        <w:tc>
          <w:tcPr>
            <w:tcW w:w="4961" w:type="dxa"/>
            <w:tcBorders>
              <w:top w:val="nil"/>
              <w:left w:val="nil"/>
              <w:bottom w:val="single" w:color="auto" w:sz="8" w:space="0"/>
              <w:right w:val="single" w:color="auto" w:sz="8" w:space="0"/>
            </w:tcBorders>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8核 16G 40G SSD + 200G 高效云盘（centos7）</w:t>
            </w:r>
          </w:p>
        </w:tc>
        <w:tc>
          <w:tcPr>
            <w:tcW w:w="532" w:type="dxa"/>
            <w:tcBorders>
              <w:top w:val="nil"/>
              <w:left w:val="nil"/>
              <w:bottom w:val="single" w:color="auto" w:sz="8" w:space="0"/>
              <w:right w:val="single" w:color="auto" w:sz="8"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744" w:type="dxa"/>
            <w:vMerge w:val="continue"/>
            <w:tcBorders>
              <w:top w:val="single" w:color="auto" w:sz="8" w:space="0"/>
              <w:left w:val="single" w:color="auto" w:sz="8" w:space="0"/>
              <w:bottom w:val="single" w:color="000000" w:sz="8" w:space="0"/>
              <w:right w:val="single" w:color="auto" w:sz="4" w:space="0"/>
            </w:tcBorders>
            <w:noWrap w:val="0"/>
            <w:vAlign w:val="center"/>
          </w:tcPr>
          <w:p>
            <w:pPr>
              <w:widowControl/>
              <w:snapToGrid w:val="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90" w:hRule="atLeast"/>
          <w:jc w:val="center"/>
        </w:trPr>
        <w:tc>
          <w:tcPr>
            <w:tcW w:w="568" w:type="dxa"/>
            <w:tcBorders>
              <w:top w:val="nil"/>
              <w:left w:val="single" w:color="auto" w:sz="8" w:space="0"/>
              <w:bottom w:val="single" w:color="auto" w:sz="8" w:space="0"/>
              <w:right w:val="single" w:color="auto" w:sz="8"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391" w:type="dxa"/>
            <w:vMerge w:val="continue"/>
            <w:tcBorders>
              <w:top w:val="nil"/>
              <w:left w:val="single" w:color="auto" w:sz="8" w:space="0"/>
              <w:bottom w:val="single" w:color="000000" w:sz="8" w:space="0"/>
              <w:right w:val="single" w:color="auto" w:sz="8" w:space="0"/>
            </w:tcBorders>
            <w:noWrap w:val="0"/>
            <w:vAlign w:val="center"/>
          </w:tcPr>
          <w:p>
            <w:pPr>
              <w:widowControl/>
              <w:snapToGrid w:val="0"/>
              <w:jc w:val="left"/>
              <w:rPr>
                <w:rFonts w:ascii="宋体" w:hAnsi="宋体" w:cs="宋体"/>
                <w:color w:val="000000"/>
                <w:kern w:val="0"/>
                <w:sz w:val="20"/>
                <w:szCs w:val="20"/>
              </w:rPr>
            </w:pPr>
          </w:p>
        </w:tc>
        <w:tc>
          <w:tcPr>
            <w:tcW w:w="1628" w:type="dxa"/>
            <w:tcBorders>
              <w:top w:val="nil"/>
              <w:left w:val="nil"/>
              <w:bottom w:val="single" w:color="auto" w:sz="8" w:space="0"/>
              <w:right w:val="single" w:color="auto" w:sz="8"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IOT服务器</w:t>
            </w:r>
          </w:p>
        </w:tc>
        <w:tc>
          <w:tcPr>
            <w:tcW w:w="4961" w:type="dxa"/>
            <w:tcBorders>
              <w:top w:val="nil"/>
              <w:left w:val="nil"/>
              <w:bottom w:val="single" w:color="auto" w:sz="8" w:space="0"/>
              <w:right w:val="single" w:color="auto" w:sz="8" w:space="0"/>
            </w:tcBorders>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8核 16G 40G SSD + 200G 高效云盘（centos7）</w:t>
            </w:r>
          </w:p>
        </w:tc>
        <w:tc>
          <w:tcPr>
            <w:tcW w:w="532" w:type="dxa"/>
            <w:tcBorders>
              <w:top w:val="nil"/>
              <w:left w:val="nil"/>
              <w:bottom w:val="single" w:color="auto" w:sz="8" w:space="0"/>
              <w:right w:val="single" w:color="auto" w:sz="8"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744" w:type="dxa"/>
            <w:vMerge w:val="continue"/>
            <w:tcBorders>
              <w:top w:val="single" w:color="auto" w:sz="8" w:space="0"/>
              <w:left w:val="single" w:color="auto" w:sz="8" w:space="0"/>
              <w:bottom w:val="single" w:color="000000" w:sz="8" w:space="0"/>
              <w:right w:val="single" w:color="auto" w:sz="4" w:space="0"/>
            </w:tcBorders>
            <w:noWrap w:val="0"/>
            <w:vAlign w:val="center"/>
          </w:tcPr>
          <w:p>
            <w:pPr>
              <w:widowControl/>
              <w:snapToGrid w:val="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90" w:hRule="atLeast"/>
          <w:jc w:val="center"/>
        </w:trPr>
        <w:tc>
          <w:tcPr>
            <w:tcW w:w="568" w:type="dxa"/>
            <w:tcBorders>
              <w:top w:val="nil"/>
              <w:left w:val="single" w:color="auto" w:sz="8" w:space="0"/>
              <w:bottom w:val="single" w:color="auto" w:sz="8" w:space="0"/>
              <w:right w:val="single" w:color="auto" w:sz="8"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391" w:type="dxa"/>
            <w:vMerge w:val="continue"/>
            <w:tcBorders>
              <w:top w:val="nil"/>
              <w:left w:val="single" w:color="auto" w:sz="8" w:space="0"/>
              <w:bottom w:val="single" w:color="000000" w:sz="8" w:space="0"/>
              <w:right w:val="single" w:color="auto" w:sz="8" w:space="0"/>
            </w:tcBorders>
            <w:noWrap w:val="0"/>
            <w:vAlign w:val="center"/>
          </w:tcPr>
          <w:p>
            <w:pPr>
              <w:widowControl/>
              <w:snapToGrid w:val="0"/>
              <w:jc w:val="left"/>
              <w:rPr>
                <w:rFonts w:ascii="宋体" w:hAnsi="宋体" w:cs="宋体"/>
                <w:color w:val="000000"/>
                <w:kern w:val="0"/>
                <w:sz w:val="20"/>
                <w:szCs w:val="20"/>
              </w:rPr>
            </w:pPr>
          </w:p>
        </w:tc>
        <w:tc>
          <w:tcPr>
            <w:tcW w:w="1628" w:type="dxa"/>
            <w:tcBorders>
              <w:top w:val="nil"/>
              <w:left w:val="nil"/>
              <w:bottom w:val="single" w:color="auto" w:sz="8" w:space="0"/>
              <w:right w:val="single" w:color="auto" w:sz="8"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中间件服务器</w:t>
            </w:r>
          </w:p>
        </w:tc>
        <w:tc>
          <w:tcPr>
            <w:tcW w:w="4961" w:type="dxa"/>
            <w:tcBorders>
              <w:top w:val="nil"/>
              <w:left w:val="nil"/>
              <w:bottom w:val="single" w:color="auto" w:sz="8" w:space="0"/>
              <w:right w:val="single" w:color="auto" w:sz="8" w:space="0"/>
            </w:tcBorders>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8核 16G 40G SSD + 200G 高效云盘（centos7）</w:t>
            </w:r>
          </w:p>
        </w:tc>
        <w:tc>
          <w:tcPr>
            <w:tcW w:w="532" w:type="dxa"/>
            <w:tcBorders>
              <w:top w:val="nil"/>
              <w:left w:val="nil"/>
              <w:bottom w:val="single" w:color="auto" w:sz="8" w:space="0"/>
              <w:right w:val="single" w:color="auto" w:sz="8"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44" w:type="dxa"/>
            <w:vMerge w:val="continue"/>
            <w:tcBorders>
              <w:top w:val="single" w:color="auto" w:sz="8" w:space="0"/>
              <w:left w:val="single" w:color="auto" w:sz="8" w:space="0"/>
              <w:bottom w:val="single" w:color="000000" w:sz="8" w:space="0"/>
              <w:right w:val="single" w:color="auto" w:sz="4" w:space="0"/>
            </w:tcBorders>
            <w:noWrap w:val="0"/>
            <w:vAlign w:val="center"/>
          </w:tcPr>
          <w:p>
            <w:pPr>
              <w:widowControl/>
              <w:snapToGrid w:val="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90" w:hRule="atLeast"/>
          <w:jc w:val="center"/>
        </w:trPr>
        <w:tc>
          <w:tcPr>
            <w:tcW w:w="568" w:type="dxa"/>
            <w:tcBorders>
              <w:top w:val="nil"/>
              <w:left w:val="single" w:color="auto" w:sz="8" w:space="0"/>
              <w:bottom w:val="single" w:color="auto" w:sz="8" w:space="0"/>
              <w:right w:val="single" w:color="auto" w:sz="8"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391" w:type="dxa"/>
            <w:vMerge w:val="continue"/>
            <w:tcBorders>
              <w:top w:val="nil"/>
              <w:left w:val="single" w:color="auto" w:sz="8" w:space="0"/>
              <w:bottom w:val="single" w:color="000000" w:sz="8" w:space="0"/>
              <w:right w:val="single" w:color="auto" w:sz="8" w:space="0"/>
            </w:tcBorders>
            <w:noWrap w:val="0"/>
            <w:vAlign w:val="center"/>
          </w:tcPr>
          <w:p>
            <w:pPr>
              <w:widowControl/>
              <w:snapToGrid w:val="0"/>
              <w:jc w:val="left"/>
              <w:rPr>
                <w:rFonts w:ascii="宋体" w:hAnsi="宋体" w:cs="宋体"/>
                <w:color w:val="000000"/>
                <w:kern w:val="0"/>
                <w:sz w:val="20"/>
                <w:szCs w:val="20"/>
              </w:rPr>
            </w:pPr>
          </w:p>
        </w:tc>
        <w:tc>
          <w:tcPr>
            <w:tcW w:w="1628" w:type="dxa"/>
            <w:tcBorders>
              <w:top w:val="nil"/>
              <w:left w:val="nil"/>
              <w:bottom w:val="single" w:color="auto" w:sz="8" w:space="0"/>
              <w:right w:val="single" w:color="auto" w:sz="8"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大数据服务器</w:t>
            </w:r>
          </w:p>
        </w:tc>
        <w:tc>
          <w:tcPr>
            <w:tcW w:w="4961" w:type="dxa"/>
            <w:tcBorders>
              <w:top w:val="nil"/>
              <w:left w:val="nil"/>
              <w:bottom w:val="single" w:color="auto" w:sz="8" w:space="0"/>
              <w:right w:val="single" w:color="auto" w:sz="8" w:space="0"/>
            </w:tcBorders>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8核 32G 40G SSD + 400G 高效云盘（centos7）</w:t>
            </w:r>
          </w:p>
        </w:tc>
        <w:tc>
          <w:tcPr>
            <w:tcW w:w="532" w:type="dxa"/>
            <w:tcBorders>
              <w:top w:val="nil"/>
              <w:left w:val="nil"/>
              <w:bottom w:val="single" w:color="auto" w:sz="8" w:space="0"/>
              <w:right w:val="single" w:color="auto" w:sz="8"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744" w:type="dxa"/>
            <w:vMerge w:val="continue"/>
            <w:tcBorders>
              <w:top w:val="single" w:color="auto" w:sz="8" w:space="0"/>
              <w:left w:val="single" w:color="auto" w:sz="8" w:space="0"/>
              <w:bottom w:val="single" w:color="000000" w:sz="8" w:space="0"/>
              <w:right w:val="single" w:color="auto" w:sz="4" w:space="0"/>
            </w:tcBorders>
            <w:noWrap w:val="0"/>
            <w:vAlign w:val="center"/>
          </w:tcPr>
          <w:p>
            <w:pPr>
              <w:widowControl/>
              <w:snapToGrid w:val="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90" w:hRule="atLeast"/>
          <w:jc w:val="center"/>
        </w:trPr>
        <w:tc>
          <w:tcPr>
            <w:tcW w:w="568" w:type="dxa"/>
            <w:tcBorders>
              <w:top w:val="nil"/>
              <w:left w:val="single" w:color="auto" w:sz="8" w:space="0"/>
              <w:bottom w:val="single" w:color="auto" w:sz="8" w:space="0"/>
              <w:right w:val="single" w:color="auto" w:sz="8"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391" w:type="dxa"/>
            <w:vMerge w:val="continue"/>
            <w:tcBorders>
              <w:top w:val="nil"/>
              <w:left w:val="single" w:color="auto" w:sz="8" w:space="0"/>
              <w:bottom w:val="single" w:color="000000" w:sz="8" w:space="0"/>
              <w:right w:val="single" w:color="auto" w:sz="8" w:space="0"/>
            </w:tcBorders>
            <w:noWrap w:val="0"/>
            <w:vAlign w:val="center"/>
          </w:tcPr>
          <w:p>
            <w:pPr>
              <w:widowControl/>
              <w:snapToGrid w:val="0"/>
              <w:jc w:val="left"/>
              <w:rPr>
                <w:rFonts w:ascii="宋体" w:hAnsi="宋体" w:cs="宋体"/>
                <w:color w:val="000000"/>
                <w:kern w:val="0"/>
                <w:sz w:val="20"/>
                <w:szCs w:val="20"/>
              </w:rPr>
            </w:pPr>
          </w:p>
        </w:tc>
        <w:tc>
          <w:tcPr>
            <w:tcW w:w="1628" w:type="dxa"/>
            <w:tcBorders>
              <w:top w:val="nil"/>
              <w:left w:val="nil"/>
              <w:bottom w:val="single" w:color="auto" w:sz="8" w:space="0"/>
              <w:right w:val="single" w:color="auto" w:sz="8"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文件服务器</w:t>
            </w:r>
          </w:p>
        </w:tc>
        <w:tc>
          <w:tcPr>
            <w:tcW w:w="4961" w:type="dxa"/>
            <w:tcBorders>
              <w:top w:val="nil"/>
              <w:left w:val="nil"/>
              <w:bottom w:val="single" w:color="auto" w:sz="8" w:space="0"/>
              <w:right w:val="single" w:color="auto" w:sz="8" w:space="0"/>
            </w:tcBorders>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8核16G 40G SSD + 500G 高效云盘（centos7）</w:t>
            </w:r>
          </w:p>
        </w:tc>
        <w:tc>
          <w:tcPr>
            <w:tcW w:w="532" w:type="dxa"/>
            <w:tcBorders>
              <w:top w:val="nil"/>
              <w:left w:val="nil"/>
              <w:bottom w:val="single" w:color="auto" w:sz="8" w:space="0"/>
              <w:right w:val="single" w:color="auto" w:sz="8"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44" w:type="dxa"/>
            <w:vMerge w:val="continue"/>
            <w:tcBorders>
              <w:top w:val="single" w:color="auto" w:sz="8" w:space="0"/>
              <w:left w:val="single" w:color="auto" w:sz="8" w:space="0"/>
              <w:bottom w:val="single" w:color="000000" w:sz="8" w:space="0"/>
              <w:right w:val="single" w:color="auto" w:sz="4" w:space="0"/>
            </w:tcBorders>
            <w:noWrap w:val="0"/>
            <w:vAlign w:val="center"/>
          </w:tcPr>
          <w:p>
            <w:pPr>
              <w:widowControl/>
              <w:snapToGrid w:val="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90" w:hRule="atLeast"/>
          <w:jc w:val="center"/>
        </w:trPr>
        <w:tc>
          <w:tcPr>
            <w:tcW w:w="568" w:type="dxa"/>
            <w:tcBorders>
              <w:top w:val="nil"/>
              <w:left w:val="single" w:color="auto" w:sz="8" w:space="0"/>
              <w:bottom w:val="single" w:color="auto" w:sz="8" w:space="0"/>
              <w:right w:val="single" w:color="auto" w:sz="8"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391" w:type="dxa"/>
            <w:vMerge w:val="continue"/>
            <w:tcBorders>
              <w:top w:val="nil"/>
              <w:left w:val="single" w:color="auto" w:sz="8" w:space="0"/>
              <w:bottom w:val="single" w:color="000000" w:sz="8" w:space="0"/>
              <w:right w:val="single" w:color="auto" w:sz="8" w:space="0"/>
            </w:tcBorders>
            <w:noWrap w:val="0"/>
            <w:vAlign w:val="center"/>
          </w:tcPr>
          <w:p>
            <w:pPr>
              <w:widowControl/>
              <w:snapToGrid w:val="0"/>
              <w:jc w:val="left"/>
              <w:rPr>
                <w:rFonts w:ascii="宋体" w:hAnsi="宋体" w:cs="宋体"/>
                <w:color w:val="000000"/>
                <w:kern w:val="0"/>
                <w:sz w:val="20"/>
                <w:szCs w:val="20"/>
              </w:rPr>
            </w:pPr>
          </w:p>
        </w:tc>
        <w:tc>
          <w:tcPr>
            <w:tcW w:w="1628" w:type="dxa"/>
            <w:tcBorders>
              <w:top w:val="nil"/>
              <w:left w:val="nil"/>
              <w:bottom w:val="single" w:color="auto" w:sz="8" w:space="0"/>
              <w:right w:val="single" w:color="auto" w:sz="8"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互联网前置机</w:t>
            </w:r>
          </w:p>
        </w:tc>
        <w:tc>
          <w:tcPr>
            <w:tcW w:w="4961" w:type="dxa"/>
            <w:tcBorders>
              <w:top w:val="nil"/>
              <w:left w:val="nil"/>
              <w:bottom w:val="single" w:color="auto" w:sz="8" w:space="0"/>
              <w:right w:val="single" w:color="auto" w:sz="8" w:space="0"/>
            </w:tcBorders>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4核 8G 40G SSD + 200G 高效云盘（centos7）</w:t>
            </w:r>
          </w:p>
        </w:tc>
        <w:tc>
          <w:tcPr>
            <w:tcW w:w="532" w:type="dxa"/>
            <w:tcBorders>
              <w:top w:val="nil"/>
              <w:left w:val="nil"/>
              <w:bottom w:val="single" w:color="auto" w:sz="8" w:space="0"/>
              <w:right w:val="single" w:color="auto" w:sz="8"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44" w:type="dxa"/>
            <w:vMerge w:val="continue"/>
            <w:tcBorders>
              <w:top w:val="single" w:color="auto" w:sz="8" w:space="0"/>
              <w:left w:val="single" w:color="auto" w:sz="8" w:space="0"/>
              <w:bottom w:val="single" w:color="000000" w:sz="8" w:space="0"/>
              <w:right w:val="single" w:color="auto" w:sz="4" w:space="0"/>
            </w:tcBorders>
            <w:noWrap w:val="0"/>
            <w:vAlign w:val="center"/>
          </w:tcPr>
          <w:p>
            <w:pPr>
              <w:widowControl/>
              <w:snapToGrid w:val="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90" w:hRule="atLeast"/>
          <w:jc w:val="center"/>
        </w:trPr>
        <w:tc>
          <w:tcPr>
            <w:tcW w:w="568" w:type="dxa"/>
            <w:tcBorders>
              <w:top w:val="nil"/>
              <w:left w:val="single" w:color="auto" w:sz="8" w:space="0"/>
              <w:bottom w:val="single" w:color="auto" w:sz="8" w:space="0"/>
              <w:right w:val="single" w:color="auto" w:sz="8"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1</w:t>
            </w:r>
          </w:p>
        </w:tc>
        <w:tc>
          <w:tcPr>
            <w:tcW w:w="391" w:type="dxa"/>
            <w:vMerge w:val="continue"/>
            <w:tcBorders>
              <w:top w:val="nil"/>
              <w:left w:val="single" w:color="auto" w:sz="8" w:space="0"/>
              <w:bottom w:val="single" w:color="000000" w:sz="8" w:space="0"/>
              <w:right w:val="single" w:color="auto" w:sz="8" w:space="0"/>
            </w:tcBorders>
            <w:noWrap w:val="0"/>
            <w:vAlign w:val="center"/>
          </w:tcPr>
          <w:p>
            <w:pPr>
              <w:widowControl/>
              <w:snapToGrid w:val="0"/>
              <w:jc w:val="left"/>
              <w:rPr>
                <w:rFonts w:ascii="宋体" w:hAnsi="宋体" w:cs="宋体"/>
                <w:color w:val="000000"/>
                <w:kern w:val="0"/>
                <w:sz w:val="20"/>
                <w:szCs w:val="20"/>
              </w:rPr>
            </w:pPr>
          </w:p>
        </w:tc>
        <w:tc>
          <w:tcPr>
            <w:tcW w:w="1628" w:type="dxa"/>
            <w:tcBorders>
              <w:top w:val="nil"/>
              <w:left w:val="nil"/>
              <w:bottom w:val="single" w:color="auto" w:sz="8" w:space="0"/>
              <w:right w:val="single" w:color="auto" w:sz="8"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负载均衡</w:t>
            </w:r>
          </w:p>
        </w:tc>
        <w:tc>
          <w:tcPr>
            <w:tcW w:w="4961" w:type="dxa"/>
            <w:tcBorders>
              <w:top w:val="nil"/>
              <w:left w:val="nil"/>
              <w:bottom w:val="single" w:color="auto" w:sz="8" w:space="0"/>
              <w:right w:val="single" w:color="auto" w:sz="8" w:space="0"/>
            </w:tcBorders>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云内负载均衡</w:t>
            </w:r>
          </w:p>
        </w:tc>
        <w:tc>
          <w:tcPr>
            <w:tcW w:w="532" w:type="dxa"/>
            <w:tcBorders>
              <w:top w:val="nil"/>
              <w:left w:val="nil"/>
              <w:bottom w:val="single" w:color="auto" w:sz="8" w:space="0"/>
              <w:right w:val="single" w:color="auto" w:sz="8"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44" w:type="dxa"/>
            <w:vMerge w:val="continue"/>
            <w:tcBorders>
              <w:top w:val="single" w:color="auto" w:sz="8" w:space="0"/>
              <w:left w:val="single" w:color="auto" w:sz="8" w:space="0"/>
              <w:bottom w:val="single" w:color="000000" w:sz="8" w:space="0"/>
              <w:right w:val="single" w:color="auto" w:sz="4" w:space="0"/>
            </w:tcBorders>
            <w:noWrap w:val="0"/>
            <w:vAlign w:val="center"/>
          </w:tcPr>
          <w:p>
            <w:pPr>
              <w:widowControl/>
              <w:snapToGrid w:val="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90" w:hRule="atLeast"/>
          <w:jc w:val="center"/>
        </w:trPr>
        <w:tc>
          <w:tcPr>
            <w:tcW w:w="568" w:type="dxa"/>
            <w:tcBorders>
              <w:top w:val="nil"/>
              <w:left w:val="single" w:color="auto" w:sz="8" w:space="0"/>
              <w:bottom w:val="single" w:color="auto" w:sz="8" w:space="0"/>
              <w:right w:val="single" w:color="auto" w:sz="8"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2</w:t>
            </w:r>
          </w:p>
        </w:tc>
        <w:tc>
          <w:tcPr>
            <w:tcW w:w="391" w:type="dxa"/>
            <w:vMerge w:val="continue"/>
            <w:tcBorders>
              <w:top w:val="nil"/>
              <w:left w:val="single" w:color="auto" w:sz="8" w:space="0"/>
              <w:bottom w:val="single" w:color="000000" w:sz="8" w:space="0"/>
              <w:right w:val="single" w:color="auto" w:sz="8" w:space="0"/>
            </w:tcBorders>
            <w:noWrap w:val="0"/>
            <w:vAlign w:val="center"/>
          </w:tcPr>
          <w:p>
            <w:pPr>
              <w:widowControl/>
              <w:snapToGrid w:val="0"/>
              <w:jc w:val="left"/>
              <w:rPr>
                <w:rFonts w:ascii="宋体" w:hAnsi="宋体" w:cs="宋体"/>
                <w:color w:val="000000"/>
                <w:kern w:val="0"/>
                <w:sz w:val="20"/>
                <w:szCs w:val="20"/>
              </w:rPr>
            </w:pPr>
          </w:p>
        </w:tc>
        <w:tc>
          <w:tcPr>
            <w:tcW w:w="1628" w:type="dxa"/>
            <w:tcBorders>
              <w:top w:val="nil"/>
              <w:left w:val="nil"/>
              <w:bottom w:val="single" w:color="auto" w:sz="8" w:space="0"/>
              <w:right w:val="single" w:color="auto" w:sz="8"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数据交换服务</w:t>
            </w:r>
          </w:p>
        </w:tc>
        <w:tc>
          <w:tcPr>
            <w:tcW w:w="4961" w:type="dxa"/>
            <w:tcBorders>
              <w:top w:val="nil"/>
              <w:left w:val="nil"/>
              <w:bottom w:val="single" w:color="auto" w:sz="8" w:space="0"/>
              <w:right w:val="single" w:color="auto" w:sz="8" w:space="0"/>
            </w:tcBorders>
            <w:noWrap w:val="0"/>
            <w:vAlign w:val="center"/>
          </w:tcPr>
          <w:p>
            <w:pPr>
              <w:widowControl/>
              <w:snapToGrid w:val="0"/>
              <w:jc w:val="left"/>
              <w:rPr>
                <w:rFonts w:ascii="宋体" w:hAnsi="宋体" w:cs="宋体"/>
                <w:color w:val="000000"/>
                <w:kern w:val="0"/>
                <w:sz w:val="20"/>
                <w:szCs w:val="20"/>
              </w:rPr>
            </w:pPr>
          </w:p>
        </w:tc>
        <w:tc>
          <w:tcPr>
            <w:tcW w:w="532" w:type="dxa"/>
            <w:tcBorders>
              <w:top w:val="nil"/>
              <w:left w:val="nil"/>
              <w:bottom w:val="single" w:color="auto" w:sz="8" w:space="0"/>
              <w:right w:val="single" w:color="auto" w:sz="8"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44" w:type="dxa"/>
            <w:vMerge w:val="continue"/>
            <w:tcBorders>
              <w:top w:val="single" w:color="auto" w:sz="8" w:space="0"/>
              <w:left w:val="single" w:color="auto" w:sz="8" w:space="0"/>
              <w:bottom w:val="single" w:color="000000" w:sz="8" w:space="0"/>
              <w:right w:val="single" w:color="auto" w:sz="4" w:space="0"/>
            </w:tcBorders>
            <w:noWrap w:val="0"/>
            <w:vAlign w:val="center"/>
          </w:tcPr>
          <w:p>
            <w:pPr>
              <w:widowControl/>
              <w:snapToGrid w:val="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90" w:hRule="atLeast"/>
          <w:jc w:val="center"/>
        </w:trPr>
        <w:tc>
          <w:tcPr>
            <w:tcW w:w="568" w:type="dxa"/>
            <w:tcBorders>
              <w:top w:val="nil"/>
              <w:left w:val="single" w:color="auto" w:sz="8" w:space="0"/>
              <w:bottom w:val="single" w:color="auto" w:sz="8" w:space="0"/>
              <w:right w:val="single" w:color="auto" w:sz="8"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019" w:type="dxa"/>
            <w:gridSpan w:val="2"/>
            <w:tcBorders>
              <w:top w:val="single" w:color="auto" w:sz="8" w:space="0"/>
              <w:left w:val="nil"/>
              <w:bottom w:val="single" w:color="auto" w:sz="8" w:space="0"/>
              <w:right w:val="single" w:color="000000" w:sz="8"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云带宽</w:t>
            </w:r>
          </w:p>
        </w:tc>
        <w:tc>
          <w:tcPr>
            <w:tcW w:w="4961" w:type="dxa"/>
            <w:tcBorders>
              <w:top w:val="nil"/>
              <w:left w:val="nil"/>
              <w:bottom w:val="single" w:color="auto" w:sz="8" w:space="0"/>
              <w:right w:val="single" w:color="auto" w:sz="8" w:space="0"/>
            </w:tcBorders>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50M</w:t>
            </w:r>
          </w:p>
        </w:tc>
        <w:tc>
          <w:tcPr>
            <w:tcW w:w="532" w:type="dxa"/>
            <w:tcBorders>
              <w:top w:val="nil"/>
              <w:left w:val="nil"/>
              <w:bottom w:val="single" w:color="auto" w:sz="8" w:space="0"/>
              <w:right w:val="single" w:color="auto" w:sz="8"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44" w:type="dxa"/>
            <w:vMerge w:val="continue"/>
            <w:tcBorders>
              <w:top w:val="single" w:color="auto" w:sz="8" w:space="0"/>
              <w:left w:val="single" w:color="auto" w:sz="8" w:space="0"/>
              <w:bottom w:val="single" w:color="000000" w:sz="8" w:space="0"/>
              <w:right w:val="single" w:color="auto" w:sz="4" w:space="0"/>
            </w:tcBorders>
            <w:noWrap w:val="0"/>
            <w:vAlign w:val="center"/>
          </w:tcPr>
          <w:p>
            <w:pPr>
              <w:widowControl/>
              <w:snapToGrid w:val="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55" w:hRule="atLeast"/>
          <w:jc w:val="center"/>
        </w:trPr>
        <w:tc>
          <w:tcPr>
            <w:tcW w:w="568" w:type="dxa"/>
            <w:tcBorders>
              <w:top w:val="nil"/>
              <w:left w:val="single" w:color="auto" w:sz="8" w:space="0"/>
              <w:bottom w:val="single" w:color="000000" w:sz="8" w:space="0"/>
              <w:right w:val="single" w:color="auto" w:sz="8"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391" w:type="dxa"/>
            <w:vMerge w:val="restart"/>
            <w:tcBorders>
              <w:top w:val="nil"/>
              <w:left w:val="single" w:color="auto" w:sz="8" w:space="0"/>
              <w:bottom w:val="single" w:color="000000" w:sz="8" w:space="0"/>
              <w:right w:val="single" w:color="auto" w:sz="8"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政务云安全</w:t>
            </w:r>
          </w:p>
        </w:tc>
        <w:tc>
          <w:tcPr>
            <w:tcW w:w="1628" w:type="dxa"/>
            <w:tcBorders>
              <w:top w:val="nil"/>
              <w:left w:val="single" w:color="auto" w:sz="8" w:space="0"/>
              <w:bottom w:val="single" w:color="000000" w:sz="8" w:space="0"/>
              <w:right w:val="single" w:color="auto" w:sz="8"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云安全中心</w:t>
            </w:r>
          </w:p>
        </w:tc>
        <w:tc>
          <w:tcPr>
            <w:tcW w:w="4961" w:type="dxa"/>
            <w:tcBorders>
              <w:top w:val="nil"/>
              <w:left w:val="nil"/>
              <w:bottom w:val="single" w:color="auto" w:sz="8" w:space="0"/>
              <w:right w:val="single" w:color="auto" w:sz="8" w:space="0"/>
            </w:tcBorders>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安全策略管理、安全事件管理、资产管理</w:t>
            </w:r>
          </w:p>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5VM,AV,HFW,HIPS三个功能</w:t>
            </w:r>
          </w:p>
        </w:tc>
        <w:tc>
          <w:tcPr>
            <w:tcW w:w="532" w:type="dxa"/>
            <w:tcBorders>
              <w:top w:val="nil"/>
              <w:left w:val="single" w:color="auto" w:sz="8" w:space="0"/>
              <w:bottom w:val="single" w:color="000000" w:sz="8" w:space="0"/>
              <w:right w:val="single" w:color="auto" w:sz="8"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44" w:type="dxa"/>
            <w:vMerge w:val="continue"/>
            <w:tcBorders>
              <w:top w:val="single" w:color="auto" w:sz="8" w:space="0"/>
              <w:left w:val="single" w:color="auto" w:sz="8" w:space="0"/>
              <w:bottom w:val="single" w:color="000000" w:sz="8" w:space="0"/>
              <w:right w:val="single" w:color="auto" w:sz="4" w:space="0"/>
            </w:tcBorders>
            <w:noWrap w:val="0"/>
            <w:vAlign w:val="center"/>
          </w:tcPr>
          <w:p>
            <w:pPr>
              <w:widowControl/>
              <w:snapToGrid w:val="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936" w:hRule="atLeast"/>
          <w:jc w:val="center"/>
        </w:trPr>
        <w:tc>
          <w:tcPr>
            <w:tcW w:w="568" w:type="dxa"/>
            <w:tcBorders>
              <w:top w:val="nil"/>
              <w:left w:val="single" w:color="auto" w:sz="8" w:space="0"/>
              <w:bottom w:val="single" w:color="auto" w:sz="4" w:space="0"/>
              <w:right w:val="single" w:color="auto" w:sz="8"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391" w:type="dxa"/>
            <w:vMerge w:val="continue"/>
            <w:tcBorders>
              <w:top w:val="nil"/>
              <w:left w:val="single" w:color="auto" w:sz="8" w:space="0"/>
              <w:bottom w:val="single" w:color="auto" w:sz="4" w:space="0"/>
              <w:right w:val="single" w:color="auto" w:sz="8" w:space="0"/>
            </w:tcBorders>
            <w:noWrap w:val="0"/>
            <w:vAlign w:val="center"/>
          </w:tcPr>
          <w:p>
            <w:pPr>
              <w:widowControl/>
              <w:snapToGrid w:val="0"/>
              <w:jc w:val="left"/>
              <w:rPr>
                <w:rFonts w:ascii="宋体" w:hAnsi="宋体" w:cs="宋体"/>
                <w:color w:val="000000"/>
                <w:kern w:val="0"/>
                <w:sz w:val="20"/>
                <w:szCs w:val="20"/>
              </w:rPr>
            </w:pPr>
          </w:p>
        </w:tc>
        <w:tc>
          <w:tcPr>
            <w:tcW w:w="1628" w:type="dxa"/>
            <w:tcBorders>
              <w:top w:val="nil"/>
              <w:left w:val="single" w:color="auto" w:sz="8" w:space="0"/>
              <w:bottom w:val="single" w:color="auto" w:sz="4" w:space="0"/>
              <w:right w:val="single" w:color="auto" w:sz="8"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云防火墙</w:t>
            </w:r>
          </w:p>
        </w:tc>
        <w:tc>
          <w:tcPr>
            <w:tcW w:w="4961" w:type="dxa"/>
            <w:tcBorders>
              <w:top w:val="nil"/>
              <w:left w:val="nil"/>
              <w:bottom w:val="single" w:color="auto" w:sz="8" w:space="0"/>
              <w:right w:val="single" w:color="auto" w:sz="8" w:space="0"/>
            </w:tcBorders>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防火墙、IPS、VPN</w:t>
            </w:r>
          </w:p>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 xml:space="preserve">网络吞吐：1Gbps，并发连接数：500000，每秒新建连接数：15000，IPS：吞吐500Mbps，最大并发连接数：500000，最大新建连接数：15000，SSL VPN：吞吐500Mbps，最大并发数100个。 </w:t>
            </w:r>
          </w:p>
        </w:tc>
        <w:tc>
          <w:tcPr>
            <w:tcW w:w="532" w:type="dxa"/>
            <w:tcBorders>
              <w:top w:val="nil"/>
              <w:left w:val="single" w:color="auto" w:sz="8" w:space="0"/>
              <w:bottom w:val="single" w:color="000000" w:sz="8" w:space="0"/>
              <w:right w:val="single" w:color="auto" w:sz="8"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44" w:type="dxa"/>
            <w:vMerge w:val="continue"/>
            <w:tcBorders>
              <w:top w:val="single" w:color="auto" w:sz="8" w:space="0"/>
              <w:left w:val="single" w:color="auto" w:sz="8" w:space="0"/>
              <w:bottom w:val="single" w:color="000000" w:sz="8" w:space="0"/>
              <w:right w:val="single" w:color="auto" w:sz="4" w:space="0"/>
            </w:tcBorders>
            <w:noWrap w:val="0"/>
            <w:vAlign w:val="center"/>
          </w:tcPr>
          <w:p>
            <w:pPr>
              <w:widowControl/>
              <w:snapToGrid w:val="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902" w:hRule="atLeast"/>
          <w:jc w:val="center"/>
        </w:trPr>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3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color w:val="000000"/>
                <w:kern w:val="0"/>
                <w:sz w:val="20"/>
                <w:szCs w:val="20"/>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云WEB应用防火墙</w:t>
            </w:r>
          </w:p>
        </w:tc>
        <w:tc>
          <w:tcPr>
            <w:tcW w:w="4961" w:type="dxa"/>
            <w:tcBorders>
              <w:top w:val="nil"/>
              <w:left w:val="single" w:color="auto" w:sz="4" w:space="0"/>
              <w:bottom w:val="single" w:color="auto" w:sz="8" w:space="0"/>
              <w:right w:val="single" w:color="auto" w:sz="8" w:space="0"/>
            </w:tcBorders>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web入侵防护</w:t>
            </w:r>
          </w:p>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网络吞吐200Mbps，每秒新建连接数1000，支持1个IP+1个端口</w:t>
            </w:r>
          </w:p>
        </w:tc>
        <w:tc>
          <w:tcPr>
            <w:tcW w:w="532" w:type="dxa"/>
            <w:tcBorders>
              <w:top w:val="nil"/>
              <w:left w:val="single" w:color="auto" w:sz="8" w:space="0"/>
              <w:bottom w:val="single" w:color="000000" w:sz="8" w:space="0"/>
              <w:right w:val="single" w:color="auto" w:sz="8"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44" w:type="dxa"/>
            <w:vMerge w:val="continue"/>
            <w:tcBorders>
              <w:top w:val="single" w:color="auto" w:sz="8" w:space="0"/>
              <w:left w:val="single" w:color="auto" w:sz="8" w:space="0"/>
              <w:bottom w:val="single" w:color="000000" w:sz="8" w:space="0"/>
              <w:right w:val="single" w:color="auto" w:sz="4" w:space="0"/>
            </w:tcBorders>
            <w:noWrap w:val="0"/>
            <w:vAlign w:val="center"/>
          </w:tcPr>
          <w:p>
            <w:pPr>
              <w:widowControl/>
              <w:snapToGrid w:val="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689" w:hRule="atLeast"/>
          <w:jc w:val="center"/>
        </w:trPr>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3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color w:val="000000"/>
                <w:kern w:val="0"/>
                <w:sz w:val="20"/>
                <w:szCs w:val="20"/>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云综合日志审计</w:t>
            </w:r>
          </w:p>
        </w:tc>
        <w:tc>
          <w:tcPr>
            <w:tcW w:w="4961" w:type="dxa"/>
            <w:tcBorders>
              <w:top w:val="nil"/>
              <w:left w:val="single" w:color="auto" w:sz="4" w:space="0"/>
              <w:bottom w:val="single" w:color="auto" w:sz="8" w:space="0"/>
              <w:right w:val="single" w:color="auto" w:sz="8" w:space="0"/>
            </w:tcBorders>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日志审计</w:t>
            </w:r>
          </w:p>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500EPS 5资产</w:t>
            </w:r>
          </w:p>
        </w:tc>
        <w:tc>
          <w:tcPr>
            <w:tcW w:w="532" w:type="dxa"/>
            <w:tcBorders>
              <w:top w:val="nil"/>
              <w:left w:val="single" w:color="auto" w:sz="8" w:space="0"/>
              <w:bottom w:val="single" w:color="auto" w:sz="4" w:space="0"/>
              <w:right w:val="single" w:color="auto" w:sz="8"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744" w:type="dxa"/>
            <w:vMerge w:val="continue"/>
            <w:tcBorders>
              <w:top w:val="single" w:color="auto" w:sz="8" w:space="0"/>
              <w:left w:val="single" w:color="auto" w:sz="8" w:space="0"/>
              <w:bottom w:val="single" w:color="auto" w:sz="4" w:space="0"/>
              <w:right w:val="single" w:color="auto" w:sz="4" w:space="0"/>
            </w:tcBorders>
            <w:noWrap w:val="0"/>
            <w:vAlign w:val="center"/>
          </w:tcPr>
          <w:p>
            <w:pPr>
              <w:widowControl/>
              <w:snapToGrid w:val="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703" w:hRule="atLeast"/>
          <w:jc w:val="center"/>
        </w:trPr>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3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color w:val="000000"/>
                <w:kern w:val="0"/>
                <w:sz w:val="20"/>
                <w:szCs w:val="20"/>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云堡垒机</w:t>
            </w:r>
          </w:p>
        </w:tc>
        <w:tc>
          <w:tcPr>
            <w:tcW w:w="4961" w:type="dxa"/>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安全审计、身份鉴别、访问控制、安全审计</w:t>
            </w:r>
          </w:p>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可管理20资产</w:t>
            </w:r>
          </w:p>
        </w:tc>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695" w:hRule="atLeast"/>
          <w:jc w:val="center"/>
        </w:trPr>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8</w:t>
            </w:r>
          </w:p>
        </w:tc>
        <w:tc>
          <w:tcPr>
            <w:tcW w:w="39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color w:val="000000"/>
                <w:kern w:val="0"/>
                <w:sz w:val="20"/>
                <w:szCs w:val="20"/>
              </w:rPr>
            </w:pPr>
            <w:r>
              <w:rPr>
                <w:rFonts w:hint="eastAsia" w:ascii="宋体" w:hAnsi="宋体" w:cs="宋体"/>
                <w:color w:val="000000"/>
                <w:kern w:val="0"/>
                <w:sz w:val="20"/>
                <w:szCs w:val="20"/>
              </w:rPr>
              <w:t>公有云安全</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color w:val="000000"/>
                <w:kern w:val="0"/>
                <w:sz w:val="20"/>
                <w:szCs w:val="20"/>
              </w:rPr>
            </w:pPr>
            <w:r>
              <w:rPr>
                <w:rFonts w:hint="eastAsia"/>
                <w:sz w:val="20"/>
                <w:szCs w:val="20"/>
              </w:rPr>
              <w:t>云WAF</w:t>
            </w:r>
          </w:p>
        </w:tc>
        <w:tc>
          <w:tcPr>
            <w:tcW w:w="4961"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color w:val="000000"/>
                <w:kern w:val="0"/>
                <w:sz w:val="20"/>
                <w:szCs w:val="20"/>
              </w:rPr>
            </w:pPr>
            <w:r>
              <w:rPr>
                <w:rFonts w:hint="eastAsia"/>
                <w:color w:val="000000"/>
                <w:sz w:val="20"/>
                <w:szCs w:val="20"/>
              </w:rPr>
              <w:t>保护站点授权2个，新建2000，并发15000，防护流量20Mbps</w:t>
            </w:r>
          </w:p>
        </w:tc>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39" w:hRule="atLeast"/>
          <w:jc w:val="center"/>
        </w:trPr>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9</w:t>
            </w:r>
          </w:p>
        </w:tc>
        <w:tc>
          <w:tcPr>
            <w:tcW w:w="3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color w:val="000000"/>
                <w:kern w:val="0"/>
                <w:sz w:val="20"/>
                <w:szCs w:val="20"/>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color w:val="000000"/>
                <w:kern w:val="0"/>
                <w:sz w:val="20"/>
                <w:szCs w:val="20"/>
              </w:rPr>
            </w:pPr>
            <w:r>
              <w:rPr>
                <w:rFonts w:hint="eastAsia"/>
                <w:sz w:val="20"/>
                <w:szCs w:val="20"/>
              </w:rPr>
              <w:t>VPN</w:t>
            </w:r>
          </w:p>
        </w:tc>
        <w:tc>
          <w:tcPr>
            <w:tcW w:w="4961"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color w:val="000000"/>
                <w:kern w:val="0"/>
                <w:sz w:val="20"/>
                <w:szCs w:val="20"/>
              </w:rPr>
            </w:pPr>
            <w:r>
              <w:rPr>
                <w:rFonts w:hint="eastAsia"/>
                <w:color w:val="000000"/>
                <w:sz w:val="20"/>
                <w:szCs w:val="20"/>
              </w:rPr>
              <w:t>　</w:t>
            </w:r>
          </w:p>
        </w:tc>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36" w:hRule="atLeast"/>
          <w:jc w:val="center"/>
        </w:trPr>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2</w:t>
            </w:r>
            <w:r>
              <w:rPr>
                <w:rFonts w:ascii="宋体" w:hAnsi="宋体" w:cs="宋体"/>
                <w:color w:val="000000"/>
                <w:kern w:val="0"/>
                <w:sz w:val="20"/>
                <w:szCs w:val="20"/>
              </w:rPr>
              <w:t>0</w:t>
            </w:r>
          </w:p>
        </w:tc>
        <w:tc>
          <w:tcPr>
            <w:tcW w:w="3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color w:val="000000"/>
                <w:kern w:val="0"/>
                <w:sz w:val="20"/>
                <w:szCs w:val="20"/>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color w:val="000000"/>
                <w:kern w:val="0"/>
                <w:sz w:val="20"/>
                <w:szCs w:val="20"/>
              </w:rPr>
            </w:pPr>
            <w:r>
              <w:rPr>
                <w:rFonts w:hint="eastAsia"/>
                <w:sz w:val="20"/>
                <w:szCs w:val="20"/>
              </w:rPr>
              <w:t>堡垒机</w:t>
            </w:r>
          </w:p>
        </w:tc>
        <w:tc>
          <w:tcPr>
            <w:tcW w:w="4961"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color w:val="000000"/>
                <w:kern w:val="0"/>
                <w:sz w:val="20"/>
                <w:szCs w:val="20"/>
              </w:rPr>
            </w:pPr>
            <w:r>
              <w:rPr>
                <w:rFonts w:hint="eastAsia"/>
                <w:color w:val="000000"/>
                <w:sz w:val="20"/>
                <w:szCs w:val="20"/>
              </w:rPr>
              <w:t>支持20资产管理，20并发字符</w:t>
            </w:r>
          </w:p>
        </w:tc>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color w:val="000000"/>
                <w:kern w:val="0"/>
                <w:sz w:val="20"/>
                <w:szCs w:val="20"/>
              </w:rPr>
            </w:pPr>
          </w:p>
        </w:tc>
      </w:tr>
    </w:tbl>
    <w:p>
      <w:pPr>
        <w:pStyle w:val="4"/>
        <w:snapToGrid w:val="0"/>
        <w:spacing w:before="0" w:after="0" w:line="440" w:lineRule="exact"/>
        <w:jc w:val="both"/>
        <w:rPr>
          <w:rFonts w:hint="eastAsia" w:ascii="宋体" w:hAnsi="宋体" w:eastAsia="宋体" w:cs="宋体"/>
          <w:highlight w:val="yellow"/>
        </w:rPr>
      </w:pPr>
      <w:r>
        <w:rPr>
          <w:rFonts w:hint="eastAsia" w:ascii="宋体" w:hAnsi="宋体" w:eastAsia="宋体" w:cs="宋体"/>
          <w:sz w:val="24"/>
          <w:szCs w:val="24"/>
        </w:rPr>
        <w:t>六、业务性能指标要求</w:t>
      </w:r>
    </w:p>
    <w:p>
      <w:pPr>
        <w:pStyle w:val="337"/>
        <w:snapToGrid w:val="0"/>
        <w:spacing w:line="440" w:lineRule="exact"/>
        <w:ind w:left="420" w:firstLine="0" w:firstLineChars="0"/>
        <w:rPr>
          <w:rFonts w:hint="eastAsia" w:ascii="宋体" w:hAnsi="宋体" w:cs="宋体"/>
          <w:b/>
          <w:bCs/>
        </w:rPr>
      </w:pPr>
      <w:r>
        <w:rPr>
          <w:rFonts w:hint="eastAsia" w:ascii="宋体" w:hAnsi="宋体" w:cs="宋体"/>
          <w:b/>
          <w:bCs/>
        </w:rPr>
        <w:t>1.响应能力：</w:t>
      </w:r>
    </w:p>
    <w:p>
      <w:pPr>
        <w:snapToGrid w:val="0"/>
        <w:spacing w:line="440" w:lineRule="exact"/>
        <w:ind w:firstLine="480"/>
        <w:rPr>
          <w:rFonts w:hint="eastAsia" w:ascii="宋体" w:hAnsi="宋体" w:cs="宋体"/>
        </w:rPr>
      </w:pPr>
      <w:r>
        <w:rPr>
          <w:rFonts w:hint="eastAsia" w:ascii="宋体" w:hAnsi="宋体" w:cs="宋体"/>
        </w:rPr>
        <w:t>（1）所有页面的平均响应时间低于3秒。</w:t>
      </w:r>
    </w:p>
    <w:p>
      <w:pPr>
        <w:snapToGrid w:val="0"/>
        <w:spacing w:line="440" w:lineRule="exact"/>
        <w:ind w:firstLine="480"/>
        <w:rPr>
          <w:rFonts w:hint="eastAsia" w:ascii="宋体" w:hAnsi="宋体" w:cs="宋体"/>
        </w:rPr>
      </w:pPr>
      <w:r>
        <w:rPr>
          <w:rFonts w:hint="eastAsia" w:ascii="宋体" w:hAnsi="宋体" w:cs="宋体"/>
        </w:rPr>
        <w:t>（2）Wifi+4G网络环境下页面平均响应时间低于3秒。</w:t>
      </w:r>
    </w:p>
    <w:p>
      <w:pPr>
        <w:snapToGrid w:val="0"/>
        <w:spacing w:line="440" w:lineRule="exact"/>
        <w:ind w:firstLine="480"/>
        <w:rPr>
          <w:rFonts w:hint="eastAsia" w:ascii="宋体" w:hAnsi="宋体" w:cs="宋体"/>
        </w:rPr>
      </w:pPr>
      <w:r>
        <w:rPr>
          <w:rFonts w:hint="eastAsia" w:ascii="宋体" w:hAnsi="宋体" w:cs="宋体"/>
        </w:rPr>
        <w:t>（3）文本信息交换的响应时间应控制在3s以内。</w:t>
      </w:r>
    </w:p>
    <w:p>
      <w:pPr>
        <w:pStyle w:val="337"/>
        <w:snapToGrid w:val="0"/>
        <w:spacing w:line="440" w:lineRule="exact"/>
        <w:ind w:left="420" w:firstLine="0" w:firstLineChars="0"/>
        <w:rPr>
          <w:rFonts w:hint="eastAsia" w:ascii="宋体" w:hAnsi="宋体" w:cs="宋体"/>
          <w:b/>
          <w:bCs/>
        </w:rPr>
      </w:pPr>
      <w:r>
        <w:rPr>
          <w:rFonts w:hint="eastAsia" w:ascii="宋体" w:hAnsi="宋体" w:cs="宋体"/>
          <w:b/>
          <w:bCs/>
        </w:rPr>
        <w:t>2.并发能力：</w:t>
      </w:r>
    </w:p>
    <w:p>
      <w:pPr>
        <w:snapToGrid w:val="0"/>
        <w:spacing w:line="440" w:lineRule="exact"/>
        <w:ind w:firstLine="480"/>
        <w:rPr>
          <w:rFonts w:hint="eastAsia" w:ascii="宋体" w:hAnsi="宋体" w:cs="宋体"/>
        </w:rPr>
      </w:pPr>
      <w:r>
        <w:rPr>
          <w:rFonts w:hint="eastAsia" w:ascii="宋体" w:hAnsi="宋体" w:cs="宋体"/>
        </w:rPr>
        <w:t>（1）整个平台系统可承受的最大吞吐量不低于400次/秒。</w:t>
      </w:r>
    </w:p>
    <w:p>
      <w:pPr>
        <w:snapToGrid w:val="0"/>
        <w:spacing w:line="440" w:lineRule="exact"/>
        <w:ind w:firstLine="480"/>
        <w:rPr>
          <w:rFonts w:hint="eastAsia" w:ascii="宋体" w:hAnsi="宋体" w:cs="宋体"/>
        </w:rPr>
      </w:pPr>
      <w:r>
        <w:rPr>
          <w:rFonts w:hint="eastAsia" w:ascii="宋体" w:hAnsi="宋体" w:cs="宋体"/>
        </w:rPr>
        <w:t>（2）数据库处理可承受的最大并发连接数不低于1000个。</w:t>
      </w:r>
    </w:p>
    <w:p>
      <w:pPr>
        <w:pStyle w:val="337"/>
        <w:snapToGrid w:val="0"/>
        <w:spacing w:line="440" w:lineRule="exact"/>
        <w:ind w:left="420" w:firstLine="0" w:firstLineChars="0"/>
        <w:rPr>
          <w:rFonts w:hint="eastAsia" w:ascii="宋体" w:hAnsi="宋体" w:cs="宋体"/>
          <w:b/>
          <w:bCs/>
        </w:rPr>
      </w:pPr>
      <w:r>
        <w:rPr>
          <w:rFonts w:hint="eastAsia" w:ascii="宋体" w:hAnsi="宋体" w:cs="宋体"/>
          <w:b/>
          <w:bCs/>
        </w:rPr>
        <w:t>3.可扩展性：</w:t>
      </w:r>
    </w:p>
    <w:p>
      <w:pPr>
        <w:snapToGrid w:val="0"/>
        <w:spacing w:line="440" w:lineRule="exact"/>
        <w:ind w:firstLine="480"/>
        <w:rPr>
          <w:rFonts w:hint="eastAsia" w:ascii="宋体" w:hAnsi="宋体" w:cs="宋体"/>
        </w:rPr>
      </w:pPr>
      <w:r>
        <w:rPr>
          <w:rFonts w:hint="eastAsia" w:ascii="宋体" w:hAnsi="宋体" w:cs="宋体"/>
        </w:rPr>
        <w:t>系统充分考虑后期硬件扩展、功能扩展、应用扩展、集成扩展等多层面的延伸，可满足用户需求不断发展的要求，便于系统程序的升级及扩展。</w:t>
      </w:r>
    </w:p>
    <w:p>
      <w:pPr>
        <w:pStyle w:val="337"/>
        <w:snapToGrid w:val="0"/>
        <w:spacing w:line="440" w:lineRule="exact"/>
        <w:ind w:left="420" w:firstLine="0" w:firstLineChars="0"/>
        <w:rPr>
          <w:rFonts w:hint="eastAsia" w:ascii="宋体" w:hAnsi="宋体" w:cs="宋体"/>
          <w:b/>
          <w:bCs/>
        </w:rPr>
      </w:pPr>
      <w:r>
        <w:rPr>
          <w:rFonts w:hint="eastAsia" w:ascii="宋体" w:hAnsi="宋体" w:cs="宋体"/>
          <w:b/>
          <w:bCs/>
        </w:rPr>
        <w:t>4.稳定性：</w:t>
      </w:r>
    </w:p>
    <w:p>
      <w:pPr>
        <w:snapToGrid w:val="0"/>
        <w:spacing w:line="440" w:lineRule="exact"/>
        <w:ind w:firstLine="480"/>
        <w:rPr>
          <w:rFonts w:hint="eastAsia" w:ascii="宋体" w:hAnsi="宋体" w:cs="宋体"/>
        </w:rPr>
      </w:pPr>
      <w:r>
        <w:rPr>
          <w:rFonts w:hint="eastAsia" w:ascii="宋体" w:hAnsi="宋体" w:cs="宋体"/>
        </w:rPr>
        <w:t>（1）系统可提备份和恢复，备份可自动进行。</w:t>
      </w:r>
    </w:p>
    <w:p>
      <w:pPr>
        <w:snapToGrid w:val="0"/>
        <w:spacing w:line="440" w:lineRule="exact"/>
        <w:ind w:firstLine="480"/>
        <w:rPr>
          <w:rFonts w:hint="eastAsia" w:ascii="宋体" w:hAnsi="宋体" w:cs="宋体"/>
        </w:rPr>
      </w:pPr>
      <w:r>
        <w:rPr>
          <w:rFonts w:hint="eastAsia" w:ascii="宋体" w:hAnsi="宋体" w:cs="宋体"/>
        </w:rPr>
        <w:t>（2）系统满足预次开发的需要。</w:t>
      </w:r>
    </w:p>
    <w:p>
      <w:pPr>
        <w:snapToGrid w:val="0"/>
        <w:spacing w:line="440" w:lineRule="exact"/>
        <w:ind w:firstLine="480"/>
        <w:rPr>
          <w:rFonts w:hint="eastAsia" w:ascii="宋体" w:hAnsi="宋体" w:cs="宋体"/>
        </w:rPr>
      </w:pPr>
      <w:r>
        <w:rPr>
          <w:rFonts w:hint="eastAsia" w:ascii="宋体" w:hAnsi="宋体" w:cs="宋体"/>
        </w:rPr>
        <w:t>（3）系统满足性能储量和处理能力的要求。</w:t>
      </w:r>
    </w:p>
    <w:p>
      <w:pPr>
        <w:snapToGrid w:val="0"/>
        <w:spacing w:line="440" w:lineRule="exact"/>
        <w:ind w:firstLine="480"/>
        <w:rPr>
          <w:rFonts w:hint="eastAsia" w:ascii="宋体" w:hAnsi="宋体" w:cs="宋体"/>
        </w:rPr>
      </w:pPr>
      <w:r>
        <w:rPr>
          <w:rFonts w:hint="eastAsia" w:ascii="宋体" w:hAnsi="宋体" w:cs="宋体"/>
        </w:rPr>
        <w:t>（4）系统具有完备权限。</w:t>
      </w:r>
    </w:p>
    <w:p>
      <w:pPr>
        <w:snapToGrid w:val="0"/>
        <w:spacing w:line="440" w:lineRule="exact"/>
        <w:ind w:firstLine="480"/>
        <w:rPr>
          <w:rFonts w:hint="eastAsia" w:ascii="宋体" w:hAnsi="宋体" w:cs="宋体"/>
        </w:rPr>
      </w:pPr>
      <w:r>
        <w:rPr>
          <w:rFonts w:hint="eastAsia" w:ascii="宋体" w:hAnsi="宋体" w:cs="宋体"/>
        </w:rPr>
        <w:t>（5）系统可提供检索到已经完成的所有操作情况。</w:t>
      </w:r>
    </w:p>
    <w:p>
      <w:pPr>
        <w:snapToGrid w:val="0"/>
        <w:spacing w:line="440" w:lineRule="exact"/>
        <w:ind w:firstLine="480"/>
        <w:rPr>
          <w:rFonts w:hint="eastAsia" w:ascii="宋体" w:hAnsi="宋体" w:cs="宋体"/>
          <w:highlight w:val="yellow"/>
        </w:rPr>
      </w:pPr>
      <w:r>
        <w:rPr>
          <w:rFonts w:hint="eastAsia" w:ascii="宋体" w:hAnsi="宋体" w:cs="宋体"/>
        </w:rPr>
        <w:t>（6）可靠性满足系统7×24小时不间断服务的要求。</w:t>
      </w:r>
    </w:p>
    <w:p>
      <w:pPr>
        <w:pStyle w:val="4"/>
        <w:snapToGrid w:val="0"/>
        <w:spacing w:before="0" w:after="0" w:line="440" w:lineRule="exact"/>
        <w:jc w:val="both"/>
        <w:rPr>
          <w:rFonts w:hint="eastAsia" w:ascii="宋体" w:hAnsi="宋体" w:eastAsia="宋体" w:cs="宋体"/>
          <w:highlight w:val="yellow"/>
        </w:rPr>
      </w:pPr>
      <w:r>
        <w:rPr>
          <w:rFonts w:hint="eastAsia" w:ascii="宋体" w:hAnsi="宋体" w:eastAsia="宋体" w:cs="宋体"/>
          <w:sz w:val="24"/>
          <w:szCs w:val="24"/>
        </w:rPr>
        <w:t>七、等保测评和软件第三方测评</w:t>
      </w:r>
    </w:p>
    <w:p>
      <w:pPr>
        <w:snapToGrid w:val="0"/>
        <w:spacing w:line="440" w:lineRule="exact"/>
        <w:ind w:firstLine="420"/>
        <w:rPr>
          <w:rFonts w:hint="eastAsia" w:ascii="宋体" w:hAnsi="宋体" w:cs="宋体"/>
        </w:rPr>
      </w:pPr>
      <w:r>
        <w:rPr>
          <w:rFonts w:hint="eastAsia" w:ascii="宋体" w:hAnsi="宋体" w:cs="宋体"/>
        </w:rPr>
        <w:t>供应商应组织第三方等保测评单位进行项目等级保护测评，与此次测评相关的费用已含在本项目内，供应商需要配合完成等保测评和整改工作，直至通过第三方安全等保测评。本项目要求为信息系统等级保护二级。</w:t>
      </w:r>
    </w:p>
    <w:p>
      <w:pPr>
        <w:snapToGrid w:val="0"/>
        <w:spacing w:line="440" w:lineRule="exact"/>
        <w:ind w:firstLine="420"/>
        <w:rPr>
          <w:rFonts w:hint="eastAsia" w:ascii="宋体" w:hAnsi="宋体" w:cs="宋体"/>
        </w:rPr>
      </w:pPr>
      <w:r>
        <w:rPr>
          <w:rFonts w:hint="eastAsia" w:ascii="宋体" w:hAnsi="宋体" w:cs="宋体"/>
        </w:rPr>
        <w:t>项目竣工验收前，系统须由第三方评测机构对系统功能和性能进行测试，中标人有义务作好配合工作，并对测试过程中出现的问题或缺陷进行整改，直至通过第三方测评，中标人应负责第三方评测所需的人员、工具、材料、仪器及一切费用。</w:t>
      </w:r>
    </w:p>
    <w:p>
      <w:pPr>
        <w:pStyle w:val="3"/>
        <w:snapToGrid w:val="0"/>
        <w:spacing w:before="0" w:after="0" w:line="440" w:lineRule="exact"/>
        <w:rPr>
          <w:rFonts w:hint="eastAsia" w:ascii="宋体" w:hAnsi="宋体" w:eastAsia="宋体" w:cs="宋体"/>
        </w:rPr>
      </w:pPr>
      <w:r>
        <w:rPr>
          <w:rFonts w:hint="eastAsia" w:ascii="宋体" w:hAnsi="宋体" w:eastAsia="宋体" w:cs="宋体"/>
          <w:sz w:val="24"/>
          <w:szCs w:val="24"/>
        </w:rPr>
        <w:t>八、运营及系统维护</w:t>
      </w:r>
    </w:p>
    <w:p>
      <w:pPr>
        <w:snapToGrid w:val="0"/>
        <w:spacing w:line="440" w:lineRule="exact"/>
        <w:ind w:firstLine="480"/>
        <w:rPr>
          <w:rFonts w:hint="eastAsia" w:ascii="宋体" w:hAnsi="宋体" w:cs="宋体"/>
          <w:highlight w:val="yellow"/>
        </w:rPr>
      </w:pPr>
      <w:r>
        <w:rPr>
          <w:rFonts w:hint="eastAsia" w:ascii="宋体" w:hAnsi="宋体" w:cs="宋体"/>
        </w:rPr>
        <w:t>派驻两名人员对软件系统进行日常的检查维护工作，保障系统的正常运转，为期三年；同时满足未来社区指标要求的同时，通过以”人“为本，多种运营机制结合的手段，实现可持续运营。</w:t>
      </w:r>
    </w:p>
    <w:p>
      <w:pPr>
        <w:pStyle w:val="3"/>
        <w:snapToGrid w:val="0"/>
        <w:spacing w:before="0" w:after="0" w:line="440" w:lineRule="exact"/>
        <w:rPr>
          <w:rFonts w:hint="eastAsia" w:ascii="宋体" w:hAnsi="宋体" w:eastAsia="宋体" w:cs="宋体"/>
          <w:highlight w:val="yellow"/>
        </w:rPr>
      </w:pPr>
      <w:r>
        <w:rPr>
          <w:rFonts w:hint="eastAsia" w:ascii="宋体" w:hAnsi="宋体" w:eastAsia="宋体" w:cs="宋体"/>
          <w:sz w:val="24"/>
          <w:szCs w:val="24"/>
        </w:rPr>
        <w:t>九、建设期</w:t>
      </w:r>
    </w:p>
    <w:p>
      <w:pPr>
        <w:snapToGrid w:val="0"/>
        <w:spacing w:line="440" w:lineRule="exact"/>
        <w:ind w:firstLine="480"/>
        <w:rPr>
          <w:rFonts w:hint="eastAsia" w:ascii="宋体" w:hAnsi="宋体" w:cs="宋体"/>
        </w:rPr>
      </w:pPr>
      <w:r>
        <w:rPr>
          <w:rFonts w:hint="eastAsia" w:ascii="宋体" w:hAnsi="宋体" w:cs="宋体"/>
        </w:rPr>
        <w:t>硬件工期：配合装修和市政工程进度，但不得影响其他专业工程进度。</w:t>
      </w:r>
    </w:p>
    <w:p>
      <w:pPr>
        <w:snapToGrid w:val="0"/>
        <w:spacing w:line="440" w:lineRule="exact"/>
        <w:ind w:firstLine="480"/>
        <w:rPr>
          <w:rFonts w:hint="eastAsia" w:ascii="宋体" w:hAnsi="宋体" w:cs="宋体"/>
        </w:rPr>
      </w:pPr>
      <w:r>
        <w:rPr>
          <w:rFonts w:hint="eastAsia" w:ascii="宋体" w:hAnsi="宋体" w:cs="宋体"/>
        </w:rPr>
        <w:t>软件工期：社区3D建模、驾驶舱以及多跨亮点要在2021年12月底前基本完成，具备初步展示效果，其他系统在合同签订后120天内完成系统开发并部署应用。</w:t>
      </w:r>
    </w:p>
    <w:p>
      <w:pPr>
        <w:snapToGrid w:val="0"/>
        <w:spacing w:line="440" w:lineRule="exact"/>
        <w:rPr>
          <w:rFonts w:ascii="宋体" w:hAnsi="宋体" w:cs="宋体"/>
          <w:highlight w:val="yellow"/>
        </w:rPr>
      </w:pPr>
      <w:r>
        <w:rPr>
          <w:rFonts w:hint="eastAsia" w:ascii="宋体" w:hAnsi="宋体" w:cs="宋体"/>
          <w:b/>
          <w:bCs/>
          <w:kern w:val="0"/>
          <w:sz w:val="24"/>
        </w:rPr>
        <w:t>十、付款条件</w:t>
      </w:r>
    </w:p>
    <w:p>
      <w:pPr>
        <w:snapToGrid w:val="0"/>
        <w:spacing w:line="440" w:lineRule="exact"/>
        <w:ind w:firstLine="420"/>
        <w:rPr>
          <w:rFonts w:ascii="宋体" w:hAnsi="宋体" w:cs="宋体"/>
        </w:rPr>
      </w:pPr>
      <w:r>
        <w:rPr>
          <w:rFonts w:hint="eastAsia" w:ascii="宋体" w:hAnsi="宋体" w:cs="宋体"/>
        </w:rPr>
        <w:t>1、付款方式</w:t>
      </w:r>
    </w:p>
    <w:p>
      <w:pPr>
        <w:snapToGrid w:val="0"/>
        <w:spacing w:line="440" w:lineRule="exact"/>
        <w:ind w:firstLine="420"/>
        <w:rPr>
          <w:rFonts w:hint="eastAsia" w:ascii="宋体" w:hAnsi="宋体" w:cs="宋体"/>
        </w:rPr>
      </w:pPr>
      <w:r>
        <w:rPr>
          <w:rFonts w:hint="eastAsia" w:ascii="宋体" w:hAnsi="宋体" w:cs="宋体"/>
        </w:rPr>
        <w:t>（1）软件付款: 合同签订后支付合同软件报价的30%，初验通过支付至软件报价的70%，试运行完成并通过有关部门最终验收合格后付至软件总价的100%，发票应随付款进度及时提供。</w:t>
      </w:r>
    </w:p>
    <w:p>
      <w:pPr>
        <w:snapToGrid w:val="0"/>
        <w:spacing w:line="440" w:lineRule="exact"/>
        <w:ind w:firstLine="420" w:firstLineChars="200"/>
        <w:rPr>
          <w:rFonts w:hint="eastAsia" w:ascii="宋体" w:hAnsi="宋体" w:cs="宋体"/>
        </w:rPr>
      </w:pPr>
      <w:r>
        <w:rPr>
          <w:rFonts w:hint="eastAsia" w:ascii="宋体" w:hAnsi="宋体" w:cs="宋体"/>
        </w:rPr>
        <w:t>（2）硬件付款：合同签订后支付合同硬件报价30%的备料款（备料款不扣回，抵作工程款），全部货物到现场后付至合同硬件报价的50%，硬件安装完毕，调试合格后调试合格后付至硬件报价的70%，项目验收合格后付至合同硬件部分金额的85%，经业主审核后付至结算价的100%。发票应随付款进度及时提供。</w:t>
      </w:r>
    </w:p>
    <w:p>
      <w:pPr>
        <w:snapToGrid w:val="0"/>
        <w:spacing w:line="440" w:lineRule="exact"/>
        <w:ind w:firstLine="420"/>
        <w:rPr>
          <w:rFonts w:hint="eastAsia" w:ascii="宋体" w:hAnsi="宋体" w:cs="宋体"/>
        </w:rPr>
      </w:pPr>
      <w:r>
        <w:rPr>
          <w:rFonts w:hint="eastAsia" w:ascii="宋体" w:hAnsi="宋体" w:cs="宋体"/>
        </w:rPr>
        <w:t>（3）其他付款：其他报价在项目验收合格后一次性付款。</w:t>
      </w:r>
    </w:p>
    <w:p>
      <w:pPr>
        <w:snapToGrid w:val="0"/>
        <w:spacing w:line="440" w:lineRule="exact"/>
        <w:ind w:firstLine="420"/>
        <w:rPr>
          <w:rFonts w:hint="eastAsia" w:ascii="宋体" w:hAnsi="宋体" w:cs="宋体"/>
        </w:rPr>
      </w:pPr>
      <w:r>
        <w:rPr>
          <w:rFonts w:hint="eastAsia" w:ascii="宋体" w:hAnsi="宋体" w:cs="宋体"/>
        </w:rPr>
        <w:t>2、当采购人可根据实际情况增加或减少工程量，中标人须无条件服从，并按实际工程量结算。工程量不论增减多少，单价不变，施工单位不得拒绝。结算时乙方必须根据实际使用量供货及安装，最终结算金额按实际使用量乘以成交单价进行计算。</w:t>
      </w:r>
    </w:p>
    <w:p>
      <w:pPr>
        <w:snapToGrid w:val="0"/>
        <w:spacing w:line="440" w:lineRule="exact"/>
        <w:ind w:firstLine="420"/>
        <w:rPr>
          <w:rFonts w:hint="eastAsia" w:ascii="宋体" w:hAnsi="宋体" w:cs="宋体"/>
        </w:rPr>
      </w:pPr>
      <w:r>
        <w:rPr>
          <w:rFonts w:hint="eastAsia" w:ascii="宋体" w:hAnsi="宋体" w:cs="宋体"/>
        </w:rPr>
        <w:t>3、增加的部分，仅支付设备费用、材料费及税金，其他相关费用不予支付。</w:t>
      </w:r>
    </w:p>
    <w:p>
      <w:pPr>
        <w:pStyle w:val="3"/>
        <w:snapToGrid w:val="0"/>
        <w:spacing w:before="0" w:after="0" w:line="440" w:lineRule="exact"/>
        <w:rPr>
          <w:rFonts w:hint="eastAsia" w:ascii="宋体" w:hAnsi="宋体" w:eastAsia="宋体" w:cs="宋体"/>
          <w:sz w:val="24"/>
          <w:szCs w:val="24"/>
        </w:rPr>
      </w:pPr>
      <w:r>
        <w:rPr>
          <w:rFonts w:hint="eastAsia" w:ascii="宋体" w:hAnsi="宋体" w:eastAsia="宋体" w:cs="宋体"/>
          <w:sz w:val="24"/>
          <w:szCs w:val="24"/>
        </w:rPr>
        <w:t>十一、质量要求</w:t>
      </w:r>
    </w:p>
    <w:p>
      <w:pPr>
        <w:snapToGrid w:val="0"/>
        <w:spacing w:line="440" w:lineRule="exact"/>
        <w:ind w:firstLine="480"/>
        <w:rPr>
          <w:rFonts w:hint="eastAsia" w:ascii="宋体" w:hAnsi="宋体" w:cs="宋体"/>
        </w:rPr>
      </w:pPr>
      <w:r>
        <w:rPr>
          <w:rFonts w:hint="eastAsia" w:ascii="宋体" w:hAnsi="宋体" w:cs="宋体"/>
        </w:rPr>
        <w:t>1、质量目标：</w:t>
      </w:r>
    </w:p>
    <w:p>
      <w:pPr>
        <w:snapToGrid w:val="0"/>
        <w:spacing w:line="440" w:lineRule="exact"/>
        <w:ind w:firstLine="480"/>
        <w:rPr>
          <w:rFonts w:hint="eastAsia" w:ascii="宋体" w:hAnsi="宋体" w:cs="宋体"/>
        </w:rPr>
      </w:pPr>
      <w:r>
        <w:rPr>
          <w:rFonts w:hint="eastAsia" w:ascii="宋体" w:hAnsi="宋体" w:cs="宋体"/>
        </w:rPr>
        <w:t>（1）合格及以上，符合国家规定的质量要求。</w:t>
      </w:r>
    </w:p>
    <w:p>
      <w:pPr>
        <w:snapToGrid w:val="0"/>
        <w:spacing w:line="440" w:lineRule="exact"/>
        <w:ind w:firstLine="480"/>
        <w:rPr>
          <w:rFonts w:hint="eastAsia" w:ascii="宋体" w:hAnsi="宋体" w:cs="宋体"/>
        </w:rPr>
      </w:pPr>
      <w:r>
        <w:rPr>
          <w:rFonts w:hint="eastAsia" w:ascii="宋体" w:hAnsi="宋体" w:cs="宋体"/>
        </w:rPr>
        <w:t>（2）货物验收过程中，由于质量不合格或运输等原因所造成的一切费用均由供应商负责。</w:t>
      </w:r>
    </w:p>
    <w:p>
      <w:pPr>
        <w:snapToGrid w:val="0"/>
        <w:spacing w:line="440" w:lineRule="exact"/>
        <w:ind w:firstLine="480"/>
        <w:rPr>
          <w:rFonts w:hint="eastAsia" w:ascii="宋体" w:hAnsi="宋体" w:cs="宋体"/>
        </w:rPr>
      </w:pPr>
      <w:r>
        <w:rPr>
          <w:rFonts w:hint="eastAsia" w:ascii="宋体" w:hAnsi="宋体" w:cs="宋体"/>
        </w:rPr>
        <w:t>（3）中标供应商须对因投标货物使用期内本身的固有缺陷和瑕疵承担责任。</w:t>
      </w:r>
    </w:p>
    <w:p>
      <w:pPr>
        <w:snapToGrid w:val="0"/>
        <w:spacing w:line="440" w:lineRule="exact"/>
        <w:ind w:firstLine="480"/>
        <w:rPr>
          <w:rFonts w:hint="eastAsia" w:ascii="宋体" w:hAnsi="宋体" w:cs="宋体"/>
        </w:rPr>
      </w:pPr>
      <w:r>
        <w:rPr>
          <w:rFonts w:hint="eastAsia" w:ascii="宋体" w:hAnsi="宋体" w:cs="宋体"/>
        </w:rPr>
        <w:t>▲2、保修期：软件免费维保期不少于三年，硬件免费保修期不少于五年</w:t>
      </w:r>
      <w:r>
        <w:rPr>
          <w:rFonts w:hint="eastAsia" w:ascii="宋体" w:hAnsi="宋体" w:cs="宋体"/>
          <w:lang w:eastAsia="zh-CN"/>
        </w:rPr>
        <w:t>，</w:t>
      </w:r>
      <w:r>
        <w:rPr>
          <w:rFonts w:hint="eastAsia" w:ascii="宋体" w:hAnsi="宋体" w:cs="宋体"/>
          <w:lang w:val="en-US" w:eastAsia="zh-CN"/>
        </w:rPr>
        <w:t>其他免费保修期参照技术参数要求实施。</w:t>
      </w:r>
      <w:r>
        <w:rPr>
          <w:rFonts w:hint="eastAsia" w:ascii="宋体" w:hAnsi="宋体" w:cs="宋体"/>
        </w:rPr>
        <w:t>（供应商可提供更优惠的保修期）</w:t>
      </w:r>
    </w:p>
    <w:p>
      <w:pPr>
        <w:snapToGrid w:val="0"/>
        <w:spacing w:line="440" w:lineRule="exact"/>
        <w:ind w:firstLine="480"/>
        <w:rPr>
          <w:rFonts w:hint="eastAsia" w:ascii="宋体" w:hAnsi="宋体" w:cs="宋体"/>
        </w:rPr>
      </w:pPr>
      <w:r>
        <w:rPr>
          <w:rFonts w:hint="eastAsia" w:ascii="宋体" w:hAnsi="宋体" w:cs="宋体"/>
        </w:rPr>
        <w:t>（1）保修期内，如因修理货物或更换部件，而非人为因素出现故障而造成短期停用时，则保修期和免费维修期相应顺延。如停用时间累计超过20天，则货物保修期重新计算。</w:t>
      </w:r>
    </w:p>
    <w:p>
      <w:pPr>
        <w:snapToGrid w:val="0"/>
        <w:spacing w:line="440" w:lineRule="exact"/>
        <w:ind w:firstLine="480"/>
        <w:rPr>
          <w:rFonts w:hint="eastAsia" w:ascii="宋体" w:hAnsi="宋体" w:cs="宋体"/>
        </w:rPr>
      </w:pPr>
      <w:r>
        <w:rPr>
          <w:rFonts w:hint="eastAsia" w:ascii="宋体" w:hAnsi="宋体" w:cs="宋体"/>
        </w:rPr>
        <w:t>（2）保修期内，采购人无须自行付费，中标供应商负责修理和替换任何由于货物自身的质量问题造成的损坏及故障。</w:t>
      </w:r>
    </w:p>
    <w:p>
      <w:pPr>
        <w:snapToGrid w:val="0"/>
        <w:spacing w:line="440" w:lineRule="exact"/>
        <w:ind w:firstLine="480"/>
        <w:rPr>
          <w:rFonts w:hint="eastAsia" w:ascii="宋体" w:hAnsi="宋体" w:cs="宋体"/>
        </w:rPr>
      </w:pPr>
      <w:r>
        <w:rPr>
          <w:rFonts w:hint="eastAsia" w:ascii="宋体" w:hAnsi="宋体" w:cs="宋体"/>
        </w:rPr>
        <w:t>（3）保修期内，须指定一名技术工程师专门负责本项目的售后服务工作；如有更换，须采购人同意。</w:t>
      </w:r>
    </w:p>
    <w:p>
      <w:pPr>
        <w:snapToGrid w:val="0"/>
        <w:spacing w:line="440" w:lineRule="exact"/>
        <w:ind w:firstLine="480"/>
        <w:rPr>
          <w:rFonts w:hint="eastAsia" w:ascii="宋体" w:hAnsi="宋体" w:cs="宋体"/>
        </w:rPr>
      </w:pPr>
      <w:r>
        <w:rPr>
          <w:rFonts w:hint="eastAsia" w:ascii="宋体" w:hAnsi="宋体" w:cs="宋体"/>
        </w:rPr>
        <w:t>（4）中标供应商在保修期内安装（更换）的任何零配件，必须是货物制造商原产的或是经采购人认可的。</w:t>
      </w:r>
    </w:p>
    <w:p>
      <w:pPr>
        <w:snapToGrid w:val="0"/>
        <w:spacing w:line="440" w:lineRule="exact"/>
        <w:ind w:firstLine="480"/>
        <w:rPr>
          <w:rFonts w:hint="eastAsia" w:ascii="宋体" w:hAnsi="宋体" w:cs="宋体"/>
        </w:rPr>
      </w:pPr>
      <w:r>
        <w:rPr>
          <w:rFonts w:hint="eastAsia" w:ascii="宋体" w:hAnsi="宋体" w:cs="宋体"/>
        </w:rPr>
        <w:t>（5）所有的替代零配件必须是新的未使用和未经修复的,除非最终用户提供书面许可，否则不可使用此范围外的其他（非新的）配件。</w:t>
      </w:r>
    </w:p>
    <w:p>
      <w:pPr>
        <w:snapToGrid w:val="0"/>
        <w:spacing w:line="440" w:lineRule="exact"/>
        <w:ind w:firstLine="480"/>
        <w:rPr>
          <w:rFonts w:hint="eastAsia" w:ascii="宋体" w:hAnsi="宋体" w:cs="宋体"/>
        </w:rPr>
      </w:pPr>
      <w:r>
        <w:rPr>
          <w:rFonts w:hint="eastAsia" w:ascii="宋体" w:hAnsi="宋体" w:cs="宋体"/>
        </w:rPr>
        <w:t>（6）保修期结束前，须由中标供应商和采购人进行一次全面检查，任何缺陷必须由中标供应商负责修理，在修理之后，中标供应商应将缺陷原因、修理内容、完成修理及恢复正常的时间和日期等报告给采购人，报告一式两份。</w:t>
      </w:r>
    </w:p>
    <w:p>
      <w:pPr>
        <w:snapToGrid w:val="0"/>
        <w:spacing w:line="440" w:lineRule="exact"/>
        <w:ind w:firstLine="480"/>
        <w:rPr>
          <w:rFonts w:hint="eastAsia"/>
        </w:rPr>
      </w:pPr>
      <w:r>
        <w:rPr>
          <w:rFonts w:hint="eastAsia" w:ascii="宋体" w:hAnsi="宋体" w:cs="宋体"/>
        </w:rPr>
        <w:t>（7）中标供应商或原厂家的承诺的保修期不符的，以最高标准为准，除非供应商事前正式声明，否则均视为认同，并将在合同中载明。</w:t>
      </w:r>
    </w:p>
    <w:p>
      <w:pPr>
        <w:pStyle w:val="3"/>
        <w:snapToGrid w:val="0"/>
        <w:spacing w:before="0" w:after="0" w:line="440" w:lineRule="exact"/>
        <w:rPr>
          <w:rFonts w:hint="eastAsia" w:ascii="宋体" w:hAnsi="宋体" w:eastAsia="宋体" w:cs="宋体"/>
          <w:sz w:val="24"/>
          <w:szCs w:val="24"/>
        </w:rPr>
      </w:pPr>
      <w:r>
        <w:rPr>
          <w:rFonts w:hint="eastAsia" w:ascii="宋体" w:hAnsi="宋体" w:eastAsia="宋体" w:cs="宋体"/>
          <w:sz w:val="24"/>
          <w:szCs w:val="24"/>
        </w:rPr>
        <w:t>十二、售后服务要求</w:t>
      </w:r>
    </w:p>
    <w:p>
      <w:pPr>
        <w:snapToGrid w:val="0"/>
        <w:spacing w:line="440" w:lineRule="exact"/>
        <w:ind w:firstLine="420"/>
        <w:rPr>
          <w:rFonts w:hint="eastAsia" w:ascii="宋体" w:hAnsi="宋体" w:cs="宋体"/>
        </w:rPr>
      </w:pPr>
      <w:r>
        <w:rPr>
          <w:rFonts w:hint="eastAsia" w:ascii="宋体" w:hAnsi="宋体" w:cs="宋体"/>
        </w:rPr>
        <w:t>1、中标人必须有可靠的售后服务保障，包括但不限于在台州附近有固定的维修服务点，能提供正常的技术、备品备件服务。当发生故障时，中标人在接到</w:t>
      </w:r>
      <w:r>
        <w:rPr>
          <w:rFonts w:hint="eastAsia" w:ascii="宋体" w:hAnsi="宋体" w:eastAsia="宋体" w:cs="宋体"/>
          <w:lang w:val="en-US" w:eastAsia="zh-CN"/>
        </w:rPr>
        <w:t>建设单位或实施单位</w:t>
      </w:r>
      <w:r>
        <w:rPr>
          <w:rFonts w:hint="eastAsia" w:ascii="宋体" w:hAnsi="宋体" w:eastAsia="宋体" w:cs="宋体"/>
        </w:rPr>
        <w:t>通知</w:t>
      </w:r>
      <w:r>
        <w:rPr>
          <w:rFonts w:hint="eastAsia" w:ascii="宋体" w:hAnsi="宋体" w:cs="宋体"/>
        </w:rPr>
        <w:t>后，临海及附近地区2小时内，外地4小时内派人赴现场处理设备质量问题。24小时内不能修复的，则无偿提供备机或备用零件供</w:t>
      </w:r>
      <w:r>
        <w:rPr>
          <w:rFonts w:hint="eastAsia" w:ascii="宋体" w:hAnsi="宋体" w:eastAsia="宋体" w:cs="宋体"/>
          <w:lang w:val="en-US" w:eastAsia="zh-CN"/>
        </w:rPr>
        <w:t>建设单位或实施单位</w:t>
      </w:r>
      <w:r>
        <w:rPr>
          <w:rFonts w:hint="eastAsia" w:ascii="宋体" w:hAnsi="宋体" w:cs="宋体"/>
        </w:rPr>
        <w:t>使用。</w:t>
      </w:r>
    </w:p>
    <w:p>
      <w:pPr>
        <w:snapToGrid w:val="0"/>
        <w:spacing w:line="440" w:lineRule="exact"/>
        <w:ind w:firstLine="420"/>
        <w:rPr>
          <w:rFonts w:hint="eastAsia" w:ascii="宋体" w:hAnsi="宋体" w:cs="宋体"/>
        </w:rPr>
      </w:pPr>
      <w:r>
        <w:rPr>
          <w:rFonts w:hint="eastAsia" w:ascii="宋体" w:hAnsi="宋体" w:cs="宋体"/>
        </w:rPr>
        <w:t>2、中标人服务维修人员均经过良好的系统技术培训，并有丰富的现场维修经验。</w:t>
      </w:r>
    </w:p>
    <w:p>
      <w:pPr>
        <w:snapToGrid w:val="0"/>
        <w:spacing w:line="440" w:lineRule="exact"/>
        <w:ind w:firstLine="420"/>
        <w:rPr>
          <w:rFonts w:hint="eastAsia"/>
        </w:rPr>
      </w:pPr>
      <w:r>
        <w:rPr>
          <w:rFonts w:hint="eastAsia" w:ascii="宋体" w:hAnsi="宋体" w:cs="宋体"/>
        </w:rPr>
        <w:t>3、若中标人未能满足上述售后服务要求中的任何一条，</w:t>
      </w:r>
      <w:r>
        <w:rPr>
          <w:rFonts w:hint="eastAsia" w:ascii="宋体" w:hAnsi="宋体" w:eastAsia="宋体" w:cs="宋体"/>
          <w:lang w:val="en-US" w:eastAsia="zh-CN"/>
        </w:rPr>
        <w:t>建设单位或实施单位</w:t>
      </w:r>
      <w:r>
        <w:rPr>
          <w:rFonts w:hint="eastAsia" w:ascii="宋体" w:hAnsi="宋体" w:cs="宋体"/>
        </w:rPr>
        <w:t>有权委托第三方单位提供售后服务，由此产生的一切费用由中标人承担。</w:t>
      </w:r>
    </w:p>
    <w:p>
      <w:pPr>
        <w:pStyle w:val="3"/>
        <w:snapToGrid w:val="0"/>
        <w:spacing w:before="0" w:after="0" w:line="440" w:lineRule="exact"/>
        <w:rPr>
          <w:rFonts w:hint="eastAsia" w:ascii="宋体" w:hAnsi="宋体" w:eastAsia="宋体" w:cs="宋体"/>
          <w:highlight w:val="yellow"/>
        </w:rPr>
      </w:pPr>
      <w:r>
        <w:rPr>
          <w:rFonts w:hint="eastAsia" w:ascii="宋体" w:hAnsi="宋体" w:eastAsia="宋体" w:cs="宋体"/>
          <w:sz w:val="24"/>
          <w:szCs w:val="24"/>
        </w:rPr>
        <w:t>十三、其他要求</w:t>
      </w:r>
    </w:p>
    <w:p>
      <w:pPr>
        <w:snapToGrid w:val="0"/>
        <w:spacing w:line="440" w:lineRule="exact"/>
        <w:ind w:firstLine="480"/>
        <w:rPr>
          <w:rFonts w:hint="eastAsia" w:ascii="宋体" w:hAnsi="宋体" w:cs="宋体"/>
        </w:rPr>
      </w:pPr>
      <w:r>
        <w:rPr>
          <w:rFonts w:hint="eastAsia" w:ascii="宋体" w:hAnsi="宋体" w:cs="宋体"/>
        </w:rPr>
        <w:t>1、所有产品和器件均应符合有关国家的标准及相关规定要</w:t>
      </w:r>
      <w:r>
        <w:rPr>
          <w:rFonts w:hint="eastAsia" w:ascii="宋体" w:hAnsi="宋体" w:cs="宋体"/>
          <w:color w:val="auto"/>
        </w:rPr>
        <w:t>求，且不得低于实施方案要求</w:t>
      </w:r>
      <w:r>
        <w:rPr>
          <w:rFonts w:hint="eastAsia" w:ascii="宋体" w:hAnsi="宋体" w:cs="宋体"/>
        </w:rPr>
        <w:t>。</w:t>
      </w:r>
    </w:p>
    <w:p>
      <w:pPr>
        <w:snapToGrid w:val="0"/>
        <w:spacing w:line="440" w:lineRule="exact"/>
        <w:ind w:firstLine="480"/>
        <w:rPr>
          <w:rFonts w:hint="eastAsia" w:ascii="宋体" w:hAnsi="宋体" w:cs="宋体"/>
        </w:rPr>
      </w:pPr>
      <w:r>
        <w:rPr>
          <w:rFonts w:hint="eastAsia" w:ascii="宋体" w:hAnsi="宋体" w:cs="宋体"/>
        </w:rPr>
        <w:t>2、本项目为交钥匙服务项目，中标人不得以任何理由增加费用。项目实施过程中可能涉及的所有财务成本已经包含投标总报价之中，对投标文件中未体现，但又是提供服务所必须的组件，中标方必须自行增加。同时，中标方需对服务项目建设及运营期间的安全责任问题及第三方责任赔偿负责，投标的报价包含实现标书的所有功能及安全保障工作，其应包括（但不限于）施工设备、劳务、管理、材料、系统集成、安装调试、软件开发、试运行、质保、保险、利润、税金、培训费、开办费、措施费、人身意外伤害保险费、第三方检测费用、备品备件费用、建设期财务费用、光纤租赁费用、安全文明施工设施费用、机房和网络建设费用、维修维护服务、设备使用电费、相关审批费用、政策性文件规定费用及合同包含的所有风险、责任等各项所有费用。为保证工程建设及售后服务质量，要求投标方的总体报价不得明显低于成本价。</w:t>
      </w:r>
    </w:p>
    <w:p>
      <w:pPr>
        <w:snapToGrid w:val="0"/>
        <w:spacing w:line="440" w:lineRule="exact"/>
        <w:ind w:firstLine="480"/>
        <w:rPr>
          <w:rFonts w:hint="eastAsia" w:ascii="宋体" w:hAnsi="宋体" w:cs="宋体"/>
        </w:rPr>
      </w:pPr>
      <w:r>
        <w:rPr>
          <w:rFonts w:hint="eastAsia" w:ascii="宋体" w:hAnsi="宋体" w:cs="宋体"/>
        </w:rPr>
        <w:t>3、因施工需要对原有建筑进行开槽、开洞、凿除等由本工程承包人恢复原样，相关费用包含在投标报价中，不另行计取。</w:t>
      </w:r>
    </w:p>
    <w:p>
      <w:pPr>
        <w:snapToGrid w:val="0"/>
        <w:spacing w:line="440" w:lineRule="exact"/>
        <w:ind w:firstLine="480"/>
        <w:rPr>
          <w:rFonts w:hint="eastAsia" w:ascii="宋体" w:hAnsi="宋体" w:cs="宋体"/>
        </w:rPr>
      </w:pPr>
      <w:r>
        <w:rPr>
          <w:rFonts w:hint="eastAsia" w:ascii="宋体" w:hAnsi="宋体" w:cs="宋体"/>
        </w:rPr>
        <w:t>4、脚手架、安全文明施工措施等措施费包含在投标报价中，不再另行计取。</w:t>
      </w:r>
    </w:p>
    <w:p>
      <w:pPr>
        <w:snapToGrid w:val="0"/>
        <w:spacing w:line="440" w:lineRule="exact"/>
        <w:ind w:firstLine="480"/>
        <w:rPr>
          <w:rFonts w:hint="eastAsia" w:ascii="宋体" w:hAnsi="宋体" w:cs="宋体"/>
        </w:rPr>
      </w:pPr>
      <w:r>
        <w:rPr>
          <w:rFonts w:hint="eastAsia" w:ascii="宋体" w:hAnsi="宋体" w:cs="宋体"/>
        </w:rPr>
        <w:t>5、由于本工程存在多个施工单位，如遇到本项目与其他工种的交界点不明确时，由采购人工程师来确定由哪一个单位实施，中标人不得拒绝施工。</w:t>
      </w:r>
    </w:p>
    <w:p>
      <w:pPr>
        <w:snapToGrid w:val="0"/>
        <w:spacing w:line="440" w:lineRule="exact"/>
        <w:ind w:firstLine="480"/>
        <w:rPr>
          <w:rFonts w:hint="eastAsia" w:ascii="宋体" w:hAnsi="宋体" w:cs="宋体"/>
        </w:rPr>
      </w:pPr>
      <w:r>
        <w:rPr>
          <w:rFonts w:hint="eastAsia" w:ascii="宋体" w:hAnsi="宋体" w:cs="宋体"/>
        </w:rPr>
        <w:t>6、本工程结算时以实际发生的工程量为准。</w:t>
      </w:r>
    </w:p>
    <w:p>
      <w:pPr>
        <w:snapToGrid w:val="0"/>
        <w:spacing w:line="440" w:lineRule="exact"/>
        <w:ind w:firstLine="480"/>
        <w:rPr>
          <w:rFonts w:hint="eastAsia" w:ascii="宋体" w:hAnsi="宋体" w:cs="宋体"/>
        </w:rPr>
      </w:pPr>
      <w:r>
        <w:rPr>
          <w:rFonts w:hint="eastAsia" w:ascii="宋体" w:hAnsi="宋体" w:cs="宋体"/>
        </w:rPr>
        <w:t>7、智能化设备强电电源接入点位置（现状情况）须由投标单位自行现场踏勘，电源接入点到保证智能化设备设施以及充电桩等投标清单内的产品正常使用而必须的电气连接（包含电线、电缆、开关、插座、断路器和箱体等）均已包含在投标费用中，不再另行记取。</w:t>
      </w:r>
    </w:p>
    <w:p>
      <w:pPr>
        <w:snapToGrid w:val="0"/>
        <w:spacing w:line="440" w:lineRule="exact"/>
        <w:ind w:firstLine="480"/>
        <w:rPr>
          <w:rFonts w:hint="eastAsia" w:ascii="宋体" w:hAnsi="宋体" w:cs="宋体"/>
        </w:rPr>
      </w:pPr>
      <w:r>
        <w:rPr>
          <w:rFonts w:hint="eastAsia" w:ascii="宋体" w:hAnsi="宋体" w:cs="宋体"/>
        </w:rPr>
        <w:t>▲8、本项目的全域应用能力中心底座、数据仓库、AIOT 中台、云计算资源为全市统建，打造临海市社区能力复用底座，后续可兼容临海市其他社区，实现服务资源的标准化与统一，投标人必须在投标文件中做出承诺，为后续的社区（包含未来社区）的接入及二次开发提供必要的接口和协议等相关支持条件，不得再额外收取费用。</w:t>
      </w:r>
    </w:p>
    <w:p>
      <w:pPr>
        <w:snapToGrid w:val="0"/>
        <w:spacing w:line="440" w:lineRule="exact"/>
        <w:ind w:firstLine="480"/>
        <w:rPr>
          <w:rFonts w:hint="eastAsia" w:ascii="宋体" w:hAnsi="宋体" w:cs="宋体"/>
        </w:rPr>
      </w:pPr>
      <w:r>
        <w:rPr>
          <w:rFonts w:hint="eastAsia" w:ascii="宋体" w:hAnsi="宋体" w:cs="宋体"/>
        </w:rPr>
        <w:t>9、本工程结算时以实际发生的工程量为准。</w:t>
      </w:r>
    </w:p>
    <w:p>
      <w:pPr>
        <w:snapToGrid w:val="0"/>
        <w:spacing w:line="440" w:lineRule="exact"/>
        <w:ind w:firstLine="480"/>
        <w:rPr>
          <w:rFonts w:hint="eastAsia" w:ascii="宋体" w:hAnsi="宋体" w:cs="宋体"/>
        </w:rPr>
      </w:pPr>
      <w:r>
        <w:rPr>
          <w:rFonts w:hint="eastAsia" w:ascii="宋体" w:hAnsi="宋体" w:cs="宋体"/>
        </w:rPr>
        <w:t>10、项目建设成果的相关知识产权归采购人所有，但中标人在项目建设前已经合法拥有的知识产权不发生转移，仍归中标人所有。</w:t>
      </w:r>
    </w:p>
    <w:p>
      <w:pPr>
        <w:snapToGrid w:val="0"/>
        <w:spacing w:line="440" w:lineRule="exact"/>
        <w:ind w:firstLine="480"/>
        <w:rPr>
          <w:rFonts w:ascii="宋体" w:hAnsi="宋体" w:cs="宋体"/>
        </w:rPr>
      </w:pPr>
      <w:r>
        <w:rPr>
          <w:rFonts w:hint="eastAsia" w:ascii="宋体" w:hAnsi="宋体" w:cs="宋体"/>
        </w:rPr>
        <w:t>11、</w:t>
      </w:r>
      <w:r>
        <w:rPr>
          <w:rFonts w:ascii="宋体" w:hAnsi="宋体" w:cs="宋体"/>
        </w:rPr>
        <w:t>本项目纳入总承包管理，总承包服务费按3%计取，结算时按上述项目结算价的20%作为基数计算总承包服务费，由中标人进行支付。</w:t>
      </w:r>
    </w:p>
    <w:p>
      <w:pPr>
        <w:spacing w:line="400" w:lineRule="exact"/>
        <w:jc w:val="center"/>
        <w:rPr>
          <w:rFonts w:ascii="宋体" w:hAnsi="宋体"/>
          <w:b/>
          <w:color w:val="000000"/>
          <w:sz w:val="30"/>
          <w:szCs w:val="30"/>
        </w:rPr>
      </w:pPr>
      <w:r>
        <w:rPr>
          <w:rFonts w:ascii="宋体" w:hAnsi="宋体"/>
          <w:color w:val="000000"/>
          <w:sz w:val="24"/>
        </w:rPr>
        <w:br w:type="page"/>
      </w:r>
      <w:bookmarkStart w:id="9" w:name="_Toc466534749"/>
      <w:r>
        <w:rPr>
          <w:rFonts w:hint="eastAsia" w:ascii="宋体" w:hAnsi="宋体"/>
          <w:b/>
          <w:color w:val="000000"/>
          <w:sz w:val="30"/>
          <w:szCs w:val="30"/>
        </w:rPr>
        <w:t>第三章  投标人须知</w:t>
      </w:r>
      <w:bookmarkEnd w:id="9"/>
    </w:p>
    <w:p>
      <w:pPr>
        <w:snapToGrid w:val="0"/>
        <w:spacing w:beforeLines="50" w:afterLines="50"/>
        <w:ind w:left="476"/>
        <w:jc w:val="center"/>
        <w:rPr>
          <w:rFonts w:hint="eastAsia" w:ascii="宋体" w:hAnsi="宋体"/>
          <w:b/>
          <w:color w:val="000000"/>
          <w:szCs w:val="21"/>
        </w:rPr>
      </w:pPr>
      <w:r>
        <w:rPr>
          <w:rFonts w:hint="eastAsia" w:ascii="宋体" w:hAnsi="宋体"/>
          <w:b/>
          <w:color w:val="000000"/>
          <w:szCs w:val="21"/>
        </w:rPr>
        <w:t>前附表</w:t>
      </w:r>
    </w:p>
    <w:tbl>
      <w:tblPr>
        <w:tblStyle w:val="4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88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color w:val="000000"/>
                <w:sz w:val="24"/>
              </w:rPr>
            </w:pPr>
            <w:r>
              <w:rPr>
                <w:rFonts w:hint="eastAsia" w:ascii="宋体" w:hAnsi="宋体"/>
                <w:b/>
                <w:color w:val="000000"/>
                <w:sz w:val="24"/>
              </w:rPr>
              <w:t>序号</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color w:val="000000"/>
                <w:sz w:val="24"/>
              </w:rPr>
            </w:pPr>
            <w:r>
              <w:rPr>
                <w:rFonts w:hint="eastAsia" w:ascii="宋体" w:hAnsi="宋体"/>
                <w:b/>
                <w:color w:val="000000"/>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5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1</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pStyle w:val="43"/>
              <w:snapToGrid w:val="0"/>
              <w:spacing w:before="0" w:beforeAutospacing="0" w:after="0" w:afterAutospacing="0" w:line="320" w:lineRule="exact"/>
              <w:rPr>
                <w:rFonts w:hint="eastAsia"/>
                <w:color w:val="000000"/>
                <w:kern w:val="2"/>
              </w:rPr>
            </w:pPr>
            <w:r>
              <w:rPr>
                <w:rFonts w:hint="eastAsia"/>
                <w:color w:val="000000"/>
                <w:kern w:val="2"/>
              </w:rPr>
              <w:t>项目名称：</w:t>
            </w:r>
            <w:r>
              <w:rPr>
                <w:rFonts w:hint="eastAsia"/>
                <w:color w:val="000000"/>
                <w:kern w:val="2"/>
                <w:u w:val="single"/>
              </w:rPr>
              <w:t>临海市大洋未来社区数字化项目</w:t>
            </w:r>
            <w:r>
              <w:rPr>
                <w:rFonts w:hint="eastAsia"/>
                <w:kern w:val="2"/>
              </w:rPr>
              <w:t>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2"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2</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ascii="宋体" w:hAnsi="宋体"/>
                <w:color w:val="000000"/>
                <w:sz w:val="24"/>
              </w:rPr>
            </w:pPr>
            <w:r>
              <w:rPr>
                <w:rFonts w:hint="eastAsia" w:ascii="宋体" w:hAnsi="宋体"/>
                <w:color w:val="000000"/>
                <w:sz w:val="24"/>
              </w:rPr>
              <w:t>采购内容及数量：详见“第二章 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2"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3</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ascii="宋体" w:hAnsi="宋体"/>
                <w:sz w:val="24"/>
              </w:rPr>
            </w:pPr>
            <w:r>
              <w:rPr>
                <w:rFonts w:hint="eastAsia" w:ascii="宋体" w:hAnsi="宋体"/>
                <w:sz w:val="24"/>
              </w:rPr>
              <w:t>投标报价及费用：1、本项目投标应以人民币报价；2、不论投标结果如何，投标人均应自行承担所有与投标有关的全部费用；</w:t>
            </w:r>
            <w:r>
              <w:rPr>
                <w:rFonts w:hint="eastAsia" w:ascii="宋体" w:hAnsi="宋体"/>
                <w:b/>
                <w:bCs/>
                <w:sz w:val="24"/>
              </w:rPr>
              <w:t>3、本项目代理服务费根据中标价按国家计委《招标代理服务收费管理暂行办法》（计价格[2002]1980号）及发改办价格[2003]857号文件规定取费标准</w:t>
            </w:r>
            <w:r>
              <w:rPr>
                <w:rFonts w:hint="eastAsia" w:ascii="宋体" w:hAnsi="宋体"/>
                <w:b/>
                <w:bCs/>
                <w:sz w:val="24"/>
                <w:lang w:val="en-US" w:eastAsia="zh-CN"/>
              </w:rPr>
              <w:t>七折</w:t>
            </w:r>
            <w:r>
              <w:rPr>
                <w:rFonts w:hint="eastAsia" w:ascii="宋体" w:hAnsi="宋体"/>
                <w:b/>
                <w:bCs/>
                <w:sz w:val="24"/>
              </w:rPr>
              <w:t>计取，由成交供应商支付给采购代理机构，在采购代理机构发出成交通知书前一次性付清招标代理服务费用。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4</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hint="eastAsia" w:ascii="宋体" w:hAnsi="宋体"/>
                <w:sz w:val="24"/>
              </w:rPr>
            </w:pPr>
            <w:r>
              <w:rPr>
                <w:rFonts w:hint="eastAsia" w:ascii="宋体" w:hAnsi="宋体"/>
                <w:b/>
                <w:bCs/>
                <w:sz w:val="24"/>
              </w:rPr>
              <w:t>现场踏勘</w:t>
            </w:r>
            <w:r>
              <w:rPr>
                <w:rFonts w:hint="eastAsia" w:ascii="宋体" w:hAnsi="宋体"/>
                <w:sz w:val="24"/>
              </w:rPr>
              <w:t>：投标人可对</w:t>
            </w:r>
            <w:r>
              <w:rPr>
                <w:rFonts w:ascii="宋体" w:hAnsi="宋体"/>
                <w:sz w:val="24"/>
              </w:rPr>
              <w:t>项目</w:t>
            </w:r>
            <w:r>
              <w:rPr>
                <w:rFonts w:hint="eastAsia" w:ascii="宋体" w:hAnsi="宋体"/>
                <w:sz w:val="24"/>
              </w:rPr>
              <w:t>现场和周围环境进行踏勘，现场踏勘时投标人按照图纸（如有）、招标文件等技术性资料比对现场实际参数，如有问题，由投标人发起书面质疑，如无质疑，即认为满足采购条件，由投标人承担相应风险。踏勘现场所发生的费用由投标人自己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2"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5</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ascii="宋体" w:hAnsi="宋体"/>
                <w:b/>
                <w:sz w:val="24"/>
              </w:rPr>
            </w:pPr>
            <w:r>
              <w:rPr>
                <w:rFonts w:hint="eastAsia" w:ascii="宋体" w:hAnsi="宋体"/>
                <w:b/>
                <w:sz w:val="24"/>
              </w:rPr>
              <w:t>答疑与澄清</w:t>
            </w:r>
            <w:r>
              <w:rPr>
                <w:rFonts w:hint="eastAsia" w:ascii="宋体" w:hAnsi="宋体"/>
                <w:sz w:val="24"/>
              </w:rPr>
              <w:t>：</w:t>
            </w:r>
            <w:r>
              <w:rPr>
                <w:rFonts w:hint="eastAsia" w:ascii="宋体" w:hAnsi="宋体"/>
                <w:b/>
                <w:sz w:val="24"/>
              </w:rPr>
              <w:t>潜在投标人已依法获取其可质疑的采购文件的，可以以书面形式（参照政府采购质疑函范本）向招标人就该文件提出质疑。对采购文件提出质疑的，应当在获取采购文件或者采购文件公告期限届满之日起7个工作日内以书面形式提出，否则被质疑人可不予接受。</w:t>
            </w:r>
            <w:r>
              <w:rPr>
                <w:rFonts w:hint="eastAsia" w:ascii="宋体" w:hAnsi="宋体"/>
                <w:b/>
                <w:sz w:val="24"/>
                <w:shd w:val="pct10" w:color="auto" w:fill="FFFFFF"/>
              </w:rPr>
              <w:t>投标人在法定质疑期内应一次性提出针对同一采购程序环节的质疑。</w:t>
            </w:r>
            <w:r>
              <w:rPr>
                <w:rFonts w:hint="eastAsia" w:ascii="宋体" w:hAnsi="宋体"/>
                <w:sz w:val="24"/>
                <w:shd w:val="pct10" w:color="auto" w:fill="FFFFFF"/>
              </w:rPr>
              <w:t>招</w:t>
            </w:r>
            <w:r>
              <w:rPr>
                <w:rFonts w:hint="eastAsia" w:ascii="宋体" w:hAnsi="宋体"/>
                <w:sz w:val="24"/>
              </w:rPr>
              <w:t>标人对已发出的招标文件进行必要的澄清、答复、修改和补充将以更正公告的形式，通过采购公告发布的网站予以发布。</w:t>
            </w: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2"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6</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ascii="宋体" w:hAnsi="宋体"/>
                <w:sz w:val="24"/>
              </w:rPr>
            </w:pPr>
            <w:r>
              <w:rPr>
                <w:rFonts w:hint="eastAsia" w:ascii="宋体" w:hAnsi="宋体"/>
                <w:sz w:val="24"/>
              </w:rPr>
              <w:t>投标截止时间、开标时间及地点：详见“第一章  投标邀请”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7</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textAlignment w:val="bottom"/>
              <w:rPr>
                <w:rFonts w:ascii="宋体" w:hAnsi="宋体"/>
                <w:sz w:val="24"/>
              </w:rPr>
            </w:pPr>
            <w:r>
              <w:rPr>
                <w:rFonts w:hint="eastAsia" w:ascii="宋体" w:hAnsi="宋体"/>
                <w:sz w:val="24"/>
              </w:rPr>
              <w:t>评标办法</w:t>
            </w:r>
            <w:r>
              <w:rPr>
                <w:rFonts w:hint="eastAsia" w:ascii="宋体" w:hAnsi="宋体"/>
                <w:b/>
                <w:sz w:val="24"/>
              </w:rPr>
              <w:t>：</w:t>
            </w:r>
            <w:r>
              <w:rPr>
                <w:rFonts w:hint="eastAsia" w:ascii="宋体" w:hAnsi="宋体"/>
                <w:sz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96"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8</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textAlignment w:val="bottom"/>
              <w:rPr>
                <w:rFonts w:ascii="宋体" w:hAnsi="宋体"/>
                <w:sz w:val="24"/>
              </w:rPr>
            </w:pPr>
            <w:r>
              <w:rPr>
                <w:rFonts w:hint="eastAsia" w:ascii="宋体" w:hAnsi="宋体"/>
                <w:b/>
                <w:sz w:val="24"/>
                <w:shd w:val="pct10" w:color="auto" w:fill="FFFFFF"/>
              </w:rPr>
              <w:t>▲</w:t>
            </w:r>
            <w:r>
              <w:rPr>
                <w:rFonts w:hint="eastAsia" w:ascii="宋体" w:hAnsi="宋体"/>
                <w:sz w:val="24"/>
              </w:rPr>
              <w:t>投标有效期：自投标截止日起</w:t>
            </w:r>
            <w:r>
              <w:rPr>
                <w:rFonts w:hint="eastAsia" w:ascii="宋体" w:hAnsi="宋体"/>
                <w:sz w:val="24"/>
                <w:u w:val="single"/>
              </w:rPr>
              <w:t xml:space="preserve"> 90 </w:t>
            </w:r>
            <w:r>
              <w:rPr>
                <w:rFonts w:hint="eastAsia" w:ascii="宋体" w:hAnsi="宋体"/>
                <w:sz w:val="24"/>
              </w:rPr>
              <w:t>天投标文件应保持有效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1"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9</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textAlignment w:val="bottom"/>
              <w:rPr>
                <w:rFonts w:ascii="宋体" w:hAnsi="宋体"/>
                <w:b/>
                <w:sz w:val="24"/>
                <w:u w:val="single"/>
              </w:rPr>
            </w:pPr>
            <w:r>
              <w:rPr>
                <w:rFonts w:hint="eastAsia" w:ascii="宋体" w:hAnsi="宋体"/>
                <w:b/>
                <w:sz w:val="24"/>
                <w:u w:val="single"/>
                <w:shd w:val="pct10" w:color="auto" w:fill="FFFFFF"/>
              </w:rPr>
              <w:t>实质性条款：带▲是实质性条款，投标人不得负偏离或内容缺失，否则为无效标。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7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10</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textAlignment w:val="bottom"/>
              <w:rPr>
                <w:rFonts w:ascii="宋体" w:hAnsi="宋体"/>
                <w:sz w:val="24"/>
              </w:rPr>
            </w:pPr>
            <w:r>
              <w:rPr>
                <w:rFonts w:hint="eastAsia" w:ascii="宋体" w:hAnsi="宋体"/>
                <w:sz w:val="24"/>
              </w:rPr>
              <w:t>评标结果公示：评标结束后2天内，评标结果公示于</w:t>
            </w:r>
            <w:r>
              <w:rPr>
                <w:rFonts w:hint="eastAsia" w:ascii="宋体" w:hAnsi="宋体" w:cs="Arial"/>
                <w:sz w:val="24"/>
              </w:rPr>
              <w:t>采购公告发布的网站。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11</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textAlignment w:val="bottom"/>
              <w:rPr>
                <w:rFonts w:ascii="宋体" w:hAnsi="宋体"/>
                <w:sz w:val="24"/>
              </w:rPr>
            </w:pPr>
            <w:r>
              <w:rPr>
                <w:rFonts w:hint="eastAsia" w:ascii="宋体" w:hAnsi="宋体"/>
                <w:sz w:val="24"/>
              </w:rPr>
              <w:t>中标公告及中标通知书：评标结束后</w:t>
            </w:r>
            <w:r>
              <w:rPr>
                <w:rFonts w:ascii="宋体" w:hAnsi="宋体"/>
                <w:sz w:val="24"/>
              </w:rPr>
              <w:t>7</w:t>
            </w:r>
            <w:r>
              <w:rPr>
                <w:rFonts w:hint="eastAsia" w:ascii="宋体" w:hAnsi="宋体"/>
                <w:sz w:val="24"/>
              </w:rPr>
              <w:t>个工作日内，中标公告发布于上述媒体；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12</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textAlignment w:val="bottom"/>
              <w:rPr>
                <w:rFonts w:ascii="宋体" w:hAnsi="宋体"/>
                <w:sz w:val="24"/>
              </w:rPr>
            </w:pPr>
            <w:r>
              <w:rPr>
                <w:rFonts w:hint="eastAsia" w:ascii="宋体" w:hAnsi="宋体"/>
                <w:sz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13</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textAlignment w:val="bottom"/>
              <w:rPr>
                <w:rFonts w:hint="eastAsia" w:ascii="宋体" w:hAnsi="宋体"/>
                <w:sz w:val="24"/>
              </w:rPr>
            </w:pPr>
            <w:r>
              <w:rPr>
                <w:rFonts w:hint="eastAsia"/>
              </w:rPr>
              <w:t>▲</w:t>
            </w:r>
            <w:r>
              <w:rPr>
                <w:rFonts w:hint="eastAsia" w:ascii="宋体" w:hAnsi="宋体"/>
                <w:sz w:val="24"/>
              </w:rPr>
              <w:t>付款方式：（1）软件付款: 合同签订后支付合同软件报价的30%，初验通过支付至软件报价的70%，试运行完成并通过有关部门最终验收合格后付至软件总价的100%，发票应随付款进度及时提供。</w:t>
            </w:r>
          </w:p>
          <w:p>
            <w:pPr>
              <w:autoSpaceDE w:val="0"/>
              <w:autoSpaceDN w:val="0"/>
              <w:snapToGrid w:val="0"/>
              <w:spacing w:line="320" w:lineRule="exact"/>
              <w:textAlignment w:val="bottom"/>
              <w:rPr>
                <w:rFonts w:hint="eastAsia" w:ascii="宋体" w:hAnsi="宋体"/>
                <w:sz w:val="24"/>
              </w:rPr>
            </w:pPr>
            <w:r>
              <w:rPr>
                <w:rFonts w:hint="eastAsia" w:ascii="宋体" w:hAnsi="宋体"/>
                <w:sz w:val="24"/>
              </w:rPr>
              <w:t>（2）硬件付款：合同签订后支付合同硬件报价30%的备料款（备料款不扣回，抵作工程款），全部货物到现场后付至合同硬件报价的50%，硬件安装完毕，调试合格后调试合格后付至硬件报价的70%，项目验收合格后付至合同硬件部分金额的85%，经业主审核后付至结算价的100%。发票应随付款进度及时提供。</w:t>
            </w:r>
          </w:p>
          <w:p>
            <w:pPr>
              <w:autoSpaceDE w:val="0"/>
              <w:autoSpaceDN w:val="0"/>
              <w:snapToGrid w:val="0"/>
              <w:spacing w:line="320" w:lineRule="exact"/>
              <w:textAlignment w:val="bottom"/>
              <w:rPr>
                <w:rFonts w:hint="eastAsia" w:ascii="宋体" w:hAnsi="宋体"/>
                <w:b/>
                <w:bCs/>
                <w:color w:val="00B050"/>
                <w:sz w:val="24"/>
              </w:rPr>
            </w:pPr>
            <w:r>
              <w:rPr>
                <w:rFonts w:hint="eastAsia" w:ascii="宋体" w:hAnsi="宋体"/>
                <w:sz w:val="24"/>
              </w:rPr>
              <w:t>（3）其他付款：其他报价在项目验收合格后一次性付款。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14</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textAlignment w:val="bottom"/>
              <w:rPr>
                <w:rFonts w:ascii="宋体" w:hAnsi="宋体"/>
                <w:sz w:val="24"/>
              </w:rPr>
            </w:pPr>
            <w:r>
              <w:rPr>
                <w:rFonts w:hint="eastAsia" w:ascii="宋体" w:hAnsi="宋体"/>
                <w:sz w:val="24"/>
              </w:rPr>
              <w:t>履约保证金的收取及退还:按中标价的</w:t>
            </w:r>
            <w:r>
              <w:rPr>
                <w:rFonts w:ascii="宋体" w:hAnsi="宋体"/>
                <w:sz w:val="24"/>
              </w:rPr>
              <w:t>3</w:t>
            </w:r>
            <w:r>
              <w:rPr>
                <w:rFonts w:hint="eastAsia" w:ascii="宋体" w:hAnsi="宋体"/>
                <w:sz w:val="24"/>
              </w:rPr>
              <w:t>%收取，</w:t>
            </w:r>
            <w:r>
              <w:rPr>
                <w:rFonts w:hint="eastAsia" w:ascii="宋体" w:hAnsi="宋体"/>
                <w:b/>
                <w:sz w:val="24"/>
                <w:u w:val="single"/>
                <w:shd w:val="pct10" w:color="auto" w:fill="FFFFFF"/>
              </w:rPr>
              <w:t>领取中标通知书前缴纳至临海市公共资源交易中心账户。</w:t>
            </w:r>
            <w:r>
              <w:rPr>
                <w:rFonts w:hint="eastAsia" w:ascii="宋体" w:hAnsi="宋体"/>
                <w:sz w:val="24"/>
              </w:rPr>
              <w:t>验收合格后</w:t>
            </w:r>
            <w:r>
              <w:rPr>
                <w:rFonts w:hint="eastAsia" w:ascii="宋体" w:hAnsi="宋体"/>
                <w:sz w:val="24"/>
                <w:lang w:val="zh-CN"/>
              </w:rPr>
              <w:t>凭《临海市政府采购验收单》向临海市公共资源交易中心无息退还。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15</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textAlignment w:val="bottom"/>
              <w:rPr>
                <w:rFonts w:ascii="宋体" w:hAnsi="宋体"/>
                <w:color w:val="000000"/>
                <w:sz w:val="24"/>
              </w:rPr>
            </w:pPr>
            <w:r>
              <w:rPr>
                <w:rFonts w:hint="eastAsia" w:ascii="宋体" w:hAnsi="宋体"/>
                <w:color w:val="000000"/>
                <w:sz w:val="24"/>
              </w:rPr>
              <w:t>解释：本招标文件的解释权属于招标人。</w:t>
            </w:r>
            <w:r>
              <w:rPr>
                <w:rFonts w:hint="eastAsia" w:ascii="宋体" w:hAnsi="宋体"/>
                <w:b/>
                <w:bCs/>
                <w:sz w:val="24"/>
                <w:u w:val="single"/>
                <w:shd w:val="pct10" w:color="auto" w:fill="FFFFFF"/>
              </w:rPr>
              <w:t>本招标文件如临海市公共资源交易中心网站上发布的内容与浙江省政府采购网上发布的内容有不一致的，以浙江省政府采购网上发布的内容为准，并请及时告知采购项目联系人。</w:t>
            </w:r>
          </w:p>
        </w:tc>
      </w:tr>
    </w:tbl>
    <w:p>
      <w:pPr>
        <w:pStyle w:val="27"/>
        <w:snapToGrid w:val="0"/>
        <w:spacing w:before="120" w:after="120"/>
        <w:rPr>
          <w:rFonts w:hAnsi="宋体"/>
          <w:b/>
          <w:color w:val="000000"/>
        </w:rPr>
      </w:pPr>
      <w:r>
        <w:rPr>
          <w:rFonts w:hAnsi="宋体"/>
          <w:b/>
          <w:color w:val="000000"/>
        </w:rPr>
        <w:br w:type="page"/>
      </w:r>
      <w:r>
        <w:rPr>
          <w:rFonts w:hint="eastAsia" w:hAnsi="宋体"/>
          <w:b/>
          <w:color w:val="000000"/>
        </w:rPr>
        <w:t>一 、总  则</w:t>
      </w:r>
    </w:p>
    <w:p>
      <w:pPr>
        <w:snapToGrid w:val="0"/>
        <w:spacing w:line="400" w:lineRule="exact"/>
        <w:ind w:firstLine="472" w:firstLineChars="196"/>
        <w:jc w:val="left"/>
        <w:rPr>
          <w:rFonts w:ascii="宋体" w:hAnsi="宋体"/>
          <w:b/>
          <w:color w:val="000000"/>
          <w:sz w:val="24"/>
        </w:rPr>
      </w:pPr>
      <w:r>
        <w:rPr>
          <w:rFonts w:hint="eastAsia" w:ascii="宋体" w:hAnsi="宋体"/>
          <w:b/>
          <w:color w:val="000000"/>
          <w:sz w:val="24"/>
        </w:rPr>
        <w:t>（一）适用范围</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本招标文件适用于本项目的招标、投标、评标、定标、验收、合同履约、付款等行为。</w:t>
      </w:r>
    </w:p>
    <w:p>
      <w:pPr>
        <w:snapToGrid w:val="0"/>
        <w:spacing w:beforeLines="50" w:line="400" w:lineRule="exact"/>
        <w:ind w:firstLine="354" w:firstLineChars="147"/>
        <w:jc w:val="left"/>
        <w:rPr>
          <w:rFonts w:ascii="宋体" w:hAnsi="宋体"/>
          <w:b/>
          <w:color w:val="000000"/>
          <w:sz w:val="24"/>
        </w:rPr>
      </w:pPr>
      <w:r>
        <w:rPr>
          <w:rFonts w:hint="eastAsia" w:ascii="宋体" w:hAnsi="宋体"/>
          <w:b/>
          <w:color w:val="000000"/>
          <w:sz w:val="24"/>
        </w:rPr>
        <w:t>（二）定义</w:t>
      </w:r>
    </w:p>
    <w:p>
      <w:pPr>
        <w:snapToGrid w:val="0"/>
        <w:spacing w:line="400" w:lineRule="exact"/>
        <w:ind w:firstLine="480" w:firstLineChars="200"/>
        <w:jc w:val="left"/>
        <w:rPr>
          <w:rFonts w:hint="eastAsia" w:ascii="宋体" w:hAnsi="宋体" w:eastAsia="宋体" w:cs="Times New Roman"/>
          <w:color w:val="000000"/>
          <w:sz w:val="24"/>
        </w:rPr>
      </w:pPr>
      <w:r>
        <w:rPr>
          <w:rFonts w:hint="eastAsia" w:ascii="宋体" w:hAnsi="宋体"/>
          <w:color w:val="000000"/>
          <w:sz w:val="24"/>
        </w:rPr>
        <w:t>1.“招标人”系指组织本次招标</w:t>
      </w:r>
      <w:r>
        <w:rPr>
          <w:rFonts w:hint="eastAsia" w:ascii="宋体" w:hAnsi="宋体"/>
          <w:sz w:val="24"/>
        </w:rPr>
        <w:t>的</w:t>
      </w:r>
      <w:r>
        <w:rPr>
          <w:rFonts w:hint="eastAsia" w:ascii="宋体" w:hAnsi="宋体"/>
          <w:sz w:val="24"/>
          <w:lang w:val="en-US" w:eastAsia="zh-CN"/>
        </w:rPr>
        <w:t>代理机构、</w:t>
      </w:r>
      <w:r>
        <w:rPr>
          <w:rFonts w:hint="eastAsia" w:ascii="宋体" w:hAnsi="宋体" w:eastAsia="宋体" w:cs="Times New Roman"/>
          <w:color w:val="000000"/>
          <w:sz w:val="24"/>
          <w:lang w:val="en-US" w:eastAsia="zh-CN"/>
        </w:rPr>
        <w:t>建设单位和实施单位</w:t>
      </w:r>
      <w:r>
        <w:rPr>
          <w:rFonts w:hint="eastAsia" w:ascii="宋体" w:hAnsi="宋体" w:eastAsia="宋体" w:cs="Times New Roman"/>
          <w:color w:val="000000"/>
          <w:sz w:val="24"/>
        </w:rPr>
        <w:t>。</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2.“投标人”系指向招标人提交投标文件的单位。</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3.“产品”系指供方按招标文件规定，须向</w:t>
      </w:r>
      <w:r>
        <w:rPr>
          <w:rFonts w:hint="eastAsia" w:ascii="宋体" w:hAnsi="宋体" w:cs="宋体"/>
          <w:color w:val="000000"/>
          <w:sz w:val="24"/>
          <w:lang w:val="en-US" w:eastAsia="zh-CN"/>
        </w:rPr>
        <w:t>建设单位和实施单位</w:t>
      </w:r>
      <w:r>
        <w:rPr>
          <w:rFonts w:hint="eastAsia" w:ascii="宋体" w:hAnsi="宋体"/>
          <w:color w:val="000000"/>
          <w:sz w:val="24"/>
        </w:rPr>
        <w:t>提供的一切设备、保险、税金、备品备件、工具、手册及其它有关技术资料和材料。</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4.“服务”系指招标文件规定投标人须承担的安装、调试、技术协助、校准、培训、技术指导以及其他类似的义务。</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5.“项目”系指投标人按招标文件规定向</w:t>
      </w:r>
      <w:r>
        <w:rPr>
          <w:rFonts w:hint="eastAsia" w:ascii="宋体" w:hAnsi="宋体" w:cs="宋体"/>
          <w:color w:val="000000"/>
          <w:sz w:val="24"/>
          <w:lang w:val="en-US" w:eastAsia="zh-CN"/>
        </w:rPr>
        <w:t>建设单位和实施单位</w:t>
      </w:r>
      <w:r>
        <w:rPr>
          <w:rFonts w:hint="eastAsia" w:ascii="宋体" w:hAnsi="宋体"/>
          <w:color w:val="000000"/>
          <w:sz w:val="24"/>
        </w:rPr>
        <w:t>提供的产品和服务。</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6.“书面形式”包括信函、传真、电报等。</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7.“▲”系指实质性要求条款。</w:t>
      </w:r>
    </w:p>
    <w:p>
      <w:pPr>
        <w:snapToGrid w:val="0"/>
        <w:spacing w:beforeLines="50" w:line="400" w:lineRule="exact"/>
        <w:ind w:firstLine="472" w:firstLineChars="196"/>
        <w:jc w:val="left"/>
        <w:rPr>
          <w:rFonts w:ascii="宋体" w:hAnsi="宋体"/>
          <w:b/>
          <w:color w:val="000000"/>
          <w:sz w:val="24"/>
        </w:rPr>
      </w:pPr>
      <w:r>
        <w:rPr>
          <w:rFonts w:hint="eastAsia" w:ascii="宋体" w:hAnsi="宋体"/>
          <w:b/>
          <w:color w:val="000000"/>
          <w:sz w:val="24"/>
        </w:rPr>
        <w:t>（三）招标方式</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本次招标采用公开招标方式进行。</w:t>
      </w:r>
    </w:p>
    <w:p>
      <w:pPr>
        <w:snapToGrid w:val="0"/>
        <w:spacing w:beforeLines="50" w:line="400" w:lineRule="exact"/>
        <w:ind w:firstLine="472" w:firstLineChars="196"/>
        <w:jc w:val="left"/>
        <w:rPr>
          <w:rFonts w:ascii="宋体" w:hAnsi="宋体"/>
          <w:b/>
          <w:color w:val="000000"/>
          <w:sz w:val="24"/>
        </w:rPr>
      </w:pPr>
      <w:r>
        <w:rPr>
          <w:rFonts w:hint="eastAsia" w:ascii="宋体" w:hAnsi="宋体"/>
          <w:b/>
          <w:color w:val="000000"/>
          <w:sz w:val="24"/>
        </w:rPr>
        <w:t>（四）投标委托</w:t>
      </w:r>
    </w:p>
    <w:p>
      <w:pPr>
        <w:pStyle w:val="21"/>
        <w:snapToGrid w:val="0"/>
        <w:spacing w:line="400" w:lineRule="exact"/>
        <w:ind w:firstLine="464" w:firstLineChars="200"/>
        <w:jc w:val="left"/>
        <w:rPr>
          <w:rFonts w:hAnsi="宋体"/>
          <w:color w:val="000000"/>
          <w:sz w:val="24"/>
          <w:szCs w:val="24"/>
        </w:rPr>
      </w:pPr>
      <w:r>
        <w:rPr>
          <w:rFonts w:hint="eastAsia" w:hAnsi="宋体"/>
          <w:color w:val="000000"/>
          <w:sz w:val="24"/>
          <w:szCs w:val="24"/>
        </w:rPr>
        <w:t>投标人代表须携带有效身份证件。如投标人代表不是法定代表人，须有法定代表人出具的授权委托书，格式见第六章。</w:t>
      </w:r>
    </w:p>
    <w:p>
      <w:pPr>
        <w:snapToGrid w:val="0"/>
        <w:spacing w:beforeLines="50" w:line="400" w:lineRule="exact"/>
        <w:ind w:firstLine="472" w:firstLineChars="196"/>
        <w:jc w:val="left"/>
        <w:rPr>
          <w:rFonts w:ascii="宋体" w:hAnsi="宋体"/>
          <w:b/>
          <w:sz w:val="24"/>
        </w:rPr>
      </w:pPr>
      <w:r>
        <w:rPr>
          <w:rFonts w:hint="eastAsia" w:ascii="宋体" w:hAnsi="宋体"/>
          <w:b/>
          <w:color w:val="000000"/>
          <w:sz w:val="24"/>
        </w:rPr>
        <w:t>（五）投标费</w:t>
      </w:r>
      <w:r>
        <w:rPr>
          <w:rFonts w:hint="eastAsia" w:ascii="宋体" w:hAnsi="宋体"/>
          <w:b/>
          <w:sz w:val="24"/>
        </w:rPr>
        <w:t>用及结算</w:t>
      </w:r>
    </w:p>
    <w:p>
      <w:pPr>
        <w:snapToGrid w:val="0"/>
        <w:spacing w:line="400" w:lineRule="exact"/>
        <w:ind w:firstLine="480" w:firstLineChars="200"/>
        <w:jc w:val="left"/>
        <w:rPr>
          <w:rFonts w:ascii="宋体" w:hAnsi="宋体" w:cs="宋体"/>
          <w:sz w:val="24"/>
        </w:rPr>
      </w:pPr>
      <w:r>
        <w:rPr>
          <w:rFonts w:hint="eastAsia" w:ascii="宋体" w:hAnsi="宋体" w:cs="宋体"/>
          <w:sz w:val="24"/>
        </w:rPr>
        <w:t>1）不论投标结果如何，投标人均应自行承担所有与投标有关的全部费用。</w:t>
      </w:r>
    </w:p>
    <w:p>
      <w:pPr>
        <w:spacing w:line="400" w:lineRule="exact"/>
        <w:ind w:firstLine="480" w:firstLineChars="200"/>
        <w:rPr>
          <w:rFonts w:ascii="宋体" w:hAnsi="宋体" w:cs="宋体"/>
          <w:b/>
          <w:sz w:val="24"/>
          <w:u w:val="single"/>
        </w:rPr>
      </w:pPr>
      <w:r>
        <w:rPr>
          <w:rFonts w:hint="eastAsia" w:ascii="宋体" w:hAnsi="宋体" w:cs="宋体"/>
          <w:sz w:val="24"/>
        </w:rPr>
        <w:t>2）除业主要求或设计变更要求外不签署任何增加费用的联系单，</w:t>
      </w:r>
      <w:r>
        <w:rPr>
          <w:rFonts w:hint="eastAsia" w:ascii="宋体" w:hAnsi="宋体" w:cs="宋体"/>
          <w:bCs/>
          <w:sz w:val="24"/>
        </w:rPr>
        <w:t>工程量清单外而要完成本项目所必需的设备、物料、服务等各</w:t>
      </w:r>
      <w:r>
        <w:rPr>
          <w:rFonts w:hint="eastAsia" w:ascii="宋体" w:hAnsi="宋体" w:cs="宋体"/>
          <w:sz w:val="24"/>
        </w:rPr>
        <w:t>投标人请自行考虑并计入投标总报价，中标后不予调整。</w:t>
      </w:r>
      <w:r>
        <w:rPr>
          <w:rFonts w:hint="eastAsia" w:ascii="宋体" w:hAnsi="宋体" w:cs="宋体"/>
          <w:b/>
          <w:sz w:val="24"/>
        </w:rPr>
        <w:t>投标时工程量按照招标文件中提供的工程量进行投标报价，竣工决算时按实决算。</w:t>
      </w:r>
    </w:p>
    <w:p>
      <w:pPr>
        <w:snapToGrid w:val="0"/>
        <w:spacing w:beforeLines="50" w:line="400" w:lineRule="exact"/>
        <w:ind w:firstLine="472" w:firstLineChars="196"/>
        <w:rPr>
          <w:rFonts w:ascii="宋体" w:hAnsi="宋体" w:cs="宋体"/>
          <w:b/>
          <w:kern w:val="0"/>
          <w:sz w:val="24"/>
        </w:rPr>
      </w:pPr>
      <w:r>
        <w:rPr>
          <w:rFonts w:hint="eastAsia" w:ascii="宋体" w:hAnsi="宋体"/>
          <w:b/>
          <w:sz w:val="24"/>
        </w:rPr>
        <w:t>（六）</w:t>
      </w:r>
      <w:r>
        <w:rPr>
          <w:rFonts w:hint="eastAsia" w:ascii="宋体" w:hAnsi="宋体" w:cs="宋体"/>
          <w:b/>
          <w:kern w:val="0"/>
          <w:sz w:val="24"/>
        </w:rPr>
        <w:t>转包与分包</w:t>
      </w:r>
    </w:p>
    <w:p>
      <w:pPr>
        <w:snapToGrid w:val="0"/>
        <w:spacing w:line="400" w:lineRule="exact"/>
        <w:ind w:firstLine="720" w:firstLineChars="300"/>
        <w:rPr>
          <w:rFonts w:ascii="宋体" w:hAnsi="宋体" w:cs="宋体"/>
          <w:kern w:val="0"/>
          <w:sz w:val="24"/>
        </w:rPr>
      </w:pPr>
      <w:r>
        <w:rPr>
          <w:rFonts w:hint="eastAsia" w:ascii="宋体" w:hAnsi="宋体" w:cs="宋体"/>
          <w:kern w:val="0"/>
          <w:sz w:val="24"/>
        </w:rPr>
        <w:t>本项目不允许转包与分包。</w:t>
      </w:r>
    </w:p>
    <w:p>
      <w:pPr>
        <w:snapToGrid w:val="0"/>
        <w:spacing w:beforeLines="50" w:line="400" w:lineRule="exact"/>
        <w:ind w:firstLine="472" w:firstLineChars="196"/>
        <w:jc w:val="left"/>
        <w:rPr>
          <w:rFonts w:ascii="宋体" w:hAnsi="宋体"/>
          <w:b/>
          <w:sz w:val="24"/>
        </w:rPr>
      </w:pPr>
      <w:r>
        <w:rPr>
          <w:rFonts w:hint="eastAsia" w:ascii="宋体" w:hAnsi="宋体"/>
          <w:b/>
          <w:sz w:val="24"/>
        </w:rPr>
        <w:t>（七）特别说明</w:t>
      </w:r>
    </w:p>
    <w:p>
      <w:pPr>
        <w:widowControl/>
        <w:spacing w:line="400" w:lineRule="exact"/>
        <w:ind w:firstLine="482" w:firstLineChars="200"/>
        <w:jc w:val="left"/>
        <w:rPr>
          <w:rFonts w:hint="eastAsia" w:ascii="宋体" w:hAnsi="宋体"/>
          <w:b/>
          <w:sz w:val="24"/>
        </w:rPr>
      </w:pPr>
      <w:r>
        <w:rPr>
          <w:rFonts w:hint="eastAsia" w:ascii="宋体" w:hAnsi="宋体"/>
          <w:b/>
          <w:sz w:val="24"/>
        </w:rPr>
        <w:t>1.单位负责人为同一人或者存在直接控股、管理关系的不同投标人，不得参加同一合同项下的政府采购活动。如有上述行为的，评审时取其中通过资格审查后报价最低的一家为有效投标人；当报价相同时，则以技术标最优一家为有效投标人；均相同时，由评标委员会集体决定。</w:t>
      </w:r>
    </w:p>
    <w:p>
      <w:pPr>
        <w:widowControl/>
        <w:spacing w:line="400" w:lineRule="exact"/>
        <w:ind w:firstLine="240" w:firstLineChars="100"/>
        <w:jc w:val="left"/>
        <w:rPr>
          <w:rFonts w:ascii="宋体" w:hAnsi="宋体" w:cs="宋体"/>
          <w:kern w:val="0"/>
          <w:sz w:val="24"/>
        </w:rPr>
      </w:pPr>
      <w:r>
        <w:rPr>
          <w:rFonts w:hint="eastAsia" w:ascii="宋体" w:hAnsi="宋体" w:cs="宋体"/>
          <w:color w:val="000000"/>
          <w:kern w:val="0"/>
          <w:sz w:val="24"/>
        </w:rPr>
        <w:t xml:space="preserve"> </w:t>
      </w:r>
      <w:r>
        <w:rPr>
          <w:rFonts w:hint="eastAsia" w:ascii="宋体" w:hAnsi="宋体" w:cs="宋体"/>
          <w:kern w:val="0"/>
          <w:sz w:val="24"/>
        </w:rPr>
        <w:t xml:space="preserve">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7"/>
        <w:snapToGrid w:val="0"/>
        <w:spacing w:before="120" w:after="120"/>
        <w:ind w:left="2" w:leftChars="1" w:firstLine="360" w:firstLineChars="150"/>
        <w:rPr>
          <w:rFonts w:hAnsi="宋体"/>
          <w:color w:val="000000"/>
        </w:rPr>
      </w:pPr>
      <w:r>
        <w:rPr>
          <w:rFonts w:hint="eastAsia" w:hAnsi="宋体"/>
          <w:color w:val="000000"/>
        </w:rPr>
        <w:t>2.投标人投标所使用的资格、信誉、荣誉、业绩与企业认证必须为本法人所拥有。投标人投标所使用的采购项目实施人员须为本法人员工（或须为本法人或控股公司员工）。</w:t>
      </w:r>
    </w:p>
    <w:p>
      <w:pPr>
        <w:pStyle w:val="27"/>
        <w:snapToGrid w:val="0"/>
        <w:spacing w:before="120" w:after="120"/>
        <w:ind w:left="2" w:leftChars="1" w:firstLine="480" w:firstLineChars="200"/>
        <w:rPr>
          <w:rFonts w:hAnsi="宋体"/>
          <w:color w:val="000000"/>
        </w:rPr>
      </w:pPr>
      <w:r>
        <w:rPr>
          <w:rFonts w:hint="eastAsia" w:hAnsi="宋体"/>
          <w:color w:val="000000"/>
        </w:rPr>
        <w:t>3.投标人应仔细阅读招标文件的所有内容，按照招标文件的要求提交投标文件，并对所提供的全部资料的真实性承担法律责任。</w:t>
      </w:r>
    </w:p>
    <w:p>
      <w:pPr>
        <w:pStyle w:val="27"/>
        <w:snapToGrid w:val="0"/>
        <w:spacing w:before="120" w:after="120"/>
        <w:ind w:left="2" w:leftChars="1" w:firstLine="480" w:firstLineChars="200"/>
        <w:rPr>
          <w:rFonts w:hAnsi="宋体"/>
          <w:b/>
          <w:color w:val="000000"/>
        </w:rPr>
      </w:pPr>
      <w:r>
        <w:rPr>
          <w:rFonts w:hint="eastAsia" w:hAnsi="宋体"/>
          <w:color w:val="000000"/>
        </w:rPr>
        <w:t>4.投标人在投标活动中提供任何虚假材料,其投标无效，并报监管部门查处；中标后发现的,中标人须依照《中华人民共和国消费者权益保护法》第49条之规定双倍赔偿</w:t>
      </w:r>
      <w:r>
        <w:rPr>
          <w:rFonts w:hint="eastAsia" w:hAnsi="宋体" w:eastAsia="宋体" w:cs="Times New Roman"/>
          <w:color w:val="000000"/>
          <w:lang w:val="en-US" w:eastAsia="zh-CN"/>
        </w:rPr>
        <w:t>建设单位、实施单位</w:t>
      </w:r>
      <w:r>
        <w:rPr>
          <w:rFonts w:hint="eastAsia" w:hAnsi="宋体"/>
          <w:color w:val="000000"/>
        </w:rPr>
        <w:t>，且民事赔偿并不免除违法投标人的行政与刑事责任。</w:t>
      </w:r>
    </w:p>
    <w:p>
      <w:pPr>
        <w:pStyle w:val="27"/>
        <w:snapToGrid w:val="0"/>
        <w:spacing w:before="120" w:after="120"/>
        <w:ind w:firstLine="472" w:firstLineChars="196"/>
        <w:rPr>
          <w:rFonts w:hint="eastAsia" w:hAnsi="宋体"/>
          <w:b/>
          <w:bCs/>
        </w:rPr>
      </w:pPr>
      <w:r>
        <w:rPr>
          <w:rFonts w:hint="eastAsia" w:hAnsi="宋体"/>
          <w:b/>
          <w:bCs/>
        </w:rPr>
        <w:t>（八）质疑</w:t>
      </w:r>
    </w:p>
    <w:p>
      <w:pPr>
        <w:widowControl/>
        <w:spacing w:line="400" w:lineRule="exact"/>
        <w:ind w:firstLine="480" w:firstLineChars="200"/>
        <w:jc w:val="left"/>
        <w:rPr>
          <w:rFonts w:hint="eastAsia" w:ascii="宋体" w:hAnsi="宋体" w:cs="宋体"/>
          <w:kern w:val="0"/>
          <w:sz w:val="24"/>
        </w:rPr>
      </w:pPr>
      <w:r>
        <w:rPr>
          <w:rFonts w:hint="eastAsia" w:ascii="宋体" w:hAnsi="宋体" w:cs="宋体"/>
          <w:kern w:val="0"/>
          <w:sz w:val="24"/>
        </w:rPr>
        <w:t>1.投标人认为招标文件、采购过程和中标结果使自己的权益受到损害的，以书面形式或政采云平台的质疑系统一次性向采购人或采购组织机构提出质疑：</w:t>
      </w:r>
    </w:p>
    <w:p>
      <w:pPr>
        <w:widowControl/>
        <w:spacing w:line="400" w:lineRule="exact"/>
        <w:ind w:firstLine="240" w:firstLineChars="100"/>
        <w:jc w:val="left"/>
        <w:rPr>
          <w:rFonts w:hint="eastAsia" w:ascii="宋体" w:hAnsi="宋体" w:cs="宋体"/>
          <w:kern w:val="0"/>
          <w:sz w:val="24"/>
        </w:rPr>
      </w:pPr>
      <w:r>
        <w:rPr>
          <w:rFonts w:hint="eastAsia" w:ascii="宋体" w:hAnsi="宋体" w:cs="宋体"/>
          <w:kern w:val="0"/>
          <w:sz w:val="24"/>
        </w:rPr>
        <w:t>（1）投标人认为招标文件的内容损害其权益的，应当自获取之日起（获取截止日之后收到招标文件的，以获取截止日为准）7个工作日内提出质疑；</w:t>
      </w:r>
    </w:p>
    <w:p>
      <w:pPr>
        <w:widowControl/>
        <w:spacing w:line="400" w:lineRule="exact"/>
        <w:ind w:firstLine="240" w:firstLineChars="100"/>
        <w:jc w:val="left"/>
        <w:rPr>
          <w:rFonts w:hint="eastAsia" w:ascii="宋体" w:hAnsi="宋体" w:cs="宋体"/>
          <w:kern w:val="0"/>
          <w:sz w:val="24"/>
        </w:rPr>
      </w:pPr>
      <w:r>
        <w:rPr>
          <w:rFonts w:hint="eastAsia" w:ascii="宋体" w:hAnsi="宋体" w:cs="宋体"/>
          <w:kern w:val="0"/>
          <w:sz w:val="24"/>
        </w:rPr>
        <w:t>（2）投标人对采购过程提出质疑的，应当在各采购程序环节结束之日起7个工作日内提出质疑；</w:t>
      </w:r>
    </w:p>
    <w:p>
      <w:pPr>
        <w:widowControl/>
        <w:spacing w:line="400" w:lineRule="exact"/>
        <w:ind w:firstLine="240" w:firstLineChars="100"/>
        <w:jc w:val="left"/>
        <w:rPr>
          <w:rFonts w:hint="eastAsia" w:ascii="宋体" w:hAnsi="宋体" w:cs="宋体"/>
          <w:kern w:val="0"/>
          <w:sz w:val="24"/>
        </w:rPr>
      </w:pPr>
      <w:r>
        <w:rPr>
          <w:rFonts w:hint="eastAsia" w:ascii="宋体" w:hAnsi="宋体" w:cs="宋体"/>
          <w:kern w:val="0"/>
          <w:sz w:val="24"/>
        </w:rPr>
        <w:t>（3）投标人对中标结果提出质疑的，应当在预成交结果公告期限届满之日起7个工作日内提出质疑；</w:t>
      </w:r>
    </w:p>
    <w:p>
      <w:pPr>
        <w:widowControl/>
        <w:spacing w:line="400" w:lineRule="exact"/>
        <w:ind w:firstLine="480" w:firstLineChars="200"/>
        <w:jc w:val="left"/>
        <w:rPr>
          <w:rFonts w:hint="eastAsia" w:ascii="宋体" w:hAnsi="宋体" w:cs="宋体"/>
          <w:kern w:val="0"/>
          <w:sz w:val="24"/>
        </w:rPr>
      </w:pPr>
      <w:r>
        <w:rPr>
          <w:rFonts w:hint="eastAsia" w:ascii="宋体" w:hAnsi="宋体" w:cs="宋体"/>
          <w:kern w:val="0"/>
          <w:sz w:val="24"/>
        </w:rPr>
        <w:t>2.采购人或采购组织机构在收到投标人的书面质疑后7个工作日内作出答复，并以书面形式或政采云平台回复质疑投标人和其他有关投标人，但答复内容不涉及商业秘密。</w:t>
      </w:r>
    </w:p>
    <w:p>
      <w:pPr>
        <w:widowControl/>
        <w:spacing w:line="400" w:lineRule="exact"/>
        <w:ind w:firstLine="482" w:firstLineChars="200"/>
        <w:jc w:val="left"/>
        <w:rPr>
          <w:rFonts w:hint="eastAsia" w:ascii="宋体" w:hAnsi="宋体" w:cs="宋体"/>
          <w:b/>
          <w:bCs/>
          <w:kern w:val="0"/>
          <w:sz w:val="24"/>
        </w:rPr>
      </w:pPr>
      <w:r>
        <w:rPr>
          <w:rFonts w:hint="eastAsia" w:ascii="宋体" w:hAnsi="宋体" w:cs="宋体"/>
          <w:b/>
          <w:bCs/>
          <w:kern w:val="0"/>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widowControl/>
        <w:spacing w:line="400" w:lineRule="exact"/>
        <w:ind w:firstLine="482" w:firstLineChars="200"/>
        <w:jc w:val="left"/>
        <w:rPr>
          <w:rFonts w:hint="eastAsia" w:ascii="宋体" w:hAnsi="宋体" w:cs="宋体"/>
          <w:b/>
          <w:bCs/>
          <w:kern w:val="0"/>
          <w:sz w:val="24"/>
        </w:rPr>
      </w:pPr>
      <w:r>
        <w:rPr>
          <w:rFonts w:hint="eastAsia" w:ascii="宋体" w:hAnsi="宋体" w:cs="宋体"/>
          <w:b/>
          <w:bCs/>
          <w:kern w:val="0"/>
          <w:sz w:val="24"/>
        </w:rPr>
        <w:t>（九）投诉</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投标人对采购人或采购组织机构的质疑答复不满意或在规定时间内未得到答复的，可以在答复期满后15个工作日内，向同级政府采购监督管理机构投诉。</w:t>
      </w:r>
    </w:p>
    <w:p>
      <w:pPr>
        <w:pStyle w:val="27"/>
        <w:snapToGrid w:val="0"/>
        <w:spacing w:before="120" w:after="120"/>
        <w:ind w:firstLine="472" w:firstLineChars="196"/>
        <w:rPr>
          <w:rFonts w:hAnsi="宋体"/>
          <w:b/>
          <w:color w:val="000000"/>
        </w:rPr>
      </w:pPr>
      <w:r>
        <w:rPr>
          <w:rFonts w:hint="eastAsia" w:hAnsi="宋体"/>
          <w:b/>
          <w:color w:val="000000"/>
        </w:rPr>
        <w:t>二、招标文件</w:t>
      </w:r>
    </w:p>
    <w:p>
      <w:pPr>
        <w:snapToGrid w:val="0"/>
        <w:spacing w:line="400" w:lineRule="exact"/>
        <w:ind w:firstLine="472" w:firstLineChars="196"/>
        <w:jc w:val="left"/>
        <w:rPr>
          <w:rFonts w:ascii="宋体" w:hAnsi="宋体"/>
          <w:b/>
          <w:color w:val="000000"/>
          <w:sz w:val="24"/>
        </w:rPr>
      </w:pPr>
      <w:r>
        <w:rPr>
          <w:rFonts w:hint="eastAsia" w:ascii="宋体" w:hAnsi="宋体"/>
          <w:b/>
          <w:color w:val="000000"/>
          <w:sz w:val="24"/>
        </w:rPr>
        <w:t>（一）招标文件的构成</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1.投标邀请</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2.招标需求</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3.投标人须知</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4.评标办法及标准</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5.合同主要条款</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6.投标文件格式</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7.本项目招标文件的澄清、答复、修改、补充的内容（如有）</w:t>
      </w:r>
    </w:p>
    <w:p>
      <w:pPr>
        <w:snapToGrid w:val="0"/>
        <w:spacing w:beforeLines="50" w:line="400" w:lineRule="exact"/>
        <w:ind w:firstLine="472" w:firstLineChars="196"/>
        <w:jc w:val="left"/>
        <w:rPr>
          <w:rFonts w:ascii="宋体" w:hAnsi="宋体"/>
          <w:b/>
          <w:color w:val="000000"/>
          <w:sz w:val="24"/>
        </w:rPr>
      </w:pPr>
      <w:r>
        <w:rPr>
          <w:rFonts w:hint="eastAsia" w:ascii="宋体" w:hAnsi="宋体"/>
          <w:b/>
          <w:color w:val="000000"/>
          <w:sz w:val="24"/>
        </w:rPr>
        <w:t>（二）投标人的风险</w:t>
      </w:r>
    </w:p>
    <w:p>
      <w:pPr>
        <w:pStyle w:val="38"/>
        <w:spacing w:line="400" w:lineRule="exact"/>
        <w:rPr>
          <w:rFonts w:ascii="宋体" w:eastAsia="宋体"/>
        </w:rPr>
      </w:pPr>
      <w:r>
        <w:rPr>
          <w:rFonts w:hint="eastAsia" w:ascii="宋体" w:eastAsia="宋体"/>
        </w:rPr>
        <w:t>投标人没有按照招标文件要求提供全部资料，或者投标人没有对招标文件在各方面作出实质性响应是投标人的风险，并可能导致其投标被拒绝。</w:t>
      </w:r>
    </w:p>
    <w:p>
      <w:pPr>
        <w:pStyle w:val="12"/>
        <w:widowControl w:val="0"/>
        <w:tabs>
          <w:tab w:val="left" w:pos="420"/>
        </w:tabs>
        <w:snapToGrid w:val="0"/>
        <w:spacing w:beforeLines="50" w:after="120" w:line="400" w:lineRule="exact"/>
        <w:ind w:left="0" w:firstLine="472" w:firstLineChars="196"/>
        <w:rPr>
          <w:rFonts w:ascii="宋体" w:hAnsi="宋体"/>
          <w:b/>
          <w:color w:val="000000"/>
          <w:szCs w:val="24"/>
        </w:rPr>
      </w:pPr>
      <w:r>
        <w:rPr>
          <w:rFonts w:hint="eastAsia" w:ascii="宋体" w:hAnsi="宋体"/>
          <w:b/>
          <w:color w:val="000000"/>
          <w:szCs w:val="24"/>
        </w:rPr>
        <w:t xml:space="preserve">（三）招标文件的澄清与修改 </w:t>
      </w:r>
    </w:p>
    <w:p>
      <w:pPr>
        <w:pStyle w:val="27"/>
        <w:snapToGrid w:val="0"/>
        <w:spacing w:before="120" w:after="120"/>
        <w:ind w:firstLine="480" w:firstLineChars="200"/>
        <w:rPr>
          <w:rFonts w:hAnsi="宋体"/>
          <w:color w:val="000000"/>
        </w:rPr>
      </w:pPr>
      <w:r>
        <w:rPr>
          <w:rFonts w:hint="eastAsia" w:hAnsi="宋体"/>
          <w:color w:val="000000"/>
        </w:rPr>
        <w:t>1.</w:t>
      </w:r>
      <w:r>
        <w:rPr>
          <w:rFonts w:hint="eastAsia" w:hAnsi="宋体"/>
          <w:bCs/>
          <w:color w:val="000000"/>
        </w:rPr>
        <w:t>投标人应认真阅读本招标文件，发现其中有误或有不合理要求的，投标人必须在前附表规定的时间前以书面形式要求招标人澄清</w:t>
      </w:r>
      <w:r>
        <w:rPr>
          <w:rFonts w:hint="eastAsia" w:hAnsi="宋体"/>
          <w:color w:val="000000"/>
        </w:rPr>
        <w:t>。招标人对已发出的招标文件进行必要澄清、答复、修改或补充的，应当在招标文件要求提交投标文件截止时间前，以采购公告发布的网站予以发布。</w:t>
      </w:r>
    </w:p>
    <w:p>
      <w:pPr>
        <w:pStyle w:val="27"/>
        <w:snapToGrid w:val="0"/>
        <w:spacing w:before="120" w:after="120"/>
        <w:ind w:firstLine="480" w:firstLineChars="200"/>
        <w:rPr>
          <w:rFonts w:hAnsi="宋体"/>
          <w:color w:val="000000"/>
        </w:rPr>
      </w:pPr>
      <w:r>
        <w:rPr>
          <w:rFonts w:hint="eastAsia" w:hAnsi="宋体"/>
          <w:color w:val="000000"/>
        </w:rPr>
        <w:t>2.招标文件澄清、答复、修改、补充的内容为招标文件的组成部分。当招标文件与招标文件的答复、澄清、修改、补充通知就同一内容的表述不一致时，以最后发出的公告为准。</w:t>
      </w:r>
    </w:p>
    <w:p>
      <w:pPr>
        <w:pStyle w:val="27"/>
        <w:snapToGrid w:val="0"/>
        <w:spacing w:before="120" w:after="120"/>
        <w:ind w:firstLine="480" w:firstLineChars="200"/>
        <w:rPr>
          <w:rFonts w:hAnsi="宋体"/>
          <w:color w:val="000000"/>
        </w:rPr>
      </w:pPr>
      <w:r>
        <w:rPr>
          <w:rFonts w:hint="eastAsia" w:hAnsi="宋体"/>
          <w:color w:val="000000"/>
        </w:rPr>
        <w:t>3.招标文件的澄清、答复、修改或补充都应该通过招标人以法定形式发布，</w:t>
      </w:r>
      <w:r>
        <w:rPr>
          <w:rFonts w:hint="eastAsia" w:ascii="宋体" w:hAnsi="宋体" w:cs="宋体"/>
          <w:color w:val="000000"/>
          <w:sz w:val="24"/>
          <w:lang w:val="en-US" w:eastAsia="zh-CN"/>
        </w:rPr>
        <w:t>建设单位、实施单位</w:t>
      </w:r>
      <w:r>
        <w:rPr>
          <w:rFonts w:hint="eastAsia" w:hAnsi="宋体"/>
          <w:color w:val="000000"/>
        </w:rPr>
        <w:t>没有通过招标人，不得擅自澄清、答复、修改或补充招标文件。</w:t>
      </w:r>
    </w:p>
    <w:p>
      <w:pPr>
        <w:pStyle w:val="27"/>
        <w:snapToGrid w:val="0"/>
        <w:spacing w:before="120" w:after="120"/>
        <w:ind w:firstLine="472" w:firstLineChars="196"/>
        <w:rPr>
          <w:rFonts w:hAnsi="宋体"/>
          <w:b/>
        </w:rPr>
      </w:pPr>
      <w:r>
        <w:rPr>
          <w:rFonts w:hint="eastAsia" w:hAnsi="宋体"/>
          <w:b/>
        </w:rPr>
        <w:t>三、投标文件的编制</w:t>
      </w:r>
    </w:p>
    <w:p>
      <w:pPr>
        <w:snapToGrid w:val="0"/>
        <w:spacing w:line="400" w:lineRule="exact"/>
        <w:ind w:firstLine="470" w:firstLineChars="196"/>
        <w:jc w:val="left"/>
        <w:rPr>
          <w:rFonts w:hint="eastAsia" w:ascii="宋体" w:hAnsi="宋体"/>
          <w:bCs/>
          <w:sz w:val="24"/>
        </w:rPr>
      </w:pPr>
      <w:r>
        <w:rPr>
          <w:rFonts w:hint="eastAsia" w:ascii="宋体" w:hAnsi="宋体"/>
          <w:bCs/>
          <w:sz w:val="24"/>
        </w:rPr>
        <w:t>本项目实行电子投标，投标人应准备电子投标文件，本项目线下无需提供任何备份投标文件。电子投标文件，按政采云平台项目采购--电子招投标操作指南及本招标文件要求编制。</w:t>
      </w:r>
    </w:p>
    <w:p>
      <w:pPr>
        <w:snapToGrid w:val="0"/>
        <w:spacing w:line="400" w:lineRule="exact"/>
        <w:ind w:firstLine="472" w:firstLineChars="196"/>
        <w:jc w:val="left"/>
        <w:rPr>
          <w:rFonts w:hint="eastAsia" w:ascii="宋体" w:hAnsi="宋体"/>
          <w:b/>
          <w:sz w:val="24"/>
        </w:rPr>
      </w:pPr>
      <w:r>
        <w:rPr>
          <w:rFonts w:hint="eastAsia" w:ascii="宋体" w:hAnsi="宋体"/>
          <w:b/>
          <w:sz w:val="24"/>
        </w:rPr>
        <w:t>（一）投标文件的组成</w:t>
      </w:r>
    </w:p>
    <w:p>
      <w:pPr>
        <w:snapToGrid w:val="0"/>
        <w:spacing w:line="400" w:lineRule="exact"/>
        <w:ind w:firstLine="482" w:firstLineChars="200"/>
        <w:jc w:val="left"/>
        <w:rPr>
          <w:rFonts w:ascii="宋体" w:hAnsi="宋体"/>
          <w:sz w:val="24"/>
        </w:rPr>
      </w:pPr>
      <w:r>
        <w:rPr>
          <w:rFonts w:hint="eastAsia" w:ascii="宋体" w:hAnsi="宋体"/>
          <w:b/>
          <w:sz w:val="24"/>
        </w:rPr>
        <w:t>投标文件由资格响应文件、商务技术文件、报价文件三部份组成。</w:t>
      </w:r>
      <w:r>
        <w:rPr>
          <w:rFonts w:hint="eastAsia" w:ascii="宋体" w:hAnsi="宋体"/>
          <w:sz w:val="24"/>
        </w:rPr>
        <w:t>相关格式见附件，其余格式自拟。</w:t>
      </w:r>
    </w:p>
    <w:p>
      <w:pPr>
        <w:snapToGrid w:val="0"/>
        <w:spacing w:line="400" w:lineRule="exact"/>
        <w:ind w:firstLine="482" w:firstLineChars="200"/>
        <w:jc w:val="left"/>
        <w:rPr>
          <w:rFonts w:ascii="宋体" w:hAnsi="宋体"/>
          <w:b/>
          <w:sz w:val="24"/>
        </w:rPr>
      </w:pPr>
      <w:bookmarkStart w:id="10" w:name="_Hlk72672250"/>
      <w:r>
        <w:rPr>
          <w:rFonts w:ascii="宋体" w:hAnsi="宋体"/>
          <w:b/>
          <w:sz w:val="24"/>
        </w:rPr>
        <w:t>1</w:t>
      </w:r>
      <w:r>
        <w:rPr>
          <w:rFonts w:hint="eastAsia" w:ascii="宋体" w:hAnsi="宋体"/>
          <w:b/>
          <w:sz w:val="24"/>
        </w:rPr>
        <w:t>.资格响应文件</w:t>
      </w:r>
    </w:p>
    <w:bookmarkEnd w:id="10"/>
    <w:p>
      <w:pPr>
        <w:snapToGrid w:val="0"/>
        <w:spacing w:line="400" w:lineRule="exact"/>
        <w:ind w:firstLine="480" w:firstLineChars="200"/>
        <w:jc w:val="left"/>
        <w:rPr>
          <w:rFonts w:hint="eastAsia" w:ascii="宋体" w:hAnsi="宋体"/>
          <w:bCs/>
          <w:color w:val="000000"/>
          <w:sz w:val="24"/>
        </w:rPr>
      </w:pPr>
      <w:r>
        <w:rPr>
          <w:rFonts w:hint="eastAsia" w:ascii="宋体" w:hAnsi="宋体"/>
          <w:bCs/>
          <w:color w:val="000000"/>
          <w:sz w:val="24"/>
        </w:rPr>
        <w:t>（1）营业执照</w:t>
      </w:r>
      <w:r>
        <w:rPr>
          <w:rFonts w:hint="eastAsia" w:ascii="宋体" w:hAnsi="宋体"/>
          <w:b/>
          <w:color w:val="FF0000"/>
          <w:sz w:val="24"/>
        </w:rPr>
        <w:t>（推荐使用电子营业执照）</w:t>
      </w:r>
      <w:r>
        <w:rPr>
          <w:rFonts w:hint="eastAsia" w:ascii="宋体" w:hAnsi="宋体"/>
          <w:bCs/>
          <w:color w:val="000000"/>
          <w:sz w:val="24"/>
        </w:rPr>
        <w:t>或事业法人登记证或其他工商等登记证明材料原件扫描件或复印件；</w:t>
      </w:r>
    </w:p>
    <w:p>
      <w:pPr>
        <w:snapToGrid w:val="0"/>
        <w:spacing w:line="400" w:lineRule="exact"/>
        <w:ind w:firstLine="480" w:firstLineChars="200"/>
        <w:jc w:val="left"/>
        <w:rPr>
          <w:rFonts w:hint="eastAsia" w:ascii="宋体" w:hAnsi="宋体"/>
          <w:bCs/>
          <w:color w:val="000000"/>
          <w:sz w:val="24"/>
        </w:rPr>
      </w:pPr>
      <w:r>
        <w:rPr>
          <w:rFonts w:hint="eastAsia" w:ascii="宋体" w:hAnsi="宋体"/>
          <w:bCs/>
          <w:color w:val="000000"/>
          <w:sz w:val="24"/>
        </w:rPr>
        <w:t>（</w:t>
      </w:r>
      <w:r>
        <w:rPr>
          <w:rFonts w:ascii="宋体" w:hAnsi="宋体"/>
          <w:bCs/>
          <w:color w:val="000000"/>
          <w:sz w:val="24"/>
        </w:rPr>
        <w:t>2</w:t>
      </w:r>
      <w:r>
        <w:rPr>
          <w:rFonts w:hint="eastAsia" w:ascii="宋体" w:hAnsi="宋体"/>
          <w:bCs/>
          <w:color w:val="000000"/>
          <w:sz w:val="24"/>
        </w:rPr>
        <w:t>）</w:t>
      </w:r>
      <w:r>
        <w:rPr>
          <w:rFonts w:hint="eastAsia" w:ascii="宋体" w:hAnsi="宋体"/>
          <w:sz w:val="24"/>
        </w:rPr>
        <w:t>资质文件复印件（如有）；</w:t>
      </w:r>
    </w:p>
    <w:p>
      <w:pPr>
        <w:snapToGrid w:val="0"/>
        <w:spacing w:line="400" w:lineRule="exact"/>
        <w:ind w:firstLine="480" w:firstLineChars="200"/>
        <w:jc w:val="left"/>
        <w:rPr>
          <w:rFonts w:hint="eastAsia" w:ascii="宋体" w:hAnsi="宋体"/>
          <w:bCs/>
          <w:color w:val="000000"/>
          <w:sz w:val="24"/>
        </w:rPr>
      </w:pPr>
      <w:bookmarkStart w:id="11" w:name="_Hlk68075338"/>
      <w:r>
        <w:rPr>
          <w:rFonts w:hint="eastAsia" w:ascii="宋体" w:hAnsi="宋体"/>
          <w:bCs/>
          <w:color w:val="000000"/>
          <w:sz w:val="24"/>
        </w:rPr>
        <w:t>（</w:t>
      </w:r>
      <w:r>
        <w:rPr>
          <w:rFonts w:ascii="宋体" w:hAnsi="宋体"/>
          <w:bCs/>
          <w:color w:val="000000"/>
          <w:sz w:val="24"/>
        </w:rPr>
        <w:t>3</w:t>
      </w:r>
      <w:r>
        <w:rPr>
          <w:rFonts w:hint="eastAsia" w:ascii="宋体" w:hAnsi="宋体"/>
          <w:bCs/>
          <w:color w:val="000000"/>
          <w:sz w:val="24"/>
        </w:rPr>
        <w:t>）</w:t>
      </w:r>
      <w:bookmarkEnd w:id="11"/>
      <w:r>
        <w:rPr>
          <w:rFonts w:hint="eastAsia" w:ascii="宋体" w:hAnsi="宋体"/>
          <w:bCs/>
          <w:color w:val="000000"/>
          <w:sz w:val="24"/>
        </w:rPr>
        <w:t>没有重大违法记录的承诺函</w:t>
      </w:r>
      <w:bookmarkStart w:id="12" w:name="_Hlk69365455"/>
      <w:r>
        <w:rPr>
          <w:rFonts w:hint="eastAsia" w:ascii="宋体" w:hAnsi="宋体"/>
          <w:b/>
          <w:color w:val="000000"/>
          <w:sz w:val="24"/>
          <w:u w:val="single"/>
          <w:shd w:val="pct10" w:color="auto" w:fill="FFFFFF"/>
        </w:rPr>
        <w:t>（请投标人在资格响应文件中勿遗漏该表格）</w:t>
      </w:r>
      <w:r>
        <w:rPr>
          <w:rFonts w:hint="eastAsia" w:ascii="宋体" w:hAnsi="宋体"/>
          <w:bCs/>
          <w:color w:val="000000"/>
          <w:sz w:val="24"/>
        </w:rPr>
        <w:t>；</w:t>
      </w:r>
    </w:p>
    <w:bookmarkEnd w:id="12"/>
    <w:p>
      <w:pPr>
        <w:snapToGrid w:val="0"/>
        <w:spacing w:line="400" w:lineRule="exact"/>
        <w:ind w:firstLine="482" w:firstLineChars="200"/>
        <w:jc w:val="left"/>
        <w:rPr>
          <w:rFonts w:ascii="宋体" w:hAnsi="宋体"/>
          <w:color w:val="000000"/>
          <w:sz w:val="24"/>
        </w:rPr>
      </w:pPr>
      <w:bookmarkStart w:id="13" w:name="_Hlk72672204"/>
      <w:r>
        <w:rPr>
          <w:rFonts w:ascii="宋体" w:hAnsi="宋体"/>
          <w:b/>
          <w:color w:val="000000"/>
          <w:sz w:val="24"/>
        </w:rPr>
        <w:t>2</w:t>
      </w:r>
      <w:r>
        <w:rPr>
          <w:rFonts w:hint="eastAsia" w:ascii="宋体" w:hAnsi="宋体"/>
          <w:b/>
          <w:color w:val="000000"/>
          <w:sz w:val="24"/>
        </w:rPr>
        <w:t>.</w:t>
      </w:r>
      <w:bookmarkEnd w:id="13"/>
      <w:bookmarkStart w:id="14" w:name="_Hlk534200662"/>
      <w:r>
        <w:rPr>
          <w:rFonts w:hint="eastAsia" w:ascii="宋体" w:hAnsi="宋体"/>
          <w:b/>
          <w:color w:val="000000"/>
          <w:sz w:val="24"/>
        </w:rPr>
        <w:t>商务</w:t>
      </w:r>
      <w:r>
        <w:rPr>
          <w:rFonts w:hint="eastAsia" w:ascii="宋体" w:hAnsi="宋体"/>
          <w:b/>
          <w:bCs/>
          <w:color w:val="000000"/>
          <w:sz w:val="24"/>
        </w:rPr>
        <w:t>技术</w:t>
      </w:r>
      <w:r>
        <w:rPr>
          <w:rFonts w:hint="eastAsia" w:ascii="宋体" w:hAnsi="宋体"/>
          <w:b/>
          <w:color w:val="000000"/>
          <w:sz w:val="24"/>
        </w:rPr>
        <w:t>文件</w:t>
      </w:r>
      <w:bookmarkEnd w:id="14"/>
    </w:p>
    <w:p>
      <w:pPr>
        <w:snapToGrid w:val="0"/>
        <w:spacing w:line="400" w:lineRule="exact"/>
        <w:ind w:firstLine="470" w:firstLineChars="196"/>
        <w:jc w:val="left"/>
        <w:rPr>
          <w:rFonts w:ascii="宋体" w:hAnsi="宋体"/>
          <w:sz w:val="24"/>
        </w:rPr>
      </w:pPr>
      <w:r>
        <w:rPr>
          <w:rFonts w:hint="eastAsia" w:ascii="宋体" w:hAnsi="宋体"/>
          <w:sz w:val="24"/>
        </w:rPr>
        <w:t>（1）投标函；</w:t>
      </w:r>
    </w:p>
    <w:p>
      <w:pPr>
        <w:snapToGrid w:val="0"/>
        <w:spacing w:line="400" w:lineRule="exact"/>
        <w:ind w:firstLine="470" w:firstLineChars="196"/>
        <w:jc w:val="left"/>
        <w:rPr>
          <w:rFonts w:ascii="宋体" w:hAnsi="宋体"/>
          <w:sz w:val="24"/>
        </w:rPr>
      </w:pPr>
      <w:r>
        <w:rPr>
          <w:rFonts w:hint="eastAsia" w:ascii="宋体" w:hAnsi="宋体"/>
          <w:sz w:val="24"/>
        </w:rPr>
        <w:t>（2）</w:t>
      </w:r>
      <w:bookmarkStart w:id="15" w:name="_Hlk534200539"/>
      <w:r>
        <w:rPr>
          <w:rFonts w:hint="eastAsia" w:ascii="宋体" w:hAnsi="宋体"/>
          <w:sz w:val="24"/>
        </w:rPr>
        <w:t>法定代表人授权委托书</w:t>
      </w:r>
      <w:bookmarkEnd w:id="15"/>
      <w:r>
        <w:rPr>
          <w:rFonts w:hint="eastAsia" w:ascii="宋体" w:hAnsi="宋体"/>
          <w:sz w:val="24"/>
        </w:rPr>
        <w:t>；</w:t>
      </w:r>
    </w:p>
    <w:p>
      <w:pPr>
        <w:snapToGrid w:val="0"/>
        <w:spacing w:line="400" w:lineRule="exact"/>
        <w:ind w:firstLine="480" w:firstLineChars="200"/>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）投标人按照评分标准要求提供的相应资料；</w:t>
      </w:r>
    </w:p>
    <w:p>
      <w:pPr>
        <w:snapToGrid w:val="0"/>
        <w:spacing w:line="400" w:lineRule="exact"/>
        <w:ind w:firstLine="480" w:firstLineChars="200"/>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）设备说明表（均不含报价）；</w:t>
      </w:r>
    </w:p>
    <w:p>
      <w:pPr>
        <w:snapToGrid w:val="0"/>
        <w:spacing w:line="400" w:lineRule="exact"/>
        <w:ind w:firstLine="480" w:firstLineChars="200"/>
        <w:jc w:val="lef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）项目负责人简历表；</w:t>
      </w:r>
    </w:p>
    <w:p>
      <w:pPr>
        <w:snapToGrid w:val="0"/>
        <w:spacing w:line="400" w:lineRule="exact"/>
        <w:ind w:firstLine="480" w:firstLineChars="200"/>
        <w:jc w:val="left"/>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 xml:space="preserve">）项目实施人员一览表； </w:t>
      </w:r>
    </w:p>
    <w:p>
      <w:pPr>
        <w:snapToGrid w:val="0"/>
        <w:spacing w:line="400" w:lineRule="exact"/>
        <w:ind w:firstLine="470" w:firstLineChars="196"/>
        <w:jc w:val="left"/>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）投标人类似成功案例一览表；</w:t>
      </w:r>
    </w:p>
    <w:p>
      <w:pPr>
        <w:snapToGrid w:val="0"/>
        <w:spacing w:line="400" w:lineRule="exact"/>
        <w:ind w:firstLine="470" w:firstLineChars="196"/>
        <w:jc w:val="left"/>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）售后服务网点情况表；</w:t>
      </w:r>
    </w:p>
    <w:p>
      <w:pPr>
        <w:snapToGrid w:val="0"/>
        <w:spacing w:line="400" w:lineRule="exact"/>
        <w:ind w:firstLine="470" w:firstLineChars="196"/>
        <w:jc w:val="left"/>
        <w:rPr>
          <w:rFonts w:ascii="宋体" w:hAnsi="宋体"/>
          <w:sz w:val="24"/>
        </w:rPr>
      </w:pPr>
      <w:r>
        <w:rPr>
          <w:rFonts w:hint="eastAsia" w:ascii="宋体" w:hAnsi="宋体"/>
          <w:sz w:val="24"/>
        </w:rPr>
        <w:t>（</w:t>
      </w:r>
      <w:r>
        <w:rPr>
          <w:rFonts w:ascii="宋体" w:hAnsi="宋体"/>
          <w:sz w:val="24"/>
        </w:rPr>
        <w:t>9</w:t>
      </w:r>
      <w:r>
        <w:rPr>
          <w:rFonts w:hint="eastAsia" w:ascii="宋体" w:hAnsi="宋体"/>
          <w:sz w:val="24"/>
        </w:rPr>
        <w:t>）商务技术响应表；</w:t>
      </w:r>
    </w:p>
    <w:p>
      <w:pPr>
        <w:snapToGrid w:val="0"/>
        <w:spacing w:line="400" w:lineRule="exact"/>
        <w:ind w:firstLine="470" w:firstLineChars="196"/>
        <w:jc w:val="left"/>
        <w:rPr>
          <w:rFonts w:hint="eastAsia" w:ascii="宋体" w:hAnsi="宋体"/>
          <w:sz w:val="24"/>
        </w:rPr>
      </w:pPr>
      <w:r>
        <w:rPr>
          <w:rFonts w:hint="eastAsia" w:ascii="宋体" w:hAnsi="宋体"/>
          <w:sz w:val="24"/>
        </w:rPr>
        <w:t>（</w:t>
      </w:r>
      <w:r>
        <w:rPr>
          <w:rFonts w:ascii="宋体" w:hAnsi="宋体"/>
          <w:sz w:val="24"/>
        </w:rPr>
        <w:t>10</w:t>
      </w:r>
      <w:r>
        <w:rPr>
          <w:rFonts w:hint="eastAsia" w:ascii="宋体" w:hAnsi="宋体"/>
          <w:sz w:val="24"/>
        </w:rPr>
        <w:t>）投标人认为需要提供的其他资料。</w:t>
      </w:r>
    </w:p>
    <w:p>
      <w:pPr>
        <w:snapToGrid w:val="0"/>
        <w:spacing w:line="400" w:lineRule="exact"/>
        <w:ind w:firstLine="472" w:firstLineChars="196"/>
        <w:jc w:val="left"/>
        <w:rPr>
          <w:rFonts w:ascii="宋体" w:hAnsi="宋体"/>
          <w:b/>
          <w:sz w:val="24"/>
        </w:rPr>
      </w:pPr>
      <w:r>
        <w:rPr>
          <w:rFonts w:ascii="宋体" w:hAnsi="宋体"/>
          <w:b/>
          <w:sz w:val="24"/>
        </w:rPr>
        <w:t>3</w:t>
      </w:r>
      <w:r>
        <w:rPr>
          <w:rFonts w:hint="eastAsia" w:ascii="宋体" w:hAnsi="宋体"/>
          <w:b/>
          <w:sz w:val="24"/>
        </w:rPr>
        <w:t>.报价文件</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（1）开标一览表；</w:t>
      </w:r>
    </w:p>
    <w:p>
      <w:pPr>
        <w:pStyle w:val="29"/>
        <w:snapToGrid w:val="0"/>
        <w:spacing w:line="400" w:lineRule="exact"/>
        <w:ind w:left="0" w:leftChars="0" w:firstLine="480" w:firstLineChars="200"/>
        <w:rPr>
          <w:rFonts w:hint="eastAsia" w:ascii="宋体" w:hAnsi="宋体" w:eastAsia="宋体"/>
          <w:color w:val="000000"/>
          <w:sz w:val="24"/>
          <w:szCs w:val="24"/>
        </w:rPr>
      </w:pPr>
      <w:r>
        <w:rPr>
          <w:rFonts w:hint="eastAsia" w:ascii="宋体" w:hAnsi="宋体" w:eastAsia="宋体"/>
          <w:color w:val="000000"/>
          <w:sz w:val="24"/>
          <w:szCs w:val="24"/>
        </w:rPr>
        <w:t>（2）报价明细表；</w:t>
      </w:r>
    </w:p>
    <w:p>
      <w:pPr>
        <w:pStyle w:val="29"/>
        <w:snapToGrid w:val="0"/>
        <w:spacing w:line="400" w:lineRule="exact"/>
        <w:ind w:left="0" w:leftChars="0" w:firstLine="482" w:firstLineChars="200"/>
        <w:rPr>
          <w:rFonts w:hint="eastAsia" w:ascii="宋体" w:hAnsi="宋体" w:eastAsia="宋体"/>
          <w:b/>
          <w:color w:val="000000"/>
          <w:sz w:val="24"/>
          <w:szCs w:val="24"/>
          <w:u w:val="single"/>
          <w:shd w:val="pct10" w:color="auto" w:fill="FFFFFF"/>
        </w:rPr>
      </w:pPr>
      <w:bookmarkStart w:id="16" w:name="_Hlk534190502"/>
      <w:r>
        <w:rPr>
          <w:rFonts w:hint="eastAsia" w:ascii="宋体" w:hAnsi="宋体" w:eastAsia="宋体"/>
          <w:b/>
          <w:color w:val="000000"/>
          <w:sz w:val="24"/>
          <w:szCs w:val="24"/>
          <w:u w:val="single"/>
          <w:shd w:val="pct10" w:color="auto" w:fill="FFFFFF"/>
        </w:rPr>
        <w:t>（3）</w:t>
      </w:r>
      <w:bookmarkEnd w:id="16"/>
      <w:bookmarkStart w:id="17" w:name="_Hlk60771198"/>
      <w:bookmarkStart w:id="18" w:name="_Hlk77583139"/>
      <w:r>
        <w:rPr>
          <w:rFonts w:hint="eastAsia" w:ascii="宋体" w:hAnsi="宋体" w:eastAsia="宋体"/>
          <w:b/>
          <w:color w:val="000000"/>
          <w:sz w:val="24"/>
          <w:szCs w:val="24"/>
          <w:u w:val="single"/>
          <w:shd w:val="pct10" w:color="auto" w:fill="FFFFFF"/>
        </w:rPr>
        <w:t>中小企业</w:t>
      </w:r>
      <w:bookmarkEnd w:id="17"/>
      <w:r>
        <w:rPr>
          <w:rFonts w:hint="eastAsia" w:ascii="宋体" w:hAnsi="宋体" w:eastAsia="宋体"/>
          <w:b/>
          <w:color w:val="000000"/>
          <w:sz w:val="24"/>
          <w:szCs w:val="24"/>
          <w:u w:val="single"/>
          <w:shd w:val="pct10" w:color="auto" w:fill="FFFFFF"/>
        </w:rPr>
        <w:t>声明函</w:t>
      </w:r>
      <w:bookmarkEnd w:id="18"/>
      <w:bookmarkStart w:id="19" w:name="_Hlk17356691"/>
      <w:bookmarkStart w:id="20" w:name="_Hlk78207091"/>
      <w:r>
        <w:rPr>
          <w:rFonts w:hint="eastAsia" w:ascii="宋体" w:hAnsi="宋体" w:eastAsia="宋体"/>
          <w:b/>
          <w:color w:val="000000"/>
          <w:sz w:val="24"/>
          <w:szCs w:val="24"/>
          <w:u w:val="single"/>
          <w:shd w:val="pct10" w:color="auto" w:fill="FFFFFF"/>
        </w:rPr>
        <w:t>（投标人未提供《中小企业声明函》的、《中小企业声明函》中内容应填写而未进行填写或未如实填写的，将不给予投标人小微企业报价优惠扣除</w:t>
      </w:r>
      <w:bookmarkEnd w:id="19"/>
      <w:r>
        <w:rPr>
          <w:rFonts w:hint="eastAsia" w:ascii="宋体" w:hAnsi="宋体" w:eastAsia="宋体"/>
          <w:b/>
          <w:color w:val="000000"/>
          <w:sz w:val="24"/>
          <w:szCs w:val="24"/>
          <w:u w:val="single"/>
          <w:shd w:val="pct10" w:color="auto" w:fill="FFFFFF"/>
        </w:rPr>
        <w:t>）。</w:t>
      </w:r>
      <w:bookmarkEnd w:id="20"/>
    </w:p>
    <w:p>
      <w:pPr>
        <w:spacing w:line="400" w:lineRule="exact"/>
        <w:ind w:firstLine="470" w:firstLineChars="196"/>
        <w:rPr>
          <w:rFonts w:hint="eastAsia"/>
          <w:sz w:val="24"/>
        </w:rPr>
      </w:pPr>
      <w:r>
        <w:rPr>
          <w:rFonts w:hint="eastAsia"/>
          <w:sz w:val="24"/>
        </w:rPr>
        <w:t>评标委员会根据上述资料和《政府采购促进中小企业发展管理办法》财库［2020］46号文件、工信部联企业[2011]300号文件、浙财采监〔2018〕2号文件等规定，综合评判后确认是否给予投标人</w:t>
      </w:r>
      <w:bookmarkStart w:id="21" w:name="_Hlk60771793"/>
      <w:r>
        <w:rPr>
          <w:rFonts w:hint="eastAsia"/>
          <w:sz w:val="24"/>
        </w:rPr>
        <w:t>小微企业报价优惠扣除</w:t>
      </w:r>
      <w:bookmarkEnd w:id="21"/>
      <w:r>
        <w:rPr>
          <w:rFonts w:hint="eastAsia"/>
          <w:sz w:val="24"/>
        </w:rPr>
        <w:t>，用扣除后的价格参加评审。</w:t>
      </w:r>
      <w:r>
        <w:rPr>
          <w:rFonts w:hint="eastAsia" w:ascii="宋体" w:hAnsi="宋体"/>
          <w:b/>
          <w:sz w:val="24"/>
          <w:u w:val="single"/>
          <w:shd w:val="pct10" w:color="auto" w:fill="FFFFFF"/>
        </w:rPr>
        <w:t>评标过程中如须核实上述单位网上统计、社保、税务等信息的，投标人请提供配合。</w:t>
      </w:r>
    </w:p>
    <w:p>
      <w:pPr>
        <w:snapToGrid w:val="0"/>
        <w:spacing w:before="100" w:beforeAutospacing="1" w:after="100" w:afterAutospacing="1" w:line="400" w:lineRule="exact"/>
        <w:ind w:firstLine="236" w:firstLineChars="98"/>
        <w:jc w:val="left"/>
        <w:rPr>
          <w:rFonts w:ascii="宋体" w:hAnsi="宋体"/>
          <w:b/>
          <w:spacing w:val="-4"/>
          <w:sz w:val="24"/>
        </w:rPr>
      </w:pPr>
      <w:r>
        <w:rPr>
          <w:rFonts w:hint="eastAsia" w:ascii="宋体" w:hAnsi="宋体"/>
          <w:b/>
          <w:sz w:val="24"/>
        </w:rPr>
        <w:t>（二）</w:t>
      </w:r>
      <w:r>
        <w:rPr>
          <w:rFonts w:hint="eastAsia" w:ascii="宋体" w:hAnsi="宋体"/>
          <w:b/>
          <w:spacing w:val="-4"/>
          <w:sz w:val="24"/>
        </w:rPr>
        <w:t>采购项目评分索引表(该表格仅为方便评标之用，不涉及无效标条款，表格放置在商务技术文件目录的前页，以方便评委进行评审</w:t>
      </w:r>
      <w:r>
        <w:rPr>
          <w:rFonts w:ascii="宋体" w:hAnsi="宋体"/>
          <w:b/>
          <w:spacing w:val="-4"/>
          <w:sz w:val="24"/>
        </w:rPr>
        <w:t>，</w:t>
      </w:r>
      <w:r>
        <w:rPr>
          <w:rFonts w:hint="eastAsia" w:ascii="宋体" w:hAnsi="宋体"/>
          <w:b/>
          <w:spacing w:val="-4"/>
          <w:sz w:val="24"/>
        </w:rPr>
        <w:t>格式见第四章)</w:t>
      </w:r>
    </w:p>
    <w:p>
      <w:pPr>
        <w:snapToGrid w:val="0"/>
        <w:spacing w:line="400" w:lineRule="exact"/>
        <w:ind w:firstLine="361" w:firstLineChars="150"/>
        <w:jc w:val="left"/>
        <w:rPr>
          <w:rFonts w:ascii="宋体" w:hAnsi="宋体"/>
          <w:b/>
          <w:color w:val="000000"/>
          <w:sz w:val="24"/>
        </w:rPr>
      </w:pPr>
      <w:r>
        <w:rPr>
          <w:rFonts w:hint="eastAsia" w:ascii="宋体" w:hAnsi="宋体"/>
          <w:b/>
          <w:color w:val="000000"/>
          <w:sz w:val="24"/>
        </w:rPr>
        <w:t>（三）投标文件的语言及计量</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1.投标文件以及投标人与招标人就有关投标事宜的所有来往函电，均应以中文汉语书写。除签名、盖章、专用名称等特殊情形外，以中文汉语以外的文字表述的投标文件视同未提供。</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2.投标计量单位，招标文件已有明确规定的，使用招标文件规定的计量单位；招标文件没有规定的，应采用中华人民共和国法定计量单位（货币单位：人民币元），否则视同未响应。</w:t>
      </w:r>
    </w:p>
    <w:p>
      <w:pPr>
        <w:snapToGrid w:val="0"/>
        <w:spacing w:beforeLines="50" w:line="400" w:lineRule="exact"/>
        <w:ind w:firstLine="472" w:firstLineChars="196"/>
        <w:jc w:val="left"/>
        <w:rPr>
          <w:rFonts w:ascii="宋体" w:hAnsi="宋体"/>
          <w:b/>
          <w:color w:val="000000"/>
          <w:sz w:val="24"/>
        </w:rPr>
      </w:pPr>
      <w:r>
        <w:rPr>
          <w:rFonts w:hint="eastAsia" w:ascii="宋体" w:hAnsi="宋体"/>
          <w:b/>
          <w:color w:val="000000"/>
          <w:sz w:val="24"/>
        </w:rPr>
        <w:t>（四）投标报价</w:t>
      </w:r>
    </w:p>
    <w:p>
      <w:pPr>
        <w:pStyle w:val="27"/>
        <w:snapToGrid w:val="0"/>
        <w:spacing w:before="120" w:after="120"/>
        <w:ind w:firstLine="480" w:firstLineChars="200"/>
        <w:jc w:val="left"/>
        <w:rPr>
          <w:rFonts w:hAnsi="宋体"/>
          <w:color w:val="000000"/>
        </w:rPr>
      </w:pPr>
      <w:r>
        <w:rPr>
          <w:rFonts w:hint="eastAsia" w:hAnsi="宋体"/>
          <w:color w:val="000000"/>
        </w:rPr>
        <w:t>1.投标报价应按招标文件中相关附表格式填写。</w:t>
      </w:r>
    </w:p>
    <w:p>
      <w:pPr>
        <w:pStyle w:val="27"/>
        <w:snapToGrid w:val="0"/>
        <w:spacing w:before="120" w:after="120"/>
        <w:ind w:firstLine="480" w:firstLineChars="200"/>
        <w:jc w:val="left"/>
        <w:rPr>
          <w:rFonts w:hAnsi="宋体"/>
          <w:color w:val="000000"/>
        </w:rPr>
      </w:pPr>
      <w:r>
        <w:rPr>
          <w:rFonts w:hint="eastAsia" w:hAnsi="宋体"/>
          <w:color w:val="000000"/>
        </w:rPr>
        <w:t>2.投标报价是履行合同的最终价格，应包括货款、标准附件、备品备件、专用工具、包装、运输、装卸、保险、税金、货到就位以及安装、调试、保修等一切税金和费用。</w:t>
      </w:r>
    </w:p>
    <w:p>
      <w:pPr>
        <w:tabs>
          <w:tab w:val="left" w:pos="525"/>
        </w:tabs>
        <w:snapToGrid w:val="0"/>
        <w:spacing w:line="400" w:lineRule="exact"/>
        <w:ind w:firstLine="480" w:firstLineChars="200"/>
        <w:jc w:val="left"/>
        <w:rPr>
          <w:rFonts w:ascii="宋体" w:hAnsi="宋体"/>
          <w:color w:val="000000"/>
          <w:sz w:val="24"/>
        </w:rPr>
      </w:pPr>
      <w:r>
        <w:rPr>
          <w:rFonts w:hint="eastAsia" w:ascii="宋体" w:hAnsi="宋体"/>
          <w:color w:val="000000"/>
          <w:sz w:val="24"/>
        </w:rPr>
        <w:t>▲3.投标文件只允许有一个报价，有选择的或有条件的报价将不予接受。</w:t>
      </w:r>
    </w:p>
    <w:p>
      <w:pPr>
        <w:pStyle w:val="12"/>
        <w:widowControl w:val="0"/>
        <w:tabs>
          <w:tab w:val="left" w:pos="420"/>
        </w:tabs>
        <w:snapToGrid w:val="0"/>
        <w:spacing w:beforeLines="50" w:after="120" w:line="400" w:lineRule="exact"/>
        <w:ind w:left="0" w:firstLine="472" w:firstLineChars="196"/>
        <w:rPr>
          <w:rFonts w:ascii="宋体" w:hAnsi="宋体"/>
          <w:b/>
          <w:color w:val="000000"/>
          <w:szCs w:val="24"/>
        </w:rPr>
      </w:pPr>
      <w:r>
        <w:rPr>
          <w:rFonts w:hint="eastAsia" w:ascii="宋体" w:hAnsi="宋体"/>
          <w:b/>
          <w:color w:val="000000"/>
          <w:szCs w:val="24"/>
        </w:rPr>
        <w:t>（五）投标有效期</w:t>
      </w:r>
    </w:p>
    <w:p>
      <w:pPr>
        <w:pStyle w:val="12"/>
        <w:widowControl w:val="0"/>
        <w:tabs>
          <w:tab w:val="left" w:pos="420"/>
        </w:tabs>
        <w:snapToGrid w:val="0"/>
        <w:spacing w:after="120" w:line="400" w:lineRule="exact"/>
        <w:ind w:left="-25" w:leftChars="-12" w:firstLine="360" w:firstLineChars="150"/>
        <w:rPr>
          <w:rFonts w:ascii="宋体" w:hAnsi="宋体"/>
          <w:color w:val="000000"/>
          <w:szCs w:val="24"/>
        </w:rPr>
      </w:pPr>
      <w:r>
        <w:rPr>
          <w:rFonts w:hint="eastAsia" w:ascii="宋体" w:hAnsi="宋体"/>
          <w:color w:val="000000"/>
          <w:szCs w:val="24"/>
        </w:rPr>
        <w:t>▲1.自投标截止日起</w:t>
      </w:r>
      <w:r>
        <w:rPr>
          <w:rFonts w:hint="eastAsia" w:ascii="宋体" w:hAnsi="宋体"/>
          <w:color w:val="000000"/>
          <w:szCs w:val="24"/>
          <w:u w:val="single"/>
        </w:rPr>
        <w:t xml:space="preserve">  90  </w:t>
      </w:r>
      <w:r>
        <w:rPr>
          <w:rFonts w:hint="eastAsia" w:ascii="宋体" w:hAnsi="宋体"/>
          <w:color w:val="000000"/>
          <w:szCs w:val="24"/>
        </w:rPr>
        <w:t>天投标文件应保持有效。</w:t>
      </w:r>
    </w:p>
    <w:p>
      <w:pPr>
        <w:pStyle w:val="12"/>
        <w:widowControl w:val="0"/>
        <w:tabs>
          <w:tab w:val="left" w:pos="420"/>
        </w:tabs>
        <w:snapToGrid w:val="0"/>
        <w:spacing w:after="120" w:line="400" w:lineRule="exact"/>
        <w:ind w:left="0" w:firstLine="480" w:firstLineChars="200"/>
        <w:rPr>
          <w:rFonts w:ascii="宋体" w:hAnsi="宋体"/>
          <w:color w:val="000000"/>
          <w:szCs w:val="24"/>
        </w:rPr>
      </w:pPr>
      <w:r>
        <w:rPr>
          <w:rFonts w:hint="eastAsia" w:ascii="宋体" w:hAnsi="宋体"/>
          <w:color w:val="000000"/>
          <w:szCs w:val="24"/>
        </w:rPr>
        <w:t>2.在特殊情况下，招标人可与投标人协商延长投标文件的有效期，这种要求和答复均以书面形式进行。</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 xml:space="preserve">3.投标人可拒绝接受延期要求，同意延长有效期的投标人不能修改投标文件内容。 </w:t>
      </w:r>
    </w:p>
    <w:p>
      <w:pPr>
        <w:snapToGrid w:val="0"/>
        <w:spacing w:line="400" w:lineRule="exact"/>
        <w:ind w:firstLine="480" w:firstLineChars="200"/>
        <w:jc w:val="left"/>
        <w:rPr>
          <w:rFonts w:hint="eastAsia" w:ascii="宋体" w:hAnsi="宋体"/>
          <w:b/>
          <w:color w:val="000000"/>
          <w:sz w:val="24"/>
        </w:rPr>
      </w:pPr>
      <w:r>
        <w:rPr>
          <w:rFonts w:hint="eastAsia" w:ascii="宋体" w:hAnsi="宋体"/>
          <w:color w:val="000000"/>
          <w:sz w:val="24"/>
        </w:rPr>
        <w:t>4.中标人的投标文件自开标之日起至合同履行完毕止均应保持有效。</w:t>
      </w:r>
    </w:p>
    <w:p>
      <w:pPr>
        <w:snapToGrid w:val="0"/>
        <w:spacing w:line="400" w:lineRule="exact"/>
        <w:ind w:firstLine="472" w:firstLineChars="196"/>
        <w:jc w:val="left"/>
        <w:rPr>
          <w:rFonts w:ascii="宋体" w:hAnsi="宋体"/>
          <w:b/>
          <w:bCs/>
          <w:color w:val="000000"/>
          <w:sz w:val="24"/>
        </w:rPr>
      </w:pPr>
      <w:r>
        <w:rPr>
          <w:rFonts w:hint="eastAsia" w:ascii="宋体" w:hAnsi="宋体"/>
          <w:b/>
          <w:bCs/>
          <w:color w:val="000000"/>
          <w:sz w:val="24"/>
        </w:rPr>
        <w:t>5.投标人有下列情形之一的，按有关规定进行处罚：</w:t>
      </w:r>
    </w:p>
    <w:p>
      <w:pPr>
        <w:snapToGrid w:val="0"/>
        <w:spacing w:line="400" w:lineRule="exact"/>
        <w:ind w:firstLine="470" w:firstLineChars="196"/>
        <w:jc w:val="left"/>
        <w:rPr>
          <w:rFonts w:ascii="宋体" w:hAnsi="宋体"/>
          <w:color w:val="000000"/>
          <w:sz w:val="24"/>
        </w:rPr>
      </w:pPr>
      <w:r>
        <w:rPr>
          <w:rFonts w:hint="eastAsia" w:ascii="宋体" w:hAnsi="宋体"/>
          <w:color w:val="000000"/>
          <w:sz w:val="24"/>
        </w:rPr>
        <w:t>（1）投标人在投标有效期内撤回投标文件的；</w:t>
      </w:r>
    </w:p>
    <w:p>
      <w:pPr>
        <w:snapToGrid w:val="0"/>
        <w:spacing w:line="400" w:lineRule="exact"/>
        <w:ind w:firstLine="470" w:firstLineChars="196"/>
        <w:jc w:val="left"/>
        <w:rPr>
          <w:rFonts w:ascii="宋体" w:hAnsi="宋体"/>
          <w:color w:val="000000"/>
          <w:sz w:val="24"/>
        </w:rPr>
      </w:pPr>
      <w:r>
        <w:rPr>
          <w:rFonts w:hint="eastAsia" w:ascii="宋体" w:hAnsi="宋体"/>
          <w:color w:val="000000"/>
          <w:sz w:val="24"/>
        </w:rPr>
        <w:t>（2）未按规定提交履约保证金的；</w:t>
      </w:r>
    </w:p>
    <w:p>
      <w:pPr>
        <w:snapToGrid w:val="0"/>
        <w:spacing w:line="400" w:lineRule="exact"/>
        <w:ind w:firstLine="470" w:firstLineChars="196"/>
        <w:jc w:val="left"/>
        <w:rPr>
          <w:rFonts w:ascii="宋体" w:hAnsi="宋体"/>
          <w:color w:val="000000"/>
          <w:sz w:val="24"/>
        </w:rPr>
      </w:pPr>
      <w:r>
        <w:rPr>
          <w:rFonts w:hint="eastAsia" w:ascii="宋体" w:hAnsi="宋体"/>
          <w:color w:val="000000"/>
          <w:sz w:val="24"/>
        </w:rPr>
        <w:t>（3）投标人在投标过程中弄虚作假，提供虚假材料的；</w:t>
      </w:r>
    </w:p>
    <w:p>
      <w:pPr>
        <w:snapToGrid w:val="0"/>
        <w:spacing w:line="400" w:lineRule="exact"/>
        <w:ind w:firstLine="470" w:firstLineChars="196"/>
        <w:rPr>
          <w:rFonts w:ascii="宋体" w:hAnsi="宋体"/>
          <w:color w:val="000000"/>
          <w:sz w:val="24"/>
        </w:rPr>
      </w:pPr>
      <w:r>
        <w:rPr>
          <w:rFonts w:hint="eastAsia" w:ascii="宋体" w:hAnsi="宋体"/>
          <w:color w:val="000000"/>
          <w:sz w:val="24"/>
        </w:rPr>
        <w:t>（4）中标人无正当理由不与</w:t>
      </w:r>
      <w:r>
        <w:rPr>
          <w:rFonts w:hint="eastAsia" w:ascii="宋体" w:hAnsi="宋体" w:cs="宋体"/>
          <w:color w:val="000000"/>
          <w:sz w:val="24"/>
          <w:lang w:val="en-US" w:eastAsia="zh-CN"/>
        </w:rPr>
        <w:t>建设单位、实施单位</w:t>
      </w:r>
      <w:r>
        <w:rPr>
          <w:rFonts w:hint="eastAsia" w:ascii="宋体" w:hAnsi="宋体"/>
          <w:color w:val="000000"/>
          <w:sz w:val="24"/>
        </w:rPr>
        <w:t>签订合同的；</w:t>
      </w:r>
    </w:p>
    <w:p>
      <w:pPr>
        <w:snapToGrid w:val="0"/>
        <w:spacing w:line="400" w:lineRule="exact"/>
        <w:ind w:firstLine="470" w:firstLineChars="196"/>
        <w:rPr>
          <w:rFonts w:ascii="宋体" w:hAnsi="宋体"/>
          <w:color w:val="000000"/>
          <w:sz w:val="24"/>
        </w:rPr>
      </w:pPr>
      <w:r>
        <w:rPr>
          <w:rFonts w:hint="eastAsia" w:ascii="宋体" w:hAnsi="宋体"/>
          <w:color w:val="000000"/>
          <w:sz w:val="24"/>
        </w:rPr>
        <w:t>（5）</w:t>
      </w:r>
      <w:r>
        <w:rPr>
          <w:rFonts w:hint="eastAsia" w:ascii="宋体" w:hAnsi="宋体"/>
          <w:bCs/>
          <w:color w:val="000000"/>
          <w:sz w:val="24"/>
        </w:rPr>
        <w:t>将中标项目转让给他人或者在投标文件中未说明且未经招标人同意，将中标项目分包给他人的；</w:t>
      </w:r>
    </w:p>
    <w:p>
      <w:pPr>
        <w:snapToGrid w:val="0"/>
        <w:spacing w:line="400" w:lineRule="exact"/>
        <w:ind w:firstLine="480" w:firstLineChars="200"/>
        <w:rPr>
          <w:rFonts w:ascii="宋体" w:hAnsi="宋体"/>
          <w:color w:val="000000"/>
          <w:sz w:val="24"/>
        </w:rPr>
      </w:pPr>
      <w:r>
        <w:rPr>
          <w:rFonts w:hint="eastAsia" w:ascii="宋体" w:hAnsi="宋体"/>
          <w:color w:val="000000"/>
          <w:sz w:val="24"/>
        </w:rPr>
        <w:t>（6）拒绝履行合同义务的；</w:t>
      </w:r>
    </w:p>
    <w:p>
      <w:pPr>
        <w:snapToGrid w:val="0"/>
        <w:spacing w:line="400" w:lineRule="exact"/>
        <w:ind w:firstLine="480" w:firstLineChars="200"/>
        <w:rPr>
          <w:rFonts w:ascii="宋体" w:hAnsi="宋体"/>
          <w:color w:val="000000"/>
          <w:sz w:val="24"/>
        </w:rPr>
      </w:pPr>
      <w:r>
        <w:rPr>
          <w:rFonts w:hint="eastAsia" w:ascii="宋体" w:hAnsi="宋体"/>
          <w:color w:val="000000"/>
          <w:sz w:val="24"/>
        </w:rPr>
        <w:t>（7）其他严重扰乱招投标程序的。</w:t>
      </w:r>
    </w:p>
    <w:p>
      <w:pPr>
        <w:snapToGrid w:val="0"/>
        <w:spacing w:beforeLines="50" w:line="400" w:lineRule="exact"/>
        <w:ind w:firstLine="472" w:firstLineChars="196"/>
        <w:jc w:val="left"/>
        <w:rPr>
          <w:rFonts w:ascii="宋体" w:hAnsi="宋体"/>
          <w:b/>
          <w:sz w:val="24"/>
        </w:rPr>
      </w:pPr>
      <w:r>
        <w:rPr>
          <w:rFonts w:hint="eastAsia" w:ascii="宋体" w:hAnsi="宋体"/>
          <w:b/>
          <w:sz w:val="24"/>
        </w:rPr>
        <w:t>（六）投标文件的签署</w:t>
      </w:r>
    </w:p>
    <w:p>
      <w:pPr>
        <w:snapToGrid w:val="0"/>
        <w:spacing w:line="400" w:lineRule="exact"/>
        <w:ind w:firstLine="480" w:firstLineChars="200"/>
        <w:jc w:val="left"/>
        <w:rPr>
          <w:rFonts w:hint="eastAsia" w:ascii="宋体" w:hAnsi="宋体"/>
          <w:color w:val="000000"/>
          <w:sz w:val="24"/>
        </w:rPr>
      </w:pPr>
      <w:r>
        <w:rPr>
          <w:rFonts w:hint="eastAsia" w:ascii="宋体" w:hAnsi="宋体"/>
          <w:color w:val="000000"/>
          <w:sz w:val="24"/>
        </w:rPr>
        <w:t>1.投标人应按本招标文件规定的格式和顺序编制投标文件并标注页码，投标文件内容不完整、编排混乱而导致投标文件被误读、漏读或者查找不到相关内容的，投标人责任自负。</w:t>
      </w:r>
    </w:p>
    <w:p>
      <w:pPr>
        <w:snapToGrid w:val="0"/>
        <w:spacing w:line="400" w:lineRule="exact"/>
        <w:ind w:firstLine="470" w:firstLineChars="196"/>
        <w:jc w:val="left"/>
        <w:rPr>
          <w:rFonts w:hint="eastAsia" w:ascii="宋体" w:hAnsi="宋体" w:cs="仿宋_GB2312"/>
          <w:bCs/>
          <w:sz w:val="24"/>
        </w:rPr>
      </w:pPr>
      <w:r>
        <w:rPr>
          <w:rFonts w:ascii="宋体" w:hAnsi="宋体"/>
          <w:sz w:val="24"/>
        </w:rPr>
        <w:t>2</w:t>
      </w:r>
      <w:r>
        <w:rPr>
          <w:rFonts w:hint="eastAsia" w:ascii="宋体" w:hAnsi="宋体"/>
          <w:sz w:val="24"/>
        </w:rPr>
        <w:t>.</w:t>
      </w:r>
      <w:r>
        <w:rPr>
          <w:rFonts w:hint="eastAsia" w:ascii="宋体" w:hAnsi="宋体" w:cs="仿宋_GB2312"/>
          <w:b/>
          <w:sz w:val="24"/>
        </w:rPr>
        <w:t>电子投标文件中公章、法人章均采用CA签章</w:t>
      </w:r>
      <w:r>
        <w:rPr>
          <w:rFonts w:hint="eastAsia" w:ascii="宋体" w:hAnsi="宋体" w:cs="仿宋_GB2312"/>
          <w:bCs/>
          <w:sz w:val="24"/>
        </w:rPr>
        <w:t>，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napToGrid w:val="0"/>
        <w:spacing w:line="400" w:lineRule="exact"/>
        <w:ind w:firstLine="470" w:firstLineChars="196"/>
        <w:jc w:val="left"/>
        <w:rPr>
          <w:rFonts w:ascii="宋体" w:hAnsi="宋体" w:cs="仿宋_GB2312"/>
          <w:bCs/>
          <w:sz w:val="24"/>
        </w:rPr>
      </w:pPr>
      <w:r>
        <w:rPr>
          <w:rFonts w:hint="eastAsia" w:ascii="宋体" w:hAnsi="宋体" w:cs="仿宋_GB2312"/>
          <w:bCs/>
          <w:sz w:val="24"/>
        </w:rPr>
        <w:t>电子投标文件如内容不完整、编排混乱导致投标文件被误读、漏读，或者在按采购文件规定的部位查找不到相关内容的，由投标人自行承担。</w:t>
      </w:r>
    </w:p>
    <w:p>
      <w:pPr>
        <w:snapToGrid w:val="0"/>
        <w:spacing w:line="400" w:lineRule="exact"/>
        <w:ind w:firstLine="470" w:firstLineChars="196"/>
        <w:jc w:val="left"/>
        <w:rPr>
          <w:rFonts w:ascii="宋体" w:hAnsi="宋体"/>
          <w:sz w:val="24"/>
        </w:rPr>
      </w:pPr>
      <w:r>
        <w:rPr>
          <w:rFonts w:ascii="宋体" w:hAnsi="宋体" w:cs="仿宋_GB2312"/>
          <w:bCs/>
          <w:sz w:val="24"/>
        </w:rPr>
        <w:t>3</w:t>
      </w:r>
      <w:r>
        <w:rPr>
          <w:rFonts w:hint="eastAsia" w:ascii="宋体" w:hAnsi="宋体"/>
          <w:sz w:val="24"/>
        </w:rPr>
        <w:t>.温馨提醒：</w:t>
      </w:r>
      <w:r>
        <w:rPr>
          <w:rFonts w:hint="eastAsia" w:ascii="宋体" w:hAnsi="宋体"/>
          <w:sz w:val="24"/>
          <w:u w:val="single"/>
        </w:rPr>
        <w:t>CA签章上目前没有法人或授权代表签字信息，需要投标人联系杭州天谷信息科技有限公司、浙江杭州汇信科技有限公司进行办理，或在投标文件中涉及到签字的位置线下签好字然后扫描或者拍照做成PDF的格式亦可。</w:t>
      </w:r>
    </w:p>
    <w:p>
      <w:pPr>
        <w:snapToGrid w:val="0"/>
        <w:spacing w:line="400" w:lineRule="exact"/>
        <w:ind w:firstLine="480" w:firstLineChars="200"/>
        <w:jc w:val="left"/>
        <w:rPr>
          <w:rFonts w:ascii="宋体" w:hAnsi="宋体"/>
          <w:sz w:val="24"/>
        </w:rPr>
      </w:pPr>
      <w:r>
        <w:rPr>
          <w:rFonts w:ascii="宋体" w:hAnsi="宋体"/>
          <w:sz w:val="24"/>
        </w:rPr>
        <w:t>4</w:t>
      </w:r>
      <w:r>
        <w:rPr>
          <w:rFonts w:hint="eastAsia" w:ascii="宋体" w:hAnsi="宋体"/>
          <w:sz w:val="24"/>
        </w:rPr>
        <w:t>.投标文件不得涂改，若有修改错漏处，须加盖单位公章或者法定代表人或授权委托人签字或盖章。投标文件因字迹潦草或表达不清所引起的后果由投标人负责。</w:t>
      </w:r>
    </w:p>
    <w:p>
      <w:pPr>
        <w:snapToGrid w:val="0"/>
        <w:spacing w:beforeLines="50" w:line="400" w:lineRule="exact"/>
        <w:ind w:firstLine="472" w:firstLineChars="196"/>
        <w:rPr>
          <w:rFonts w:ascii="宋体" w:hAnsi="宋体"/>
          <w:b/>
          <w:color w:val="000000"/>
          <w:sz w:val="24"/>
        </w:rPr>
      </w:pPr>
      <w:r>
        <w:rPr>
          <w:rFonts w:hint="eastAsia" w:ascii="宋体" w:hAnsi="宋体"/>
          <w:b/>
          <w:color w:val="000000"/>
          <w:sz w:val="24"/>
        </w:rPr>
        <w:t>（七）投标无效的情形</w:t>
      </w:r>
    </w:p>
    <w:p>
      <w:pPr>
        <w:snapToGrid w:val="0"/>
        <w:spacing w:line="400" w:lineRule="exact"/>
        <w:ind w:firstLine="480" w:firstLineChars="200"/>
        <w:rPr>
          <w:rFonts w:hint="eastAsia" w:ascii="宋体" w:hAnsi="宋体"/>
          <w:bCs/>
          <w:color w:val="000000"/>
          <w:sz w:val="24"/>
        </w:rPr>
      </w:pPr>
      <w:r>
        <w:rPr>
          <w:rFonts w:hint="eastAsia" w:ascii="宋体" w:hAnsi="宋体"/>
          <w:bCs/>
          <w:color w:val="000000"/>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电子邮件、扫描件等）。修改或者补正投标文件必须以书面形式进行，如有需要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400" w:lineRule="exact"/>
        <w:ind w:firstLine="457" w:firstLineChars="196"/>
        <w:rPr>
          <w:rFonts w:ascii="宋体" w:hAnsi="宋体"/>
          <w:b/>
          <w:bCs/>
          <w:spacing w:val="-4"/>
          <w:sz w:val="24"/>
        </w:rPr>
      </w:pPr>
      <w:bookmarkStart w:id="22" w:name="_Hlk59462445"/>
      <w:r>
        <w:rPr>
          <w:rFonts w:hint="eastAsia" w:ascii="宋体" w:hAnsi="宋体"/>
          <w:b/>
          <w:bCs/>
          <w:spacing w:val="-4"/>
          <w:sz w:val="24"/>
        </w:rPr>
        <w:t>1.</w:t>
      </w:r>
      <w:bookmarkStart w:id="23" w:name="_Hlk534294335"/>
      <w:r>
        <w:rPr>
          <w:rFonts w:hint="eastAsia" w:ascii="宋体" w:hAnsi="宋体"/>
          <w:b/>
          <w:bCs/>
          <w:spacing w:val="-4"/>
          <w:sz w:val="24"/>
        </w:rPr>
        <w:t>在符合性审查和商务技术评审时，如发现下列情形之一的，投标文件将被视为无效：</w:t>
      </w:r>
    </w:p>
    <w:bookmarkEnd w:id="23"/>
    <w:p>
      <w:pPr>
        <w:snapToGrid w:val="0"/>
        <w:spacing w:line="400" w:lineRule="exact"/>
        <w:ind w:firstLine="470" w:firstLineChars="196"/>
        <w:rPr>
          <w:rFonts w:ascii="宋体" w:hAnsi="宋体"/>
          <w:color w:val="000000"/>
          <w:sz w:val="24"/>
        </w:rPr>
      </w:pPr>
      <w:r>
        <w:rPr>
          <w:rFonts w:hint="eastAsia" w:ascii="宋体" w:hAnsi="宋体"/>
          <w:color w:val="000000"/>
          <w:sz w:val="24"/>
        </w:rPr>
        <w:t>（1）资格响应文件未提供齐全的，或者不符合招标文件标明的资格要求的；</w:t>
      </w:r>
    </w:p>
    <w:p>
      <w:pPr>
        <w:snapToGrid w:val="0"/>
        <w:spacing w:line="400" w:lineRule="exact"/>
        <w:ind w:firstLine="470" w:firstLineChars="196"/>
        <w:rPr>
          <w:rFonts w:hint="eastAsia" w:ascii="宋体" w:hAnsi="宋体"/>
          <w:bCs/>
          <w:kern w:val="0"/>
          <w:sz w:val="24"/>
        </w:rPr>
      </w:pPr>
      <w:r>
        <w:rPr>
          <w:rFonts w:hint="eastAsia" w:ascii="宋体" w:hAnsi="宋体"/>
          <w:sz w:val="24"/>
        </w:rPr>
        <w:t>（2）</w:t>
      </w:r>
      <w:r>
        <w:rPr>
          <w:rFonts w:hint="eastAsia" w:ascii="宋体" w:hAnsi="宋体"/>
          <w:bCs/>
          <w:sz w:val="24"/>
        </w:rPr>
        <w:t>电子投标文件</w:t>
      </w:r>
      <w:r>
        <w:rPr>
          <w:rFonts w:hint="eastAsia" w:ascii="宋体" w:hAnsi="宋体"/>
          <w:b/>
          <w:bCs/>
          <w:kern w:val="0"/>
          <w:sz w:val="24"/>
          <w:u w:val="single"/>
          <w:shd w:val="pct10" w:color="auto" w:fill="FFFFFF"/>
        </w:rPr>
        <w:t>在指定页面无法定代表人盖章或签字、未在指定页面盖公章、在指定页面无被授权人签字</w:t>
      </w:r>
      <w:r>
        <w:rPr>
          <w:rFonts w:hint="eastAsia" w:ascii="宋体" w:hAnsi="宋体"/>
          <w:b/>
          <w:bCs/>
          <w:kern w:val="0"/>
          <w:sz w:val="24"/>
          <w:u w:val="single"/>
        </w:rPr>
        <w:t>、</w:t>
      </w:r>
      <w:r>
        <w:rPr>
          <w:rFonts w:hint="eastAsia" w:ascii="宋体" w:hAnsi="宋体"/>
          <w:b/>
          <w:bCs/>
          <w:kern w:val="0"/>
          <w:sz w:val="24"/>
        </w:rPr>
        <w:t>未提供法定代表人授权委托书、未提供投标函、未提供《没有重大违法记录的承诺函》或者投标函、《没有重大违法记录的承诺函》格式不符合招标文件要求或填写项目不齐全的；</w:t>
      </w:r>
    </w:p>
    <w:p>
      <w:pPr>
        <w:pStyle w:val="21"/>
        <w:snapToGrid w:val="0"/>
        <w:spacing w:line="400" w:lineRule="exact"/>
        <w:ind w:firstLine="454" w:firstLineChars="196"/>
        <w:rPr>
          <w:rFonts w:hAnsi="宋体"/>
          <w:b/>
          <w:bCs/>
          <w:color w:val="000000"/>
          <w:sz w:val="24"/>
          <w:szCs w:val="24"/>
        </w:rPr>
      </w:pPr>
      <w:r>
        <w:rPr>
          <w:rFonts w:hint="eastAsia" w:hAnsi="宋体"/>
          <w:sz w:val="24"/>
          <w:szCs w:val="24"/>
        </w:rPr>
        <w:t>（</w:t>
      </w:r>
      <w:r>
        <w:rPr>
          <w:rFonts w:hAnsi="宋体"/>
          <w:sz w:val="24"/>
          <w:szCs w:val="24"/>
        </w:rPr>
        <w:t>3</w:t>
      </w:r>
      <w:r>
        <w:rPr>
          <w:rFonts w:hint="eastAsia" w:hAnsi="宋体"/>
          <w:sz w:val="24"/>
          <w:szCs w:val="24"/>
        </w:rPr>
        <w:t>）多项主要服务响应或者主要设备功能响应不满足招标文件要求或</w:t>
      </w:r>
      <w:r>
        <w:rPr>
          <w:rFonts w:hint="eastAsia" w:hAnsi="宋体"/>
          <w:sz w:val="24"/>
        </w:rPr>
        <w:t>缺</w:t>
      </w:r>
      <w:r>
        <w:rPr>
          <w:rFonts w:hint="eastAsia" w:hAnsi="宋体"/>
          <w:color w:val="000000"/>
          <w:sz w:val="24"/>
        </w:rPr>
        <w:t>项的，</w:t>
      </w:r>
      <w:r>
        <w:rPr>
          <w:rFonts w:hint="eastAsia" w:hAnsi="宋体"/>
          <w:b/>
          <w:bCs/>
          <w:color w:val="000000"/>
          <w:sz w:val="24"/>
          <w:szCs w:val="24"/>
        </w:rPr>
        <w:t>主要设备尺寸严重不满足招标文件要求的。</w:t>
      </w:r>
    </w:p>
    <w:p>
      <w:pPr>
        <w:pStyle w:val="21"/>
        <w:snapToGrid w:val="0"/>
        <w:spacing w:line="400" w:lineRule="exact"/>
        <w:ind w:firstLine="454" w:firstLineChars="196"/>
        <w:rPr>
          <w:rFonts w:hAnsi="宋体"/>
          <w:sz w:val="24"/>
          <w:szCs w:val="24"/>
        </w:rPr>
      </w:pPr>
      <w:r>
        <w:rPr>
          <w:rFonts w:hint="eastAsia" w:hAnsi="宋体"/>
          <w:sz w:val="24"/>
          <w:szCs w:val="24"/>
        </w:rPr>
        <w:t>（</w:t>
      </w:r>
      <w:r>
        <w:rPr>
          <w:rFonts w:hAnsi="宋体"/>
          <w:sz w:val="24"/>
          <w:szCs w:val="24"/>
        </w:rPr>
        <w:t>4</w:t>
      </w:r>
      <w:r>
        <w:rPr>
          <w:rFonts w:hint="eastAsia" w:hAnsi="宋体"/>
          <w:sz w:val="24"/>
          <w:szCs w:val="24"/>
        </w:rPr>
        <w:t>）</w:t>
      </w:r>
      <w:r>
        <w:rPr>
          <w:rFonts w:hint="eastAsia" w:hAnsi="宋体"/>
          <w:snapToGrid w:val="0"/>
          <w:sz w:val="24"/>
          <w:szCs w:val="24"/>
        </w:rPr>
        <w:t>与</w:t>
      </w:r>
      <w:r>
        <w:rPr>
          <w:rFonts w:hint="eastAsia" w:hAnsi="宋体"/>
          <w:sz w:val="24"/>
          <w:szCs w:val="24"/>
        </w:rPr>
        <w:t>招标文件中标“▲”的技术指标、主要功能参数、服务响应发生实质性负偏离</w:t>
      </w:r>
      <w:r>
        <w:rPr>
          <w:rFonts w:hint="eastAsia" w:hAnsi="宋体"/>
          <w:snapToGrid w:val="0"/>
          <w:sz w:val="24"/>
          <w:szCs w:val="24"/>
        </w:rPr>
        <w:t>或内容缺失</w:t>
      </w:r>
      <w:r>
        <w:rPr>
          <w:rFonts w:hint="eastAsia" w:hAnsi="宋体"/>
          <w:sz w:val="24"/>
          <w:szCs w:val="24"/>
        </w:rPr>
        <w:t>的；</w:t>
      </w:r>
    </w:p>
    <w:p>
      <w:pPr>
        <w:pStyle w:val="21"/>
        <w:snapToGrid w:val="0"/>
        <w:spacing w:line="400" w:lineRule="exact"/>
        <w:ind w:firstLine="454" w:firstLineChars="196"/>
        <w:rPr>
          <w:rFonts w:hAnsi="宋体"/>
          <w:sz w:val="24"/>
          <w:szCs w:val="24"/>
        </w:rPr>
      </w:pPr>
      <w:r>
        <w:rPr>
          <w:rFonts w:hint="eastAsia" w:hAnsi="宋体"/>
          <w:color w:val="000000"/>
          <w:sz w:val="24"/>
          <w:szCs w:val="24"/>
        </w:rPr>
        <w:t>（</w:t>
      </w:r>
      <w:r>
        <w:rPr>
          <w:rFonts w:hAnsi="宋体"/>
          <w:color w:val="000000"/>
          <w:sz w:val="24"/>
          <w:szCs w:val="24"/>
        </w:rPr>
        <w:t>5</w:t>
      </w:r>
      <w:r>
        <w:rPr>
          <w:rFonts w:hint="eastAsia" w:hAnsi="宋体"/>
          <w:color w:val="000000"/>
          <w:sz w:val="24"/>
          <w:szCs w:val="24"/>
        </w:rPr>
        <w:t>）未如实提供投标货物的技术参数，或者投标文件标明的响应或偏离存在虚假的；</w:t>
      </w:r>
    </w:p>
    <w:p>
      <w:pPr>
        <w:pStyle w:val="21"/>
        <w:snapToGrid w:val="0"/>
        <w:spacing w:line="400" w:lineRule="exact"/>
        <w:ind w:firstLine="454" w:firstLineChars="196"/>
        <w:rPr>
          <w:rFonts w:hAnsi="宋体"/>
          <w:snapToGrid w:val="0"/>
          <w:sz w:val="24"/>
          <w:szCs w:val="24"/>
        </w:rPr>
      </w:pPr>
      <w:r>
        <w:rPr>
          <w:rFonts w:hint="eastAsia" w:hAnsi="宋体"/>
          <w:sz w:val="24"/>
          <w:szCs w:val="24"/>
        </w:rPr>
        <w:t>（</w:t>
      </w:r>
      <w:r>
        <w:rPr>
          <w:rFonts w:hAnsi="宋体"/>
          <w:sz w:val="24"/>
          <w:szCs w:val="24"/>
        </w:rPr>
        <w:t>6</w:t>
      </w:r>
      <w:r>
        <w:rPr>
          <w:rFonts w:hint="eastAsia" w:hAnsi="宋体"/>
          <w:sz w:val="24"/>
          <w:szCs w:val="24"/>
        </w:rPr>
        <w:t>）投标有效期、工期（供货期、交货时间、服务期）、保修期（质保期）、付款方式等商务条款不能满足招标文件要求或缺失的</w:t>
      </w:r>
      <w:r>
        <w:rPr>
          <w:rFonts w:hint="eastAsia" w:hAnsi="宋体"/>
          <w:snapToGrid w:val="0"/>
          <w:sz w:val="24"/>
          <w:szCs w:val="24"/>
        </w:rPr>
        <w:t>；</w:t>
      </w:r>
    </w:p>
    <w:p>
      <w:pPr>
        <w:pStyle w:val="21"/>
        <w:snapToGrid w:val="0"/>
        <w:spacing w:line="400" w:lineRule="exact"/>
        <w:ind w:firstLine="454" w:firstLineChars="196"/>
        <w:rPr>
          <w:rFonts w:hAnsi="宋体"/>
          <w:color w:val="000000"/>
          <w:sz w:val="24"/>
          <w:szCs w:val="24"/>
        </w:rPr>
      </w:pPr>
      <w:r>
        <w:rPr>
          <w:rFonts w:hint="eastAsia" w:hAnsi="宋体"/>
          <w:color w:val="000000"/>
          <w:sz w:val="24"/>
          <w:szCs w:val="24"/>
        </w:rPr>
        <w:t>（</w:t>
      </w:r>
      <w:r>
        <w:rPr>
          <w:rFonts w:hAnsi="宋体"/>
          <w:color w:val="000000"/>
          <w:sz w:val="24"/>
          <w:szCs w:val="24"/>
        </w:rPr>
        <w:t>7</w:t>
      </w:r>
      <w:r>
        <w:rPr>
          <w:rFonts w:hint="eastAsia" w:hAnsi="宋体"/>
          <w:color w:val="000000"/>
          <w:sz w:val="24"/>
          <w:szCs w:val="24"/>
        </w:rPr>
        <w:t>）投标文件有招标方不能接受的附加条件的；</w:t>
      </w:r>
    </w:p>
    <w:p>
      <w:pPr>
        <w:pStyle w:val="21"/>
        <w:snapToGrid w:val="0"/>
        <w:spacing w:line="400" w:lineRule="exact"/>
        <w:ind w:firstLine="464" w:firstLineChars="200"/>
        <w:rPr>
          <w:rFonts w:hAnsi="宋体"/>
          <w:sz w:val="24"/>
          <w:szCs w:val="24"/>
        </w:rPr>
      </w:pPr>
      <w:r>
        <w:rPr>
          <w:rFonts w:hint="eastAsia" w:hAnsi="宋体"/>
          <w:sz w:val="24"/>
          <w:szCs w:val="24"/>
        </w:rPr>
        <w:t>（</w:t>
      </w:r>
      <w:r>
        <w:rPr>
          <w:rFonts w:hAnsi="宋体"/>
          <w:sz w:val="24"/>
          <w:szCs w:val="24"/>
        </w:rPr>
        <w:t>8</w:t>
      </w:r>
      <w:r>
        <w:rPr>
          <w:rFonts w:hint="eastAsia" w:hAnsi="宋体"/>
          <w:sz w:val="24"/>
          <w:szCs w:val="24"/>
        </w:rPr>
        <w:t>）商务技术文件中出现投标总报价的；</w:t>
      </w:r>
    </w:p>
    <w:p>
      <w:pPr>
        <w:pStyle w:val="21"/>
        <w:snapToGrid w:val="0"/>
        <w:spacing w:line="400" w:lineRule="exact"/>
        <w:ind w:firstLine="454" w:firstLineChars="196"/>
        <w:rPr>
          <w:rFonts w:hint="eastAsia" w:hAnsi="宋体"/>
          <w:sz w:val="24"/>
          <w:szCs w:val="24"/>
        </w:rPr>
      </w:pPr>
      <w:r>
        <w:rPr>
          <w:rFonts w:hint="eastAsia" w:hAnsi="宋体"/>
          <w:sz w:val="24"/>
          <w:szCs w:val="24"/>
        </w:rPr>
        <w:t>（</w:t>
      </w:r>
      <w:r>
        <w:rPr>
          <w:rFonts w:hAnsi="宋体"/>
          <w:sz w:val="24"/>
          <w:szCs w:val="24"/>
        </w:rPr>
        <w:t>9</w:t>
      </w:r>
      <w:r>
        <w:rPr>
          <w:rFonts w:hint="eastAsia" w:hAnsi="宋体"/>
          <w:sz w:val="24"/>
          <w:szCs w:val="24"/>
        </w:rPr>
        <w:t>）不同投标人的投标文件,由同一台电脑编制。</w:t>
      </w:r>
    </w:p>
    <w:bookmarkEnd w:id="22"/>
    <w:p>
      <w:pPr>
        <w:pStyle w:val="21"/>
        <w:snapToGrid w:val="0"/>
        <w:spacing w:line="400" w:lineRule="exact"/>
        <w:ind w:firstLine="457" w:firstLineChars="196"/>
        <w:rPr>
          <w:rFonts w:hAnsi="宋体"/>
          <w:b/>
          <w:bCs/>
          <w:sz w:val="24"/>
          <w:szCs w:val="24"/>
        </w:rPr>
      </w:pPr>
      <w:r>
        <w:rPr>
          <w:rFonts w:hint="eastAsia" w:hAnsi="宋体"/>
          <w:b/>
          <w:bCs/>
          <w:sz w:val="24"/>
          <w:szCs w:val="24"/>
        </w:rPr>
        <w:t>2.在报价评审时，如发现下列情形之一的，投标文件将被视为无效：</w:t>
      </w:r>
    </w:p>
    <w:p>
      <w:pPr>
        <w:pStyle w:val="21"/>
        <w:snapToGrid w:val="0"/>
        <w:spacing w:line="400" w:lineRule="exact"/>
        <w:ind w:firstLine="454" w:firstLineChars="196"/>
        <w:rPr>
          <w:rFonts w:hAnsi="宋体"/>
          <w:color w:val="000000"/>
          <w:sz w:val="24"/>
          <w:szCs w:val="24"/>
        </w:rPr>
      </w:pPr>
      <w:r>
        <w:rPr>
          <w:rFonts w:hint="eastAsia" w:hAnsi="宋体"/>
          <w:color w:val="000000"/>
          <w:sz w:val="24"/>
          <w:szCs w:val="24"/>
        </w:rPr>
        <w:t>（1）未采用人民币报价或者未按照招标文件标明的币种报价的；</w:t>
      </w:r>
    </w:p>
    <w:p>
      <w:pPr>
        <w:pStyle w:val="21"/>
        <w:snapToGrid w:val="0"/>
        <w:spacing w:line="400" w:lineRule="exact"/>
        <w:ind w:firstLine="454" w:firstLineChars="196"/>
        <w:rPr>
          <w:rFonts w:hint="eastAsia" w:hAnsi="宋体"/>
          <w:color w:val="000000"/>
          <w:sz w:val="24"/>
          <w:szCs w:val="24"/>
        </w:rPr>
      </w:pPr>
      <w:r>
        <w:rPr>
          <w:rFonts w:hint="eastAsia" w:hAnsi="宋体"/>
          <w:color w:val="000000"/>
          <w:sz w:val="24"/>
          <w:szCs w:val="24"/>
        </w:rPr>
        <w:t>（2）投标报价具有选择性，或者开标价格与投标文件承诺的优惠（折扣）价格不一致的；</w:t>
      </w:r>
    </w:p>
    <w:p>
      <w:pPr>
        <w:pStyle w:val="21"/>
        <w:snapToGrid w:val="0"/>
        <w:spacing w:line="400" w:lineRule="exact"/>
        <w:ind w:firstLine="457" w:firstLineChars="196"/>
        <w:rPr>
          <w:rFonts w:hAnsi="宋体"/>
          <w:b/>
          <w:bCs/>
          <w:color w:val="000000"/>
          <w:sz w:val="24"/>
          <w:szCs w:val="24"/>
        </w:rPr>
      </w:pPr>
      <w:r>
        <w:rPr>
          <w:rFonts w:hint="eastAsia" w:hAnsi="宋体"/>
          <w:b/>
          <w:bCs/>
          <w:color w:val="000000"/>
          <w:sz w:val="24"/>
          <w:szCs w:val="24"/>
        </w:rPr>
        <w:t>（3）报价超过招标文件中规定的预算金额或者最高限价的；</w:t>
      </w:r>
    </w:p>
    <w:p>
      <w:pPr>
        <w:pStyle w:val="21"/>
        <w:snapToGrid w:val="0"/>
        <w:spacing w:line="400" w:lineRule="exact"/>
        <w:ind w:firstLine="457" w:firstLineChars="196"/>
        <w:rPr>
          <w:rFonts w:hAnsi="宋体"/>
          <w:b/>
          <w:bCs/>
          <w:sz w:val="24"/>
          <w:szCs w:val="24"/>
        </w:rPr>
      </w:pPr>
      <w:r>
        <w:rPr>
          <w:rFonts w:hint="eastAsia" w:hAnsi="宋体"/>
          <w:b/>
          <w:bCs/>
          <w:sz w:val="24"/>
          <w:szCs w:val="24"/>
        </w:rPr>
        <w:t>（</w:t>
      </w:r>
      <w:r>
        <w:rPr>
          <w:rFonts w:hAnsi="宋体"/>
          <w:b/>
          <w:bCs/>
          <w:sz w:val="24"/>
          <w:szCs w:val="24"/>
        </w:rPr>
        <w:t>4</w:t>
      </w:r>
      <w:r>
        <w:rPr>
          <w:rFonts w:hint="eastAsia" w:hAnsi="宋体"/>
          <w:b/>
          <w:bCs/>
          <w:sz w:val="24"/>
          <w:szCs w:val="24"/>
        </w:rPr>
        <w:t>）未填写投标报价的。</w:t>
      </w:r>
    </w:p>
    <w:p>
      <w:pPr>
        <w:pStyle w:val="21"/>
        <w:snapToGrid w:val="0"/>
        <w:spacing w:line="400" w:lineRule="exact"/>
        <w:ind w:firstLine="457" w:firstLineChars="196"/>
        <w:rPr>
          <w:rFonts w:hAnsi="宋体"/>
          <w:b/>
          <w:color w:val="000000"/>
          <w:sz w:val="24"/>
          <w:szCs w:val="24"/>
        </w:rPr>
      </w:pPr>
      <w:r>
        <w:rPr>
          <w:rFonts w:hint="eastAsia" w:hAnsi="宋体"/>
          <w:b/>
          <w:color w:val="000000"/>
          <w:sz w:val="24"/>
          <w:szCs w:val="24"/>
        </w:rPr>
        <w:t>3.被拒绝的投标文件为无效。</w:t>
      </w:r>
    </w:p>
    <w:p>
      <w:pPr>
        <w:spacing w:line="400" w:lineRule="exact"/>
        <w:ind w:firstLine="354" w:firstLineChars="147"/>
        <w:rPr>
          <w:rFonts w:ascii="宋体" w:hAnsi="宋体"/>
          <w:b/>
          <w:color w:val="000000"/>
          <w:sz w:val="24"/>
          <w:u w:val="single"/>
        </w:rPr>
      </w:pPr>
      <w:r>
        <w:rPr>
          <w:rFonts w:hint="eastAsia" w:ascii="宋体" w:hAnsi="宋体"/>
          <w:b/>
          <w:color w:val="000000"/>
          <w:sz w:val="24"/>
        </w:rPr>
        <w:t>（八）在招标采购中，出现下列情形之一的，应予废标</w:t>
      </w:r>
    </w:p>
    <w:p>
      <w:pPr>
        <w:autoSpaceDE w:val="0"/>
        <w:autoSpaceDN w:val="0"/>
        <w:spacing w:line="400" w:lineRule="exact"/>
        <w:ind w:firstLine="480" w:firstLineChars="200"/>
        <w:textAlignment w:val="bottom"/>
        <w:rPr>
          <w:rFonts w:ascii="宋体" w:hAnsi="宋体"/>
          <w:color w:val="000000"/>
          <w:sz w:val="24"/>
        </w:rPr>
      </w:pPr>
      <w:r>
        <w:rPr>
          <w:rFonts w:hint="eastAsia" w:ascii="宋体" w:hAnsi="宋体"/>
          <w:color w:val="000000"/>
          <w:sz w:val="24"/>
        </w:rPr>
        <w:t>1、</w:t>
      </w:r>
      <w:r>
        <w:rPr>
          <w:rFonts w:ascii="宋体" w:hAnsi="宋体"/>
          <w:color w:val="000000"/>
          <w:sz w:val="24"/>
        </w:rPr>
        <w:t>出现影响采购公正的违法、违规</w:t>
      </w:r>
      <w:r>
        <w:rPr>
          <w:rFonts w:hint="eastAsia" w:ascii="宋体" w:hAnsi="宋体"/>
          <w:color w:val="000000"/>
          <w:sz w:val="24"/>
        </w:rPr>
        <w:t>行为</w:t>
      </w:r>
      <w:r>
        <w:rPr>
          <w:rFonts w:ascii="宋体" w:hAnsi="宋体"/>
          <w:color w:val="000000"/>
          <w:sz w:val="24"/>
        </w:rPr>
        <w:t>的；</w:t>
      </w:r>
    </w:p>
    <w:p>
      <w:pPr>
        <w:autoSpaceDE w:val="0"/>
        <w:autoSpaceDN w:val="0"/>
        <w:spacing w:line="400" w:lineRule="exact"/>
        <w:ind w:firstLine="480" w:firstLineChars="200"/>
        <w:textAlignment w:val="bottom"/>
        <w:rPr>
          <w:rFonts w:ascii="宋体" w:hAnsi="宋体"/>
          <w:color w:val="000000"/>
          <w:sz w:val="24"/>
        </w:rPr>
      </w:pPr>
      <w:r>
        <w:rPr>
          <w:rFonts w:hint="eastAsia" w:ascii="宋体" w:hAnsi="宋体"/>
          <w:color w:val="000000"/>
          <w:sz w:val="24"/>
        </w:rPr>
        <w:t>2、</w:t>
      </w:r>
      <w:r>
        <w:rPr>
          <w:rFonts w:ascii="宋体" w:hAnsi="宋体"/>
          <w:color w:val="000000"/>
          <w:sz w:val="24"/>
        </w:rPr>
        <w:t>因重大变故，采购任务取消的；</w:t>
      </w:r>
    </w:p>
    <w:p>
      <w:pPr>
        <w:autoSpaceDE w:val="0"/>
        <w:autoSpaceDN w:val="0"/>
        <w:spacing w:line="400" w:lineRule="exact"/>
        <w:ind w:firstLine="480" w:firstLineChars="200"/>
        <w:textAlignment w:val="bottom"/>
        <w:rPr>
          <w:rFonts w:ascii="宋体" w:hAnsi="宋体"/>
          <w:color w:val="000000"/>
          <w:sz w:val="24"/>
        </w:rPr>
      </w:pPr>
      <w:r>
        <w:rPr>
          <w:rFonts w:hint="eastAsia" w:ascii="宋体" w:hAnsi="宋体"/>
          <w:color w:val="000000"/>
          <w:sz w:val="24"/>
        </w:rPr>
        <w:t>3、投标人的报价均超过了采购预算价，</w:t>
      </w:r>
      <w:r>
        <w:rPr>
          <w:rFonts w:hint="eastAsia" w:ascii="宋体" w:hAnsi="宋体" w:cs="宋体"/>
          <w:color w:val="000000"/>
          <w:sz w:val="24"/>
          <w:lang w:val="en-US" w:eastAsia="zh-CN"/>
        </w:rPr>
        <w:t>建设单位及实施单位</w:t>
      </w:r>
      <w:r>
        <w:rPr>
          <w:rFonts w:hint="eastAsia" w:ascii="宋体" w:hAnsi="宋体"/>
          <w:color w:val="000000"/>
          <w:sz w:val="24"/>
        </w:rPr>
        <w:t>不能支付的。</w:t>
      </w:r>
    </w:p>
    <w:p>
      <w:pPr>
        <w:pStyle w:val="21"/>
        <w:snapToGrid w:val="0"/>
        <w:spacing w:before="100" w:beforeAutospacing="1" w:after="100" w:afterAutospacing="1" w:line="400" w:lineRule="exact"/>
        <w:ind w:firstLine="256" w:firstLineChars="110"/>
        <w:rPr>
          <w:rFonts w:hAnsi="宋体"/>
          <w:b/>
          <w:snapToGrid w:val="0"/>
          <w:color w:val="000000"/>
          <w:sz w:val="24"/>
          <w:szCs w:val="24"/>
        </w:rPr>
      </w:pPr>
      <w:r>
        <w:rPr>
          <w:rFonts w:hint="eastAsia" w:hAnsi="宋体"/>
          <w:b/>
          <w:color w:val="000000"/>
          <w:sz w:val="24"/>
          <w:szCs w:val="24"/>
        </w:rPr>
        <w:t>四、开标</w:t>
      </w:r>
    </w:p>
    <w:p>
      <w:pPr>
        <w:pStyle w:val="27"/>
        <w:snapToGrid w:val="0"/>
        <w:spacing w:before="120" w:after="120"/>
        <w:ind w:firstLine="241" w:firstLineChars="100"/>
        <w:rPr>
          <w:rFonts w:hAnsi="宋体"/>
          <w:b/>
        </w:rPr>
      </w:pPr>
      <w:r>
        <w:rPr>
          <w:rFonts w:hint="eastAsia" w:hAnsi="宋体"/>
          <w:b/>
          <w:color w:val="000000"/>
        </w:rPr>
        <w:t>（一</w:t>
      </w:r>
      <w:r>
        <w:rPr>
          <w:rFonts w:hint="eastAsia" w:hAnsi="宋体"/>
          <w:b/>
        </w:rPr>
        <w:t>）开标准备</w:t>
      </w:r>
    </w:p>
    <w:p>
      <w:pPr>
        <w:pStyle w:val="27"/>
        <w:snapToGrid w:val="0"/>
        <w:spacing w:before="120" w:after="120"/>
        <w:ind w:firstLine="470" w:firstLineChars="196"/>
        <w:rPr>
          <w:rFonts w:hAnsi="宋体"/>
          <w:bCs/>
        </w:rPr>
      </w:pPr>
      <w:r>
        <w:rPr>
          <w:rFonts w:hint="eastAsia" w:hAnsi="宋体"/>
          <w:bCs/>
        </w:rPr>
        <w:t>采购组织机构将按照招标文件规定的时间通过“政府采购云平台”组织开标、开启投标文件，所有投标人请准时在线参加。投标投标人如不参加开标大会的，视同认可开标结果，事后不得对采购相关人员、开标过程和开标结果提出异议，同时投标投标人因未在线参加开标而导致投标文件无法按时解密等一切后果由投标人自己承担。</w:t>
      </w:r>
    </w:p>
    <w:p>
      <w:pPr>
        <w:pStyle w:val="27"/>
        <w:snapToGrid w:val="0"/>
        <w:spacing w:before="120" w:after="120"/>
        <w:ind w:firstLine="470" w:firstLineChars="196"/>
        <w:rPr>
          <w:rFonts w:hint="eastAsia" w:hAnsi="宋体"/>
          <w:bCs/>
        </w:rPr>
      </w:pPr>
      <w:r>
        <w:rPr>
          <w:rFonts w:hint="eastAsia" w:hAnsi="宋体"/>
          <w:bCs/>
        </w:rPr>
        <w:t>采购过程中出现以下情形，导致电子交易平台无法正常运行，或者无法保证电子交易的公平、公正和安全时，采购组织机构可中止电子交易活动：</w:t>
      </w:r>
    </w:p>
    <w:p>
      <w:pPr>
        <w:pStyle w:val="27"/>
        <w:snapToGrid w:val="0"/>
        <w:spacing w:before="120" w:after="120"/>
        <w:ind w:firstLine="470" w:firstLineChars="196"/>
        <w:rPr>
          <w:rFonts w:hint="eastAsia" w:hAnsi="宋体"/>
          <w:bCs/>
        </w:rPr>
      </w:pPr>
      <w:r>
        <w:rPr>
          <w:rFonts w:hint="eastAsia" w:hAnsi="宋体"/>
          <w:bCs/>
        </w:rPr>
        <w:t xml:space="preserve">（1）电子交易平台发生故障、停电而无法登录访问的； </w:t>
      </w:r>
    </w:p>
    <w:p>
      <w:pPr>
        <w:pStyle w:val="27"/>
        <w:snapToGrid w:val="0"/>
        <w:spacing w:before="120" w:after="120"/>
        <w:ind w:firstLine="470" w:firstLineChars="196"/>
        <w:rPr>
          <w:rFonts w:hint="eastAsia" w:hAnsi="宋体"/>
          <w:bCs/>
        </w:rPr>
      </w:pPr>
      <w:r>
        <w:rPr>
          <w:rFonts w:hint="eastAsia" w:hAnsi="宋体"/>
          <w:bCs/>
        </w:rPr>
        <w:t>（2）电子交易平台应用或数据库出现错误，不能进行正常操作的；</w:t>
      </w:r>
    </w:p>
    <w:p>
      <w:pPr>
        <w:pStyle w:val="27"/>
        <w:snapToGrid w:val="0"/>
        <w:spacing w:before="120" w:after="120"/>
        <w:ind w:firstLine="470" w:firstLineChars="196"/>
        <w:rPr>
          <w:rFonts w:hint="eastAsia" w:hAnsi="宋体"/>
          <w:bCs/>
        </w:rPr>
      </w:pPr>
      <w:r>
        <w:rPr>
          <w:rFonts w:hint="eastAsia" w:hAnsi="宋体"/>
          <w:bCs/>
        </w:rPr>
        <w:t>（3）电子交易平台发现严重安全漏洞，有潜在泄密危险的；</w:t>
      </w:r>
    </w:p>
    <w:p>
      <w:pPr>
        <w:pStyle w:val="27"/>
        <w:snapToGrid w:val="0"/>
        <w:spacing w:before="120" w:after="120"/>
        <w:ind w:firstLine="470" w:firstLineChars="196"/>
        <w:rPr>
          <w:rFonts w:hint="eastAsia" w:hAnsi="宋体"/>
          <w:bCs/>
        </w:rPr>
      </w:pPr>
      <w:r>
        <w:rPr>
          <w:rFonts w:hint="eastAsia" w:hAnsi="宋体"/>
          <w:bCs/>
        </w:rPr>
        <w:t xml:space="preserve">（4）病毒发作导致不能进行正常操作的； </w:t>
      </w:r>
    </w:p>
    <w:p>
      <w:pPr>
        <w:pStyle w:val="27"/>
        <w:snapToGrid w:val="0"/>
        <w:spacing w:before="120" w:after="120"/>
        <w:ind w:firstLine="470" w:firstLineChars="196"/>
        <w:rPr>
          <w:rFonts w:hint="eastAsia" w:hAnsi="宋体"/>
          <w:bCs/>
        </w:rPr>
      </w:pPr>
      <w:r>
        <w:rPr>
          <w:rFonts w:hint="eastAsia" w:hAnsi="宋体"/>
          <w:bCs/>
        </w:rPr>
        <w:t>（5）其他无法保证电子交易的公平、公正和安全的情况。</w:t>
      </w:r>
    </w:p>
    <w:p>
      <w:pPr>
        <w:pStyle w:val="27"/>
        <w:snapToGrid w:val="0"/>
        <w:spacing w:before="120" w:after="120"/>
        <w:ind w:firstLine="470" w:firstLineChars="196"/>
        <w:rPr>
          <w:rFonts w:hAnsi="宋体"/>
          <w:bCs/>
        </w:rPr>
      </w:pPr>
      <w:r>
        <w:rPr>
          <w:rFonts w:hint="eastAsia" w:hAnsi="宋体"/>
          <w:bCs/>
        </w:rPr>
        <w:t>出现前款规定情形，不影响采购公平、公正性的，采购组织机构可以待上述情形消除后继续组织电子交易活动，影响或可能影响采购公平、公正性的，应当重新采购。</w:t>
      </w:r>
    </w:p>
    <w:p>
      <w:pPr>
        <w:pStyle w:val="27"/>
        <w:snapToGrid w:val="0"/>
        <w:spacing w:before="120" w:after="120"/>
        <w:ind w:firstLine="472" w:firstLineChars="196"/>
        <w:rPr>
          <w:rFonts w:hAnsi="宋体"/>
          <w:bCs/>
          <w:color w:val="FF0000"/>
        </w:rPr>
      </w:pPr>
      <w:r>
        <w:rPr>
          <w:rFonts w:hint="eastAsia" w:hAnsi="宋体"/>
          <w:b/>
        </w:rPr>
        <w:t xml:space="preserve">（二）开标程序    </w:t>
      </w:r>
    </w:p>
    <w:p>
      <w:pPr>
        <w:pStyle w:val="27"/>
        <w:snapToGrid w:val="0"/>
        <w:spacing w:before="120" w:after="120"/>
        <w:ind w:firstLine="480" w:firstLineChars="200"/>
        <w:rPr>
          <w:rFonts w:hAnsi="宋体"/>
        </w:rPr>
      </w:pPr>
      <w:r>
        <w:rPr>
          <w:rFonts w:hint="eastAsia" w:hAnsi="宋体"/>
        </w:rPr>
        <w:t>1.开标会由招标人主持，</w:t>
      </w:r>
      <w:bookmarkStart w:id="24" w:name="_Hlk59694585"/>
      <w:r>
        <w:rPr>
          <w:rFonts w:hint="eastAsia" w:hAnsi="宋体"/>
          <w:b/>
          <w:bCs/>
          <w:u w:val="single"/>
          <w:shd w:val="pct10" w:color="auto" w:fill="FFFFFF"/>
        </w:rPr>
        <w:t>并通过临海市公共资源交易中心网站--每日直播平台进行现场直播，各投标人请准时在线参加。</w:t>
      </w:r>
      <w:bookmarkStart w:id="25" w:name="_Hlk59690176"/>
      <w:r>
        <w:rPr>
          <w:rFonts w:hint="eastAsia" w:hAnsi="宋体"/>
          <w:b/>
          <w:bCs/>
          <w:u w:val="single"/>
          <w:shd w:val="pct10" w:color="auto" w:fill="FFFFFF"/>
        </w:rPr>
        <w:t>各投标人如对开、评标过程有异议的，应该登陆临海市公共资源交易中心网站</w:t>
      </w:r>
      <w:r>
        <w:rPr>
          <w:rFonts w:hAnsi="宋体"/>
          <w:b/>
          <w:bCs/>
          <w:u w:val="single"/>
          <w:shd w:val="pct10" w:color="auto" w:fill="FFFFFF"/>
        </w:rPr>
        <w:t>—</w:t>
      </w:r>
      <w:r>
        <w:rPr>
          <w:rFonts w:hint="eastAsia" w:hAnsi="宋体"/>
          <w:b/>
          <w:bCs/>
          <w:u w:val="single"/>
          <w:shd w:val="pct10" w:color="auto" w:fill="FFFFFF"/>
        </w:rPr>
        <w:t>-每日直播平台---点击该项目</w:t>
      </w:r>
      <w:r>
        <w:rPr>
          <w:rFonts w:hAnsi="宋体"/>
          <w:b/>
          <w:bCs/>
          <w:u w:val="single"/>
          <w:shd w:val="pct10" w:color="auto" w:fill="FFFFFF"/>
        </w:rPr>
        <w:t>—</w:t>
      </w:r>
      <w:r>
        <w:rPr>
          <w:rFonts w:hint="eastAsia" w:hAnsi="宋体"/>
          <w:b/>
          <w:bCs/>
          <w:u w:val="single"/>
          <w:shd w:val="pct10" w:color="auto" w:fill="FFFFFF"/>
        </w:rPr>
        <w:t>登陆，进入投标人提问区进行提问，招标人（采购代理机构）应当及时作出答复，并制作记录</w:t>
      </w:r>
      <w:bookmarkEnd w:id="24"/>
      <w:r>
        <w:rPr>
          <w:rFonts w:hint="eastAsia" w:hAnsi="宋体"/>
          <w:b/>
          <w:bCs/>
          <w:u w:val="single"/>
          <w:shd w:val="pct10" w:color="auto" w:fill="FFFFFF"/>
        </w:rPr>
        <w:t>；</w:t>
      </w:r>
    </w:p>
    <w:bookmarkEnd w:id="25"/>
    <w:p>
      <w:pPr>
        <w:pStyle w:val="27"/>
        <w:snapToGrid w:val="0"/>
        <w:spacing w:before="120" w:after="120"/>
        <w:ind w:firstLine="480" w:firstLineChars="200"/>
        <w:rPr>
          <w:rFonts w:hint="eastAsia" w:hAnsi="宋体"/>
          <w:u w:val="single"/>
        </w:rPr>
      </w:pPr>
      <w:r>
        <w:rPr>
          <w:rFonts w:hint="eastAsia" w:hAnsi="宋体"/>
        </w:rPr>
        <w:t>2. 招标人点击政采云系统</w:t>
      </w:r>
      <w:r>
        <w:rPr>
          <w:rFonts w:hAnsi="宋体"/>
        </w:rPr>
        <w:t>--</w:t>
      </w:r>
      <w:r>
        <w:rPr>
          <w:rFonts w:hint="eastAsia" w:hAnsi="宋体"/>
        </w:rPr>
        <w:t>【开始解密】按钮，</w:t>
      </w:r>
      <w:bookmarkStart w:id="26" w:name="_Hlk59625783"/>
      <w:r>
        <w:rPr>
          <w:rFonts w:hint="eastAsia" w:hAnsi="宋体"/>
        </w:rPr>
        <w:t>由投标人按招标文件规定的时间及</w:t>
      </w:r>
      <w:bookmarkStart w:id="27" w:name="_Hlk59626264"/>
      <w:r>
        <w:rPr>
          <w:rFonts w:hint="eastAsia" w:hAnsi="宋体"/>
        </w:rPr>
        <w:t>政采云平台</w:t>
      </w:r>
      <w:bookmarkEnd w:id="27"/>
      <w:r>
        <w:rPr>
          <w:rFonts w:hint="eastAsia" w:hAnsi="宋体"/>
        </w:rPr>
        <w:t>显示的时间内自行进行投标文件解密。</w:t>
      </w:r>
      <w:bookmarkEnd w:id="26"/>
      <w:r>
        <w:rPr>
          <w:rFonts w:hint="eastAsia" w:hAnsi="宋体"/>
          <w:u w:val="single"/>
        </w:rPr>
        <w:t>投标文件的制作和解密应使用同一个数字证书，否则将可能解密失败。解密过程中如因CA数字证书等问题而无法解密的，请马上致电：汇信客服电话：400-888-4636，天谷客服电话：400-087-8198寻求解决。</w:t>
      </w:r>
      <w:bookmarkStart w:id="28" w:name="_Hlk59805375"/>
      <w:r>
        <w:rPr>
          <w:rFonts w:hint="eastAsia" w:hAnsi="宋体"/>
          <w:u w:val="single"/>
        </w:rPr>
        <w:t>投标人未按时解密或解密失败的，其投标文件为无效标。</w:t>
      </w:r>
      <w:bookmarkEnd w:id="28"/>
    </w:p>
    <w:p>
      <w:pPr>
        <w:pStyle w:val="27"/>
        <w:snapToGrid w:val="0"/>
        <w:spacing w:before="120" w:after="120"/>
        <w:rPr>
          <w:rFonts w:hint="eastAsia" w:hAnsi="宋体"/>
          <w:b/>
          <w:bCs/>
          <w:u w:val="single"/>
          <w:shd w:val="pct10" w:color="auto" w:fill="FFFFFF"/>
        </w:rPr>
      </w:pPr>
      <w:r>
        <w:rPr>
          <w:rFonts w:hint="eastAsia" w:hAnsi="宋体"/>
          <w:b/>
          <w:bCs/>
          <w:u w:val="single"/>
          <w:shd w:val="pct10" w:color="auto" w:fill="FFFFFF"/>
        </w:rPr>
        <w:t>该项目投标人数量及各投标人投标文件是否完成解密以政采云平台及临海市公共资源交易中心网站—-每日直播平台上主持人发言区显示内容为准，不以临海市公共资源交易中心直播平台上页面右侧显示的表格内容为准。</w:t>
      </w:r>
    </w:p>
    <w:p>
      <w:pPr>
        <w:pStyle w:val="27"/>
        <w:snapToGrid w:val="0"/>
        <w:spacing w:before="120" w:after="120"/>
        <w:ind w:firstLine="480" w:firstLineChars="200"/>
        <w:rPr>
          <w:rFonts w:hAnsi="宋体"/>
          <w:b/>
          <w:bCs/>
          <w:u w:val="single"/>
          <w:shd w:val="pct10" w:color="auto" w:fill="FFFFFF"/>
        </w:rPr>
      </w:pPr>
      <w:r>
        <w:rPr>
          <w:rFonts w:hAnsi="宋体"/>
        </w:rPr>
        <w:t>3</w:t>
      </w:r>
      <w:r>
        <w:rPr>
          <w:rFonts w:hint="eastAsia" w:hAnsi="宋体"/>
        </w:rPr>
        <w:t>. 解密结束后，主持人介绍参加开标会的人员名单，告知应当回避的情形,提请有关人员回避；</w:t>
      </w:r>
    </w:p>
    <w:p>
      <w:pPr>
        <w:pStyle w:val="27"/>
        <w:snapToGrid w:val="0"/>
        <w:spacing w:before="120" w:after="120"/>
        <w:ind w:firstLine="480" w:firstLineChars="200"/>
        <w:rPr>
          <w:rFonts w:hAnsi="宋体"/>
        </w:rPr>
      </w:pPr>
      <w:r>
        <w:rPr>
          <w:rFonts w:hAnsi="宋体"/>
        </w:rPr>
        <w:t>4</w:t>
      </w:r>
      <w:r>
        <w:rPr>
          <w:rFonts w:hint="eastAsia" w:hAnsi="宋体"/>
        </w:rPr>
        <w:t>.投标文件结束解密后，投标人应当通过邮件形式，将经授权代表签署的《政府采购活动现场确认声明书》</w:t>
      </w:r>
      <w:r>
        <w:rPr>
          <w:rFonts w:hint="eastAsia" w:hAnsi="宋体"/>
          <w:b/>
          <w:bCs/>
          <w:u w:val="single"/>
        </w:rPr>
        <w:t>（格式见招标文件最后一页1</w:t>
      </w:r>
      <w:r>
        <w:rPr>
          <w:rFonts w:hAnsi="宋体"/>
          <w:b/>
          <w:bCs/>
          <w:u w:val="single"/>
        </w:rPr>
        <w:t>7</w:t>
      </w:r>
      <w:r>
        <w:rPr>
          <w:rFonts w:hint="eastAsia" w:hAnsi="宋体"/>
          <w:b/>
          <w:bCs/>
          <w:u w:val="single"/>
        </w:rPr>
        <w:t>.政府采购活动现场确认声明书）</w:t>
      </w:r>
      <w:r>
        <w:rPr>
          <w:rFonts w:hint="eastAsia" w:hAnsi="宋体"/>
        </w:rPr>
        <w:t>扫描件发至代理机构电子邮箱（</w:t>
      </w:r>
      <w:r>
        <w:rPr>
          <w:rFonts w:hAnsi="宋体"/>
        </w:rPr>
        <w:fldChar w:fldCharType="begin"/>
      </w:r>
      <w:r>
        <w:rPr>
          <w:rFonts w:hAnsi="宋体"/>
        </w:rPr>
        <w:instrText xml:space="preserve"> HYPERLINK "mailto:lhzb.gov.cn@163.com</w:instrText>
      </w:r>
      <w:r>
        <w:rPr>
          <w:rFonts w:hint="eastAsia" w:hAnsi="宋体"/>
        </w:rPr>
        <w:instrText xml:space="preserve">）,联系人</w:instrText>
      </w:r>
      <w:r>
        <w:rPr>
          <w:rFonts w:hAnsi="宋体"/>
        </w:rPr>
        <w:instrText xml:space="preserve">" </w:instrText>
      </w:r>
      <w:r>
        <w:rPr>
          <w:rFonts w:hAnsi="宋体"/>
        </w:rPr>
        <w:fldChar w:fldCharType="separate"/>
      </w:r>
      <w:r>
        <w:rPr>
          <w:rStyle w:val="55"/>
          <w:rFonts w:hint="eastAsia" w:hAnsi="宋体"/>
          <w:color w:val="auto"/>
        </w:rPr>
        <w:t>1074731998@qq.vom）,联系人</w:t>
      </w:r>
      <w:r>
        <w:rPr>
          <w:rFonts w:hAnsi="宋体"/>
        </w:rPr>
        <w:fldChar w:fldCharType="end"/>
      </w:r>
      <w:r>
        <w:rPr>
          <w:rFonts w:hint="eastAsia" w:hAnsi="宋体"/>
        </w:rPr>
        <w:t>：王女士，电话：18805869299；</w:t>
      </w:r>
    </w:p>
    <w:p>
      <w:pPr>
        <w:pStyle w:val="27"/>
        <w:snapToGrid w:val="0"/>
        <w:spacing w:before="120" w:after="120"/>
        <w:ind w:firstLine="480" w:firstLineChars="200"/>
        <w:rPr>
          <w:rFonts w:hAnsi="宋体"/>
        </w:rPr>
      </w:pPr>
      <w:r>
        <w:rPr>
          <w:rFonts w:hAnsi="宋体"/>
        </w:rPr>
        <w:t>5</w:t>
      </w:r>
      <w:r>
        <w:rPr>
          <w:rFonts w:hint="eastAsia" w:hAnsi="宋体"/>
        </w:rPr>
        <w:t>.采购组织机构点击【</w:t>
      </w:r>
      <w:bookmarkStart w:id="29" w:name="_Hlk59371589"/>
      <w:r>
        <w:rPr>
          <w:rFonts w:hint="eastAsia" w:hAnsi="宋体"/>
        </w:rPr>
        <w:t>开启标书信息</w:t>
      </w:r>
      <w:bookmarkEnd w:id="29"/>
      <w:r>
        <w:rPr>
          <w:rFonts w:hint="eastAsia" w:hAnsi="宋体"/>
        </w:rPr>
        <w:t>】，开启标书成功后进入评标流程；</w:t>
      </w:r>
    </w:p>
    <w:p>
      <w:pPr>
        <w:pStyle w:val="27"/>
        <w:snapToGrid w:val="0"/>
        <w:spacing w:before="120" w:after="120"/>
        <w:ind w:firstLine="480" w:firstLineChars="200"/>
        <w:rPr>
          <w:rFonts w:hAnsi="宋体"/>
        </w:rPr>
      </w:pPr>
      <w:r>
        <w:rPr>
          <w:rFonts w:hAnsi="宋体"/>
        </w:rPr>
        <w:t>6</w:t>
      </w:r>
      <w:r>
        <w:rPr>
          <w:rFonts w:hint="eastAsia" w:hAnsi="宋体"/>
        </w:rPr>
        <w:t>.</w:t>
      </w:r>
      <w:bookmarkStart w:id="30" w:name="_Hlk59392570"/>
      <w:r>
        <w:rPr>
          <w:rFonts w:hint="eastAsia" w:hAnsi="宋体"/>
        </w:rPr>
        <w:t>资格及商务技术文件</w:t>
      </w:r>
      <w:bookmarkEnd w:id="30"/>
      <w:r>
        <w:rPr>
          <w:rFonts w:hint="eastAsia" w:hAnsi="宋体"/>
        </w:rPr>
        <w:t>评审；</w:t>
      </w:r>
    </w:p>
    <w:p>
      <w:pPr>
        <w:pStyle w:val="27"/>
        <w:snapToGrid w:val="0"/>
        <w:spacing w:before="120" w:after="120"/>
        <w:ind w:firstLine="480" w:firstLineChars="200"/>
        <w:rPr>
          <w:rFonts w:hAnsi="宋体"/>
          <w:b/>
          <w:bCs/>
        </w:rPr>
      </w:pPr>
      <w:r>
        <w:rPr>
          <w:rFonts w:hAnsi="宋体"/>
        </w:rPr>
        <w:t>7</w:t>
      </w:r>
      <w:r>
        <w:rPr>
          <w:rFonts w:hint="eastAsia" w:hAnsi="宋体"/>
        </w:rPr>
        <w:t>.由主持人公布资格及商务技术文件无效的投标人名单、投标无效的原因及其他有效投标的评分汇总分</w:t>
      </w:r>
      <w:r>
        <w:rPr>
          <w:rFonts w:hint="eastAsia" w:hAnsi="宋体"/>
          <w:b/>
          <w:bCs/>
        </w:rPr>
        <w:t>；</w:t>
      </w:r>
    </w:p>
    <w:p>
      <w:pPr>
        <w:pStyle w:val="27"/>
        <w:snapToGrid w:val="0"/>
        <w:spacing w:before="120" w:after="120"/>
        <w:ind w:firstLine="480" w:firstLineChars="200"/>
        <w:rPr>
          <w:rFonts w:hAnsi="宋体"/>
        </w:rPr>
      </w:pPr>
      <w:r>
        <w:rPr>
          <w:rFonts w:hAnsi="宋体"/>
        </w:rPr>
        <w:t>8</w:t>
      </w:r>
      <w:r>
        <w:rPr>
          <w:rFonts w:hint="eastAsia" w:hAnsi="宋体"/>
        </w:rPr>
        <w:t>.开启报价响应文件：采购代理机构成功开启报价响应文件后，方可查看各投标人报价情况。</w:t>
      </w:r>
      <w:r>
        <w:rPr>
          <w:rFonts w:hint="eastAsia" w:hAnsi="宋体"/>
          <w:b/>
          <w:bCs/>
          <w:u w:val="single"/>
        </w:rPr>
        <w:t>代理机构在线公布开标一览表有关内容，投标人应在1</w:t>
      </w:r>
      <w:r>
        <w:rPr>
          <w:rFonts w:hAnsi="宋体"/>
          <w:b/>
          <w:bCs/>
          <w:u w:val="single"/>
        </w:rPr>
        <w:t>0</w:t>
      </w:r>
      <w:r>
        <w:rPr>
          <w:rFonts w:hint="eastAsia" w:hAnsi="宋体"/>
          <w:b/>
          <w:bCs/>
          <w:u w:val="single"/>
        </w:rPr>
        <w:t>分钟内在线签字确认（不予确认或超时确认的应说明原因，否则视为无异议）；</w:t>
      </w:r>
    </w:p>
    <w:p>
      <w:pPr>
        <w:pStyle w:val="27"/>
        <w:snapToGrid w:val="0"/>
        <w:spacing w:before="120" w:after="120"/>
        <w:ind w:left="719" w:leftChars="228" w:hanging="240" w:hangingChars="100"/>
        <w:rPr>
          <w:rFonts w:hAnsi="宋体"/>
        </w:rPr>
      </w:pPr>
      <w:r>
        <w:rPr>
          <w:rFonts w:hAnsi="宋体"/>
        </w:rPr>
        <w:t>9</w:t>
      </w:r>
      <w:r>
        <w:rPr>
          <w:rFonts w:hint="eastAsia" w:hAnsi="宋体"/>
        </w:rPr>
        <w:t>.报价文件评审；</w:t>
      </w:r>
    </w:p>
    <w:p>
      <w:pPr>
        <w:pStyle w:val="27"/>
        <w:snapToGrid w:val="0"/>
        <w:spacing w:before="120" w:after="120"/>
        <w:ind w:firstLine="480" w:firstLineChars="200"/>
        <w:rPr>
          <w:rFonts w:hAnsi="宋体"/>
        </w:rPr>
      </w:pPr>
      <w:r>
        <w:rPr>
          <w:rFonts w:hAnsi="宋体"/>
        </w:rPr>
        <w:t>10</w:t>
      </w:r>
      <w:r>
        <w:rPr>
          <w:rFonts w:hint="eastAsia" w:hAnsi="宋体"/>
        </w:rPr>
        <w:t>.由主持人公布报价文件无效的投标人名单、投标无效的原因，宣布综合</w:t>
      </w:r>
      <w:bookmarkStart w:id="31" w:name="_Hlk59371720"/>
      <w:r>
        <w:rPr>
          <w:rFonts w:hint="eastAsia" w:hAnsi="宋体"/>
        </w:rPr>
        <w:t>得分结果</w:t>
      </w:r>
      <w:bookmarkEnd w:id="31"/>
      <w:r>
        <w:rPr>
          <w:rFonts w:hint="eastAsia" w:hAnsi="宋体"/>
        </w:rPr>
        <w:t>及中标候选人名单。</w:t>
      </w:r>
      <w:r>
        <w:rPr>
          <w:rFonts w:hint="eastAsia" w:hAnsi="宋体"/>
          <w:b/>
          <w:bCs/>
          <w:u w:val="single"/>
        </w:rPr>
        <w:t>投标人可通过</w:t>
      </w:r>
      <w:bookmarkStart w:id="32" w:name="_Hlk59626287"/>
      <w:r>
        <w:rPr>
          <w:rFonts w:hint="eastAsia" w:hAnsi="宋体"/>
          <w:b/>
          <w:bCs/>
          <w:u w:val="single"/>
        </w:rPr>
        <w:t>政采云平台及</w:t>
      </w:r>
      <w:bookmarkEnd w:id="32"/>
      <w:r>
        <w:rPr>
          <w:rFonts w:hint="eastAsia" w:hAnsi="宋体"/>
          <w:b/>
          <w:bCs/>
          <w:u w:val="single"/>
        </w:rPr>
        <w:t>临海市公共资源交易中心视频直播平台查看评审结果，请各投标人注意收看；</w:t>
      </w:r>
    </w:p>
    <w:p>
      <w:pPr>
        <w:pStyle w:val="27"/>
        <w:snapToGrid w:val="0"/>
        <w:spacing w:before="120" w:after="120"/>
        <w:ind w:left="719" w:leftChars="228" w:hanging="240" w:hangingChars="100"/>
        <w:rPr>
          <w:rFonts w:hAnsi="宋体"/>
        </w:rPr>
      </w:pPr>
      <w:r>
        <w:rPr>
          <w:rFonts w:hint="eastAsia" w:hAnsi="宋体"/>
        </w:rPr>
        <w:t>1</w:t>
      </w:r>
      <w:r>
        <w:rPr>
          <w:rFonts w:hAnsi="宋体"/>
        </w:rPr>
        <w:t>1</w:t>
      </w:r>
      <w:r>
        <w:rPr>
          <w:rFonts w:hint="eastAsia" w:hAnsi="宋体"/>
        </w:rPr>
        <w:t>．开标会议结束。</w:t>
      </w:r>
    </w:p>
    <w:p>
      <w:pPr>
        <w:pStyle w:val="27"/>
        <w:snapToGrid w:val="0"/>
        <w:spacing w:before="120" w:after="120"/>
        <w:ind w:left="720" w:leftChars="228" w:hanging="241" w:hangingChars="100"/>
        <w:rPr>
          <w:rFonts w:hAnsi="宋体"/>
        </w:rPr>
      </w:pPr>
      <w:r>
        <w:rPr>
          <w:rFonts w:hint="eastAsia" w:hAnsi="宋体"/>
          <w:b/>
        </w:rPr>
        <w:t>五、评标</w:t>
      </w:r>
    </w:p>
    <w:p>
      <w:pPr>
        <w:pStyle w:val="27"/>
        <w:snapToGrid w:val="0"/>
        <w:spacing w:before="120" w:after="120"/>
        <w:ind w:left="720" w:leftChars="228" w:hanging="241" w:hangingChars="100"/>
        <w:rPr>
          <w:rFonts w:hAnsi="宋体"/>
        </w:rPr>
      </w:pPr>
      <w:r>
        <w:rPr>
          <w:rFonts w:hint="eastAsia" w:hAnsi="宋体"/>
          <w:b/>
        </w:rPr>
        <w:t>（一）组建评标委员会</w:t>
      </w:r>
    </w:p>
    <w:p>
      <w:pPr>
        <w:pStyle w:val="27"/>
        <w:snapToGrid w:val="0"/>
        <w:spacing w:before="120" w:after="120"/>
        <w:ind w:firstLine="472" w:firstLineChars="196"/>
        <w:rPr>
          <w:rFonts w:hint="eastAsia" w:hAnsi="宋体"/>
          <w:b/>
        </w:rPr>
      </w:pPr>
      <w:r>
        <w:rPr>
          <w:rFonts w:hint="eastAsia" w:hAnsi="宋体"/>
          <w:b/>
        </w:rPr>
        <w:t>（1）本项目评标委员会由招标人依法组建。</w:t>
      </w:r>
    </w:p>
    <w:p>
      <w:pPr>
        <w:pStyle w:val="27"/>
        <w:snapToGrid w:val="0"/>
        <w:spacing w:before="120" w:after="120"/>
        <w:ind w:firstLine="472" w:firstLineChars="196"/>
        <w:rPr>
          <w:rFonts w:hint="eastAsia" w:hAnsi="宋体"/>
          <w:b/>
        </w:rPr>
      </w:pPr>
      <w:r>
        <w:rPr>
          <w:rFonts w:hint="eastAsia" w:hAnsi="宋体"/>
          <w:b/>
        </w:rPr>
        <w:t>（2）评标委员会成员与参与投标的供应商有下列情形之一的，应当回避：</w:t>
      </w:r>
    </w:p>
    <w:p>
      <w:pPr>
        <w:pStyle w:val="27"/>
        <w:snapToGrid w:val="0"/>
        <w:spacing w:before="120" w:after="120"/>
        <w:ind w:firstLine="470" w:firstLineChars="196"/>
        <w:rPr>
          <w:rFonts w:hint="eastAsia" w:hAnsi="宋体"/>
          <w:bCs/>
        </w:rPr>
      </w:pPr>
      <w:r>
        <w:rPr>
          <w:rFonts w:hint="eastAsia" w:hAnsi="宋体"/>
          <w:bCs/>
        </w:rPr>
        <w:t>①参加采购活动前3年内与供应商存在劳动关系；</w:t>
      </w:r>
    </w:p>
    <w:p>
      <w:pPr>
        <w:pStyle w:val="27"/>
        <w:snapToGrid w:val="0"/>
        <w:spacing w:before="120" w:after="120"/>
        <w:ind w:firstLine="470" w:firstLineChars="196"/>
        <w:rPr>
          <w:rFonts w:hint="eastAsia" w:hAnsi="宋体"/>
          <w:bCs/>
        </w:rPr>
      </w:pPr>
      <w:r>
        <w:rPr>
          <w:rFonts w:hint="eastAsia" w:hAnsi="宋体"/>
          <w:bCs/>
        </w:rPr>
        <w:t>②参加采购活动前3年内担任供应商的董事、监事；</w:t>
      </w:r>
    </w:p>
    <w:p>
      <w:pPr>
        <w:pStyle w:val="27"/>
        <w:snapToGrid w:val="0"/>
        <w:spacing w:before="120" w:after="120"/>
        <w:ind w:firstLine="470" w:firstLineChars="196"/>
        <w:rPr>
          <w:rFonts w:hint="eastAsia" w:hAnsi="宋体"/>
          <w:bCs/>
        </w:rPr>
      </w:pPr>
      <w:r>
        <w:rPr>
          <w:rFonts w:hint="eastAsia" w:hAnsi="宋体"/>
          <w:bCs/>
        </w:rPr>
        <w:t>③参加采购活动前3年内是供应商的控股股东或者实际控制人；</w:t>
      </w:r>
    </w:p>
    <w:p>
      <w:pPr>
        <w:pStyle w:val="27"/>
        <w:snapToGrid w:val="0"/>
        <w:spacing w:before="120" w:after="120"/>
        <w:ind w:firstLine="470" w:firstLineChars="196"/>
        <w:rPr>
          <w:rFonts w:hint="eastAsia" w:hAnsi="宋体"/>
          <w:bCs/>
        </w:rPr>
      </w:pPr>
      <w:r>
        <w:rPr>
          <w:rFonts w:hint="eastAsia" w:hAnsi="宋体"/>
          <w:bCs/>
        </w:rPr>
        <w:t>④与供应商的法定代表人或者负责人有夫妻、直系血亲、三代以内旁系血亲或者近姻亲关系；</w:t>
      </w:r>
    </w:p>
    <w:p>
      <w:pPr>
        <w:pStyle w:val="27"/>
        <w:snapToGrid w:val="0"/>
        <w:spacing w:before="120" w:after="120"/>
        <w:ind w:firstLine="470" w:firstLineChars="196"/>
        <w:rPr>
          <w:rFonts w:hint="eastAsia" w:hAnsi="宋体"/>
          <w:bCs/>
        </w:rPr>
      </w:pPr>
      <w:r>
        <w:rPr>
          <w:rFonts w:hint="eastAsia" w:hAnsi="宋体"/>
          <w:bCs/>
        </w:rPr>
        <w:t>⑤与供应商有其他可能影响政府采购活动公平、公正进行的关系。</w:t>
      </w:r>
    </w:p>
    <w:p>
      <w:pPr>
        <w:pStyle w:val="27"/>
        <w:snapToGrid w:val="0"/>
        <w:spacing w:before="120" w:after="120"/>
        <w:ind w:firstLine="472" w:firstLineChars="196"/>
        <w:rPr>
          <w:rFonts w:hint="eastAsia" w:hAnsi="宋体"/>
          <w:b/>
        </w:rPr>
      </w:pPr>
      <w:r>
        <w:rPr>
          <w:rFonts w:hint="eastAsia" w:hAnsi="宋体"/>
          <w:b/>
        </w:rPr>
        <w:t>（3）评标委员会负责具体评标事务，并独立履行下列职责：</w:t>
      </w:r>
    </w:p>
    <w:p>
      <w:pPr>
        <w:pStyle w:val="27"/>
        <w:snapToGrid w:val="0"/>
        <w:spacing w:before="120" w:after="120"/>
        <w:ind w:firstLine="470" w:firstLineChars="196"/>
        <w:rPr>
          <w:rFonts w:hint="eastAsia" w:hAnsi="宋体"/>
          <w:bCs/>
        </w:rPr>
      </w:pPr>
      <w:r>
        <w:rPr>
          <w:rFonts w:hint="eastAsia" w:hAnsi="宋体"/>
          <w:bCs/>
        </w:rPr>
        <w:t>1.审查、评价投标文件是否符合招标文件的商务、技术等实质性要求；</w:t>
      </w:r>
    </w:p>
    <w:p>
      <w:pPr>
        <w:pStyle w:val="27"/>
        <w:snapToGrid w:val="0"/>
        <w:spacing w:before="120" w:after="120"/>
        <w:ind w:firstLine="470" w:firstLineChars="196"/>
        <w:rPr>
          <w:rFonts w:hint="eastAsia" w:hAnsi="宋体"/>
          <w:bCs/>
        </w:rPr>
      </w:pPr>
      <w:r>
        <w:rPr>
          <w:rFonts w:hint="eastAsia" w:hAnsi="宋体"/>
          <w:bCs/>
        </w:rPr>
        <w:t>2.要求投标人对投标文件有关事项作出澄清或者说明；</w:t>
      </w:r>
    </w:p>
    <w:p>
      <w:pPr>
        <w:pStyle w:val="27"/>
        <w:snapToGrid w:val="0"/>
        <w:spacing w:before="120" w:after="120"/>
        <w:ind w:firstLine="470" w:firstLineChars="196"/>
        <w:rPr>
          <w:rFonts w:hint="eastAsia" w:hAnsi="宋体"/>
          <w:bCs/>
        </w:rPr>
      </w:pPr>
      <w:r>
        <w:rPr>
          <w:rFonts w:hint="eastAsia" w:hAnsi="宋体"/>
          <w:bCs/>
        </w:rPr>
        <w:t>3.对投标文件进行比较和评价；</w:t>
      </w:r>
    </w:p>
    <w:p>
      <w:pPr>
        <w:pStyle w:val="27"/>
        <w:snapToGrid w:val="0"/>
        <w:spacing w:before="120" w:after="120"/>
        <w:ind w:firstLine="470" w:firstLineChars="196"/>
        <w:rPr>
          <w:rFonts w:hint="eastAsia" w:hAnsi="宋体"/>
          <w:bCs/>
        </w:rPr>
      </w:pPr>
      <w:r>
        <w:rPr>
          <w:rFonts w:hint="eastAsia" w:hAnsi="宋体"/>
          <w:bCs/>
        </w:rPr>
        <w:t>4.确定中标候选人名单，以及根据采购人委托直接确定中标人；</w:t>
      </w:r>
    </w:p>
    <w:p>
      <w:pPr>
        <w:pStyle w:val="27"/>
        <w:snapToGrid w:val="0"/>
        <w:spacing w:before="120" w:after="120"/>
        <w:ind w:firstLine="470" w:firstLineChars="196"/>
        <w:rPr>
          <w:rFonts w:hint="eastAsia" w:hAnsi="宋体"/>
          <w:bCs/>
        </w:rPr>
      </w:pPr>
      <w:r>
        <w:rPr>
          <w:rFonts w:hint="eastAsia" w:hAnsi="宋体"/>
          <w:bCs/>
        </w:rPr>
        <w:t>5.向采购人、采购组织机构或者有关部门报告评标中发现的违法行为；</w:t>
      </w:r>
    </w:p>
    <w:p>
      <w:pPr>
        <w:pStyle w:val="27"/>
        <w:snapToGrid w:val="0"/>
        <w:spacing w:before="120" w:after="120"/>
        <w:ind w:firstLine="470" w:firstLineChars="196"/>
        <w:rPr>
          <w:rFonts w:hAnsi="宋体"/>
          <w:bCs/>
        </w:rPr>
      </w:pPr>
      <w:r>
        <w:rPr>
          <w:rFonts w:hint="eastAsia" w:hAnsi="宋体"/>
          <w:bCs/>
        </w:rPr>
        <w:t>6.法律法规规定的其他职责。</w:t>
      </w:r>
    </w:p>
    <w:p>
      <w:pPr>
        <w:pStyle w:val="27"/>
        <w:snapToGrid w:val="0"/>
        <w:spacing w:before="120" w:after="120"/>
        <w:ind w:firstLine="482" w:firstLineChars="200"/>
        <w:rPr>
          <w:rFonts w:hAnsi="宋体"/>
        </w:rPr>
      </w:pPr>
      <w:r>
        <w:rPr>
          <w:rFonts w:hint="eastAsia" w:hAnsi="宋体"/>
          <w:b/>
        </w:rPr>
        <w:t>（二）评标的方式</w:t>
      </w:r>
    </w:p>
    <w:p>
      <w:pPr>
        <w:pStyle w:val="27"/>
        <w:snapToGrid w:val="0"/>
        <w:spacing w:before="120" w:after="120"/>
        <w:ind w:firstLine="480" w:firstLineChars="200"/>
        <w:rPr>
          <w:rFonts w:hAnsi="宋体"/>
        </w:rPr>
      </w:pPr>
      <w:r>
        <w:rPr>
          <w:rFonts w:hint="eastAsia" w:hAnsi="宋体"/>
        </w:rPr>
        <w:t>本项目采用不公开方式评标，评标的依据为招标文件和投标文件，本项目采用电子评审方法。</w:t>
      </w:r>
    </w:p>
    <w:p>
      <w:pPr>
        <w:pStyle w:val="27"/>
        <w:snapToGrid w:val="0"/>
        <w:spacing w:before="120" w:after="120"/>
        <w:ind w:firstLine="482" w:firstLineChars="200"/>
        <w:rPr>
          <w:rFonts w:hAnsi="宋体"/>
          <w:b/>
        </w:rPr>
      </w:pPr>
      <w:r>
        <w:rPr>
          <w:rFonts w:hint="eastAsia" w:hAnsi="宋体"/>
          <w:b/>
        </w:rPr>
        <w:t>（三）</w:t>
      </w:r>
      <w:r>
        <w:rPr>
          <w:rFonts w:hint="eastAsia" w:hAnsi="宋体"/>
          <w:b/>
          <w:bCs/>
        </w:rPr>
        <w:t>评标程序</w:t>
      </w:r>
    </w:p>
    <w:p>
      <w:pPr>
        <w:snapToGrid w:val="0"/>
        <w:spacing w:line="400" w:lineRule="exact"/>
        <w:ind w:firstLine="472" w:firstLineChars="196"/>
        <w:rPr>
          <w:rFonts w:hint="eastAsia" w:ascii="宋体" w:hAnsi="宋体"/>
          <w:b/>
          <w:bCs/>
          <w:sz w:val="24"/>
        </w:rPr>
      </w:pPr>
      <w:r>
        <w:rPr>
          <w:rFonts w:hint="eastAsia" w:ascii="宋体" w:hAnsi="宋体"/>
          <w:b/>
          <w:bCs/>
          <w:sz w:val="24"/>
        </w:rPr>
        <w:t>1.资格审查</w:t>
      </w:r>
    </w:p>
    <w:p>
      <w:pPr>
        <w:snapToGrid w:val="0"/>
        <w:spacing w:line="400" w:lineRule="exact"/>
        <w:ind w:firstLine="470" w:firstLineChars="196"/>
        <w:rPr>
          <w:rFonts w:ascii="宋体" w:hAnsi="宋体"/>
          <w:b/>
          <w:bCs/>
          <w:sz w:val="24"/>
        </w:rPr>
      </w:pPr>
      <w:r>
        <w:rPr>
          <w:rFonts w:hint="eastAsia" w:ascii="宋体" w:hAnsi="宋体"/>
          <w:sz w:val="24"/>
        </w:rPr>
        <w:t>采购项目开标结束后，采购人或者采购代理机构应当依法对投标人的资格进行审查，对审查发现无效的进行必要的询标，结束后公布无效投标的投标人名单、投标无效的原因。</w:t>
      </w:r>
    </w:p>
    <w:p>
      <w:pPr>
        <w:snapToGrid w:val="0"/>
        <w:spacing w:line="400" w:lineRule="exact"/>
        <w:ind w:firstLine="472" w:firstLineChars="196"/>
        <w:rPr>
          <w:rFonts w:hint="eastAsia" w:ascii="宋体" w:hAnsi="宋体"/>
          <w:b/>
          <w:bCs/>
          <w:sz w:val="24"/>
        </w:rPr>
      </w:pPr>
      <w:r>
        <w:rPr>
          <w:rFonts w:hint="eastAsia" w:ascii="宋体" w:hAnsi="宋体"/>
          <w:b/>
          <w:bCs/>
          <w:sz w:val="24"/>
        </w:rPr>
        <w:t>2.符合性审查</w:t>
      </w:r>
    </w:p>
    <w:p>
      <w:pPr>
        <w:snapToGrid w:val="0"/>
        <w:spacing w:line="400" w:lineRule="exact"/>
        <w:ind w:firstLine="470" w:firstLineChars="196"/>
        <w:rPr>
          <w:rFonts w:hint="eastAsia" w:ascii="宋体" w:hAnsi="宋体"/>
          <w:sz w:val="24"/>
        </w:rPr>
      </w:pPr>
      <w:r>
        <w:rPr>
          <w:rFonts w:hint="eastAsia" w:ascii="宋体" w:hAnsi="宋体"/>
          <w:sz w:val="24"/>
        </w:rPr>
        <w:t xml:space="preserve">评标委员会应当对符合资格的投标人的投标文件进行符合性审查，以确定其是否满足招标文件的实质性要求，对审查发现无效的进行必要的询标，结束后公布无效投标的投标人名单、投标无效的原因。 </w:t>
      </w:r>
    </w:p>
    <w:p>
      <w:pPr>
        <w:snapToGrid w:val="0"/>
        <w:spacing w:line="400" w:lineRule="exact"/>
        <w:ind w:firstLine="241" w:firstLineChars="100"/>
        <w:rPr>
          <w:rFonts w:ascii="宋体" w:hAnsi="宋体"/>
          <w:b/>
          <w:color w:val="000000"/>
          <w:sz w:val="24"/>
        </w:rPr>
      </w:pPr>
      <w:r>
        <w:rPr>
          <w:rFonts w:hint="eastAsia" w:ascii="宋体" w:hAnsi="宋体"/>
          <w:b/>
          <w:color w:val="000000"/>
          <w:sz w:val="24"/>
        </w:rPr>
        <w:t>（四）澄清问题的形式</w:t>
      </w:r>
    </w:p>
    <w:p>
      <w:pPr>
        <w:pStyle w:val="27"/>
        <w:snapToGrid w:val="0"/>
        <w:spacing w:before="120" w:after="120"/>
        <w:ind w:firstLine="480" w:firstLineChars="200"/>
        <w:rPr>
          <w:rFonts w:hint="eastAsia" w:hAnsi="宋体"/>
          <w:b/>
          <w:bCs/>
          <w:u w:val="single"/>
          <w:shd w:val="pct10" w:color="auto" w:fill="FFFFFF"/>
        </w:rPr>
      </w:pPr>
      <w:r>
        <w:rPr>
          <w:rFonts w:hint="eastAsia" w:hAnsi="宋体"/>
          <w:color w:val="000000"/>
        </w:rPr>
        <w:t>对投标文件中含义不明确、同类问题表述不一致或者有明显文字和计算错误的内容，评标委员会可要求投标人作出必要的</w:t>
      </w:r>
      <w:bookmarkStart w:id="33" w:name="_Hlk59372079"/>
      <w:r>
        <w:rPr>
          <w:rFonts w:hint="eastAsia" w:hAnsi="宋体"/>
          <w:color w:val="000000"/>
        </w:rPr>
        <w:t>澄清、说明</w:t>
      </w:r>
      <w:bookmarkEnd w:id="33"/>
      <w:r>
        <w:rPr>
          <w:rFonts w:hint="eastAsia" w:hAnsi="宋体"/>
          <w:color w:val="000000"/>
        </w:rPr>
        <w:t>或者补</w:t>
      </w:r>
      <w:r>
        <w:rPr>
          <w:rFonts w:hint="eastAsia" w:hAnsi="宋体"/>
        </w:rPr>
        <w:t>正。评标委员会的澄清内容及投标人的澄清、说明或者补正均通过</w:t>
      </w:r>
      <w:bookmarkStart w:id="34" w:name="_Hlk59371846"/>
      <w:r>
        <w:rPr>
          <w:rFonts w:hint="eastAsia" w:hAnsi="宋体"/>
        </w:rPr>
        <w:t>政采云电子交易平台交换数据电文。</w:t>
      </w:r>
      <w:bookmarkEnd w:id="34"/>
      <w:r>
        <w:rPr>
          <w:rFonts w:hint="eastAsia" w:hAnsi="宋体"/>
        </w:rPr>
        <w:t xml:space="preserve">  </w:t>
      </w:r>
      <w:bookmarkStart w:id="35" w:name="_Hlk59700505"/>
      <w:r>
        <w:rPr>
          <w:rFonts w:hint="eastAsia" w:hAnsi="宋体"/>
          <w:b/>
          <w:bCs/>
        </w:rPr>
        <w:t>同时采购代理机构也将通过</w:t>
      </w:r>
      <w:r>
        <w:rPr>
          <w:rFonts w:hint="eastAsia" w:hAnsi="宋体"/>
          <w:b/>
          <w:bCs/>
          <w:u w:val="single"/>
        </w:rPr>
        <w:t>临海市公共资源交易中心视频直播平台、</w:t>
      </w:r>
      <w:bookmarkStart w:id="36" w:name="_Hlk59371920"/>
      <w:r>
        <w:rPr>
          <w:rFonts w:hint="eastAsia" w:hAnsi="宋体"/>
          <w:b/>
          <w:bCs/>
        </w:rPr>
        <w:t>政采云视频询</w:t>
      </w:r>
      <w:r>
        <w:rPr>
          <w:rFonts w:hint="eastAsia" w:hAnsi="宋体"/>
          <w:b/>
          <w:bCs/>
          <w:u w:val="single"/>
          <w:shd w:val="pct10" w:color="auto" w:fill="FFFFFF"/>
        </w:rPr>
        <w:t>标（视频讲标）系统协助进行问题澄清。投标人登录政采云系统-----进入开标大厅---进入本项目----就可以进入政采云视频询标系统。政采云视频询标系统在询标时需要投标人电脑配置有摄像头、音箱和必要的网络带宽，请投标人开标前予以提前准备，以免延误询标（浏览器建议用谷歌浏览器，网络带宽不少于50兆，请勿用无线，以免出现卡顿现象。摄像头建议用中档及以上摄像头，以利于询标时的画面质量；音箱请提前予以调试，以避免询标时出现没有声音现象）。政采云视频会议系统目前不支持手机客户端。</w:t>
      </w:r>
      <w:bookmarkEnd w:id="35"/>
    </w:p>
    <w:bookmarkEnd w:id="36"/>
    <w:p>
      <w:pPr>
        <w:snapToGrid w:val="0"/>
        <w:spacing w:line="400" w:lineRule="exact"/>
        <w:ind w:firstLine="480" w:firstLineChars="200"/>
        <w:rPr>
          <w:rFonts w:ascii="宋体" w:hAnsi="宋体"/>
          <w:color w:val="FF0000"/>
          <w:sz w:val="24"/>
        </w:rPr>
      </w:pPr>
      <w:r>
        <w:rPr>
          <w:rFonts w:hint="eastAsia" w:ascii="宋体" w:hAnsi="宋体"/>
          <w:sz w:val="24"/>
        </w:rPr>
        <w:t>评标委员会发出澄清内容后，投标人应当在采购代理机构及政采云平台上</w:t>
      </w:r>
      <w:r>
        <w:rPr>
          <w:rFonts w:hint="eastAsia" w:ascii="宋体" w:hAnsi="宋体"/>
          <w:b/>
          <w:bCs/>
          <w:sz w:val="24"/>
          <w:u w:val="single"/>
        </w:rPr>
        <w:t>规定的时间内（30分钟，具体时间以政采云系统上显示的时间为准）</w:t>
      </w:r>
      <w:r>
        <w:rPr>
          <w:rFonts w:hint="eastAsia" w:ascii="宋体" w:hAnsi="宋体"/>
          <w:b/>
          <w:bCs/>
          <w:sz w:val="24"/>
        </w:rPr>
        <w:t>，</w:t>
      </w:r>
      <w:r>
        <w:rPr>
          <w:rFonts w:hint="eastAsia" w:ascii="宋体" w:hAnsi="宋体"/>
          <w:sz w:val="24"/>
        </w:rPr>
        <w:t>提交澄清说明或补正，否则视为投标人放弃答复，并自行承担因此而产生的不利后果。澄清、说明或者补正不得超出投标文件的范围或者改变投标文件的实质性内容。</w:t>
      </w:r>
    </w:p>
    <w:p>
      <w:pPr>
        <w:snapToGrid w:val="0"/>
        <w:spacing w:line="400" w:lineRule="exact"/>
        <w:ind w:firstLine="241" w:firstLineChars="100"/>
        <w:rPr>
          <w:rFonts w:ascii="宋体" w:hAnsi="宋体"/>
          <w:b/>
          <w:color w:val="000000"/>
          <w:sz w:val="24"/>
        </w:rPr>
      </w:pPr>
      <w:r>
        <w:rPr>
          <w:rFonts w:hint="eastAsia" w:ascii="宋体" w:hAnsi="宋体"/>
          <w:b/>
          <w:color w:val="000000"/>
          <w:sz w:val="24"/>
        </w:rPr>
        <w:t>（五）错误修正</w:t>
      </w:r>
    </w:p>
    <w:p>
      <w:pPr>
        <w:snapToGrid w:val="0"/>
        <w:spacing w:line="400" w:lineRule="exact"/>
        <w:ind w:firstLine="480" w:firstLineChars="200"/>
        <w:rPr>
          <w:rFonts w:hint="eastAsia" w:ascii="宋体" w:hAnsi="宋体"/>
          <w:sz w:val="24"/>
        </w:rPr>
      </w:pPr>
      <w:r>
        <w:rPr>
          <w:rFonts w:hint="eastAsia" w:ascii="宋体" w:hAnsi="宋体"/>
          <w:sz w:val="24"/>
        </w:rPr>
        <w:t>投标文件报价出现前后不一致的，按照下列规定修正：</w:t>
      </w:r>
    </w:p>
    <w:p>
      <w:pPr>
        <w:snapToGrid w:val="0"/>
        <w:spacing w:line="400" w:lineRule="exact"/>
        <w:ind w:firstLine="480" w:firstLineChars="200"/>
        <w:rPr>
          <w:rFonts w:hint="eastAsia" w:ascii="宋体" w:hAnsi="宋体"/>
          <w:b/>
          <w:bCs/>
          <w:sz w:val="24"/>
          <w:u w:val="single"/>
          <w:shd w:val="pct10" w:color="auto" w:fill="FFFFFF"/>
        </w:rPr>
      </w:pPr>
      <w:r>
        <w:rPr>
          <w:rFonts w:hint="eastAsia" w:ascii="宋体" w:hAnsi="宋体"/>
          <w:sz w:val="24"/>
        </w:rPr>
        <w:t>（一）投标文件中开标一览表（报价表）内容与投标文件中相应内容不一致的，以开标一览表（报价表）为准</w:t>
      </w:r>
      <w:r>
        <w:rPr>
          <w:rFonts w:hint="eastAsia" w:ascii="宋体" w:hAnsi="宋体"/>
          <w:b/>
          <w:bCs/>
          <w:sz w:val="24"/>
          <w:u w:val="single"/>
          <w:shd w:val="pct10" w:color="auto" w:fill="FFFFFF"/>
        </w:rPr>
        <w:t>。</w:t>
      </w:r>
      <w:bookmarkStart w:id="37" w:name="_Hlk78209380"/>
      <w:r>
        <w:rPr>
          <w:rFonts w:hint="eastAsia" w:ascii="宋体" w:hAnsi="宋体"/>
          <w:b/>
          <w:bCs/>
          <w:sz w:val="24"/>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p>
    <w:bookmarkEnd w:id="37"/>
    <w:p>
      <w:pPr>
        <w:snapToGrid w:val="0"/>
        <w:spacing w:line="400" w:lineRule="exact"/>
        <w:ind w:firstLine="480" w:firstLineChars="200"/>
        <w:rPr>
          <w:rFonts w:hint="eastAsia" w:ascii="宋体" w:hAnsi="宋体"/>
          <w:sz w:val="24"/>
        </w:rPr>
      </w:pPr>
      <w:r>
        <w:rPr>
          <w:rFonts w:hint="eastAsia" w:ascii="宋体" w:hAnsi="宋体"/>
          <w:sz w:val="24"/>
        </w:rPr>
        <w:t>（二）大写金额和小写金额不一致的，以大写金额为准；</w:t>
      </w:r>
    </w:p>
    <w:p>
      <w:pPr>
        <w:snapToGrid w:val="0"/>
        <w:spacing w:line="400" w:lineRule="exact"/>
        <w:ind w:firstLine="480" w:firstLineChars="200"/>
        <w:rPr>
          <w:rFonts w:hint="eastAsia" w:ascii="宋体" w:hAnsi="宋体"/>
          <w:sz w:val="24"/>
        </w:rPr>
      </w:pPr>
      <w:r>
        <w:rPr>
          <w:rFonts w:hint="eastAsia" w:ascii="宋体" w:hAnsi="宋体"/>
          <w:sz w:val="24"/>
        </w:rPr>
        <w:t>（三）单价金额小数点或者百分比有明显错位的，以开标一览表的总价为准，并修改单价；</w:t>
      </w:r>
    </w:p>
    <w:p>
      <w:pPr>
        <w:snapToGrid w:val="0"/>
        <w:spacing w:line="400" w:lineRule="exact"/>
        <w:ind w:firstLine="480" w:firstLineChars="200"/>
        <w:rPr>
          <w:rFonts w:ascii="宋体" w:hAnsi="宋体"/>
          <w:color w:val="000000"/>
          <w:sz w:val="24"/>
        </w:rPr>
      </w:pPr>
      <w:r>
        <w:rPr>
          <w:rFonts w:hint="eastAsia" w:ascii="宋体" w:hAnsi="宋体"/>
          <w:sz w:val="24"/>
        </w:rPr>
        <w:t>（四）总价金额与按单价汇总金额不一致的，</w:t>
      </w:r>
      <w:r>
        <w:rPr>
          <w:rFonts w:hint="eastAsia" w:ascii="宋体" w:hAnsi="宋体"/>
          <w:color w:val="000000"/>
          <w:sz w:val="24"/>
        </w:rPr>
        <w:t>以单价金额计算结果为准。</w:t>
      </w:r>
    </w:p>
    <w:p>
      <w:pPr>
        <w:snapToGrid w:val="0"/>
        <w:spacing w:line="400" w:lineRule="exact"/>
        <w:ind w:firstLine="480" w:firstLineChars="200"/>
        <w:rPr>
          <w:rFonts w:hint="eastAsia" w:ascii="宋体" w:hAnsi="宋体"/>
          <w:color w:val="000000"/>
          <w:sz w:val="24"/>
        </w:rPr>
      </w:pPr>
      <w:r>
        <w:rPr>
          <w:rFonts w:hint="eastAsia" w:ascii="宋体" w:hAnsi="宋体"/>
          <w:color w:val="000000"/>
          <w:sz w:val="24"/>
        </w:rPr>
        <w:t>（五）对不同文字文本投标文件的解释发生异议的，以中文文本为准。</w:t>
      </w:r>
    </w:p>
    <w:p>
      <w:pPr>
        <w:snapToGrid w:val="0"/>
        <w:spacing w:line="400" w:lineRule="exact"/>
        <w:ind w:firstLine="480" w:firstLineChars="200"/>
        <w:rPr>
          <w:rFonts w:hint="eastAsia" w:ascii="宋体" w:hAnsi="宋体"/>
          <w:color w:val="000000"/>
          <w:sz w:val="24"/>
        </w:rPr>
      </w:pPr>
      <w:r>
        <w:rPr>
          <w:rFonts w:hint="eastAsia" w:ascii="宋体" w:hAnsi="宋体"/>
          <w:color w:val="000000"/>
          <w:sz w:val="24"/>
        </w:rPr>
        <w:t>同时出现两种以上不一致的，按照前款规定的顺序修正，修正后的报价经投标人同意并签字确认后，调整后的投标报价对投标人具有约束作用。如果投标人不接受修正后的报价，则其投标将作为无效投标处理。</w:t>
      </w:r>
    </w:p>
    <w:p>
      <w:pPr>
        <w:pStyle w:val="27"/>
        <w:tabs>
          <w:tab w:val="left" w:pos="630"/>
        </w:tabs>
        <w:snapToGrid w:val="0"/>
        <w:spacing w:before="120" w:after="120"/>
        <w:ind w:firstLine="241" w:firstLineChars="100"/>
        <w:rPr>
          <w:rFonts w:hAnsi="宋体"/>
          <w:b/>
          <w:color w:val="000000"/>
        </w:rPr>
      </w:pPr>
      <w:r>
        <w:rPr>
          <w:rFonts w:hint="eastAsia" w:hAnsi="宋体"/>
          <w:b/>
          <w:color w:val="000000"/>
        </w:rPr>
        <w:t>（六）评标原则和评标办法</w:t>
      </w:r>
    </w:p>
    <w:p>
      <w:pPr>
        <w:pStyle w:val="27"/>
        <w:snapToGrid w:val="0"/>
        <w:spacing w:before="120" w:after="120"/>
        <w:ind w:firstLine="480" w:firstLineChars="200"/>
        <w:rPr>
          <w:rFonts w:hAnsi="宋体"/>
          <w:color w:val="000000"/>
        </w:rPr>
      </w:pPr>
      <w:r>
        <w:rPr>
          <w:rFonts w:hint="eastAsia" w:hAnsi="宋体"/>
          <w:color w:val="000000"/>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7"/>
        <w:snapToGrid w:val="0"/>
        <w:spacing w:before="120" w:after="120"/>
        <w:ind w:firstLine="480" w:firstLineChars="200"/>
        <w:rPr>
          <w:rFonts w:hAnsi="宋体"/>
          <w:color w:val="000000"/>
        </w:rPr>
      </w:pPr>
      <w:r>
        <w:rPr>
          <w:rFonts w:hint="eastAsia" w:hAnsi="宋体"/>
          <w:color w:val="000000"/>
        </w:rPr>
        <w:t>2.评标办法。本项目评标办法是</w:t>
      </w:r>
      <w:r>
        <w:rPr>
          <w:rFonts w:hint="eastAsia" w:hAnsi="宋体"/>
          <w:b/>
          <w:color w:val="000000"/>
          <w:u w:val="single"/>
        </w:rPr>
        <w:t>综合评分法</w:t>
      </w:r>
      <w:r>
        <w:rPr>
          <w:rFonts w:hint="eastAsia" w:hAnsi="宋体"/>
          <w:color w:val="000000"/>
        </w:rPr>
        <w:t>，具体评标内容及评分标准等详见《第四章：评标办法及评分标准》。</w:t>
      </w:r>
    </w:p>
    <w:p>
      <w:pPr>
        <w:spacing w:line="400" w:lineRule="exact"/>
        <w:ind w:firstLine="482" w:firstLineChars="200"/>
        <w:rPr>
          <w:rFonts w:ascii="宋体" w:hAnsi="宋体"/>
          <w:b/>
          <w:sz w:val="24"/>
        </w:rPr>
      </w:pPr>
      <w:r>
        <w:rPr>
          <w:rFonts w:hint="eastAsia" w:ascii="宋体" w:hAnsi="宋体"/>
          <w:b/>
          <w:sz w:val="24"/>
        </w:rPr>
        <w:t>六、定标</w:t>
      </w:r>
    </w:p>
    <w:p>
      <w:pPr>
        <w:spacing w:line="400" w:lineRule="exact"/>
        <w:ind w:firstLine="482" w:firstLineChars="200"/>
        <w:rPr>
          <w:rFonts w:ascii="宋体" w:hAnsi="宋体"/>
          <w:b/>
          <w:sz w:val="24"/>
        </w:rPr>
      </w:pPr>
      <w:r>
        <w:rPr>
          <w:rFonts w:hint="eastAsia" w:ascii="宋体" w:hAnsi="宋体"/>
          <w:b/>
          <w:sz w:val="24"/>
        </w:rPr>
        <w:t>（一）确定中标人</w:t>
      </w:r>
    </w:p>
    <w:p>
      <w:pPr>
        <w:spacing w:line="400" w:lineRule="exact"/>
        <w:ind w:firstLine="480" w:firstLineChars="200"/>
        <w:rPr>
          <w:rFonts w:ascii="宋体" w:hAnsi="宋体"/>
          <w:b/>
          <w:bCs/>
          <w:sz w:val="24"/>
        </w:rPr>
      </w:pPr>
      <w:r>
        <w:rPr>
          <w:rFonts w:hint="eastAsia" w:ascii="宋体" w:hAnsi="宋体"/>
          <w:bCs/>
          <w:sz w:val="24"/>
        </w:rPr>
        <w:t>1.招标人在评标结束</w:t>
      </w:r>
      <w:r>
        <w:rPr>
          <w:rFonts w:hint="eastAsia" w:ascii="宋体" w:hAnsi="宋体"/>
          <w:bCs/>
          <w:color w:val="000000"/>
          <w:sz w:val="24"/>
        </w:rPr>
        <w:t>后</w:t>
      </w:r>
      <w:r>
        <w:rPr>
          <w:rFonts w:hint="eastAsia" w:ascii="宋体" w:hAnsi="宋体"/>
          <w:color w:val="000000"/>
          <w:sz w:val="24"/>
        </w:rPr>
        <w:t>2个工作日内将评标报告交</w:t>
      </w:r>
      <w:r>
        <w:rPr>
          <w:rFonts w:hint="eastAsia" w:ascii="宋体" w:hAnsi="宋体" w:cs="宋体"/>
          <w:color w:val="000000"/>
          <w:sz w:val="24"/>
          <w:lang w:val="en-US" w:eastAsia="zh-CN"/>
        </w:rPr>
        <w:t>建设单位和实施单位</w:t>
      </w:r>
      <w:r>
        <w:rPr>
          <w:rFonts w:hint="eastAsia" w:ascii="宋体" w:hAnsi="宋体"/>
          <w:color w:val="000000"/>
          <w:sz w:val="24"/>
        </w:rPr>
        <w:t>确认，同时在发布招标公告的网站上对评标结果进行公示</w:t>
      </w:r>
      <w:bookmarkStart w:id="38" w:name="_Hlk78207387"/>
      <w:bookmarkStart w:id="39" w:name="_Hlk59627457"/>
      <w:r>
        <w:rPr>
          <w:rFonts w:hint="eastAsia" w:ascii="宋体" w:hAnsi="宋体"/>
          <w:b/>
          <w:bCs/>
          <w:color w:val="000000"/>
          <w:sz w:val="24"/>
          <w:u w:val="single"/>
          <w:shd w:val="pct10" w:color="auto" w:fill="FFFFFF"/>
        </w:rPr>
        <w:t>（预成交供应商享受小微企业报价优惠扣除的，将在预成交公示中公开预成交供应商的《中小企业声明函》</w:t>
      </w:r>
      <w:bookmarkEnd w:id="38"/>
      <w:r>
        <w:rPr>
          <w:rFonts w:hint="eastAsia" w:ascii="宋体" w:hAnsi="宋体"/>
          <w:sz w:val="24"/>
        </w:rPr>
        <w:t>。</w:t>
      </w:r>
      <w:r>
        <w:rPr>
          <w:rFonts w:hint="eastAsia" w:ascii="宋体" w:hAnsi="宋体"/>
          <w:b/>
          <w:bCs/>
          <w:sz w:val="24"/>
          <w:u w:val="single"/>
        </w:rPr>
        <w:t>采购结果公示及公告期间,投标人不得通过非正当途径，更不得通过非正当手段获取法律法规规定评标委员会(包括其他相关人员)应当保密的相关内容。即使由此获得资料并作为向采购人（采购代理机构）或监督管理部门提出异议、质疑、投诉或法院起诉的依据，均属于非法获取的依据。</w:t>
      </w:r>
    </w:p>
    <w:bookmarkEnd w:id="39"/>
    <w:p>
      <w:pPr>
        <w:snapToGrid w:val="0"/>
        <w:spacing w:line="400" w:lineRule="exact"/>
        <w:ind w:firstLine="480" w:firstLineChars="200"/>
        <w:rPr>
          <w:rFonts w:ascii="宋体" w:hAnsi="宋体"/>
          <w:sz w:val="24"/>
        </w:rPr>
      </w:pPr>
      <w:r>
        <w:rPr>
          <w:rFonts w:hint="eastAsia" w:ascii="宋体" w:hAnsi="宋体"/>
          <w:sz w:val="24"/>
        </w:rPr>
        <w:t>2.投标人对评标结果无异议的，</w:t>
      </w:r>
      <w:r>
        <w:rPr>
          <w:rFonts w:hint="eastAsia" w:ascii="宋体" w:hAnsi="宋体" w:cs="宋体"/>
          <w:color w:val="000000"/>
          <w:sz w:val="24"/>
          <w:lang w:val="en-US" w:eastAsia="zh-CN"/>
        </w:rPr>
        <w:t>建设单位和实施单位</w:t>
      </w:r>
      <w:r>
        <w:rPr>
          <w:rFonts w:hint="eastAsia" w:ascii="宋体" w:hAnsi="宋体"/>
          <w:sz w:val="24"/>
        </w:rPr>
        <w:t>应在收到评标报告后5个工作日内对评标结果进行确认。如有投标人对评标结果提出质疑的，</w:t>
      </w:r>
      <w:r>
        <w:rPr>
          <w:rFonts w:hint="eastAsia" w:ascii="宋体" w:hAnsi="宋体" w:cs="宋体"/>
          <w:color w:val="000000"/>
          <w:sz w:val="24"/>
          <w:lang w:val="en-US" w:eastAsia="zh-CN"/>
        </w:rPr>
        <w:t>建设单位和实施单位</w:t>
      </w:r>
      <w:r>
        <w:rPr>
          <w:rFonts w:hint="eastAsia" w:ascii="宋体" w:hAnsi="宋体"/>
          <w:sz w:val="24"/>
        </w:rPr>
        <w:t>可在质疑处理完毕后确定中标人。</w:t>
      </w:r>
    </w:p>
    <w:p>
      <w:pPr>
        <w:snapToGrid w:val="0"/>
        <w:spacing w:line="400" w:lineRule="exact"/>
        <w:ind w:firstLine="480" w:firstLineChars="200"/>
        <w:rPr>
          <w:rFonts w:ascii="宋体" w:hAnsi="宋体"/>
          <w:sz w:val="24"/>
        </w:rPr>
      </w:pPr>
      <w:r>
        <w:rPr>
          <w:rFonts w:hint="eastAsia" w:ascii="宋体" w:hAnsi="宋体"/>
          <w:sz w:val="24"/>
        </w:rPr>
        <w:t>3.</w:t>
      </w:r>
      <w:r>
        <w:rPr>
          <w:rFonts w:hint="eastAsia" w:ascii="宋体" w:hAnsi="宋体" w:cs="宋体"/>
          <w:color w:val="000000"/>
          <w:sz w:val="24"/>
          <w:lang w:val="en-US" w:eastAsia="zh-CN"/>
        </w:rPr>
        <w:t>建设单位和实施单位</w:t>
      </w:r>
      <w:r>
        <w:rPr>
          <w:rFonts w:hint="eastAsia" w:ascii="宋体" w:hAnsi="宋体"/>
          <w:sz w:val="24"/>
        </w:rPr>
        <w:t>依法确定中标人后2个工作日内，招标人以书面形式发出《中标通知书》,并同时在相关网站上发布中标公告。</w:t>
      </w:r>
      <w:bookmarkStart w:id="40" w:name="_Hlk59369379"/>
      <w:bookmarkStart w:id="41" w:name="_Hlk59627548"/>
      <w:r>
        <w:rPr>
          <w:rFonts w:hint="eastAsia" w:ascii="宋体" w:hAnsi="宋体"/>
          <w:b/>
          <w:bCs/>
          <w:sz w:val="24"/>
          <w:u w:val="single"/>
          <w:shd w:val="pct10" w:color="auto" w:fill="FFFFFF"/>
        </w:rPr>
        <w:t>为营造更优质的营商环境，</w:t>
      </w:r>
      <w:bookmarkStart w:id="42" w:name="_Hlk59708763"/>
      <w:r>
        <w:rPr>
          <w:rFonts w:hint="eastAsia" w:ascii="宋体" w:hAnsi="宋体"/>
          <w:b/>
          <w:bCs/>
          <w:sz w:val="24"/>
          <w:u w:val="single"/>
          <w:shd w:val="pct10" w:color="auto" w:fill="FFFFFF"/>
        </w:rPr>
        <w:t>中标人可选择采购代理机构以邮寄方式向其寄达《中标通知书》（邮寄地址、收件人等信息请在“投标函”中详细写明，邮费可到付）。</w:t>
      </w:r>
      <w:bookmarkEnd w:id="42"/>
      <w:bookmarkStart w:id="43" w:name="_Hlk59708451"/>
      <w:r>
        <w:rPr>
          <w:rFonts w:hint="eastAsia" w:ascii="宋体" w:hAnsi="宋体"/>
          <w:b/>
          <w:bCs/>
          <w:sz w:val="24"/>
          <w:u w:val="single"/>
          <w:shd w:val="pct10" w:color="auto" w:fill="FFFFFF"/>
        </w:rPr>
        <w:t>同时中标人应在中标后</w:t>
      </w:r>
      <w:bookmarkStart w:id="44" w:name="_Hlk59521069"/>
      <w:r>
        <w:rPr>
          <w:rFonts w:hint="eastAsia" w:ascii="宋体" w:hAnsi="宋体"/>
          <w:b/>
          <w:bCs/>
          <w:sz w:val="24"/>
          <w:u w:val="single"/>
          <w:shd w:val="pct10" w:color="auto" w:fill="FFFFFF"/>
        </w:rPr>
        <w:t>以邮寄</w:t>
      </w:r>
      <w:bookmarkEnd w:id="44"/>
      <w:r>
        <w:rPr>
          <w:rFonts w:hint="eastAsia" w:ascii="宋体" w:hAnsi="宋体"/>
          <w:b/>
          <w:bCs/>
          <w:sz w:val="24"/>
          <w:u w:val="single"/>
          <w:shd w:val="pct10" w:color="auto" w:fill="FFFFFF"/>
        </w:rPr>
        <w:t>或其他方式向</w:t>
      </w:r>
      <w:bookmarkStart w:id="45" w:name="_Hlk59521051"/>
      <w:r>
        <w:rPr>
          <w:rFonts w:hint="eastAsia" w:ascii="宋体" w:hAnsi="宋体"/>
          <w:b/>
          <w:bCs/>
          <w:sz w:val="24"/>
          <w:u w:val="single"/>
          <w:shd w:val="pct10" w:color="auto" w:fill="FFFFFF"/>
        </w:rPr>
        <w:t>采购代理机构</w:t>
      </w:r>
      <w:bookmarkEnd w:id="45"/>
      <w:r>
        <w:rPr>
          <w:rFonts w:hint="eastAsia" w:ascii="宋体" w:hAnsi="宋体"/>
          <w:b/>
          <w:bCs/>
          <w:sz w:val="24"/>
          <w:u w:val="single"/>
          <w:shd w:val="pct10" w:color="auto" w:fill="FFFFFF"/>
        </w:rPr>
        <w:t>提供</w:t>
      </w:r>
      <w:r>
        <w:rPr>
          <w:rFonts w:ascii="宋体" w:hAnsi="宋体"/>
          <w:b/>
          <w:bCs/>
          <w:sz w:val="24"/>
          <w:u w:val="single"/>
          <w:shd w:val="pct10" w:color="auto" w:fill="FFFFFF"/>
        </w:rPr>
        <w:t>3</w:t>
      </w:r>
      <w:r>
        <w:rPr>
          <w:rFonts w:hint="eastAsia" w:ascii="宋体" w:hAnsi="宋体"/>
          <w:b/>
          <w:bCs/>
          <w:sz w:val="24"/>
          <w:u w:val="single"/>
          <w:shd w:val="pct10" w:color="auto" w:fill="FFFFFF"/>
        </w:rPr>
        <w:t>套与电子版投标文件相同的胶装版本投标文件。</w:t>
      </w:r>
      <w:bookmarkEnd w:id="40"/>
      <w:bookmarkEnd w:id="43"/>
    </w:p>
    <w:bookmarkEnd w:id="41"/>
    <w:p>
      <w:pPr>
        <w:snapToGrid w:val="0"/>
        <w:spacing w:line="400" w:lineRule="exact"/>
        <w:ind w:firstLine="480" w:firstLineChars="200"/>
        <w:rPr>
          <w:rFonts w:ascii="宋体" w:hAnsi="宋体"/>
          <w:sz w:val="24"/>
        </w:rPr>
      </w:pPr>
      <w:r>
        <w:rPr>
          <w:rFonts w:hint="eastAsia" w:ascii="宋体" w:hAnsi="宋体"/>
          <w:color w:val="000000"/>
          <w:sz w:val="24"/>
        </w:rPr>
        <w:t>4.定标中，应坚持第一中标候选人为首选中标人，但出现其它原因的，</w:t>
      </w:r>
      <w:r>
        <w:rPr>
          <w:rFonts w:hint="eastAsia" w:ascii="宋体" w:hAnsi="宋体" w:cs="宋体"/>
          <w:color w:val="000000"/>
          <w:sz w:val="24"/>
          <w:lang w:val="en-US" w:eastAsia="zh-CN"/>
        </w:rPr>
        <w:t>建设单位和实施单位</w:t>
      </w:r>
      <w:r>
        <w:rPr>
          <w:rFonts w:hint="eastAsia" w:ascii="宋体" w:hAnsi="宋体"/>
          <w:color w:val="000000"/>
          <w:sz w:val="24"/>
        </w:rPr>
        <w:t>可以直接确定排名第二的候选人为中标</w:t>
      </w:r>
      <w:r>
        <w:rPr>
          <w:rFonts w:hint="eastAsia" w:ascii="宋体" w:hAnsi="宋体"/>
          <w:sz w:val="24"/>
        </w:rPr>
        <w:t>人，</w:t>
      </w:r>
      <w:r>
        <w:rPr>
          <w:rFonts w:hint="eastAsia" w:ascii="宋体" w:hAnsi="宋体"/>
          <w:b/>
          <w:sz w:val="24"/>
        </w:rPr>
        <w:t>或重新组织招标。</w:t>
      </w:r>
    </w:p>
    <w:p>
      <w:pPr>
        <w:snapToGrid w:val="0"/>
        <w:spacing w:line="400" w:lineRule="exact"/>
        <w:ind w:firstLine="480" w:firstLineChars="200"/>
        <w:rPr>
          <w:rFonts w:ascii="宋体" w:hAnsi="宋体"/>
          <w:sz w:val="24"/>
        </w:rPr>
      </w:pPr>
      <w:r>
        <w:rPr>
          <w:rFonts w:hint="eastAsia" w:ascii="宋体" w:hAnsi="宋体"/>
          <w:sz w:val="24"/>
        </w:rPr>
        <w:t>5.</w:t>
      </w:r>
      <w:r>
        <w:rPr>
          <w:rFonts w:hint="eastAsia" w:ascii="宋体" w:hAnsi="宋体" w:cs="宋体"/>
          <w:color w:val="000000"/>
          <w:sz w:val="24"/>
          <w:lang w:val="en-US" w:eastAsia="zh-CN"/>
        </w:rPr>
        <w:t>建设单位和实施单位</w:t>
      </w:r>
      <w:r>
        <w:rPr>
          <w:rFonts w:hint="eastAsia" w:ascii="宋体" w:hAnsi="宋体"/>
          <w:sz w:val="24"/>
        </w:rPr>
        <w:t>在确定第二中标候选人为中标人的，应当在确定前向</w:t>
      </w:r>
      <w:r>
        <w:rPr>
          <w:rFonts w:hint="eastAsia" w:ascii="宋体" w:hAnsi="宋体"/>
          <w:b/>
          <w:sz w:val="24"/>
        </w:rPr>
        <w:t>临海市财政局</w:t>
      </w:r>
      <w:r>
        <w:rPr>
          <w:rFonts w:hint="eastAsia" w:ascii="宋体" w:hAnsi="宋体"/>
          <w:sz w:val="24"/>
        </w:rPr>
        <w:t>报告说明。</w:t>
      </w:r>
    </w:p>
    <w:p>
      <w:pPr>
        <w:spacing w:line="400" w:lineRule="exact"/>
        <w:ind w:firstLine="482" w:firstLineChars="200"/>
        <w:rPr>
          <w:rFonts w:ascii="宋体" w:hAnsi="宋体"/>
          <w:b/>
          <w:sz w:val="24"/>
        </w:rPr>
      </w:pPr>
      <w:r>
        <w:rPr>
          <w:rFonts w:hint="eastAsia" w:ascii="宋体" w:hAnsi="宋体"/>
          <w:b/>
          <w:sz w:val="24"/>
        </w:rPr>
        <w:t>七、合同授予</w:t>
      </w:r>
    </w:p>
    <w:p>
      <w:pPr>
        <w:snapToGrid w:val="0"/>
        <w:spacing w:line="400" w:lineRule="exact"/>
        <w:ind w:firstLine="472" w:firstLineChars="196"/>
        <w:rPr>
          <w:rFonts w:ascii="宋体" w:hAnsi="宋体"/>
          <w:b/>
          <w:bCs/>
          <w:sz w:val="24"/>
        </w:rPr>
      </w:pPr>
      <w:r>
        <w:rPr>
          <w:rFonts w:hint="eastAsia" w:ascii="宋体" w:hAnsi="宋体"/>
          <w:b/>
          <w:bCs/>
          <w:sz w:val="24"/>
        </w:rPr>
        <w:t>（一）签订合同</w:t>
      </w:r>
    </w:p>
    <w:p>
      <w:pPr>
        <w:snapToGrid w:val="0"/>
        <w:spacing w:line="400" w:lineRule="exact"/>
        <w:ind w:firstLine="480" w:firstLineChars="200"/>
        <w:rPr>
          <w:rFonts w:ascii="宋体" w:hAnsi="宋体"/>
          <w:sz w:val="24"/>
        </w:rPr>
      </w:pPr>
      <w:r>
        <w:rPr>
          <w:rFonts w:hint="eastAsia" w:ascii="宋体" w:hAnsi="宋体"/>
          <w:sz w:val="24"/>
        </w:rPr>
        <w:t>1.</w:t>
      </w:r>
      <w:r>
        <w:rPr>
          <w:rFonts w:hint="eastAsia" w:ascii="宋体" w:hAnsi="宋体" w:cs="宋体"/>
          <w:color w:val="000000"/>
          <w:sz w:val="24"/>
          <w:lang w:val="en-US" w:eastAsia="zh-CN"/>
        </w:rPr>
        <w:t>建设单位和实施单位</w:t>
      </w:r>
      <w:r>
        <w:rPr>
          <w:rFonts w:hint="eastAsia" w:ascii="宋体" w:hAnsi="宋体"/>
          <w:sz w:val="24"/>
        </w:rPr>
        <w:t>与中标</w:t>
      </w:r>
      <w:r>
        <w:rPr>
          <w:rFonts w:hint="eastAsia" w:ascii="宋体" w:hAnsi="宋体"/>
          <w:b/>
          <w:sz w:val="24"/>
        </w:rPr>
        <w:t>人应当在《中标通知书》发出之日起30日内签订政府采购合同，</w:t>
      </w:r>
      <w:r>
        <w:rPr>
          <w:rFonts w:hint="eastAsia" w:ascii="宋体" w:hAnsi="宋体"/>
          <w:sz w:val="24"/>
        </w:rPr>
        <w:t>并且在同一时间送至采购代理机构见证盖章（合同一式四份，</w:t>
      </w:r>
      <w:r>
        <w:rPr>
          <w:rFonts w:hint="eastAsia" w:ascii="宋体" w:hAnsi="宋体" w:cs="宋体"/>
          <w:color w:val="000000"/>
          <w:sz w:val="24"/>
          <w:lang w:val="en-US" w:eastAsia="zh-CN"/>
        </w:rPr>
        <w:t>建设单位、实施单位</w:t>
      </w:r>
      <w:r>
        <w:rPr>
          <w:rFonts w:hint="eastAsia" w:ascii="宋体" w:hAnsi="宋体"/>
          <w:sz w:val="24"/>
        </w:rPr>
        <w:t>与中标人各执一份，</w:t>
      </w:r>
      <w:bookmarkStart w:id="46" w:name="_Hlk59626706"/>
      <w:r>
        <w:rPr>
          <w:rFonts w:hint="eastAsia" w:ascii="宋体" w:hAnsi="宋体"/>
          <w:sz w:val="24"/>
        </w:rPr>
        <w:t>代理机构</w:t>
      </w:r>
      <w:bookmarkEnd w:id="46"/>
      <w:r>
        <w:rPr>
          <w:rFonts w:hint="eastAsia" w:ascii="宋体" w:hAnsi="宋体"/>
          <w:sz w:val="24"/>
        </w:rPr>
        <w:t>留存二份），招标人对合同内容进行审查，如发现与采购结果和投标承诺内容不一致的，予以纠正。</w:t>
      </w:r>
      <w:r>
        <w:rPr>
          <w:rFonts w:hint="eastAsia" w:ascii="宋体" w:hAnsi="宋体"/>
          <w:b/>
          <w:bCs/>
          <w:sz w:val="24"/>
          <w:u w:val="single"/>
          <w:shd w:val="pct10" w:color="auto" w:fill="FFFFFF"/>
        </w:rPr>
        <w:t>为营造更优质的营商环境，</w:t>
      </w:r>
      <w:bookmarkStart w:id="47" w:name="_Hlk59627623"/>
      <w:r>
        <w:rPr>
          <w:rFonts w:hint="eastAsia" w:ascii="宋体" w:hAnsi="宋体"/>
          <w:b/>
          <w:bCs/>
          <w:sz w:val="24"/>
          <w:u w:val="single"/>
          <w:shd w:val="pct10" w:color="auto" w:fill="FFFFFF"/>
        </w:rPr>
        <w:t>中标人可选择采购代理机构以邮寄方式向其寄达</w:t>
      </w:r>
      <w:bookmarkStart w:id="48" w:name="_Hlk59708805"/>
      <w:r>
        <w:rPr>
          <w:rFonts w:hint="eastAsia" w:ascii="宋体" w:hAnsi="宋体"/>
          <w:b/>
          <w:bCs/>
          <w:sz w:val="24"/>
          <w:u w:val="single"/>
          <w:shd w:val="pct10" w:color="auto" w:fill="FFFFFF"/>
        </w:rPr>
        <w:t>《政府采购合同》</w:t>
      </w:r>
      <w:bookmarkEnd w:id="48"/>
      <w:r>
        <w:rPr>
          <w:rFonts w:hint="eastAsia" w:ascii="宋体" w:hAnsi="宋体"/>
          <w:b/>
          <w:bCs/>
          <w:sz w:val="24"/>
          <w:u w:val="single"/>
          <w:shd w:val="pct10" w:color="auto" w:fill="FFFFFF"/>
        </w:rPr>
        <w:t>。</w:t>
      </w:r>
    </w:p>
    <w:bookmarkEnd w:id="47"/>
    <w:p>
      <w:pPr>
        <w:spacing w:line="400" w:lineRule="exact"/>
        <w:ind w:firstLine="480" w:firstLineChars="200"/>
        <w:rPr>
          <w:rFonts w:hint="eastAsia" w:ascii="宋体" w:hAnsi="宋体"/>
          <w:bCs/>
          <w:sz w:val="24"/>
        </w:rPr>
      </w:pPr>
      <w:r>
        <w:rPr>
          <w:rFonts w:hint="eastAsia" w:ascii="宋体" w:hAnsi="宋体"/>
          <w:sz w:val="24"/>
        </w:rPr>
        <w:t>2.中标或者成交供应商拒绝与采购人签订合同的，采购人可以按照评审报告推荐的中标或者成交候选人名单排序，确定下一候选人为中标或者成交供应商，也可</w:t>
      </w:r>
      <w:r>
        <w:rPr>
          <w:rFonts w:hint="eastAsia" w:ascii="宋体" w:hAnsi="宋体"/>
          <w:bCs/>
          <w:sz w:val="24"/>
        </w:rPr>
        <w:t>以重新开展政府采购活动。拒绝签订政府采购合同的成交供应商不得参加对该项目重新开展的采购活动。</w:t>
      </w:r>
    </w:p>
    <w:p>
      <w:pPr>
        <w:spacing w:line="400" w:lineRule="exact"/>
        <w:ind w:firstLine="482" w:firstLineChars="200"/>
        <w:rPr>
          <w:rFonts w:ascii="宋体" w:hAnsi="宋体"/>
          <w:b/>
          <w:sz w:val="24"/>
        </w:rPr>
      </w:pPr>
      <w:r>
        <w:rPr>
          <w:rFonts w:hint="eastAsia" w:ascii="宋体" w:hAnsi="宋体"/>
          <w:b/>
          <w:sz w:val="24"/>
        </w:rPr>
        <w:t>（二）履约保证金</w:t>
      </w:r>
    </w:p>
    <w:p>
      <w:pPr>
        <w:spacing w:line="400" w:lineRule="exact"/>
        <w:ind w:firstLine="480" w:firstLineChars="200"/>
        <w:rPr>
          <w:rFonts w:hint="eastAsia" w:hAnsi="宋体"/>
          <w:color w:val="000000"/>
          <w:sz w:val="24"/>
        </w:rPr>
      </w:pPr>
      <w:r>
        <w:rPr>
          <w:rFonts w:hint="eastAsia" w:ascii="宋体" w:hAnsi="宋体"/>
          <w:bCs/>
          <w:sz w:val="24"/>
        </w:rPr>
        <w:t>1.签订合同前，中标人应根据招标文件确定的履约保证金的金额，交纳履约保证金：①采用网上银行转帐、电汇、汇票缴纳履约保证金的，履约保证金必须通过</w:t>
      </w:r>
      <w:r>
        <w:rPr>
          <w:rFonts w:hint="eastAsia"/>
          <w:bCs/>
          <w:sz w:val="24"/>
        </w:rPr>
        <w:t>投标人在临海市公共资源交易中心后台注册的银行账号汇入，否则无法达账（开户名：临海市公共资源交易中心，开户行：</w:t>
      </w:r>
      <w:r>
        <w:rPr>
          <w:rFonts w:hint="eastAsia"/>
          <w:sz w:val="24"/>
        </w:rPr>
        <w:t>浙江临海农村商业银行股份有限公司凯歌支行，账号：201000102293922000003。财务咨询电话：0576-85280673）。</w:t>
      </w:r>
      <w:r>
        <w:rPr>
          <w:rFonts w:hint="eastAsia"/>
          <w:sz w:val="24"/>
        </w:rPr>
        <w:br w:type="textWrapping"/>
      </w:r>
      <w:r>
        <w:rPr>
          <w:rFonts w:hint="eastAsia" w:hAnsi="宋体" w:cs="宋体"/>
          <w:sz w:val="24"/>
        </w:rPr>
        <w:t>②</w:t>
      </w:r>
      <w:r>
        <w:rPr>
          <w:rFonts w:hint="eastAsia"/>
          <w:sz w:val="24"/>
        </w:rPr>
        <w:t>采用银行、保险公司出具的保函形式提交履约保证金的，中标人将保函原件提交给采购人保管，采购人提供3份加盖公章或</w:t>
      </w:r>
      <w:r>
        <w:rPr>
          <w:sz w:val="24"/>
        </w:rPr>
        <w:t>“</w:t>
      </w:r>
      <w:r>
        <w:rPr>
          <w:rFonts w:hint="eastAsia"/>
          <w:sz w:val="24"/>
        </w:rPr>
        <w:t>原件收讫</w:t>
      </w:r>
      <w:r>
        <w:rPr>
          <w:sz w:val="24"/>
        </w:rPr>
        <w:t>”</w:t>
      </w:r>
      <w:r>
        <w:rPr>
          <w:rFonts w:hint="eastAsia"/>
          <w:sz w:val="24"/>
        </w:rPr>
        <w:t>证明印章的保函复印件给中标人，中标人或采购代理机构将经采购人确认的保函复印件提交到临海市公共资源交易中心财务窗口登记存档（地址：临海市行政服务中心一楼B区大厅）。</w:t>
      </w:r>
      <w:r>
        <w:rPr>
          <w:rFonts w:hint="eastAsia"/>
          <w:sz w:val="24"/>
        </w:rPr>
        <w:br w:type="textWrapping"/>
      </w:r>
      <w:r>
        <w:rPr>
          <w:rFonts w:hint="eastAsia"/>
          <w:sz w:val="24"/>
        </w:rPr>
        <w:t xml:space="preserve">  2.签订合同后，如中标人不按双方合同约定履约，则其履约保证金将予以扣罚，履约保证金不足以赔偿损失的，按实际损失赔偿。</w:t>
      </w:r>
      <w:r>
        <w:rPr>
          <w:rFonts w:hint="eastAsia"/>
          <w:sz w:val="24"/>
        </w:rPr>
        <w:br w:type="textWrapping"/>
      </w:r>
      <w:r>
        <w:rPr>
          <w:rFonts w:hint="eastAsia"/>
          <w:sz w:val="24"/>
        </w:rPr>
        <w:t xml:space="preserve">  3.履约保证金在中标人履行合同义务后且经验收合格，凭《临海市政府采购验收单》向临海市公共资源交易中心无息退还。</w:t>
      </w:r>
      <w:r>
        <w:rPr>
          <w:rFonts w:hint="eastAsia" w:hAnsi="宋体"/>
          <w:color w:val="000000"/>
          <w:sz w:val="24"/>
        </w:rPr>
        <w:t xml:space="preserve"> </w:t>
      </w:r>
      <w:bookmarkStart w:id="49" w:name="_Toc466534750"/>
    </w:p>
    <w:p>
      <w:pPr>
        <w:spacing w:line="420" w:lineRule="exact"/>
        <w:ind w:firstLine="480" w:firstLineChars="200"/>
        <w:rPr>
          <w:rFonts w:hint="eastAsia" w:hAnsi="宋体"/>
          <w:color w:val="000000"/>
          <w:sz w:val="24"/>
        </w:rPr>
      </w:pPr>
    </w:p>
    <w:p>
      <w:pPr>
        <w:spacing w:line="420" w:lineRule="exact"/>
        <w:ind w:firstLine="480" w:firstLineChars="200"/>
        <w:rPr>
          <w:rFonts w:hint="eastAsia" w:hAnsi="宋体"/>
          <w:color w:val="000000"/>
          <w:sz w:val="24"/>
        </w:rPr>
      </w:pPr>
    </w:p>
    <w:p>
      <w:pPr>
        <w:spacing w:line="420" w:lineRule="exact"/>
        <w:ind w:firstLine="480" w:firstLineChars="200"/>
        <w:rPr>
          <w:rFonts w:hint="eastAsia" w:hAnsi="宋体"/>
          <w:color w:val="000000"/>
          <w:sz w:val="24"/>
        </w:rPr>
      </w:pPr>
    </w:p>
    <w:p>
      <w:pPr>
        <w:spacing w:line="420" w:lineRule="exact"/>
        <w:ind w:firstLine="480" w:firstLineChars="200"/>
        <w:rPr>
          <w:rFonts w:hint="eastAsia" w:hAnsi="宋体"/>
          <w:color w:val="000000"/>
          <w:sz w:val="24"/>
        </w:rPr>
      </w:pPr>
    </w:p>
    <w:p>
      <w:pPr>
        <w:spacing w:line="420" w:lineRule="exact"/>
        <w:ind w:firstLine="480" w:firstLineChars="200"/>
        <w:rPr>
          <w:rFonts w:hint="eastAsia" w:hAnsi="宋体"/>
          <w:color w:val="000000"/>
          <w:sz w:val="24"/>
        </w:rPr>
      </w:pPr>
    </w:p>
    <w:p>
      <w:pPr>
        <w:spacing w:line="420" w:lineRule="exact"/>
        <w:ind w:firstLine="480" w:firstLineChars="200"/>
        <w:rPr>
          <w:rFonts w:hint="eastAsia" w:hAnsi="宋体"/>
          <w:color w:val="000000"/>
          <w:sz w:val="24"/>
        </w:rPr>
      </w:pPr>
    </w:p>
    <w:p>
      <w:pPr>
        <w:spacing w:line="420" w:lineRule="exact"/>
        <w:ind w:firstLine="480" w:firstLineChars="200"/>
        <w:rPr>
          <w:rFonts w:hint="eastAsia" w:hAnsi="宋体"/>
          <w:color w:val="000000"/>
          <w:sz w:val="24"/>
        </w:rPr>
      </w:pPr>
    </w:p>
    <w:p>
      <w:pPr>
        <w:spacing w:line="420" w:lineRule="exact"/>
        <w:ind w:firstLine="480" w:firstLineChars="200"/>
        <w:rPr>
          <w:rFonts w:hint="eastAsia" w:hAnsi="宋体"/>
          <w:color w:val="000000"/>
          <w:sz w:val="24"/>
        </w:rPr>
      </w:pPr>
    </w:p>
    <w:p>
      <w:pPr>
        <w:spacing w:line="420" w:lineRule="exact"/>
        <w:ind w:firstLine="480" w:firstLineChars="200"/>
        <w:rPr>
          <w:rFonts w:hint="eastAsia" w:hAnsi="宋体"/>
          <w:color w:val="000000"/>
          <w:sz w:val="24"/>
        </w:rPr>
      </w:pPr>
    </w:p>
    <w:p>
      <w:pPr>
        <w:spacing w:line="420" w:lineRule="exact"/>
        <w:ind w:firstLine="480" w:firstLineChars="200"/>
        <w:rPr>
          <w:rFonts w:hint="eastAsia" w:hAnsi="宋体"/>
          <w:color w:val="000000"/>
          <w:sz w:val="24"/>
        </w:rPr>
      </w:pPr>
    </w:p>
    <w:p>
      <w:pPr>
        <w:spacing w:line="420" w:lineRule="exact"/>
        <w:ind w:firstLine="480" w:firstLineChars="200"/>
        <w:rPr>
          <w:rFonts w:hint="eastAsia" w:hAnsi="宋体"/>
          <w:color w:val="000000"/>
          <w:sz w:val="24"/>
        </w:rPr>
      </w:pPr>
    </w:p>
    <w:p>
      <w:pPr>
        <w:spacing w:line="420" w:lineRule="exact"/>
        <w:ind w:firstLine="480" w:firstLineChars="200"/>
        <w:rPr>
          <w:rFonts w:hint="eastAsia" w:hAnsi="宋体"/>
          <w:color w:val="000000"/>
          <w:sz w:val="24"/>
        </w:rPr>
      </w:pPr>
    </w:p>
    <w:p>
      <w:pPr>
        <w:spacing w:line="420" w:lineRule="exact"/>
        <w:ind w:firstLine="480" w:firstLineChars="200"/>
        <w:rPr>
          <w:rFonts w:hint="eastAsia" w:hAnsi="宋体"/>
          <w:color w:val="000000"/>
          <w:sz w:val="24"/>
        </w:rPr>
      </w:pPr>
    </w:p>
    <w:p>
      <w:pPr>
        <w:spacing w:line="420" w:lineRule="exact"/>
        <w:ind w:firstLine="480" w:firstLineChars="200"/>
        <w:rPr>
          <w:rFonts w:hint="eastAsia" w:hAnsi="宋体"/>
          <w:color w:val="000000"/>
          <w:sz w:val="24"/>
        </w:rPr>
      </w:pPr>
    </w:p>
    <w:p>
      <w:pPr>
        <w:spacing w:beforeLines="50" w:afterLines="50" w:line="400" w:lineRule="exact"/>
        <w:jc w:val="center"/>
        <w:outlineLvl w:val="0"/>
        <w:rPr>
          <w:rFonts w:hint="eastAsia" w:ascii="宋体" w:hAnsi="宋体"/>
          <w:b/>
          <w:color w:val="000000"/>
          <w:sz w:val="30"/>
          <w:szCs w:val="30"/>
        </w:rPr>
      </w:pPr>
      <w:r>
        <w:rPr>
          <w:rFonts w:hint="eastAsia" w:ascii="宋体" w:hAnsi="宋体"/>
          <w:b/>
          <w:color w:val="000000"/>
          <w:sz w:val="30"/>
          <w:szCs w:val="30"/>
        </w:rPr>
        <w:t>第四章 评标办法及评分标准</w:t>
      </w:r>
      <w:bookmarkEnd w:id="49"/>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ascii="宋体" w:hAnsi="宋体"/>
          <w:color w:val="000000"/>
          <w:sz w:val="24"/>
        </w:rPr>
      </w:pPr>
      <w:r>
        <w:rPr>
          <w:rFonts w:hint="eastAsia" w:ascii="宋体" w:hAnsi="宋体"/>
          <w:color w:val="000000"/>
          <w:sz w:val="24"/>
        </w:rPr>
        <w:t>为公正、公平、科学地选择中标人，根据《中华人民共和国政府采购法》等有关法律法规的规定，并结合本项目的实际，制定本办法。</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ascii="宋体" w:hAnsi="宋体"/>
          <w:bCs/>
          <w:color w:val="000000"/>
          <w:sz w:val="24"/>
        </w:rPr>
      </w:pPr>
      <w:r>
        <w:rPr>
          <w:rFonts w:hint="eastAsia" w:ascii="宋体" w:hAnsi="宋体"/>
          <w:color w:val="000000"/>
          <w:sz w:val="24"/>
        </w:rPr>
        <w:t>本办法适用于本项目的</w:t>
      </w:r>
      <w:r>
        <w:rPr>
          <w:rFonts w:hint="eastAsia" w:ascii="宋体" w:hAnsi="宋体"/>
          <w:bCs/>
          <w:color w:val="000000"/>
          <w:sz w:val="24"/>
        </w:rPr>
        <w:t>评标。</w:t>
      </w:r>
    </w:p>
    <w:p>
      <w:pPr>
        <w:keepNext w:val="0"/>
        <w:keepLines w:val="0"/>
        <w:pageBreakBefore w:val="0"/>
        <w:widowControl w:val="0"/>
        <w:kinsoku/>
        <w:wordWrap/>
        <w:overflowPunct/>
        <w:topLinePunct w:val="0"/>
        <w:autoSpaceDE/>
        <w:autoSpaceDN/>
        <w:bidi w:val="0"/>
        <w:adjustRightInd/>
        <w:snapToGrid w:val="0"/>
        <w:spacing w:line="400" w:lineRule="exact"/>
        <w:ind w:firstLine="472" w:firstLineChars="196"/>
        <w:textAlignment w:val="auto"/>
        <w:rPr>
          <w:rFonts w:ascii="宋体" w:hAnsi="宋体"/>
          <w:b/>
          <w:color w:val="000000"/>
          <w:sz w:val="24"/>
        </w:rPr>
      </w:pPr>
      <w:r>
        <w:rPr>
          <w:rFonts w:hint="eastAsia" w:ascii="宋体" w:hAnsi="宋体"/>
          <w:b/>
          <w:color w:val="000000"/>
          <w:sz w:val="24"/>
        </w:rPr>
        <w:t>一、总则</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000000"/>
          <w:sz w:val="24"/>
        </w:rPr>
      </w:pPr>
      <w:r>
        <w:rPr>
          <w:rFonts w:hint="eastAsia" w:ascii="宋体" w:hAnsi="宋体"/>
          <w:color w:val="000000"/>
          <w:sz w:val="24"/>
        </w:rPr>
        <w:t>本次评标采用综合评分法，总分为100分，其</w:t>
      </w:r>
      <w:r>
        <w:rPr>
          <w:rFonts w:hint="eastAsia" w:ascii="宋体" w:hAnsi="宋体"/>
          <w:sz w:val="24"/>
        </w:rPr>
        <w:t>中</w:t>
      </w:r>
      <w:r>
        <w:rPr>
          <w:rFonts w:hint="eastAsia" w:ascii="宋体" w:hAnsi="宋体"/>
          <w:b/>
          <w:bCs/>
          <w:sz w:val="24"/>
        </w:rPr>
        <w:t>价格分30分、商务技术分70</w:t>
      </w:r>
      <w:r>
        <w:rPr>
          <w:rFonts w:hint="eastAsia" w:ascii="宋体" w:hAnsi="宋体"/>
          <w:sz w:val="24"/>
        </w:rPr>
        <w:t>分</w:t>
      </w:r>
      <w:r>
        <w:rPr>
          <w:rFonts w:hint="eastAsia" w:ascii="宋体" w:hAnsi="宋体"/>
          <w:color w:val="000000"/>
          <w:sz w:val="24"/>
        </w:rPr>
        <w:t>两部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w:t>
      </w:r>
      <w:r>
        <w:rPr>
          <w:rFonts w:hint="eastAsia" w:ascii="宋体" w:hAnsi="宋体"/>
          <w:bCs/>
          <w:color w:val="000000"/>
          <w:sz w:val="24"/>
        </w:rPr>
        <w:t>评分过程中采用四舍五入法，并保留小数2位。</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ascii="宋体" w:hAnsi="宋体"/>
          <w:sz w:val="24"/>
        </w:rPr>
      </w:pPr>
      <w:r>
        <w:rPr>
          <w:rFonts w:ascii="宋体" w:hAnsi="宋体"/>
          <w:b/>
          <w:bCs/>
          <w:color w:val="FF0000"/>
          <w:sz w:val="24"/>
        </w:rPr>
        <w:t>节能环保产品，不发达地区、少数民族地区、</w:t>
      </w:r>
      <w:r>
        <w:rPr>
          <w:rFonts w:hint="eastAsia" w:ascii="宋体" w:hAnsi="宋体"/>
          <w:b/>
          <w:bCs/>
          <w:color w:val="FF0000"/>
          <w:sz w:val="24"/>
        </w:rPr>
        <w:t>监狱企业、残疾人企业、制造精品</w:t>
      </w:r>
      <w:r>
        <w:rPr>
          <w:rFonts w:ascii="宋体" w:hAnsi="宋体"/>
          <w:b/>
          <w:bCs/>
          <w:color w:val="FF0000"/>
          <w:sz w:val="24"/>
        </w:rPr>
        <w:t>产品</w:t>
      </w:r>
      <w:r>
        <w:rPr>
          <w:rFonts w:hint="eastAsia" w:ascii="宋体" w:hAnsi="宋体"/>
          <w:b/>
          <w:bCs/>
          <w:color w:val="FF0000"/>
          <w:sz w:val="24"/>
        </w:rPr>
        <w:t>的政府采购优惠政策按相关文件规定执行</w:t>
      </w:r>
      <w:r>
        <w:rPr>
          <w:rFonts w:ascii="宋体" w:hAnsi="宋体"/>
          <w:b/>
          <w:bCs/>
          <w:color w:val="FF0000"/>
          <w:sz w:val="24"/>
        </w:rPr>
        <w:t>。</w:t>
      </w:r>
      <w:r>
        <w:rPr>
          <w:rFonts w:hint="eastAsia" w:ascii="宋体" w:hAnsi="宋体"/>
          <w:sz w:val="24"/>
        </w:rPr>
        <w:t>投标人提供的产品如为</w:t>
      </w:r>
      <w:r>
        <w:rPr>
          <w:rFonts w:hint="eastAsia" w:ascii="宋体" w:hAnsi="宋体"/>
          <w:b/>
          <w:bCs/>
          <w:sz w:val="24"/>
        </w:rPr>
        <w:t>首台套产品的，业绩分为满分。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sz w:val="24"/>
        </w:rPr>
      </w:pPr>
      <w:r>
        <w:rPr>
          <w:rFonts w:hint="eastAsia" w:ascii="宋体" w:hAnsi="宋体"/>
          <w:sz w:val="24"/>
        </w:rPr>
        <w:t>投标人评标</w:t>
      </w:r>
      <w:r>
        <w:rPr>
          <w:rFonts w:hint="eastAsia" w:ascii="宋体" w:hAnsi="宋体"/>
          <w:bCs/>
          <w:sz w:val="24"/>
        </w:rPr>
        <w:t>综合得分=价格分+商务技术分</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
          <w:color w:val="000000"/>
          <w:sz w:val="24"/>
        </w:rPr>
      </w:pPr>
      <w:r>
        <w:rPr>
          <w:rFonts w:hint="eastAsia" w:ascii="宋体" w:hAnsi="宋体"/>
          <w:b/>
          <w:color w:val="000000"/>
          <w:sz w:val="24"/>
        </w:rPr>
        <w:t>二、评标内容及标准</w:t>
      </w:r>
    </w:p>
    <w:p>
      <w:pPr>
        <w:pStyle w:val="21"/>
        <w:keepNext w:val="0"/>
        <w:keepLines w:val="0"/>
        <w:pageBreakBefore w:val="0"/>
        <w:widowControl w:val="0"/>
        <w:kinsoku/>
        <w:wordWrap/>
        <w:overflowPunct/>
        <w:topLinePunct w:val="0"/>
        <w:autoSpaceDE/>
        <w:autoSpaceDN/>
        <w:bidi w:val="0"/>
        <w:adjustRightInd/>
        <w:snapToGrid w:val="0"/>
        <w:spacing w:line="400" w:lineRule="exact"/>
        <w:ind w:firstLine="466" w:firstLineChars="200"/>
        <w:textAlignment w:val="auto"/>
        <w:rPr>
          <w:rFonts w:hAnsi="宋体"/>
          <w:b/>
          <w:bCs/>
          <w:sz w:val="24"/>
          <w:szCs w:val="24"/>
        </w:rPr>
      </w:pPr>
      <w:r>
        <w:rPr>
          <w:rFonts w:hint="eastAsia" w:hAnsi="宋体"/>
          <w:b/>
          <w:color w:val="000000"/>
          <w:sz w:val="24"/>
          <w:szCs w:val="24"/>
        </w:rPr>
        <w:t>（一）</w:t>
      </w:r>
      <w:r>
        <w:rPr>
          <w:rFonts w:hint="eastAsia" w:hAnsi="宋体"/>
          <w:b/>
          <w:bCs/>
          <w:color w:val="000000"/>
          <w:sz w:val="24"/>
          <w:szCs w:val="24"/>
        </w:rPr>
        <w:t>价格分（30</w:t>
      </w:r>
      <w:r>
        <w:rPr>
          <w:rFonts w:hint="eastAsia" w:hAnsi="宋体"/>
          <w:b/>
          <w:spacing w:val="0"/>
          <w:sz w:val="24"/>
          <w:szCs w:val="24"/>
        </w:rPr>
        <w:t>分</w:t>
      </w:r>
      <w:r>
        <w:rPr>
          <w:rFonts w:hint="eastAsia" w:hAnsi="宋体"/>
          <w:b/>
          <w:bCs/>
          <w:sz w:val="24"/>
          <w:szCs w:val="24"/>
        </w:rPr>
        <w:t>）</w:t>
      </w:r>
    </w:p>
    <w:p>
      <w:pPr>
        <w:pStyle w:val="21"/>
        <w:keepNext w:val="0"/>
        <w:keepLines w:val="0"/>
        <w:pageBreakBefore w:val="0"/>
        <w:widowControl w:val="0"/>
        <w:kinsoku/>
        <w:wordWrap/>
        <w:overflowPunct/>
        <w:topLinePunct w:val="0"/>
        <w:autoSpaceDE/>
        <w:autoSpaceDN/>
        <w:bidi w:val="0"/>
        <w:adjustRightInd/>
        <w:snapToGrid w:val="0"/>
        <w:spacing w:line="400" w:lineRule="exact"/>
        <w:ind w:firstLine="464" w:firstLineChars="200"/>
        <w:textAlignment w:val="auto"/>
        <w:rPr>
          <w:rFonts w:hAnsi="宋体"/>
          <w:bCs/>
          <w:sz w:val="24"/>
          <w:szCs w:val="24"/>
        </w:rPr>
      </w:pPr>
      <w:r>
        <w:rPr>
          <w:rFonts w:hint="eastAsia" w:hAnsi="宋体"/>
          <w:bCs/>
          <w:sz w:val="24"/>
          <w:szCs w:val="24"/>
        </w:rPr>
        <w:t>1.价格分采用低价优先法计算，即满足招标文件要求且投标价格最低的投标报价为评标基准价，其他投标人的价格分按照下列公式计算：</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000000"/>
          <w:sz w:val="24"/>
        </w:rPr>
      </w:pPr>
      <w:r>
        <w:rPr>
          <w:rFonts w:hint="eastAsia" w:ascii="宋体" w:hAnsi="宋体"/>
          <w:sz w:val="24"/>
        </w:rPr>
        <w:t>价格分=（评标基准价/投标报价）×30%×</w:t>
      </w:r>
      <w:r>
        <w:rPr>
          <w:rFonts w:hint="eastAsia" w:ascii="宋体" w:hAnsi="宋体"/>
          <w:color w:val="000000"/>
          <w:sz w:val="24"/>
        </w:rPr>
        <w:t>100</w:t>
      </w:r>
    </w:p>
    <w:p>
      <w:pPr>
        <w:pStyle w:val="21"/>
        <w:keepNext w:val="0"/>
        <w:keepLines w:val="0"/>
        <w:pageBreakBefore w:val="0"/>
        <w:widowControl w:val="0"/>
        <w:kinsoku/>
        <w:wordWrap/>
        <w:overflowPunct/>
        <w:topLinePunct w:val="0"/>
        <w:autoSpaceDE/>
        <w:autoSpaceDN/>
        <w:bidi w:val="0"/>
        <w:adjustRightInd/>
        <w:snapToGrid w:val="0"/>
        <w:spacing w:line="400" w:lineRule="exact"/>
        <w:ind w:firstLine="466" w:firstLineChars="200"/>
        <w:textAlignment w:val="auto"/>
        <w:rPr>
          <w:rFonts w:hAnsi="宋体"/>
          <w:b/>
          <w:bCs/>
          <w:sz w:val="24"/>
          <w:szCs w:val="24"/>
          <w:u w:val="single"/>
          <w:shd w:val="pct10" w:color="auto" w:fill="FFFFFF"/>
        </w:rPr>
      </w:pPr>
      <w:r>
        <w:rPr>
          <w:rFonts w:hint="eastAsia" w:hAnsi="宋体"/>
          <w:b/>
          <w:bCs/>
          <w:sz w:val="24"/>
          <w:szCs w:val="24"/>
          <w:u w:val="single"/>
          <w:shd w:val="pct10" w:color="auto" w:fill="FFFFFF"/>
        </w:rPr>
        <w:t>评标委员会根据投标人提供的资料综合评判后确认是否给予投标人报价6%的小微企业优惠扣除，用扣除后的价格参加评审。</w:t>
      </w:r>
    </w:p>
    <w:p>
      <w:pPr>
        <w:pStyle w:val="21"/>
        <w:keepNext w:val="0"/>
        <w:keepLines w:val="0"/>
        <w:pageBreakBefore w:val="0"/>
        <w:widowControl w:val="0"/>
        <w:kinsoku/>
        <w:wordWrap/>
        <w:overflowPunct/>
        <w:topLinePunct w:val="0"/>
        <w:autoSpaceDE/>
        <w:autoSpaceDN/>
        <w:bidi w:val="0"/>
        <w:adjustRightInd/>
        <w:snapToGrid w:val="0"/>
        <w:spacing w:line="400" w:lineRule="exact"/>
        <w:ind w:firstLine="466" w:firstLineChars="200"/>
        <w:textAlignment w:val="auto"/>
        <w:rPr>
          <w:rFonts w:hint="eastAsia" w:hAnsi="宋体"/>
          <w:b/>
          <w:bCs/>
          <w:color w:val="FF0000"/>
          <w:sz w:val="24"/>
          <w:szCs w:val="24"/>
          <w:u w:val="single"/>
          <w:shd w:val="pct10" w:color="auto" w:fill="FFFFFF"/>
        </w:rPr>
      </w:pPr>
      <w:r>
        <w:rPr>
          <w:rFonts w:hint="eastAsia" w:hAnsi="宋体"/>
          <w:b/>
          <w:bCs/>
          <w:color w:val="FF0000"/>
          <w:sz w:val="24"/>
          <w:szCs w:val="24"/>
          <w:u w:val="single"/>
          <w:shd w:val="pct10" w:color="auto" w:fill="FFFFFF"/>
        </w:rPr>
        <w:t>根据《政府采购货物和服务招标投标管理办法》（财政部令第87号）第六十条之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1"/>
        <w:keepNext w:val="0"/>
        <w:keepLines w:val="0"/>
        <w:pageBreakBefore w:val="0"/>
        <w:widowControl w:val="0"/>
        <w:kinsoku/>
        <w:wordWrap/>
        <w:overflowPunct/>
        <w:topLinePunct w:val="0"/>
        <w:autoSpaceDE/>
        <w:autoSpaceDN/>
        <w:bidi w:val="0"/>
        <w:adjustRightInd/>
        <w:snapToGrid w:val="0"/>
        <w:spacing w:line="400" w:lineRule="exact"/>
        <w:ind w:firstLine="466" w:firstLineChars="200"/>
        <w:textAlignment w:val="auto"/>
        <w:rPr>
          <w:rFonts w:hint="eastAsia" w:hAnsi="宋体"/>
          <w:b/>
          <w:bCs/>
          <w:color w:val="FF0000"/>
          <w:sz w:val="24"/>
          <w:szCs w:val="24"/>
          <w:u w:val="single"/>
          <w:shd w:val="pct10" w:color="auto" w:fill="FFFFFF"/>
        </w:rPr>
      </w:pPr>
      <w:r>
        <w:rPr>
          <w:rFonts w:hint="eastAsia" w:hAnsi="宋体"/>
          <w:b/>
          <w:bCs/>
          <w:color w:val="FF0000"/>
          <w:sz w:val="24"/>
          <w:szCs w:val="24"/>
          <w:u w:val="single"/>
          <w:shd w:val="pct10" w:color="auto" w:fill="FFFFFF"/>
        </w:rPr>
        <w:t>如本采购项目有投标人的报价明显低于其他通过符合性审查投标人的报价，有可能影响产品质量或者不能诚信履约的，评标委员会应当要求该投标人在评标现场合理的时间内提供书面说明，必要时提交相关证明材料（货物类：</w:t>
      </w:r>
      <w:bookmarkStart w:id="50" w:name="_Hlk80007663"/>
      <w:r>
        <w:rPr>
          <w:rFonts w:hint="eastAsia" w:hAnsi="宋体"/>
          <w:b/>
          <w:bCs/>
          <w:color w:val="FF0000"/>
          <w:sz w:val="24"/>
          <w:szCs w:val="24"/>
          <w:u w:val="single"/>
          <w:shd w:val="pct10" w:color="auto" w:fill="FFFFFF"/>
        </w:rPr>
        <w:t>包括但不限于：提供包含本次采购设备报价清单的合同、提供包含本次采购设备的购买发票、购销合同等资料；</w:t>
      </w:r>
      <w:bookmarkEnd w:id="50"/>
      <w:r>
        <w:rPr>
          <w:rFonts w:hint="eastAsia" w:hAnsi="宋体"/>
          <w:b/>
          <w:bCs/>
          <w:color w:val="FF0000"/>
          <w:sz w:val="24"/>
          <w:szCs w:val="24"/>
          <w:u w:val="single"/>
          <w:shd w:val="pct10" w:color="auto" w:fill="FFFFFF"/>
        </w:rPr>
        <w:t>服务类：包括但不限于：提供包含</w:t>
      </w:r>
      <w:bookmarkStart w:id="51" w:name="_Hlk80007879"/>
      <w:r>
        <w:rPr>
          <w:rFonts w:hint="eastAsia" w:hAnsi="宋体"/>
          <w:b/>
          <w:bCs/>
          <w:color w:val="FF0000"/>
          <w:sz w:val="24"/>
          <w:szCs w:val="24"/>
          <w:u w:val="single"/>
          <w:shd w:val="pct10" w:color="auto" w:fill="FFFFFF"/>
        </w:rPr>
        <w:t>本次采购服务内容的</w:t>
      </w:r>
      <w:bookmarkEnd w:id="51"/>
      <w:r>
        <w:rPr>
          <w:rFonts w:hint="eastAsia" w:hAnsi="宋体"/>
          <w:b/>
          <w:bCs/>
          <w:color w:val="FF0000"/>
          <w:sz w:val="24"/>
          <w:szCs w:val="24"/>
          <w:u w:val="single"/>
          <w:shd w:val="pct10" w:color="auto" w:fill="FFFFFF"/>
        </w:rPr>
        <w:t>合同、提供本次采购服务内容的报价测算清单等资料）。投标人如不能提供相关证明材料证明其报价合理性的，或未在评标现场合理的时间内提供相关证明材料的，评标委员会应当将其作为无效投标处理。</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b/>
          <w:color w:val="000000"/>
          <w:sz w:val="24"/>
        </w:rPr>
      </w:pPr>
      <w:r>
        <w:rPr>
          <w:rFonts w:hint="eastAsia" w:ascii="宋体" w:hAnsi="宋体"/>
          <w:b/>
          <w:bCs/>
          <w:color w:val="000000"/>
          <w:sz w:val="24"/>
        </w:rPr>
        <w:t>（二）商务</w:t>
      </w:r>
      <w:r>
        <w:rPr>
          <w:rFonts w:hint="eastAsia" w:ascii="宋体" w:hAnsi="宋体"/>
          <w:b/>
          <w:color w:val="000000"/>
          <w:sz w:val="24"/>
        </w:rPr>
        <w:t>技术分（70</w:t>
      </w:r>
      <w:r>
        <w:rPr>
          <w:rFonts w:hint="eastAsia" w:ascii="宋体" w:hAnsi="宋体"/>
          <w:b/>
          <w:sz w:val="24"/>
        </w:rPr>
        <w:t>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hAnsi="宋体"/>
          <w:color w:val="000000"/>
          <w:sz w:val="24"/>
          <w:lang w:val="zh-CN"/>
        </w:rPr>
      </w:pPr>
      <w:r>
        <w:rPr>
          <w:rFonts w:hint="eastAsia" w:hAnsi="宋体"/>
          <w:color w:val="000000"/>
          <w:sz w:val="24"/>
          <w:lang w:val="zh-CN"/>
        </w:rPr>
        <w:t>评标委员会对通过符合性审查的投标人的投标技术参数或方案充分审核后，进行综合评定独立打分。</w:t>
      </w:r>
    </w:p>
    <w:tbl>
      <w:tblPr>
        <w:tblStyle w:val="48"/>
        <w:tblW w:w="0" w:type="auto"/>
        <w:tblInd w:w="98" w:type="dxa"/>
        <w:tblLayout w:type="fixed"/>
        <w:tblCellMar>
          <w:top w:w="0" w:type="dxa"/>
          <w:left w:w="108" w:type="dxa"/>
          <w:bottom w:w="0" w:type="dxa"/>
          <w:right w:w="108" w:type="dxa"/>
        </w:tblCellMar>
      </w:tblPr>
      <w:tblGrid>
        <w:gridCol w:w="469"/>
        <w:gridCol w:w="681"/>
        <w:gridCol w:w="7228"/>
        <w:gridCol w:w="470"/>
      </w:tblGrid>
      <w:tr>
        <w:tblPrEx>
          <w:tblCellMar>
            <w:top w:w="0" w:type="dxa"/>
            <w:left w:w="108" w:type="dxa"/>
            <w:bottom w:w="0" w:type="dxa"/>
            <w:right w:w="108" w:type="dxa"/>
          </w:tblCellMar>
        </w:tblPrEx>
        <w:trPr>
          <w:trHeight w:val="285" w:hRule="atLeast"/>
        </w:trPr>
        <w:tc>
          <w:tcPr>
            <w:tcW w:w="46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序号</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评审项目</w:t>
            </w:r>
          </w:p>
        </w:tc>
        <w:tc>
          <w:tcPr>
            <w:tcW w:w="7228"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评分细则</w:t>
            </w:r>
          </w:p>
        </w:tc>
        <w:tc>
          <w:tcPr>
            <w:tcW w:w="47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分值</w:t>
            </w:r>
          </w:p>
        </w:tc>
      </w:tr>
      <w:tr>
        <w:tblPrEx>
          <w:tblCellMar>
            <w:top w:w="0" w:type="dxa"/>
            <w:left w:w="108" w:type="dxa"/>
            <w:bottom w:w="0" w:type="dxa"/>
            <w:right w:w="108" w:type="dxa"/>
          </w:tblCellMar>
        </w:tblPrEx>
        <w:trPr>
          <w:trHeight w:val="616" w:hRule="atLeast"/>
        </w:trPr>
        <w:tc>
          <w:tcPr>
            <w:tcW w:w="46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综合实力</w:t>
            </w:r>
          </w:p>
        </w:tc>
        <w:tc>
          <w:tcPr>
            <w:tcW w:w="7228" w:type="dxa"/>
            <w:tcBorders>
              <w:top w:val="single" w:color="000000" w:sz="8" w:space="0"/>
              <w:left w:val="single" w:color="000000" w:sz="8" w:space="0"/>
              <w:bottom w:val="single" w:color="000000" w:sz="8" w:space="0"/>
              <w:right w:val="single" w:color="000000" w:sz="8" w:space="0"/>
            </w:tcBorders>
            <w:noWrap w:val="0"/>
            <w:vAlign w:val="center"/>
          </w:tcPr>
          <w:p>
            <w:pPr>
              <w:widowControl/>
              <w:jc w:val="both"/>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根据投标人的企业综合实力、资信、荣誉等情况进行打分（0-3分）</w:t>
            </w:r>
          </w:p>
          <w:p>
            <w:pPr>
              <w:widowControl/>
              <w:jc w:val="both"/>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注：投标人可自行提供相应证书扫描件。</w:t>
            </w:r>
          </w:p>
        </w:tc>
        <w:tc>
          <w:tcPr>
            <w:tcW w:w="47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3</w:t>
            </w:r>
          </w:p>
        </w:tc>
      </w:tr>
      <w:tr>
        <w:tblPrEx>
          <w:tblCellMar>
            <w:top w:w="0" w:type="dxa"/>
            <w:left w:w="108" w:type="dxa"/>
            <w:bottom w:w="0" w:type="dxa"/>
            <w:right w:w="108" w:type="dxa"/>
          </w:tblCellMar>
        </w:tblPrEx>
        <w:trPr>
          <w:trHeight w:val="543" w:hRule="atLeast"/>
        </w:trPr>
        <w:tc>
          <w:tcPr>
            <w:tcW w:w="46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68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需求理解与分析</w:t>
            </w:r>
          </w:p>
        </w:tc>
        <w:tc>
          <w:tcPr>
            <w:tcW w:w="7228" w:type="dxa"/>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投标人对项目现状及需求描述的全面、准确、具有针对性</w:t>
            </w:r>
            <w:r>
              <w:rPr>
                <w:rFonts w:hint="eastAsia" w:ascii="宋体" w:hAnsi="宋体" w:cs="宋体"/>
                <w:color w:val="000000"/>
                <w:kern w:val="0"/>
                <w:szCs w:val="21"/>
                <w:lang w:val="en-US" w:eastAsia="zh-CN" w:bidi="ar"/>
              </w:rPr>
              <w:t>进行打分</w:t>
            </w:r>
            <w:r>
              <w:rPr>
                <w:rFonts w:hint="eastAsia" w:ascii="宋体" w:hAnsi="宋体" w:cs="宋体"/>
                <w:color w:val="000000"/>
                <w:kern w:val="0"/>
                <w:szCs w:val="21"/>
                <w:lang w:bidi="ar"/>
              </w:rPr>
              <w:t>（0-</w:t>
            </w:r>
            <w:r>
              <w:rPr>
                <w:rFonts w:hint="eastAsia" w:ascii="宋体" w:hAnsi="宋体" w:cs="宋体"/>
                <w:color w:val="000000"/>
                <w:kern w:val="0"/>
                <w:szCs w:val="21"/>
                <w:lang w:val="en-US" w:eastAsia="zh-CN" w:bidi="ar"/>
              </w:rPr>
              <w:t>3</w:t>
            </w:r>
            <w:r>
              <w:rPr>
                <w:rFonts w:hint="eastAsia" w:ascii="宋体" w:hAnsi="宋体" w:cs="宋体"/>
                <w:color w:val="000000"/>
                <w:kern w:val="0"/>
                <w:szCs w:val="21"/>
                <w:lang w:bidi="ar"/>
              </w:rPr>
              <w:t>分）</w:t>
            </w:r>
          </w:p>
        </w:tc>
        <w:tc>
          <w:tcPr>
            <w:tcW w:w="47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3</w:t>
            </w:r>
          </w:p>
        </w:tc>
      </w:tr>
      <w:tr>
        <w:tblPrEx>
          <w:tblCellMar>
            <w:top w:w="0" w:type="dxa"/>
            <w:left w:w="108" w:type="dxa"/>
            <w:bottom w:w="0" w:type="dxa"/>
            <w:right w:w="108" w:type="dxa"/>
          </w:tblCellMar>
        </w:tblPrEx>
        <w:trPr>
          <w:trHeight w:val="682" w:hRule="atLeast"/>
        </w:trPr>
        <w:tc>
          <w:tcPr>
            <w:tcW w:w="46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68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Cs w:val="21"/>
              </w:rPr>
            </w:pPr>
          </w:p>
        </w:tc>
        <w:tc>
          <w:tcPr>
            <w:tcW w:w="7228" w:type="dxa"/>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根据对本项目的问题、难点、要点进行调查剖析，提出克服难点和要点技术措施，及合理化建议</w:t>
            </w:r>
            <w:r>
              <w:rPr>
                <w:rFonts w:hint="eastAsia" w:ascii="宋体" w:hAnsi="宋体" w:cs="宋体"/>
                <w:color w:val="000000"/>
                <w:kern w:val="0"/>
                <w:szCs w:val="21"/>
                <w:lang w:val="en-US" w:eastAsia="zh-CN" w:bidi="ar"/>
              </w:rPr>
              <w:t>进行打分</w:t>
            </w:r>
            <w:r>
              <w:rPr>
                <w:rFonts w:hint="eastAsia" w:ascii="宋体" w:hAnsi="宋体" w:cs="宋体"/>
                <w:color w:val="000000"/>
                <w:kern w:val="0"/>
                <w:szCs w:val="21"/>
                <w:lang w:bidi="ar"/>
              </w:rPr>
              <w:t>（0-</w:t>
            </w:r>
            <w:r>
              <w:rPr>
                <w:rFonts w:hint="eastAsia" w:ascii="宋体" w:hAnsi="宋体" w:cs="宋体"/>
                <w:color w:val="000000"/>
                <w:kern w:val="0"/>
                <w:szCs w:val="21"/>
                <w:lang w:val="en-US" w:eastAsia="zh-CN" w:bidi="ar"/>
              </w:rPr>
              <w:t>3</w:t>
            </w:r>
            <w:r>
              <w:rPr>
                <w:rFonts w:hint="eastAsia" w:ascii="宋体" w:hAnsi="宋体" w:cs="宋体"/>
                <w:color w:val="000000"/>
                <w:kern w:val="0"/>
                <w:szCs w:val="21"/>
                <w:lang w:bidi="ar"/>
              </w:rPr>
              <w:t>分）</w:t>
            </w:r>
          </w:p>
        </w:tc>
        <w:tc>
          <w:tcPr>
            <w:tcW w:w="47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3</w:t>
            </w:r>
          </w:p>
        </w:tc>
      </w:tr>
      <w:tr>
        <w:tblPrEx>
          <w:tblCellMar>
            <w:top w:w="0" w:type="dxa"/>
            <w:left w:w="108" w:type="dxa"/>
            <w:bottom w:w="0" w:type="dxa"/>
            <w:right w:w="108" w:type="dxa"/>
          </w:tblCellMar>
        </w:tblPrEx>
        <w:trPr>
          <w:trHeight w:val="639" w:hRule="atLeast"/>
        </w:trPr>
        <w:tc>
          <w:tcPr>
            <w:tcW w:w="46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68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技术方案</w:t>
            </w:r>
          </w:p>
        </w:tc>
        <w:tc>
          <w:tcPr>
            <w:tcW w:w="7228" w:type="dxa"/>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整体设计方案合理，内容全面详实，结合项目实际情况，可操作性</w:t>
            </w:r>
            <w:r>
              <w:rPr>
                <w:rFonts w:hint="eastAsia" w:ascii="宋体" w:hAnsi="宋体" w:cs="宋体"/>
                <w:color w:val="000000"/>
                <w:kern w:val="0"/>
                <w:szCs w:val="21"/>
                <w:lang w:val="en-US" w:eastAsia="zh-CN" w:bidi="ar"/>
              </w:rPr>
              <w:t>进行打分</w:t>
            </w:r>
            <w:r>
              <w:rPr>
                <w:rFonts w:hint="eastAsia" w:ascii="宋体" w:hAnsi="宋体" w:cs="宋体"/>
                <w:color w:val="000000"/>
                <w:kern w:val="0"/>
                <w:szCs w:val="21"/>
                <w:lang w:bidi="ar"/>
              </w:rPr>
              <w:t>（0-3分）</w:t>
            </w:r>
          </w:p>
        </w:tc>
        <w:tc>
          <w:tcPr>
            <w:tcW w:w="47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r>
      <w:tr>
        <w:tblPrEx>
          <w:tblCellMar>
            <w:top w:w="0" w:type="dxa"/>
            <w:left w:w="108" w:type="dxa"/>
            <w:bottom w:w="0" w:type="dxa"/>
            <w:right w:w="108" w:type="dxa"/>
          </w:tblCellMar>
        </w:tblPrEx>
        <w:trPr>
          <w:trHeight w:val="673" w:hRule="atLeast"/>
        </w:trPr>
        <w:tc>
          <w:tcPr>
            <w:tcW w:w="46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68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Cs w:val="21"/>
              </w:rPr>
            </w:pPr>
          </w:p>
        </w:tc>
        <w:tc>
          <w:tcPr>
            <w:tcW w:w="7228" w:type="dxa"/>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全域应用能力中心底座和社区微脑部分方案设计合理，内容全面详实，结合项目实际情况，可操作性</w:t>
            </w:r>
            <w:r>
              <w:rPr>
                <w:rFonts w:hint="eastAsia" w:ascii="宋体" w:hAnsi="宋体" w:cs="宋体"/>
                <w:color w:val="000000"/>
                <w:kern w:val="0"/>
                <w:szCs w:val="21"/>
                <w:lang w:val="en-US" w:eastAsia="zh-CN" w:bidi="ar"/>
              </w:rPr>
              <w:t>进行打分</w:t>
            </w:r>
            <w:r>
              <w:rPr>
                <w:rFonts w:hint="eastAsia" w:ascii="宋体" w:hAnsi="宋体" w:cs="宋体"/>
                <w:color w:val="000000"/>
                <w:kern w:val="0"/>
                <w:szCs w:val="21"/>
                <w:lang w:bidi="ar"/>
              </w:rPr>
              <w:t>（0-3分）</w:t>
            </w:r>
          </w:p>
        </w:tc>
        <w:tc>
          <w:tcPr>
            <w:tcW w:w="47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r>
      <w:tr>
        <w:tblPrEx>
          <w:tblCellMar>
            <w:top w:w="0" w:type="dxa"/>
            <w:left w:w="108" w:type="dxa"/>
            <w:bottom w:w="0" w:type="dxa"/>
            <w:right w:w="108" w:type="dxa"/>
          </w:tblCellMar>
        </w:tblPrEx>
        <w:trPr>
          <w:trHeight w:val="697" w:hRule="atLeast"/>
        </w:trPr>
        <w:tc>
          <w:tcPr>
            <w:tcW w:w="46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68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Cs w:val="21"/>
              </w:rPr>
            </w:pPr>
          </w:p>
        </w:tc>
        <w:tc>
          <w:tcPr>
            <w:tcW w:w="7228" w:type="dxa"/>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智慧服务系统部分方案设计合理，内容全面详实，结合项目实际情况，可操作性</w:t>
            </w:r>
            <w:r>
              <w:rPr>
                <w:rFonts w:hint="eastAsia" w:ascii="宋体" w:hAnsi="宋体" w:cs="宋体"/>
                <w:color w:val="000000"/>
                <w:kern w:val="0"/>
                <w:szCs w:val="21"/>
                <w:lang w:val="en-US" w:eastAsia="zh-CN" w:bidi="ar"/>
              </w:rPr>
              <w:t>进行打分</w:t>
            </w:r>
            <w:r>
              <w:rPr>
                <w:rFonts w:hint="eastAsia" w:ascii="宋体" w:hAnsi="宋体" w:cs="宋体"/>
                <w:color w:val="000000"/>
                <w:kern w:val="0"/>
                <w:szCs w:val="21"/>
                <w:lang w:bidi="ar"/>
              </w:rPr>
              <w:t>（0-2分）</w:t>
            </w:r>
          </w:p>
        </w:tc>
        <w:tc>
          <w:tcPr>
            <w:tcW w:w="47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720" w:hRule="atLeast"/>
        </w:trPr>
        <w:tc>
          <w:tcPr>
            <w:tcW w:w="46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68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设备性能</w:t>
            </w:r>
          </w:p>
        </w:tc>
        <w:tc>
          <w:tcPr>
            <w:tcW w:w="7228" w:type="dxa"/>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对未来邻里、未来教育部分、未来健康硬件的品牌、综合性能、与本项目需求重要参数的偏离情况进行打分（0-3分）。</w:t>
            </w:r>
          </w:p>
        </w:tc>
        <w:tc>
          <w:tcPr>
            <w:tcW w:w="47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r>
      <w:tr>
        <w:tblPrEx>
          <w:tblCellMar>
            <w:top w:w="0" w:type="dxa"/>
            <w:left w:w="108" w:type="dxa"/>
            <w:bottom w:w="0" w:type="dxa"/>
            <w:right w:w="108" w:type="dxa"/>
          </w:tblCellMar>
        </w:tblPrEx>
        <w:trPr>
          <w:trHeight w:val="662" w:hRule="atLeast"/>
        </w:trPr>
        <w:tc>
          <w:tcPr>
            <w:tcW w:w="46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68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Cs w:val="21"/>
              </w:rPr>
            </w:pPr>
          </w:p>
        </w:tc>
        <w:tc>
          <w:tcPr>
            <w:tcW w:w="7228" w:type="dxa"/>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未来创业、未来交通、未来低碳部分硬件的品牌、综合性能、与本项目需求重要参数的偏离情况进行打分（0-3分）。</w:t>
            </w:r>
          </w:p>
        </w:tc>
        <w:tc>
          <w:tcPr>
            <w:tcW w:w="47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r>
      <w:tr>
        <w:tblPrEx>
          <w:tblCellMar>
            <w:top w:w="0" w:type="dxa"/>
            <w:left w:w="108" w:type="dxa"/>
            <w:bottom w:w="0" w:type="dxa"/>
            <w:right w:w="108" w:type="dxa"/>
          </w:tblCellMar>
        </w:tblPrEx>
        <w:trPr>
          <w:trHeight w:val="662" w:hRule="atLeast"/>
        </w:trPr>
        <w:tc>
          <w:tcPr>
            <w:tcW w:w="46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68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Cs w:val="21"/>
              </w:rPr>
            </w:pPr>
          </w:p>
        </w:tc>
        <w:tc>
          <w:tcPr>
            <w:tcW w:w="7228" w:type="dxa"/>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未来服务部分硬件的品牌、综合性能、与本项目需求重要参数的偏离情况进行打分（0-3分）。</w:t>
            </w:r>
          </w:p>
        </w:tc>
        <w:tc>
          <w:tcPr>
            <w:tcW w:w="47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r>
      <w:tr>
        <w:tblPrEx>
          <w:tblCellMar>
            <w:top w:w="0" w:type="dxa"/>
            <w:left w:w="108" w:type="dxa"/>
            <w:bottom w:w="0" w:type="dxa"/>
            <w:right w:w="108" w:type="dxa"/>
          </w:tblCellMar>
        </w:tblPrEx>
        <w:trPr>
          <w:trHeight w:val="630" w:hRule="atLeast"/>
        </w:trPr>
        <w:tc>
          <w:tcPr>
            <w:tcW w:w="46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68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Cs w:val="21"/>
              </w:rPr>
            </w:pPr>
          </w:p>
        </w:tc>
        <w:tc>
          <w:tcPr>
            <w:tcW w:w="7228" w:type="dxa"/>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未来治理部分硬件的品牌、综合性能、与本项目需求重要参数的偏离情况进行打分（0-3分）。</w:t>
            </w:r>
          </w:p>
        </w:tc>
        <w:tc>
          <w:tcPr>
            <w:tcW w:w="47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r>
      <w:tr>
        <w:tblPrEx>
          <w:tblCellMar>
            <w:top w:w="0" w:type="dxa"/>
            <w:left w:w="108" w:type="dxa"/>
            <w:bottom w:w="0" w:type="dxa"/>
            <w:right w:w="108" w:type="dxa"/>
          </w:tblCellMar>
        </w:tblPrEx>
        <w:trPr>
          <w:trHeight w:val="676" w:hRule="atLeast"/>
        </w:trPr>
        <w:tc>
          <w:tcPr>
            <w:tcW w:w="46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68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Cs w:val="21"/>
              </w:rPr>
            </w:pPr>
          </w:p>
        </w:tc>
        <w:tc>
          <w:tcPr>
            <w:tcW w:w="7228" w:type="dxa"/>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基础建设部分硬件的品牌、综合性能、与本项目需求重要参数的偏离情况进行打分（0-3分）。</w:t>
            </w:r>
          </w:p>
        </w:tc>
        <w:tc>
          <w:tcPr>
            <w:tcW w:w="47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r>
      <w:tr>
        <w:tblPrEx>
          <w:tblCellMar>
            <w:top w:w="0" w:type="dxa"/>
            <w:left w:w="108" w:type="dxa"/>
            <w:bottom w:w="0" w:type="dxa"/>
            <w:right w:w="108" w:type="dxa"/>
          </w:tblCellMar>
        </w:tblPrEx>
        <w:trPr>
          <w:trHeight w:val="2985" w:hRule="atLeast"/>
        </w:trPr>
        <w:tc>
          <w:tcPr>
            <w:tcW w:w="46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68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投标人人员力量</w:t>
            </w:r>
          </w:p>
        </w:tc>
        <w:tc>
          <w:tcPr>
            <w:tcW w:w="7228" w:type="dxa"/>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项目负责人具有信息系统项目管理类、信息安全类、网络工程类、智能化系统集成类和软件开发类认证证书的，每提供一项证书得1分，本项最高得3分。</w:t>
            </w:r>
            <w:r>
              <w:rPr>
                <w:rFonts w:hint="eastAsia" w:ascii="宋体" w:hAnsi="宋体" w:cs="宋体"/>
                <w:color w:val="000000"/>
                <w:kern w:val="0"/>
                <w:szCs w:val="21"/>
                <w:lang w:bidi="ar"/>
              </w:rPr>
              <w:br w:type="textWrapping"/>
            </w:r>
            <w:r>
              <w:rPr>
                <w:rFonts w:hint="eastAsia" w:ascii="宋体" w:hAnsi="宋体" w:cs="宋体"/>
                <w:b/>
                <w:bCs/>
                <w:color w:val="000000"/>
                <w:kern w:val="0"/>
                <w:szCs w:val="21"/>
                <w:u w:val="single"/>
                <w:lang w:bidi="ar"/>
              </w:rPr>
              <w:t>备注：</w:t>
            </w:r>
            <w:r>
              <w:rPr>
                <w:rFonts w:hint="eastAsia" w:ascii="宋体" w:hAnsi="宋体" w:cs="宋体"/>
                <w:b/>
                <w:bCs/>
                <w:color w:val="000000"/>
                <w:kern w:val="0"/>
                <w:szCs w:val="21"/>
                <w:u w:val="single"/>
                <w:lang w:bidi="ar"/>
              </w:rPr>
              <w:br w:type="textWrapping"/>
            </w:r>
            <w:r>
              <w:rPr>
                <w:rFonts w:hint="eastAsia" w:ascii="宋体" w:hAnsi="宋体" w:cs="宋体"/>
                <w:b/>
                <w:bCs/>
                <w:color w:val="000000"/>
                <w:kern w:val="0"/>
                <w:szCs w:val="21"/>
                <w:u w:val="single"/>
                <w:lang w:bidi="ar"/>
              </w:rPr>
              <w:t>1、所有证书必须真实、合规，在有效期内。</w:t>
            </w:r>
            <w:r>
              <w:rPr>
                <w:rFonts w:hint="eastAsia" w:ascii="宋体" w:hAnsi="宋体" w:cs="宋体"/>
                <w:b/>
                <w:bCs/>
                <w:color w:val="000000"/>
                <w:kern w:val="0"/>
                <w:szCs w:val="21"/>
                <w:u w:val="single"/>
                <w:lang w:bidi="ar"/>
              </w:rPr>
              <w:br w:type="textWrapping"/>
            </w:r>
            <w:r>
              <w:rPr>
                <w:rFonts w:hint="eastAsia" w:ascii="宋体" w:hAnsi="宋体" w:cs="宋体"/>
                <w:b/>
                <w:bCs/>
                <w:color w:val="000000"/>
                <w:kern w:val="0"/>
                <w:szCs w:val="21"/>
                <w:u w:val="single"/>
                <w:lang w:bidi="ar"/>
              </w:rPr>
              <w:t>2、投标文件中须提供清晰可辨的证书彩色扫描件并加盖投标人公章。</w:t>
            </w:r>
            <w:r>
              <w:rPr>
                <w:rFonts w:hint="eastAsia" w:ascii="宋体" w:hAnsi="宋体" w:cs="宋体"/>
                <w:b/>
                <w:bCs/>
                <w:color w:val="000000"/>
                <w:kern w:val="0"/>
                <w:szCs w:val="21"/>
                <w:u w:val="single"/>
                <w:lang w:bidi="ar"/>
              </w:rPr>
              <w:br w:type="textWrapping"/>
            </w:r>
            <w:r>
              <w:rPr>
                <w:rFonts w:hint="eastAsia" w:ascii="宋体" w:hAnsi="宋体" w:cs="宋体"/>
                <w:b/>
                <w:bCs/>
                <w:color w:val="000000"/>
                <w:kern w:val="0"/>
                <w:szCs w:val="21"/>
                <w:u w:val="single"/>
                <w:lang w:bidi="ar"/>
              </w:rPr>
              <w:t>3、如投标人提供的证书扫描件因模糊不清而造成评标委员会在评审时做出对投标人不利的评审由投标人自行承担。</w:t>
            </w:r>
            <w:r>
              <w:rPr>
                <w:rFonts w:hint="eastAsia" w:ascii="宋体" w:hAnsi="宋体" w:cs="宋体"/>
                <w:b/>
                <w:bCs/>
                <w:color w:val="000000"/>
                <w:kern w:val="0"/>
                <w:szCs w:val="21"/>
                <w:u w:val="single"/>
                <w:lang w:bidi="ar"/>
              </w:rPr>
              <w:br w:type="textWrapping"/>
            </w:r>
            <w:r>
              <w:rPr>
                <w:rFonts w:hint="eastAsia" w:ascii="宋体" w:hAnsi="宋体" w:cs="宋体"/>
                <w:b/>
                <w:bCs/>
                <w:color w:val="000000"/>
                <w:kern w:val="0"/>
                <w:szCs w:val="21"/>
                <w:u w:val="single"/>
                <w:lang w:bidi="ar"/>
              </w:rPr>
              <w:t>4、提供由投标人为上述人员缴纳的近6个月（2021年5月--2021年10月）社保缴纳证明材料（如为社会保险机构盖章的网上打印件亦可），未按上述规定提供社保资料的不得分。</w:t>
            </w:r>
          </w:p>
        </w:tc>
        <w:tc>
          <w:tcPr>
            <w:tcW w:w="47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r>
      <w:tr>
        <w:tblPrEx>
          <w:tblCellMar>
            <w:top w:w="0" w:type="dxa"/>
            <w:left w:w="108" w:type="dxa"/>
            <w:bottom w:w="0" w:type="dxa"/>
            <w:right w:w="108" w:type="dxa"/>
          </w:tblCellMar>
        </w:tblPrEx>
        <w:trPr>
          <w:trHeight w:val="3255" w:hRule="atLeast"/>
        </w:trPr>
        <w:tc>
          <w:tcPr>
            <w:tcW w:w="46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68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Cs w:val="21"/>
              </w:rPr>
            </w:pPr>
          </w:p>
        </w:tc>
        <w:tc>
          <w:tcPr>
            <w:tcW w:w="7228" w:type="dxa"/>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2、本项目的技术负责人具有大数据分析师、智慧城市规划师认证证书、项目管理类认证证书、 网络工程师、</w:t>
            </w:r>
            <w:r>
              <w:rPr>
                <w:rFonts w:hint="eastAsia" w:ascii="宋体" w:hAnsi="宋体" w:cs="宋体"/>
                <w:color w:val="auto"/>
                <w:kern w:val="0"/>
                <w:szCs w:val="21"/>
                <w:lang w:bidi="ar"/>
              </w:rPr>
              <w:t>计算机技术与软件专业技术资格中级及以上证书、智能化系统集成类证书,每提供一项</w:t>
            </w:r>
            <w:r>
              <w:rPr>
                <w:rFonts w:hint="eastAsia" w:ascii="宋体" w:hAnsi="宋体" w:cs="宋体"/>
                <w:color w:val="000000"/>
                <w:kern w:val="0"/>
                <w:szCs w:val="21"/>
                <w:lang w:bidi="ar"/>
              </w:rPr>
              <w:t>证书得1分, 本项最高得3分。</w:t>
            </w:r>
            <w:r>
              <w:rPr>
                <w:rFonts w:hint="eastAsia" w:ascii="宋体" w:hAnsi="宋体" w:cs="宋体"/>
                <w:color w:val="000000"/>
                <w:kern w:val="0"/>
                <w:szCs w:val="21"/>
                <w:lang w:bidi="ar"/>
              </w:rPr>
              <w:br w:type="textWrapping"/>
            </w:r>
            <w:r>
              <w:rPr>
                <w:rFonts w:hint="eastAsia" w:ascii="宋体" w:hAnsi="宋体" w:cs="宋体"/>
                <w:b/>
                <w:bCs/>
                <w:color w:val="000000"/>
                <w:kern w:val="0"/>
                <w:szCs w:val="21"/>
                <w:u w:val="single"/>
                <w:lang w:bidi="ar"/>
              </w:rPr>
              <w:t>备注：</w:t>
            </w:r>
            <w:r>
              <w:rPr>
                <w:rFonts w:hint="eastAsia" w:ascii="宋体" w:hAnsi="宋体" w:cs="宋体"/>
                <w:b/>
                <w:bCs/>
                <w:color w:val="000000"/>
                <w:kern w:val="0"/>
                <w:szCs w:val="21"/>
                <w:u w:val="single"/>
                <w:lang w:bidi="ar"/>
              </w:rPr>
              <w:br w:type="textWrapping"/>
            </w:r>
            <w:r>
              <w:rPr>
                <w:rFonts w:hint="eastAsia" w:ascii="宋体" w:hAnsi="宋体" w:cs="宋体"/>
                <w:b/>
                <w:bCs/>
                <w:color w:val="000000"/>
                <w:kern w:val="0"/>
                <w:szCs w:val="21"/>
                <w:u w:val="single"/>
                <w:lang w:bidi="ar"/>
              </w:rPr>
              <w:t>1、所有证书必须真实、合规，在有效期内。</w:t>
            </w:r>
            <w:r>
              <w:rPr>
                <w:rFonts w:hint="eastAsia" w:ascii="宋体" w:hAnsi="宋体" w:cs="宋体"/>
                <w:b/>
                <w:bCs/>
                <w:color w:val="000000"/>
                <w:kern w:val="0"/>
                <w:szCs w:val="21"/>
                <w:u w:val="single"/>
                <w:lang w:bidi="ar"/>
              </w:rPr>
              <w:br w:type="textWrapping"/>
            </w:r>
            <w:r>
              <w:rPr>
                <w:rFonts w:hint="eastAsia" w:ascii="宋体" w:hAnsi="宋体" w:cs="宋体"/>
                <w:b/>
                <w:bCs/>
                <w:color w:val="000000"/>
                <w:kern w:val="0"/>
                <w:szCs w:val="21"/>
                <w:u w:val="single"/>
                <w:lang w:bidi="ar"/>
              </w:rPr>
              <w:t>2、投标文件中须提供清晰可辨的证书彩色扫描件并加盖投标人公章。</w:t>
            </w:r>
            <w:r>
              <w:rPr>
                <w:rFonts w:hint="eastAsia" w:ascii="宋体" w:hAnsi="宋体" w:cs="宋体"/>
                <w:b/>
                <w:bCs/>
                <w:color w:val="000000"/>
                <w:kern w:val="0"/>
                <w:szCs w:val="21"/>
                <w:u w:val="single"/>
                <w:lang w:bidi="ar"/>
              </w:rPr>
              <w:br w:type="textWrapping"/>
            </w:r>
            <w:r>
              <w:rPr>
                <w:rFonts w:hint="eastAsia" w:ascii="宋体" w:hAnsi="宋体" w:cs="宋体"/>
                <w:b/>
                <w:bCs/>
                <w:color w:val="000000"/>
                <w:kern w:val="0"/>
                <w:szCs w:val="21"/>
                <w:u w:val="single"/>
                <w:lang w:bidi="ar"/>
              </w:rPr>
              <w:t>3、如投标人提供的证书扫描件因模糊不清而造成评标委员会在评审时做出对投标人不利的评审由投标人自行承担。</w:t>
            </w:r>
            <w:r>
              <w:rPr>
                <w:rFonts w:hint="eastAsia" w:ascii="宋体" w:hAnsi="宋体" w:cs="宋体"/>
                <w:b/>
                <w:bCs/>
                <w:color w:val="000000"/>
                <w:kern w:val="0"/>
                <w:szCs w:val="21"/>
                <w:u w:val="single"/>
                <w:lang w:bidi="ar"/>
              </w:rPr>
              <w:br w:type="textWrapping"/>
            </w:r>
            <w:r>
              <w:rPr>
                <w:rFonts w:hint="eastAsia" w:ascii="宋体" w:hAnsi="宋体" w:cs="宋体"/>
                <w:b/>
                <w:bCs/>
                <w:color w:val="000000"/>
                <w:kern w:val="0"/>
                <w:szCs w:val="21"/>
                <w:u w:val="single"/>
                <w:lang w:bidi="ar"/>
              </w:rPr>
              <w:t>4、提供由投标人为上述人员缴纳的近6个月（2021年5月--2021年10月）社保缴纳证明材料（如为社会保险机构盖章的网上打印件亦可），未按上述规定提供社保资料的不得分。</w:t>
            </w:r>
          </w:p>
        </w:tc>
        <w:tc>
          <w:tcPr>
            <w:tcW w:w="47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r>
      <w:tr>
        <w:tblPrEx>
          <w:tblCellMar>
            <w:top w:w="0" w:type="dxa"/>
            <w:left w:w="108" w:type="dxa"/>
            <w:bottom w:w="0" w:type="dxa"/>
            <w:right w:w="108" w:type="dxa"/>
          </w:tblCellMar>
        </w:tblPrEx>
        <w:trPr>
          <w:trHeight w:val="3255" w:hRule="atLeast"/>
        </w:trPr>
        <w:tc>
          <w:tcPr>
            <w:tcW w:w="46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w:t>
            </w:r>
          </w:p>
        </w:tc>
        <w:tc>
          <w:tcPr>
            <w:tcW w:w="68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Cs w:val="21"/>
              </w:rPr>
            </w:pPr>
          </w:p>
        </w:tc>
        <w:tc>
          <w:tcPr>
            <w:tcW w:w="7228" w:type="dxa"/>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项目实施团队成员（项目负责人、技术负责人除外）具备与本项目相适应或高于的资质证书（包括但不限于以下）：信息系统项目管理师、PMP、通信网络工程师、中级互联网技术、云计算类、软件开发类等证书，每有1个团队成员具备其中2项证书的得0.5分，最</w:t>
            </w:r>
            <w:r>
              <w:rPr>
                <w:rFonts w:hint="eastAsia" w:ascii="宋体" w:hAnsi="宋体" w:cs="宋体"/>
                <w:color w:val="000000"/>
                <w:kern w:val="0"/>
                <w:szCs w:val="21"/>
                <w:lang w:val="en-US" w:eastAsia="zh-CN" w:bidi="ar"/>
              </w:rPr>
              <w:t>高得</w:t>
            </w:r>
            <w:r>
              <w:rPr>
                <w:rFonts w:hint="eastAsia" w:ascii="宋体" w:hAnsi="宋体" w:cs="宋体"/>
                <w:color w:val="000000"/>
                <w:kern w:val="0"/>
                <w:szCs w:val="21"/>
                <w:lang w:bidi="ar"/>
              </w:rPr>
              <w:t>2分。</w:t>
            </w:r>
            <w:r>
              <w:rPr>
                <w:rFonts w:hint="eastAsia" w:ascii="宋体" w:hAnsi="宋体" w:cs="宋体"/>
                <w:color w:val="000000"/>
                <w:kern w:val="0"/>
                <w:szCs w:val="21"/>
                <w:lang w:bidi="ar"/>
              </w:rPr>
              <w:br w:type="textWrapping"/>
            </w:r>
            <w:r>
              <w:rPr>
                <w:rFonts w:hint="eastAsia" w:ascii="宋体" w:hAnsi="宋体" w:cs="宋体"/>
                <w:b/>
                <w:bCs/>
                <w:color w:val="000000"/>
                <w:kern w:val="0"/>
                <w:szCs w:val="21"/>
                <w:u w:val="single"/>
                <w:lang w:bidi="ar"/>
              </w:rPr>
              <w:t>备注：</w:t>
            </w:r>
            <w:r>
              <w:rPr>
                <w:rFonts w:hint="eastAsia" w:ascii="宋体" w:hAnsi="宋体" w:cs="宋体"/>
                <w:b/>
                <w:bCs/>
                <w:color w:val="000000"/>
                <w:kern w:val="0"/>
                <w:szCs w:val="21"/>
                <w:u w:val="single"/>
                <w:lang w:bidi="ar"/>
              </w:rPr>
              <w:br w:type="textWrapping"/>
            </w:r>
            <w:r>
              <w:rPr>
                <w:rFonts w:hint="eastAsia" w:ascii="宋体" w:hAnsi="宋体" w:cs="宋体"/>
                <w:b/>
                <w:bCs/>
                <w:color w:val="000000"/>
                <w:kern w:val="0"/>
                <w:szCs w:val="21"/>
                <w:u w:val="single"/>
                <w:lang w:bidi="ar"/>
              </w:rPr>
              <w:t>1、所有证书必须真实、合规，在有效期内。</w:t>
            </w:r>
            <w:r>
              <w:rPr>
                <w:rFonts w:hint="eastAsia" w:ascii="宋体" w:hAnsi="宋体" w:cs="宋体"/>
                <w:b/>
                <w:bCs/>
                <w:color w:val="000000"/>
                <w:kern w:val="0"/>
                <w:szCs w:val="21"/>
                <w:u w:val="single"/>
                <w:lang w:bidi="ar"/>
              </w:rPr>
              <w:br w:type="textWrapping"/>
            </w:r>
            <w:r>
              <w:rPr>
                <w:rFonts w:hint="eastAsia" w:ascii="宋体" w:hAnsi="宋体" w:cs="宋体"/>
                <w:b/>
                <w:bCs/>
                <w:color w:val="000000"/>
                <w:kern w:val="0"/>
                <w:szCs w:val="21"/>
                <w:u w:val="single"/>
                <w:lang w:bidi="ar"/>
              </w:rPr>
              <w:t>2、投标文件中须提供清晰可辨的证书彩色扫描件并加盖投标人公章。</w:t>
            </w:r>
            <w:r>
              <w:rPr>
                <w:rFonts w:hint="eastAsia" w:ascii="宋体" w:hAnsi="宋体" w:cs="宋体"/>
                <w:b/>
                <w:bCs/>
                <w:color w:val="000000"/>
                <w:kern w:val="0"/>
                <w:szCs w:val="21"/>
                <w:u w:val="single"/>
                <w:lang w:bidi="ar"/>
              </w:rPr>
              <w:br w:type="textWrapping"/>
            </w:r>
            <w:r>
              <w:rPr>
                <w:rFonts w:hint="eastAsia" w:ascii="宋体" w:hAnsi="宋体" w:cs="宋体"/>
                <w:b/>
                <w:bCs/>
                <w:color w:val="000000"/>
                <w:kern w:val="0"/>
                <w:szCs w:val="21"/>
                <w:u w:val="single"/>
                <w:lang w:bidi="ar"/>
              </w:rPr>
              <w:t>3、如投标人提供的证书扫描件因模糊不清而造成评标委员会在评审时做出对投标人不利的评审由投标人自行承担。</w:t>
            </w:r>
            <w:r>
              <w:rPr>
                <w:rFonts w:hint="eastAsia" w:ascii="宋体" w:hAnsi="宋体" w:cs="宋体"/>
                <w:b/>
                <w:bCs/>
                <w:color w:val="000000"/>
                <w:kern w:val="0"/>
                <w:szCs w:val="21"/>
                <w:u w:val="single"/>
                <w:lang w:bidi="ar"/>
              </w:rPr>
              <w:br w:type="textWrapping"/>
            </w:r>
            <w:r>
              <w:rPr>
                <w:rFonts w:hint="eastAsia" w:ascii="宋体" w:hAnsi="宋体" w:cs="宋体"/>
                <w:b/>
                <w:bCs/>
                <w:color w:val="000000"/>
                <w:kern w:val="0"/>
                <w:szCs w:val="21"/>
                <w:u w:val="single"/>
                <w:lang w:bidi="ar"/>
              </w:rPr>
              <w:t>4、提供由投标人为上述人员缴纳的近6个月（2021年5月--2021年10月）社保缴纳证明材料（如为社会保险机构盖章的网上打印件亦可），未按上述规定提供社保资料的不得分。</w:t>
            </w:r>
          </w:p>
        </w:tc>
        <w:tc>
          <w:tcPr>
            <w:tcW w:w="47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473" w:hRule="atLeast"/>
        </w:trPr>
        <w:tc>
          <w:tcPr>
            <w:tcW w:w="46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w:t>
            </w:r>
          </w:p>
        </w:tc>
        <w:tc>
          <w:tcPr>
            <w:tcW w:w="68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项目实施方案</w:t>
            </w:r>
          </w:p>
        </w:tc>
        <w:tc>
          <w:tcPr>
            <w:tcW w:w="7228" w:type="dxa"/>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总体施工组织方案（0-2分）</w:t>
            </w:r>
          </w:p>
        </w:tc>
        <w:tc>
          <w:tcPr>
            <w:tcW w:w="47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438" w:hRule="atLeast"/>
        </w:trPr>
        <w:tc>
          <w:tcPr>
            <w:tcW w:w="46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68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Cs w:val="21"/>
              </w:rPr>
            </w:pPr>
          </w:p>
        </w:tc>
        <w:tc>
          <w:tcPr>
            <w:tcW w:w="7228" w:type="dxa"/>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确保工期的计划和方案，质量控制手段和保证措施（0-2分）</w:t>
            </w:r>
          </w:p>
        </w:tc>
        <w:tc>
          <w:tcPr>
            <w:tcW w:w="47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519" w:hRule="atLeast"/>
        </w:trPr>
        <w:tc>
          <w:tcPr>
            <w:tcW w:w="46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w:t>
            </w:r>
          </w:p>
        </w:tc>
        <w:tc>
          <w:tcPr>
            <w:tcW w:w="68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Cs w:val="21"/>
              </w:rPr>
            </w:pPr>
          </w:p>
        </w:tc>
        <w:tc>
          <w:tcPr>
            <w:tcW w:w="7228" w:type="dxa"/>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应对突发或者紧急情况的预案（0-1分）</w:t>
            </w:r>
          </w:p>
        </w:tc>
        <w:tc>
          <w:tcPr>
            <w:tcW w:w="47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4982" w:hRule="atLeast"/>
        </w:trPr>
        <w:tc>
          <w:tcPr>
            <w:tcW w:w="46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w:t>
            </w:r>
          </w:p>
        </w:tc>
        <w:tc>
          <w:tcPr>
            <w:tcW w:w="68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系统演示</w:t>
            </w:r>
          </w:p>
        </w:tc>
        <w:tc>
          <w:tcPr>
            <w:tcW w:w="7228" w:type="dxa"/>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hint="eastAsia" w:ascii="宋体" w:hAnsi="宋体" w:cs="宋体"/>
                <w:b/>
                <w:bCs/>
                <w:color w:val="000000"/>
                <w:szCs w:val="21"/>
              </w:rPr>
            </w:pPr>
            <w:r>
              <w:rPr>
                <w:rFonts w:hint="eastAsia" w:ascii="宋体" w:hAnsi="宋体" w:cs="宋体"/>
                <w:b/>
                <w:bCs/>
                <w:color w:val="000000"/>
                <w:kern w:val="0"/>
                <w:szCs w:val="21"/>
                <w:lang w:bidi="ar"/>
              </w:rPr>
              <w:t>一、演示全域应用能力中心底座：</w:t>
            </w:r>
            <w:r>
              <w:rPr>
                <w:rFonts w:hint="eastAsia" w:ascii="宋体" w:hAnsi="宋体" w:cs="宋体"/>
                <w:b/>
                <w:bCs/>
                <w:color w:val="000000"/>
                <w:kern w:val="0"/>
                <w:szCs w:val="21"/>
                <w:lang w:bidi="ar"/>
              </w:rPr>
              <w:br w:type="textWrapping"/>
            </w:r>
            <w:r>
              <w:rPr>
                <w:rFonts w:hint="eastAsia" w:ascii="宋体" w:hAnsi="宋体" w:cs="宋体"/>
                <w:b/>
                <w:bCs/>
                <w:color w:val="000000"/>
                <w:kern w:val="0"/>
                <w:szCs w:val="21"/>
                <w:lang w:bidi="ar"/>
              </w:rPr>
              <w:t>1、演示业务中台功能(合计</w:t>
            </w:r>
            <w:r>
              <w:rPr>
                <w:rFonts w:hint="eastAsia" w:ascii="宋体" w:hAnsi="宋体" w:cs="宋体"/>
                <w:b/>
                <w:bCs/>
                <w:color w:val="000000"/>
                <w:kern w:val="0"/>
                <w:szCs w:val="21"/>
                <w:lang w:val="en-US" w:eastAsia="zh-CN" w:bidi="ar"/>
              </w:rPr>
              <w:t>4</w:t>
            </w:r>
            <w:r>
              <w:rPr>
                <w:rFonts w:hint="eastAsia" w:ascii="宋体" w:hAnsi="宋体" w:cs="宋体"/>
                <w:b/>
                <w:bCs/>
                <w:color w:val="000000"/>
                <w:kern w:val="0"/>
                <w:szCs w:val="21"/>
                <w:lang w:bidi="ar"/>
              </w:rPr>
              <w:t>分)：</w:t>
            </w:r>
            <w:r>
              <w:rPr>
                <w:rFonts w:hint="eastAsia" w:ascii="宋体" w:hAnsi="宋体" w:cs="宋体"/>
                <w:b/>
                <w:bCs/>
                <w:color w:val="000000"/>
                <w:kern w:val="0"/>
                <w:szCs w:val="21"/>
                <w:lang w:bidi="ar"/>
              </w:rPr>
              <w:br w:type="textWrapping"/>
            </w:r>
            <w:r>
              <w:rPr>
                <w:rFonts w:hint="eastAsia" w:ascii="宋体" w:hAnsi="宋体" w:cs="宋体"/>
                <w:color w:val="000000"/>
                <w:kern w:val="0"/>
                <w:szCs w:val="21"/>
                <w:lang w:bidi="ar"/>
              </w:rPr>
              <w:t>1）租户管理：支持新增租户、停用租户，支持租户登录页自定义配置修改，支持租户授权应用配置。（根据演示效果打分：0-1分）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2）应用库和菜单配置：支持应用客户端配置，支持应用菜单配置</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应用管理：支持应用信息编辑、组合应用。（根据演示效果打分：0-1分）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移动端运营配置：支持对移动端首页的应用列表进行配置和展示，支持首页运营位配置，展示位可关联系统应用或者系统资讯；支持配置运营位生失效时间；支持拖拽方式进行运营位排序。（根据演示效果打分：0-1分）</w:t>
            </w:r>
            <w:r>
              <w:rPr>
                <w:rFonts w:hint="eastAsia" w:ascii="宋体" w:hAnsi="宋体" w:cs="宋体"/>
                <w:color w:val="000000"/>
                <w:kern w:val="0"/>
                <w:szCs w:val="21"/>
                <w:lang w:bidi="ar"/>
              </w:rPr>
              <w:br w:type="textWrapping"/>
            </w:r>
            <w:r>
              <w:rPr>
                <w:rFonts w:hint="eastAsia" w:ascii="宋体" w:hAnsi="宋体" w:cs="宋体"/>
                <w:color w:val="000000"/>
                <w:kern w:val="0"/>
                <w:szCs w:val="21"/>
                <w:lang w:val="en-US" w:eastAsia="zh-CN" w:bidi="ar"/>
              </w:rPr>
              <w:t>4</w:t>
            </w:r>
            <w:r>
              <w:rPr>
                <w:rFonts w:hint="eastAsia" w:ascii="宋体" w:hAnsi="宋体" w:cs="宋体"/>
                <w:color w:val="000000"/>
                <w:kern w:val="0"/>
                <w:szCs w:val="21"/>
                <w:lang w:bidi="ar"/>
              </w:rPr>
              <w:t>）</w:t>
            </w:r>
            <w:r>
              <w:rPr>
                <w:rFonts w:hint="eastAsia"/>
                <w:color w:val="auto"/>
              </w:rPr>
              <w:t>项目配置：流程审批支持条件分支配置；节点审批人设置支持配置多种规则；多人审批时支持配置或签或者会签；审批系统规则设置支持异常设置、自动审核、自动通过等。</w:t>
            </w:r>
            <w:r>
              <w:rPr>
                <w:rFonts w:hint="eastAsia" w:ascii="宋体" w:hAnsi="宋体" w:cs="宋体"/>
                <w:color w:val="000000"/>
                <w:kern w:val="0"/>
                <w:szCs w:val="21"/>
                <w:lang w:bidi="ar"/>
              </w:rPr>
              <w:t>（根据演示效果打分：0-1分）</w:t>
            </w:r>
            <w:r>
              <w:rPr>
                <w:rFonts w:hint="eastAsia" w:ascii="宋体" w:hAnsi="宋体" w:cs="宋体"/>
                <w:b/>
                <w:bCs/>
                <w:color w:val="000000"/>
                <w:kern w:val="0"/>
                <w:szCs w:val="21"/>
                <w:lang w:bidi="ar"/>
              </w:rPr>
              <w:br w:type="textWrapping"/>
            </w:r>
            <w:r>
              <w:rPr>
                <w:rFonts w:hint="eastAsia" w:ascii="宋体" w:hAnsi="宋体" w:cs="宋体"/>
                <w:b/>
                <w:bCs/>
                <w:color w:val="000000"/>
                <w:kern w:val="0"/>
                <w:szCs w:val="21"/>
                <w:lang w:bidi="ar"/>
              </w:rPr>
              <w:t>2、演示AIOT平台功能(合计2分)：</w:t>
            </w:r>
            <w:r>
              <w:rPr>
                <w:rFonts w:hint="eastAsia" w:ascii="宋体" w:hAnsi="宋体" w:cs="宋体"/>
                <w:b/>
                <w:bCs/>
                <w:color w:val="000000"/>
                <w:kern w:val="0"/>
                <w:szCs w:val="21"/>
                <w:lang w:bidi="ar"/>
              </w:rPr>
              <w:br w:type="textWrapping"/>
            </w:r>
            <w:r>
              <w:rPr>
                <w:rFonts w:hint="eastAsia" w:ascii="宋体" w:hAnsi="宋体" w:cs="宋体"/>
                <w:color w:val="000000"/>
                <w:kern w:val="0"/>
                <w:szCs w:val="21"/>
                <w:lang w:bidi="ar"/>
              </w:rPr>
              <w:t>1）</w:t>
            </w:r>
            <w:r>
              <w:rPr>
                <w:rFonts w:hint="eastAsia"/>
                <w:color w:val="auto"/>
              </w:rPr>
              <w:t>具备同时对接至少三个不同厂家的AI算法平台，并可从不同厂家选择不通的算法给同一个摄像头赋能，实现AI报警。每少演示一家扣0.</w:t>
            </w:r>
            <w:r>
              <w:rPr>
                <w:rFonts w:hint="eastAsia"/>
                <w:color w:val="auto"/>
                <w:lang w:val="en-US" w:eastAsia="zh-CN"/>
              </w:rPr>
              <w:t>3</w:t>
            </w:r>
            <w:r>
              <w:rPr>
                <w:rFonts w:hint="eastAsia"/>
                <w:color w:val="auto"/>
              </w:rPr>
              <w:t>分。</w:t>
            </w:r>
            <w:r>
              <w:rPr>
                <w:rFonts w:hint="eastAsia" w:ascii="宋体" w:hAnsi="宋体" w:cs="宋体"/>
                <w:color w:val="auto"/>
                <w:kern w:val="0"/>
                <w:szCs w:val="21"/>
                <w:lang w:bidi="ar"/>
              </w:rPr>
              <w:t>（0-1分）</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2）跨多个VMS平台实现视频流汇聚，并具备预加载功能。视频加载少于</w:t>
            </w:r>
            <w:r>
              <w:rPr>
                <w:rFonts w:hint="eastAsia" w:ascii="宋体" w:hAnsi="宋体" w:cs="宋体"/>
                <w:color w:val="auto"/>
                <w:kern w:val="0"/>
                <w:szCs w:val="21"/>
                <w:lang w:eastAsia="zh-CN" w:bidi="ar"/>
              </w:rPr>
              <w:t>2</w:t>
            </w:r>
            <w:r>
              <w:rPr>
                <w:rFonts w:hint="eastAsia" w:ascii="宋体" w:hAnsi="宋体" w:cs="宋体"/>
                <w:color w:val="auto"/>
                <w:kern w:val="0"/>
                <w:szCs w:val="21"/>
                <w:lang w:bidi="ar"/>
              </w:rPr>
              <w:t>秒得1分，</w:t>
            </w:r>
            <w:r>
              <w:rPr>
                <w:rFonts w:hint="eastAsia" w:ascii="宋体" w:hAnsi="宋体" w:cs="宋体"/>
                <w:color w:val="auto"/>
                <w:kern w:val="0"/>
                <w:szCs w:val="21"/>
                <w:lang w:eastAsia="zh-CN" w:bidi="ar"/>
              </w:rPr>
              <w:t>2-5秒得0.5分，</w:t>
            </w:r>
            <w:r>
              <w:rPr>
                <w:rFonts w:hint="eastAsia" w:ascii="宋体" w:hAnsi="宋体" w:cs="宋体"/>
                <w:color w:val="auto"/>
                <w:kern w:val="0"/>
                <w:szCs w:val="21"/>
                <w:lang w:bidi="ar"/>
              </w:rPr>
              <w:t>超过5秒不得分。（0-1分）</w:t>
            </w:r>
          </w:p>
        </w:tc>
        <w:tc>
          <w:tcPr>
            <w:tcW w:w="47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6</w:t>
            </w:r>
          </w:p>
        </w:tc>
      </w:tr>
      <w:tr>
        <w:tblPrEx>
          <w:tblCellMar>
            <w:top w:w="0" w:type="dxa"/>
            <w:left w:w="108" w:type="dxa"/>
            <w:bottom w:w="0" w:type="dxa"/>
            <w:right w:w="108" w:type="dxa"/>
          </w:tblCellMar>
        </w:tblPrEx>
        <w:trPr>
          <w:trHeight w:val="1095" w:hRule="atLeast"/>
        </w:trPr>
        <w:tc>
          <w:tcPr>
            <w:tcW w:w="46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w:t>
            </w:r>
          </w:p>
        </w:tc>
        <w:tc>
          <w:tcPr>
            <w:tcW w:w="68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Cs w:val="21"/>
              </w:rPr>
            </w:pPr>
          </w:p>
        </w:tc>
        <w:tc>
          <w:tcPr>
            <w:tcW w:w="7228" w:type="dxa"/>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hint="eastAsia" w:ascii="宋体" w:hAnsi="宋体" w:cs="宋体"/>
                <w:b/>
                <w:bCs/>
                <w:color w:val="000000"/>
                <w:szCs w:val="21"/>
              </w:rPr>
            </w:pPr>
            <w:r>
              <w:rPr>
                <w:rFonts w:hint="eastAsia" w:ascii="宋体" w:hAnsi="宋体" w:cs="宋体"/>
                <w:b/>
                <w:bCs/>
                <w:color w:val="000000"/>
                <w:kern w:val="0"/>
                <w:szCs w:val="21"/>
                <w:lang w:bidi="ar"/>
              </w:rPr>
              <w:t>二、演示九大场景(合计</w:t>
            </w:r>
            <w:r>
              <w:rPr>
                <w:rFonts w:hint="eastAsia" w:ascii="宋体" w:hAnsi="宋体" w:cs="宋体"/>
                <w:b/>
                <w:bCs/>
                <w:color w:val="000000"/>
                <w:kern w:val="0"/>
                <w:szCs w:val="21"/>
                <w:lang w:val="en-US" w:eastAsia="zh-CN" w:bidi="ar"/>
              </w:rPr>
              <w:t>1</w:t>
            </w:r>
            <w:r>
              <w:rPr>
                <w:rFonts w:hint="eastAsia" w:ascii="宋体" w:hAnsi="宋体" w:cs="宋体"/>
                <w:b/>
                <w:bCs/>
                <w:color w:val="000000"/>
                <w:kern w:val="0"/>
                <w:szCs w:val="21"/>
                <w:lang w:bidi="ar"/>
              </w:rPr>
              <w:t>分)：</w:t>
            </w:r>
            <w:r>
              <w:rPr>
                <w:rFonts w:hint="eastAsia" w:ascii="宋体" w:hAnsi="宋体" w:cs="宋体"/>
                <w:b/>
                <w:bCs/>
                <w:color w:val="000000"/>
                <w:kern w:val="0"/>
                <w:szCs w:val="21"/>
                <w:lang w:bidi="ar"/>
              </w:rPr>
              <w:br w:type="textWrapping"/>
            </w:r>
            <w:r>
              <w:rPr>
                <w:rFonts w:hint="eastAsia" w:ascii="宋体" w:hAnsi="宋体" w:cs="宋体"/>
                <w:color w:val="000000"/>
                <w:kern w:val="0"/>
                <w:szCs w:val="21"/>
                <w:lang w:bidi="ar"/>
              </w:rPr>
              <w:t>投标单位根据项目需求，结合未来社区邻里、教育、健康、服务、治理、创业、交通、低碳和建筑九大场景的理解，演示相关功能模块。（根据演示效果打分：0-</w:t>
            </w:r>
            <w:r>
              <w:rPr>
                <w:rFonts w:hint="eastAsia" w:ascii="宋体" w:hAnsi="宋体" w:cs="宋体"/>
                <w:color w:val="000000"/>
                <w:kern w:val="0"/>
                <w:szCs w:val="21"/>
                <w:lang w:val="en-US" w:eastAsia="zh-CN" w:bidi="ar"/>
              </w:rPr>
              <w:t>1</w:t>
            </w:r>
            <w:r>
              <w:rPr>
                <w:rFonts w:hint="eastAsia" w:ascii="宋体" w:hAnsi="宋体" w:cs="宋体"/>
                <w:color w:val="000000"/>
                <w:kern w:val="0"/>
                <w:szCs w:val="21"/>
                <w:lang w:bidi="ar"/>
              </w:rPr>
              <w:t>分）</w:t>
            </w:r>
          </w:p>
        </w:tc>
        <w:tc>
          <w:tcPr>
            <w:tcW w:w="47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1</w:t>
            </w:r>
          </w:p>
        </w:tc>
      </w:tr>
      <w:tr>
        <w:tblPrEx>
          <w:tblCellMar>
            <w:top w:w="0" w:type="dxa"/>
            <w:left w:w="108" w:type="dxa"/>
            <w:bottom w:w="0" w:type="dxa"/>
            <w:right w:w="108" w:type="dxa"/>
          </w:tblCellMar>
        </w:tblPrEx>
        <w:trPr>
          <w:trHeight w:val="1365" w:hRule="atLeast"/>
        </w:trPr>
        <w:tc>
          <w:tcPr>
            <w:tcW w:w="46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w:t>
            </w:r>
          </w:p>
        </w:tc>
        <w:tc>
          <w:tcPr>
            <w:tcW w:w="68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Cs w:val="21"/>
              </w:rPr>
            </w:pPr>
          </w:p>
        </w:tc>
        <w:tc>
          <w:tcPr>
            <w:tcW w:w="7228" w:type="dxa"/>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hint="eastAsia" w:ascii="宋体" w:hAnsi="宋体" w:cs="宋体"/>
                <w:b/>
                <w:bCs/>
                <w:color w:val="auto"/>
                <w:szCs w:val="21"/>
              </w:rPr>
            </w:pPr>
            <w:r>
              <w:rPr>
                <w:rFonts w:hint="eastAsia" w:ascii="宋体" w:hAnsi="宋体" w:cs="宋体"/>
                <w:b/>
                <w:bCs/>
                <w:color w:val="auto"/>
                <w:kern w:val="0"/>
                <w:szCs w:val="21"/>
                <w:lang w:bidi="ar"/>
              </w:rPr>
              <w:t>三、演示邻里场景(合计2分)：</w:t>
            </w:r>
            <w:r>
              <w:rPr>
                <w:rFonts w:hint="eastAsia" w:ascii="宋体" w:hAnsi="宋体" w:cs="宋体"/>
                <w:b/>
                <w:bCs/>
                <w:color w:val="auto"/>
                <w:kern w:val="0"/>
                <w:szCs w:val="21"/>
                <w:lang w:bidi="ar"/>
              </w:rPr>
              <w:br w:type="textWrapping"/>
            </w:r>
            <w:r>
              <w:rPr>
                <w:rFonts w:hint="eastAsia" w:ascii="宋体" w:hAnsi="宋体" w:cs="宋体"/>
                <w:color w:val="auto"/>
                <w:kern w:val="0"/>
                <w:szCs w:val="21"/>
                <w:lang w:bidi="ar"/>
              </w:rPr>
              <w:t>1、演示积分中心：支持积分规则配置管理，支持积分商城管理和积分兑换。（根据演示效果打分：0-1分）</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2、演示在</w:t>
            </w:r>
            <w:r>
              <w:rPr>
                <w:rFonts w:hint="eastAsia" w:ascii="宋体" w:hAnsi="宋体" w:cs="宋体"/>
                <w:color w:val="auto"/>
                <w:kern w:val="0"/>
                <w:szCs w:val="21"/>
                <w:lang w:eastAsia="zh-CN" w:bidi="ar"/>
              </w:rPr>
              <w:t>居民</w:t>
            </w:r>
            <w:r>
              <w:rPr>
                <w:rFonts w:hint="eastAsia" w:ascii="宋体" w:hAnsi="宋体" w:cs="宋体"/>
                <w:color w:val="auto"/>
                <w:kern w:val="0"/>
                <w:szCs w:val="21"/>
                <w:lang w:bidi="ar"/>
              </w:rPr>
              <w:t>端发布志愿者活动，</w:t>
            </w:r>
            <w:r>
              <w:rPr>
                <w:rFonts w:hint="eastAsia" w:ascii="宋体" w:hAnsi="宋体" w:cs="宋体"/>
                <w:color w:val="auto"/>
                <w:kern w:val="0"/>
                <w:szCs w:val="21"/>
                <w:lang w:eastAsia="zh-CN" w:bidi="ar"/>
              </w:rPr>
              <w:t>同时推送至相关党员志愿服务先锋台（如无法演示需提供接入方案）</w:t>
            </w:r>
            <w:r>
              <w:rPr>
                <w:rFonts w:hint="eastAsia" w:ascii="宋体" w:hAnsi="宋体" w:cs="宋体"/>
                <w:color w:val="auto"/>
                <w:kern w:val="0"/>
                <w:szCs w:val="21"/>
                <w:lang w:bidi="ar"/>
              </w:rPr>
              <w:t>。（根据演示效果打分：0-1分）</w:t>
            </w:r>
          </w:p>
        </w:tc>
        <w:tc>
          <w:tcPr>
            <w:tcW w:w="47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90" w:hRule="atLeast"/>
        </w:trPr>
        <w:tc>
          <w:tcPr>
            <w:tcW w:w="46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21</w:t>
            </w:r>
          </w:p>
        </w:tc>
        <w:tc>
          <w:tcPr>
            <w:tcW w:w="68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Cs w:val="21"/>
              </w:rPr>
            </w:pPr>
          </w:p>
        </w:tc>
        <w:tc>
          <w:tcPr>
            <w:tcW w:w="7228" w:type="dxa"/>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hint="eastAsia" w:ascii="宋体" w:hAnsi="宋体" w:cs="宋体"/>
                <w:b/>
                <w:bCs/>
                <w:color w:val="auto"/>
                <w:szCs w:val="21"/>
              </w:rPr>
            </w:pPr>
            <w:r>
              <w:rPr>
                <w:rFonts w:hint="eastAsia" w:ascii="宋体" w:hAnsi="宋体" w:cs="宋体"/>
                <w:b/>
                <w:bCs/>
                <w:color w:val="auto"/>
                <w:kern w:val="0"/>
                <w:szCs w:val="21"/>
                <w:lang w:bidi="ar"/>
              </w:rPr>
              <w:t>四、演示教育场景(合计2分)：</w:t>
            </w:r>
            <w:r>
              <w:rPr>
                <w:rFonts w:hint="eastAsia" w:ascii="宋体" w:hAnsi="宋体" w:cs="宋体"/>
                <w:b/>
                <w:bCs/>
                <w:color w:val="auto"/>
                <w:kern w:val="0"/>
                <w:szCs w:val="21"/>
                <w:lang w:bidi="ar"/>
              </w:rPr>
              <w:br w:type="textWrapping"/>
            </w:r>
            <w:r>
              <w:rPr>
                <w:rFonts w:hint="eastAsia" w:ascii="宋体" w:hAnsi="宋体" w:cs="宋体"/>
                <w:color w:val="auto"/>
                <w:kern w:val="0"/>
                <w:szCs w:val="21"/>
                <w:lang w:bidi="ar"/>
              </w:rPr>
              <w:t>1、演示共享教室功能：支持教室申请预约，能够查看教室预约情况。（根据演示效果打分：0-1分）</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2、演示课程预约功能：支持课程创建，居民查看课程情况，报名课程。（根据演示效果打分：0-1分）</w:t>
            </w:r>
          </w:p>
        </w:tc>
        <w:tc>
          <w:tcPr>
            <w:tcW w:w="47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2149" w:hRule="atLeast"/>
        </w:trPr>
        <w:tc>
          <w:tcPr>
            <w:tcW w:w="46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22</w:t>
            </w:r>
          </w:p>
        </w:tc>
        <w:tc>
          <w:tcPr>
            <w:tcW w:w="68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Cs w:val="21"/>
              </w:rPr>
            </w:pPr>
          </w:p>
        </w:tc>
        <w:tc>
          <w:tcPr>
            <w:tcW w:w="722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val="0"/>
              <w:textAlignment w:val="center"/>
              <w:rPr>
                <w:rFonts w:hint="eastAsia" w:ascii="宋体" w:hAnsi="宋体" w:cs="宋体"/>
                <w:b/>
                <w:bCs/>
                <w:color w:val="000000"/>
                <w:szCs w:val="21"/>
              </w:rPr>
            </w:pPr>
            <w:r>
              <w:rPr>
                <w:rFonts w:hint="eastAsia" w:ascii="宋体" w:hAnsi="宋体" w:cs="宋体"/>
                <w:b/>
                <w:bCs/>
                <w:color w:val="000000"/>
                <w:kern w:val="0"/>
                <w:szCs w:val="21"/>
                <w:lang w:bidi="ar"/>
              </w:rPr>
              <w:t>五、演示健康场景：(合计</w:t>
            </w:r>
            <w:r>
              <w:rPr>
                <w:rFonts w:hint="eastAsia" w:ascii="宋体" w:hAnsi="宋体" w:cs="宋体"/>
                <w:b/>
                <w:bCs/>
                <w:color w:val="000000"/>
                <w:kern w:val="0"/>
                <w:szCs w:val="21"/>
                <w:lang w:val="en-US" w:eastAsia="zh-CN" w:bidi="ar"/>
              </w:rPr>
              <w:t>3</w:t>
            </w:r>
            <w:r>
              <w:rPr>
                <w:rFonts w:hint="eastAsia" w:ascii="宋体" w:hAnsi="宋体" w:cs="宋体"/>
                <w:b/>
                <w:bCs/>
                <w:color w:val="000000"/>
                <w:kern w:val="0"/>
                <w:szCs w:val="21"/>
                <w:lang w:bidi="ar"/>
              </w:rPr>
              <w:t>分)</w:t>
            </w:r>
            <w:r>
              <w:rPr>
                <w:rFonts w:hint="eastAsia" w:ascii="宋体" w:hAnsi="宋体" w:cs="宋体"/>
                <w:b/>
                <w:bCs/>
                <w:color w:val="000000"/>
                <w:kern w:val="0"/>
                <w:szCs w:val="21"/>
                <w:lang w:bidi="ar"/>
              </w:rPr>
              <w:br w:type="textWrapping"/>
            </w:r>
            <w:r>
              <w:rPr>
                <w:rFonts w:hint="eastAsia" w:ascii="宋体" w:hAnsi="宋体" w:cs="宋体"/>
                <w:color w:val="000000"/>
                <w:kern w:val="0"/>
                <w:szCs w:val="21"/>
                <w:lang w:bidi="ar"/>
              </w:rPr>
              <w:t>1、用户在健康小屋服务终端刷身份证、医保卡登录；</w:t>
            </w:r>
            <w:r>
              <w:rPr>
                <w:rFonts w:hint="eastAsia" w:ascii="宋体" w:hAnsi="宋体" w:cs="宋体"/>
                <w:color w:val="000000"/>
                <w:kern w:val="0"/>
                <w:szCs w:val="21"/>
                <w:lang w:val="en-US" w:eastAsia="zh-CN" w:bidi="ar"/>
              </w:rPr>
              <w:t>可</w:t>
            </w:r>
            <w:r>
              <w:rPr>
                <w:rFonts w:hint="eastAsia" w:ascii="宋体" w:hAnsi="宋体" w:cs="宋体"/>
                <w:color w:val="000000"/>
                <w:kern w:val="0"/>
                <w:szCs w:val="21"/>
                <w:lang w:bidi="ar"/>
              </w:rPr>
              <w:t>进行人脸识别实名认证,实现互联网诊疗预约挂号，并实现医保结算</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（根据演示效果打分：0-1分）</w:t>
            </w:r>
            <w:r>
              <w:rPr>
                <w:rFonts w:hint="eastAsia" w:ascii="宋体" w:hAnsi="宋体" w:cs="宋体"/>
                <w:color w:val="000000"/>
                <w:kern w:val="0"/>
                <w:szCs w:val="21"/>
                <w:lang w:bidi="ar"/>
              </w:rPr>
              <w:br w:type="textWrapping"/>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、通过图文问诊、医生开方、医师审方，用户确认处方后进行在线支付</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（根据演示效果打分：0-1分）</w:t>
            </w:r>
            <w:r>
              <w:rPr>
                <w:rFonts w:hint="eastAsia" w:ascii="宋体" w:hAnsi="宋体" w:cs="宋体"/>
                <w:color w:val="000000"/>
                <w:kern w:val="0"/>
                <w:szCs w:val="21"/>
                <w:lang w:bidi="ar"/>
              </w:rPr>
              <w:br w:type="textWrapping"/>
            </w:r>
            <w:r>
              <w:rPr>
                <w:rFonts w:hint="eastAsia" w:ascii="宋体" w:hAnsi="宋体" w:cs="宋体"/>
                <w:color w:val="000000"/>
                <w:kern w:val="0"/>
                <w:szCs w:val="21"/>
                <w:lang w:val="en-US" w:eastAsia="zh-CN" w:bidi="ar"/>
              </w:rPr>
              <w:t>3</w:t>
            </w:r>
            <w:r>
              <w:rPr>
                <w:rFonts w:hint="eastAsia" w:ascii="宋体" w:hAnsi="宋体" w:cs="宋体"/>
                <w:color w:val="000000"/>
                <w:kern w:val="0"/>
                <w:szCs w:val="21"/>
                <w:lang w:bidi="ar"/>
              </w:rPr>
              <w:t>、支付后健康小屋服务终端可以打印处方码，用户可凭码在智能售药机取药。（根据演示效果打分：0-1分）</w:t>
            </w:r>
          </w:p>
        </w:tc>
        <w:tc>
          <w:tcPr>
            <w:tcW w:w="47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3</w:t>
            </w:r>
          </w:p>
        </w:tc>
      </w:tr>
      <w:tr>
        <w:tblPrEx>
          <w:tblCellMar>
            <w:top w:w="0" w:type="dxa"/>
            <w:left w:w="108" w:type="dxa"/>
            <w:bottom w:w="0" w:type="dxa"/>
            <w:right w:w="108" w:type="dxa"/>
          </w:tblCellMar>
        </w:tblPrEx>
        <w:trPr>
          <w:trHeight w:val="1482" w:hRule="atLeast"/>
        </w:trPr>
        <w:tc>
          <w:tcPr>
            <w:tcW w:w="46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w:t>
            </w:r>
          </w:p>
        </w:tc>
        <w:tc>
          <w:tcPr>
            <w:tcW w:w="68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Cs w:val="21"/>
              </w:rPr>
            </w:pPr>
          </w:p>
        </w:tc>
        <w:tc>
          <w:tcPr>
            <w:tcW w:w="7228" w:type="dxa"/>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hint="eastAsia" w:ascii="宋体" w:hAnsi="宋体" w:cs="宋体"/>
                <w:b/>
                <w:bCs/>
                <w:color w:val="000000"/>
                <w:szCs w:val="21"/>
              </w:rPr>
            </w:pPr>
            <w:r>
              <w:rPr>
                <w:rFonts w:hint="eastAsia" w:ascii="宋体" w:hAnsi="宋体" w:cs="宋体"/>
                <w:b/>
                <w:bCs/>
                <w:color w:val="000000"/>
                <w:kern w:val="0"/>
                <w:szCs w:val="21"/>
                <w:lang w:bidi="ar"/>
              </w:rPr>
              <w:t>六、演示治理场景(合计</w:t>
            </w:r>
            <w:r>
              <w:rPr>
                <w:rFonts w:hint="eastAsia" w:ascii="宋体" w:hAnsi="宋体" w:cs="宋体"/>
                <w:b/>
                <w:bCs/>
                <w:color w:val="000000"/>
                <w:kern w:val="0"/>
                <w:szCs w:val="21"/>
                <w:lang w:val="en-US" w:eastAsia="zh-CN" w:bidi="ar"/>
              </w:rPr>
              <w:t>2</w:t>
            </w:r>
            <w:r>
              <w:rPr>
                <w:rFonts w:hint="eastAsia" w:ascii="宋体" w:hAnsi="宋体" w:cs="宋体"/>
                <w:b/>
                <w:bCs/>
                <w:color w:val="000000"/>
                <w:kern w:val="0"/>
                <w:szCs w:val="21"/>
                <w:lang w:bidi="ar"/>
              </w:rPr>
              <w:t>分)：</w:t>
            </w:r>
            <w:r>
              <w:rPr>
                <w:rFonts w:hint="eastAsia" w:ascii="宋体" w:hAnsi="宋体" w:cs="宋体"/>
                <w:b/>
                <w:bCs/>
                <w:color w:val="000000"/>
                <w:kern w:val="0"/>
                <w:szCs w:val="21"/>
                <w:lang w:bidi="ar"/>
              </w:rPr>
              <w:br w:type="textWrapping"/>
            </w:r>
            <w:r>
              <w:rPr>
                <w:rFonts w:hint="eastAsia" w:ascii="宋体" w:hAnsi="宋体" w:cs="宋体"/>
                <w:color w:val="000000"/>
                <w:kern w:val="0"/>
                <w:szCs w:val="21"/>
                <w:lang w:bidi="ar"/>
              </w:rPr>
              <w:t>1、</w:t>
            </w:r>
            <w:r>
              <w:rPr>
                <w:rFonts w:hint="eastAsia" w:ascii="宋体" w:hAnsi="宋体" w:cs="宋体"/>
                <w:color w:val="auto"/>
                <w:kern w:val="0"/>
                <w:szCs w:val="21"/>
                <w:lang w:bidi="ar"/>
              </w:rPr>
              <w:t>演示党建引领功能：包括党建新闻发布，党组织管理</w:t>
            </w:r>
            <w:r>
              <w:rPr>
                <w:rFonts w:hint="eastAsia" w:ascii="宋体" w:hAnsi="宋体" w:cs="宋体"/>
                <w:color w:val="auto"/>
                <w:kern w:val="0"/>
                <w:szCs w:val="21"/>
                <w:lang w:eastAsia="zh-CN" w:bidi="ar"/>
              </w:rPr>
              <w:t>和党员认证等相关功能</w:t>
            </w:r>
            <w:r>
              <w:rPr>
                <w:rFonts w:hint="eastAsia" w:ascii="宋体" w:hAnsi="宋体" w:cs="宋体"/>
                <w:color w:val="auto"/>
                <w:kern w:val="0"/>
                <w:szCs w:val="21"/>
                <w:lang w:bidi="ar"/>
              </w:rPr>
              <w:t>。（根据演示效果打分：0-1分）</w:t>
            </w:r>
            <w:r>
              <w:rPr>
                <w:rFonts w:hint="eastAsia" w:ascii="宋体" w:hAnsi="宋体" w:cs="宋体"/>
                <w:color w:val="auto"/>
                <w:kern w:val="0"/>
                <w:szCs w:val="21"/>
                <w:lang w:bidi="ar"/>
              </w:rPr>
              <w:br w:type="textWrapping"/>
            </w:r>
            <w:r>
              <w:rPr>
                <w:rFonts w:hint="eastAsia" w:ascii="宋体" w:hAnsi="宋体" w:cs="宋体"/>
                <w:color w:val="auto"/>
                <w:kern w:val="0"/>
                <w:szCs w:val="21"/>
                <w:lang w:val="en-US" w:eastAsia="zh-CN" w:bidi="ar"/>
              </w:rPr>
              <w:t>2</w:t>
            </w:r>
            <w:r>
              <w:rPr>
                <w:rFonts w:hint="eastAsia" w:ascii="宋体" w:hAnsi="宋体" w:cs="宋体"/>
                <w:color w:val="auto"/>
                <w:kern w:val="0"/>
                <w:szCs w:val="21"/>
                <w:lang w:bidi="ar"/>
              </w:rPr>
              <w:t>、演示</w:t>
            </w:r>
            <w:r>
              <w:rPr>
                <w:rFonts w:hint="eastAsia" w:ascii="宋体" w:hAnsi="宋体" w:cs="宋体"/>
                <w:color w:val="auto"/>
                <w:kern w:val="0"/>
                <w:szCs w:val="21"/>
                <w:lang w:eastAsia="zh-CN" w:bidi="ar"/>
              </w:rPr>
              <w:t>通过自助服务终端查询个人信息和社会保障卡操作</w:t>
            </w:r>
            <w:r>
              <w:rPr>
                <w:rFonts w:hint="eastAsia" w:ascii="宋体" w:hAnsi="宋体" w:cs="宋体"/>
                <w:color w:val="auto"/>
                <w:kern w:val="0"/>
                <w:szCs w:val="21"/>
                <w:lang w:val="en-US" w:eastAsia="zh-CN" w:bidi="ar"/>
              </w:rPr>
              <w:t>等相关功能</w:t>
            </w:r>
            <w:r>
              <w:rPr>
                <w:rFonts w:hint="eastAsia" w:ascii="宋体" w:hAnsi="宋体" w:cs="宋体"/>
                <w:color w:val="auto"/>
                <w:kern w:val="0"/>
                <w:szCs w:val="21"/>
                <w:lang w:eastAsia="zh-CN" w:bidi="ar"/>
              </w:rPr>
              <w:t>。</w:t>
            </w:r>
            <w:r>
              <w:rPr>
                <w:rFonts w:hint="eastAsia" w:ascii="宋体" w:hAnsi="宋体" w:cs="宋体"/>
                <w:color w:val="000000"/>
                <w:kern w:val="0"/>
                <w:szCs w:val="21"/>
                <w:lang w:bidi="ar"/>
              </w:rPr>
              <w:t>（根据演示效果打分：0-1分）</w:t>
            </w:r>
          </w:p>
        </w:tc>
        <w:tc>
          <w:tcPr>
            <w:tcW w:w="47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2</w:t>
            </w:r>
          </w:p>
        </w:tc>
      </w:tr>
      <w:tr>
        <w:tblPrEx>
          <w:tblCellMar>
            <w:top w:w="0" w:type="dxa"/>
            <w:left w:w="108" w:type="dxa"/>
            <w:bottom w:w="0" w:type="dxa"/>
            <w:right w:w="108" w:type="dxa"/>
          </w:tblCellMar>
        </w:tblPrEx>
        <w:trPr>
          <w:trHeight w:val="280" w:hRule="atLeast"/>
        </w:trPr>
        <w:tc>
          <w:tcPr>
            <w:tcW w:w="469"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w:t>
            </w:r>
          </w:p>
        </w:tc>
        <w:tc>
          <w:tcPr>
            <w:tcW w:w="68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Cs w:val="21"/>
              </w:rPr>
            </w:pPr>
          </w:p>
        </w:tc>
        <w:tc>
          <w:tcPr>
            <w:tcW w:w="7228"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hint="eastAsia" w:ascii="宋体" w:hAnsi="宋体" w:cs="宋体"/>
                <w:b/>
                <w:bCs/>
                <w:color w:val="000000"/>
                <w:szCs w:val="21"/>
              </w:rPr>
            </w:pPr>
            <w:r>
              <w:rPr>
                <w:rFonts w:hint="eastAsia" w:ascii="宋体" w:hAnsi="宋体" w:cs="宋体"/>
                <w:b/>
                <w:bCs/>
                <w:color w:val="000000"/>
                <w:kern w:val="0"/>
                <w:szCs w:val="21"/>
                <w:lang w:bidi="ar"/>
              </w:rPr>
              <w:t>七、演示大洋社区建模：(合计</w:t>
            </w:r>
            <w:r>
              <w:rPr>
                <w:rFonts w:hint="eastAsia" w:ascii="宋体" w:hAnsi="宋体" w:cs="宋体"/>
                <w:b/>
                <w:bCs/>
                <w:color w:val="000000"/>
                <w:kern w:val="0"/>
                <w:szCs w:val="21"/>
                <w:lang w:val="en-US" w:eastAsia="zh-CN" w:bidi="ar"/>
              </w:rPr>
              <w:t>4</w:t>
            </w:r>
            <w:r>
              <w:rPr>
                <w:rFonts w:hint="eastAsia" w:ascii="宋体" w:hAnsi="宋体" w:cs="宋体"/>
                <w:b/>
                <w:bCs/>
                <w:color w:val="000000"/>
                <w:kern w:val="0"/>
                <w:szCs w:val="21"/>
                <w:lang w:bidi="ar"/>
              </w:rPr>
              <w:t>分)</w:t>
            </w:r>
            <w:r>
              <w:rPr>
                <w:rFonts w:hint="eastAsia" w:ascii="宋体" w:hAnsi="宋体" w:cs="宋体"/>
                <w:b/>
                <w:bCs/>
                <w:color w:val="000000"/>
                <w:kern w:val="0"/>
                <w:szCs w:val="21"/>
                <w:lang w:bidi="ar"/>
              </w:rPr>
              <w:br w:type="textWrapping"/>
            </w:r>
            <w:r>
              <w:rPr>
                <w:rFonts w:hint="eastAsia" w:ascii="宋体" w:hAnsi="宋体" w:cs="宋体"/>
                <w:color w:val="000000"/>
                <w:kern w:val="0"/>
                <w:szCs w:val="21"/>
                <w:lang w:bidi="ar"/>
              </w:rPr>
              <w:t>1、社区建模效果需准确还原指定区域的地形和道路（误差不大于0.5米），精准还原主要建筑与设施，保证颜色、结构一致。（根据演示效果打分：0-1分）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2、社区建模效果需准确还原主要设施周边50米范围内的建筑与设施，误差不超过2米，同时支持大气雾、高度雾以及最新的图形效果。（根据演示效果打分：0-1分）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3、固定视角或动态视角展示：用户可以通过动态视角即场景模型进行多角度呈现，可以旋转看到建筑物的正面、侧面或后面等。（根据演示效果打分：0-1分）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4、系统支持对社区全三维场景的基本操作，能够实现无限放大、缩小、上升、下降、俯视、仰视、旋转，实现对场景的360°全方位操作</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白昼模式切换：三维模型场景支持白天模式和夜晚模式之间进行切换。（根据演示效果打分：0-1分）</w:t>
            </w:r>
            <w:r>
              <w:rPr>
                <w:rFonts w:hint="eastAsia" w:ascii="宋体" w:hAnsi="宋体" w:cs="宋体"/>
                <w:b/>
                <w:bCs/>
                <w:color w:val="000000"/>
                <w:kern w:val="0"/>
                <w:szCs w:val="21"/>
                <w:lang w:bidi="ar"/>
              </w:rPr>
              <w:br w:type="textWrapping"/>
            </w:r>
            <w:r>
              <w:rPr>
                <w:rFonts w:hint="eastAsia" w:ascii="宋体" w:hAnsi="宋体" w:cs="宋体"/>
                <w:b/>
                <w:bCs/>
                <w:color w:val="000000"/>
                <w:kern w:val="0"/>
                <w:szCs w:val="21"/>
                <w:lang w:bidi="ar"/>
              </w:rPr>
              <w:t>需要根据大洋社区建模，否则不得分。</w:t>
            </w:r>
          </w:p>
        </w:tc>
        <w:tc>
          <w:tcPr>
            <w:tcW w:w="470"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4</w:t>
            </w:r>
          </w:p>
        </w:tc>
      </w:tr>
      <w:tr>
        <w:tblPrEx>
          <w:tblCellMar>
            <w:top w:w="0" w:type="dxa"/>
            <w:left w:w="108" w:type="dxa"/>
            <w:bottom w:w="0" w:type="dxa"/>
            <w:right w:w="108" w:type="dxa"/>
          </w:tblCellMar>
        </w:tblPrEx>
        <w:trPr>
          <w:trHeight w:val="280" w:hRule="atLeast"/>
        </w:trPr>
        <w:tc>
          <w:tcPr>
            <w:tcW w:w="46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Cs w:val="21"/>
              </w:rPr>
            </w:pPr>
          </w:p>
        </w:tc>
        <w:tc>
          <w:tcPr>
            <w:tcW w:w="68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Cs w:val="21"/>
              </w:rPr>
            </w:pPr>
          </w:p>
        </w:tc>
        <w:tc>
          <w:tcPr>
            <w:tcW w:w="7228"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rFonts w:hint="eastAsia" w:ascii="宋体" w:hAnsi="宋体" w:cs="宋体"/>
                <w:b/>
                <w:bCs/>
                <w:color w:val="000000"/>
                <w:szCs w:val="21"/>
              </w:rPr>
            </w:pPr>
          </w:p>
        </w:tc>
        <w:tc>
          <w:tcPr>
            <w:tcW w:w="47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280" w:hRule="atLeast"/>
        </w:trPr>
        <w:tc>
          <w:tcPr>
            <w:tcW w:w="46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Cs w:val="21"/>
              </w:rPr>
            </w:pPr>
          </w:p>
        </w:tc>
        <w:tc>
          <w:tcPr>
            <w:tcW w:w="68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Cs w:val="21"/>
              </w:rPr>
            </w:pPr>
          </w:p>
        </w:tc>
        <w:tc>
          <w:tcPr>
            <w:tcW w:w="7228"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rFonts w:hint="eastAsia" w:ascii="宋体" w:hAnsi="宋体" w:cs="宋体"/>
                <w:b/>
                <w:bCs/>
                <w:color w:val="000000"/>
                <w:szCs w:val="21"/>
              </w:rPr>
            </w:pPr>
          </w:p>
        </w:tc>
        <w:tc>
          <w:tcPr>
            <w:tcW w:w="47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280" w:hRule="atLeast"/>
        </w:trPr>
        <w:tc>
          <w:tcPr>
            <w:tcW w:w="46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Cs w:val="21"/>
              </w:rPr>
            </w:pPr>
          </w:p>
        </w:tc>
        <w:tc>
          <w:tcPr>
            <w:tcW w:w="68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Cs w:val="21"/>
              </w:rPr>
            </w:pPr>
          </w:p>
        </w:tc>
        <w:tc>
          <w:tcPr>
            <w:tcW w:w="7228"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rFonts w:hint="eastAsia" w:ascii="宋体" w:hAnsi="宋体" w:cs="宋体"/>
                <w:b/>
                <w:bCs/>
                <w:color w:val="000000"/>
                <w:szCs w:val="21"/>
              </w:rPr>
            </w:pPr>
          </w:p>
        </w:tc>
        <w:tc>
          <w:tcPr>
            <w:tcW w:w="47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280" w:hRule="atLeast"/>
        </w:trPr>
        <w:tc>
          <w:tcPr>
            <w:tcW w:w="46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Cs w:val="21"/>
              </w:rPr>
            </w:pPr>
          </w:p>
        </w:tc>
        <w:tc>
          <w:tcPr>
            <w:tcW w:w="68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Cs w:val="21"/>
              </w:rPr>
            </w:pPr>
          </w:p>
        </w:tc>
        <w:tc>
          <w:tcPr>
            <w:tcW w:w="7228"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rFonts w:hint="eastAsia" w:ascii="宋体" w:hAnsi="宋体" w:cs="宋体"/>
                <w:b/>
                <w:bCs/>
                <w:color w:val="000000"/>
                <w:szCs w:val="21"/>
              </w:rPr>
            </w:pPr>
          </w:p>
        </w:tc>
        <w:tc>
          <w:tcPr>
            <w:tcW w:w="47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280" w:hRule="atLeast"/>
        </w:trPr>
        <w:tc>
          <w:tcPr>
            <w:tcW w:w="46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Cs w:val="21"/>
              </w:rPr>
            </w:pPr>
          </w:p>
        </w:tc>
        <w:tc>
          <w:tcPr>
            <w:tcW w:w="68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Cs w:val="21"/>
              </w:rPr>
            </w:pPr>
          </w:p>
        </w:tc>
        <w:tc>
          <w:tcPr>
            <w:tcW w:w="7228"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rFonts w:hint="eastAsia" w:ascii="宋体" w:hAnsi="宋体" w:cs="宋体"/>
                <w:b/>
                <w:bCs/>
                <w:color w:val="000000"/>
                <w:szCs w:val="21"/>
              </w:rPr>
            </w:pPr>
          </w:p>
        </w:tc>
        <w:tc>
          <w:tcPr>
            <w:tcW w:w="47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2273" w:hRule="atLeast"/>
        </w:trPr>
        <w:tc>
          <w:tcPr>
            <w:tcW w:w="46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Cs w:val="21"/>
              </w:rPr>
            </w:pPr>
          </w:p>
        </w:tc>
        <w:tc>
          <w:tcPr>
            <w:tcW w:w="68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Cs w:val="21"/>
              </w:rPr>
            </w:pPr>
          </w:p>
        </w:tc>
        <w:tc>
          <w:tcPr>
            <w:tcW w:w="7228"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rFonts w:hint="eastAsia" w:ascii="宋体" w:hAnsi="宋体" w:cs="宋体"/>
                <w:b/>
                <w:bCs/>
                <w:color w:val="000000"/>
                <w:szCs w:val="21"/>
              </w:rPr>
            </w:pPr>
          </w:p>
        </w:tc>
        <w:tc>
          <w:tcPr>
            <w:tcW w:w="47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565" w:hRule="atLeast"/>
        </w:trPr>
        <w:tc>
          <w:tcPr>
            <w:tcW w:w="46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Cs w:val="21"/>
              </w:rPr>
            </w:pPr>
          </w:p>
        </w:tc>
        <w:tc>
          <w:tcPr>
            <w:tcW w:w="68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Cs w:val="21"/>
              </w:rPr>
            </w:pPr>
          </w:p>
        </w:tc>
        <w:tc>
          <w:tcPr>
            <w:tcW w:w="7228" w:type="dxa"/>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注：1、系统演示得分。原型设计演示（包括用Axure、墨刀、sketch、PS等软件制作的原型）不得分，PPT演示不得分。</w:t>
            </w:r>
          </w:p>
          <w:p>
            <w:pPr>
              <w:widowControl/>
              <w:textAlignment w:val="center"/>
              <w:rPr>
                <w:rFonts w:hint="eastAsia" w:ascii="宋体" w:hAnsi="宋体" w:cs="宋体"/>
                <w:b/>
                <w:bCs/>
                <w:color w:val="auto"/>
                <w:kern w:val="0"/>
                <w:szCs w:val="21"/>
                <w:lang w:bidi="ar"/>
              </w:rPr>
            </w:pPr>
            <w:r>
              <w:rPr>
                <w:rFonts w:hint="eastAsia" w:ascii="宋体" w:hAnsi="宋体" w:cs="宋体"/>
                <w:b/>
                <w:bCs/>
                <w:color w:val="000000"/>
                <w:kern w:val="0"/>
                <w:szCs w:val="21"/>
                <w:lang w:bidi="ar"/>
              </w:rPr>
              <w:t>2、</w:t>
            </w:r>
            <w:r>
              <w:rPr>
                <w:rFonts w:hint="eastAsia" w:ascii="宋体" w:hAnsi="宋体" w:cs="宋体"/>
                <w:b/>
                <w:bCs/>
                <w:color w:val="auto"/>
                <w:kern w:val="0"/>
                <w:szCs w:val="21"/>
                <w:lang w:bidi="ar"/>
              </w:rPr>
              <w:t>本次系统演示由投标人自行决定线下或线上演示。</w:t>
            </w:r>
          </w:p>
          <w:p>
            <w:pPr>
              <w:widowControl/>
              <w:textAlignment w:val="center"/>
              <w:rPr>
                <w:rFonts w:hint="eastAsia" w:ascii="宋体" w:hAnsi="宋体" w:eastAsia="宋体" w:cs="宋体"/>
                <w:b/>
                <w:bCs/>
                <w:color w:val="auto"/>
                <w:kern w:val="0"/>
                <w:szCs w:val="21"/>
                <w:lang w:val="en-US" w:eastAsia="zh-CN" w:bidi="ar"/>
              </w:rPr>
            </w:pPr>
            <w:r>
              <w:rPr>
                <w:rFonts w:hint="eastAsia" w:ascii="宋体" w:hAnsi="宋体" w:cs="宋体"/>
                <w:b/>
                <w:bCs/>
                <w:color w:val="auto"/>
                <w:kern w:val="0"/>
                <w:szCs w:val="21"/>
                <w:lang w:val="en-US" w:eastAsia="zh-CN" w:bidi="ar"/>
              </w:rPr>
              <w:t>3、线下演示：如有演示文件要递交的，必须在投标时间截止前递交至开标地点（详见第一章 投标邀请）。</w:t>
            </w:r>
            <w:r>
              <w:rPr>
                <w:rFonts w:hint="eastAsia" w:ascii="宋体" w:hAnsi="宋体" w:cs="宋体"/>
                <w:b/>
                <w:bCs/>
                <w:color w:val="auto"/>
                <w:kern w:val="0"/>
                <w:szCs w:val="21"/>
                <w:lang w:bidi="ar"/>
              </w:rPr>
              <w:t>每家投标人演示人员为1人、演示时间不超过</w:t>
            </w:r>
            <w:r>
              <w:rPr>
                <w:rFonts w:hint="eastAsia" w:ascii="宋体" w:hAnsi="宋体" w:cs="宋体"/>
                <w:b/>
                <w:bCs/>
                <w:color w:val="auto"/>
                <w:kern w:val="0"/>
                <w:szCs w:val="21"/>
                <w:lang w:val="en-US" w:eastAsia="zh-CN" w:bidi="ar"/>
              </w:rPr>
              <w:t>30</w:t>
            </w:r>
            <w:r>
              <w:rPr>
                <w:rFonts w:hint="eastAsia" w:ascii="宋体" w:hAnsi="宋体" w:cs="宋体"/>
                <w:b/>
                <w:bCs/>
                <w:color w:val="auto"/>
                <w:kern w:val="0"/>
                <w:szCs w:val="21"/>
                <w:lang w:bidi="ar"/>
              </w:rPr>
              <w:t>分钟</w:t>
            </w:r>
            <w:r>
              <w:rPr>
                <w:rFonts w:hint="eastAsia" w:ascii="宋体" w:hAnsi="宋体" w:cs="宋体"/>
                <w:b/>
                <w:bCs/>
                <w:color w:val="auto"/>
                <w:kern w:val="0"/>
                <w:szCs w:val="21"/>
                <w:lang w:eastAsia="zh-CN" w:bidi="ar"/>
              </w:rPr>
              <w:t>。</w:t>
            </w:r>
            <w:r>
              <w:rPr>
                <w:rFonts w:hint="eastAsia" w:ascii="宋体" w:hAnsi="宋体" w:eastAsia="宋体" w:cs="宋体"/>
                <w:b/>
                <w:bCs/>
                <w:color w:val="auto"/>
                <w:kern w:val="0"/>
                <w:szCs w:val="21"/>
                <w:lang w:val="en-US" w:eastAsia="zh-CN" w:bidi="ar"/>
              </w:rPr>
              <w:t>演示人员须携带有效身份证件，如演示人员不是法定代表人，须有法定代表人出具的授权委托书（参考格式见“商务技术文件格式.6”）。</w:t>
            </w:r>
          </w:p>
          <w:p>
            <w:pPr>
              <w:widowControl/>
              <w:textAlignment w:val="center"/>
              <w:rPr>
                <w:rFonts w:hint="default" w:ascii="宋体" w:hAnsi="宋体" w:eastAsia="宋体" w:cs="宋体"/>
                <w:b/>
                <w:bCs/>
                <w:color w:val="auto"/>
                <w:kern w:val="0"/>
                <w:szCs w:val="21"/>
                <w:lang w:val="en-US" w:eastAsia="zh-CN" w:bidi="ar"/>
              </w:rPr>
            </w:pPr>
            <w:r>
              <w:rPr>
                <w:rFonts w:hint="eastAsia" w:ascii="宋体" w:hAnsi="宋体" w:eastAsia="宋体" w:cs="宋体"/>
                <w:b/>
                <w:bCs/>
                <w:color w:val="auto"/>
                <w:kern w:val="0"/>
                <w:szCs w:val="21"/>
                <w:lang w:val="en-US" w:eastAsia="zh-CN" w:bidi="ar"/>
              </w:rPr>
              <w:t>注：为保证开评标现场的疫情防控安全，演示人员到场须测量体温、出示绿色台州健康码、有无新型冠状病毒肺炎病史、近14天有无疫情重点地区旅居史或疫情重点地区人员接触史（填写《开评标现场人员健康信息登记表》）。</w:t>
            </w:r>
          </w:p>
          <w:p>
            <w:pPr>
              <w:widowControl/>
              <w:textAlignment w:val="center"/>
              <w:rPr>
                <w:rFonts w:hint="eastAsia" w:ascii="宋体" w:hAnsi="宋体" w:cs="宋体"/>
                <w:b/>
                <w:bCs/>
                <w:color w:val="auto"/>
                <w:szCs w:val="21"/>
              </w:rPr>
            </w:pPr>
            <w:r>
              <w:rPr>
                <w:rFonts w:hint="eastAsia" w:ascii="宋体" w:hAnsi="宋体" w:cs="宋体"/>
                <w:b/>
                <w:bCs/>
                <w:color w:val="auto"/>
                <w:kern w:val="0"/>
                <w:szCs w:val="21"/>
                <w:lang w:val="en-US" w:eastAsia="zh-CN" w:bidi="ar"/>
              </w:rPr>
              <w:t>4</w:t>
            </w:r>
            <w:r>
              <w:rPr>
                <w:rFonts w:hint="eastAsia" w:ascii="宋体" w:hAnsi="宋体" w:cs="宋体"/>
                <w:b/>
                <w:bCs/>
                <w:color w:val="auto"/>
                <w:kern w:val="0"/>
                <w:szCs w:val="21"/>
                <w:lang w:bidi="ar"/>
              </w:rPr>
              <w:t>、线上演示（讲标）通过“政采云视频讲标系统”进行线上视频演示，投标人登录政采云系统-----进入开标大厅---进入本项目进行操作。政采云视频讲标系统在线上视频演示时需要投标人电脑配置有摄像头、音箱和必要的网络带宽（浏览器建议用谷歌浏览器，网络带宽不少于50兆，请勿用无线，以免出现卡顿现象。摄像头建议用中档及以上摄像头，以利于演示时的画面质量；音箱请提前予以调试，以避免演示时出现没有声音现象）。</w:t>
            </w:r>
          </w:p>
          <w:p>
            <w:pPr>
              <w:widowControl/>
              <w:textAlignment w:val="center"/>
              <w:rPr>
                <w:rFonts w:hint="eastAsia" w:ascii="宋体" w:hAnsi="宋体" w:cs="宋体"/>
                <w:b/>
                <w:bCs/>
                <w:color w:val="auto"/>
                <w:szCs w:val="21"/>
              </w:rPr>
            </w:pPr>
            <w:r>
              <w:rPr>
                <w:rFonts w:hint="eastAsia" w:ascii="宋体" w:hAnsi="宋体" w:cs="宋体"/>
                <w:b/>
                <w:bCs/>
                <w:color w:val="auto"/>
                <w:kern w:val="0"/>
                <w:szCs w:val="21"/>
                <w:lang w:bidi="ar"/>
              </w:rPr>
              <w:t>“政采云视频讲标系统”评委可以看见和听见投标人的画面和声音，投标人只能听见的评委的声音，看不见评委的画面。政采云视频讲标系统目前不支持手机端。</w:t>
            </w:r>
          </w:p>
          <w:p>
            <w:pPr>
              <w:widowControl/>
              <w:textAlignment w:val="center"/>
              <w:rPr>
                <w:rFonts w:hint="eastAsia" w:ascii="宋体" w:hAnsi="宋体" w:cs="宋体"/>
                <w:b/>
                <w:bCs/>
                <w:color w:val="auto"/>
                <w:szCs w:val="21"/>
              </w:rPr>
            </w:pPr>
            <w:r>
              <w:rPr>
                <w:rFonts w:hint="eastAsia" w:ascii="宋体" w:hAnsi="宋体" w:cs="宋体"/>
                <w:b/>
                <w:bCs/>
                <w:color w:val="auto"/>
                <w:kern w:val="0"/>
                <w:szCs w:val="21"/>
                <w:lang w:val="en-US" w:eastAsia="zh-CN" w:bidi="ar"/>
              </w:rPr>
              <w:t>5</w:t>
            </w:r>
            <w:r>
              <w:rPr>
                <w:rFonts w:hint="eastAsia" w:ascii="宋体" w:hAnsi="宋体" w:cs="宋体"/>
                <w:b/>
                <w:bCs/>
                <w:color w:val="auto"/>
                <w:kern w:val="0"/>
                <w:szCs w:val="21"/>
                <w:lang w:bidi="ar"/>
              </w:rPr>
              <w:t>、线上演示（讲标）时投标人通过视频方式按照招标文件中的评分标准，详细向评标委员会进行介绍和演示。每家投标人演示人员为1人、演示时间不超过</w:t>
            </w:r>
            <w:r>
              <w:rPr>
                <w:rFonts w:hint="eastAsia" w:ascii="宋体" w:hAnsi="宋体" w:cs="宋体"/>
                <w:b/>
                <w:bCs/>
                <w:color w:val="auto"/>
                <w:kern w:val="0"/>
                <w:szCs w:val="21"/>
                <w:lang w:val="en-US" w:eastAsia="zh-CN" w:bidi="ar"/>
              </w:rPr>
              <w:t>30</w:t>
            </w:r>
            <w:r>
              <w:rPr>
                <w:rFonts w:hint="eastAsia" w:ascii="宋体" w:hAnsi="宋体" w:cs="宋体"/>
                <w:b/>
                <w:bCs/>
                <w:color w:val="auto"/>
                <w:kern w:val="0"/>
                <w:szCs w:val="21"/>
                <w:lang w:bidi="ar"/>
              </w:rPr>
              <w:t>分钟，请各投标人提前予以模拟演示准备，以免开标时由于各种情况而造成线上视频演示不顺畅而影响得分。同时也欢迎投标人以更丰富的线上视频演示设备、方法来达到更加优质的演示效果。</w:t>
            </w:r>
          </w:p>
          <w:p>
            <w:pPr>
              <w:widowControl/>
              <w:textAlignment w:val="center"/>
              <w:rPr>
                <w:rFonts w:hint="eastAsia" w:ascii="宋体" w:hAnsi="宋体" w:cs="宋体"/>
                <w:b/>
                <w:bCs/>
                <w:color w:val="FF0000"/>
                <w:szCs w:val="21"/>
              </w:rPr>
            </w:pPr>
            <w:r>
              <w:rPr>
                <w:rFonts w:hint="eastAsia" w:ascii="宋体" w:hAnsi="宋体" w:cs="宋体"/>
                <w:b/>
                <w:bCs/>
                <w:color w:val="auto"/>
                <w:kern w:val="0"/>
                <w:szCs w:val="21"/>
                <w:lang w:bidi="ar"/>
              </w:rPr>
              <w:t>同时投标人也可以登录政采云系统-----进入开标大厅---进入本项目----点击桌面共享按钮，将自己的电脑共享到“政采云视频讲标系统”里来达到更加优质的演示效果。具体操作指南在《政府采购项目电子交易管理操作指南-供应商—2020年10月版》P34-P38页。</w:t>
            </w:r>
          </w:p>
        </w:tc>
        <w:tc>
          <w:tcPr>
            <w:tcW w:w="47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533" w:hRule="atLeast"/>
        </w:trPr>
        <w:tc>
          <w:tcPr>
            <w:tcW w:w="46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25</w:t>
            </w:r>
          </w:p>
        </w:tc>
        <w:tc>
          <w:tcPr>
            <w:tcW w:w="68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售后服务方案</w:t>
            </w:r>
          </w:p>
        </w:tc>
        <w:tc>
          <w:tcPr>
            <w:tcW w:w="7228" w:type="dxa"/>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1、软件免费维保期提供3年的不得分，每增加1年加1分，满分2分。</w:t>
            </w:r>
          </w:p>
        </w:tc>
        <w:tc>
          <w:tcPr>
            <w:tcW w:w="47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555" w:hRule="atLeast"/>
        </w:trPr>
        <w:tc>
          <w:tcPr>
            <w:tcW w:w="46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w:t>
            </w:r>
          </w:p>
        </w:tc>
        <w:tc>
          <w:tcPr>
            <w:tcW w:w="68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Cs w:val="21"/>
              </w:rPr>
            </w:pPr>
          </w:p>
        </w:tc>
        <w:tc>
          <w:tcPr>
            <w:tcW w:w="7228" w:type="dxa"/>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2、根据投标提供的服务方案措施、服务响应时间等情况进行打分。（0-2分）</w:t>
            </w:r>
          </w:p>
        </w:tc>
        <w:tc>
          <w:tcPr>
            <w:tcW w:w="47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555" w:hRule="atLeast"/>
        </w:trPr>
        <w:tc>
          <w:tcPr>
            <w:tcW w:w="46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27</w:t>
            </w:r>
          </w:p>
        </w:tc>
        <w:tc>
          <w:tcPr>
            <w:tcW w:w="68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Cs w:val="21"/>
              </w:rPr>
            </w:pPr>
          </w:p>
        </w:tc>
        <w:tc>
          <w:tcPr>
            <w:tcW w:w="7228" w:type="dxa"/>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3、根据投标提供的培训计划，包括：培训内容、时间、地点、人次，是否有完整的培训方案，培训是否可落地执行等情况。（0-1分）</w:t>
            </w:r>
          </w:p>
        </w:tc>
        <w:tc>
          <w:tcPr>
            <w:tcW w:w="47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bl>
    <w:p>
      <w:pPr>
        <w:spacing w:line="400" w:lineRule="exact"/>
        <w:rPr>
          <w:rFonts w:hint="eastAsia" w:hAnsi="宋体"/>
          <w:color w:val="000000"/>
          <w:sz w:val="24"/>
          <w:lang w:val="zh-CN"/>
        </w:rPr>
      </w:pPr>
    </w:p>
    <w:p>
      <w:pPr>
        <w:spacing w:line="400" w:lineRule="exact"/>
        <w:rPr>
          <w:rFonts w:hAnsi="宋体"/>
          <w:b/>
          <w:bCs/>
          <w:sz w:val="24"/>
        </w:rPr>
      </w:pPr>
      <w:r>
        <w:rPr>
          <w:rFonts w:hint="eastAsia" w:hAnsi="宋体"/>
          <w:b/>
          <w:bCs/>
          <w:sz w:val="24"/>
        </w:rPr>
        <w:t>提示：</w:t>
      </w:r>
    </w:p>
    <w:p>
      <w:pPr>
        <w:spacing w:line="400" w:lineRule="exact"/>
        <w:rPr>
          <w:rFonts w:hint="eastAsia" w:hAnsi="宋体"/>
          <w:b/>
          <w:bCs/>
          <w:sz w:val="24"/>
          <w:u w:val="single"/>
        </w:rPr>
      </w:pPr>
      <w:r>
        <w:rPr>
          <w:rFonts w:hAnsi="宋体"/>
          <w:b/>
          <w:bCs/>
          <w:sz w:val="24"/>
          <w:u w:val="single"/>
        </w:rPr>
        <w:t>1</w:t>
      </w:r>
      <w:r>
        <w:rPr>
          <w:rFonts w:hint="eastAsia" w:hAnsi="宋体"/>
          <w:b/>
          <w:bCs/>
          <w:sz w:val="24"/>
          <w:u w:val="single"/>
        </w:rPr>
        <w:t>、请各投标人根据本招标文件及评分标准的顺序编制电子投标文件并进行关联定位，以便评标委员会在评审时，点击评分项即可直接定位到该评分项内容。如对招标文件的某项要求，投标人的电子投标文件未能关联定位提供相应的内容与其对应，则评标委员会在评审时如做出对投标人不利的评审由投标人自行承担。</w:t>
      </w:r>
    </w:p>
    <w:p>
      <w:pPr>
        <w:spacing w:line="400" w:lineRule="exact"/>
        <w:rPr>
          <w:rFonts w:hAnsi="宋体"/>
          <w:b/>
          <w:bCs/>
          <w:sz w:val="24"/>
          <w:u w:val="single"/>
          <w:shd w:val="pct10" w:color="auto" w:fill="FFFFFF"/>
        </w:rPr>
      </w:pPr>
      <w:r>
        <w:rPr>
          <w:rFonts w:hAnsi="宋体"/>
          <w:b/>
          <w:bCs/>
          <w:sz w:val="24"/>
          <w:u w:val="single"/>
          <w:shd w:val="pct10" w:color="auto" w:fill="FFFFFF"/>
        </w:rPr>
        <w:t>2</w:t>
      </w:r>
      <w:r>
        <w:rPr>
          <w:rFonts w:hint="eastAsia" w:hAnsi="宋体"/>
          <w:b/>
          <w:bCs/>
          <w:sz w:val="24"/>
          <w:u w:val="single"/>
          <w:shd w:val="pct10" w:color="auto" w:fill="FFFFFF"/>
        </w:rPr>
        <w:t>、投标人提交的所有投标文件、资料（包括所有证书、合同、报告等）都是准确、真实、合规的，如提供虚假资料，投标人需承担一切后果。</w:t>
      </w:r>
    </w:p>
    <w:p>
      <w:pPr>
        <w:spacing w:line="400" w:lineRule="exact"/>
        <w:rPr>
          <w:rFonts w:hint="eastAsia" w:hAnsi="宋体"/>
          <w:sz w:val="24"/>
          <w:shd w:val="pct10" w:color="auto" w:fill="FFFFFF"/>
          <w:lang w:val="zh-CN"/>
        </w:rPr>
      </w:pPr>
      <w:r>
        <w:rPr>
          <w:rFonts w:hAnsi="宋体"/>
          <w:b/>
          <w:bCs/>
          <w:sz w:val="24"/>
          <w:u w:val="single"/>
          <w:shd w:val="pct10" w:color="auto" w:fill="FFFFFF"/>
        </w:rPr>
        <w:t>3</w:t>
      </w:r>
      <w:r>
        <w:rPr>
          <w:rFonts w:hint="eastAsia" w:hAnsi="宋体"/>
          <w:b/>
          <w:bCs/>
          <w:sz w:val="24"/>
          <w:u w:val="single"/>
          <w:shd w:val="pct10" w:color="auto" w:fill="FFFFFF"/>
        </w:rPr>
        <w:t>、为了评审工作更加优质、高效，投标文件</w:t>
      </w:r>
      <w:r>
        <w:rPr>
          <w:rFonts w:hint="eastAsia" w:ascii="宋体" w:hAnsi="宋体"/>
          <w:b/>
          <w:bCs/>
          <w:sz w:val="24"/>
          <w:u w:val="single"/>
          <w:shd w:val="pct10" w:color="auto" w:fill="FFFFFF"/>
        </w:rPr>
        <w:t>张数建议不要超过200张。</w:t>
      </w:r>
    </w:p>
    <w:p>
      <w:pPr>
        <w:spacing w:beforeLines="50" w:afterLines="50" w:line="400" w:lineRule="exact"/>
        <w:ind w:right="480" w:firstLine="361" w:firstLineChars="150"/>
        <w:rPr>
          <w:rFonts w:ascii="宋体" w:hAnsi="宋体"/>
          <w:b/>
          <w:bCs/>
          <w:sz w:val="24"/>
        </w:rPr>
      </w:pPr>
      <w:r>
        <w:rPr>
          <w:rFonts w:hint="eastAsia" w:ascii="宋体" w:hAnsi="宋体"/>
          <w:b/>
          <w:bCs/>
          <w:sz w:val="24"/>
        </w:rPr>
        <w:t>（三）商务技术分的计算方式</w:t>
      </w:r>
    </w:p>
    <w:p>
      <w:pPr>
        <w:spacing w:line="360" w:lineRule="exact"/>
        <w:ind w:firstLine="480" w:firstLineChars="200"/>
        <w:rPr>
          <w:rFonts w:ascii="宋体" w:hAnsi="宋体"/>
          <w:color w:val="000000"/>
          <w:sz w:val="24"/>
        </w:rPr>
      </w:pPr>
      <w:r>
        <w:rPr>
          <w:rFonts w:hint="eastAsia" w:ascii="宋体" w:hAnsi="宋体"/>
          <w:color w:val="000000"/>
          <w:sz w:val="24"/>
        </w:rPr>
        <w:t>商务技术分按照评标委员会成员的独立评分结果汇总后，取全部评标委员会成员评分值的算术平均分，计算公式为：</w:t>
      </w:r>
    </w:p>
    <w:p>
      <w:pPr>
        <w:spacing w:line="360" w:lineRule="exact"/>
        <w:ind w:firstLine="495"/>
        <w:rPr>
          <w:rFonts w:ascii="宋体" w:hAnsi="宋体"/>
          <w:color w:val="000000"/>
          <w:sz w:val="24"/>
        </w:rPr>
      </w:pPr>
      <w:r>
        <w:rPr>
          <w:rFonts w:hint="eastAsia" w:ascii="宋体" w:hAnsi="宋体"/>
          <w:color w:val="000000"/>
          <w:sz w:val="24"/>
        </w:rPr>
        <w:t>商务技术分=（评标委员会所有成员评分合计数）/（评标委员会组成人员数）</w:t>
      </w:r>
    </w:p>
    <w:p>
      <w:pPr>
        <w:pStyle w:val="21"/>
        <w:spacing w:beforeLines="50" w:afterLines="50" w:line="360" w:lineRule="auto"/>
        <w:ind w:firstLine="466" w:firstLineChars="200"/>
        <w:rPr>
          <w:rFonts w:hAnsi="宋体"/>
          <w:b/>
          <w:color w:val="000000"/>
          <w:sz w:val="24"/>
          <w:szCs w:val="24"/>
        </w:rPr>
      </w:pPr>
      <w:r>
        <w:rPr>
          <w:rFonts w:hint="eastAsia" w:hAnsi="宋体"/>
          <w:b/>
          <w:color w:val="000000"/>
          <w:sz w:val="24"/>
          <w:szCs w:val="24"/>
        </w:rPr>
        <w:t>三、投标人义务</w:t>
      </w:r>
    </w:p>
    <w:p>
      <w:pPr>
        <w:pStyle w:val="21"/>
        <w:spacing w:beforeLines="50" w:afterLines="50" w:line="360" w:lineRule="auto"/>
        <w:ind w:firstLine="464" w:firstLineChars="200"/>
        <w:rPr>
          <w:rFonts w:hAnsi="宋体"/>
          <w:bCs/>
          <w:color w:val="000000"/>
          <w:sz w:val="24"/>
          <w:szCs w:val="24"/>
        </w:rPr>
      </w:pPr>
      <w:r>
        <w:rPr>
          <w:rFonts w:hint="eastAsia" w:hAnsi="宋体"/>
          <w:bCs/>
          <w:color w:val="000000"/>
          <w:sz w:val="24"/>
          <w:szCs w:val="24"/>
        </w:rPr>
        <w:t>评标期间，投标人应随时随地答复评标委员会的询标，解答包括有关的商务、技术问题等</w:t>
      </w:r>
    </w:p>
    <w:p>
      <w:pPr>
        <w:pStyle w:val="21"/>
        <w:spacing w:beforeLines="50" w:afterLines="50" w:line="360" w:lineRule="auto"/>
        <w:ind w:firstLine="466" w:firstLineChars="200"/>
        <w:rPr>
          <w:b/>
          <w:sz w:val="24"/>
          <w:lang w:val="zh-CN"/>
        </w:rPr>
      </w:pPr>
    </w:p>
    <w:p>
      <w:pPr>
        <w:jc w:val="center"/>
        <w:rPr>
          <w:rFonts w:ascii="宋体" w:hAnsi="宋体"/>
          <w:b/>
          <w:sz w:val="24"/>
        </w:rPr>
      </w:pPr>
      <w:r>
        <w:rPr>
          <w:rFonts w:ascii="宋体" w:hAnsi="宋体"/>
          <w:b/>
          <w:color w:val="000000"/>
          <w:sz w:val="24"/>
        </w:rPr>
        <w:br w:type="page"/>
      </w:r>
      <w:r>
        <w:rPr>
          <w:rFonts w:hint="eastAsia" w:ascii="宋体" w:hAnsi="宋体"/>
          <w:b/>
          <w:sz w:val="30"/>
          <w:szCs w:val="30"/>
        </w:rPr>
        <w:t>采购项目评分索引表</w:t>
      </w:r>
    </w:p>
    <w:p>
      <w:pPr>
        <w:snapToGrid w:val="0"/>
        <w:spacing w:before="100" w:beforeAutospacing="1" w:after="100" w:afterAutospacing="1" w:line="400" w:lineRule="exact"/>
        <w:rPr>
          <w:rFonts w:hint="eastAsia" w:ascii="宋体" w:hAnsi="宋体"/>
          <w:b/>
          <w:spacing w:val="-4"/>
          <w:sz w:val="24"/>
          <w:shd w:val="pct10" w:color="auto" w:fill="FFFFFF"/>
        </w:rPr>
      </w:pPr>
      <w:r>
        <w:rPr>
          <w:rFonts w:hint="eastAsia" w:ascii="宋体" w:hAnsi="宋体"/>
          <w:b/>
          <w:spacing w:val="-4"/>
          <w:sz w:val="24"/>
        </w:rPr>
        <w:t>（</w:t>
      </w:r>
      <w:r>
        <w:rPr>
          <w:rFonts w:hint="eastAsia" w:ascii="宋体" w:hAnsi="宋体"/>
          <w:b/>
          <w:spacing w:val="-4"/>
          <w:sz w:val="24"/>
          <w:shd w:val="pct10" w:color="auto" w:fill="FFFFFF"/>
        </w:rPr>
        <w:t>本采购项目评分索引表</w:t>
      </w:r>
      <w:r>
        <w:rPr>
          <w:rFonts w:ascii="宋体" w:hAnsi="宋体"/>
          <w:b/>
          <w:spacing w:val="-4"/>
          <w:sz w:val="24"/>
          <w:shd w:val="pct10" w:color="auto" w:fill="FFFFFF"/>
        </w:rPr>
        <w:t>放在商务技术文件目录的前</w:t>
      </w:r>
      <w:r>
        <w:rPr>
          <w:rFonts w:hint="eastAsia" w:ascii="宋体" w:hAnsi="宋体"/>
          <w:b/>
          <w:spacing w:val="-4"/>
          <w:sz w:val="24"/>
          <w:shd w:val="pct10" w:color="auto" w:fill="FFFFFF"/>
        </w:rPr>
        <w:t>页</w:t>
      </w:r>
      <w:r>
        <w:rPr>
          <w:rFonts w:ascii="宋体" w:hAnsi="宋体"/>
          <w:b/>
          <w:spacing w:val="-4"/>
          <w:sz w:val="24"/>
          <w:shd w:val="pct10" w:color="auto" w:fill="FFFFFF"/>
        </w:rPr>
        <w:t>，</w:t>
      </w:r>
      <w:r>
        <w:rPr>
          <w:rFonts w:hint="eastAsia" w:ascii="宋体" w:hAnsi="宋体"/>
          <w:b/>
          <w:color w:val="FF0000"/>
          <w:spacing w:val="-4"/>
          <w:sz w:val="24"/>
          <w:u w:val="single"/>
          <w:shd w:val="pct10" w:color="auto" w:fill="FFFFFF"/>
        </w:rPr>
        <w:t>“投标人应标情况栏目” （客观分部分）请投标人务必逐项详细进行填写（请勿不填写），投标人自评分值（客观分部分）请投标人将应得分值准确自评（请勿不填写也请勿错误填写），</w:t>
      </w:r>
      <w:r>
        <w:rPr>
          <w:rFonts w:hint="eastAsia" w:ascii="宋体" w:hAnsi="宋体"/>
          <w:b/>
          <w:spacing w:val="-4"/>
          <w:sz w:val="24"/>
          <w:u w:val="single"/>
          <w:shd w:val="pct10" w:color="auto" w:fill="FFFFFF"/>
        </w:rPr>
        <w:t>以方便评委进行更加优质、高效的评审</w:t>
      </w:r>
      <w:r>
        <w:rPr>
          <w:rFonts w:hint="eastAsia" w:ascii="宋体" w:hAnsi="宋体"/>
          <w:b/>
          <w:spacing w:val="-4"/>
          <w:sz w:val="24"/>
          <w:shd w:val="pct10" w:color="auto" w:fill="FFFFFF"/>
        </w:rPr>
        <w:t>)</w:t>
      </w:r>
    </w:p>
    <w:p>
      <w:pPr>
        <w:rPr>
          <w:rFonts w:hint="eastAsia" w:ascii="宋体" w:hAnsi="宋体"/>
          <w:b/>
          <w:color w:val="000000"/>
          <w:sz w:val="24"/>
        </w:rPr>
      </w:pPr>
      <w:r>
        <w:rPr>
          <w:rFonts w:hint="eastAsia" w:ascii="宋体" w:hAnsi="宋体"/>
          <w:b/>
          <w:color w:val="000000"/>
          <w:sz w:val="24"/>
        </w:rPr>
        <w:t xml:space="preserve">项目名称： </w:t>
      </w:r>
      <w:r>
        <w:rPr>
          <w:rFonts w:ascii="宋体" w:hAnsi="宋体"/>
          <w:b/>
          <w:color w:val="000000"/>
          <w:sz w:val="24"/>
        </w:rPr>
        <w:t xml:space="preserve">                                </w:t>
      </w:r>
      <w:r>
        <w:rPr>
          <w:rFonts w:hint="eastAsia" w:ascii="宋体" w:hAnsi="宋体"/>
          <w:b/>
          <w:color w:val="000000"/>
          <w:sz w:val="24"/>
        </w:rPr>
        <w:t>投标人名称：</w:t>
      </w:r>
    </w:p>
    <w:tbl>
      <w:tblPr>
        <w:tblStyle w:val="48"/>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2329"/>
        <w:gridCol w:w="725"/>
        <w:gridCol w:w="1147"/>
        <w:gridCol w:w="379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836" w:type="dxa"/>
            <w:gridSpan w:val="2"/>
            <w:noWrap w:val="0"/>
            <w:vAlign w:val="center"/>
          </w:tcPr>
          <w:p>
            <w:pPr>
              <w:widowControl/>
              <w:jc w:val="center"/>
              <w:rPr>
                <w:rFonts w:ascii="宋体" w:hAnsi="宋体"/>
                <w:b/>
                <w:bCs/>
                <w:color w:val="000000"/>
                <w:szCs w:val="21"/>
              </w:rPr>
            </w:pPr>
            <w:r>
              <w:rPr>
                <w:rFonts w:hint="eastAsia" w:ascii="宋体" w:hAnsi="宋体"/>
                <w:b/>
                <w:bCs/>
                <w:color w:val="000000"/>
                <w:szCs w:val="21"/>
              </w:rPr>
              <w:t>评标内容</w:t>
            </w:r>
          </w:p>
        </w:tc>
        <w:tc>
          <w:tcPr>
            <w:tcW w:w="725" w:type="dxa"/>
            <w:noWrap w:val="0"/>
            <w:vAlign w:val="center"/>
          </w:tcPr>
          <w:p>
            <w:pPr>
              <w:widowControl/>
              <w:jc w:val="center"/>
              <w:rPr>
                <w:rFonts w:ascii="宋体"/>
                <w:b/>
                <w:bCs/>
                <w:color w:val="000000"/>
                <w:szCs w:val="21"/>
              </w:rPr>
            </w:pPr>
            <w:r>
              <w:rPr>
                <w:rFonts w:hint="eastAsia" w:ascii="宋体"/>
                <w:b/>
                <w:bCs/>
                <w:color w:val="000000"/>
                <w:szCs w:val="21"/>
              </w:rPr>
              <w:t>分值</w:t>
            </w:r>
          </w:p>
        </w:tc>
        <w:tc>
          <w:tcPr>
            <w:tcW w:w="114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b/>
                <w:bCs/>
                <w:color w:val="000000"/>
                <w:szCs w:val="21"/>
              </w:rPr>
            </w:pPr>
            <w:r>
              <w:rPr>
                <w:rFonts w:hint="eastAsia" w:ascii="宋体" w:hAnsi="宋体"/>
                <w:b/>
                <w:bCs/>
                <w:color w:val="000000"/>
                <w:szCs w:val="21"/>
              </w:rPr>
              <w:t>投标文件</w:t>
            </w:r>
          </w:p>
          <w:p>
            <w:pPr>
              <w:widowControl/>
              <w:jc w:val="center"/>
              <w:rPr>
                <w:rFonts w:ascii="宋体"/>
                <w:color w:val="000000"/>
                <w:szCs w:val="21"/>
              </w:rPr>
            </w:pPr>
            <w:r>
              <w:rPr>
                <w:rFonts w:hint="eastAsia" w:ascii="宋体" w:hAnsi="宋体"/>
                <w:b/>
                <w:bCs/>
                <w:color w:val="000000"/>
                <w:szCs w:val="21"/>
              </w:rPr>
              <w:t>响应页码</w:t>
            </w:r>
          </w:p>
        </w:tc>
        <w:tc>
          <w:tcPr>
            <w:tcW w:w="379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投标人</w:t>
            </w:r>
          </w:p>
          <w:p>
            <w:pPr>
              <w:widowControl/>
              <w:jc w:val="center"/>
              <w:rPr>
                <w:rFonts w:hint="eastAsia" w:ascii="宋体" w:hAnsi="宋体"/>
                <w:color w:val="000000"/>
                <w:szCs w:val="21"/>
              </w:rPr>
            </w:pPr>
            <w:r>
              <w:rPr>
                <w:rFonts w:hint="eastAsia" w:ascii="宋体" w:hAnsi="宋体" w:cs="宋体"/>
                <w:b/>
                <w:bCs/>
                <w:kern w:val="0"/>
                <w:sz w:val="24"/>
              </w:rPr>
              <w:t>应标情况</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zCs w:val="21"/>
              </w:rPr>
            </w:pPr>
            <w:r>
              <w:rPr>
                <w:rFonts w:hint="eastAsia" w:ascii="宋体" w:hAnsi="宋体" w:cs="宋体"/>
                <w:b/>
                <w:bCs/>
                <w:kern w:val="0"/>
                <w:sz w:val="24"/>
              </w:rPr>
              <w:t>投标人自评分值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7" w:type="dxa"/>
            <w:noWrap w:val="0"/>
            <w:vAlign w:val="center"/>
          </w:tcPr>
          <w:p>
            <w:pPr>
              <w:widowControl/>
              <w:jc w:val="center"/>
              <w:textAlignment w:val="center"/>
              <w:rPr>
                <w:rFonts w:hint="eastAsia" w:ascii="宋体" w:hAnsi="宋体"/>
                <w:b/>
                <w:bCs/>
                <w:color w:val="000000"/>
                <w:szCs w:val="21"/>
              </w:rPr>
            </w:pPr>
            <w:r>
              <w:rPr>
                <w:rFonts w:hint="eastAsia" w:ascii="宋体" w:hAnsi="宋体" w:eastAsia="宋体" w:cs="宋体"/>
                <w:color w:val="000000"/>
                <w:kern w:val="0"/>
                <w:szCs w:val="21"/>
                <w:lang w:val="en-US" w:eastAsia="zh-CN" w:bidi="ar"/>
              </w:rPr>
              <w:t>1</w:t>
            </w:r>
          </w:p>
        </w:tc>
        <w:tc>
          <w:tcPr>
            <w:tcW w:w="2329" w:type="dxa"/>
            <w:noWrap w:val="0"/>
            <w:vAlign w:val="center"/>
          </w:tcPr>
          <w:p>
            <w:pPr>
              <w:widowControl/>
              <w:jc w:val="center"/>
              <w:textAlignment w:val="center"/>
              <w:rPr>
                <w:rFonts w:hint="eastAsia" w:ascii="宋体" w:hAnsi="宋体"/>
                <w:b/>
                <w:bCs/>
                <w:color w:val="000000"/>
                <w:szCs w:val="21"/>
              </w:rPr>
            </w:pPr>
            <w:r>
              <w:rPr>
                <w:rFonts w:hint="eastAsia" w:ascii="宋体" w:hAnsi="宋体" w:eastAsia="宋体" w:cs="宋体"/>
                <w:color w:val="000000"/>
                <w:kern w:val="0"/>
                <w:szCs w:val="21"/>
                <w:lang w:val="en-US" w:eastAsia="zh-CN" w:bidi="ar"/>
              </w:rPr>
              <w:t>综合实力</w:t>
            </w:r>
          </w:p>
        </w:tc>
        <w:tc>
          <w:tcPr>
            <w:tcW w:w="725" w:type="dxa"/>
            <w:noWrap w:val="0"/>
            <w:vAlign w:val="center"/>
          </w:tcPr>
          <w:p>
            <w:pPr>
              <w:widowControl/>
              <w:jc w:val="center"/>
              <w:textAlignment w:val="center"/>
              <w:rPr>
                <w:rFonts w:hint="eastAsia" w:ascii="宋体"/>
                <w:b/>
                <w:bCs/>
                <w:color w:val="000000"/>
                <w:szCs w:val="21"/>
              </w:rPr>
            </w:pPr>
            <w:r>
              <w:rPr>
                <w:rFonts w:hint="eastAsia" w:ascii="宋体" w:hAnsi="宋体" w:eastAsia="宋体" w:cs="宋体"/>
                <w:color w:val="000000"/>
                <w:kern w:val="0"/>
                <w:szCs w:val="21"/>
                <w:lang w:val="en-US" w:eastAsia="zh-CN" w:bidi="ar"/>
              </w:rPr>
              <w:t>3</w:t>
            </w:r>
          </w:p>
        </w:tc>
        <w:tc>
          <w:tcPr>
            <w:tcW w:w="114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b/>
                <w:bCs/>
                <w:color w:val="000000"/>
                <w:szCs w:val="21"/>
              </w:rPr>
            </w:pPr>
          </w:p>
        </w:tc>
        <w:tc>
          <w:tcPr>
            <w:tcW w:w="3798" w:type="dxa"/>
            <w:tcBorders>
              <w:top w:val="single" w:color="auto" w:sz="4" w:space="0"/>
              <w:left w:val="nil"/>
              <w:bottom w:val="single" w:color="auto" w:sz="4" w:space="0"/>
              <w:right w:val="single" w:color="auto" w:sz="4" w:space="0"/>
            </w:tcBorders>
            <w:noWrap w:val="0"/>
            <w:vAlign w:val="center"/>
          </w:tcPr>
          <w:p>
            <w:pPr>
              <w:jc w:val="center"/>
              <w:rPr>
                <w:rFonts w:hint="eastAsia" w:ascii="宋体"/>
                <w:b/>
                <w:kern w:val="2"/>
                <w:sz w:val="21"/>
                <w:szCs w:val="21"/>
                <w:lang w:val="en-US" w:eastAsia="zh-CN" w:bidi="ar-SA"/>
              </w:rPr>
            </w:pPr>
            <w:r>
              <w:rPr>
                <w:rFonts w:hint="eastAsia" w:ascii="宋体"/>
                <w:b/>
                <w:szCs w:val="21"/>
              </w:rPr>
              <w:t>/</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ascii="宋体"/>
                <w:b/>
                <w:kern w:val="2"/>
                <w:sz w:val="21"/>
                <w:szCs w:val="21"/>
                <w:lang w:val="en-US" w:eastAsia="zh-CN" w:bidi="ar-SA"/>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7" w:type="dxa"/>
            <w:noWrap w:val="0"/>
            <w:vAlign w:val="center"/>
          </w:tcPr>
          <w:p>
            <w:pPr>
              <w:widowControl/>
              <w:jc w:val="center"/>
              <w:textAlignment w:val="center"/>
              <w:rPr>
                <w:rFonts w:ascii="宋体" w:hAnsi="宋体"/>
                <w:bCs/>
                <w:color w:val="000000"/>
                <w:sz w:val="24"/>
              </w:rPr>
            </w:pPr>
            <w:r>
              <w:rPr>
                <w:rFonts w:hint="eastAsia" w:ascii="宋体" w:hAnsi="宋体" w:cs="宋体"/>
                <w:color w:val="000000"/>
                <w:kern w:val="0"/>
                <w:szCs w:val="21"/>
                <w:lang w:bidi="ar"/>
              </w:rPr>
              <w:t>2</w:t>
            </w:r>
          </w:p>
        </w:tc>
        <w:tc>
          <w:tcPr>
            <w:tcW w:w="2329" w:type="dxa"/>
            <w:vMerge w:val="restart"/>
            <w:noWrap w:val="0"/>
            <w:vAlign w:val="center"/>
          </w:tcPr>
          <w:p>
            <w:pPr>
              <w:widowControl/>
              <w:jc w:val="center"/>
              <w:textAlignment w:val="center"/>
              <w:rPr>
                <w:rFonts w:hint="eastAsia"/>
                <w:color w:val="000000"/>
                <w:sz w:val="24"/>
              </w:rPr>
            </w:pPr>
            <w:r>
              <w:rPr>
                <w:rFonts w:hint="eastAsia" w:ascii="宋体" w:hAnsi="宋体" w:cs="宋体"/>
                <w:color w:val="000000"/>
                <w:kern w:val="0"/>
                <w:szCs w:val="21"/>
                <w:lang w:bidi="ar"/>
              </w:rPr>
              <w:t>需求理解与分析</w:t>
            </w:r>
          </w:p>
        </w:tc>
        <w:tc>
          <w:tcPr>
            <w:tcW w:w="725" w:type="dxa"/>
            <w:noWrap w:val="0"/>
            <w:vAlign w:val="center"/>
          </w:tcPr>
          <w:p>
            <w:pPr>
              <w:widowControl/>
              <w:jc w:val="center"/>
              <w:textAlignment w:val="center"/>
              <w:rPr>
                <w:rFonts w:ascii="宋体"/>
                <w:color w:val="000000"/>
                <w:sz w:val="24"/>
              </w:rPr>
            </w:pPr>
            <w:r>
              <w:rPr>
                <w:rFonts w:hint="eastAsia" w:ascii="宋体" w:hAnsi="宋体" w:cs="宋体"/>
                <w:color w:val="000000"/>
                <w:kern w:val="0"/>
                <w:szCs w:val="21"/>
                <w:lang w:val="en-US" w:eastAsia="zh-CN" w:bidi="ar"/>
              </w:rPr>
              <w:t>3</w:t>
            </w:r>
          </w:p>
        </w:tc>
        <w:tc>
          <w:tcPr>
            <w:tcW w:w="1147" w:type="dxa"/>
            <w:noWrap w:val="0"/>
            <w:vAlign w:val="center"/>
          </w:tcPr>
          <w:p>
            <w:pPr>
              <w:jc w:val="left"/>
              <w:rPr>
                <w:rFonts w:ascii="宋体"/>
                <w:bCs/>
                <w:color w:val="000000"/>
                <w:szCs w:val="21"/>
              </w:rPr>
            </w:pPr>
          </w:p>
        </w:tc>
        <w:tc>
          <w:tcPr>
            <w:tcW w:w="3798" w:type="dxa"/>
            <w:tcBorders>
              <w:top w:val="nil"/>
              <w:left w:val="nil"/>
              <w:bottom w:val="single" w:color="auto" w:sz="4" w:space="0"/>
              <w:right w:val="single" w:color="auto" w:sz="4" w:space="0"/>
            </w:tcBorders>
            <w:noWrap w:val="0"/>
            <w:vAlign w:val="center"/>
          </w:tcPr>
          <w:p>
            <w:pPr>
              <w:jc w:val="center"/>
              <w:rPr>
                <w:rFonts w:ascii="宋体"/>
                <w:b/>
                <w:szCs w:val="21"/>
              </w:rPr>
            </w:pPr>
            <w:r>
              <w:rPr>
                <w:rFonts w:hint="eastAsia" w:ascii="宋体"/>
                <w:b/>
                <w:szCs w:val="21"/>
              </w:rPr>
              <w:t>/</w:t>
            </w:r>
          </w:p>
        </w:tc>
        <w:tc>
          <w:tcPr>
            <w:tcW w:w="1276" w:type="dxa"/>
            <w:tcBorders>
              <w:top w:val="nil"/>
              <w:left w:val="nil"/>
              <w:bottom w:val="single" w:color="auto" w:sz="4" w:space="0"/>
              <w:right w:val="single" w:color="auto" w:sz="4" w:space="0"/>
            </w:tcBorders>
            <w:noWrap w:val="0"/>
            <w:vAlign w:val="center"/>
          </w:tcPr>
          <w:p>
            <w:pPr>
              <w:jc w:val="center"/>
              <w:rPr>
                <w:rFonts w:ascii="宋体"/>
                <w:b/>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7" w:type="dxa"/>
            <w:noWrap w:val="0"/>
            <w:vAlign w:val="center"/>
          </w:tcPr>
          <w:p>
            <w:pPr>
              <w:widowControl/>
              <w:jc w:val="center"/>
              <w:textAlignment w:val="center"/>
              <w:rPr>
                <w:rFonts w:ascii="宋体" w:hAnsi="宋体"/>
                <w:bCs/>
                <w:color w:val="000000"/>
                <w:sz w:val="24"/>
              </w:rPr>
            </w:pPr>
            <w:r>
              <w:rPr>
                <w:rFonts w:hint="eastAsia" w:ascii="宋体" w:hAnsi="宋体" w:cs="宋体"/>
                <w:color w:val="000000"/>
                <w:kern w:val="0"/>
                <w:szCs w:val="21"/>
                <w:lang w:bidi="ar"/>
              </w:rPr>
              <w:t>3</w:t>
            </w:r>
          </w:p>
        </w:tc>
        <w:tc>
          <w:tcPr>
            <w:tcW w:w="2329" w:type="dxa"/>
            <w:vMerge w:val="continue"/>
            <w:noWrap w:val="0"/>
            <w:vAlign w:val="center"/>
          </w:tcPr>
          <w:p>
            <w:pPr>
              <w:jc w:val="center"/>
              <w:rPr>
                <w:rFonts w:hint="eastAsia" w:ascii="宋体" w:hAnsi="宋体" w:cs="宋体"/>
                <w:color w:val="000000"/>
                <w:kern w:val="0"/>
                <w:sz w:val="24"/>
              </w:rPr>
            </w:pPr>
          </w:p>
        </w:tc>
        <w:tc>
          <w:tcPr>
            <w:tcW w:w="725" w:type="dxa"/>
            <w:noWrap w:val="0"/>
            <w:vAlign w:val="center"/>
          </w:tcPr>
          <w:p>
            <w:pPr>
              <w:widowControl/>
              <w:jc w:val="center"/>
              <w:textAlignment w:val="center"/>
              <w:rPr>
                <w:rFonts w:ascii="宋体" w:hAnsi="宋体"/>
                <w:color w:val="000000"/>
                <w:sz w:val="24"/>
              </w:rPr>
            </w:pPr>
            <w:r>
              <w:rPr>
                <w:rFonts w:hint="eastAsia" w:ascii="宋体" w:hAnsi="宋体" w:cs="宋体"/>
                <w:color w:val="000000"/>
                <w:kern w:val="0"/>
                <w:szCs w:val="21"/>
                <w:lang w:val="en-US" w:eastAsia="zh-CN" w:bidi="ar"/>
              </w:rPr>
              <w:t>3</w:t>
            </w:r>
          </w:p>
        </w:tc>
        <w:tc>
          <w:tcPr>
            <w:tcW w:w="1147" w:type="dxa"/>
            <w:noWrap w:val="0"/>
            <w:vAlign w:val="center"/>
          </w:tcPr>
          <w:p>
            <w:pPr>
              <w:jc w:val="left"/>
              <w:rPr>
                <w:rFonts w:ascii="宋体"/>
                <w:bCs/>
                <w:color w:val="000000"/>
                <w:szCs w:val="21"/>
              </w:rPr>
            </w:pPr>
          </w:p>
        </w:tc>
        <w:tc>
          <w:tcPr>
            <w:tcW w:w="3798" w:type="dxa"/>
            <w:tcBorders>
              <w:top w:val="nil"/>
              <w:left w:val="nil"/>
              <w:bottom w:val="single" w:color="auto" w:sz="4" w:space="0"/>
              <w:right w:val="single" w:color="auto" w:sz="4" w:space="0"/>
            </w:tcBorders>
            <w:noWrap w:val="0"/>
            <w:vAlign w:val="center"/>
          </w:tcPr>
          <w:p>
            <w:pPr>
              <w:jc w:val="center"/>
              <w:rPr>
                <w:rFonts w:ascii="宋体"/>
                <w:bCs/>
                <w:color w:val="000000"/>
                <w:szCs w:val="21"/>
              </w:rPr>
            </w:pPr>
            <w:r>
              <w:rPr>
                <w:rFonts w:hint="eastAsia" w:ascii="宋体"/>
                <w:b/>
                <w:szCs w:val="21"/>
              </w:rPr>
              <w:t>/</w:t>
            </w:r>
          </w:p>
        </w:tc>
        <w:tc>
          <w:tcPr>
            <w:tcW w:w="1276" w:type="dxa"/>
            <w:tcBorders>
              <w:top w:val="nil"/>
              <w:left w:val="nil"/>
              <w:bottom w:val="single" w:color="auto" w:sz="4" w:space="0"/>
              <w:right w:val="single" w:color="auto" w:sz="4" w:space="0"/>
            </w:tcBorders>
            <w:noWrap w:val="0"/>
            <w:vAlign w:val="center"/>
          </w:tcPr>
          <w:p>
            <w:pPr>
              <w:jc w:val="center"/>
              <w:rPr>
                <w:rFonts w:ascii="宋体"/>
                <w:bCs/>
                <w:color w:val="000000"/>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7" w:type="dxa"/>
            <w:noWrap w:val="0"/>
            <w:vAlign w:val="center"/>
          </w:tcPr>
          <w:p>
            <w:pPr>
              <w:widowControl/>
              <w:jc w:val="center"/>
              <w:textAlignment w:val="center"/>
              <w:rPr>
                <w:rFonts w:ascii="宋体" w:hAnsi="宋体"/>
                <w:bCs/>
                <w:color w:val="000000"/>
                <w:sz w:val="24"/>
              </w:rPr>
            </w:pPr>
            <w:r>
              <w:rPr>
                <w:rFonts w:hint="eastAsia" w:ascii="宋体" w:hAnsi="宋体" w:cs="宋体"/>
                <w:color w:val="000000"/>
                <w:kern w:val="0"/>
                <w:szCs w:val="21"/>
                <w:lang w:bidi="ar"/>
              </w:rPr>
              <w:t>4</w:t>
            </w:r>
          </w:p>
        </w:tc>
        <w:tc>
          <w:tcPr>
            <w:tcW w:w="2329" w:type="dxa"/>
            <w:vMerge w:val="restart"/>
            <w:noWrap w:val="0"/>
            <w:vAlign w:val="center"/>
          </w:tcPr>
          <w:p>
            <w:pPr>
              <w:widowControl/>
              <w:jc w:val="center"/>
              <w:textAlignment w:val="center"/>
              <w:rPr>
                <w:color w:val="000000"/>
                <w:sz w:val="24"/>
              </w:rPr>
            </w:pPr>
            <w:r>
              <w:rPr>
                <w:rFonts w:hint="eastAsia" w:ascii="宋体" w:hAnsi="宋体" w:cs="宋体"/>
                <w:color w:val="000000"/>
                <w:kern w:val="0"/>
                <w:szCs w:val="21"/>
                <w:lang w:bidi="ar"/>
              </w:rPr>
              <w:t>技术方案</w:t>
            </w:r>
          </w:p>
        </w:tc>
        <w:tc>
          <w:tcPr>
            <w:tcW w:w="725" w:type="dxa"/>
            <w:noWrap w:val="0"/>
            <w:vAlign w:val="center"/>
          </w:tcPr>
          <w:p>
            <w:pPr>
              <w:widowControl/>
              <w:jc w:val="center"/>
              <w:textAlignment w:val="center"/>
              <w:rPr>
                <w:rFonts w:ascii="宋体" w:hAnsi="宋体"/>
                <w:color w:val="000000"/>
                <w:sz w:val="24"/>
              </w:rPr>
            </w:pPr>
            <w:r>
              <w:rPr>
                <w:rFonts w:hint="eastAsia" w:ascii="宋体" w:hAnsi="宋体" w:cs="宋体"/>
                <w:color w:val="000000"/>
                <w:kern w:val="0"/>
                <w:szCs w:val="21"/>
                <w:lang w:bidi="ar"/>
              </w:rPr>
              <w:t>3</w:t>
            </w:r>
          </w:p>
        </w:tc>
        <w:tc>
          <w:tcPr>
            <w:tcW w:w="1147" w:type="dxa"/>
            <w:noWrap w:val="0"/>
            <w:vAlign w:val="center"/>
          </w:tcPr>
          <w:p>
            <w:pPr>
              <w:jc w:val="left"/>
              <w:rPr>
                <w:rFonts w:ascii="宋体"/>
                <w:bCs/>
                <w:color w:val="000000"/>
                <w:szCs w:val="21"/>
              </w:rPr>
            </w:pPr>
          </w:p>
        </w:tc>
        <w:tc>
          <w:tcPr>
            <w:tcW w:w="3798" w:type="dxa"/>
            <w:noWrap w:val="0"/>
            <w:vAlign w:val="center"/>
          </w:tcPr>
          <w:p>
            <w:pPr>
              <w:jc w:val="center"/>
              <w:rPr>
                <w:rFonts w:ascii="宋体"/>
                <w:bCs/>
                <w:color w:val="000000"/>
                <w:szCs w:val="21"/>
              </w:rPr>
            </w:pPr>
            <w:r>
              <w:rPr>
                <w:rFonts w:hint="eastAsia" w:ascii="宋体"/>
                <w:b/>
                <w:szCs w:val="21"/>
              </w:rPr>
              <w:t>/</w:t>
            </w:r>
          </w:p>
        </w:tc>
        <w:tc>
          <w:tcPr>
            <w:tcW w:w="1276" w:type="dxa"/>
            <w:noWrap w:val="0"/>
            <w:vAlign w:val="center"/>
          </w:tcPr>
          <w:p>
            <w:pPr>
              <w:jc w:val="center"/>
              <w:rPr>
                <w:rFonts w:ascii="宋体"/>
                <w:bCs/>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7" w:type="dxa"/>
            <w:noWrap w:val="0"/>
            <w:vAlign w:val="center"/>
          </w:tcPr>
          <w:p>
            <w:pPr>
              <w:widowControl/>
              <w:jc w:val="center"/>
              <w:textAlignment w:val="center"/>
              <w:rPr>
                <w:rFonts w:ascii="宋体" w:hAnsi="宋体"/>
                <w:bCs/>
                <w:color w:val="000000"/>
                <w:sz w:val="24"/>
              </w:rPr>
            </w:pPr>
            <w:r>
              <w:rPr>
                <w:rFonts w:hint="eastAsia" w:ascii="宋体" w:hAnsi="宋体" w:cs="宋体"/>
                <w:color w:val="000000"/>
                <w:kern w:val="0"/>
                <w:szCs w:val="21"/>
                <w:lang w:bidi="ar"/>
              </w:rPr>
              <w:t>5</w:t>
            </w:r>
          </w:p>
        </w:tc>
        <w:tc>
          <w:tcPr>
            <w:tcW w:w="2329" w:type="dxa"/>
            <w:vMerge w:val="continue"/>
            <w:noWrap w:val="0"/>
            <w:vAlign w:val="center"/>
          </w:tcPr>
          <w:p>
            <w:pPr>
              <w:jc w:val="center"/>
              <w:rPr>
                <w:color w:val="000000"/>
                <w:sz w:val="24"/>
              </w:rPr>
            </w:pPr>
          </w:p>
        </w:tc>
        <w:tc>
          <w:tcPr>
            <w:tcW w:w="725" w:type="dxa"/>
            <w:noWrap w:val="0"/>
            <w:vAlign w:val="center"/>
          </w:tcPr>
          <w:p>
            <w:pPr>
              <w:widowControl/>
              <w:jc w:val="center"/>
              <w:textAlignment w:val="center"/>
              <w:rPr>
                <w:rFonts w:ascii="宋体"/>
                <w:color w:val="000000"/>
                <w:sz w:val="24"/>
              </w:rPr>
            </w:pPr>
            <w:r>
              <w:rPr>
                <w:rFonts w:hint="eastAsia" w:ascii="宋体" w:hAnsi="宋体" w:cs="宋体"/>
                <w:color w:val="000000"/>
                <w:kern w:val="0"/>
                <w:szCs w:val="21"/>
                <w:lang w:bidi="ar"/>
              </w:rPr>
              <w:t>3</w:t>
            </w:r>
          </w:p>
        </w:tc>
        <w:tc>
          <w:tcPr>
            <w:tcW w:w="1147" w:type="dxa"/>
            <w:noWrap w:val="0"/>
            <w:vAlign w:val="center"/>
          </w:tcPr>
          <w:p>
            <w:pPr>
              <w:jc w:val="left"/>
              <w:rPr>
                <w:rFonts w:ascii="宋体"/>
                <w:bCs/>
                <w:color w:val="000000"/>
                <w:szCs w:val="21"/>
              </w:rPr>
            </w:pPr>
          </w:p>
        </w:tc>
        <w:tc>
          <w:tcPr>
            <w:tcW w:w="3798" w:type="dxa"/>
            <w:tcBorders>
              <w:top w:val="nil"/>
              <w:left w:val="nil"/>
              <w:bottom w:val="single" w:color="auto" w:sz="4" w:space="0"/>
              <w:right w:val="single" w:color="auto" w:sz="4" w:space="0"/>
            </w:tcBorders>
            <w:noWrap w:val="0"/>
            <w:vAlign w:val="center"/>
          </w:tcPr>
          <w:p>
            <w:pPr>
              <w:jc w:val="center"/>
              <w:rPr>
                <w:rFonts w:ascii="宋体"/>
                <w:bCs/>
                <w:color w:val="000000"/>
                <w:szCs w:val="21"/>
              </w:rPr>
            </w:pPr>
            <w:r>
              <w:rPr>
                <w:rFonts w:hint="eastAsia" w:ascii="宋体"/>
                <w:b/>
                <w:szCs w:val="21"/>
              </w:rPr>
              <w:t>/</w:t>
            </w:r>
          </w:p>
        </w:tc>
        <w:tc>
          <w:tcPr>
            <w:tcW w:w="1276" w:type="dxa"/>
            <w:tcBorders>
              <w:top w:val="nil"/>
              <w:left w:val="nil"/>
              <w:bottom w:val="single" w:color="auto" w:sz="4" w:space="0"/>
              <w:right w:val="single" w:color="auto" w:sz="4" w:space="0"/>
            </w:tcBorders>
            <w:noWrap w:val="0"/>
            <w:vAlign w:val="center"/>
          </w:tcPr>
          <w:p>
            <w:pPr>
              <w:jc w:val="center"/>
              <w:rPr>
                <w:rFonts w:ascii="宋体"/>
                <w:bCs/>
                <w:color w:val="000000"/>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7" w:type="dxa"/>
            <w:noWrap w:val="0"/>
            <w:vAlign w:val="center"/>
          </w:tcPr>
          <w:p>
            <w:pPr>
              <w:widowControl/>
              <w:jc w:val="center"/>
              <w:textAlignment w:val="center"/>
              <w:rPr>
                <w:rFonts w:ascii="宋体" w:hAnsi="宋体"/>
                <w:bCs/>
                <w:color w:val="000000"/>
                <w:sz w:val="24"/>
              </w:rPr>
            </w:pPr>
            <w:r>
              <w:rPr>
                <w:rFonts w:hint="eastAsia" w:ascii="宋体" w:hAnsi="宋体" w:cs="宋体"/>
                <w:color w:val="000000"/>
                <w:kern w:val="0"/>
                <w:szCs w:val="21"/>
                <w:lang w:bidi="ar"/>
              </w:rPr>
              <w:t>6</w:t>
            </w:r>
          </w:p>
        </w:tc>
        <w:tc>
          <w:tcPr>
            <w:tcW w:w="2329" w:type="dxa"/>
            <w:vMerge w:val="continue"/>
            <w:noWrap w:val="0"/>
            <w:vAlign w:val="center"/>
          </w:tcPr>
          <w:p>
            <w:pPr>
              <w:jc w:val="center"/>
              <w:rPr>
                <w:rFonts w:hint="eastAsia" w:ascii="宋体" w:hAnsi="宋体"/>
                <w:color w:val="000000"/>
                <w:sz w:val="24"/>
              </w:rPr>
            </w:pPr>
          </w:p>
        </w:tc>
        <w:tc>
          <w:tcPr>
            <w:tcW w:w="725" w:type="dxa"/>
            <w:noWrap w:val="0"/>
            <w:vAlign w:val="center"/>
          </w:tcPr>
          <w:p>
            <w:pPr>
              <w:widowControl/>
              <w:jc w:val="center"/>
              <w:textAlignment w:val="center"/>
              <w:rPr>
                <w:rFonts w:ascii="宋体" w:hAnsi="宋体"/>
                <w:color w:val="000000"/>
                <w:sz w:val="24"/>
              </w:rPr>
            </w:pPr>
            <w:r>
              <w:rPr>
                <w:rFonts w:hint="eastAsia" w:ascii="宋体" w:hAnsi="宋体" w:cs="宋体"/>
                <w:color w:val="000000"/>
                <w:kern w:val="0"/>
                <w:szCs w:val="21"/>
                <w:lang w:bidi="ar"/>
              </w:rPr>
              <w:t>2</w:t>
            </w:r>
          </w:p>
        </w:tc>
        <w:tc>
          <w:tcPr>
            <w:tcW w:w="1147" w:type="dxa"/>
            <w:noWrap w:val="0"/>
            <w:vAlign w:val="center"/>
          </w:tcPr>
          <w:p>
            <w:pPr>
              <w:jc w:val="left"/>
              <w:rPr>
                <w:rFonts w:ascii="宋体"/>
                <w:bCs/>
                <w:color w:val="000000"/>
                <w:szCs w:val="21"/>
              </w:rPr>
            </w:pPr>
          </w:p>
        </w:tc>
        <w:tc>
          <w:tcPr>
            <w:tcW w:w="3798" w:type="dxa"/>
            <w:tcBorders>
              <w:top w:val="nil"/>
              <w:left w:val="nil"/>
              <w:bottom w:val="single" w:color="auto" w:sz="4" w:space="0"/>
              <w:right w:val="single" w:color="auto" w:sz="4" w:space="0"/>
            </w:tcBorders>
            <w:noWrap w:val="0"/>
            <w:vAlign w:val="center"/>
          </w:tcPr>
          <w:p>
            <w:pPr>
              <w:jc w:val="center"/>
              <w:rPr>
                <w:rFonts w:hint="eastAsia" w:ascii="宋体"/>
                <w:b/>
                <w:szCs w:val="21"/>
              </w:rPr>
            </w:pPr>
            <w:r>
              <w:rPr>
                <w:rFonts w:hint="eastAsia" w:ascii="宋体"/>
                <w:b/>
                <w:szCs w:val="21"/>
              </w:rPr>
              <w:t>/</w:t>
            </w:r>
          </w:p>
        </w:tc>
        <w:tc>
          <w:tcPr>
            <w:tcW w:w="1276" w:type="dxa"/>
            <w:tcBorders>
              <w:top w:val="nil"/>
              <w:left w:val="nil"/>
              <w:bottom w:val="single" w:color="auto" w:sz="4" w:space="0"/>
              <w:right w:val="single" w:color="auto" w:sz="4" w:space="0"/>
            </w:tcBorders>
            <w:noWrap w:val="0"/>
            <w:vAlign w:val="center"/>
          </w:tcPr>
          <w:p>
            <w:pPr>
              <w:jc w:val="center"/>
              <w:rPr>
                <w:rFonts w:hint="eastAsia" w:ascii="宋体"/>
                <w:b/>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7" w:type="dxa"/>
            <w:noWrap w:val="0"/>
            <w:vAlign w:val="center"/>
          </w:tcPr>
          <w:p>
            <w:pPr>
              <w:widowControl/>
              <w:jc w:val="center"/>
              <w:textAlignment w:val="center"/>
              <w:rPr>
                <w:rFonts w:ascii="宋体"/>
                <w:bCs/>
                <w:color w:val="000000"/>
                <w:sz w:val="24"/>
              </w:rPr>
            </w:pPr>
            <w:r>
              <w:rPr>
                <w:rFonts w:hint="eastAsia" w:ascii="宋体" w:hAnsi="宋体" w:cs="宋体"/>
                <w:color w:val="000000"/>
                <w:kern w:val="0"/>
                <w:szCs w:val="21"/>
                <w:lang w:bidi="ar"/>
              </w:rPr>
              <w:t>7</w:t>
            </w:r>
          </w:p>
        </w:tc>
        <w:tc>
          <w:tcPr>
            <w:tcW w:w="2329" w:type="dxa"/>
            <w:vMerge w:val="restart"/>
            <w:noWrap w:val="0"/>
            <w:vAlign w:val="center"/>
          </w:tcPr>
          <w:p>
            <w:pPr>
              <w:widowControl/>
              <w:jc w:val="center"/>
              <w:textAlignment w:val="center"/>
              <w:rPr>
                <w:color w:val="000000"/>
                <w:sz w:val="24"/>
              </w:rPr>
            </w:pPr>
            <w:r>
              <w:rPr>
                <w:rFonts w:hint="eastAsia" w:ascii="宋体" w:hAnsi="宋体" w:cs="宋体"/>
                <w:color w:val="000000"/>
                <w:kern w:val="0"/>
                <w:szCs w:val="21"/>
                <w:lang w:bidi="ar"/>
              </w:rPr>
              <w:t>设备性能</w:t>
            </w:r>
          </w:p>
        </w:tc>
        <w:tc>
          <w:tcPr>
            <w:tcW w:w="725" w:type="dxa"/>
            <w:noWrap w:val="0"/>
            <w:vAlign w:val="center"/>
          </w:tcPr>
          <w:p>
            <w:pPr>
              <w:widowControl/>
              <w:jc w:val="center"/>
              <w:textAlignment w:val="center"/>
              <w:rPr>
                <w:rFonts w:ascii="宋体"/>
                <w:color w:val="000000"/>
                <w:sz w:val="24"/>
              </w:rPr>
            </w:pPr>
            <w:r>
              <w:rPr>
                <w:rFonts w:hint="eastAsia" w:ascii="宋体" w:hAnsi="宋体" w:cs="宋体"/>
                <w:color w:val="000000"/>
                <w:kern w:val="0"/>
                <w:szCs w:val="21"/>
                <w:lang w:bidi="ar"/>
              </w:rPr>
              <w:t>3</w:t>
            </w:r>
          </w:p>
        </w:tc>
        <w:tc>
          <w:tcPr>
            <w:tcW w:w="1147" w:type="dxa"/>
            <w:noWrap w:val="0"/>
            <w:vAlign w:val="center"/>
          </w:tcPr>
          <w:p>
            <w:pPr>
              <w:jc w:val="left"/>
              <w:rPr>
                <w:rFonts w:ascii="宋体"/>
                <w:bCs/>
                <w:color w:val="000000"/>
                <w:szCs w:val="21"/>
              </w:rPr>
            </w:pPr>
          </w:p>
        </w:tc>
        <w:tc>
          <w:tcPr>
            <w:tcW w:w="3798" w:type="dxa"/>
            <w:noWrap w:val="0"/>
            <w:vAlign w:val="center"/>
          </w:tcPr>
          <w:p>
            <w:pPr>
              <w:jc w:val="center"/>
              <w:rPr>
                <w:rFonts w:ascii="宋体"/>
                <w:bCs/>
                <w:color w:val="FF0000"/>
                <w:szCs w:val="21"/>
              </w:rPr>
            </w:pPr>
            <w:r>
              <w:rPr>
                <w:rFonts w:hint="eastAsia" w:ascii="宋体"/>
                <w:b/>
                <w:szCs w:val="21"/>
              </w:rPr>
              <w:t>/</w:t>
            </w:r>
          </w:p>
        </w:tc>
        <w:tc>
          <w:tcPr>
            <w:tcW w:w="1276" w:type="dxa"/>
            <w:noWrap w:val="0"/>
            <w:vAlign w:val="center"/>
          </w:tcPr>
          <w:p>
            <w:pPr>
              <w:jc w:val="center"/>
              <w:rPr>
                <w:rFonts w:ascii="宋体"/>
                <w:bCs/>
                <w:color w:val="000000"/>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07" w:type="dxa"/>
            <w:noWrap w:val="0"/>
            <w:vAlign w:val="center"/>
          </w:tcPr>
          <w:p>
            <w:pPr>
              <w:widowControl/>
              <w:jc w:val="center"/>
              <w:textAlignment w:val="center"/>
              <w:rPr>
                <w:rFonts w:ascii="宋体" w:hAnsi="宋体"/>
                <w:bCs/>
                <w:color w:val="000000"/>
                <w:sz w:val="24"/>
              </w:rPr>
            </w:pPr>
            <w:r>
              <w:rPr>
                <w:rFonts w:hint="eastAsia" w:ascii="宋体" w:hAnsi="宋体" w:cs="宋体"/>
                <w:color w:val="000000"/>
                <w:kern w:val="0"/>
                <w:szCs w:val="21"/>
                <w:lang w:bidi="ar"/>
              </w:rPr>
              <w:t>8</w:t>
            </w:r>
          </w:p>
        </w:tc>
        <w:tc>
          <w:tcPr>
            <w:tcW w:w="2329" w:type="dxa"/>
            <w:vMerge w:val="continue"/>
            <w:noWrap w:val="0"/>
            <w:vAlign w:val="center"/>
          </w:tcPr>
          <w:p>
            <w:pPr>
              <w:jc w:val="center"/>
              <w:rPr>
                <w:rFonts w:hint="eastAsia" w:ascii="宋体" w:hAnsi="宋体"/>
                <w:color w:val="000000"/>
                <w:sz w:val="24"/>
              </w:rPr>
            </w:pPr>
          </w:p>
        </w:tc>
        <w:tc>
          <w:tcPr>
            <w:tcW w:w="725" w:type="dxa"/>
            <w:noWrap w:val="0"/>
            <w:vAlign w:val="center"/>
          </w:tcPr>
          <w:p>
            <w:pPr>
              <w:widowControl/>
              <w:jc w:val="center"/>
              <w:textAlignment w:val="center"/>
              <w:rPr>
                <w:rFonts w:ascii="宋体" w:hAnsi="宋体"/>
                <w:color w:val="000000"/>
                <w:sz w:val="24"/>
              </w:rPr>
            </w:pPr>
            <w:r>
              <w:rPr>
                <w:rFonts w:hint="eastAsia" w:ascii="宋体" w:hAnsi="宋体" w:cs="宋体"/>
                <w:color w:val="000000"/>
                <w:kern w:val="0"/>
                <w:szCs w:val="21"/>
                <w:lang w:bidi="ar"/>
              </w:rPr>
              <w:t>3</w:t>
            </w:r>
          </w:p>
        </w:tc>
        <w:tc>
          <w:tcPr>
            <w:tcW w:w="1147" w:type="dxa"/>
            <w:noWrap w:val="0"/>
            <w:vAlign w:val="center"/>
          </w:tcPr>
          <w:p>
            <w:pPr>
              <w:jc w:val="left"/>
              <w:rPr>
                <w:rFonts w:ascii="宋体"/>
                <w:bCs/>
                <w:color w:val="000000"/>
                <w:szCs w:val="21"/>
              </w:rPr>
            </w:pPr>
          </w:p>
        </w:tc>
        <w:tc>
          <w:tcPr>
            <w:tcW w:w="3798" w:type="dxa"/>
            <w:noWrap w:val="0"/>
            <w:vAlign w:val="center"/>
          </w:tcPr>
          <w:p>
            <w:pPr>
              <w:jc w:val="center"/>
              <w:rPr>
                <w:rFonts w:ascii="宋体"/>
                <w:bCs/>
                <w:color w:val="000000"/>
                <w:szCs w:val="21"/>
              </w:rPr>
            </w:pPr>
            <w:r>
              <w:rPr>
                <w:rFonts w:hint="eastAsia" w:ascii="宋体"/>
                <w:b/>
                <w:szCs w:val="21"/>
              </w:rPr>
              <w:t>/</w:t>
            </w:r>
          </w:p>
        </w:tc>
        <w:tc>
          <w:tcPr>
            <w:tcW w:w="1276" w:type="dxa"/>
            <w:noWrap w:val="0"/>
            <w:vAlign w:val="center"/>
          </w:tcPr>
          <w:p>
            <w:pPr>
              <w:jc w:val="center"/>
              <w:rPr>
                <w:rFonts w:ascii="宋体"/>
                <w:bCs/>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07" w:type="dxa"/>
            <w:noWrap w:val="0"/>
            <w:vAlign w:val="center"/>
          </w:tcPr>
          <w:p>
            <w:pPr>
              <w:widowControl/>
              <w:jc w:val="center"/>
              <w:textAlignment w:val="center"/>
              <w:rPr>
                <w:rFonts w:hint="eastAsia" w:ascii="宋体" w:hAnsi="宋体"/>
                <w:bCs/>
                <w:color w:val="000000"/>
                <w:sz w:val="24"/>
              </w:rPr>
            </w:pPr>
            <w:r>
              <w:rPr>
                <w:rFonts w:hint="eastAsia" w:ascii="宋体" w:hAnsi="宋体" w:cs="宋体"/>
                <w:color w:val="000000"/>
                <w:kern w:val="0"/>
                <w:szCs w:val="21"/>
                <w:lang w:bidi="ar"/>
              </w:rPr>
              <w:t>9</w:t>
            </w:r>
          </w:p>
        </w:tc>
        <w:tc>
          <w:tcPr>
            <w:tcW w:w="2329" w:type="dxa"/>
            <w:vMerge w:val="continue"/>
            <w:noWrap w:val="0"/>
            <w:vAlign w:val="center"/>
          </w:tcPr>
          <w:p>
            <w:pPr>
              <w:jc w:val="center"/>
              <w:rPr>
                <w:rFonts w:hint="eastAsia" w:ascii="宋体" w:hAnsi="宋体"/>
                <w:color w:val="000000"/>
                <w:sz w:val="24"/>
              </w:rPr>
            </w:pPr>
          </w:p>
        </w:tc>
        <w:tc>
          <w:tcPr>
            <w:tcW w:w="725" w:type="dxa"/>
            <w:noWrap w:val="0"/>
            <w:vAlign w:val="center"/>
          </w:tcPr>
          <w:p>
            <w:pPr>
              <w:widowControl/>
              <w:jc w:val="center"/>
              <w:textAlignment w:val="center"/>
              <w:rPr>
                <w:rFonts w:ascii="宋体" w:hAnsi="宋体"/>
                <w:color w:val="000000"/>
                <w:sz w:val="24"/>
              </w:rPr>
            </w:pPr>
            <w:r>
              <w:rPr>
                <w:rFonts w:hint="eastAsia" w:ascii="宋体" w:hAnsi="宋体" w:cs="宋体"/>
                <w:color w:val="000000"/>
                <w:kern w:val="0"/>
                <w:szCs w:val="21"/>
                <w:lang w:bidi="ar"/>
              </w:rPr>
              <w:t>3</w:t>
            </w:r>
          </w:p>
        </w:tc>
        <w:tc>
          <w:tcPr>
            <w:tcW w:w="1147" w:type="dxa"/>
            <w:noWrap w:val="0"/>
            <w:vAlign w:val="center"/>
          </w:tcPr>
          <w:p>
            <w:pPr>
              <w:jc w:val="left"/>
              <w:rPr>
                <w:rFonts w:ascii="宋体"/>
                <w:bCs/>
                <w:color w:val="000000"/>
                <w:szCs w:val="21"/>
              </w:rPr>
            </w:pPr>
          </w:p>
        </w:tc>
        <w:tc>
          <w:tcPr>
            <w:tcW w:w="3798" w:type="dxa"/>
            <w:tcBorders>
              <w:top w:val="nil"/>
              <w:left w:val="nil"/>
              <w:bottom w:val="single" w:color="auto" w:sz="4" w:space="0"/>
              <w:right w:val="single" w:color="auto" w:sz="4" w:space="0"/>
            </w:tcBorders>
            <w:noWrap w:val="0"/>
            <w:vAlign w:val="center"/>
          </w:tcPr>
          <w:p>
            <w:pPr>
              <w:jc w:val="center"/>
              <w:rPr>
                <w:rFonts w:hint="eastAsia" w:ascii="宋体" w:hAnsi="宋体" w:cs="宋体"/>
                <w:b/>
                <w:bCs/>
                <w:color w:val="000000"/>
                <w:kern w:val="0"/>
                <w:sz w:val="24"/>
                <w:shd w:val="pct10" w:color="auto" w:fill="FFFFFF"/>
              </w:rPr>
            </w:pPr>
            <w:r>
              <w:rPr>
                <w:rFonts w:hint="eastAsia" w:ascii="宋体"/>
                <w:b/>
                <w:szCs w:val="21"/>
              </w:rPr>
              <w:t>/</w:t>
            </w:r>
          </w:p>
        </w:tc>
        <w:tc>
          <w:tcPr>
            <w:tcW w:w="1276" w:type="dxa"/>
            <w:tcBorders>
              <w:top w:val="nil"/>
              <w:left w:val="nil"/>
              <w:bottom w:val="single" w:color="auto" w:sz="4" w:space="0"/>
              <w:right w:val="single" w:color="auto" w:sz="4" w:space="0"/>
            </w:tcBorders>
            <w:noWrap w:val="0"/>
            <w:vAlign w:val="center"/>
          </w:tcPr>
          <w:p>
            <w:pPr>
              <w:jc w:val="center"/>
              <w:rPr>
                <w:rFonts w:hint="eastAsia" w:ascii="宋体" w:hAnsi="宋体" w:cs="宋体"/>
                <w:b/>
                <w:bCs/>
                <w:kern w:val="0"/>
                <w:sz w:val="24"/>
                <w:shd w:val="pct10" w:color="auto" w:fill="FFFFFF"/>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507" w:type="dxa"/>
            <w:noWrap w:val="0"/>
            <w:vAlign w:val="center"/>
          </w:tcPr>
          <w:p>
            <w:pPr>
              <w:widowControl/>
              <w:jc w:val="center"/>
              <w:textAlignment w:val="center"/>
              <w:rPr>
                <w:rFonts w:ascii="宋体" w:cs="宋体"/>
                <w:color w:val="000000"/>
                <w:kern w:val="0"/>
                <w:sz w:val="24"/>
              </w:rPr>
            </w:pPr>
            <w:r>
              <w:rPr>
                <w:rFonts w:hint="eastAsia" w:ascii="宋体" w:hAnsi="宋体" w:cs="宋体"/>
                <w:color w:val="000000"/>
                <w:kern w:val="0"/>
                <w:szCs w:val="21"/>
                <w:lang w:bidi="ar"/>
              </w:rPr>
              <w:t>10</w:t>
            </w:r>
          </w:p>
        </w:tc>
        <w:tc>
          <w:tcPr>
            <w:tcW w:w="2329" w:type="dxa"/>
            <w:vMerge w:val="continue"/>
            <w:noWrap w:val="0"/>
            <w:vAlign w:val="center"/>
          </w:tcPr>
          <w:p>
            <w:pPr>
              <w:jc w:val="center"/>
              <w:rPr>
                <w:color w:val="000000"/>
                <w:sz w:val="24"/>
              </w:rPr>
            </w:pPr>
          </w:p>
        </w:tc>
        <w:tc>
          <w:tcPr>
            <w:tcW w:w="725" w:type="dxa"/>
            <w:noWrap w:val="0"/>
            <w:vAlign w:val="center"/>
          </w:tcPr>
          <w:p>
            <w:pPr>
              <w:widowControl/>
              <w:jc w:val="center"/>
              <w:textAlignment w:val="center"/>
              <w:rPr>
                <w:rFonts w:ascii="宋体" w:hAnsi="宋体"/>
                <w:color w:val="000000"/>
                <w:sz w:val="24"/>
              </w:rPr>
            </w:pPr>
            <w:r>
              <w:rPr>
                <w:rFonts w:hint="eastAsia" w:ascii="宋体" w:hAnsi="宋体" w:cs="宋体"/>
                <w:color w:val="000000"/>
                <w:kern w:val="0"/>
                <w:szCs w:val="21"/>
                <w:lang w:bidi="ar"/>
              </w:rPr>
              <w:t>3</w:t>
            </w:r>
          </w:p>
        </w:tc>
        <w:tc>
          <w:tcPr>
            <w:tcW w:w="1147" w:type="dxa"/>
            <w:noWrap w:val="0"/>
            <w:vAlign w:val="center"/>
          </w:tcPr>
          <w:p>
            <w:pPr>
              <w:pStyle w:val="13"/>
              <w:ind w:firstLine="0"/>
              <w:rPr>
                <w:rFonts w:ascii="宋体"/>
                <w:bCs/>
                <w:color w:val="000000"/>
                <w:szCs w:val="21"/>
              </w:rPr>
            </w:pPr>
          </w:p>
        </w:tc>
        <w:tc>
          <w:tcPr>
            <w:tcW w:w="3798" w:type="dxa"/>
            <w:tcBorders>
              <w:top w:val="nil"/>
              <w:left w:val="nil"/>
              <w:bottom w:val="single" w:color="auto" w:sz="4" w:space="0"/>
              <w:right w:val="single" w:color="auto" w:sz="4" w:space="0"/>
            </w:tcBorders>
            <w:noWrap w:val="0"/>
            <w:vAlign w:val="center"/>
          </w:tcPr>
          <w:p>
            <w:pPr>
              <w:jc w:val="center"/>
              <w:rPr>
                <w:rFonts w:ascii="宋体"/>
                <w:bCs/>
                <w:color w:val="000000"/>
                <w:szCs w:val="21"/>
              </w:rPr>
            </w:pPr>
            <w:r>
              <w:rPr>
                <w:rFonts w:hint="eastAsia" w:ascii="宋体"/>
                <w:b/>
                <w:szCs w:val="21"/>
              </w:rPr>
              <w:t>/</w:t>
            </w:r>
          </w:p>
        </w:tc>
        <w:tc>
          <w:tcPr>
            <w:tcW w:w="1276" w:type="dxa"/>
            <w:tcBorders>
              <w:top w:val="nil"/>
              <w:left w:val="nil"/>
              <w:bottom w:val="single" w:color="auto" w:sz="4" w:space="0"/>
              <w:right w:val="single" w:color="auto" w:sz="4" w:space="0"/>
            </w:tcBorders>
            <w:noWrap w:val="0"/>
            <w:vAlign w:val="center"/>
          </w:tcPr>
          <w:p>
            <w:pPr>
              <w:jc w:val="center"/>
              <w:rPr>
                <w:rFonts w:ascii="宋体"/>
                <w:bCs/>
                <w:color w:val="000000"/>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7" w:type="dxa"/>
            <w:noWrap w:val="0"/>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Cs w:val="21"/>
                <w:lang w:bidi="ar"/>
              </w:rPr>
              <w:t>11</w:t>
            </w:r>
          </w:p>
        </w:tc>
        <w:tc>
          <w:tcPr>
            <w:tcW w:w="2329" w:type="dxa"/>
            <w:vMerge w:val="continue"/>
            <w:noWrap w:val="0"/>
            <w:vAlign w:val="center"/>
          </w:tcPr>
          <w:p>
            <w:pPr>
              <w:jc w:val="center"/>
              <w:rPr>
                <w:rFonts w:hint="eastAsia"/>
                <w:color w:val="000000"/>
                <w:sz w:val="24"/>
              </w:rPr>
            </w:pPr>
          </w:p>
        </w:tc>
        <w:tc>
          <w:tcPr>
            <w:tcW w:w="725" w:type="dxa"/>
            <w:noWrap w:val="0"/>
            <w:vAlign w:val="center"/>
          </w:tcPr>
          <w:p>
            <w:pPr>
              <w:widowControl/>
              <w:jc w:val="center"/>
              <w:textAlignment w:val="center"/>
              <w:rPr>
                <w:rFonts w:ascii="宋体" w:hAnsi="宋体"/>
                <w:color w:val="000000"/>
                <w:sz w:val="24"/>
              </w:rPr>
            </w:pPr>
            <w:r>
              <w:rPr>
                <w:rFonts w:hint="eastAsia" w:ascii="宋体" w:hAnsi="宋体" w:cs="宋体"/>
                <w:color w:val="000000"/>
                <w:kern w:val="0"/>
                <w:szCs w:val="21"/>
                <w:lang w:bidi="ar"/>
              </w:rPr>
              <w:t>3</w:t>
            </w:r>
          </w:p>
        </w:tc>
        <w:tc>
          <w:tcPr>
            <w:tcW w:w="1147" w:type="dxa"/>
            <w:noWrap w:val="0"/>
            <w:vAlign w:val="center"/>
          </w:tcPr>
          <w:p>
            <w:pPr>
              <w:pStyle w:val="13"/>
              <w:ind w:firstLine="0"/>
              <w:rPr>
                <w:rFonts w:ascii="宋体"/>
                <w:bCs/>
                <w:color w:val="000000"/>
                <w:szCs w:val="21"/>
              </w:rPr>
            </w:pPr>
          </w:p>
        </w:tc>
        <w:tc>
          <w:tcPr>
            <w:tcW w:w="3798" w:type="dxa"/>
            <w:noWrap w:val="0"/>
            <w:vAlign w:val="center"/>
          </w:tcPr>
          <w:p>
            <w:pPr>
              <w:jc w:val="center"/>
              <w:rPr>
                <w:rFonts w:ascii="宋体"/>
                <w:bCs/>
                <w:color w:val="000000"/>
                <w:szCs w:val="21"/>
              </w:rPr>
            </w:pPr>
            <w:r>
              <w:rPr>
                <w:rFonts w:hint="eastAsia" w:ascii="宋体"/>
                <w:b/>
                <w:szCs w:val="21"/>
              </w:rPr>
              <w:t>/</w:t>
            </w:r>
          </w:p>
        </w:tc>
        <w:tc>
          <w:tcPr>
            <w:tcW w:w="1276" w:type="dxa"/>
            <w:noWrap w:val="0"/>
            <w:vAlign w:val="center"/>
          </w:tcPr>
          <w:p>
            <w:pPr>
              <w:jc w:val="center"/>
              <w:rPr>
                <w:rFonts w:ascii="宋体"/>
                <w:bCs/>
                <w:color w:val="000000"/>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507" w:type="dxa"/>
            <w:noWrap w:val="0"/>
            <w:vAlign w:val="center"/>
          </w:tcPr>
          <w:p>
            <w:pPr>
              <w:widowControl/>
              <w:jc w:val="center"/>
              <w:textAlignment w:val="center"/>
              <w:rPr>
                <w:rFonts w:ascii="宋体" w:cs="宋体"/>
                <w:color w:val="000000"/>
                <w:kern w:val="0"/>
                <w:sz w:val="24"/>
              </w:rPr>
            </w:pPr>
            <w:r>
              <w:rPr>
                <w:rFonts w:hint="eastAsia" w:ascii="宋体" w:hAnsi="宋体" w:cs="宋体"/>
                <w:color w:val="000000"/>
                <w:kern w:val="0"/>
                <w:szCs w:val="21"/>
                <w:lang w:bidi="ar"/>
              </w:rPr>
              <w:t>12</w:t>
            </w:r>
          </w:p>
        </w:tc>
        <w:tc>
          <w:tcPr>
            <w:tcW w:w="2329" w:type="dxa"/>
            <w:vMerge w:val="restart"/>
            <w:noWrap w:val="0"/>
            <w:vAlign w:val="center"/>
          </w:tcPr>
          <w:p>
            <w:pPr>
              <w:widowControl/>
              <w:jc w:val="center"/>
              <w:textAlignment w:val="center"/>
              <w:rPr>
                <w:color w:val="000000"/>
                <w:sz w:val="24"/>
              </w:rPr>
            </w:pPr>
            <w:r>
              <w:rPr>
                <w:rFonts w:hint="eastAsia" w:ascii="宋体" w:hAnsi="宋体" w:cs="宋体"/>
                <w:color w:val="000000"/>
                <w:kern w:val="0"/>
                <w:szCs w:val="21"/>
                <w:lang w:bidi="ar"/>
              </w:rPr>
              <w:t>投标人人员力量</w:t>
            </w:r>
          </w:p>
        </w:tc>
        <w:tc>
          <w:tcPr>
            <w:tcW w:w="725" w:type="dxa"/>
            <w:noWrap w:val="0"/>
            <w:vAlign w:val="center"/>
          </w:tcPr>
          <w:p>
            <w:pPr>
              <w:widowControl/>
              <w:jc w:val="center"/>
              <w:textAlignment w:val="center"/>
              <w:rPr>
                <w:rFonts w:ascii="宋体"/>
                <w:color w:val="000000"/>
                <w:sz w:val="24"/>
              </w:rPr>
            </w:pPr>
            <w:r>
              <w:rPr>
                <w:rFonts w:hint="eastAsia" w:ascii="宋体" w:hAnsi="宋体" w:cs="宋体"/>
                <w:color w:val="000000"/>
                <w:kern w:val="0"/>
                <w:szCs w:val="21"/>
                <w:lang w:bidi="ar"/>
              </w:rPr>
              <w:t>3</w:t>
            </w:r>
          </w:p>
        </w:tc>
        <w:tc>
          <w:tcPr>
            <w:tcW w:w="1147" w:type="dxa"/>
            <w:noWrap w:val="0"/>
            <w:vAlign w:val="center"/>
          </w:tcPr>
          <w:p>
            <w:pPr>
              <w:pStyle w:val="13"/>
              <w:ind w:firstLine="0"/>
              <w:rPr>
                <w:rFonts w:ascii="宋体"/>
                <w:bCs/>
                <w:color w:val="000000"/>
                <w:szCs w:val="21"/>
              </w:rPr>
            </w:pPr>
          </w:p>
        </w:tc>
        <w:tc>
          <w:tcPr>
            <w:tcW w:w="3798" w:type="dxa"/>
            <w:noWrap w:val="0"/>
            <w:vAlign w:val="center"/>
          </w:tcPr>
          <w:p>
            <w:pPr>
              <w:pStyle w:val="13"/>
              <w:ind w:firstLine="0"/>
              <w:rPr>
                <w:rFonts w:ascii="宋体"/>
                <w:bCs/>
                <w:color w:val="000000"/>
                <w:szCs w:val="21"/>
              </w:rPr>
            </w:pPr>
            <w:r>
              <w:rPr>
                <w:rFonts w:hint="eastAsia" w:ascii="宋体" w:hAnsi="宋体" w:cs="宋体"/>
                <w:b/>
                <w:bCs/>
                <w:color w:val="000000"/>
                <w:sz w:val="24"/>
                <w:shd w:val="pct10" w:color="auto" w:fill="FFFFFF"/>
              </w:rPr>
              <w:t>投标人务必将应标情况逐项详细填写齐全，以方便评委进行更加优质、高效的评审</w:t>
            </w:r>
          </w:p>
        </w:tc>
        <w:tc>
          <w:tcPr>
            <w:tcW w:w="1276" w:type="dxa"/>
            <w:noWrap w:val="0"/>
            <w:vAlign w:val="center"/>
          </w:tcPr>
          <w:p>
            <w:pPr>
              <w:pStyle w:val="13"/>
              <w:ind w:firstLine="0"/>
              <w:rPr>
                <w:rFonts w:ascii="宋体"/>
                <w:bCs/>
                <w:color w:val="000000"/>
                <w:szCs w:val="21"/>
              </w:rPr>
            </w:pPr>
            <w:r>
              <w:rPr>
                <w:rFonts w:hint="eastAsia" w:ascii="宋体" w:hAnsi="宋体" w:cs="宋体"/>
                <w:b/>
                <w:bCs/>
                <w:sz w:val="24"/>
                <w:shd w:val="pct10" w:color="auto" w:fill="FFFFFF"/>
              </w:rPr>
              <w:t>投标人将应得分值填写准确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507" w:type="dxa"/>
            <w:noWrap w:val="0"/>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Cs w:val="21"/>
                <w:lang w:bidi="ar"/>
              </w:rPr>
              <w:t>13</w:t>
            </w:r>
          </w:p>
        </w:tc>
        <w:tc>
          <w:tcPr>
            <w:tcW w:w="2329" w:type="dxa"/>
            <w:vMerge w:val="continue"/>
            <w:noWrap w:val="0"/>
            <w:vAlign w:val="center"/>
          </w:tcPr>
          <w:p>
            <w:pPr>
              <w:jc w:val="center"/>
              <w:rPr>
                <w:rFonts w:hint="eastAsia" w:ascii="宋体" w:hAnsi="宋体"/>
                <w:sz w:val="24"/>
              </w:rPr>
            </w:pPr>
          </w:p>
        </w:tc>
        <w:tc>
          <w:tcPr>
            <w:tcW w:w="725" w:type="dxa"/>
            <w:noWrap w:val="0"/>
            <w:vAlign w:val="center"/>
          </w:tcPr>
          <w:p>
            <w:pPr>
              <w:widowControl/>
              <w:jc w:val="center"/>
              <w:textAlignment w:val="center"/>
              <w:rPr>
                <w:rFonts w:ascii="宋体" w:hAnsi="宋体"/>
                <w:color w:val="000000"/>
                <w:sz w:val="24"/>
              </w:rPr>
            </w:pPr>
            <w:r>
              <w:rPr>
                <w:rFonts w:hint="eastAsia" w:ascii="宋体" w:hAnsi="宋体" w:cs="宋体"/>
                <w:color w:val="000000"/>
                <w:kern w:val="0"/>
                <w:szCs w:val="21"/>
                <w:lang w:bidi="ar"/>
              </w:rPr>
              <w:t>3</w:t>
            </w:r>
          </w:p>
        </w:tc>
        <w:tc>
          <w:tcPr>
            <w:tcW w:w="1147" w:type="dxa"/>
            <w:noWrap w:val="0"/>
            <w:vAlign w:val="center"/>
          </w:tcPr>
          <w:p>
            <w:pPr>
              <w:pStyle w:val="13"/>
              <w:ind w:firstLine="0"/>
              <w:rPr>
                <w:rFonts w:ascii="宋体"/>
                <w:bCs/>
                <w:color w:val="000000"/>
                <w:szCs w:val="21"/>
              </w:rPr>
            </w:pPr>
          </w:p>
        </w:tc>
        <w:tc>
          <w:tcPr>
            <w:tcW w:w="3798" w:type="dxa"/>
            <w:noWrap w:val="0"/>
            <w:vAlign w:val="center"/>
          </w:tcPr>
          <w:p>
            <w:pPr>
              <w:jc w:val="left"/>
              <w:rPr>
                <w:rFonts w:hint="eastAsia" w:ascii="宋体" w:hAnsi="宋体" w:cs="宋体"/>
                <w:b/>
                <w:bCs/>
                <w:color w:val="000000"/>
                <w:sz w:val="24"/>
                <w:shd w:val="pct10" w:color="auto" w:fill="FFFFFF"/>
              </w:rPr>
            </w:pPr>
            <w:r>
              <w:rPr>
                <w:rFonts w:hint="eastAsia" w:ascii="宋体" w:hAnsi="宋体" w:cs="宋体"/>
                <w:b/>
                <w:bCs/>
                <w:color w:val="000000"/>
                <w:kern w:val="0"/>
                <w:sz w:val="24"/>
                <w:shd w:val="pct10" w:color="auto" w:fill="FFFFFF"/>
              </w:rPr>
              <w:t>投标人务必将应标证书内容逐项详细填写齐全，以方便评委进行更加优质、高效的评审</w:t>
            </w:r>
          </w:p>
        </w:tc>
        <w:tc>
          <w:tcPr>
            <w:tcW w:w="1276" w:type="dxa"/>
            <w:noWrap w:val="0"/>
            <w:vAlign w:val="center"/>
          </w:tcPr>
          <w:p>
            <w:pPr>
              <w:jc w:val="left"/>
              <w:rPr>
                <w:rFonts w:hint="eastAsia" w:ascii="宋体" w:hAnsi="宋体" w:cs="宋体"/>
                <w:b/>
                <w:bCs/>
                <w:sz w:val="24"/>
                <w:shd w:val="pct10" w:color="auto" w:fill="FFFFFF"/>
              </w:rPr>
            </w:pPr>
            <w:r>
              <w:rPr>
                <w:rFonts w:hint="eastAsia" w:ascii="宋体" w:hAnsi="宋体" w:cs="宋体"/>
                <w:b/>
                <w:bCs/>
                <w:kern w:val="0"/>
                <w:sz w:val="24"/>
                <w:shd w:val="pct10" w:color="auto" w:fill="FFFFFF"/>
              </w:rPr>
              <w:t>投标人将应得分值填写准确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507" w:type="dxa"/>
            <w:noWrap w:val="0"/>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Cs w:val="21"/>
                <w:lang w:bidi="ar"/>
              </w:rPr>
              <w:t>14</w:t>
            </w:r>
          </w:p>
        </w:tc>
        <w:tc>
          <w:tcPr>
            <w:tcW w:w="2329" w:type="dxa"/>
            <w:vMerge w:val="continue"/>
            <w:noWrap w:val="0"/>
            <w:vAlign w:val="center"/>
          </w:tcPr>
          <w:p>
            <w:pPr>
              <w:jc w:val="center"/>
              <w:rPr>
                <w:rFonts w:hint="eastAsia" w:ascii="宋体" w:hAnsi="宋体"/>
                <w:sz w:val="24"/>
              </w:rPr>
            </w:pPr>
          </w:p>
        </w:tc>
        <w:tc>
          <w:tcPr>
            <w:tcW w:w="725" w:type="dxa"/>
            <w:noWrap w:val="0"/>
            <w:vAlign w:val="center"/>
          </w:tcPr>
          <w:p>
            <w:pPr>
              <w:widowControl/>
              <w:jc w:val="center"/>
              <w:textAlignment w:val="center"/>
              <w:rPr>
                <w:rFonts w:ascii="宋体" w:hAnsi="宋体"/>
                <w:color w:val="000000"/>
                <w:sz w:val="24"/>
              </w:rPr>
            </w:pPr>
            <w:r>
              <w:rPr>
                <w:rFonts w:hint="eastAsia" w:ascii="宋体" w:hAnsi="宋体" w:cs="宋体"/>
                <w:color w:val="000000"/>
                <w:kern w:val="0"/>
                <w:szCs w:val="21"/>
                <w:lang w:bidi="ar"/>
              </w:rPr>
              <w:t>2</w:t>
            </w:r>
          </w:p>
        </w:tc>
        <w:tc>
          <w:tcPr>
            <w:tcW w:w="1147" w:type="dxa"/>
            <w:noWrap w:val="0"/>
            <w:vAlign w:val="center"/>
          </w:tcPr>
          <w:p>
            <w:pPr>
              <w:pStyle w:val="13"/>
              <w:ind w:firstLine="0"/>
              <w:rPr>
                <w:rFonts w:ascii="宋体"/>
                <w:bCs/>
                <w:color w:val="000000"/>
                <w:szCs w:val="21"/>
              </w:rPr>
            </w:pPr>
          </w:p>
        </w:tc>
        <w:tc>
          <w:tcPr>
            <w:tcW w:w="3798" w:type="dxa"/>
            <w:noWrap w:val="0"/>
            <w:vAlign w:val="center"/>
          </w:tcPr>
          <w:p>
            <w:pPr>
              <w:jc w:val="left"/>
              <w:rPr>
                <w:rFonts w:hint="eastAsia" w:ascii="宋体"/>
                <w:bCs/>
                <w:color w:val="000000"/>
                <w:szCs w:val="21"/>
              </w:rPr>
            </w:pPr>
            <w:r>
              <w:rPr>
                <w:rFonts w:hint="eastAsia" w:ascii="宋体" w:hAnsi="宋体" w:cs="宋体"/>
                <w:b/>
                <w:bCs/>
                <w:color w:val="000000"/>
                <w:kern w:val="0"/>
                <w:sz w:val="24"/>
                <w:shd w:val="pct10" w:color="auto" w:fill="FFFFFF"/>
              </w:rPr>
              <w:t>投标人务必将应标证书内容逐项详细填写齐全，以方便评委进行更加优质、高效的评审</w:t>
            </w:r>
          </w:p>
        </w:tc>
        <w:tc>
          <w:tcPr>
            <w:tcW w:w="1276" w:type="dxa"/>
            <w:noWrap w:val="0"/>
            <w:vAlign w:val="center"/>
          </w:tcPr>
          <w:p>
            <w:pPr>
              <w:jc w:val="left"/>
              <w:rPr>
                <w:rFonts w:hint="eastAsia" w:ascii="宋体"/>
                <w:bCs/>
                <w:szCs w:val="21"/>
              </w:rPr>
            </w:pPr>
            <w:r>
              <w:rPr>
                <w:rFonts w:hint="eastAsia" w:ascii="宋体" w:hAnsi="宋体" w:cs="宋体"/>
                <w:b/>
                <w:bCs/>
                <w:kern w:val="0"/>
                <w:sz w:val="24"/>
                <w:shd w:val="pct10" w:color="auto" w:fill="FFFFFF"/>
              </w:rPr>
              <w:t>投标人将应得分值填写准确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7" w:type="dxa"/>
            <w:noWrap w:val="0"/>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Cs w:val="21"/>
                <w:lang w:bidi="ar"/>
              </w:rPr>
              <w:t>15</w:t>
            </w:r>
          </w:p>
        </w:tc>
        <w:tc>
          <w:tcPr>
            <w:tcW w:w="2329" w:type="dxa"/>
            <w:vMerge w:val="restart"/>
            <w:noWrap w:val="0"/>
            <w:vAlign w:val="center"/>
          </w:tcPr>
          <w:p>
            <w:pPr>
              <w:widowControl/>
              <w:jc w:val="center"/>
              <w:textAlignment w:val="center"/>
              <w:rPr>
                <w:rFonts w:hint="eastAsia" w:ascii="宋体" w:hAnsi="宋体"/>
                <w:sz w:val="24"/>
              </w:rPr>
            </w:pPr>
            <w:r>
              <w:rPr>
                <w:rFonts w:hint="eastAsia" w:ascii="宋体" w:hAnsi="宋体" w:cs="宋体"/>
                <w:color w:val="000000"/>
                <w:kern w:val="0"/>
                <w:szCs w:val="21"/>
                <w:lang w:bidi="ar"/>
              </w:rPr>
              <w:t>项目实施方案</w:t>
            </w:r>
          </w:p>
        </w:tc>
        <w:tc>
          <w:tcPr>
            <w:tcW w:w="725" w:type="dxa"/>
            <w:noWrap w:val="0"/>
            <w:vAlign w:val="center"/>
          </w:tcPr>
          <w:p>
            <w:pPr>
              <w:widowControl/>
              <w:jc w:val="center"/>
              <w:textAlignment w:val="center"/>
              <w:rPr>
                <w:rFonts w:ascii="宋体" w:hAnsi="宋体"/>
                <w:color w:val="000000"/>
                <w:sz w:val="24"/>
              </w:rPr>
            </w:pPr>
            <w:r>
              <w:rPr>
                <w:rFonts w:hint="eastAsia" w:ascii="宋体" w:hAnsi="宋体" w:cs="宋体"/>
                <w:color w:val="000000"/>
                <w:kern w:val="0"/>
                <w:szCs w:val="21"/>
                <w:lang w:bidi="ar"/>
              </w:rPr>
              <w:t>2</w:t>
            </w:r>
          </w:p>
        </w:tc>
        <w:tc>
          <w:tcPr>
            <w:tcW w:w="1147" w:type="dxa"/>
            <w:noWrap w:val="0"/>
            <w:vAlign w:val="center"/>
          </w:tcPr>
          <w:p>
            <w:pPr>
              <w:pStyle w:val="13"/>
              <w:ind w:firstLine="0"/>
              <w:rPr>
                <w:rFonts w:ascii="宋体"/>
                <w:bCs/>
                <w:color w:val="000000"/>
                <w:szCs w:val="21"/>
              </w:rPr>
            </w:pPr>
          </w:p>
        </w:tc>
        <w:tc>
          <w:tcPr>
            <w:tcW w:w="3798" w:type="dxa"/>
            <w:noWrap w:val="0"/>
            <w:vAlign w:val="center"/>
          </w:tcPr>
          <w:p>
            <w:pPr>
              <w:jc w:val="center"/>
              <w:rPr>
                <w:rFonts w:hint="eastAsia" w:ascii="宋体" w:hAnsi="宋体" w:cs="宋体"/>
                <w:b/>
                <w:bCs/>
                <w:color w:val="000000"/>
                <w:sz w:val="24"/>
                <w:shd w:val="pct10" w:color="auto" w:fill="FFFFFF"/>
              </w:rPr>
            </w:pPr>
            <w:r>
              <w:rPr>
                <w:rFonts w:hint="eastAsia" w:ascii="宋体"/>
                <w:b/>
                <w:szCs w:val="21"/>
              </w:rPr>
              <w:t>/</w:t>
            </w:r>
          </w:p>
        </w:tc>
        <w:tc>
          <w:tcPr>
            <w:tcW w:w="1276" w:type="dxa"/>
            <w:noWrap w:val="0"/>
            <w:vAlign w:val="center"/>
          </w:tcPr>
          <w:p>
            <w:pPr>
              <w:jc w:val="center"/>
              <w:rPr>
                <w:rFonts w:hint="eastAsia" w:ascii="宋体" w:hAnsi="宋体" w:cs="宋体"/>
                <w:b/>
                <w:bCs/>
                <w:sz w:val="24"/>
                <w:shd w:val="pct10" w:color="auto" w:fill="FFFFFF"/>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7" w:type="dxa"/>
            <w:noWrap w:val="0"/>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Cs w:val="21"/>
                <w:lang w:bidi="ar"/>
              </w:rPr>
              <w:t>16</w:t>
            </w:r>
          </w:p>
        </w:tc>
        <w:tc>
          <w:tcPr>
            <w:tcW w:w="2329" w:type="dxa"/>
            <w:vMerge w:val="continue"/>
            <w:noWrap w:val="0"/>
            <w:vAlign w:val="center"/>
          </w:tcPr>
          <w:p>
            <w:pPr>
              <w:jc w:val="center"/>
              <w:rPr>
                <w:rFonts w:hint="eastAsia" w:ascii="宋体" w:hAnsi="宋体"/>
                <w:sz w:val="24"/>
              </w:rPr>
            </w:pPr>
          </w:p>
        </w:tc>
        <w:tc>
          <w:tcPr>
            <w:tcW w:w="725" w:type="dxa"/>
            <w:noWrap w:val="0"/>
            <w:vAlign w:val="center"/>
          </w:tcPr>
          <w:p>
            <w:pPr>
              <w:widowControl/>
              <w:jc w:val="center"/>
              <w:textAlignment w:val="center"/>
              <w:rPr>
                <w:rFonts w:ascii="宋体" w:hAnsi="宋体"/>
                <w:color w:val="000000"/>
                <w:sz w:val="24"/>
              </w:rPr>
            </w:pPr>
            <w:r>
              <w:rPr>
                <w:rFonts w:hint="eastAsia" w:ascii="宋体" w:hAnsi="宋体" w:cs="宋体"/>
                <w:color w:val="000000"/>
                <w:kern w:val="0"/>
                <w:szCs w:val="21"/>
                <w:lang w:bidi="ar"/>
              </w:rPr>
              <w:t>2</w:t>
            </w:r>
          </w:p>
        </w:tc>
        <w:tc>
          <w:tcPr>
            <w:tcW w:w="1147" w:type="dxa"/>
            <w:noWrap w:val="0"/>
            <w:vAlign w:val="center"/>
          </w:tcPr>
          <w:p>
            <w:pPr>
              <w:pStyle w:val="13"/>
              <w:ind w:firstLine="0"/>
              <w:rPr>
                <w:rFonts w:ascii="宋体"/>
                <w:bCs/>
                <w:color w:val="000000"/>
                <w:szCs w:val="21"/>
              </w:rPr>
            </w:pPr>
          </w:p>
        </w:tc>
        <w:tc>
          <w:tcPr>
            <w:tcW w:w="3798" w:type="dxa"/>
            <w:noWrap w:val="0"/>
            <w:vAlign w:val="center"/>
          </w:tcPr>
          <w:p>
            <w:pPr>
              <w:jc w:val="center"/>
              <w:rPr>
                <w:rFonts w:hint="eastAsia" w:ascii="宋体" w:hAnsi="宋体" w:cs="宋体"/>
                <w:b/>
                <w:bCs/>
                <w:color w:val="000000"/>
                <w:sz w:val="24"/>
                <w:shd w:val="pct10" w:color="auto" w:fill="FFFFFF"/>
              </w:rPr>
            </w:pPr>
            <w:r>
              <w:rPr>
                <w:rFonts w:hint="eastAsia" w:ascii="宋体"/>
                <w:b/>
                <w:szCs w:val="21"/>
              </w:rPr>
              <w:t>/</w:t>
            </w:r>
          </w:p>
        </w:tc>
        <w:tc>
          <w:tcPr>
            <w:tcW w:w="1276" w:type="dxa"/>
            <w:noWrap w:val="0"/>
            <w:vAlign w:val="center"/>
          </w:tcPr>
          <w:p>
            <w:pPr>
              <w:jc w:val="center"/>
              <w:rPr>
                <w:rFonts w:hint="eastAsia" w:ascii="宋体" w:hAnsi="宋体" w:cs="宋体"/>
                <w:b/>
                <w:bCs/>
                <w:sz w:val="24"/>
                <w:shd w:val="pct10" w:color="auto" w:fill="FFFFFF"/>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7" w:type="dxa"/>
            <w:noWrap w:val="0"/>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Cs w:val="21"/>
                <w:lang w:bidi="ar"/>
              </w:rPr>
              <w:t>17</w:t>
            </w:r>
          </w:p>
        </w:tc>
        <w:tc>
          <w:tcPr>
            <w:tcW w:w="2329" w:type="dxa"/>
            <w:vMerge w:val="continue"/>
            <w:noWrap w:val="0"/>
            <w:vAlign w:val="center"/>
          </w:tcPr>
          <w:p>
            <w:pPr>
              <w:jc w:val="center"/>
              <w:rPr>
                <w:rFonts w:hint="eastAsia" w:ascii="宋体" w:hAnsi="宋体"/>
                <w:sz w:val="24"/>
              </w:rPr>
            </w:pPr>
          </w:p>
        </w:tc>
        <w:tc>
          <w:tcPr>
            <w:tcW w:w="725" w:type="dxa"/>
            <w:noWrap w:val="0"/>
            <w:vAlign w:val="center"/>
          </w:tcPr>
          <w:p>
            <w:pPr>
              <w:widowControl/>
              <w:jc w:val="center"/>
              <w:textAlignment w:val="center"/>
              <w:rPr>
                <w:rFonts w:ascii="宋体" w:hAnsi="宋体"/>
                <w:color w:val="000000"/>
                <w:sz w:val="24"/>
              </w:rPr>
            </w:pPr>
            <w:r>
              <w:rPr>
                <w:rFonts w:hint="eastAsia" w:ascii="宋体" w:hAnsi="宋体" w:cs="宋体"/>
                <w:color w:val="000000"/>
                <w:kern w:val="0"/>
                <w:szCs w:val="21"/>
                <w:lang w:bidi="ar"/>
              </w:rPr>
              <w:t>1</w:t>
            </w:r>
          </w:p>
        </w:tc>
        <w:tc>
          <w:tcPr>
            <w:tcW w:w="1147" w:type="dxa"/>
            <w:noWrap w:val="0"/>
            <w:vAlign w:val="center"/>
          </w:tcPr>
          <w:p>
            <w:pPr>
              <w:pStyle w:val="13"/>
              <w:ind w:firstLine="0"/>
              <w:rPr>
                <w:rFonts w:ascii="宋体"/>
                <w:bCs/>
                <w:color w:val="000000"/>
                <w:szCs w:val="21"/>
              </w:rPr>
            </w:pPr>
          </w:p>
        </w:tc>
        <w:tc>
          <w:tcPr>
            <w:tcW w:w="3798" w:type="dxa"/>
            <w:noWrap w:val="0"/>
            <w:vAlign w:val="center"/>
          </w:tcPr>
          <w:p>
            <w:pPr>
              <w:jc w:val="center"/>
              <w:rPr>
                <w:rFonts w:hint="eastAsia" w:ascii="宋体" w:hAnsi="宋体" w:cs="宋体"/>
                <w:b/>
                <w:bCs/>
                <w:color w:val="000000"/>
                <w:sz w:val="24"/>
                <w:shd w:val="pct10" w:color="auto" w:fill="FFFFFF"/>
              </w:rPr>
            </w:pPr>
            <w:r>
              <w:rPr>
                <w:rFonts w:hint="eastAsia" w:ascii="宋体"/>
                <w:b/>
                <w:szCs w:val="21"/>
              </w:rPr>
              <w:t>/</w:t>
            </w:r>
          </w:p>
        </w:tc>
        <w:tc>
          <w:tcPr>
            <w:tcW w:w="1276" w:type="dxa"/>
            <w:noWrap w:val="0"/>
            <w:vAlign w:val="center"/>
          </w:tcPr>
          <w:p>
            <w:pPr>
              <w:jc w:val="center"/>
              <w:rPr>
                <w:rFonts w:hint="eastAsia" w:ascii="宋体" w:hAnsi="宋体" w:cs="宋体"/>
                <w:b/>
                <w:bCs/>
                <w:sz w:val="24"/>
                <w:shd w:val="pct10" w:color="auto" w:fill="FFFFFF"/>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7" w:type="dxa"/>
            <w:noWrap w:val="0"/>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Cs w:val="21"/>
                <w:lang w:bidi="ar"/>
              </w:rPr>
              <w:t>18</w:t>
            </w:r>
          </w:p>
        </w:tc>
        <w:tc>
          <w:tcPr>
            <w:tcW w:w="2329" w:type="dxa"/>
            <w:vMerge w:val="restart"/>
            <w:noWrap w:val="0"/>
            <w:vAlign w:val="center"/>
          </w:tcPr>
          <w:p>
            <w:pPr>
              <w:widowControl/>
              <w:jc w:val="center"/>
              <w:textAlignment w:val="center"/>
              <w:rPr>
                <w:rFonts w:hint="eastAsia" w:ascii="宋体" w:hAnsi="宋体"/>
                <w:sz w:val="24"/>
              </w:rPr>
            </w:pPr>
            <w:r>
              <w:rPr>
                <w:rFonts w:hint="eastAsia" w:ascii="宋体" w:hAnsi="宋体" w:cs="宋体"/>
                <w:color w:val="000000"/>
                <w:kern w:val="0"/>
                <w:szCs w:val="21"/>
                <w:lang w:bidi="ar"/>
              </w:rPr>
              <w:t>系统演示</w:t>
            </w:r>
          </w:p>
        </w:tc>
        <w:tc>
          <w:tcPr>
            <w:tcW w:w="725" w:type="dxa"/>
            <w:noWrap w:val="0"/>
            <w:vAlign w:val="center"/>
          </w:tcPr>
          <w:p>
            <w:pPr>
              <w:widowControl/>
              <w:jc w:val="center"/>
              <w:textAlignment w:val="center"/>
              <w:rPr>
                <w:rFonts w:ascii="宋体" w:hAnsi="宋体"/>
                <w:color w:val="000000"/>
                <w:sz w:val="24"/>
              </w:rPr>
            </w:pPr>
            <w:r>
              <w:rPr>
                <w:rFonts w:hint="eastAsia" w:ascii="宋体" w:hAnsi="宋体" w:cs="宋体"/>
                <w:color w:val="000000"/>
                <w:kern w:val="0"/>
                <w:szCs w:val="21"/>
                <w:lang w:val="en-US" w:eastAsia="zh-CN" w:bidi="ar"/>
              </w:rPr>
              <w:t>6</w:t>
            </w:r>
          </w:p>
        </w:tc>
        <w:tc>
          <w:tcPr>
            <w:tcW w:w="1147" w:type="dxa"/>
            <w:noWrap w:val="0"/>
            <w:vAlign w:val="center"/>
          </w:tcPr>
          <w:p>
            <w:pPr>
              <w:pStyle w:val="13"/>
              <w:ind w:firstLine="0"/>
              <w:rPr>
                <w:rFonts w:ascii="宋体"/>
                <w:bCs/>
                <w:color w:val="000000"/>
                <w:szCs w:val="21"/>
              </w:rPr>
            </w:pPr>
          </w:p>
        </w:tc>
        <w:tc>
          <w:tcPr>
            <w:tcW w:w="3798" w:type="dxa"/>
            <w:noWrap w:val="0"/>
            <w:vAlign w:val="center"/>
          </w:tcPr>
          <w:p>
            <w:pPr>
              <w:jc w:val="center"/>
              <w:rPr>
                <w:rFonts w:hint="eastAsia" w:ascii="宋体" w:hAnsi="宋体" w:cs="宋体"/>
                <w:b/>
                <w:bCs/>
                <w:color w:val="000000"/>
                <w:sz w:val="24"/>
                <w:shd w:val="pct10" w:color="auto" w:fill="FFFFFF"/>
              </w:rPr>
            </w:pPr>
            <w:r>
              <w:rPr>
                <w:rFonts w:hint="eastAsia" w:ascii="宋体"/>
                <w:b/>
                <w:szCs w:val="21"/>
              </w:rPr>
              <w:t>/</w:t>
            </w:r>
          </w:p>
        </w:tc>
        <w:tc>
          <w:tcPr>
            <w:tcW w:w="1276" w:type="dxa"/>
            <w:noWrap w:val="0"/>
            <w:vAlign w:val="center"/>
          </w:tcPr>
          <w:p>
            <w:pPr>
              <w:jc w:val="center"/>
              <w:rPr>
                <w:rFonts w:hint="eastAsia" w:ascii="宋体" w:hAnsi="宋体" w:cs="宋体"/>
                <w:b/>
                <w:bCs/>
                <w:sz w:val="24"/>
                <w:shd w:val="pct10" w:color="auto" w:fill="FFFFFF"/>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7" w:type="dxa"/>
            <w:noWrap w:val="0"/>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Cs w:val="21"/>
                <w:lang w:bidi="ar"/>
              </w:rPr>
              <w:t>19</w:t>
            </w:r>
          </w:p>
        </w:tc>
        <w:tc>
          <w:tcPr>
            <w:tcW w:w="2329" w:type="dxa"/>
            <w:vMerge w:val="continue"/>
            <w:noWrap w:val="0"/>
            <w:vAlign w:val="center"/>
          </w:tcPr>
          <w:p>
            <w:pPr>
              <w:jc w:val="center"/>
              <w:rPr>
                <w:rFonts w:hint="eastAsia" w:ascii="宋体" w:hAnsi="宋体"/>
                <w:sz w:val="24"/>
              </w:rPr>
            </w:pPr>
          </w:p>
        </w:tc>
        <w:tc>
          <w:tcPr>
            <w:tcW w:w="725" w:type="dxa"/>
            <w:noWrap w:val="0"/>
            <w:vAlign w:val="center"/>
          </w:tcPr>
          <w:p>
            <w:pPr>
              <w:widowControl/>
              <w:jc w:val="center"/>
              <w:textAlignment w:val="center"/>
              <w:rPr>
                <w:rFonts w:ascii="宋体" w:hAnsi="宋体"/>
                <w:color w:val="000000"/>
                <w:sz w:val="24"/>
              </w:rPr>
            </w:pPr>
            <w:r>
              <w:rPr>
                <w:rFonts w:hint="eastAsia" w:ascii="宋体" w:hAnsi="宋体" w:cs="宋体"/>
                <w:color w:val="000000"/>
                <w:kern w:val="0"/>
                <w:szCs w:val="21"/>
                <w:lang w:val="en-US" w:eastAsia="zh-CN" w:bidi="ar"/>
              </w:rPr>
              <w:t>1</w:t>
            </w:r>
          </w:p>
        </w:tc>
        <w:tc>
          <w:tcPr>
            <w:tcW w:w="1147" w:type="dxa"/>
            <w:noWrap w:val="0"/>
            <w:vAlign w:val="center"/>
          </w:tcPr>
          <w:p>
            <w:pPr>
              <w:pStyle w:val="13"/>
              <w:ind w:firstLine="0"/>
              <w:rPr>
                <w:rFonts w:ascii="宋体"/>
                <w:bCs/>
                <w:color w:val="000000"/>
                <w:szCs w:val="21"/>
              </w:rPr>
            </w:pPr>
          </w:p>
        </w:tc>
        <w:tc>
          <w:tcPr>
            <w:tcW w:w="3798" w:type="dxa"/>
            <w:noWrap w:val="0"/>
            <w:vAlign w:val="center"/>
          </w:tcPr>
          <w:p>
            <w:pPr>
              <w:jc w:val="center"/>
              <w:rPr>
                <w:rFonts w:hint="eastAsia" w:ascii="宋体" w:hAnsi="宋体" w:cs="宋体"/>
                <w:b/>
                <w:bCs/>
                <w:color w:val="000000"/>
                <w:sz w:val="24"/>
                <w:shd w:val="pct10" w:color="auto" w:fill="FFFFFF"/>
              </w:rPr>
            </w:pPr>
            <w:r>
              <w:rPr>
                <w:rFonts w:hint="eastAsia" w:ascii="宋体"/>
                <w:b/>
                <w:szCs w:val="21"/>
              </w:rPr>
              <w:t>/</w:t>
            </w:r>
          </w:p>
        </w:tc>
        <w:tc>
          <w:tcPr>
            <w:tcW w:w="1276" w:type="dxa"/>
            <w:noWrap w:val="0"/>
            <w:vAlign w:val="center"/>
          </w:tcPr>
          <w:p>
            <w:pPr>
              <w:jc w:val="center"/>
              <w:rPr>
                <w:rFonts w:hint="eastAsia" w:ascii="宋体" w:hAnsi="宋体" w:cs="宋体"/>
                <w:b/>
                <w:bCs/>
                <w:sz w:val="24"/>
                <w:shd w:val="pct10" w:color="auto" w:fill="FFFFFF"/>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7" w:type="dxa"/>
            <w:noWrap w:val="0"/>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Cs w:val="21"/>
                <w:lang w:bidi="ar"/>
              </w:rPr>
              <w:t>20</w:t>
            </w:r>
          </w:p>
        </w:tc>
        <w:tc>
          <w:tcPr>
            <w:tcW w:w="2329" w:type="dxa"/>
            <w:vMerge w:val="continue"/>
            <w:noWrap w:val="0"/>
            <w:vAlign w:val="center"/>
          </w:tcPr>
          <w:p>
            <w:pPr>
              <w:jc w:val="center"/>
              <w:rPr>
                <w:rFonts w:hint="eastAsia" w:ascii="宋体" w:hAnsi="宋体"/>
                <w:sz w:val="24"/>
              </w:rPr>
            </w:pPr>
          </w:p>
        </w:tc>
        <w:tc>
          <w:tcPr>
            <w:tcW w:w="725" w:type="dxa"/>
            <w:noWrap w:val="0"/>
            <w:vAlign w:val="center"/>
          </w:tcPr>
          <w:p>
            <w:pPr>
              <w:widowControl/>
              <w:jc w:val="center"/>
              <w:textAlignment w:val="center"/>
              <w:rPr>
                <w:rFonts w:ascii="宋体" w:hAnsi="宋体"/>
                <w:color w:val="000000"/>
                <w:sz w:val="24"/>
              </w:rPr>
            </w:pPr>
            <w:r>
              <w:rPr>
                <w:rFonts w:hint="eastAsia" w:ascii="宋体" w:hAnsi="宋体" w:cs="宋体"/>
                <w:color w:val="000000"/>
                <w:kern w:val="0"/>
                <w:szCs w:val="21"/>
                <w:lang w:bidi="ar"/>
              </w:rPr>
              <w:t>2</w:t>
            </w:r>
          </w:p>
        </w:tc>
        <w:tc>
          <w:tcPr>
            <w:tcW w:w="1147" w:type="dxa"/>
            <w:noWrap w:val="0"/>
            <w:vAlign w:val="center"/>
          </w:tcPr>
          <w:p>
            <w:pPr>
              <w:pStyle w:val="13"/>
              <w:ind w:firstLine="0"/>
              <w:rPr>
                <w:rFonts w:ascii="宋体"/>
                <w:bCs/>
                <w:color w:val="000000"/>
                <w:szCs w:val="21"/>
              </w:rPr>
            </w:pPr>
          </w:p>
        </w:tc>
        <w:tc>
          <w:tcPr>
            <w:tcW w:w="3798" w:type="dxa"/>
            <w:noWrap w:val="0"/>
            <w:vAlign w:val="center"/>
          </w:tcPr>
          <w:p>
            <w:pPr>
              <w:jc w:val="center"/>
              <w:rPr>
                <w:rFonts w:hint="eastAsia" w:ascii="宋体" w:hAnsi="宋体" w:cs="宋体"/>
                <w:b/>
                <w:bCs/>
                <w:color w:val="000000"/>
                <w:sz w:val="24"/>
                <w:shd w:val="pct10" w:color="auto" w:fill="FFFFFF"/>
              </w:rPr>
            </w:pPr>
            <w:r>
              <w:rPr>
                <w:rFonts w:hint="eastAsia" w:ascii="宋体"/>
                <w:b/>
                <w:szCs w:val="21"/>
              </w:rPr>
              <w:t>/</w:t>
            </w:r>
          </w:p>
        </w:tc>
        <w:tc>
          <w:tcPr>
            <w:tcW w:w="1276" w:type="dxa"/>
            <w:noWrap w:val="0"/>
            <w:vAlign w:val="center"/>
          </w:tcPr>
          <w:p>
            <w:pPr>
              <w:jc w:val="center"/>
              <w:rPr>
                <w:rFonts w:hint="eastAsia" w:ascii="宋体" w:hAnsi="宋体" w:cs="宋体"/>
                <w:b/>
                <w:bCs/>
                <w:sz w:val="24"/>
                <w:shd w:val="pct10" w:color="auto" w:fill="FFFFFF"/>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7" w:type="dxa"/>
            <w:noWrap w:val="0"/>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Cs w:val="21"/>
                <w:lang w:bidi="ar"/>
              </w:rPr>
              <w:t>21</w:t>
            </w:r>
          </w:p>
        </w:tc>
        <w:tc>
          <w:tcPr>
            <w:tcW w:w="2329" w:type="dxa"/>
            <w:vMerge w:val="continue"/>
            <w:noWrap w:val="0"/>
            <w:vAlign w:val="center"/>
          </w:tcPr>
          <w:p>
            <w:pPr>
              <w:jc w:val="center"/>
              <w:rPr>
                <w:rFonts w:hint="eastAsia" w:ascii="宋体" w:hAnsi="宋体"/>
                <w:sz w:val="24"/>
              </w:rPr>
            </w:pPr>
          </w:p>
        </w:tc>
        <w:tc>
          <w:tcPr>
            <w:tcW w:w="725" w:type="dxa"/>
            <w:noWrap w:val="0"/>
            <w:vAlign w:val="center"/>
          </w:tcPr>
          <w:p>
            <w:pPr>
              <w:widowControl/>
              <w:jc w:val="center"/>
              <w:textAlignment w:val="center"/>
              <w:rPr>
                <w:rFonts w:ascii="宋体" w:hAnsi="宋体"/>
                <w:color w:val="000000"/>
                <w:sz w:val="24"/>
              </w:rPr>
            </w:pPr>
            <w:r>
              <w:rPr>
                <w:rFonts w:hint="eastAsia" w:ascii="宋体" w:hAnsi="宋体" w:cs="宋体"/>
                <w:color w:val="000000"/>
                <w:kern w:val="0"/>
                <w:szCs w:val="21"/>
                <w:lang w:bidi="ar"/>
              </w:rPr>
              <w:t>2</w:t>
            </w:r>
          </w:p>
        </w:tc>
        <w:tc>
          <w:tcPr>
            <w:tcW w:w="1147" w:type="dxa"/>
            <w:noWrap w:val="0"/>
            <w:vAlign w:val="center"/>
          </w:tcPr>
          <w:p>
            <w:pPr>
              <w:pStyle w:val="13"/>
              <w:ind w:firstLine="0"/>
              <w:rPr>
                <w:rFonts w:ascii="宋体"/>
                <w:bCs/>
                <w:color w:val="000000"/>
                <w:szCs w:val="21"/>
              </w:rPr>
            </w:pPr>
          </w:p>
        </w:tc>
        <w:tc>
          <w:tcPr>
            <w:tcW w:w="3798" w:type="dxa"/>
            <w:noWrap w:val="0"/>
            <w:vAlign w:val="center"/>
          </w:tcPr>
          <w:p>
            <w:pPr>
              <w:jc w:val="center"/>
              <w:rPr>
                <w:rFonts w:hint="eastAsia" w:ascii="宋体" w:hAnsi="宋体" w:cs="宋体"/>
                <w:b/>
                <w:bCs/>
                <w:color w:val="000000"/>
                <w:sz w:val="24"/>
                <w:shd w:val="pct10" w:color="auto" w:fill="FFFFFF"/>
              </w:rPr>
            </w:pPr>
            <w:r>
              <w:rPr>
                <w:rFonts w:hint="eastAsia" w:ascii="宋体"/>
                <w:b/>
                <w:szCs w:val="21"/>
              </w:rPr>
              <w:t>/</w:t>
            </w:r>
          </w:p>
        </w:tc>
        <w:tc>
          <w:tcPr>
            <w:tcW w:w="1276" w:type="dxa"/>
            <w:noWrap w:val="0"/>
            <w:vAlign w:val="center"/>
          </w:tcPr>
          <w:p>
            <w:pPr>
              <w:jc w:val="center"/>
              <w:rPr>
                <w:rFonts w:hint="eastAsia" w:ascii="宋体" w:hAnsi="宋体" w:cs="宋体"/>
                <w:b/>
                <w:bCs/>
                <w:sz w:val="24"/>
                <w:shd w:val="pct10" w:color="auto" w:fill="FFFFFF"/>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7" w:type="dxa"/>
            <w:noWrap w:val="0"/>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Cs w:val="21"/>
                <w:lang w:bidi="ar"/>
              </w:rPr>
              <w:t>22</w:t>
            </w:r>
          </w:p>
        </w:tc>
        <w:tc>
          <w:tcPr>
            <w:tcW w:w="2329" w:type="dxa"/>
            <w:vMerge w:val="continue"/>
            <w:noWrap w:val="0"/>
            <w:vAlign w:val="center"/>
          </w:tcPr>
          <w:p>
            <w:pPr>
              <w:jc w:val="center"/>
              <w:rPr>
                <w:rFonts w:hint="eastAsia" w:ascii="宋体" w:hAnsi="宋体"/>
                <w:sz w:val="24"/>
              </w:rPr>
            </w:pPr>
          </w:p>
        </w:tc>
        <w:tc>
          <w:tcPr>
            <w:tcW w:w="725" w:type="dxa"/>
            <w:noWrap w:val="0"/>
            <w:vAlign w:val="center"/>
          </w:tcPr>
          <w:p>
            <w:pPr>
              <w:widowControl/>
              <w:jc w:val="center"/>
              <w:textAlignment w:val="center"/>
              <w:rPr>
                <w:rFonts w:ascii="宋体" w:hAnsi="宋体"/>
                <w:color w:val="000000"/>
                <w:sz w:val="24"/>
              </w:rPr>
            </w:pPr>
            <w:r>
              <w:rPr>
                <w:rFonts w:hint="eastAsia" w:ascii="宋体" w:hAnsi="宋体" w:cs="宋体"/>
                <w:color w:val="000000"/>
                <w:kern w:val="0"/>
                <w:szCs w:val="21"/>
                <w:lang w:val="en-US" w:eastAsia="zh-CN" w:bidi="ar"/>
              </w:rPr>
              <w:t>3</w:t>
            </w:r>
          </w:p>
        </w:tc>
        <w:tc>
          <w:tcPr>
            <w:tcW w:w="1147" w:type="dxa"/>
            <w:noWrap w:val="0"/>
            <w:vAlign w:val="center"/>
          </w:tcPr>
          <w:p>
            <w:pPr>
              <w:pStyle w:val="13"/>
              <w:ind w:firstLine="0"/>
              <w:rPr>
                <w:rFonts w:ascii="宋体"/>
                <w:bCs/>
                <w:color w:val="000000"/>
                <w:szCs w:val="21"/>
              </w:rPr>
            </w:pPr>
          </w:p>
        </w:tc>
        <w:tc>
          <w:tcPr>
            <w:tcW w:w="3798" w:type="dxa"/>
            <w:noWrap w:val="0"/>
            <w:vAlign w:val="center"/>
          </w:tcPr>
          <w:p>
            <w:pPr>
              <w:jc w:val="center"/>
              <w:rPr>
                <w:rFonts w:hint="eastAsia" w:ascii="宋体" w:hAnsi="宋体" w:cs="宋体"/>
                <w:b/>
                <w:bCs/>
                <w:color w:val="000000"/>
                <w:sz w:val="24"/>
                <w:shd w:val="pct10" w:color="auto" w:fill="FFFFFF"/>
              </w:rPr>
            </w:pPr>
            <w:r>
              <w:rPr>
                <w:rFonts w:hint="eastAsia" w:ascii="宋体"/>
                <w:b/>
                <w:szCs w:val="21"/>
              </w:rPr>
              <w:t>/</w:t>
            </w:r>
          </w:p>
        </w:tc>
        <w:tc>
          <w:tcPr>
            <w:tcW w:w="1276" w:type="dxa"/>
            <w:noWrap w:val="0"/>
            <w:vAlign w:val="center"/>
          </w:tcPr>
          <w:p>
            <w:pPr>
              <w:jc w:val="center"/>
              <w:rPr>
                <w:rFonts w:hint="eastAsia" w:ascii="宋体" w:hAnsi="宋体" w:cs="宋体"/>
                <w:b/>
                <w:bCs/>
                <w:sz w:val="24"/>
                <w:shd w:val="pct10" w:color="auto" w:fill="FFFFFF"/>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7" w:type="dxa"/>
            <w:noWrap w:val="0"/>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Cs w:val="21"/>
                <w:lang w:bidi="ar"/>
              </w:rPr>
              <w:t>23</w:t>
            </w:r>
          </w:p>
        </w:tc>
        <w:tc>
          <w:tcPr>
            <w:tcW w:w="2329" w:type="dxa"/>
            <w:vMerge w:val="continue"/>
            <w:noWrap w:val="0"/>
            <w:vAlign w:val="center"/>
          </w:tcPr>
          <w:p>
            <w:pPr>
              <w:jc w:val="center"/>
              <w:rPr>
                <w:rFonts w:hint="eastAsia" w:ascii="宋体" w:hAnsi="宋体"/>
                <w:sz w:val="24"/>
              </w:rPr>
            </w:pPr>
          </w:p>
        </w:tc>
        <w:tc>
          <w:tcPr>
            <w:tcW w:w="725" w:type="dxa"/>
            <w:noWrap w:val="0"/>
            <w:vAlign w:val="center"/>
          </w:tcPr>
          <w:p>
            <w:pPr>
              <w:widowControl/>
              <w:jc w:val="center"/>
              <w:textAlignment w:val="center"/>
              <w:rPr>
                <w:rFonts w:ascii="宋体" w:hAnsi="宋体"/>
                <w:color w:val="000000"/>
                <w:sz w:val="24"/>
              </w:rPr>
            </w:pPr>
            <w:r>
              <w:rPr>
                <w:rFonts w:hint="eastAsia" w:ascii="宋体" w:hAnsi="宋体" w:cs="宋体"/>
                <w:color w:val="000000"/>
                <w:kern w:val="0"/>
                <w:szCs w:val="21"/>
                <w:lang w:val="en-US" w:eastAsia="zh-CN" w:bidi="ar"/>
              </w:rPr>
              <w:t>2</w:t>
            </w:r>
          </w:p>
        </w:tc>
        <w:tc>
          <w:tcPr>
            <w:tcW w:w="1147" w:type="dxa"/>
            <w:noWrap w:val="0"/>
            <w:vAlign w:val="center"/>
          </w:tcPr>
          <w:p>
            <w:pPr>
              <w:pStyle w:val="13"/>
              <w:ind w:firstLine="0"/>
              <w:rPr>
                <w:rFonts w:ascii="宋体"/>
                <w:bCs/>
                <w:color w:val="000000"/>
                <w:szCs w:val="21"/>
              </w:rPr>
            </w:pPr>
          </w:p>
        </w:tc>
        <w:tc>
          <w:tcPr>
            <w:tcW w:w="3798" w:type="dxa"/>
            <w:noWrap w:val="0"/>
            <w:vAlign w:val="center"/>
          </w:tcPr>
          <w:p>
            <w:pPr>
              <w:jc w:val="center"/>
              <w:rPr>
                <w:rFonts w:hint="eastAsia" w:ascii="宋体" w:hAnsi="宋体" w:cs="宋体"/>
                <w:b/>
                <w:bCs/>
                <w:color w:val="000000"/>
                <w:sz w:val="24"/>
                <w:shd w:val="pct10" w:color="auto" w:fill="FFFFFF"/>
              </w:rPr>
            </w:pPr>
            <w:r>
              <w:rPr>
                <w:rFonts w:hint="eastAsia" w:ascii="宋体"/>
                <w:b/>
                <w:szCs w:val="21"/>
              </w:rPr>
              <w:t>/</w:t>
            </w:r>
          </w:p>
        </w:tc>
        <w:tc>
          <w:tcPr>
            <w:tcW w:w="1276" w:type="dxa"/>
            <w:noWrap w:val="0"/>
            <w:vAlign w:val="center"/>
          </w:tcPr>
          <w:p>
            <w:pPr>
              <w:jc w:val="center"/>
              <w:rPr>
                <w:rFonts w:hint="eastAsia" w:ascii="宋体" w:hAnsi="宋体" w:cs="宋体"/>
                <w:b/>
                <w:bCs/>
                <w:sz w:val="24"/>
                <w:shd w:val="pct10" w:color="auto" w:fill="FFFFFF"/>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7" w:type="dxa"/>
            <w:noWrap w:val="0"/>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Cs w:val="21"/>
                <w:lang w:bidi="ar"/>
              </w:rPr>
              <w:t>24</w:t>
            </w:r>
          </w:p>
        </w:tc>
        <w:tc>
          <w:tcPr>
            <w:tcW w:w="2329" w:type="dxa"/>
            <w:vMerge w:val="continue"/>
            <w:noWrap w:val="0"/>
            <w:vAlign w:val="center"/>
          </w:tcPr>
          <w:p>
            <w:pPr>
              <w:jc w:val="center"/>
              <w:rPr>
                <w:rFonts w:hint="eastAsia" w:ascii="宋体" w:hAnsi="宋体"/>
                <w:sz w:val="24"/>
              </w:rPr>
            </w:pPr>
          </w:p>
        </w:tc>
        <w:tc>
          <w:tcPr>
            <w:tcW w:w="725" w:type="dxa"/>
            <w:noWrap w:val="0"/>
            <w:vAlign w:val="center"/>
          </w:tcPr>
          <w:p>
            <w:pPr>
              <w:widowControl/>
              <w:jc w:val="center"/>
              <w:textAlignment w:val="center"/>
              <w:rPr>
                <w:rFonts w:ascii="宋体" w:hAnsi="宋体"/>
                <w:color w:val="000000"/>
                <w:sz w:val="24"/>
              </w:rPr>
            </w:pPr>
            <w:r>
              <w:rPr>
                <w:rFonts w:hint="eastAsia" w:ascii="宋体" w:hAnsi="宋体" w:cs="宋体"/>
                <w:color w:val="000000"/>
                <w:kern w:val="0"/>
                <w:szCs w:val="21"/>
                <w:lang w:val="en-US" w:eastAsia="zh-CN" w:bidi="ar"/>
              </w:rPr>
              <w:t>4</w:t>
            </w:r>
          </w:p>
        </w:tc>
        <w:tc>
          <w:tcPr>
            <w:tcW w:w="1147" w:type="dxa"/>
            <w:noWrap w:val="0"/>
            <w:vAlign w:val="center"/>
          </w:tcPr>
          <w:p>
            <w:pPr>
              <w:pStyle w:val="13"/>
              <w:ind w:firstLine="0"/>
              <w:rPr>
                <w:rFonts w:ascii="宋体"/>
                <w:bCs/>
                <w:color w:val="000000"/>
                <w:szCs w:val="21"/>
              </w:rPr>
            </w:pPr>
          </w:p>
        </w:tc>
        <w:tc>
          <w:tcPr>
            <w:tcW w:w="3798" w:type="dxa"/>
            <w:noWrap w:val="0"/>
            <w:vAlign w:val="center"/>
          </w:tcPr>
          <w:p>
            <w:pPr>
              <w:jc w:val="center"/>
              <w:rPr>
                <w:rFonts w:hint="eastAsia" w:ascii="宋体" w:hAnsi="宋体" w:cs="宋体"/>
                <w:b/>
                <w:bCs/>
                <w:color w:val="000000"/>
                <w:sz w:val="24"/>
                <w:shd w:val="pct10" w:color="auto" w:fill="FFFFFF"/>
              </w:rPr>
            </w:pPr>
            <w:r>
              <w:rPr>
                <w:rFonts w:hint="eastAsia" w:ascii="宋体"/>
                <w:b/>
                <w:szCs w:val="21"/>
              </w:rPr>
              <w:t>/</w:t>
            </w:r>
          </w:p>
        </w:tc>
        <w:tc>
          <w:tcPr>
            <w:tcW w:w="1276" w:type="dxa"/>
            <w:noWrap w:val="0"/>
            <w:vAlign w:val="center"/>
          </w:tcPr>
          <w:p>
            <w:pPr>
              <w:jc w:val="center"/>
              <w:rPr>
                <w:rFonts w:hint="eastAsia" w:ascii="宋体" w:hAnsi="宋体" w:cs="宋体"/>
                <w:b/>
                <w:bCs/>
                <w:sz w:val="24"/>
                <w:shd w:val="pct10" w:color="auto" w:fill="FFFFFF"/>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507" w:type="dxa"/>
            <w:noWrap w:val="0"/>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Cs w:val="21"/>
                <w:lang w:bidi="ar"/>
              </w:rPr>
              <w:t>25</w:t>
            </w:r>
          </w:p>
        </w:tc>
        <w:tc>
          <w:tcPr>
            <w:tcW w:w="2329" w:type="dxa"/>
            <w:vMerge w:val="restart"/>
            <w:noWrap w:val="0"/>
            <w:vAlign w:val="center"/>
          </w:tcPr>
          <w:p>
            <w:pPr>
              <w:widowControl/>
              <w:jc w:val="center"/>
              <w:textAlignment w:val="center"/>
              <w:rPr>
                <w:rFonts w:hint="eastAsia" w:ascii="宋体" w:hAnsi="宋体"/>
                <w:sz w:val="24"/>
              </w:rPr>
            </w:pPr>
            <w:r>
              <w:rPr>
                <w:rFonts w:hint="eastAsia" w:ascii="宋体" w:hAnsi="宋体" w:cs="宋体"/>
                <w:color w:val="000000"/>
                <w:kern w:val="0"/>
                <w:szCs w:val="21"/>
                <w:lang w:bidi="ar"/>
              </w:rPr>
              <w:t>售后服务方案</w:t>
            </w:r>
          </w:p>
        </w:tc>
        <w:tc>
          <w:tcPr>
            <w:tcW w:w="725" w:type="dxa"/>
            <w:noWrap w:val="0"/>
            <w:vAlign w:val="center"/>
          </w:tcPr>
          <w:p>
            <w:pPr>
              <w:widowControl/>
              <w:jc w:val="center"/>
              <w:textAlignment w:val="center"/>
              <w:rPr>
                <w:rFonts w:hint="eastAsia" w:ascii="宋体" w:hAnsi="宋体"/>
                <w:color w:val="000000"/>
                <w:sz w:val="24"/>
              </w:rPr>
            </w:pPr>
            <w:r>
              <w:rPr>
                <w:rFonts w:hint="eastAsia" w:ascii="宋体" w:hAnsi="宋体" w:cs="宋体"/>
                <w:color w:val="000000"/>
                <w:kern w:val="0"/>
                <w:szCs w:val="21"/>
                <w:lang w:bidi="ar"/>
              </w:rPr>
              <w:t>2</w:t>
            </w:r>
          </w:p>
        </w:tc>
        <w:tc>
          <w:tcPr>
            <w:tcW w:w="1147" w:type="dxa"/>
            <w:noWrap w:val="0"/>
            <w:vAlign w:val="center"/>
          </w:tcPr>
          <w:p>
            <w:pPr>
              <w:pStyle w:val="13"/>
              <w:ind w:firstLine="0"/>
              <w:rPr>
                <w:rFonts w:ascii="宋体"/>
                <w:bCs/>
                <w:color w:val="000000"/>
                <w:szCs w:val="21"/>
              </w:rPr>
            </w:pPr>
          </w:p>
        </w:tc>
        <w:tc>
          <w:tcPr>
            <w:tcW w:w="3798" w:type="dxa"/>
            <w:noWrap w:val="0"/>
            <w:vAlign w:val="center"/>
          </w:tcPr>
          <w:p>
            <w:pPr>
              <w:jc w:val="left"/>
              <w:rPr>
                <w:rFonts w:hint="eastAsia" w:ascii="宋体" w:hAnsi="宋体" w:cs="宋体"/>
                <w:b/>
                <w:bCs/>
                <w:color w:val="000000"/>
                <w:sz w:val="24"/>
                <w:shd w:val="pct10" w:color="auto" w:fill="FFFFFF"/>
              </w:rPr>
            </w:pPr>
            <w:r>
              <w:rPr>
                <w:rFonts w:hint="eastAsia" w:ascii="宋体" w:hAnsi="宋体" w:cs="宋体"/>
                <w:b/>
                <w:bCs/>
                <w:color w:val="000000"/>
                <w:kern w:val="0"/>
                <w:sz w:val="24"/>
                <w:shd w:val="pct10" w:color="auto" w:fill="FFFFFF"/>
              </w:rPr>
              <w:t>投标人务必将应标证书内容逐项详细填写齐全，以方便评委进行更加优质、高效的评审</w:t>
            </w:r>
          </w:p>
        </w:tc>
        <w:tc>
          <w:tcPr>
            <w:tcW w:w="1276" w:type="dxa"/>
            <w:noWrap w:val="0"/>
            <w:vAlign w:val="center"/>
          </w:tcPr>
          <w:p>
            <w:pPr>
              <w:jc w:val="left"/>
              <w:rPr>
                <w:rFonts w:hint="eastAsia" w:ascii="宋体" w:hAnsi="宋体" w:cs="宋体"/>
                <w:b/>
                <w:bCs/>
                <w:sz w:val="24"/>
                <w:shd w:val="pct10" w:color="auto" w:fill="FFFFFF"/>
              </w:rPr>
            </w:pPr>
            <w:r>
              <w:rPr>
                <w:rFonts w:hint="eastAsia" w:ascii="宋体" w:hAnsi="宋体" w:cs="宋体"/>
                <w:b/>
                <w:bCs/>
                <w:kern w:val="0"/>
                <w:sz w:val="24"/>
                <w:shd w:val="pct10" w:color="auto" w:fill="FFFFFF"/>
              </w:rPr>
              <w:t>投标人将应得分值填写准确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7" w:type="dxa"/>
            <w:noWrap w:val="0"/>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kern w:val="0"/>
              </w:rPr>
              <w:t>2</w:t>
            </w:r>
            <w:r>
              <w:rPr>
                <w:rFonts w:hint="eastAsia" w:ascii="宋体" w:hAnsi="宋体" w:cs="宋体"/>
                <w:kern w:val="0"/>
                <w:lang w:val="en-US" w:eastAsia="zh-CN"/>
              </w:rPr>
              <w:t>6</w:t>
            </w:r>
          </w:p>
        </w:tc>
        <w:tc>
          <w:tcPr>
            <w:tcW w:w="2329" w:type="dxa"/>
            <w:vMerge w:val="continue"/>
            <w:noWrap w:val="0"/>
            <w:vAlign w:val="center"/>
          </w:tcPr>
          <w:p>
            <w:pPr>
              <w:widowControl/>
              <w:jc w:val="center"/>
              <w:rPr>
                <w:rFonts w:hint="eastAsia" w:ascii="宋体" w:hAnsi="宋体"/>
                <w:sz w:val="24"/>
              </w:rPr>
            </w:pPr>
          </w:p>
        </w:tc>
        <w:tc>
          <w:tcPr>
            <w:tcW w:w="725" w:type="dxa"/>
            <w:noWrap w:val="0"/>
            <w:vAlign w:val="center"/>
          </w:tcPr>
          <w:p>
            <w:pPr>
              <w:widowControl/>
              <w:jc w:val="center"/>
              <w:textAlignment w:val="center"/>
              <w:rPr>
                <w:rFonts w:ascii="宋体" w:hAnsi="宋体"/>
                <w:color w:val="000000"/>
                <w:sz w:val="24"/>
              </w:rPr>
            </w:pPr>
            <w:r>
              <w:rPr>
                <w:rFonts w:hint="eastAsia" w:ascii="宋体" w:hAnsi="宋体" w:cs="宋体"/>
                <w:color w:val="000000"/>
                <w:kern w:val="0"/>
                <w:szCs w:val="21"/>
                <w:lang w:bidi="ar"/>
              </w:rPr>
              <w:t>2</w:t>
            </w:r>
          </w:p>
        </w:tc>
        <w:tc>
          <w:tcPr>
            <w:tcW w:w="1147" w:type="dxa"/>
            <w:noWrap w:val="0"/>
            <w:vAlign w:val="center"/>
          </w:tcPr>
          <w:p>
            <w:pPr>
              <w:pStyle w:val="13"/>
              <w:ind w:firstLine="0"/>
              <w:rPr>
                <w:rFonts w:ascii="宋体"/>
                <w:bCs/>
                <w:color w:val="000000"/>
                <w:szCs w:val="21"/>
              </w:rPr>
            </w:pPr>
          </w:p>
        </w:tc>
        <w:tc>
          <w:tcPr>
            <w:tcW w:w="3798" w:type="dxa"/>
            <w:noWrap w:val="0"/>
            <w:vAlign w:val="center"/>
          </w:tcPr>
          <w:p>
            <w:pPr>
              <w:jc w:val="center"/>
              <w:rPr>
                <w:rFonts w:hint="eastAsia" w:ascii="宋体" w:hAnsi="宋体" w:cs="宋体"/>
                <w:b/>
                <w:bCs/>
                <w:color w:val="000000"/>
                <w:sz w:val="24"/>
                <w:shd w:val="pct10" w:color="auto" w:fill="FFFFFF"/>
              </w:rPr>
            </w:pPr>
            <w:r>
              <w:rPr>
                <w:rFonts w:hint="eastAsia" w:ascii="宋体"/>
                <w:b/>
                <w:szCs w:val="21"/>
              </w:rPr>
              <w:t>/</w:t>
            </w:r>
          </w:p>
        </w:tc>
        <w:tc>
          <w:tcPr>
            <w:tcW w:w="1276" w:type="dxa"/>
            <w:noWrap w:val="0"/>
            <w:vAlign w:val="center"/>
          </w:tcPr>
          <w:p>
            <w:pPr>
              <w:jc w:val="center"/>
              <w:rPr>
                <w:rFonts w:hint="eastAsia" w:ascii="宋体" w:hAnsi="宋体" w:cs="宋体"/>
                <w:b/>
                <w:bCs/>
                <w:sz w:val="24"/>
                <w:shd w:val="pct10" w:color="auto" w:fill="FFFFFF"/>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7" w:type="dxa"/>
            <w:noWrap w:val="0"/>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kern w:val="0"/>
              </w:rPr>
              <w:t>2</w:t>
            </w:r>
            <w:r>
              <w:rPr>
                <w:rFonts w:hint="eastAsia" w:ascii="宋体" w:hAnsi="宋体" w:cs="宋体"/>
                <w:kern w:val="0"/>
                <w:lang w:val="en-US" w:eastAsia="zh-CN"/>
              </w:rPr>
              <w:t>7</w:t>
            </w:r>
          </w:p>
        </w:tc>
        <w:tc>
          <w:tcPr>
            <w:tcW w:w="2329" w:type="dxa"/>
            <w:vMerge w:val="continue"/>
            <w:noWrap w:val="0"/>
            <w:vAlign w:val="center"/>
          </w:tcPr>
          <w:p>
            <w:pPr>
              <w:widowControl/>
              <w:jc w:val="center"/>
              <w:rPr>
                <w:rFonts w:ascii="宋体"/>
                <w:color w:val="000000"/>
                <w:spacing w:val="-6"/>
                <w:sz w:val="24"/>
              </w:rPr>
            </w:pPr>
          </w:p>
        </w:tc>
        <w:tc>
          <w:tcPr>
            <w:tcW w:w="725" w:type="dxa"/>
            <w:noWrap w:val="0"/>
            <w:vAlign w:val="center"/>
          </w:tcPr>
          <w:p>
            <w:pPr>
              <w:widowControl/>
              <w:jc w:val="center"/>
              <w:textAlignment w:val="center"/>
              <w:rPr>
                <w:rFonts w:hint="eastAsia" w:ascii="宋体"/>
                <w:color w:val="000000"/>
                <w:sz w:val="24"/>
              </w:rPr>
            </w:pPr>
            <w:r>
              <w:rPr>
                <w:rFonts w:hint="eastAsia" w:ascii="宋体" w:hAnsi="宋体" w:cs="宋体"/>
                <w:color w:val="000000"/>
                <w:kern w:val="0"/>
                <w:szCs w:val="21"/>
                <w:lang w:bidi="ar"/>
              </w:rPr>
              <w:t>1</w:t>
            </w:r>
          </w:p>
        </w:tc>
        <w:tc>
          <w:tcPr>
            <w:tcW w:w="1147" w:type="dxa"/>
            <w:noWrap w:val="0"/>
            <w:vAlign w:val="center"/>
          </w:tcPr>
          <w:p>
            <w:pPr>
              <w:pStyle w:val="13"/>
              <w:ind w:firstLine="0"/>
              <w:rPr>
                <w:rFonts w:ascii="宋体"/>
                <w:bCs/>
                <w:color w:val="000000"/>
                <w:szCs w:val="21"/>
              </w:rPr>
            </w:pPr>
          </w:p>
        </w:tc>
        <w:tc>
          <w:tcPr>
            <w:tcW w:w="3798" w:type="dxa"/>
            <w:noWrap w:val="0"/>
            <w:vAlign w:val="center"/>
          </w:tcPr>
          <w:p>
            <w:pPr>
              <w:snapToGrid w:val="0"/>
              <w:jc w:val="center"/>
              <w:rPr>
                <w:rFonts w:ascii="宋体"/>
                <w:bCs/>
                <w:color w:val="000000"/>
                <w:szCs w:val="21"/>
              </w:rPr>
            </w:pPr>
            <w:r>
              <w:rPr>
                <w:rFonts w:hint="eastAsia" w:ascii="宋体"/>
                <w:b/>
                <w:szCs w:val="21"/>
              </w:rPr>
              <w:t>/</w:t>
            </w:r>
          </w:p>
        </w:tc>
        <w:tc>
          <w:tcPr>
            <w:tcW w:w="1276" w:type="dxa"/>
            <w:noWrap w:val="0"/>
            <w:vAlign w:val="center"/>
          </w:tcPr>
          <w:p>
            <w:pPr>
              <w:snapToGrid w:val="0"/>
              <w:jc w:val="center"/>
              <w:rPr>
                <w:rFonts w:ascii="宋体"/>
                <w:bCs/>
                <w:color w:val="000000"/>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836" w:type="dxa"/>
            <w:gridSpan w:val="2"/>
            <w:noWrap w:val="0"/>
            <w:vAlign w:val="center"/>
          </w:tcPr>
          <w:p>
            <w:pPr>
              <w:widowControl/>
              <w:jc w:val="center"/>
              <w:rPr>
                <w:rFonts w:hint="eastAsia" w:ascii="宋体" w:hAnsi="宋体" w:cs="宋体"/>
                <w:kern w:val="0"/>
              </w:rPr>
            </w:pPr>
            <w:r>
              <w:rPr>
                <w:rFonts w:hint="eastAsia" w:ascii="宋体" w:hAnsi="宋体" w:cs="宋体"/>
                <w:kern w:val="0"/>
              </w:rPr>
              <w:t>合计</w:t>
            </w:r>
          </w:p>
        </w:tc>
        <w:tc>
          <w:tcPr>
            <w:tcW w:w="725" w:type="dxa"/>
            <w:noWrap w:val="0"/>
            <w:vAlign w:val="center"/>
          </w:tcPr>
          <w:p>
            <w:pPr>
              <w:widowControl/>
              <w:jc w:val="center"/>
              <w:rPr>
                <w:rFonts w:hint="eastAsia" w:ascii="宋体" w:hAnsi="宋体" w:cs="宋体"/>
                <w:kern w:val="0"/>
              </w:rPr>
            </w:pPr>
            <w:r>
              <w:rPr>
                <w:rFonts w:hint="eastAsia" w:ascii="宋体" w:hAnsi="宋体" w:cs="宋体"/>
                <w:kern w:val="0"/>
              </w:rPr>
              <w:t>70分</w:t>
            </w:r>
          </w:p>
        </w:tc>
        <w:tc>
          <w:tcPr>
            <w:tcW w:w="1147" w:type="dxa"/>
            <w:noWrap w:val="0"/>
            <w:vAlign w:val="center"/>
          </w:tcPr>
          <w:p>
            <w:pPr>
              <w:snapToGrid w:val="0"/>
              <w:jc w:val="left"/>
              <w:rPr>
                <w:rFonts w:ascii="宋体"/>
                <w:bCs/>
                <w:color w:val="000000"/>
                <w:szCs w:val="21"/>
                <w:lang w:val="zh-CN"/>
              </w:rPr>
            </w:pPr>
          </w:p>
        </w:tc>
        <w:tc>
          <w:tcPr>
            <w:tcW w:w="3798" w:type="dxa"/>
            <w:tcBorders>
              <w:top w:val="nil"/>
              <w:left w:val="nil"/>
              <w:bottom w:val="single" w:color="auto" w:sz="4" w:space="0"/>
              <w:right w:val="single" w:color="auto" w:sz="4" w:space="0"/>
            </w:tcBorders>
            <w:noWrap w:val="0"/>
            <w:vAlign w:val="center"/>
          </w:tcPr>
          <w:p>
            <w:pPr>
              <w:snapToGrid w:val="0"/>
              <w:jc w:val="center"/>
              <w:rPr>
                <w:rFonts w:ascii="宋体"/>
                <w:bCs/>
                <w:color w:val="000000"/>
                <w:szCs w:val="21"/>
                <w:lang w:val="zh-CN"/>
              </w:rPr>
            </w:pPr>
            <w:r>
              <w:rPr>
                <w:rFonts w:hint="eastAsia" w:ascii="宋体"/>
                <w:b/>
                <w:szCs w:val="21"/>
              </w:rPr>
              <w:t>/</w:t>
            </w:r>
          </w:p>
        </w:tc>
        <w:tc>
          <w:tcPr>
            <w:tcW w:w="1276" w:type="dxa"/>
            <w:tcBorders>
              <w:top w:val="nil"/>
              <w:left w:val="nil"/>
              <w:bottom w:val="single" w:color="auto" w:sz="4" w:space="0"/>
              <w:right w:val="single" w:color="auto" w:sz="4" w:space="0"/>
            </w:tcBorders>
            <w:noWrap w:val="0"/>
            <w:vAlign w:val="center"/>
          </w:tcPr>
          <w:p>
            <w:pPr>
              <w:snapToGrid w:val="0"/>
              <w:jc w:val="center"/>
              <w:rPr>
                <w:rFonts w:ascii="宋体"/>
                <w:bCs/>
                <w:color w:val="000000"/>
                <w:szCs w:val="21"/>
                <w:lang w:val="zh-CN"/>
              </w:rPr>
            </w:pPr>
            <w:r>
              <w:rPr>
                <w:rFonts w:hint="eastAsia" w:ascii="宋体"/>
                <w:b/>
                <w:szCs w:val="21"/>
              </w:rPr>
              <w:t>/</w:t>
            </w:r>
          </w:p>
        </w:tc>
      </w:tr>
    </w:tbl>
    <w:p>
      <w:pPr>
        <w:rPr>
          <w:rFonts w:hint="eastAsia" w:ascii="宋体" w:hAnsi="宋体"/>
          <w:b/>
          <w:color w:val="000000"/>
          <w:sz w:val="24"/>
        </w:rPr>
      </w:pPr>
    </w:p>
    <w:p>
      <w:pPr>
        <w:rPr>
          <w:rFonts w:hint="eastAsia" w:hAnsi="宋体"/>
          <w:b/>
          <w:color w:val="000000"/>
          <w:sz w:val="30"/>
          <w:szCs w:val="30"/>
        </w:rPr>
      </w:pPr>
    </w:p>
    <w:p>
      <w:pPr>
        <w:rPr>
          <w:rFonts w:hint="eastAsia" w:hAnsi="宋体"/>
          <w:b/>
          <w:color w:val="000000"/>
          <w:sz w:val="30"/>
          <w:szCs w:val="30"/>
        </w:rPr>
      </w:pPr>
    </w:p>
    <w:p>
      <w:pPr>
        <w:rPr>
          <w:rFonts w:hint="eastAsia" w:hAnsi="宋体"/>
          <w:b/>
          <w:color w:val="000000"/>
          <w:sz w:val="30"/>
          <w:szCs w:val="30"/>
        </w:rPr>
      </w:pPr>
    </w:p>
    <w:p>
      <w:pPr>
        <w:rPr>
          <w:rFonts w:hint="eastAsia" w:hAnsi="宋体"/>
          <w:b/>
          <w:color w:val="000000"/>
          <w:sz w:val="30"/>
          <w:szCs w:val="30"/>
        </w:rPr>
      </w:pPr>
    </w:p>
    <w:p>
      <w:pPr>
        <w:rPr>
          <w:rFonts w:hint="eastAsia" w:hAnsi="宋体"/>
          <w:b/>
          <w:color w:val="000000"/>
          <w:sz w:val="30"/>
          <w:szCs w:val="30"/>
        </w:rPr>
      </w:pPr>
    </w:p>
    <w:p>
      <w:pPr>
        <w:rPr>
          <w:rFonts w:hint="eastAsia" w:hAnsi="宋体"/>
          <w:b/>
          <w:color w:val="000000"/>
          <w:sz w:val="30"/>
          <w:szCs w:val="30"/>
        </w:rPr>
      </w:pPr>
    </w:p>
    <w:p>
      <w:pPr>
        <w:rPr>
          <w:rFonts w:hint="eastAsia" w:hAnsi="宋体"/>
          <w:b/>
          <w:color w:val="000000"/>
          <w:sz w:val="30"/>
          <w:szCs w:val="30"/>
        </w:rPr>
      </w:pPr>
    </w:p>
    <w:p>
      <w:pPr>
        <w:rPr>
          <w:rFonts w:hint="eastAsia" w:hAnsi="宋体"/>
          <w:b/>
          <w:color w:val="000000"/>
          <w:sz w:val="30"/>
          <w:szCs w:val="30"/>
        </w:rPr>
      </w:pPr>
    </w:p>
    <w:p>
      <w:pPr>
        <w:rPr>
          <w:rFonts w:hint="eastAsia" w:hAnsi="宋体"/>
          <w:b/>
          <w:color w:val="000000"/>
          <w:sz w:val="30"/>
          <w:szCs w:val="30"/>
        </w:rPr>
      </w:pPr>
    </w:p>
    <w:p>
      <w:pPr>
        <w:rPr>
          <w:rFonts w:hint="eastAsia" w:hAnsi="宋体"/>
          <w:b/>
          <w:color w:val="000000"/>
          <w:sz w:val="30"/>
          <w:szCs w:val="30"/>
        </w:rPr>
      </w:pPr>
    </w:p>
    <w:p>
      <w:pPr>
        <w:rPr>
          <w:rFonts w:hint="eastAsia" w:hAnsi="宋体"/>
          <w:b/>
          <w:color w:val="000000"/>
          <w:sz w:val="30"/>
          <w:szCs w:val="30"/>
        </w:rPr>
      </w:pPr>
    </w:p>
    <w:p>
      <w:pPr>
        <w:rPr>
          <w:rFonts w:hint="eastAsia" w:hAnsi="宋体"/>
          <w:b/>
          <w:color w:val="000000"/>
          <w:sz w:val="30"/>
          <w:szCs w:val="30"/>
        </w:rPr>
      </w:pPr>
    </w:p>
    <w:p>
      <w:pPr>
        <w:rPr>
          <w:rFonts w:hint="eastAsia" w:hAnsi="宋体"/>
          <w:b/>
          <w:color w:val="000000"/>
          <w:sz w:val="30"/>
          <w:szCs w:val="30"/>
        </w:rPr>
      </w:pPr>
    </w:p>
    <w:p>
      <w:pPr>
        <w:rPr>
          <w:rFonts w:hint="eastAsia" w:hAnsi="宋体"/>
          <w:b/>
          <w:color w:val="000000"/>
          <w:sz w:val="30"/>
          <w:szCs w:val="30"/>
        </w:rPr>
      </w:pPr>
    </w:p>
    <w:p>
      <w:pPr>
        <w:rPr>
          <w:rFonts w:hint="eastAsia" w:hAnsi="宋体"/>
          <w:b/>
          <w:color w:val="000000"/>
          <w:sz w:val="30"/>
          <w:szCs w:val="30"/>
        </w:rPr>
      </w:pPr>
    </w:p>
    <w:p>
      <w:pPr>
        <w:rPr>
          <w:rFonts w:hint="eastAsia" w:hAnsi="宋体"/>
          <w:b/>
          <w:color w:val="000000"/>
          <w:sz w:val="30"/>
          <w:szCs w:val="30"/>
        </w:rPr>
      </w:pPr>
    </w:p>
    <w:p>
      <w:pPr>
        <w:rPr>
          <w:rFonts w:hint="eastAsia" w:hAnsi="宋体"/>
          <w:b/>
          <w:color w:val="000000"/>
          <w:sz w:val="30"/>
          <w:szCs w:val="30"/>
        </w:rPr>
      </w:pPr>
    </w:p>
    <w:p>
      <w:pPr>
        <w:rPr>
          <w:rFonts w:hint="eastAsia" w:hAnsi="宋体"/>
          <w:b/>
          <w:color w:val="000000"/>
          <w:sz w:val="30"/>
          <w:szCs w:val="30"/>
        </w:rPr>
      </w:pPr>
    </w:p>
    <w:p>
      <w:pPr>
        <w:rPr>
          <w:rFonts w:hint="eastAsia" w:hAnsi="宋体"/>
          <w:b/>
          <w:color w:val="000000"/>
          <w:sz w:val="30"/>
          <w:szCs w:val="30"/>
        </w:rPr>
      </w:pPr>
    </w:p>
    <w:p>
      <w:pPr>
        <w:rPr>
          <w:rFonts w:hint="eastAsia" w:hAnsi="宋体"/>
          <w:b/>
          <w:color w:val="000000"/>
          <w:sz w:val="30"/>
          <w:szCs w:val="30"/>
        </w:rPr>
      </w:pPr>
    </w:p>
    <w:p>
      <w:pPr>
        <w:rPr>
          <w:rFonts w:hint="eastAsia" w:hAnsi="宋体"/>
          <w:b/>
          <w:color w:val="000000"/>
          <w:sz w:val="30"/>
          <w:szCs w:val="30"/>
        </w:rPr>
      </w:pPr>
    </w:p>
    <w:p>
      <w:pPr>
        <w:rPr>
          <w:rFonts w:hint="eastAsia" w:hAnsi="宋体"/>
          <w:b/>
          <w:color w:val="000000"/>
          <w:sz w:val="30"/>
          <w:szCs w:val="30"/>
        </w:rPr>
      </w:pPr>
    </w:p>
    <w:p>
      <w:pPr>
        <w:adjustRightInd w:val="0"/>
        <w:spacing w:line="240" w:lineRule="atLeast"/>
        <w:jc w:val="center"/>
        <w:rPr>
          <w:rFonts w:hAnsi="宋体"/>
          <w:b/>
          <w:color w:val="000000"/>
          <w:sz w:val="30"/>
          <w:szCs w:val="30"/>
        </w:rPr>
      </w:pPr>
      <w:r>
        <w:rPr>
          <w:rFonts w:hint="eastAsia" w:hAnsi="宋体"/>
          <w:b/>
          <w:color w:val="000000"/>
          <w:sz w:val="30"/>
          <w:szCs w:val="30"/>
        </w:rPr>
        <w:t>第五章  合同主要条款</w:t>
      </w:r>
    </w:p>
    <w:p>
      <w:pPr>
        <w:adjustRightInd w:val="0"/>
        <w:spacing w:line="240" w:lineRule="atLeast"/>
        <w:jc w:val="center"/>
        <w:rPr>
          <w:rFonts w:hint="eastAsia" w:hAnsi="宋体"/>
          <w:b/>
          <w:sz w:val="30"/>
          <w:szCs w:val="30"/>
        </w:rPr>
      </w:pPr>
      <w:r>
        <w:rPr>
          <w:rFonts w:hint="eastAsia" w:hAnsi="宋体"/>
          <w:b/>
          <w:sz w:val="30"/>
          <w:szCs w:val="30"/>
        </w:rPr>
        <w:t>（货物类）</w:t>
      </w:r>
    </w:p>
    <w:p>
      <w:pPr>
        <w:adjustRightInd w:val="0"/>
        <w:spacing w:line="240" w:lineRule="atLeast"/>
        <w:jc w:val="center"/>
        <w:rPr>
          <w:rFonts w:hAnsi="宋体"/>
          <w:b/>
          <w:color w:val="000000"/>
          <w:sz w:val="30"/>
          <w:szCs w:val="30"/>
        </w:rPr>
      </w:pPr>
      <w:r>
        <w:rPr>
          <w:rFonts w:hint="eastAsia" w:hAnsi="宋体"/>
          <w:sz w:val="28"/>
          <w:szCs w:val="28"/>
          <w:shd w:val="pct10" w:color="auto" w:fill="FFFFFF"/>
        </w:rPr>
        <w:t>（此稿为合同样本，最终定稿待双方协商后商定）</w:t>
      </w:r>
    </w:p>
    <w:p>
      <w:pPr>
        <w:pStyle w:val="27"/>
        <w:snapToGrid w:val="0"/>
        <w:spacing w:before="120" w:after="120"/>
        <w:rPr>
          <w:rFonts w:hAnsi="宋体"/>
          <w:color w:val="000000"/>
        </w:rPr>
      </w:pPr>
      <w:bookmarkStart w:id="52" w:name="_Hlk53062102"/>
      <w:r>
        <w:rPr>
          <w:rFonts w:hint="eastAsia" w:hAnsi="宋体"/>
          <w:color w:val="000000"/>
        </w:rPr>
        <w:t xml:space="preserve">项目名称：                                 </w:t>
      </w:r>
      <w:r>
        <w:rPr>
          <w:rFonts w:hAnsi="宋体"/>
          <w:color w:val="000000"/>
        </w:rPr>
        <w:t xml:space="preserve"> </w:t>
      </w:r>
      <w:r>
        <w:rPr>
          <w:rFonts w:hint="eastAsia" w:hAnsi="宋体"/>
          <w:color w:val="000000"/>
        </w:rPr>
        <w:t>项目编号：</w:t>
      </w:r>
    </w:p>
    <w:p>
      <w:pPr>
        <w:pStyle w:val="27"/>
        <w:snapToGrid w:val="0"/>
        <w:spacing w:before="120" w:after="120"/>
        <w:rPr>
          <w:rFonts w:hint="eastAsia" w:hAnsi="宋体"/>
          <w:color w:val="000000"/>
        </w:rPr>
      </w:pPr>
      <w:r>
        <w:rPr>
          <w:rFonts w:hint="eastAsia" w:hAnsi="宋体"/>
          <w:color w:val="000000"/>
        </w:rPr>
        <w:t xml:space="preserve">甲方：（采购方）                              </w:t>
      </w:r>
    </w:p>
    <w:p>
      <w:pPr>
        <w:pStyle w:val="27"/>
        <w:snapToGrid w:val="0"/>
        <w:spacing w:before="120" w:after="120"/>
        <w:rPr>
          <w:rFonts w:hAnsi="宋体"/>
          <w:color w:val="000000"/>
        </w:rPr>
      </w:pPr>
      <w:r>
        <w:rPr>
          <w:rFonts w:hint="eastAsia" w:hAnsi="宋体"/>
          <w:color w:val="000000"/>
        </w:rPr>
        <w:t>乙方：（供应商）</w:t>
      </w:r>
    </w:p>
    <w:p>
      <w:pPr>
        <w:pStyle w:val="27"/>
        <w:snapToGrid w:val="0"/>
        <w:spacing w:before="120" w:after="120"/>
        <w:rPr>
          <w:rFonts w:hAnsi="宋体"/>
          <w:b/>
          <w:color w:val="000000"/>
        </w:rPr>
      </w:pPr>
      <w:r>
        <w:rPr>
          <w:rFonts w:hint="eastAsia" w:hAnsi="宋体"/>
          <w:color w:val="000000"/>
        </w:rPr>
        <w:t>鉴证方：</w:t>
      </w:r>
      <w:r>
        <w:rPr>
          <w:rFonts w:hint="eastAsia" w:hAnsi="宋体"/>
        </w:rPr>
        <w:t>采购代理机构</w:t>
      </w:r>
    </w:p>
    <w:p>
      <w:pPr>
        <w:pStyle w:val="27"/>
        <w:snapToGrid w:val="0"/>
        <w:spacing w:before="120" w:after="120"/>
        <w:ind w:firstLine="480" w:firstLineChars="200"/>
        <w:rPr>
          <w:rFonts w:hAnsi="宋体"/>
          <w:b/>
          <w:color w:val="000000"/>
        </w:rPr>
      </w:pPr>
      <w:r>
        <w:rPr>
          <w:rFonts w:hint="eastAsia" w:hAnsi="宋体"/>
          <w:color w:val="000000"/>
        </w:rPr>
        <w:t>甲、乙双方根据《中华人民共和国政府采购法》、《中华人民共和国民法典》和_______________________项目招标文件的相关规定，双方达成一致签署本合同。</w:t>
      </w:r>
    </w:p>
    <w:p>
      <w:pPr>
        <w:pStyle w:val="27"/>
        <w:snapToGrid w:val="0"/>
        <w:spacing w:before="120" w:after="120"/>
        <w:rPr>
          <w:rFonts w:hAnsi="宋体"/>
          <w:b/>
          <w:color w:val="000000"/>
        </w:rPr>
      </w:pPr>
      <w:r>
        <w:rPr>
          <w:rFonts w:hint="eastAsia" w:hAnsi="宋体"/>
          <w:b/>
          <w:color w:val="000000"/>
        </w:rPr>
        <w:t>一、货物内容</w:t>
      </w:r>
    </w:p>
    <w:p>
      <w:pPr>
        <w:pStyle w:val="27"/>
        <w:snapToGrid w:val="0"/>
        <w:spacing w:before="120" w:after="120"/>
        <w:rPr>
          <w:rFonts w:hAnsi="宋体"/>
          <w:color w:val="000000"/>
        </w:rPr>
      </w:pPr>
      <w:r>
        <w:rPr>
          <w:rFonts w:hint="eastAsia" w:hAnsi="宋体"/>
          <w:color w:val="000000"/>
        </w:rPr>
        <w:t>1. 货物名称：</w:t>
      </w:r>
    </w:p>
    <w:p>
      <w:pPr>
        <w:pStyle w:val="27"/>
        <w:snapToGrid w:val="0"/>
        <w:spacing w:before="120" w:after="120"/>
        <w:rPr>
          <w:rFonts w:hAnsi="宋体"/>
          <w:color w:val="000000"/>
        </w:rPr>
      </w:pPr>
      <w:r>
        <w:rPr>
          <w:rFonts w:hint="eastAsia" w:hAnsi="宋体"/>
          <w:color w:val="000000"/>
        </w:rPr>
        <w:t>2. 型号规格：</w:t>
      </w:r>
    </w:p>
    <w:p>
      <w:pPr>
        <w:pStyle w:val="27"/>
        <w:snapToGrid w:val="0"/>
        <w:spacing w:before="120" w:after="120"/>
        <w:rPr>
          <w:rFonts w:hAnsi="宋体"/>
          <w:color w:val="000000"/>
        </w:rPr>
      </w:pPr>
      <w:r>
        <w:rPr>
          <w:rFonts w:hint="eastAsia" w:hAnsi="宋体"/>
          <w:color w:val="000000"/>
        </w:rPr>
        <w:t>3. 技术参数：</w:t>
      </w:r>
    </w:p>
    <w:p>
      <w:pPr>
        <w:pStyle w:val="27"/>
        <w:snapToGrid w:val="0"/>
        <w:spacing w:before="120" w:after="120"/>
        <w:rPr>
          <w:rFonts w:hAnsi="宋体"/>
          <w:color w:val="000000"/>
        </w:rPr>
      </w:pPr>
      <w:r>
        <w:rPr>
          <w:rFonts w:hint="eastAsia" w:hAnsi="宋体"/>
          <w:color w:val="000000"/>
        </w:rPr>
        <w:t>4. 数量（单位）：</w:t>
      </w:r>
    </w:p>
    <w:p>
      <w:pPr>
        <w:pStyle w:val="27"/>
        <w:snapToGrid w:val="0"/>
        <w:spacing w:before="120" w:after="120"/>
        <w:rPr>
          <w:rFonts w:hAnsi="宋体"/>
          <w:b/>
          <w:color w:val="000000"/>
        </w:rPr>
      </w:pPr>
      <w:r>
        <w:rPr>
          <w:rFonts w:hint="eastAsia" w:hAnsi="宋体"/>
          <w:b/>
          <w:color w:val="000000"/>
        </w:rPr>
        <w:t>二、合同金额</w:t>
      </w:r>
    </w:p>
    <w:p>
      <w:pPr>
        <w:pStyle w:val="27"/>
        <w:snapToGrid w:val="0"/>
        <w:spacing w:before="120" w:after="120"/>
        <w:rPr>
          <w:rFonts w:hAnsi="宋体"/>
          <w:b/>
          <w:color w:val="000000"/>
        </w:rPr>
      </w:pPr>
      <w:r>
        <w:rPr>
          <w:rFonts w:hint="eastAsia" w:hAnsi="宋体"/>
          <w:color w:val="000000"/>
        </w:rPr>
        <w:t>本合同金额为（大写）：______________________元（￥_____元）人民币。</w:t>
      </w:r>
    </w:p>
    <w:p>
      <w:pPr>
        <w:pStyle w:val="27"/>
        <w:snapToGrid w:val="0"/>
        <w:spacing w:before="120" w:after="120"/>
        <w:rPr>
          <w:rFonts w:hAnsi="宋体"/>
          <w:b/>
          <w:color w:val="000000"/>
        </w:rPr>
      </w:pPr>
      <w:r>
        <w:rPr>
          <w:rFonts w:hint="eastAsia" w:hAnsi="宋体"/>
          <w:b/>
          <w:color w:val="000000"/>
        </w:rPr>
        <w:t>三、技术资料</w:t>
      </w:r>
    </w:p>
    <w:p>
      <w:pPr>
        <w:pStyle w:val="27"/>
        <w:snapToGrid w:val="0"/>
        <w:spacing w:before="120" w:after="120"/>
        <w:ind w:left="410" w:hanging="410" w:hangingChars="171"/>
        <w:rPr>
          <w:rFonts w:hAnsi="宋体"/>
          <w:color w:val="000000"/>
        </w:rPr>
      </w:pPr>
      <w:r>
        <w:rPr>
          <w:rFonts w:hint="eastAsia" w:hAnsi="宋体"/>
          <w:color w:val="000000"/>
        </w:rPr>
        <w:t>1.乙方应按招标文件规定的时间向甲方提供使用货物的有关技术资料。</w:t>
      </w:r>
    </w:p>
    <w:p>
      <w:pPr>
        <w:pStyle w:val="27"/>
        <w:snapToGrid w:val="0"/>
        <w:spacing w:before="120" w:after="120"/>
        <w:rPr>
          <w:rFonts w:hAnsi="宋体"/>
          <w:color w:val="000000"/>
        </w:rPr>
      </w:pPr>
      <w:r>
        <w:rPr>
          <w:rFonts w:hint="eastAsia" w:hAnsi="宋体"/>
          <w:color w:val="00000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7"/>
        <w:snapToGrid w:val="0"/>
        <w:spacing w:before="120" w:after="120"/>
        <w:ind w:left="412" w:hanging="412" w:hangingChars="171"/>
        <w:rPr>
          <w:rFonts w:hAnsi="宋体"/>
          <w:b/>
          <w:color w:val="000000"/>
        </w:rPr>
      </w:pPr>
      <w:r>
        <w:rPr>
          <w:rFonts w:hint="eastAsia" w:hAnsi="宋体"/>
          <w:b/>
          <w:color w:val="000000"/>
        </w:rPr>
        <w:t>四、知识产权</w:t>
      </w:r>
    </w:p>
    <w:p>
      <w:pPr>
        <w:pStyle w:val="27"/>
        <w:snapToGrid w:val="0"/>
        <w:spacing w:before="120" w:after="120"/>
        <w:rPr>
          <w:rFonts w:hAnsi="宋体"/>
          <w:bCs/>
          <w:color w:val="000000"/>
        </w:rPr>
      </w:pPr>
      <w:r>
        <w:rPr>
          <w:rFonts w:hint="eastAsia" w:hAnsi="宋体"/>
          <w:color w:val="000000"/>
        </w:rPr>
        <w:t>乙方应保证所提供的货物或其任何一部分均不会侵犯任何第三方的知识产权</w:t>
      </w:r>
      <w:r>
        <w:rPr>
          <w:rFonts w:hint="eastAsia" w:hAnsi="宋体"/>
          <w:bCs/>
          <w:color w:val="000000"/>
        </w:rPr>
        <w:t>。</w:t>
      </w:r>
    </w:p>
    <w:p>
      <w:pPr>
        <w:pStyle w:val="27"/>
        <w:snapToGrid w:val="0"/>
        <w:spacing w:before="120" w:after="120"/>
        <w:rPr>
          <w:rFonts w:hAnsi="宋体"/>
          <w:color w:val="000000"/>
          <w:u w:val="single"/>
        </w:rPr>
      </w:pPr>
      <w:r>
        <w:rPr>
          <w:rFonts w:hint="eastAsia" w:hAnsi="宋体"/>
          <w:b/>
          <w:color w:val="000000"/>
        </w:rPr>
        <w:t>五、产权担保</w:t>
      </w:r>
    </w:p>
    <w:p>
      <w:pPr>
        <w:pStyle w:val="27"/>
        <w:snapToGrid w:val="0"/>
        <w:spacing w:before="120" w:after="120"/>
        <w:ind w:left="408" w:hanging="408" w:hangingChars="170"/>
        <w:rPr>
          <w:rFonts w:hAnsi="宋体"/>
          <w:color w:val="000000"/>
          <w:u w:val="single"/>
        </w:rPr>
      </w:pPr>
      <w:r>
        <w:rPr>
          <w:rFonts w:hint="eastAsia" w:hAnsi="宋体"/>
          <w:color w:val="000000"/>
        </w:rPr>
        <w:t>乙方保证所交付的货物的所有权完全属于乙方且无任何抵押、查封等产权瑕疵。</w:t>
      </w:r>
    </w:p>
    <w:p>
      <w:pPr>
        <w:pStyle w:val="27"/>
        <w:snapToGrid w:val="0"/>
        <w:spacing w:before="120" w:after="120"/>
        <w:ind w:left="410" w:hanging="410" w:hangingChars="170"/>
        <w:rPr>
          <w:rFonts w:hAnsi="宋体"/>
          <w:b/>
          <w:color w:val="000000"/>
        </w:rPr>
      </w:pPr>
      <w:r>
        <w:rPr>
          <w:rFonts w:hint="eastAsia" w:hAnsi="宋体"/>
          <w:b/>
          <w:color w:val="000000"/>
        </w:rPr>
        <w:t>六、履约保证金</w:t>
      </w:r>
    </w:p>
    <w:p>
      <w:pPr>
        <w:pStyle w:val="27"/>
        <w:snapToGrid w:val="0"/>
        <w:spacing w:before="120" w:after="120"/>
        <w:ind w:left="408" w:hanging="408" w:hangingChars="170"/>
        <w:rPr>
          <w:rFonts w:hAnsi="宋体"/>
          <w:color w:val="000000"/>
        </w:rPr>
      </w:pPr>
      <w:r>
        <w:rPr>
          <w:rFonts w:hint="eastAsia" w:hAnsi="宋体"/>
          <w:color w:val="000000"/>
        </w:rPr>
        <w:t>乙方交纳</w:t>
      </w:r>
      <w:r>
        <w:rPr>
          <w:rFonts w:hint="eastAsia" w:hAnsi="宋体"/>
          <w:color w:val="000000"/>
          <w:u w:val="single"/>
        </w:rPr>
        <w:t xml:space="preserve">      </w:t>
      </w:r>
      <w:r>
        <w:rPr>
          <w:rFonts w:hint="eastAsia" w:hAnsi="宋体"/>
          <w:color w:val="000000"/>
        </w:rPr>
        <w:t>元作为本合同的履约保证金。</w:t>
      </w:r>
    </w:p>
    <w:p>
      <w:pPr>
        <w:spacing w:line="400" w:lineRule="exact"/>
        <w:rPr>
          <w:rFonts w:ascii="宋体" w:hAnsi="宋体"/>
          <w:b/>
          <w:color w:val="000000"/>
          <w:sz w:val="24"/>
        </w:rPr>
      </w:pPr>
      <w:r>
        <w:rPr>
          <w:rFonts w:hint="eastAsia" w:ascii="宋体" w:hAnsi="宋体"/>
          <w:b/>
          <w:color w:val="000000"/>
          <w:sz w:val="24"/>
        </w:rPr>
        <w:t>七、转包或分包</w:t>
      </w:r>
    </w:p>
    <w:p>
      <w:pPr>
        <w:spacing w:line="400" w:lineRule="exact"/>
        <w:rPr>
          <w:rFonts w:ascii="宋体" w:hAnsi="宋体"/>
          <w:color w:val="000000"/>
          <w:sz w:val="24"/>
        </w:rPr>
      </w:pPr>
      <w:r>
        <w:rPr>
          <w:rFonts w:hint="eastAsia" w:ascii="宋体" w:hAnsi="宋体"/>
          <w:color w:val="000000"/>
          <w:sz w:val="24"/>
        </w:rPr>
        <w:t>1.本合同范围的货物，应由乙方直接供应，不得转让他人供应；</w:t>
      </w:r>
    </w:p>
    <w:p>
      <w:pPr>
        <w:spacing w:line="400" w:lineRule="exact"/>
        <w:rPr>
          <w:rFonts w:ascii="宋体" w:hAnsi="宋体"/>
          <w:color w:val="000000"/>
          <w:sz w:val="24"/>
        </w:rPr>
      </w:pPr>
      <w:r>
        <w:rPr>
          <w:rFonts w:hint="eastAsia" w:ascii="宋体" w:hAnsi="宋体"/>
          <w:color w:val="000000"/>
          <w:sz w:val="24"/>
        </w:rPr>
        <w:t>2.除非得到甲方的书面同意，乙方不得将本合同范围的货物全部或部分分包给他人供应；</w:t>
      </w:r>
    </w:p>
    <w:p>
      <w:pPr>
        <w:spacing w:line="400" w:lineRule="exact"/>
        <w:rPr>
          <w:rFonts w:ascii="宋体" w:hAnsi="宋体"/>
          <w:color w:val="000000"/>
          <w:sz w:val="24"/>
        </w:rPr>
      </w:pPr>
      <w:r>
        <w:rPr>
          <w:rFonts w:hint="eastAsia" w:ascii="宋体" w:hAnsi="宋体"/>
          <w:color w:val="000000"/>
          <w:sz w:val="24"/>
        </w:rPr>
        <w:t>3.如有转让和未经甲方同意的分包行为，甲方有权解除合同，履约保证金不予退回并追究乙方的违约责任。</w:t>
      </w:r>
    </w:p>
    <w:p>
      <w:pPr>
        <w:pStyle w:val="27"/>
        <w:snapToGrid w:val="0"/>
        <w:spacing w:before="120" w:after="120"/>
        <w:rPr>
          <w:rFonts w:hAnsi="宋体"/>
          <w:color w:val="000000"/>
        </w:rPr>
      </w:pPr>
      <w:r>
        <w:rPr>
          <w:rFonts w:hint="eastAsia" w:hAnsi="宋体"/>
          <w:b/>
          <w:color w:val="000000"/>
        </w:rPr>
        <w:t>八、保修期和质保金</w:t>
      </w:r>
    </w:p>
    <w:p>
      <w:pPr>
        <w:pStyle w:val="27"/>
        <w:snapToGrid w:val="0"/>
        <w:spacing w:before="120" w:after="120"/>
        <w:ind w:left="410" w:hanging="410" w:hangingChars="171"/>
        <w:rPr>
          <w:rFonts w:hAnsi="宋体"/>
          <w:color w:val="000000"/>
        </w:rPr>
      </w:pPr>
      <w:r>
        <w:rPr>
          <w:rFonts w:hint="eastAsia" w:hAnsi="宋体"/>
          <w:color w:val="000000"/>
        </w:rPr>
        <w:t>1.保修期</w:t>
      </w:r>
      <w:r>
        <w:rPr>
          <w:rFonts w:hint="eastAsia" w:hAnsi="宋体"/>
          <w:color w:val="000000"/>
          <w:u w:val="single"/>
        </w:rPr>
        <w:t xml:space="preserve">  </w:t>
      </w:r>
      <w:r>
        <w:rPr>
          <w:rFonts w:hAnsi="宋体"/>
          <w:color w:val="000000"/>
          <w:u w:val="single"/>
        </w:rPr>
        <w:t xml:space="preserve">  </w:t>
      </w:r>
      <w:r>
        <w:rPr>
          <w:rFonts w:hint="eastAsia" w:hAnsi="宋体"/>
          <w:color w:val="000000"/>
        </w:rPr>
        <w:t>年。（自交货验收合格之日起计）</w:t>
      </w:r>
    </w:p>
    <w:p>
      <w:pPr>
        <w:pStyle w:val="27"/>
        <w:snapToGrid w:val="0"/>
        <w:spacing w:before="120" w:after="120"/>
        <w:ind w:left="410" w:hanging="410" w:hangingChars="171"/>
        <w:rPr>
          <w:rFonts w:hAnsi="宋体"/>
          <w:color w:val="000000"/>
        </w:rPr>
      </w:pPr>
      <w:r>
        <w:rPr>
          <w:rFonts w:hint="eastAsia" w:hAnsi="宋体"/>
          <w:color w:val="000000"/>
        </w:rPr>
        <w:t>2.保修金。</w:t>
      </w:r>
    </w:p>
    <w:p>
      <w:pPr>
        <w:pStyle w:val="27"/>
        <w:snapToGrid w:val="0"/>
        <w:spacing w:before="120" w:after="120"/>
        <w:rPr>
          <w:rFonts w:hAnsi="宋体"/>
          <w:b/>
          <w:color w:val="000000"/>
        </w:rPr>
      </w:pPr>
      <w:r>
        <w:rPr>
          <w:rFonts w:hint="eastAsia" w:hAnsi="宋体"/>
          <w:b/>
          <w:color w:val="000000"/>
        </w:rPr>
        <w:t>九、交货期、交货方式及交货地点</w:t>
      </w:r>
    </w:p>
    <w:p>
      <w:pPr>
        <w:pStyle w:val="27"/>
        <w:snapToGrid w:val="0"/>
        <w:spacing w:before="120" w:after="120"/>
        <w:rPr>
          <w:rFonts w:hAnsi="宋体"/>
          <w:bCs/>
          <w:color w:val="000000"/>
        </w:rPr>
      </w:pPr>
      <w:r>
        <w:rPr>
          <w:rFonts w:hint="eastAsia" w:hAnsi="宋体"/>
          <w:bCs/>
          <w:color w:val="000000"/>
        </w:rPr>
        <w:t>1. 交货期：</w:t>
      </w:r>
    </w:p>
    <w:p>
      <w:pPr>
        <w:pStyle w:val="27"/>
        <w:snapToGrid w:val="0"/>
        <w:spacing w:before="120" w:after="120"/>
        <w:rPr>
          <w:rFonts w:hint="eastAsia" w:hAnsi="宋体"/>
          <w:bCs/>
          <w:color w:val="000000"/>
        </w:rPr>
      </w:pPr>
      <w:r>
        <w:rPr>
          <w:rFonts w:hint="eastAsia" w:hAnsi="宋体"/>
          <w:bCs/>
          <w:color w:val="000000"/>
        </w:rPr>
        <w:t>2. 交货方式：</w:t>
      </w:r>
    </w:p>
    <w:p>
      <w:pPr>
        <w:pStyle w:val="27"/>
        <w:snapToGrid w:val="0"/>
        <w:spacing w:before="120" w:after="120"/>
        <w:rPr>
          <w:rFonts w:hAnsi="宋体"/>
          <w:b/>
          <w:color w:val="000000"/>
        </w:rPr>
      </w:pPr>
      <w:r>
        <w:rPr>
          <w:rFonts w:hint="eastAsia" w:hAnsi="宋体"/>
          <w:bCs/>
          <w:color w:val="000000"/>
        </w:rPr>
        <w:t>3. 交货地点：</w:t>
      </w:r>
    </w:p>
    <w:p>
      <w:pPr>
        <w:pStyle w:val="27"/>
        <w:snapToGrid w:val="0"/>
        <w:spacing w:before="120" w:after="120"/>
        <w:rPr>
          <w:rFonts w:hAnsi="宋体"/>
          <w:b/>
          <w:color w:val="000000"/>
        </w:rPr>
      </w:pPr>
      <w:r>
        <w:rPr>
          <w:rFonts w:hint="eastAsia" w:hAnsi="宋体"/>
          <w:b/>
          <w:color w:val="000000"/>
        </w:rPr>
        <w:t>十、货款支付</w:t>
      </w:r>
    </w:p>
    <w:p>
      <w:pPr>
        <w:pStyle w:val="23"/>
        <w:adjustRightInd w:val="0"/>
        <w:snapToGrid w:val="0"/>
        <w:spacing w:line="400" w:lineRule="exact"/>
        <w:ind w:left="0" w:leftChars="0" w:firstLine="480" w:firstLineChars="200"/>
        <w:jc w:val="left"/>
        <w:rPr>
          <w:rFonts w:hint="eastAsia" w:ascii="宋体" w:hAnsi="宋体"/>
          <w:color w:val="000000"/>
          <w:sz w:val="24"/>
        </w:rPr>
      </w:pPr>
      <w:r>
        <w:rPr>
          <w:rFonts w:hint="eastAsia" w:ascii="宋体" w:hAnsi="宋体"/>
          <w:color w:val="000000"/>
          <w:sz w:val="24"/>
        </w:rPr>
        <w:t xml:space="preserve"> </w:t>
      </w:r>
    </w:p>
    <w:p>
      <w:pPr>
        <w:pStyle w:val="27"/>
        <w:snapToGrid w:val="0"/>
        <w:spacing w:before="120" w:after="120"/>
        <w:rPr>
          <w:b/>
          <w:color w:val="000000"/>
        </w:rPr>
      </w:pPr>
      <w:r>
        <w:rPr>
          <w:rFonts w:hint="eastAsia"/>
          <w:b/>
          <w:color w:val="000000"/>
        </w:rPr>
        <w:t>十一、税费</w:t>
      </w:r>
    </w:p>
    <w:p>
      <w:pPr>
        <w:spacing w:line="400" w:lineRule="exact"/>
        <w:rPr>
          <w:color w:val="000000"/>
          <w:sz w:val="24"/>
        </w:rPr>
      </w:pPr>
      <w:r>
        <w:rPr>
          <w:rFonts w:hint="eastAsia"/>
          <w:color w:val="000000"/>
          <w:sz w:val="24"/>
        </w:rPr>
        <w:t>本合同执行中相关的一切税费均由乙方负担。</w:t>
      </w:r>
    </w:p>
    <w:p>
      <w:pPr>
        <w:pStyle w:val="27"/>
        <w:snapToGrid w:val="0"/>
        <w:spacing w:before="120" w:after="120"/>
        <w:ind w:left="412" w:hanging="412" w:hangingChars="171"/>
        <w:rPr>
          <w:rFonts w:hAnsi="宋体"/>
          <w:color w:val="000000"/>
        </w:rPr>
      </w:pPr>
      <w:r>
        <w:rPr>
          <w:rFonts w:hint="eastAsia" w:hAnsi="宋体"/>
          <w:b/>
          <w:color w:val="000000"/>
        </w:rPr>
        <w:t>十二、质量保证及售后服务</w:t>
      </w:r>
    </w:p>
    <w:p>
      <w:pPr>
        <w:pStyle w:val="27"/>
        <w:snapToGrid w:val="0"/>
        <w:spacing w:before="120" w:after="120"/>
        <w:rPr>
          <w:rFonts w:hAnsi="宋体"/>
          <w:color w:val="000000"/>
        </w:rPr>
      </w:pPr>
      <w:r>
        <w:rPr>
          <w:rFonts w:hint="eastAsia" w:hAnsi="宋体"/>
          <w:color w:val="000000"/>
        </w:rPr>
        <w:t>1. 乙方应按招标文件规定的货物性能、技术要求、质量标准向甲方提供未经使用的全新产品。</w:t>
      </w:r>
    </w:p>
    <w:p>
      <w:pPr>
        <w:pStyle w:val="27"/>
        <w:snapToGrid w:val="0"/>
        <w:spacing w:before="120" w:after="120"/>
        <w:rPr>
          <w:rFonts w:hAnsi="宋体"/>
          <w:color w:val="000000"/>
        </w:rPr>
      </w:pPr>
      <w:r>
        <w:rPr>
          <w:rFonts w:hint="eastAsia" w:hAnsi="宋体"/>
          <w:color w:val="000000"/>
        </w:rPr>
        <w:t>2.乙方提供的货物在保修期内因货物本身的质量问题发生故障，乙方应负责免费更换。</w:t>
      </w:r>
    </w:p>
    <w:p>
      <w:pPr>
        <w:pStyle w:val="27"/>
        <w:snapToGrid w:val="0"/>
        <w:spacing w:before="120" w:after="120"/>
        <w:ind w:left="480" w:hanging="480" w:hangingChars="200"/>
        <w:rPr>
          <w:rFonts w:hAnsi="宋体"/>
          <w:color w:val="000000"/>
        </w:rPr>
      </w:pPr>
      <w:r>
        <w:rPr>
          <w:rFonts w:hint="eastAsia" w:hAnsi="宋体"/>
          <w:color w:val="000000"/>
        </w:rPr>
        <w:t>对达不到技术要求者，根据实际情况，经双方协商，可按以下办法处理：</w:t>
      </w:r>
    </w:p>
    <w:p>
      <w:pPr>
        <w:pStyle w:val="27"/>
        <w:snapToGrid w:val="0"/>
        <w:spacing w:before="120" w:after="120"/>
        <w:ind w:firstLine="420"/>
        <w:rPr>
          <w:rFonts w:hAnsi="宋体"/>
          <w:color w:val="000000"/>
        </w:rPr>
      </w:pPr>
      <w:r>
        <w:rPr>
          <w:rFonts w:hint="eastAsia" w:hAnsi="宋体"/>
          <w:color w:val="000000"/>
        </w:rPr>
        <w:t>⑴更换：由乙方承担所发生的全部费用。</w:t>
      </w:r>
    </w:p>
    <w:p>
      <w:pPr>
        <w:pStyle w:val="27"/>
        <w:snapToGrid w:val="0"/>
        <w:spacing w:before="120" w:after="120"/>
        <w:ind w:firstLine="420"/>
        <w:rPr>
          <w:rFonts w:hAnsi="宋体"/>
          <w:color w:val="000000"/>
        </w:rPr>
      </w:pPr>
      <w:r>
        <w:rPr>
          <w:rFonts w:hint="eastAsia" w:hAnsi="宋体"/>
          <w:color w:val="000000"/>
        </w:rPr>
        <w:t>⑵贬值处理：由甲乙双方合议定价。</w:t>
      </w:r>
    </w:p>
    <w:p>
      <w:pPr>
        <w:pStyle w:val="27"/>
        <w:snapToGrid w:val="0"/>
        <w:spacing w:before="120" w:after="120"/>
        <w:ind w:left="420" w:leftChars="200"/>
        <w:rPr>
          <w:rFonts w:hAnsi="宋体"/>
          <w:color w:val="000000"/>
        </w:rPr>
      </w:pPr>
      <w:r>
        <w:rPr>
          <w:rFonts w:hint="eastAsia" w:hAnsi="宋体"/>
          <w:color w:val="000000"/>
        </w:rPr>
        <w:t>⑶退货处理：乙方应退还甲方支付的合同款，同时应承担该货物的直接费用（运输、保险、检验、货款利息及银行手续费等）。</w:t>
      </w:r>
    </w:p>
    <w:p>
      <w:pPr>
        <w:pStyle w:val="27"/>
        <w:snapToGrid w:val="0"/>
        <w:spacing w:before="120" w:after="120"/>
        <w:rPr>
          <w:rFonts w:hAnsi="宋体"/>
          <w:color w:val="000000"/>
        </w:rPr>
      </w:pPr>
      <w:r>
        <w:rPr>
          <w:rFonts w:hint="eastAsia" w:hAnsi="宋体"/>
          <w:color w:val="000000"/>
        </w:rPr>
        <w:t>3.如在使用过程中发生质量问题，乙方在接到甲方通知后在小时内到达甲方现场。</w:t>
      </w:r>
    </w:p>
    <w:p>
      <w:pPr>
        <w:pStyle w:val="27"/>
        <w:snapToGrid w:val="0"/>
        <w:spacing w:before="120" w:after="120"/>
        <w:rPr>
          <w:rFonts w:hAnsi="宋体"/>
          <w:color w:val="000000"/>
        </w:rPr>
      </w:pPr>
      <w:r>
        <w:rPr>
          <w:rFonts w:hint="eastAsia" w:hAnsi="宋体"/>
          <w:color w:val="000000"/>
        </w:rPr>
        <w:t>4.在保修期内，乙方应对货物出现的质量及安全问题负责处理解决并承担一切费用。</w:t>
      </w:r>
    </w:p>
    <w:p>
      <w:pPr>
        <w:pStyle w:val="27"/>
        <w:snapToGrid w:val="0"/>
        <w:spacing w:before="120" w:after="120"/>
        <w:rPr>
          <w:rFonts w:hAnsi="宋体"/>
          <w:color w:val="000000"/>
        </w:rPr>
      </w:pPr>
      <w:r>
        <w:rPr>
          <w:rFonts w:hint="eastAsia" w:hAnsi="宋体"/>
          <w:color w:val="000000"/>
        </w:rPr>
        <w:t>5.上述的货物免费保修期为年，因人为因素出现的故障不在免费保修范围内。超过保修期的机器设备，终生维修，维修时只收部件成本费。</w:t>
      </w:r>
    </w:p>
    <w:p>
      <w:pPr>
        <w:pStyle w:val="27"/>
        <w:snapToGrid w:val="0"/>
        <w:spacing w:before="120" w:after="120"/>
        <w:rPr>
          <w:rFonts w:hAnsi="宋体"/>
          <w:b/>
          <w:color w:val="000000"/>
        </w:rPr>
      </w:pPr>
      <w:r>
        <w:rPr>
          <w:rFonts w:hint="eastAsia" w:hAnsi="宋体"/>
          <w:b/>
          <w:color w:val="000000"/>
        </w:rPr>
        <w:t>十三、调试和验收</w:t>
      </w:r>
    </w:p>
    <w:p>
      <w:pPr>
        <w:pStyle w:val="27"/>
        <w:snapToGrid w:val="0"/>
        <w:spacing w:before="120" w:after="120"/>
        <w:jc w:val="left"/>
        <w:rPr>
          <w:rFonts w:hAnsi="宋体"/>
        </w:rPr>
      </w:pPr>
      <w:r>
        <w:rPr>
          <w:rFonts w:hint="eastAsia" w:hAnsi="宋体"/>
          <w:color w:val="000000"/>
        </w:rPr>
        <w:t>1.甲方对乙方提交的货物依据招</w:t>
      </w:r>
      <w:r>
        <w:rPr>
          <w:rFonts w:hint="eastAsia" w:hAnsi="宋体"/>
        </w:rPr>
        <w:t>标文件上的技术规格要求</w:t>
      </w:r>
      <w:bookmarkStart w:id="53" w:name="_Hlk49866784"/>
      <w:r>
        <w:rPr>
          <w:rFonts w:hint="eastAsia" w:hAnsi="宋体"/>
        </w:rPr>
        <w:t>及投标文件应标内容</w:t>
      </w:r>
      <w:bookmarkEnd w:id="53"/>
      <w:r>
        <w:rPr>
          <w:rFonts w:hint="eastAsia" w:hAnsi="宋体"/>
        </w:rPr>
        <w:t>和国家有关质量标准进行现场初步验收，外观、说明书符合招标文件技术要求及投标文件应标内容的，给予签收，初步验收不合格的不予签收。货到后，甲方需在五个工作日内验收。</w:t>
      </w:r>
    </w:p>
    <w:p>
      <w:pPr>
        <w:pStyle w:val="27"/>
        <w:snapToGrid w:val="0"/>
        <w:spacing w:before="120" w:after="120"/>
        <w:rPr>
          <w:rFonts w:hAnsi="宋体"/>
        </w:rPr>
      </w:pPr>
      <w:r>
        <w:rPr>
          <w:rFonts w:hint="eastAsia" w:hAnsi="宋体"/>
        </w:rPr>
        <w:t>2.乙方交货前应对产品作出全面检查和对验收文件进行整理，并列出清单，作为甲方收货验收和使用的技术条件依据，检验的结果应随货物交甲方。</w:t>
      </w:r>
    </w:p>
    <w:p>
      <w:pPr>
        <w:pStyle w:val="27"/>
        <w:snapToGrid w:val="0"/>
        <w:spacing w:before="120" w:after="120"/>
        <w:rPr>
          <w:rFonts w:hAnsi="宋体"/>
        </w:rPr>
      </w:pPr>
      <w:r>
        <w:rPr>
          <w:rFonts w:hint="eastAsia" w:hAnsi="宋体"/>
        </w:rPr>
        <w:t>3.甲方对乙方提供的货物在使用前进行调试时，乙方需负责安装并培训甲方的使用操作人员，并协助甲方一起调试，直到符合技术要求，甲方才做最终验收。</w:t>
      </w:r>
    </w:p>
    <w:p>
      <w:pPr>
        <w:pStyle w:val="27"/>
        <w:snapToGrid w:val="0"/>
        <w:spacing w:before="120" w:after="120"/>
        <w:rPr>
          <w:rFonts w:hAnsi="宋体"/>
        </w:rPr>
      </w:pPr>
      <w:r>
        <w:rPr>
          <w:rFonts w:hint="eastAsia" w:hAnsi="宋体"/>
        </w:rPr>
        <w:t>4.对技术复杂的货物，甲方应请国家认可的专业检测机构参与初步验收及最终验收，并由其出具质量检测报告。</w:t>
      </w:r>
    </w:p>
    <w:p>
      <w:pPr>
        <w:pStyle w:val="27"/>
        <w:snapToGrid w:val="0"/>
        <w:spacing w:before="120" w:after="120"/>
        <w:rPr>
          <w:rFonts w:hAnsi="宋体"/>
        </w:rPr>
      </w:pPr>
      <w:r>
        <w:rPr>
          <w:rFonts w:hint="eastAsia" w:hAnsi="宋体"/>
        </w:rPr>
        <w:t>5.验收时乙方必须在现场，验收完毕后作出验收结果报告。</w:t>
      </w:r>
    </w:p>
    <w:p>
      <w:pPr>
        <w:pStyle w:val="27"/>
        <w:snapToGrid w:val="0"/>
        <w:spacing w:before="120" w:after="120"/>
        <w:rPr>
          <w:rFonts w:hAnsi="宋体"/>
          <w:b/>
        </w:rPr>
      </w:pPr>
      <w:r>
        <w:rPr>
          <w:rFonts w:hint="eastAsia" w:hAnsi="宋体"/>
          <w:b/>
        </w:rPr>
        <w:t>十四、货物包装、发运及运输</w:t>
      </w:r>
    </w:p>
    <w:p>
      <w:pPr>
        <w:pStyle w:val="27"/>
        <w:snapToGrid w:val="0"/>
        <w:spacing w:before="120" w:after="120"/>
        <w:rPr>
          <w:rFonts w:hAnsi="宋体"/>
        </w:rPr>
      </w:pPr>
      <w:r>
        <w:rPr>
          <w:rFonts w:hint="eastAsia" w:hAnsi="宋体"/>
        </w:rPr>
        <w:t>1.乙方应在货物发运前对其进行满足运输距离、防潮、防震、防锈和防破损装卸等要求包装，以保证货物安全运达甲方指定地点。</w:t>
      </w:r>
    </w:p>
    <w:p>
      <w:pPr>
        <w:pStyle w:val="27"/>
        <w:snapToGrid w:val="0"/>
        <w:spacing w:before="120" w:after="120"/>
        <w:ind w:left="480" w:hanging="480" w:hangingChars="200"/>
        <w:rPr>
          <w:rFonts w:hAnsi="宋体"/>
        </w:rPr>
      </w:pPr>
      <w:r>
        <w:rPr>
          <w:rFonts w:hint="eastAsia" w:hAnsi="宋体"/>
        </w:rPr>
        <w:t>2.使用说明书、质量检验证明书、随配附件和工具以及清单一并附于货物内。</w:t>
      </w:r>
    </w:p>
    <w:p>
      <w:pPr>
        <w:pStyle w:val="27"/>
        <w:snapToGrid w:val="0"/>
        <w:spacing w:before="120" w:after="120"/>
        <w:rPr>
          <w:rFonts w:hAnsi="宋体"/>
        </w:rPr>
      </w:pPr>
      <w:r>
        <w:rPr>
          <w:rFonts w:hint="eastAsia" w:hAnsi="宋体"/>
        </w:rPr>
        <w:t>3.乙方在货物发运手续办理完毕后24小时内或货到甲方48小时前通知甲方，以准备接货。</w:t>
      </w:r>
    </w:p>
    <w:p>
      <w:pPr>
        <w:pStyle w:val="27"/>
        <w:snapToGrid w:val="0"/>
        <w:spacing w:before="120" w:after="120"/>
        <w:ind w:left="480" w:hanging="480" w:hangingChars="200"/>
        <w:rPr>
          <w:rFonts w:hAnsi="宋体"/>
        </w:rPr>
      </w:pPr>
      <w:r>
        <w:rPr>
          <w:rFonts w:hint="eastAsia" w:hAnsi="宋体"/>
        </w:rPr>
        <w:t>4.货物在交付甲方前发生的风险均由乙方负责。</w:t>
      </w:r>
    </w:p>
    <w:p>
      <w:pPr>
        <w:pStyle w:val="27"/>
        <w:snapToGrid w:val="0"/>
        <w:spacing w:before="120" w:after="120"/>
        <w:ind w:right="26"/>
        <w:rPr>
          <w:rFonts w:hAnsi="宋体"/>
        </w:rPr>
      </w:pPr>
      <w:r>
        <w:rPr>
          <w:rFonts w:hint="eastAsia" w:hAnsi="宋体"/>
        </w:rPr>
        <w:t>5.货物在规定的交付期限内由乙方送达甲方指定的地点视为交付，乙方同时需通知甲方货物已送达。</w:t>
      </w:r>
    </w:p>
    <w:p>
      <w:pPr>
        <w:pStyle w:val="27"/>
        <w:snapToGrid w:val="0"/>
        <w:spacing w:before="120" w:after="120"/>
        <w:rPr>
          <w:rFonts w:hAnsi="宋体"/>
          <w:b/>
        </w:rPr>
      </w:pPr>
      <w:r>
        <w:rPr>
          <w:rFonts w:hint="eastAsia" w:hAnsi="宋体"/>
          <w:b/>
        </w:rPr>
        <w:t>十五、违约责任</w:t>
      </w:r>
    </w:p>
    <w:p>
      <w:pPr>
        <w:pStyle w:val="27"/>
        <w:snapToGrid w:val="0"/>
        <w:spacing w:before="120" w:after="120"/>
        <w:ind w:left="410" w:hanging="410" w:hangingChars="171"/>
        <w:rPr>
          <w:rFonts w:hAnsi="宋体"/>
        </w:rPr>
      </w:pPr>
      <w:r>
        <w:rPr>
          <w:rFonts w:hint="eastAsia" w:hAnsi="宋体"/>
        </w:rPr>
        <w:t>1.甲方无正当理由拒收货物的，甲方向乙方偿付拒收货款总值的百分之五违约金。</w:t>
      </w:r>
    </w:p>
    <w:p>
      <w:pPr>
        <w:pStyle w:val="27"/>
        <w:snapToGrid w:val="0"/>
        <w:spacing w:before="120" w:after="120"/>
        <w:rPr>
          <w:rFonts w:hAnsi="宋体"/>
        </w:rPr>
      </w:pPr>
      <w:r>
        <w:rPr>
          <w:rFonts w:hint="eastAsia" w:hAnsi="宋体"/>
        </w:rPr>
        <w:t>2.甲方无故逾期验收和办理货款支付手续的,甲方应按逾期付款总额每日万分之五向乙方支付违约金。</w:t>
      </w:r>
    </w:p>
    <w:p>
      <w:pPr>
        <w:pStyle w:val="27"/>
        <w:snapToGrid w:val="0"/>
        <w:spacing w:before="120" w:after="120"/>
        <w:rPr>
          <w:rFonts w:hAnsi="宋体"/>
        </w:rPr>
      </w:pPr>
      <w:r>
        <w:rPr>
          <w:rFonts w:hint="eastAsia" w:hAnsi="宋体"/>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履约保证金不予退回。 </w:t>
      </w:r>
    </w:p>
    <w:p>
      <w:pPr>
        <w:pStyle w:val="27"/>
        <w:snapToGrid w:val="0"/>
        <w:spacing w:before="120" w:after="120"/>
        <w:rPr>
          <w:rFonts w:hAnsi="宋体"/>
        </w:rPr>
      </w:pPr>
      <w:r>
        <w:rPr>
          <w:rFonts w:hint="eastAsia" w:hAnsi="宋体"/>
        </w:rPr>
        <w:t>4.乙方所交的货物品种、型号、规格、技术参数、质量不符合合同规定及招标文件规定标准的，甲方有权拒收该货物，乙方愿意更换货物但逾期交货的，按乙方逾期交货处理。乙方拒绝更换货物的，甲方可单方面解除合同，履约保证金不予退回。</w:t>
      </w:r>
    </w:p>
    <w:p>
      <w:pPr>
        <w:pStyle w:val="27"/>
        <w:snapToGrid w:val="0"/>
        <w:spacing w:before="120" w:after="120"/>
        <w:rPr>
          <w:rFonts w:hAnsi="宋体"/>
          <w:b/>
        </w:rPr>
      </w:pPr>
      <w:r>
        <w:rPr>
          <w:rFonts w:hint="eastAsia" w:hAnsi="宋体"/>
          <w:b/>
        </w:rPr>
        <w:t>十六、不可抗力事件处理</w:t>
      </w:r>
    </w:p>
    <w:p>
      <w:pPr>
        <w:pStyle w:val="27"/>
        <w:snapToGrid w:val="0"/>
        <w:spacing w:before="120" w:after="120"/>
        <w:rPr>
          <w:rFonts w:hAnsi="宋体"/>
          <w:color w:val="000000"/>
        </w:rPr>
      </w:pPr>
      <w:r>
        <w:rPr>
          <w:rFonts w:hint="eastAsia" w:hAnsi="宋体"/>
          <w:color w:val="000000"/>
        </w:rPr>
        <w:t>1.在合同有效期内，任何一方因不可抗力事件导致不能履行合同，则合同履行期可延长，其延长期与不可抗力影响期相同。</w:t>
      </w:r>
    </w:p>
    <w:p>
      <w:pPr>
        <w:pStyle w:val="27"/>
        <w:snapToGrid w:val="0"/>
        <w:spacing w:before="120" w:after="120"/>
        <w:rPr>
          <w:rFonts w:hAnsi="宋体"/>
          <w:color w:val="000000"/>
        </w:rPr>
      </w:pPr>
      <w:r>
        <w:rPr>
          <w:rFonts w:hint="eastAsia" w:hAnsi="宋体"/>
          <w:color w:val="000000"/>
        </w:rPr>
        <w:t>2.不可抗力事件发生后，应立即通知对方，并寄送有关权威机构出具的证明。</w:t>
      </w:r>
    </w:p>
    <w:p>
      <w:pPr>
        <w:pStyle w:val="27"/>
        <w:snapToGrid w:val="0"/>
        <w:spacing w:before="120" w:after="120"/>
        <w:rPr>
          <w:rFonts w:hAnsi="宋体"/>
          <w:color w:val="000000"/>
        </w:rPr>
      </w:pPr>
      <w:r>
        <w:rPr>
          <w:rFonts w:hint="eastAsia" w:hAnsi="宋体"/>
          <w:color w:val="000000"/>
        </w:rPr>
        <w:t>3.不可抗力事件延续120天以上，双方应通过友好协商，确定是否继续履行合同。</w:t>
      </w:r>
    </w:p>
    <w:p>
      <w:pPr>
        <w:pStyle w:val="27"/>
        <w:snapToGrid w:val="0"/>
        <w:spacing w:before="120" w:after="120"/>
        <w:rPr>
          <w:rFonts w:hAnsi="宋体"/>
          <w:b/>
          <w:color w:val="000000"/>
        </w:rPr>
      </w:pPr>
      <w:r>
        <w:rPr>
          <w:rFonts w:hint="eastAsia" w:hAnsi="宋体"/>
          <w:b/>
          <w:color w:val="000000"/>
        </w:rPr>
        <w:t>十七、诉讼</w:t>
      </w:r>
    </w:p>
    <w:p>
      <w:pPr>
        <w:pStyle w:val="27"/>
        <w:snapToGrid w:val="0"/>
        <w:spacing w:before="120" w:after="120"/>
        <w:ind w:firstLine="480" w:firstLineChars="200"/>
        <w:rPr>
          <w:rFonts w:hAnsi="宋体"/>
          <w:color w:val="000000"/>
        </w:rPr>
      </w:pPr>
      <w:r>
        <w:rPr>
          <w:rFonts w:hint="eastAsia" w:hAnsi="宋体"/>
          <w:color w:val="000000"/>
        </w:rPr>
        <w:t>双方在执行合同中所发生的一切争议，应通过协商解决。如协商不成，可向甲方所在地人民法院起诉。</w:t>
      </w:r>
    </w:p>
    <w:p>
      <w:pPr>
        <w:pStyle w:val="27"/>
        <w:snapToGrid w:val="0"/>
        <w:spacing w:before="120" w:after="120"/>
        <w:rPr>
          <w:rFonts w:hAnsi="宋体"/>
          <w:b/>
          <w:color w:val="000000"/>
        </w:rPr>
      </w:pPr>
      <w:r>
        <w:rPr>
          <w:rFonts w:hint="eastAsia" w:hAnsi="宋体"/>
          <w:b/>
          <w:color w:val="000000"/>
        </w:rPr>
        <w:t>十八、合同生效及其它</w:t>
      </w:r>
    </w:p>
    <w:p>
      <w:pPr>
        <w:pStyle w:val="27"/>
        <w:snapToGrid w:val="0"/>
        <w:spacing w:before="120" w:after="120"/>
        <w:rPr>
          <w:rFonts w:hAnsi="宋体"/>
          <w:color w:val="000000"/>
        </w:rPr>
      </w:pPr>
      <w:r>
        <w:rPr>
          <w:rFonts w:hint="eastAsia" w:hAnsi="宋体"/>
          <w:color w:val="000000"/>
        </w:rPr>
        <w:t>1.合同经双方法定代表人或授权代表签字并加盖单位公章后生效。</w:t>
      </w:r>
    </w:p>
    <w:p>
      <w:pPr>
        <w:pStyle w:val="27"/>
        <w:snapToGrid w:val="0"/>
        <w:spacing w:before="120" w:after="120"/>
        <w:rPr>
          <w:rFonts w:hAnsi="宋体"/>
          <w:color w:val="000000"/>
        </w:rPr>
      </w:pPr>
      <w:r>
        <w:rPr>
          <w:rFonts w:hint="eastAsia" w:hAnsi="宋体"/>
          <w:color w:val="000000"/>
        </w:rPr>
        <w:t>2.合同执行中涉及采购资金和采购内容修改或补充的，须经财政部门审批，并签书面补充协</w:t>
      </w:r>
      <w:r>
        <w:rPr>
          <w:rFonts w:hint="eastAsia" w:hAnsi="宋体"/>
        </w:rPr>
        <w:t>议报</w:t>
      </w:r>
      <w:r>
        <w:rPr>
          <w:rFonts w:hint="eastAsia" w:hAnsi="宋体"/>
          <w:b/>
        </w:rPr>
        <w:t>临海市财政局</w:t>
      </w:r>
      <w:r>
        <w:rPr>
          <w:rFonts w:hint="eastAsia" w:hAnsi="宋体"/>
        </w:rPr>
        <w:t>备案，方</w:t>
      </w:r>
      <w:r>
        <w:rPr>
          <w:rFonts w:hint="eastAsia" w:hAnsi="宋体"/>
          <w:color w:val="000000"/>
        </w:rPr>
        <w:t>可作为主合同不可分割的一部分。</w:t>
      </w:r>
    </w:p>
    <w:p>
      <w:pPr>
        <w:pStyle w:val="27"/>
        <w:snapToGrid w:val="0"/>
        <w:spacing w:before="120" w:after="120"/>
        <w:ind w:left="480" w:hanging="480" w:hangingChars="200"/>
        <w:rPr>
          <w:rFonts w:hAnsi="宋体"/>
          <w:color w:val="000000"/>
        </w:rPr>
      </w:pPr>
      <w:r>
        <w:rPr>
          <w:rFonts w:hint="eastAsia" w:hAnsi="宋体"/>
          <w:color w:val="000000"/>
        </w:rPr>
        <w:t>3.本合同未尽事宜，遵照《民法典》有关条文执行。</w:t>
      </w:r>
    </w:p>
    <w:p>
      <w:pPr>
        <w:pStyle w:val="27"/>
        <w:snapToGrid w:val="0"/>
        <w:spacing w:before="120" w:after="120"/>
        <w:rPr>
          <w:rFonts w:hAnsi="宋体"/>
          <w:b/>
          <w:bCs/>
          <w:u w:val="single"/>
          <w:shd w:val="pct10" w:color="auto" w:fill="FFFFFF"/>
        </w:rPr>
      </w:pPr>
      <w:r>
        <w:rPr>
          <w:rFonts w:hint="eastAsia" w:hAnsi="宋体"/>
          <w:color w:val="000000"/>
        </w:rPr>
        <w:t>4. 本合同正本一式不少于捌份,甲乙双方签订后</w:t>
      </w:r>
      <w:r>
        <w:rPr>
          <w:rFonts w:hint="eastAsia" w:hAnsi="宋体"/>
        </w:rPr>
        <w:t>采购代理机构见证盖</w:t>
      </w:r>
      <w:r>
        <w:rPr>
          <w:rFonts w:hint="eastAsia" w:hAnsi="宋体"/>
          <w:color w:val="000000"/>
        </w:rPr>
        <w:t>章，</w:t>
      </w:r>
      <w:r>
        <w:rPr>
          <w:rFonts w:hint="eastAsia" w:hAnsi="宋体"/>
          <w:b/>
          <w:bCs/>
          <w:u w:val="single"/>
          <w:shd w:val="pct10" w:color="auto" w:fill="FFFFFF"/>
        </w:rPr>
        <w:t>采购代理机构需留备二份。</w:t>
      </w:r>
    </w:p>
    <w:p>
      <w:pPr>
        <w:pStyle w:val="27"/>
        <w:snapToGrid w:val="0"/>
        <w:spacing w:before="120" w:after="120"/>
        <w:ind w:firstLine="241" w:firstLineChars="100"/>
        <w:rPr>
          <w:rFonts w:hint="eastAsia" w:hAnsi="宋体"/>
          <w:b/>
          <w:bCs/>
          <w:color w:val="000000"/>
          <w:u w:val="single"/>
          <w:shd w:val="pct10" w:color="auto" w:fill="FFFFFF"/>
        </w:rPr>
      </w:pPr>
    </w:p>
    <w:p>
      <w:pPr>
        <w:pStyle w:val="27"/>
        <w:snapToGrid w:val="0"/>
        <w:spacing w:before="120" w:after="120"/>
        <w:ind w:firstLine="240" w:firstLineChars="100"/>
        <w:rPr>
          <w:rFonts w:hAnsi="宋体"/>
          <w:color w:val="000000"/>
        </w:rPr>
      </w:pPr>
      <w:r>
        <w:rPr>
          <w:rFonts w:hint="eastAsia" w:hAnsi="宋体"/>
          <w:color w:val="000000"/>
        </w:rPr>
        <w:t xml:space="preserve">甲方：                                   甲方： </w:t>
      </w:r>
    </w:p>
    <w:p>
      <w:pPr>
        <w:pStyle w:val="27"/>
        <w:snapToGrid w:val="0"/>
        <w:spacing w:before="120" w:after="120"/>
        <w:rPr>
          <w:rFonts w:hAnsi="宋体"/>
          <w:color w:val="000000"/>
        </w:rPr>
      </w:pPr>
      <w:r>
        <w:rPr>
          <w:rFonts w:hint="eastAsia" w:hAnsi="宋体"/>
          <w:color w:val="000000"/>
        </w:rPr>
        <w:t xml:space="preserve">  地址：                                   地址： </w:t>
      </w:r>
    </w:p>
    <w:p>
      <w:pPr>
        <w:pStyle w:val="27"/>
        <w:snapToGrid w:val="0"/>
        <w:spacing w:before="120" w:after="120"/>
        <w:rPr>
          <w:rFonts w:hAnsi="宋体"/>
          <w:color w:val="000000"/>
        </w:rPr>
      </w:pPr>
      <w:r>
        <w:rPr>
          <w:rFonts w:hint="eastAsia" w:hAnsi="宋体"/>
          <w:color w:val="000000"/>
        </w:rPr>
        <w:t xml:space="preserve">  法定（授权）代表人：                     法定（授权）代表人：</w:t>
      </w:r>
    </w:p>
    <w:p>
      <w:pPr>
        <w:pStyle w:val="27"/>
        <w:snapToGrid w:val="0"/>
        <w:spacing w:before="120" w:after="120"/>
        <w:ind w:firstLine="360" w:firstLineChars="150"/>
        <w:rPr>
          <w:rFonts w:hAnsi="宋体"/>
          <w:color w:val="000000"/>
        </w:rPr>
      </w:pPr>
      <w:r>
        <w:rPr>
          <w:rFonts w:hint="eastAsia" w:hAnsi="宋体"/>
          <w:color w:val="000000"/>
        </w:rPr>
        <w:t>签订日期：     年　  月　 日            签订日期：     年　  月　 日</w:t>
      </w:r>
    </w:p>
    <w:p>
      <w:pPr>
        <w:pStyle w:val="27"/>
        <w:snapToGrid w:val="0"/>
        <w:spacing w:before="120" w:after="120"/>
        <w:ind w:firstLine="360" w:firstLineChars="150"/>
        <w:rPr>
          <w:rFonts w:hint="eastAsia" w:hAnsi="宋体"/>
          <w:color w:val="000000"/>
        </w:rPr>
      </w:pPr>
      <w:bookmarkStart w:id="54" w:name="_Toc251160747"/>
    </w:p>
    <w:bookmarkEnd w:id="52"/>
    <w:p>
      <w:pPr>
        <w:pStyle w:val="27"/>
        <w:snapToGrid w:val="0"/>
        <w:spacing w:before="120" w:after="120"/>
        <w:ind w:firstLine="360" w:firstLineChars="150"/>
        <w:rPr>
          <w:rFonts w:hint="eastAsia" w:hAnsi="宋体"/>
          <w:color w:val="000000"/>
        </w:rPr>
      </w:pPr>
      <w:r>
        <w:rPr>
          <w:rFonts w:hint="eastAsia" w:hAnsi="宋体"/>
          <w:color w:val="000000"/>
        </w:rPr>
        <w:t>乙方：</w:t>
      </w:r>
    </w:p>
    <w:p>
      <w:pPr>
        <w:pStyle w:val="27"/>
        <w:snapToGrid w:val="0"/>
        <w:spacing w:before="120" w:after="120"/>
        <w:ind w:firstLine="360" w:firstLineChars="150"/>
        <w:rPr>
          <w:rFonts w:hint="eastAsia" w:hAnsi="宋体"/>
          <w:color w:val="000000"/>
        </w:rPr>
      </w:pPr>
      <w:r>
        <w:rPr>
          <w:rFonts w:hint="eastAsia" w:hAnsi="宋体"/>
          <w:color w:val="000000"/>
        </w:rPr>
        <w:t>地址：</w:t>
      </w:r>
    </w:p>
    <w:p>
      <w:pPr>
        <w:pStyle w:val="27"/>
        <w:snapToGrid w:val="0"/>
        <w:spacing w:before="120" w:after="120"/>
        <w:ind w:firstLine="360" w:firstLineChars="150"/>
        <w:rPr>
          <w:rFonts w:hint="eastAsia" w:hAnsi="宋体"/>
          <w:color w:val="000000"/>
        </w:rPr>
      </w:pPr>
      <w:r>
        <w:rPr>
          <w:rFonts w:hint="eastAsia" w:hAnsi="宋体"/>
          <w:color w:val="000000"/>
        </w:rPr>
        <w:t>法定（授权）代表人：</w:t>
      </w:r>
    </w:p>
    <w:p>
      <w:pPr>
        <w:pStyle w:val="27"/>
        <w:snapToGrid w:val="0"/>
        <w:spacing w:before="120" w:after="120"/>
        <w:ind w:firstLine="360" w:firstLineChars="150"/>
        <w:rPr>
          <w:rFonts w:hint="eastAsia" w:hAnsi="宋体"/>
          <w:color w:val="000000"/>
        </w:rPr>
      </w:pPr>
      <w:r>
        <w:rPr>
          <w:rFonts w:hint="eastAsia" w:hAnsi="宋体"/>
          <w:color w:val="000000"/>
        </w:rPr>
        <w:t>签订日期：     年　  月　 日</w:t>
      </w:r>
    </w:p>
    <w:p>
      <w:pPr>
        <w:pStyle w:val="27"/>
        <w:snapToGrid w:val="0"/>
        <w:spacing w:before="120" w:after="120"/>
        <w:ind w:firstLine="240" w:firstLineChars="100"/>
        <w:rPr>
          <w:rFonts w:hint="eastAsia" w:hAnsi="宋体"/>
          <w:color w:val="000000"/>
        </w:rPr>
      </w:pPr>
    </w:p>
    <w:p>
      <w:pPr>
        <w:pStyle w:val="27"/>
        <w:snapToGrid w:val="0"/>
        <w:spacing w:before="120" w:after="120"/>
        <w:ind w:firstLine="240" w:firstLineChars="100"/>
        <w:rPr>
          <w:rFonts w:hAnsi="宋体"/>
          <w:color w:val="000000"/>
        </w:rPr>
      </w:pPr>
      <w:r>
        <w:rPr>
          <w:rFonts w:hint="eastAsia" w:hAnsi="宋体"/>
          <w:color w:val="000000"/>
        </w:rPr>
        <w:t xml:space="preserve">鉴证方：（盖章） </w:t>
      </w:r>
    </w:p>
    <w:p>
      <w:pPr>
        <w:pStyle w:val="27"/>
        <w:snapToGrid w:val="0"/>
        <w:spacing w:before="120" w:after="120"/>
        <w:ind w:firstLine="240" w:firstLineChars="100"/>
        <w:rPr>
          <w:rFonts w:hAnsi="宋体"/>
          <w:color w:val="000000"/>
        </w:rPr>
      </w:pPr>
    </w:p>
    <w:p>
      <w:pPr>
        <w:pStyle w:val="27"/>
        <w:snapToGrid w:val="0"/>
        <w:spacing w:before="120" w:after="120"/>
        <w:ind w:firstLine="241" w:firstLineChars="100"/>
        <w:rPr>
          <w:rFonts w:hAnsi="宋体"/>
          <w:b/>
          <w:bCs/>
          <w:color w:val="000000"/>
        </w:rPr>
      </w:pPr>
      <w:r>
        <w:rPr>
          <w:rFonts w:hint="eastAsia" w:hAnsi="宋体"/>
          <w:b/>
          <w:bCs/>
          <w:color w:val="000000"/>
        </w:rPr>
        <w:t xml:space="preserve">附件：附上报价明细表                       </w:t>
      </w:r>
      <w:bookmarkEnd w:id="54"/>
      <w:bookmarkStart w:id="55" w:name="_Toc466534751"/>
    </w:p>
    <w:p>
      <w:pPr>
        <w:pStyle w:val="27"/>
        <w:snapToGrid w:val="0"/>
        <w:spacing w:before="120" w:after="120" w:line="440" w:lineRule="exact"/>
        <w:rPr>
          <w:rFonts w:hAnsi="宋体"/>
          <w:b/>
          <w:bCs/>
          <w:color w:val="000000"/>
          <w:sz w:val="30"/>
          <w:szCs w:val="30"/>
        </w:rPr>
      </w:pPr>
    </w:p>
    <w:p>
      <w:pPr>
        <w:pStyle w:val="27"/>
        <w:snapToGrid w:val="0"/>
        <w:spacing w:before="120" w:after="120" w:line="440" w:lineRule="exact"/>
        <w:rPr>
          <w:rFonts w:hAnsi="宋体"/>
          <w:b/>
          <w:bCs/>
          <w:color w:val="000000"/>
          <w:sz w:val="30"/>
          <w:szCs w:val="30"/>
        </w:rPr>
      </w:pPr>
    </w:p>
    <w:p>
      <w:pPr>
        <w:pStyle w:val="27"/>
        <w:snapToGrid w:val="0"/>
        <w:spacing w:before="120" w:after="120" w:line="420" w:lineRule="exact"/>
        <w:jc w:val="center"/>
        <w:outlineLvl w:val="0"/>
        <w:rPr>
          <w:rFonts w:hAnsi="宋体"/>
          <w:b/>
          <w:color w:val="000000"/>
          <w:sz w:val="30"/>
          <w:szCs w:val="30"/>
        </w:rPr>
      </w:pPr>
      <w:r>
        <w:rPr>
          <w:rFonts w:hint="eastAsia" w:hAnsi="宋体"/>
          <w:b/>
          <w:color w:val="000000"/>
          <w:sz w:val="30"/>
          <w:szCs w:val="30"/>
        </w:rPr>
        <w:t>第六章　投标文件格式</w:t>
      </w:r>
      <w:bookmarkEnd w:id="55"/>
    </w:p>
    <w:p>
      <w:pPr>
        <w:pStyle w:val="27"/>
        <w:snapToGrid w:val="0"/>
        <w:spacing w:before="120" w:after="120" w:line="420" w:lineRule="exact"/>
        <w:jc w:val="center"/>
        <w:rPr>
          <w:rFonts w:hAnsi="宋体"/>
          <w:color w:val="000000"/>
          <w:sz w:val="30"/>
          <w:szCs w:val="30"/>
        </w:rPr>
      </w:pPr>
    </w:p>
    <w:p>
      <w:pPr>
        <w:snapToGrid w:val="0"/>
        <w:spacing w:beforeLines="50" w:after="50"/>
        <w:jc w:val="center"/>
        <w:outlineLvl w:val="1"/>
        <w:rPr>
          <w:rFonts w:ascii="宋体" w:hAnsi="宋体"/>
          <w:b/>
          <w:bCs/>
          <w:sz w:val="28"/>
          <w:szCs w:val="28"/>
        </w:rPr>
      </w:pPr>
      <w:bookmarkStart w:id="56" w:name="_Toc265669850"/>
      <w:r>
        <w:rPr>
          <w:rFonts w:hint="eastAsia" w:ascii="宋体" w:hAnsi="宋体"/>
          <w:b/>
          <w:bCs/>
          <w:sz w:val="28"/>
          <w:szCs w:val="28"/>
        </w:rPr>
        <w:t>一、资格响应文件格式</w:t>
      </w:r>
    </w:p>
    <w:p>
      <w:pPr>
        <w:snapToGrid w:val="0"/>
        <w:spacing w:beforeLines="50" w:after="50"/>
        <w:jc w:val="center"/>
        <w:rPr>
          <w:rFonts w:ascii="宋体" w:hAnsi="宋体"/>
          <w:color w:val="000000"/>
          <w:sz w:val="28"/>
          <w:szCs w:val="28"/>
        </w:rPr>
      </w:pPr>
    </w:p>
    <w:p>
      <w:pPr>
        <w:snapToGrid w:val="0"/>
        <w:spacing w:beforeLines="50" w:after="50"/>
        <w:jc w:val="center"/>
        <w:rPr>
          <w:rFonts w:ascii="宋体" w:hAnsi="宋体"/>
          <w:color w:val="000000"/>
          <w:sz w:val="28"/>
          <w:szCs w:val="28"/>
        </w:rPr>
      </w:pPr>
    </w:p>
    <w:p>
      <w:pPr>
        <w:snapToGrid w:val="0"/>
        <w:spacing w:beforeLines="50" w:after="50"/>
        <w:ind w:firstLine="560" w:firstLineChars="200"/>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 xml:space="preserve">.资格响应文件封面格式： </w:t>
      </w:r>
    </w:p>
    <w:p>
      <w:pPr>
        <w:snapToGrid w:val="0"/>
        <w:spacing w:beforeLines="50" w:after="50"/>
        <w:rPr>
          <w:rFonts w:ascii="宋体" w:hAnsi="宋体"/>
          <w:b/>
          <w:bCs/>
          <w:color w:val="000000"/>
          <w:sz w:val="28"/>
          <w:szCs w:val="28"/>
        </w:rPr>
      </w:pPr>
      <w:r>
        <w:rPr>
          <w:rFonts w:hint="eastAsia" w:ascii="宋体" w:hAnsi="宋体"/>
          <w:b/>
          <w:bCs/>
          <w:color w:val="000000"/>
          <w:sz w:val="28"/>
          <w:szCs w:val="28"/>
        </w:rPr>
        <w:t xml:space="preserve"> </w:t>
      </w:r>
    </w:p>
    <w:p>
      <w:pPr>
        <w:snapToGrid w:val="0"/>
        <w:spacing w:beforeLines="50" w:after="50"/>
        <w:rPr>
          <w:rFonts w:ascii="宋体" w:hAnsi="宋体"/>
          <w:color w:val="000000"/>
          <w:sz w:val="28"/>
          <w:szCs w:val="28"/>
        </w:rPr>
      </w:pPr>
    </w:p>
    <w:p>
      <w:pPr>
        <w:snapToGrid w:val="0"/>
        <w:spacing w:beforeLines="50" w:after="50"/>
        <w:jc w:val="center"/>
        <w:rPr>
          <w:rFonts w:ascii="宋体" w:hAnsi="宋体"/>
          <w:bCs/>
          <w:color w:val="000000"/>
          <w:sz w:val="28"/>
          <w:szCs w:val="28"/>
        </w:rPr>
      </w:pPr>
    </w:p>
    <w:p>
      <w:pPr>
        <w:snapToGrid w:val="0"/>
        <w:spacing w:beforeLines="50" w:after="50"/>
        <w:jc w:val="center"/>
        <w:rPr>
          <w:rFonts w:ascii="宋体" w:hAnsi="宋体"/>
          <w:bCs/>
          <w:color w:val="000000"/>
          <w:sz w:val="28"/>
          <w:szCs w:val="28"/>
        </w:rPr>
      </w:pPr>
      <w:r>
        <w:rPr>
          <w:rFonts w:hint="eastAsia" w:ascii="宋体" w:hAnsi="宋体"/>
          <w:bCs/>
          <w:color w:val="000000"/>
          <w:sz w:val="28"/>
          <w:szCs w:val="28"/>
        </w:rPr>
        <w:t>资格响应文件</w:t>
      </w:r>
    </w:p>
    <w:p>
      <w:pPr>
        <w:snapToGrid w:val="0"/>
        <w:spacing w:beforeLines="50" w:after="50" w:line="360" w:lineRule="auto"/>
        <w:jc w:val="center"/>
        <w:rPr>
          <w:rFonts w:ascii="宋体" w:hAnsi="宋体"/>
          <w:bCs/>
          <w:color w:val="000000"/>
          <w:sz w:val="28"/>
          <w:szCs w:val="28"/>
        </w:rPr>
      </w:pPr>
    </w:p>
    <w:p>
      <w:pPr>
        <w:snapToGrid w:val="0"/>
        <w:spacing w:beforeLines="50" w:after="50" w:line="360" w:lineRule="auto"/>
        <w:jc w:val="center"/>
        <w:rPr>
          <w:rFonts w:ascii="宋体" w:hAnsi="宋体"/>
          <w:bCs/>
          <w:color w:val="000000"/>
          <w:sz w:val="28"/>
          <w:szCs w:val="28"/>
        </w:rPr>
      </w:pPr>
    </w:p>
    <w:p>
      <w:pPr>
        <w:snapToGrid w:val="0"/>
        <w:spacing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pPr>
        <w:snapToGrid w:val="0"/>
        <w:spacing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pPr>
        <w:pStyle w:val="13"/>
        <w:snapToGrid w:val="0"/>
        <w:spacing w:before="50" w:after="50" w:line="360" w:lineRule="auto"/>
        <w:ind w:firstLine="1164" w:firstLineChars="416"/>
        <w:rPr>
          <w:rFonts w:ascii="宋体" w:hAnsi="宋体"/>
          <w:bCs/>
          <w:color w:val="000000"/>
          <w:sz w:val="28"/>
          <w:szCs w:val="28"/>
        </w:rPr>
      </w:pPr>
    </w:p>
    <w:p>
      <w:pPr>
        <w:pStyle w:val="1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投标人名称：</w:t>
      </w:r>
    </w:p>
    <w:p>
      <w:pPr>
        <w:pStyle w:val="1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投标人地址：</w:t>
      </w:r>
    </w:p>
    <w:p>
      <w:pPr>
        <w:pStyle w:val="13"/>
        <w:snapToGrid w:val="0"/>
        <w:spacing w:before="50" w:after="50"/>
        <w:ind w:firstLine="1120" w:firstLineChars="400"/>
        <w:rPr>
          <w:rFonts w:ascii="宋体" w:hAnsi="宋体"/>
          <w:bCs/>
          <w:color w:val="000000"/>
          <w:sz w:val="28"/>
          <w:szCs w:val="28"/>
        </w:rPr>
      </w:pPr>
    </w:p>
    <w:p>
      <w:pPr>
        <w:snapToGrid w:val="0"/>
        <w:spacing w:line="360" w:lineRule="auto"/>
        <w:ind w:firstLine="3360" w:firstLineChars="1200"/>
        <w:jc w:val="left"/>
        <w:rPr>
          <w:rFonts w:ascii="宋体" w:hAnsi="宋体"/>
          <w:color w:val="000000"/>
          <w:sz w:val="28"/>
          <w:szCs w:val="28"/>
        </w:rPr>
      </w:pPr>
    </w:p>
    <w:p>
      <w:pPr>
        <w:snapToGrid w:val="0"/>
        <w:spacing w:line="360" w:lineRule="auto"/>
        <w:ind w:firstLine="3640" w:firstLineChars="1300"/>
        <w:jc w:val="left"/>
        <w:rPr>
          <w:rFonts w:ascii="宋体" w:hAnsi="宋体"/>
          <w:color w:val="000000"/>
          <w:sz w:val="24"/>
        </w:rPr>
      </w:pPr>
      <w:r>
        <w:rPr>
          <w:rFonts w:hint="eastAsia" w:ascii="宋体" w:hAnsi="宋体"/>
          <w:color w:val="000000"/>
          <w:sz w:val="28"/>
          <w:szCs w:val="28"/>
        </w:rPr>
        <w:t>年  月  日</w:t>
      </w:r>
      <w:r>
        <w:rPr>
          <w:rFonts w:ascii="宋体" w:hAnsi="宋体"/>
          <w:color w:val="000000"/>
          <w:sz w:val="28"/>
          <w:szCs w:val="28"/>
          <w:highlight w:val="yellow"/>
        </w:rPr>
        <w:br w:type="page"/>
      </w:r>
      <w:bookmarkStart w:id="57" w:name="_Hlk60757343"/>
      <w:r>
        <w:rPr>
          <w:rFonts w:ascii="宋体" w:hAnsi="宋体"/>
          <w:color w:val="000000"/>
          <w:sz w:val="24"/>
        </w:rPr>
        <w:t>2</w:t>
      </w:r>
      <w:r>
        <w:rPr>
          <w:rFonts w:hint="eastAsia" w:ascii="宋体" w:hAnsi="宋体"/>
          <w:color w:val="000000"/>
          <w:sz w:val="24"/>
        </w:rPr>
        <w:t>.营业执照等：</w:t>
      </w:r>
      <w:bookmarkEnd w:id="57"/>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宋体" w:hAnsi="宋体" w:cs="仿宋_GB2312"/>
          <w:b/>
          <w:kern w:val="0"/>
          <w:sz w:val="32"/>
          <w:szCs w:val="32"/>
          <w:lang w:val="zh-CN"/>
        </w:rPr>
      </w:pPr>
    </w:p>
    <w:p>
      <w:pPr>
        <w:snapToGrid w:val="0"/>
        <w:spacing w:line="360" w:lineRule="auto"/>
        <w:jc w:val="center"/>
        <w:rPr>
          <w:rFonts w:ascii="宋体" w:hAnsi="宋体" w:cs="仿宋_GB2312"/>
          <w:b/>
          <w:kern w:val="0"/>
          <w:sz w:val="32"/>
          <w:szCs w:val="32"/>
          <w:lang w:val="zh-CN"/>
        </w:rPr>
      </w:pPr>
      <w:r>
        <w:rPr>
          <w:rFonts w:hint="eastAsia" w:ascii="宋体" w:hAnsi="宋体" w:cs="仿宋_GB2312"/>
          <w:b/>
          <w:kern w:val="0"/>
          <w:sz w:val="32"/>
          <w:szCs w:val="32"/>
          <w:lang w:val="zh-CN"/>
        </w:rPr>
        <w:t>营业执照</w:t>
      </w:r>
      <w:r>
        <w:rPr>
          <w:rFonts w:hint="eastAsia" w:ascii="宋体" w:hAnsi="宋体" w:cs="仿宋_GB2312"/>
          <w:b/>
          <w:color w:val="FF0000"/>
          <w:kern w:val="0"/>
          <w:sz w:val="32"/>
          <w:szCs w:val="32"/>
          <w:lang w:val="zh-CN"/>
        </w:rPr>
        <w:t>（推荐使用电子营业执照）</w:t>
      </w:r>
    </w:p>
    <w:p>
      <w:pPr>
        <w:snapToGrid w:val="0"/>
        <w:spacing w:line="360" w:lineRule="auto"/>
        <w:rPr>
          <w:rFonts w:ascii="宋体" w:hAnsi="宋体" w:cs="仿宋_GB2312"/>
          <w:b/>
          <w:kern w:val="0"/>
          <w:sz w:val="32"/>
          <w:szCs w:val="32"/>
          <w:lang w:val="zh-CN"/>
        </w:rPr>
      </w:pPr>
      <w:r>
        <w:rPr>
          <w:rFonts w:hint="eastAsia" w:ascii="宋体" w:hAnsi="宋体" w:cs="仿宋_GB2312"/>
          <w:b/>
          <w:kern w:val="0"/>
          <w:sz w:val="32"/>
          <w:szCs w:val="32"/>
          <w:lang w:val="zh-CN"/>
        </w:rPr>
        <w:t>或事业法人登记证或其他工商等登记证明材料原件扫描件或复印件</w:t>
      </w:r>
    </w:p>
    <w:p>
      <w:pPr>
        <w:snapToGrid w:val="0"/>
        <w:spacing w:line="360" w:lineRule="auto"/>
        <w:rPr>
          <w:rFonts w:hint="eastAsia" w:ascii="宋体" w:hAnsi="宋体" w:cs="仿宋_GB2312"/>
          <w:bCs/>
          <w:kern w:val="0"/>
          <w:sz w:val="28"/>
          <w:szCs w:val="28"/>
          <w:lang w:val="zh-CN"/>
        </w:rPr>
      </w:pPr>
      <w:r>
        <w:rPr>
          <w:rFonts w:hint="eastAsia" w:ascii="宋体" w:hAnsi="宋体" w:cs="仿宋_GB2312"/>
          <w:bCs/>
          <w:kern w:val="0"/>
          <w:sz w:val="28"/>
          <w:szCs w:val="28"/>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pPr>
        <w:snapToGrid w:val="0"/>
        <w:spacing w:line="360" w:lineRule="auto"/>
        <w:jc w:val="center"/>
        <w:rPr>
          <w:rFonts w:ascii="宋体" w:hAnsi="宋体" w:cs="仿宋_GB2312"/>
          <w:b/>
          <w:color w:val="FF0000"/>
          <w:sz w:val="30"/>
          <w:szCs w:val="30"/>
        </w:rPr>
      </w:pPr>
    </w:p>
    <w:p>
      <w:pPr>
        <w:spacing w:line="360" w:lineRule="auto"/>
        <w:jc w:val="center"/>
        <w:rPr>
          <w:rFonts w:ascii="宋体" w:hAnsi="宋体" w:cs="仿宋_GB2312"/>
          <w:b/>
          <w:color w:val="FF0000"/>
          <w:sz w:val="32"/>
          <w:szCs w:val="32"/>
        </w:rPr>
      </w:pPr>
    </w:p>
    <w:p>
      <w:pPr>
        <w:spacing w:line="360" w:lineRule="auto"/>
        <w:jc w:val="center"/>
        <w:rPr>
          <w:rFonts w:ascii="宋体" w:hAnsi="宋体" w:cs="仿宋_GB2312"/>
          <w:b/>
          <w:sz w:val="32"/>
          <w:szCs w:val="32"/>
        </w:rPr>
      </w:pPr>
      <w:r>
        <w:rPr>
          <w:rFonts w:hint="eastAsia" w:ascii="宋体" w:hAnsi="宋体" w:cs="仿宋_GB2312"/>
          <w:b/>
          <w:sz w:val="32"/>
          <w:szCs w:val="32"/>
        </w:rPr>
        <w:t>特定资格条件要求的资质文件复印件（如有）</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（由投标人根据招标公告合格的投标人应具备的特定资格要求编制，如果本项目没有设置特定资格条件，则不需要提供）</w:t>
      </w:r>
    </w:p>
    <w:p>
      <w:pPr>
        <w:spacing w:line="360" w:lineRule="auto"/>
        <w:jc w:val="left"/>
        <w:rPr>
          <w:rFonts w:ascii="宋体" w:hAnsi="宋体"/>
          <w:b/>
          <w:bCs/>
          <w:color w:val="00B0F0"/>
          <w:sz w:val="28"/>
          <w:szCs w:val="28"/>
        </w:rPr>
      </w:pPr>
    </w:p>
    <w:p>
      <w:pPr>
        <w:spacing w:line="360" w:lineRule="auto"/>
        <w:jc w:val="left"/>
        <w:rPr>
          <w:rFonts w:ascii="宋体" w:hAnsi="宋体"/>
          <w:color w:val="000000"/>
          <w:sz w:val="24"/>
        </w:rPr>
      </w:pPr>
      <w:r>
        <w:rPr>
          <w:rFonts w:ascii="宋体" w:hAnsi="宋体"/>
          <w:b/>
          <w:bCs/>
          <w:color w:val="00B0F0"/>
          <w:sz w:val="28"/>
          <w:szCs w:val="28"/>
        </w:rPr>
        <w:br w:type="page"/>
      </w:r>
      <w:r>
        <w:rPr>
          <w:rFonts w:ascii="宋体" w:hAnsi="宋体"/>
          <w:color w:val="000000"/>
          <w:sz w:val="24"/>
        </w:rPr>
        <w:t>3</w:t>
      </w:r>
      <w:r>
        <w:rPr>
          <w:rFonts w:hint="eastAsia" w:ascii="宋体" w:hAnsi="宋体"/>
          <w:color w:val="000000"/>
          <w:sz w:val="24"/>
        </w:rPr>
        <w:t>.</w:t>
      </w:r>
      <w:r>
        <w:rPr>
          <w:rFonts w:hint="eastAsia"/>
        </w:rPr>
        <w:t xml:space="preserve"> </w:t>
      </w:r>
      <w:r>
        <w:rPr>
          <w:rFonts w:hint="eastAsia" w:ascii="宋体" w:hAnsi="宋体"/>
          <w:color w:val="000000"/>
          <w:sz w:val="24"/>
        </w:rPr>
        <w:t>没有重大违法记录的承诺函格式：</w:t>
      </w:r>
    </w:p>
    <w:p>
      <w:pPr>
        <w:spacing w:line="360" w:lineRule="auto"/>
        <w:jc w:val="center"/>
        <w:rPr>
          <w:rFonts w:ascii="宋体" w:hAnsi="宋体" w:cs="仿宋_GB2312"/>
          <w:b/>
          <w:kern w:val="0"/>
          <w:sz w:val="32"/>
          <w:szCs w:val="32"/>
        </w:rPr>
      </w:pPr>
    </w:p>
    <w:p>
      <w:pPr>
        <w:spacing w:line="520" w:lineRule="exact"/>
        <w:jc w:val="center"/>
        <w:rPr>
          <w:rFonts w:hint="eastAsia" w:ascii="宋体" w:hAnsi="宋体" w:cs="宋体"/>
          <w:b/>
          <w:sz w:val="32"/>
          <w:szCs w:val="32"/>
        </w:rPr>
      </w:pPr>
      <w:r>
        <w:rPr>
          <w:rFonts w:hint="eastAsia" w:ascii="宋体" w:hAnsi="宋体" w:cs="宋体"/>
          <w:b/>
          <w:sz w:val="32"/>
          <w:szCs w:val="32"/>
        </w:rPr>
        <w:t>参加本次政府采购项目前三年内在经营活动中</w:t>
      </w:r>
    </w:p>
    <w:p>
      <w:pPr>
        <w:spacing w:line="520" w:lineRule="exact"/>
        <w:jc w:val="center"/>
        <w:rPr>
          <w:rFonts w:hint="eastAsia" w:ascii="宋体" w:hAnsi="宋体" w:cs="宋体"/>
          <w:b/>
          <w:sz w:val="32"/>
          <w:szCs w:val="32"/>
        </w:rPr>
      </w:pPr>
      <w:r>
        <w:rPr>
          <w:rFonts w:hint="eastAsia" w:ascii="宋体" w:hAnsi="宋体" w:cs="宋体"/>
          <w:b/>
          <w:sz w:val="32"/>
          <w:szCs w:val="32"/>
        </w:rPr>
        <w:t>没有重大违法记录的承诺函</w:t>
      </w:r>
    </w:p>
    <w:p>
      <w:pPr>
        <w:spacing w:line="520" w:lineRule="exact"/>
        <w:jc w:val="center"/>
        <w:rPr>
          <w:rFonts w:hint="eastAsia" w:ascii="宋体" w:hAnsi="宋体" w:cs="宋体"/>
          <w:bCs/>
          <w:color w:val="000000"/>
          <w:sz w:val="24"/>
        </w:rPr>
      </w:pPr>
    </w:p>
    <w:p>
      <w:pPr>
        <w:ind w:firstLine="420"/>
        <w:rPr>
          <w:rFonts w:hint="eastAsia" w:ascii="宋体" w:hAnsi="宋体" w:cs="宋体"/>
          <w:color w:val="000000"/>
          <w:sz w:val="24"/>
        </w:rPr>
      </w:pPr>
    </w:p>
    <w:p>
      <w:pPr>
        <w:spacing w:line="360" w:lineRule="auto"/>
        <w:rPr>
          <w:rFonts w:hint="eastAsia" w:ascii="宋体" w:hAnsi="宋体" w:cs="宋体"/>
          <w:color w:val="000000"/>
          <w:kern w:val="0"/>
          <w:sz w:val="24"/>
        </w:rPr>
      </w:pPr>
      <w:r>
        <w:rPr>
          <w:rFonts w:hint="eastAsia" w:ascii="宋体" w:hAnsi="宋体" w:cs="宋体"/>
          <w:bCs/>
          <w:color w:val="000000"/>
          <w:sz w:val="24"/>
        </w:rPr>
        <w:t>致：</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sz w:val="24"/>
          <w:lang w:val="en-US" w:eastAsia="zh-CN"/>
        </w:rPr>
        <w:t>建设单位、实施单位</w:t>
      </w:r>
      <w:r>
        <w:rPr>
          <w:rFonts w:hint="eastAsia" w:ascii="宋体" w:hAnsi="宋体" w:cs="宋体"/>
          <w:color w:val="000000"/>
          <w:sz w:val="24"/>
        </w:rPr>
        <w:t>）</w:t>
      </w:r>
      <w:r>
        <w:rPr>
          <w:rFonts w:hint="eastAsia" w:ascii="宋体" w:hAnsi="宋体" w:cs="宋体"/>
          <w:b/>
          <w:bCs/>
          <w:color w:val="000000"/>
          <w:sz w:val="24"/>
        </w:rPr>
        <w:t xml:space="preserve"> </w:t>
      </w:r>
      <w:r>
        <w:rPr>
          <w:rFonts w:hint="eastAsia" w:ascii="宋体" w:hAnsi="宋体" w:cs="宋体"/>
          <w:color w:val="000000"/>
          <w:sz w:val="24"/>
        </w:rPr>
        <w:t>：</w:t>
      </w:r>
    </w:p>
    <w:p>
      <w:pPr>
        <w:snapToGrid w:val="0"/>
        <w:spacing w:beforeLines="50" w:after="50" w:line="360" w:lineRule="auto"/>
        <w:ind w:firstLine="480" w:firstLineChars="200"/>
        <w:rPr>
          <w:rFonts w:hint="eastAsia" w:ascii="宋体" w:hAnsi="宋体" w:cs="宋体"/>
          <w:color w:val="000000"/>
          <w:sz w:val="24"/>
        </w:rPr>
      </w:pPr>
      <w:r>
        <w:rPr>
          <w:rFonts w:hint="eastAsia" w:ascii="宋体" w:hAnsi="宋体" w:cs="宋体"/>
          <w:color w:val="000000"/>
          <w:sz w:val="24"/>
        </w:rPr>
        <w:t>我方郑重承诺，我方在参加</w:t>
      </w:r>
      <w:r>
        <w:rPr>
          <w:rFonts w:hint="eastAsia" w:ascii="宋体" w:hAnsi="宋体" w:cs="宋体"/>
          <w:color w:val="000000"/>
          <w:sz w:val="24"/>
          <w:u w:val="single"/>
        </w:rPr>
        <w:t xml:space="preserve">               </w:t>
      </w:r>
      <w:r>
        <w:rPr>
          <w:rFonts w:hint="eastAsia" w:ascii="宋体" w:hAnsi="宋体" w:cs="宋体"/>
          <w:color w:val="000000"/>
          <w:sz w:val="24"/>
        </w:rPr>
        <w:t>项目（项目编号：</w:t>
      </w:r>
      <w:r>
        <w:rPr>
          <w:rFonts w:hint="eastAsia" w:ascii="宋体" w:hAnsi="宋体" w:cs="宋体"/>
          <w:color w:val="000000"/>
          <w:sz w:val="24"/>
          <w:u w:val="single"/>
        </w:rPr>
        <w:t xml:space="preserve">        </w:t>
      </w:r>
      <w:r>
        <w:rPr>
          <w:rFonts w:hint="eastAsia" w:ascii="宋体" w:hAnsi="宋体" w:cs="宋体"/>
          <w:color w:val="000000"/>
          <w:sz w:val="24"/>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谈判/中标（成交）/签订合同），我方对此无任何异议，并愿意承担一切后果和责任。</w:t>
      </w:r>
    </w:p>
    <w:p>
      <w:pPr>
        <w:ind w:firstLine="420"/>
        <w:rPr>
          <w:rFonts w:hint="eastAsia" w:ascii="宋体" w:hAnsi="宋体" w:cs="宋体"/>
          <w:color w:val="000000"/>
          <w:sz w:val="24"/>
        </w:rPr>
      </w:pPr>
    </w:p>
    <w:p>
      <w:pPr>
        <w:snapToGrid w:val="0"/>
        <w:spacing w:beforeLines="50" w:after="50" w:line="360" w:lineRule="auto"/>
        <w:ind w:firstLine="480" w:firstLineChars="200"/>
        <w:rPr>
          <w:rFonts w:hint="eastAsia" w:ascii="宋体" w:hAnsi="宋体" w:cs="宋体"/>
          <w:color w:val="000000"/>
          <w:sz w:val="24"/>
        </w:rPr>
      </w:pPr>
      <w:r>
        <w:rPr>
          <w:rFonts w:hint="eastAsia" w:ascii="宋体" w:hAnsi="宋体" w:cs="宋体"/>
          <w:color w:val="000000"/>
          <w:sz w:val="24"/>
        </w:rPr>
        <w:t>特此</w:t>
      </w:r>
      <w:r>
        <w:rPr>
          <w:rFonts w:hint="eastAsia" w:ascii="宋体" w:hAnsi="宋体" w:cs="宋体"/>
          <w:color w:val="000000"/>
          <w:kern w:val="0"/>
          <w:sz w:val="24"/>
        </w:rPr>
        <w:t>承诺</w:t>
      </w:r>
      <w:r>
        <w:rPr>
          <w:rFonts w:hint="eastAsia" w:ascii="宋体" w:hAnsi="宋体" w:cs="宋体"/>
          <w:color w:val="000000"/>
          <w:sz w:val="24"/>
        </w:rPr>
        <w:t>！</w:t>
      </w:r>
    </w:p>
    <w:p>
      <w:pPr>
        <w:snapToGrid w:val="0"/>
        <w:spacing w:before="50" w:afterLines="50"/>
        <w:jc w:val="left"/>
        <w:rPr>
          <w:rFonts w:ascii="宋体" w:hAnsi="宋体" w:cs="宋体"/>
          <w:kern w:val="0"/>
          <w:sz w:val="24"/>
          <w:lang w:val="zh-CN"/>
        </w:rPr>
      </w:pPr>
    </w:p>
    <w:p>
      <w:pPr>
        <w:snapToGrid w:val="0"/>
        <w:spacing w:before="50" w:afterLines="50"/>
        <w:jc w:val="left"/>
        <w:rPr>
          <w:rFonts w:ascii="宋体" w:hAnsi="宋体" w:cs="宋体"/>
          <w:kern w:val="0"/>
          <w:sz w:val="24"/>
          <w:lang w:val="zh-CN"/>
        </w:rPr>
      </w:pPr>
    </w:p>
    <w:p>
      <w:pPr>
        <w:snapToGrid w:val="0"/>
        <w:spacing w:before="50" w:afterLines="50"/>
        <w:jc w:val="left"/>
        <w:rPr>
          <w:rFonts w:ascii="宋体" w:hAnsi="宋体" w:cs="宋体"/>
          <w:kern w:val="0"/>
          <w:sz w:val="24"/>
          <w:lang w:val="zh-CN"/>
        </w:rPr>
      </w:pPr>
    </w:p>
    <w:p>
      <w:pPr>
        <w:snapToGrid w:val="0"/>
        <w:spacing w:before="50" w:afterLines="50"/>
        <w:jc w:val="left"/>
        <w:rPr>
          <w:rFonts w:ascii="宋体" w:hAnsi="宋体"/>
          <w:color w:val="000000"/>
          <w:spacing w:val="20"/>
          <w:sz w:val="24"/>
        </w:rPr>
      </w:pPr>
      <w:r>
        <w:rPr>
          <w:rFonts w:hint="eastAsia" w:ascii="宋体" w:hAnsi="宋体"/>
          <w:color w:val="000000"/>
          <w:spacing w:val="20"/>
          <w:sz w:val="24"/>
        </w:rPr>
        <w:t>法定代表人签字（或盖章）：         投标人（盖章）：</w:t>
      </w:r>
    </w:p>
    <w:p>
      <w:pPr>
        <w:snapToGrid w:val="0"/>
        <w:spacing w:before="50" w:afterLines="50"/>
        <w:jc w:val="left"/>
        <w:rPr>
          <w:rFonts w:ascii="宋体" w:hAnsi="宋体"/>
          <w:color w:val="000000"/>
          <w:sz w:val="24"/>
        </w:rPr>
      </w:pPr>
    </w:p>
    <w:p>
      <w:pPr>
        <w:snapToGrid w:val="0"/>
        <w:spacing w:before="50" w:afterLines="50"/>
        <w:jc w:val="left"/>
        <w:rPr>
          <w:rFonts w:ascii="宋体" w:hAnsi="宋体"/>
          <w:color w:val="000000"/>
          <w:sz w:val="24"/>
        </w:rPr>
      </w:pPr>
    </w:p>
    <w:p>
      <w:pPr>
        <w:snapToGrid w:val="0"/>
        <w:spacing w:before="50" w:afterLines="50"/>
        <w:jc w:val="left"/>
        <w:rPr>
          <w:rFonts w:ascii="宋体" w:hAnsi="宋体"/>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_____年___月___日</w:t>
      </w:r>
    </w:p>
    <w:p>
      <w:pPr>
        <w:snapToGrid w:val="0"/>
        <w:spacing w:before="50" w:afterLines="50"/>
        <w:jc w:val="left"/>
        <w:rPr>
          <w:rFonts w:hint="eastAsia" w:ascii="宋体" w:hAnsi="宋体"/>
          <w:color w:val="000000"/>
          <w:sz w:val="28"/>
          <w:szCs w:val="28"/>
        </w:rPr>
      </w:pPr>
    </w:p>
    <w:p>
      <w:pPr>
        <w:snapToGrid w:val="0"/>
        <w:spacing w:line="360" w:lineRule="auto"/>
        <w:rPr>
          <w:rFonts w:ascii="宋体" w:hAnsi="宋体" w:cs="仿宋_GB2312"/>
          <w:kern w:val="0"/>
          <w:sz w:val="24"/>
        </w:rPr>
      </w:pPr>
      <w:r>
        <w:rPr>
          <w:rFonts w:ascii="宋体" w:hAnsi="宋体" w:cs="仿宋_GB2312"/>
          <w:kern w:val="0"/>
          <w:sz w:val="24"/>
          <w:lang w:val="zh-CN"/>
        </w:rPr>
        <w:br w:type="page"/>
      </w:r>
    </w:p>
    <w:p>
      <w:pPr>
        <w:snapToGrid w:val="0"/>
        <w:spacing w:beforeLines="50" w:after="50"/>
        <w:outlineLvl w:val="1"/>
        <w:rPr>
          <w:rFonts w:hint="eastAsia" w:ascii="宋体" w:hAnsi="宋体" w:cs="仿宋_GB2312"/>
          <w:kern w:val="0"/>
          <w:sz w:val="24"/>
        </w:rPr>
      </w:pPr>
    </w:p>
    <w:p>
      <w:pPr>
        <w:snapToGrid w:val="0"/>
        <w:spacing w:beforeLines="50" w:after="50"/>
        <w:outlineLvl w:val="1"/>
        <w:rPr>
          <w:rFonts w:hint="eastAsia" w:ascii="宋体" w:hAnsi="宋体" w:cs="仿宋_GB2312"/>
          <w:kern w:val="0"/>
          <w:sz w:val="24"/>
        </w:rPr>
      </w:pPr>
    </w:p>
    <w:p>
      <w:pPr>
        <w:snapToGrid w:val="0"/>
        <w:spacing w:beforeLines="50" w:after="50"/>
        <w:outlineLvl w:val="1"/>
        <w:rPr>
          <w:rFonts w:ascii="宋体" w:hAnsi="宋体"/>
          <w:b/>
          <w:bCs/>
          <w:color w:val="000000"/>
          <w:sz w:val="24"/>
        </w:rPr>
      </w:pPr>
    </w:p>
    <w:p>
      <w:pPr>
        <w:snapToGrid w:val="0"/>
        <w:spacing w:beforeLines="50" w:after="50"/>
        <w:outlineLvl w:val="1"/>
        <w:rPr>
          <w:rFonts w:hint="eastAsia" w:ascii="宋体" w:hAnsi="宋体"/>
          <w:b/>
          <w:bCs/>
          <w:color w:val="000000"/>
          <w:sz w:val="24"/>
        </w:rPr>
      </w:pPr>
    </w:p>
    <w:p>
      <w:pPr>
        <w:snapToGrid w:val="0"/>
        <w:spacing w:beforeLines="50" w:after="50"/>
        <w:jc w:val="center"/>
        <w:outlineLvl w:val="1"/>
        <w:rPr>
          <w:rFonts w:hint="eastAsia" w:ascii="宋体" w:hAnsi="宋体"/>
          <w:b/>
          <w:bCs/>
          <w:color w:val="000000"/>
          <w:sz w:val="24"/>
        </w:rPr>
      </w:pPr>
    </w:p>
    <w:p>
      <w:pPr>
        <w:snapToGrid w:val="0"/>
        <w:spacing w:beforeLines="50" w:after="50"/>
        <w:jc w:val="center"/>
        <w:outlineLvl w:val="1"/>
        <w:rPr>
          <w:rFonts w:ascii="宋体" w:hAnsi="宋体"/>
          <w:b/>
          <w:bCs/>
          <w:color w:val="000000"/>
          <w:sz w:val="28"/>
          <w:szCs w:val="28"/>
        </w:rPr>
      </w:pPr>
      <w:bookmarkStart w:id="58" w:name="_Toc466534753"/>
      <w:r>
        <w:rPr>
          <w:rFonts w:hint="eastAsia" w:ascii="宋体" w:hAnsi="宋体"/>
          <w:b/>
          <w:bCs/>
          <w:color w:val="000000"/>
          <w:sz w:val="28"/>
          <w:szCs w:val="28"/>
        </w:rPr>
        <w:t>二、商务技术文件格式</w:t>
      </w:r>
      <w:bookmarkEnd w:id="56"/>
      <w:bookmarkEnd w:id="58"/>
    </w:p>
    <w:p>
      <w:pPr>
        <w:snapToGrid w:val="0"/>
        <w:spacing w:beforeLines="50" w:after="50"/>
        <w:jc w:val="center"/>
        <w:rPr>
          <w:rFonts w:ascii="宋体" w:hAnsi="宋体"/>
          <w:color w:val="000000"/>
          <w:sz w:val="28"/>
          <w:szCs w:val="28"/>
        </w:rPr>
      </w:pPr>
    </w:p>
    <w:p>
      <w:pPr>
        <w:snapToGrid w:val="0"/>
        <w:spacing w:beforeLines="50" w:after="50"/>
        <w:jc w:val="center"/>
        <w:rPr>
          <w:rFonts w:ascii="宋体" w:hAnsi="宋体"/>
          <w:color w:val="000000"/>
          <w:sz w:val="28"/>
          <w:szCs w:val="28"/>
        </w:rPr>
      </w:pPr>
    </w:p>
    <w:p>
      <w:pPr>
        <w:snapToGrid w:val="0"/>
        <w:spacing w:beforeLines="50" w:after="50"/>
        <w:ind w:firstLine="560" w:firstLineChars="200"/>
        <w:rPr>
          <w:rFonts w:ascii="宋体" w:hAnsi="宋体"/>
          <w:color w:val="000000"/>
          <w:sz w:val="28"/>
          <w:szCs w:val="28"/>
        </w:rPr>
      </w:pPr>
      <w:r>
        <w:rPr>
          <w:rFonts w:ascii="宋体" w:hAnsi="宋体"/>
          <w:color w:val="000000"/>
          <w:sz w:val="28"/>
          <w:szCs w:val="28"/>
        </w:rPr>
        <w:t>4</w:t>
      </w:r>
      <w:r>
        <w:rPr>
          <w:rFonts w:hint="eastAsia" w:ascii="宋体" w:hAnsi="宋体"/>
          <w:color w:val="000000"/>
          <w:sz w:val="28"/>
          <w:szCs w:val="28"/>
        </w:rPr>
        <w:t xml:space="preserve">.商务技术文件封面格式： </w:t>
      </w:r>
    </w:p>
    <w:p>
      <w:pPr>
        <w:snapToGrid w:val="0"/>
        <w:spacing w:beforeLines="50" w:after="50"/>
        <w:rPr>
          <w:rFonts w:ascii="宋体" w:hAnsi="宋体"/>
          <w:b/>
          <w:bCs/>
          <w:color w:val="000000"/>
          <w:sz w:val="28"/>
          <w:szCs w:val="28"/>
        </w:rPr>
      </w:pPr>
      <w:r>
        <w:rPr>
          <w:rFonts w:hint="eastAsia" w:ascii="宋体" w:hAnsi="宋体"/>
          <w:b/>
          <w:bCs/>
          <w:color w:val="000000"/>
          <w:sz w:val="28"/>
          <w:szCs w:val="28"/>
        </w:rPr>
        <w:t xml:space="preserve"> </w:t>
      </w:r>
    </w:p>
    <w:p>
      <w:pPr>
        <w:snapToGrid w:val="0"/>
        <w:spacing w:beforeLines="50" w:after="50"/>
        <w:rPr>
          <w:rFonts w:ascii="宋体" w:hAnsi="宋体"/>
          <w:color w:val="000000"/>
          <w:sz w:val="28"/>
          <w:szCs w:val="28"/>
        </w:rPr>
      </w:pPr>
    </w:p>
    <w:p>
      <w:pPr>
        <w:snapToGrid w:val="0"/>
        <w:spacing w:beforeLines="50" w:after="50"/>
        <w:jc w:val="center"/>
        <w:rPr>
          <w:rFonts w:ascii="宋体" w:hAnsi="宋体"/>
          <w:bCs/>
          <w:color w:val="000000"/>
          <w:sz w:val="28"/>
          <w:szCs w:val="28"/>
        </w:rPr>
      </w:pPr>
    </w:p>
    <w:p>
      <w:pPr>
        <w:snapToGrid w:val="0"/>
        <w:spacing w:beforeLines="50" w:after="50"/>
        <w:jc w:val="center"/>
        <w:rPr>
          <w:rFonts w:ascii="宋体" w:hAnsi="宋体"/>
          <w:bCs/>
          <w:color w:val="000000"/>
          <w:sz w:val="28"/>
          <w:szCs w:val="28"/>
        </w:rPr>
      </w:pPr>
      <w:r>
        <w:rPr>
          <w:rFonts w:hint="eastAsia" w:ascii="宋体" w:hAnsi="宋体"/>
          <w:bCs/>
          <w:color w:val="000000"/>
          <w:sz w:val="28"/>
          <w:szCs w:val="28"/>
        </w:rPr>
        <w:t>商务技术文件</w:t>
      </w:r>
    </w:p>
    <w:p>
      <w:pPr>
        <w:snapToGrid w:val="0"/>
        <w:spacing w:beforeLines="50" w:after="50" w:line="360" w:lineRule="auto"/>
        <w:jc w:val="center"/>
        <w:rPr>
          <w:rFonts w:ascii="宋体" w:hAnsi="宋体"/>
          <w:bCs/>
          <w:color w:val="000000"/>
          <w:sz w:val="28"/>
          <w:szCs w:val="28"/>
        </w:rPr>
      </w:pPr>
    </w:p>
    <w:p>
      <w:pPr>
        <w:snapToGrid w:val="0"/>
        <w:spacing w:beforeLines="50" w:after="50" w:line="360" w:lineRule="auto"/>
        <w:jc w:val="center"/>
        <w:rPr>
          <w:rFonts w:ascii="宋体" w:hAnsi="宋体"/>
          <w:bCs/>
          <w:color w:val="000000"/>
          <w:sz w:val="28"/>
          <w:szCs w:val="28"/>
        </w:rPr>
      </w:pPr>
    </w:p>
    <w:p>
      <w:pPr>
        <w:snapToGrid w:val="0"/>
        <w:spacing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pPr>
        <w:snapToGrid w:val="0"/>
        <w:spacing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pPr>
        <w:pStyle w:val="13"/>
        <w:snapToGrid w:val="0"/>
        <w:spacing w:before="50" w:after="50" w:line="360" w:lineRule="auto"/>
        <w:ind w:firstLine="1164" w:firstLineChars="416"/>
        <w:rPr>
          <w:rFonts w:ascii="宋体" w:hAnsi="宋体"/>
          <w:bCs/>
          <w:color w:val="000000"/>
          <w:sz w:val="28"/>
          <w:szCs w:val="28"/>
        </w:rPr>
      </w:pPr>
    </w:p>
    <w:p>
      <w:pPr>
        <w:pStyle w:val="1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投标人名称：</w:t>
      </w:r>
    </w:p>
    <w:p>
      <w:pPr>
        <w:pStyle w:val="1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投标人地址：</w:t>
      </w:r>
    </w:p>
    <w:p>
      <w:pPr>
        <w:pStyle w:val="13"/>
        <w:snapToGrid w:val="0"/>
        <w:spacing w:before="50" w:after="50"/>
        <w:ind w:firstLine="1120" w:firstLineChars="400"/>
        <w:rPr>
          <w:rFonts w:ascii="宋体" w:hAnsi="宋体"/>
          <w:bCs/>
          <w:color w:val="000000"/>
          <w:sz w:val="28"/>
          <w:szCs w:val="28"/>
        </w:rPr>
      </w:pPr>
    </w:p>
    <w:p>
      <w:pPr>
        <w:snapToGrid w:val="0"/>
        <w:spacing w:beforeLines="50" w:after="50"/>
        <w:ind w:firstLine="645"/>
        <w:jc w:val="left"/>
        <w:rPr>
          <w:rFonts w:ascii="宋体" w:hAnsi="宋体"/>
          <w:color w:val="000000"/>
          <w:sz w:val="24"/>
        </w:rPr>
      </w:pPr>
      <w:r>
        <w:rPr>
          <w:rFonts w:hint="eastAsia" w:ascii="宋体" w:hAnsi="宋体"/>
          <w:color w:val="000000"/>
          <w:sz w:val="28"/>
          <w:szCs w:val="28"/>
        </w:rPr>
        <w:t xml:space="preserve">                        年  月  日</w:t>
      </w:r>
      <w:r>
        <w:rPr>
          <w:rFonts w:ascii="宋体" w:hAnsi="宋体"/>
          <w:color w:val="000000"/>
          <w:sz w:val="24"/>
        </w:rPr>
        <w:br w:type="page"/>
      </w:r>
      <w:bookmarkStart w:id="59" w:name="_Hlk60757098"/>
      <w:r>
        <w:rPr>
          <w:rFonts w:ascii="宋体" w:hAnsi="宋体"/>
          <w:color w:val="000000"/>
          <w:sz w:val="24"/>
        </w:rPr>
        <w:t>5</w:t>
      </w:r>
      <w:r>
        <w:rPr>
          <w:rFonts w:hint="eastAsia" w:ascii="宋体" w:hAnsi="宋体"/>
          <w:color w:val="000000"/>
          <w:sz w:val="24"/>
        </w:rPr>
        <w:t>.投标函格式：</w:t>
      </w:r>
      <w:bookmarkEnd w:id="59"/>
    </w:p>
    <w:p>
      <w:pPr>
        <w:snapToGrid w:val="0"/>
        <w:spacing w:beforeLines="50" w:after="50"/>
        <w:jc w:val="center"/>
        <w:rPr>
          <w:rFonts w:hint="eastAsia" w:ascii="宋体" w:hAnsi="宋体"/>
          <w:b/>
          <w:color w:val="000000"/>
          <w:sz w:val="36"/>
          <w:szCs w:val="36"/>
        </w:rPr>
      </w:pPr>
      <w:r>
        <w:rPr>
          <w:rFonts w:hint="eastAsia" w:ascii="宋体" w:hAnsi="宋体"/>
          <w:b/>
          <w:color w:val="000000"/>
          <w:sz w:val="36"/>
          <w:szCs w:val="36"/>
        </w:rPr>
        <w:t>投 标 函</w:t>
      </w:r>
    </w:p>
    <w:p>
      <w:pPr>
        <w:snapToGrid w:val="0"/>
        <w:spacing w:beforeLines="50" w:after="50" w:line="380" w:lineRule="exact"/>
        <w:rPr>
          <w:rFonts w:ascii="宋体" w:hAnsi="宋体"/>
          <w:color w:val="000000"/>
          <w:sz w:val="24"/>
          <w:szCs w:val="20"/>
        </w:rPr>
      </w:pPr>
      <w:r>
        <w:rPr>
          <w:rFonts w:hint="eastAsia" w:ascii="宋体" w:hAnsi="宋体"/>
          <w:color w:val="000000"/>
          <w:sz w:val="24"/>
        </w:rPr>
        <w:t>致：______</w:t>
      </w:r>
      <w:r>
        <w:rPr>
          <w:rFonts w:hint="eastAsia" w:ascii="宋体" w:hAnsi="宋体"/>
          <w:color w:val="000000"/>
          <w:sz w:val="24"/>
          <w:u w:val="single"/>
        </w:rPr>
        <w:t>_     _</w:t>
      </w:r>
      <w:r>
        <w:rPr>
          <w:rFonts w:hint="eastAsia" w:ascii="宋体" w:hAnsi="宋体"/>
          <w:color w:val="000000"/>
          <w:sz w:val="24"/>
        </w:rPr>
        <w:t>_（</w:t>
      </w:r>
      <w:r>
        <w:rPr>
          <w:rFonts w:hint="eastAsia" w:ascii="宋体" w:hAnsi="宋体" w:cs="宋体"/>
          <w:color w:val="000000"/>
          <w:sz w:val="24"/>
          <w:lang w:val="en-US" w:eastAsia="zh-CN"/>
        </w:rPr>
        <w:t>建设单位、实施单位</w:t>
      </w:r>
      <w:r>
        <w:rPr>
          <w:rFonts w:hint="eastAsia" w:ascii="宋体" w:hAnsi="宋体"/>
          <w:color w:val="000000"/>
          <w:sz w:val="24"/>
        </w:rPr>
        <w:t>）：</w:t>
      </w:r>
    </w:p>
    <w:p>
      <w:pPr>
        <w:snapToGrid w:val="0"/>
        <w:spacing w:line="360" w:lineRule="auto"/>
        <w:ind w:firstLine="480" w:firstLineChars="200"/>
        <w:rPr>
          <w:rFonts w:ascii="宋体" w:hAnsi="宋体"/>
          <w:color w:val="000000"/>
          <w:sz w:val="24"/>
        </w:rPr>
      </w:pPr>
      <w:r>
        <w:rPr>
          <w:rFonts w:hint="eastAsia" w:ascii="宋体" w:hAnsi="宋体"/>
          <w:color w:val="000000"/>
          <w:sz w:val="24"/>
        </w:rPr>
        <w:t>1、我方自愿参加贵方组织的_____</w:t>
      </w:r>
      <w:r>
        <w:rPr>
          <w:rFonts w:hint="eastAsia" w:ascii="宋体" w:hAnsi="宋体"/>
          <w:color w:val="000000"/>
          <w:sz w:val="24"/>
          <w:u w:val="single"/>
        </w:rPr>
        <w:t>_              _</w:t>
      </w:r>
      <w:r>
        <w:rPr>
          <w:rFonts w:hint="eastAsia" w:ascii="宋体" w:hAnsi="宋体"/>
          <w:color w:val="000000"/>
          <w:sz w:val="24"/>
        </w:rPr>
        <w:t>_项目（项目编号：____</w:t>
      </w:r>
      <w:r>
        <w:rPr>
          <w:rFonts w:hint="eastAsia" w:ascii="宋体" w:hAnsi="宋体"/>
          <w:color w:val="000000"/>
          <w:sz w:val="24"/>
          <w:u w:val="single"/>
        </w:rPr>
        <w:t>_     _</w:t>
      </w:r>
      <w:r>
        <w:rPr>
          <w:rFonts w:hint="eastAsia" w:ascii="宋体" w:hAnsi="宋体"/>
          <w:color w:val="000000"/>
          <w:sz w:val="24"/>
        </w:rPr>
        <w:t>_）的投标，并</w:t>
      </w:r>
      <w:r>
        <w:rPr>
          <w:rFonts w:ascii="宋体" w:hAnsi="宋体"/>
          <w:color w:val="000000"/>
          <w:sz w:val="24"/>
        </w:rPr>
        <w:t>按采购文件的要求</w:t>
      </w:r>
      <w:r>
        <w:rPr>
          <w:rFonts w:hint="eastAsia" w:ascii="宋体" w:hAnsi="宋体"/>
          <w:color w:val="000000"/>
          <w:sz w:val="24"/>
        </w:rPr>
        <w:t>提交商务技术文件、报价文件。</w:t>
      </w:r>
    </w:p>
    <w:p>
      <w:pPr>
        <w:snapToGri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、我方完全理解并接受招标文件（包括修改补</w:t>
      </w:r>
      <w:r>
        <w:rPr>
          <w:rFonts w:ascii="宋体" w:hAnsi="宋体"/>
          <w:color w:val="000000"/>
          <w:sz w:val="24"/>
        </w:rPr>
        <w:t>充</w:t>
      </w:r>
      <w:r>
        <w:rPr>
          <w:rFonts w:hint="eastAsia" w:ascii="宋体" w:hAnsi="宋体"/>
          <w:color w:val="000000"/>
          <w:sz w:val="24"/>
        </w:rPr>
        <w:t>文件）的各项规定和要求</w:t>
      </w:r>
      <w:r>
        <w:rPr>
          <w:rFonts w:ascii="宋体" w:hAnsi="宋体"/>
          <w:color w:val="000000"/>
          <w:sz w:val="24"/>
        </w:rPr>
        <w:t>，</w:t>
      </w:r>
      <w:r>
        <w:rPr>
          <w:rFonts w:hint="eastAsia" w:ascii="宋体" w:hAnsi="宋体"/>
          <w:color w:val="000000"/>
          <w:sz w:val="24"/>
        </w:rPr>
        <w:t>不</w:t>
      </w:r>
      <w:r>
        <w:rPr>
          <w:rFonts w:ascii="宋体" w:hAnsi="宋体"/>
          <w:color w:val="000000"/>
          <w:sz w:val="24"/>
        </w:rPr>
        <w:t>再对招标文件</w:t>
      </w:r>
      <w:r>
        <w:rPr>
          <w:rFonts w:hint="eastAsia" w:ascii="宋体" w:hAnsi="宋体"/>
          <w:color w:val="000000"/>
          <w:sz w:val="24"/>
        </w:rPr>
        <w:t>的合理性、合法性等</w:t>
      </w:r>
      <w:r>
        <w:rPr>
          <w:rFonts w:ascii="宋体" w:hAnsi="宋体"/>
          <w:color w:val="000000"/>
          <w:sz w:val="24"/>
        </w:rPr>
        <w:t>相关内容提出质疑或投诉。</w:t>
      </w:r>
    </w:p>
    <w:p>
      <w:pPr>
        <w:snapToGrid w:val="0"/>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、我方不是</w:t>
      </w:r>
      <w:r>
        <w:rPr>
          <w:rFonts w:hint="eastAsia" w:ascii="宋体" w:hAnsi="宋体" w:cs="宋体"/>
          <w:color w:val="000000"/>
          <w:sz w:val="24"/>
          <w:lang w:val="en-US" w:eastAsia="zh-CN"/>
        </w:rPr>
        <w:t>建设单位、实施单位</w:t>
      </w:r>
      <w:r>
        <w:rPr>
          <w:rFonts w:hint="eastAsia" w:ascii="宋体" w:hAnsi="宋体"/>
          <w:color w:val="000000"/>
          <w:sz w:val="24"/>
        </w:rPr>
        <w:t>的附属机构以及</w:t>
      </w:r>
      <w:r>
        <w:rPr>
          <w:rFonts w:ascii="宋体" w:hAnsi="宋体"/>
          <w:color w:val="000000"/>
          <w:sz w:val="24"/>
        </w:rPr>
        <w:t>其它法律法规</w:t>
      </w:r>
      <w:r>
        <w:rPr>
          <w:rFonts w:hint="eastAsia" w:ascii="宋体" w:hAnsi="宋体"/>
          <w:color w:val="000000"/>
          <w:sz w:val="24"/>
        </w:rPr>
        <w:t>所</w:t>
      </w:r>
      <w:r>
        <w:rPr>
          <w:rFonts w:ascii="宋体" w:hAnsi="宋体"/>
          <w:color w:val="000000"/>
          <w:sz w:val="24"/>
        </w:rPr>
        <w:t>规定的限制投标单位</w:t>
      </w:r>
      <w:r>
        <w:rPr>
          <w:rFonts w:hint="eastAsia" w:ascii="宋体" w:hAnsi="宋体"/>
          <w:color w:val="000000"/>
          <w:sz w:val="24"/>
        </w:rPr>
        <w:t>。</w:t>
      </w:r>
    </w:p>
    <w:p>
      <w:pPr>
        <w:snapToGrid w:val="0"/>
        <w:spacing w:line="360" w:lineRule="auto"/>
        <w:ind w:firstLine="482" w:firstLineChars="200"/>
        <w:rPr>
          <w:rFonts w:ascii="宋体" w:hAnsi="宋体"/>
          <w:b/>
          <w:bCs/>
          <w:sz w:val="24"/>
          <w:shd w:val="pct10" w:color="auto" w:fill="FFFFFF"/>
        </w:rPr>
      </w:pPr>
      <w:r>
        <w:rPr>
          <w:rFonts w:ascii="宋体" w:hAnsi="宋体"/>
          <w:b/>
          <w:bCs/>
          <w:sz w:val="24"/>
          <w:shd w:val="pct10" w:color="auto" w:fill="FFFFFF"/>
        </w:rPr>
        <w:t>4</w:t>
      </w:r>
      <w:r>
        <w:rPr>
          <w:rFonts w:hint="eastAsia" w:ascii="宋体" w:hAnsi="宋体"/>
          <w:b/>
          <w:bCs/>
          <w:sz w:val="24"/>
          <w:shd w:val="pct10" w:color="auto" w:fill="FFFFFF"/>
        </w:rPr>
        <w:t>.、我方向贵方提交的所有投标文件、资料（包括所有</w:t>
      </w:r>
      <w:bookmarkStart w:id="60" w:name="_Hlk59707887"/>
      <w:r>
        <w:rPr>
          <w:rFonts w:hint="eastAsia" w:ascii="宋体" w:hAnsi="宋体"/>
          <w:b/>
          <w:bCs/>
          <w:sz w:val="24"/>
          <w:shd w:val="pct10" w:color="auto" w:fill="FFFFFF"/>
        </w:rPr>
        <w:t>证书、合同、报告等</w:t>
      </w:r>
      <w:bookmarkEnd w:id="60"/>
      <w:r>
        <w:rPr>
          <w:rFonts w:hint="eastAsia" w:ascii="宋体" w:hAnsi="宋体"/>
          <w:b/>
          <w:bCs/>
          <w:sz w:val="24"/>
          <w:shd w:val="pct10" w:color="auto" w:fill="FFFFFF"/>
        </w:rPr>
        <w:t>）都是准确、真实、合规的，如有虚假或隐瞒，我方愿意承担一切后果。</w:t>
      </w:r>
    </w:p>
    <w:p>
      <w:pPr>
        <w:snapToGrid w:val="0"/>
        <w:spacing w:line="360" w:lineRule="auto"/>
        <w:ind w:firstLine="480" w:firstLineChars="200"/>
        <w:rPr>
          <w:rFonts w:ascii="宋体" w:hAnsi="宋体"/>
          <w:sz w:val="24"/>
        </w:rPr>
      </w:pPr>
      <w:r>
        <w:rPr>
          <w:rFonts w:ascii="宋体" w:hAnsi="宋体"/>
          <w:sz w:val="24"/>
        </w:rPr>
        <w:t>5</w:t>
      </w:r>
      <w:r>
        <w:rPr>
          <w:rFonts w:hint="eastAsia" w:ascii="宋体" w:hAnsi="宋体"/>
          <w:sz w:val="24"/>
        </w:rPr>
        <w:t>、本投标自开标日起 90天</w:t>
      </w:r>
      <w:r>
        <w:rPr>
          <w:rFonts w:ascii="宋体" w:hAnsi="宋体"/>
          <w:sz w:val="24"/>
        </w:rPr>
        <w:t>内</w:t>
      </w:r>
      <w:r>
        <w:rPr>
          <w:rFonts w:hint="eastAsia" w:ascii="宋体" w:hAnsi="宋体"/>
          <w:sz w:val="24"/>
        </w:rPr>
        <w:t>有效。</w:t>
      </w:r>
    </w:p>
    <w:p>
      <w:pPr>
        <w:snapToGrid w:val="0"/>
        <w:spacing w:line="360" w:lineRule="auto"/>
        <w:ind w:firstLine="480" w:firstLineChars="200"/>
        <w:rPr>
          <w:rFonts w:ascii="宋体" w:hAnsi="宋体"/>
          <w:sz w:val="24"/>
        </w:rPr>
      </w:pPr>
      <w:r>
        <w:rPr>
          <w:rFonts w:ascii="宋体" w:hAnsi="宋体"/>
          <w:sz w:val="24"/>
        </w:rPr>
        <w:t>6</w:t>
      </w:r>
      <w:r>
        <w:rPr>
          <w:rFonts w:hint="eastAsia" w:ascii="宋体" w:hAnsi="宋体"/>
          <w:sz w:val="24"/>
        </w:rPr>
        <w:t>、如中标，本投标文件至本项目合同履行完毕均保持有效，同意按照贵方要求提供与投标有关的一切数据或资料，并按“招标文件”及政府采购法律、法规的规定履行合同责任和义务。</w:t>
      </w:r>
    </w:p>
    <w:p>
      <w:pPr>
        <w:snapToGrid w:val="0"/>
        <w:spacing w:line="360" w:lineRule="auto"/>
        <w:ind w:firstLine="480" w:firstLineChars="200"/>
        <w:rPr>
          <w:rFonts w:ascii="宋体" w:hAnsi="宋体"/>
          <w:sz w:val="24"/>
        </w:rPr>
      </w:pPr>
      <w:r>
        <w:rPr>
          <w:rFonts w:ascii="宋体" w:hAnsi="宋体"/>
          <w:sz w:val="24"/>
        </w:rPr>
        <w:t>7</w:t>
      </w:r>
      <w:r>
        <w:rPr>
          <w:rFonts w:hint="eastAsia" w:ascii="宋体" w:hAnsi="宋体"/>
          <w:sz w:val="24"/>
        </w:rPr>
        <w:t>、以上事项如有虚假或隐瞒，我方愿意承担一切后果，并不再寻求任何旨在减轻或免除法律责任的辩解，</w:t>
      </w:r>
      <w:r>
        <w:rPr>
          <w:rFonts w:ascii="宋体" w:hAnsi="宋体"/>
          <w:sz w:val="24"/>
        </w:rPr>
        <w:t>同意我方的履约保证金不予</w:t>
      </w:r>
      <w:r>
        <w:rPr>
          <w:rFonts w:hint="eastAsia" w:ascii="宋体" w:hAnsi="宋体"/>
          <w:sz w:val="24"/>
        </w:rPr>
        <w:t>退</w:t>
      </w:r>
      <w:r>
        <w:rPr>
          <w:rFonts w:ascii="宋体" w:hAnsi="宋体"/>
          <w:sz w:val="24"/>
        </w:rPr>
        <w:t>回</w:t>
      </w:r>
      <w:r>
        <w:rPr>
          <w:rFonts w:hint="eastAsia" w:ascii="宋体" w:hAnsi="宋体"/>
          <w:sz w:val="24"/>
        </w:rPr>
        <w:t>，</w:t>
      </w:r>
      <w:r>
        <w:rPr>
          <w:rFonts w:ascii="宋体" w:hAnsi="宋体"/>
          <w:sz w:val="24"/>
        </w:rPr>
        <w:t>并对</w:t>
      </w:r>
      <w:r>
        <w:rPr>
          <w:rFonts w:hint="eastAsia" w:ascii="宋体" w:hAnsi="宋体" w:cs="宋体"/>
          <w:color w:val="000000"/>
          <w:sz w:val="24"/>
          <w:lang w:val="en-US" w:eastAsia="zh-CN"/>
        </w:rPr>
        <w:t>建设单位、实施单位</w:t>
      </w:r>
      <w:r>
        <w:rPr>
          <w:rFonts w:hint="eastAsia" w:ascii="宋体" w:hAnsi="宋体"/>
          <w:sz w:val="24"/>
        </w:rPr>
        <w:t>因</w:t>
      </w:r>
      <w:r>
        <w:rPr>
          <w:rFonts w:ascii="宋体" w:hAnsi="宋体"/>
          <w:sz w:val="24"/>
        </w:rPr>
        <w:t>此引起的损失予以赔偿</w:t>
      </w:r>
      <w:r>
        <w:rPr>
          <w:rFonts w:hint="eastAsia" w:ascii="宋体" w:hAnsi="宋体"/>
          <w:sz w:val="24"/>
        </w:rPr>
        <w:t>。</w:t>
      </w:r>
    </w:p>
    <w:p>
      <w:pPr>
        <w:snapToGrid w:val="0"/>
        <w:spacing w:line="360" w:lineRule="auto"/>
        <w:ind w:firstLine="480" w:firstLineChars="200"/>
        <w:rPr>
          <w:rFonts w:ascii="宋体" w:hAnsi="宋体"/>
          <w:sz w:val="24"/>
        </w:rPr>
      </w:pPr>
      <w:r>
        <w:rPr>
          <w:rFonts w:ascii="宋体" w:hAnsi="宋体"/>
          <w:sz w:val="24"/>
        </w:rPr>
        <w:t>8</w:t>
      </w:r>
      <w:r>
        <w:rPr>
          <w:rFonts w:hint="eastAsia" w:ascii="宋体" w:hAnsi="宋体"/>
          <w:sz w:val="24"/>
        </w:rPr>
        <w:t>、我方全权授</w:t>
      </w:r>
      <w:r>
        <w:rPr>
          <w:rFonts w:ascii="宋体" w:hAnsi="宋体"/>
          <w:sz w:val="24"/>
        </w:rPr>
        <w:t>权被授权人</w:t>
      </w:r>
      <w:r>
        <w:rPr>
          <w:rFonts w:hint="eastAsia" w:ascii="宋体" w:hAnsi="宋体"/>
          <w:sz w:val="24"/>
        </w:rPr>
        <w:t>办理针对上述项目的投标、开标、评标、签约等具体事务和签署相关文件，</w:t>
      </w:r>
      <w:r>
        <w:rPr>
          <w:rFonts w:ascii="宋体" w:hAnsi="宋体"/>
          <w:sz w:val="24"/>
        </w:rPr>
        <w:t>对被授权的</w:t>
      </w:r>
      <w:r>
        <w:rPr>
          <w:rFonts w:hint="eastAsia" w:ascii="宋体" w:hAnsi="宋体"/>
          <w:sz w:val="24"/>
        </w:rPr>
        <w:t>各</w:t>
      </w:r>
      <w:r>
        <w:rPr>
          <w:rFonts w:ascii="宋体" w:hAnsi="宋体"/>
          <w:sz w:val="24"/>
        </w:rPr>
        <w:t>项行为负全部责任</w:t>
      </w:r>
      <w:r>
        <w:rPr>
          <w:rFonts w:hint="eastAsia" w:ascii="宋体" w:hAnsi="宋体"/>
          <w:sz w:val="24"/>
        </w:rPr>
        <w:t>，在撤销授权的书面通知以前，本授权书一直有效，被授权人无转委托权。</w:t>
      </w:r>
    </w:p>
    <w:p>
      <w:pPr>
        <w:snapToGrid w:val="0"/>
        <w:spacing w:line="360" w:lineRule="auto"/>
        <w:ind w:firstLine="361" w:firstLineChars="150"/>
        <w:rPr>
          <w:rFonts w:ascii="宋体" w:hAnsi="宋体"/>
          <w:b/>
          <w:bCs/>
          <w:sz w:val="24"/>
          <w:u w:val="single"/>
          <w:shd w:val="pct10" w:color="auto" w:fill="FFFFFF"/>
        </w:rPr>
      </w:pPr>
      <w:bookmarkStart w:id="61" w:name="_Hlk36048718"/>
      <w:r>
        <w:rPr>
          <w:rFonts w:hint="eastAsia" w:ascii="宋体" w:hAnsi="宋体"/>
          <w:b/>
          <w:bCs/>
          <w:sz w:val="24"/>
        </w:rPr>
        <w:t>与本投标有关的一切正式往来信函、传真或邮件</w:t>
      </w:r>
      <w:r>
        <w:rPr>
          <w:rFonts w:hint="eastAsia" w:ascii="宋体" w:hAnsi="宋体"/>
          <w:b/>
          <w:bCs/>
          <w:sz w:val="24"/>
          <w:u w:val="single"/>
          <w:shd w:val="pct10" w:color="auto" w:fill="FFFFFF"/>
        </w:rPr>
        <w:t>（例如质疑回复函、中标通知书、采购合同等）请采用如下联系方式送达，我方确保能够及时、准确收悉。</w:t>
      </w:r>
    </w:p>
    <w:p>
      <w:pPr>
        <w:snapToGrid w:val="0"/>
        <w:spacing w:line="360" w:lineRule="auto"/>
        <w:ind w:firstLine="360" w:firstLineChars="150"/>
        <w:rPr>
          <w:rFonts w:ascii="宋体" w:hAnsi="宋体"/>
          <w:sz w:val="24"/>
        </w:rPr>
      </w:pPr>
      <w:r>
        <w:rPr>
          <w:rFonts w:hint="eastAsia" w:ascii="宋体" w:hAnsi="宋体"/>
          <w:sz w:val="24"/>
        </w:rPr>
        <w:t>邮寄详细地址：__________</w:t>
      </w:r>
      <w:r>
        <w:rPr>
          <w:rFonts w:hint="eastAsia" w:ascii="宋体" w:hAnsi="宋体"/>
          <w:sz w:val="24"/>
          <w:u w:val="single"/>
        </w:rPr>
        <w:t xml:space="preserve">        </w:t>
      </w:r>
      <w:r>
        <w:rPr>
          <w:rFonts w:ascii="宋体" w:hAnsi="宋体"/>
          <w:sz w:val="24"/>
        </w:rPr>
        <w:t xml:space="preserve">  </w:t>
      </w:r>
      <w:r>
        <w:rPr>
          <w:rFonts w:hint="eastAsia" w:ascii="宋体" w:hAnsi="宋体"/>
          <w:sz w:val="24"/>
        </w:rPr>
        <w:t>邮编：__________</w:t>
      </w:r>
    </w:p>
    <w:p>
      <w:pPr>
        <w:snapToGrid w:val="0"/>
        <w:spacing w:line="360" w:lineRule="auto"/>
        <w:ind w:firstLine="360" w:firstLineChars="150"/>
        <w:rPr>
          <w:rFonts w:ascii="宋体" w:hAnsi="宋体"/>
          <w:sz w:val="24"/>
        </w:rPr>
      </w:pPr>
      <w:r>
        <w:rPr>
          <w:rFonts w:hint="eastAsia" w:ascii="宋体" w:hAnsi="宋体"/>
          <w:sz w:val="24"/>
        </w:rPr>
        <w:t>收件人姓名：_______</w:t>
      </w:r>
      <w:r>
        <w:rPr>
          <w:rFonts w:hint="eastAsia" w:ascii="宋体" w:hAnsi="宋体"/>
          <w:sz w:val="24"/>
          <w:u w:val="single"/>
        </w:rPr>
        <w:t>_</w:t>
      </w:r>
      <w:r>
        <w:rPr>
          <w:rFonts w:ascii="宋体" w:hAnsi="宋体"/>
          <w:sz w:val="24"/>
          <w:u w:val="single"/>
        </w:rPr>
        <w:t xml:space="preserve">   </w:t>
      </w:r>
      <w:r>
        <w:rPr>
          <w:rFonts w:hint="eastAsia" w:ascii="宋体" w:hAnsi="宋体"/>
          <w:sz w:val="24"/>
        </w:rPr>
        <w:t>联系手机：</w:t>
      </w:r>
      <w:bookmarkStart w:id="62" w:name="_Hlk59370410"/>
      <w:r>
        <w:rPr>
          <w:rFonts w:hint="eastAsia" w:ascii="宋体" w:hAnsi="宋体"/>
          <w:sz w:val="24"/>
        </w:rPr>
        <w:t>_______</w:t>
      </w:r>
      <w:r>
        <w:rPr>
          <w:rFonts w:hint="eastAsia" w:ascii="宋体" w:hAnsi="宋体"/>
          <w:sz w:val="24"/>
          <w:u w:val="single"/>
        </w:rPr>
        <w:t>_</w:t>
      </w:r>
      <w:r>
        <w:rPr>
          <w:rFonts w:ascii="宋体" w:hAnsi="宋体"/>
          <w:sz w:val="24"/>
          <w:u w:val="single"/>
        </w:rPr>
        <w:t xml:space="preserve">       </w:t>
      </w:r>
      <w:bookmarkEnd w:id="62"/>
      <w:r>
        <w:rPr>
          <w:rFonts w:hint="eastAsia" w:ascii="宋体" w:hAnsi="宋体"/>
          <w:sz w:val="24"/>
        </w:rPr>
        <w:t>公司电子邮箱</w:t>
      </w:r>
      <w:r>
        <w:rPr>
          <w:rFonts w:hint="eastAsia" w:ascii="宋体" w:hAnsi="宋体"/>
          <w:b/>
          <w:bCs/>
          <w:sz w:val="24"/>
        </w:rPr>
        <w:t>：</w:t>
      </w:r>
      <w:r>
        <w:rPr>
          <w:rFonts w:ascii="宋体" w:hAnsi="宋体"/>
          <w:sz w:val="24"/>
          <w:u w:val="single"/>
        </w:rPr>
        <w:t xml:space="preserve"> </w:t>
      </w:r>
      <w:r>
        <w:rPr>
          <w:rFonts w:hint="eastAsia" w:ascii="宋体" w:hAnsi="宋体"/>
          <w:sz w:val="24"/>
          <w:u w:val="single"/>
        </w:rPr>
        <w:t>_</w:t>
      </w:r>
      <w:r>
        <w:rPr>
          <w:rFonts w:ascii="宋体" w:hAnsi="宋体"/>
          <w:sz w:val="24"/>
          <w:u w:val="single"/>
        </w:rPr>
        <w:t xml:space="preserve">     </w:t>
      </w:r>
      <w:r>
        <w:rPr>
          <w:rFonts w:hint="eastAsia" w:ascii="宋体" w:hAnsi="宋体"/>
          <w:sz w:val="24"/>
          <w:u w:val="single"/>
        </w:rPr>
        <w:t>__</w:t>
      </w:r>
      <w:r>
        <w:rPr>
          <w:rFonts w:ascii="宋体" w:hAnsi="宋体"/>
          <w:sz w:val="24"/>
          <w:u w:val="single"/>
        </w:rPr>
        <w:t xml:space="preserve"> </w:t>
      </w:r>
      <w:r>
        <w:rPr>
          <w:rFonts w:ascii="宋体" w:hAnsi="宋体"/>
          <w:sz w:val="24"/>
        </w:rPr>
        <w:t xml:space="preserve"> </w:t>
      </w:r>
    </w:p>
    <w:p>
      <w:pPr>
        <w:snapToGrid w:val="0"/>
        <w:spacing w:line="360" w:lineRule="auto"/>
        <w:ind w:firstLine="361" w:firstLineChars="150"/>
        <w:jc w:val="left"/>
        <w:rPr>
          <w:rFonts w:hint="eastAsia" w:ascii="宋体" w:hAnsi="宋体"/>
          <w:b/>
          <w:bCs/>
          <w:sz w:val="24"/>
          <w:shd w:val="pct10" w:color="auto" w:fill="FFFFFF"/>
        </w:rPr>
      </w:pPr>
      <w:bookmarkStart w:id="63" w:name="_Hlk59370586"/>
      <w:r>
        <w:rPr>
          <w:rFonts w:hint="eastAsia" w:ascii="宋体" w:hAnsi="宋体"/>
          <w:b/>
          <w:bCs/>
          <w:sz w:val="24"/>
          <w:shd w:val="pct10" w:color="auto" w:fill="FFFFFF"/>
        </w:rPr>
        <w:t>为了方便评标委员会在必要时对投标人进行询标，请投标人填写以下投标文件编制人信息，以便及时、准确进行询标，投标文件编制人信息可不限于1人。</w:t>
      </w:r>
    </w:p>
    <w:p>
      <w:pPr>
        <w:snapToGrid w:val="0"/>
        <w:spacing w:line="360" w:lineRule="auto"/>
        <w:ind w:firstLine="361" w:firstLineChars="150"/>
        <w:jc w:val="left"/>
        <w:rPr>
          <w:rFonts w:ascii="宋体" w:hAnsi="宋体"/>
          <w:b/>
          <w:bCs/>
          <w:sz w:val="24"/>
          <w:u w:val="single"/>
        </w:rPr>
      </w:pPr>
      <w:r>
        <w:rPr>
          <w:rFonts w:hint="eastAsia" w:ascii="宋体" w:hAnsi="宋体"/>
          <w:b/>
          <w:bCs/>
          <w:sz w:val="24"/>
        </w:rPr>
        <w:t>投标文件编制人</w:t>
      </w:r>
      <w:bookmarkEnd w:id="63"/>
      <w:r>
        <w:rPr>
          <w:rFonts w:hint="eastAsia" w:ascii="宋体" w:hAnsi="宋体"/>
          <w:b/>
          <w:bCs/>
          <w:sz w:val="24"/>
        </w:rPr>
        <w:t>姓名：_</w:t>
      </w:r>
      <w:r>
        <w:rPr>
          <w:rFonts w:hint="eastAsia" w:ascii="宋体" w:hAnsi="宋体"/>
          <w:b/>
          <w:bCs/>
          <w:sz w:val="24"/>
          <w:u w:val="single"/>
        </w:rPr>
        <w:t>_</w:t>
      </w:r>
      <w:r>
        <w:rPr>
          <w:rFonts w:hint="eastAsia" w:ascii="宋体" w:hAnsi="宋体"/>
          <w:b/>
          <w:bCs/>
          <w:sz w:val="24"/>
        </w:rPr>
        <w:t xml:space="preserve">________  </w:t>
      </w:r>
      <w:r>
        <w:rPr>
          <w:rFonts w:ascii="宋体" w:hAnsi="宋体"/>
          <w:b/>
          <w:bCs/>
          <w:sz w:val="24"/>
        </w:rPr>
        <w:t xml:space="preserve">  </w:t>
      </w:r>
      <w:r>
        <w:rPr>
          <w:rFonts w:hint="eastAsia" w:ascii="宋体" w:hAnsi="宋体"/>
          <w:b/>
          <w:bCs/>
          <w:sz w:val="24"/>
        </w:rPr>
        <w:t>手机号码：__</w:t>
      </w:r>
      <w:r>
        <w:rPr>
          <w:rFonts w:hint="eastAsia" w:ascii="宋体" w:hAnsi="宋体"/>
          <w:b/>
          <w:bCs/>
          <w:sz w:val="24"/>
          <w:u w:val="single"/>
        </w:rPr>
        <w:t>____</w:t>
      </w:r>
      <w:r>
        <w:rPr>
          <w:rFonts w:ascii="宋体" w:hAnsi="宋体"/>
          <w:b/>
          <w:bCs/>
          <w:sz w:val="24"/>
          <w:u w:val="single"/>
        </w:rPr>
        <w:t xml:space="preserve">    </w:t>
      </w:r>
      <w:r>
        <w:rPr>
          <w:rFonts w:hint="eastAsia" w:ascii="宋体" w:hAnsi="宋体"/>
          <w:b/>
          <w:bCs/>
          <w:sz w:val="24"/>
          <w:u w:val="single"/>
        </w:rPr>
        <w:t>_</w:t>
      </w:r>
      <w:r>
        <w:rPr>
          <w:rFonts w:ascii="宋体" w:hAnsi="宋体"/>
          <w:b/>
          <w:bCs/>
          <w:sz w:val="24"/>
          <w:u w:val="single"/>
        </w:rPr>
        <w:t xml:space="preserve">    </w:t>
      </w:r>
      <w:r>
        <w:rPr>
          <w:rFonts w:hint="eastAsia" w:ascii="宋体" w:hAnsi="宋体"/>
          <w:b/>
          <w:bCs/>
          <w:sz w:val="24"/>
          <w:u w:val="single"/>
        </w:rPr>
        <w:t>__</w:t>
      </w:r>
    </w:p>
    <w:p>
      <w:pPr>
        <w:snapToGrid w:val="0"/>
        <w:spacing w:line="360" w:lineRule="auto"/>
        <w:ind w:firstLine="361" w:firstLineChars="150"/>
        <w:jc w:val="left"/>
        <w:rPr>
          <w:rFonts w:ascii="宋体" w:hAnsi="宋体"/>
          <w:b/>
          <w:sz w:val="24"/>
          <w:u w:val="single"/>
          <w:shd w:val="pct10" w:color="auto" w:fill="FFFFFF"/>
        </w:rPr>
      </w:pPr>
      <w:r>
        <w:rPr>
          <w:rFonts w:hint="eastAsia" w:ascii="宋体" w:hAnsi="宋体"/>
          <w:b/>
          <w:sz w:val="24"/>
          <w:shd w:val="pct10" w:color="auto" w:fill="FFFFFF"/>
        </w:rPr>
        <w:t>法定代表人（签字或盖章）：</w:t>
      </w:r>
    </w:p>
    <w:p>
      <w:pPr>
        <w:snapToGrid w:val="0"/>
        <w:spacing w:line="360" w:lineRule="auto"/>
        <w:ind w:firstLine="361" w:firstLineChars="150"/>
        <w:jc w:val="left"/>
        <w:rPr>
          <w:rFonts w:ascii="宋体" w:hAnsi="宋体"/>
          <w:color w:val="000000"/>
          <w:sz w:val="24"/>
        </w:rPr>
      </w:pPr>
      <w:r>
        <w:rPr>
          <w:rFonts w:hint="eastAsia" w:ascii="宋体" w:hAnsi="宋体"/>
          <w:b/>
          <w:sz w:val="24"/>
          <w:shd w:val="pct10" w:color="auto" w:fill="FFFFFF"/>
        </w:rPr>
        <w:t>被授权人（签字）:</w:t>
      </w:r>
      <w:bookmarkStart w:id="64" w:name="_Hlk34136414"/>
      <w:r>
        <w:rPr>
          <w:rFonts w:hint="eastAsia" w:ascii="宋体" w:hAnsi="宋体"/>
          <w:b/>
          <w:sz w:val="24"/>
        </w:rPr>
        <w:t>_</w:t>
      </w:r>
      <w:r>
        <w:rPr>
          <w:rFonts w:hint="eastAsia" w:ascii="宋体" w:hAnsi="宋体"/>
          <w:sz w:val="24"/>
        </w:rPr>
        <w:t>_</w:t>
      </w:r>
      <w:r>
        <w:rPr>
          <w:rFonts w:hint="eastAsia" w:ascii="宋体" w:hAnsi="宋体"/>
          <w:sz w:val="24"/>
          <w:u w:val="single"/>
        </w:rPr>
        <w:t>_</w:t>
      </w:r>
      <w:r>
        <w:rPr>
          <w:rFonts w:hint="eastAsia" w:ascii="宋体" w:hAnsi="宋体"/>
          <w:sz w:val="24"/>
        </w:rPr>
        <w:t>________</w:t>
      </w:r>
      <w:bookmarkEnd w:id="64"/>
      <w:r>
        <w:rPr>
          <w:rFonts w:hint="eastAsia" w:ascii="宋体" w:hAnsi="宋体"/>
          <w:sz w:val="24"/>
        </w:rPr>
        <w:t xml:space="preserve">  </w:t>
      </w:r>
      <w:r>
        <w:rPr>
          <w:rFonts w:hint="eastAsia" w:ascii="宋体" w:hAnsi="宋体"/>
          <w:b/>
          <w:bCs/>
          <w:sz w:val="24"/>
        </w:rPr>
        <w:t>被授权人手机号码：</w:t>
      </w:r>
      <w:r>
        <w:rPr>
          <w:rFonts w:hint="eastAsia" w:ascii="宋体" w:hAnsi="宋体"/>
          <w:b/>
          <w:sz w:val="24"/>
        </w:rPr>
        <w:t>_</w:t>
      </w:r>
      <w:r>
        <w:rPr>
          <w:rFonts w:hint="eastAsia" w:ascii="宋体" w:hAnsi="宋体"/>
          <w:color w:val="000000"/>
          <w:sz w:val="24"/>
        </w:rPr>
        <w:t>_</w:t>
      </w:r>
      <w:r>
        <w:rPr>
          <w:rFonts w:hint="eastAsia" w:ascii="宋体" w:hAnsi="宋体"/>
          <w:color w:val="000000"/>
          <w:sz w:val="24"/>
          <w:u w:val="single"/>
        </w:rPr>
        <w:t>____</w:t>
      </w:r>
      <w:r>
        <w:rPr>
          <w:rFonts w:ascii="宋体" w:hAnsi="宋体"/>
          <w:color w:val="000000"/>
          <w:sz w:val="24"/>
          <w:u w:val="single"/>
        </w:rPr>
        <w:t xml:space="preserve">    </w:t>
      </w:r>
      <w:r>
        <w:rPr>
          <w:rFonts w:hint="eastAsia" w:ascii="宋体" w:hAnsi="宋体"/>
          <w:color w:val="000000"/>
          <w:sz w:val="24"/>
          <w:u w:val="single"/>
        </w:rPr>
        <w:t>_</w:t>
      </w:r>
      <w:r>
        <w:rPr>
          <w:rFonts w:ascii="宋体" w:hAnsi="宋体"/>
          <w:color w:val="000000"/>
          <w:sz w:val="24"/>
          <w:u w:val="single"/>
        </w:rPr>
        <w:t xml:space="preserve">    </w:t>
      </w:r>
      <w:r>
        <w:rPr>
          <w:rFonts w:hint="eastAsia" w:ascii="宋体" w:hAnsi="宋体"/>
          <w:color w:val="000000"/>
          <w:sz w:val="24"/>
          <w:u w:val="single"/>
        </w:rPr>
        <w:t>__</w:t>
      </w:r>
      <w:r>
        <w:rPr>
          <w:rFonts w:ascii="宋体" w:hAnsi="宋体"/>
          <w:color w:val="000000"/>
          <w:sz w:val="24"/>
          <w:u w:val="single"/>
        </w:rPr>
        <w:t xml:space="preserve">   </w:t>
      </w:r>
      <w:bookmarkEnd w:id="61"/>
    </w:p>
    <w:p>
      <w:pPr>
        <w:snapToGrid w:val="0"/>
        <w:spacing w:line="360" w:lineRule="auto"/>
        <w:ind w:firstLine="482" w:firstLineChars="200"/>
        <w:jc w:val="left"/>
        <w:rPr>
          <w:rFonts w:ascii="宋体" w:hAnsi="宋体"/>
          <w:color w:val="000000"/>
          <w:sz w:val="24"/>
        </w:rPr>
      </w:pPr>
      <w:r>
        <w:rPr>
          <w:rFonts w:hint="eastAsia" w:ascii="宋体" w:hAnsi="宋体"/>
          <w:b/>
          <w:bCs/>
          <w:color w:val="000000"/>
          <w:sz w:val="24"/>
        </w:rPr>
        <w:t xml:space="preserve">投标人:(公章) </w:t>
      </w:r>
      <w:r>
        <w:rPr>
          <w:rFonts w:ascii="宋体" w:hAnsi="宋体"/>
          <w:color w:val="000000"/>
          <w:sz w:val="24"/>
        </w:rPr>
        <w:t xml:space="preserve">                           </w:t>
      </w:r>
      <w:r>
        <w:rPr>
          <w:rFonts w:hint="eastAsia" w:ascii="宋体" w:hAnsi="宋体"/>
          <w:color w:val="000000"/>
          <w:sz w:val="24"/>
        </w:rPr>
        <w:t>日期:_____年___月___日</w:t>
      </w:r>
    </w:p>
    <w:p>
      <w:pPr>
        <w:snapToGrid w:val="0"/>
        <w:spacing w:beforeLines="50" w:after="50"/>
        <w:rPr>
          <w:rFonts w:hint="eastAsia" w:ascii="宋体" w:hAnsi="宋体"/>
          <w:color w:val="000000"/>
          <w:sz w:val="24"/>
          <w:szCs w:val="20"/>
        </w:rPr>
      </w:pPr>
      <w:r>
        <w:rPr>
          <w:rFonts w:hint="eastAsia" w:ascii="宋体" w:hAnsi="宋体"/>
          <w:color w:val="000000"/>
        </w:rPr>
        <w:br w:type="page"/>
      </w:r>
      <w:r>
        <w:rPr>
          <w:rFonts w:ascii="宋体" w:hAnsi="宋体"/>
          <w:color w:val="000000"/>
          <w:sz w:val="24"/>
        </w:rPr>
        <w:t>6</w:t>
      </w:r>
      <w:r>
        <w:rPr>
          <w:rFonts w:hint="eastAsia" w:ascii="宋体" w:hAnsi="宋体"/>
          <w:color w:val="000000"/>
          <w:sz w:val="24"/>
        </w:rPr>
        <w:t>.法定代表人授权委托书格式：</w:t>
      </w:r>
    </w:p>
    <w:p>
      <w:pPr>
        <w:snapToGrid w:val="0"/>
        <w:spacing w:beforeLines="50" w:after="50"/>
        <w:jc w:val="center"/>
        <w:rPr>
          <w:rFonts w:hint="eastAsia" w:ascii="宋体" w:hAnsi="宋体"/>
          <w:b/>
          <w:sz w:val="24"/>
        </w:rPr>
      </w:pPr>
      <w:r>
        <w:rPr>
          <w:rFonts w:hint="eastAsia" w:ascii="宋体" w:hAnsi="宋体"/>
          <w:b/>
          <w:sz w:val="24"/>
        </w:rPr>
        <w:t>法定代表人授权委托书</w:t>
      </w:r>
    </w:p>
    <w:p>
      <w:pPr>
        <w:snapToGrid w:val="0"/>
        <w:spacing w:beforeLines="50" w:after="50" w:line="460" w:lineRule="exact"/>
        <w:rPr>
          <w:rFonts w:ascii="宋体" w:hAnsi="宋体"/>
          <w:b/>
          <w:bCs/>
          <w:color w:val="000000"/>
          <w:sz w:val="24"/>
          <w:szCs w:val="20"/>
        </w:rPr>
      </w:pPr>
      <w:r>
        <w:rPr>
          <w:rFonts w:hint="eastAsia" w:ascii="宋体" w:hAnsi="宋体"/>
          <w:bCs/>
          <w:color w:val="000000"/>
          <w:sz w:val="24"/>
        </w:rPr>
        <w:t>致：</w:t>
      </w:r>
      <w:r>
        <w:rPr>
          <w:rFonts w:hint="eastAsia" w:ascii="宋体" w:hAnsi="宋体"/>
          <w:color w:val="000000"/>
          <w:sz w:val="24"/>
        </w:rPr>
        <w:t>______</w:t>
      </w:r>
      <w:r>
        <w:rPr>
          <w:rFonts w:hint="eastAsia" w:ascii="宋体" w:hAnsi="宋体"/>
          <w:color w:val="000000"/>
          <w:sz w:val="24"/>
          <w:u w:val="single"/>
        </w:rPr>
        <w:t>_     _</w:t>
      </w:r>
      <w:r>
        <w:rPr>
          <w:rFonts w:hint="eastAsia" w:ascii="宋体" w:hAnsi="宋体"/>
          <w:color w:val="000000"/>
          <w:sz w:val="24"/>
        </w:rPr>
        <w:t>_（</w:t>
      </w:r>
      <w:r>
        <w:rPr>
          <w:rFonts w:hint="eastAsia" w:ascii="宋体" w:hAnsi="宋体" w:cs="宋体"/>
          <w:color w:val="000000"/>
          <w:sz w:val="24"/>
          <w:lang w:val="en-US" w:eastAsia="zh-CN"/>
        </w:rPr>
        <w:t>建设单位、实施单位</w:t>
      </w:r>
      <w:r>
        <w:rPr>
          <w:rFonts w:hint="eastAsia" w:ascii="宋体" w:hAnsi="宋体"/>
          <w:color w:val="000000"/>
          <w:sz w:val="24"/>
        </w:rPr>
        <w:t>）：</w:t>
      </w:r>
    </w:p>
    <w:p>
      <w:pPr>
        <w:snapToGrid w:val="0"/>
        <w:spacing w:beforeLines="50" w:after="50" w:line="460" w:lineRule="exact"/>
        <w:ind w:firstLine="480" w:firstLineChars="200"/>
        <w:rPr>
          <w:rFonts w:ascii="宋体" w:hAnsi="宋体"/>
          <w:color w:val="000000"/>
          <w:sz w:val="24"/>
          <w:szCs w:val="20"/>
        </w:rPr>
      </w:pPr>
      <w:r>
        <w:rPr>
          <w:rFonts w:hint="eastAsia" w:ascii="宋体" w:hAnsi="宋体"/>
          <w:color w:val="000000"/>
          <w:sz w:val="24"/>
        </w:rPr>
        <w:t>我</w:t>
      </w:r>
      <w:bookmarkStart w:id="65" w:name="_Hlk12177807"/>
      <w:r>
        <w:rPr>
          <w:rFonts w:hint="eastAsia" w:ascii="宋体" w:hAnsi="宋体"/>
          <w:color w:val="000000"/>
          <w:sz w:val="24"/>
        </w:rPr>
        <w:t>______</w:t>
      </w:r>
      <w:r>
        <w:rPr>
          <w:rFonts w:hint="eastAsia" w:ascii="宋体" w:hAnsi="宋体"/>
          <w:color w:val="000000"/>
          <w:sz w:val="24"/>
          <w:u w:val="single"/>
        </w:rPr>
        <w:t>_</w:t>
      </w:r>
      <w:r>
        <w:rPr>
          <w:rFonts w:hint="eastAsia" w:ascii="宋体" w:hAnsi="宋体"/>
          <w:color w:val="000000"/>
          <w:sz w:val="24"/>
        </w:rPr>
        <w:t>_</w:t>
      </w:r>
      <w:bookmarkEnd w:id="65"/>
      <w:r>
        <w:rPr>
          <w:rFonts w:hint="eastAsia" w:ascii="宋体" w:hAnsi="宋体"/>
          <w:color w:val="000000"/>
          <w:sz w:val="24"/>
        </w:rPr>
        <w:t>（姓名）系______</w:t>
      </w:r>
      <w:r>
        <w:rPr>
          <w:rFonts w:hint="eastAsia" w:ascii="宋体" w:hAnsi="宋体"/>
          <w:color w:val="000000"/>
          <w:sz w:val="24"/>
          <w:u w:val="single"/>
        </w:rPr>
        <w:t>_     _</w:t>
      </w:r>
      <w:r>
        <w:rPr>
          <w:rFonts w:hint="eastAsia" w:ascii="宋体" w:hAnsi="宋体"/>
          <w:color w:val="000000"/>
          <w:sz w:val="24"/>
        </w:rPr>
        <w:t xml:space="preserve">_（投标单位名称）的法定代表人，现授权委托本单位职工 </w:t>
      </w:r>
      <w:bookmarkStart w:id="66" w:name="_Hlk12177819"/>
      <w:r>
        <w:rPr>
          <w:rFonts w:hint="eastAsia" w:ascii="宋体" w:hAnsi="宋体"/>
          <w:color w:val="000000"/>
          <w:sz w:val="24"/>
        </w:rPr>
        <w:t>______</w:t>
      </w:r>
      <w:r>
        <w:rPr>
          <w:rFonts w:hint="eastAsia" w:ascii="宋体" w:hAnsi="宋体"/>
          <w:color w:val="000000"/>
          <w:sz w:val="24"/>
          <w:u w:val="single"/>
        </w:rPr>
        <w:t xml:space="preserve">_ </w:t>
      </w:r>
      <w:bookmarkEnd w:id="66"/>
      <w:r>
        <w:rPr>
          <w:rFonts w:hint="eastAsia" w:ascii="宋体" w:hAnsi="宋体"/>
          <w:color w:val="000000"/>
          <w:sz w:val="24"/>
        </w:rPr>
        <w:t>（姓名）以我方的名义参加______</w:t>
      </w:r>
      <w:r>
        <w:rPr>
          <w:rFonts w:hint="eastAsia" w:ascii="宋体" w:hAnsi="宋体"/>
          <w:color w:val="000000"/>
          <w:sz w:val="24"/>
          <w:u w:val="single"/>
        </w:rPr>
        <w:t>_</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项目的投标活动，并代表我方全权办理针对上述项目的投标、开标、评标、签约等具体事务和签署相关文件。</w:t>
      </w:r>
    </w:p>
    <w:p>
      <w:pPr>
        <w:snapToGrid w:val="0"/>
        <w:spacing w:beforeLines="50" w:after="50" w:line="460" w:lineRule="exact"/>
        <w:rPr>
          <w:rFonts w:ascii="宋体" w:hAnsi="宋体"/>
          <w:color w:val="000000"/>
          <w:sz w:val="24"/>
          <w:szCs w:val="20"/>
        </w:rPr>
      </w:pPr>
      <w:r>
        <w:rPr>
          <w:rFonts w:hint="eastAsia" w:ascii="宋体" w:hAnsi="宋体"/>
          <w:color w:val="000000"/>
          <w:sz w:val="24"/>
        </w:rPr>
        <w:t xml:space="preserve">    我方对被授权人的签名事项负全部责任。</w:t>
      </w:r>
    </w:p>
    <w:p>
      <w:pPr>
        <w:snapToGrid w:val="0"/>
        <w:spacing w:beforeLines="50" w:after="50" w:line="460" w:lineRule="exact"/>
        <w:ind w:firstLine="480"/>
        <w:rPr>
          <w:rFonts w:ascii="宋体" w:hAnsi="宋体"/>
          <w:color w:val="000000"/>
          <w:sz w:val="24"/>
          <w:szCs w:val="20"/>
        </w:rPr>
      </w:pPr>
      <w:r>
        <w:rPr>
          <w:rFonts w:hint="eastAsia" w:ascii="宋体" w:hAnsi="宋体"/>
          <w:color w:val="000000"/>
          <w:sz w:val="24"/>
          <w:u w:val="single"/>
        </w:rPr>
        <w:t>在撤销授权的书面通知以前，本授权书一直有效。</w:t>
      </w:r>
      <w:r>
        <w:rPr>
          <w:rFonts w:hint="eastAsia" w:ascii="宋体" w:hAnsi="宋体"/>
          <w:color w:val="000000"/>
          <w:sz w:val="24"/>
        </w:rPr>
        <w:t>被授权人在授权书有效期内签署的所有文件不因授权的撤销而失效。</w:t>
      </w:r>
    </w:p>
    <w:p>
      <w:pPr>
        <w:snapToGrid w:val="0"/>
        <w:spacing w:beforeLines="50" w:after="50" w:line="460" w:lineRule="exact"/>
        <w:ind w:firstLine="480"/>
        <w:rPr>
          <w:rFonts w:hint="eastAsia" w:ascii="宋体" w:hAnsi="宋体"/>
          <w:color w:val="000000"/>
          <w:sz w:val="24"/>
          <w:szCs w:val="20"/>
        </w:rPr>
      </w:pPr>
      <w:r>
        <w:rPr>
          <w:rFonts w:hint="eastAsia" w:ascii="宋体" w:hAnsi="宋体"/>
          <w:color w:val="000000"/>
          <w:sz w:val="24"/>
        </w:rPr>
        <w:t>被授权人无转委托权，特此委托。</w:t>
      </w:r>
    </w:p>
    <w:p>
      <w:pPr>
        <w:snapToGrid w:val="0"/>
        <w:spacing w:beforeLines="50" w:after="50" w:line="460" w:lineRule="exact"/>
        <w:rPr>
          <w:rFonts w:ascii="宋体" w:hAnsi="宋体"/>
          <w:color w:val="000000"/>
          <w:sz w:val="28"/>
          <w:szCs w:val="28"/>
        </w:rPr>
      </w:pPr>
      <w:r>
        <w:rPr>
          <w:rFonts w:hint="eastAsia" w:ascii="宋体" w:hAnsi="宋体"/>
          <w:b/>
          <w:bCs/>
          <w:color w:val="000000"/>
          <w:sz w:val="28"/>
          <w:szCs w:val="28"/>
          <w:u w:val="single"/>
        </w:rPr>
        <w:t>法定代表人</w:t>
      </w:r>
      <w:r>
        <w:rPr>
          <w:rFonts w:hint="eastAsia" w:ascii="宋体" w:hAnsi="宋体"/>
          <w:b/>
          <w:bCs/>
          <w:sz w:val="28"/>
          <w:szCs w:val="28"/>
          <w:u w:val="single"/>
        </w:rPr>
        <w:t>签名或盖章：</w:t>
      </w:r>
      <w:r>
        <w:rPr>
          <w:rFonts w:hint="eastAsia" w:ascii="宋体" w:hAnsi="宋体"/>
          <w:b/>
          <w:bCs/>
          <w:sz w:val="28"/>
          <w:szCs w:val="28"/>
        </w:rPr>
        <w:t xml:space="preserve"> </w:t>
      </w:r>
      <w:r>
        <w:rPr>
          <w:rFonts w:ascii="宋体" w:hAnsi="宋体"/>
          <w:b/>
          <w:bCs/>
          <w:sz w:val="28"/>
          <w:szCs w:val="28"/>
        </w:rPr>
        <w:t xml:space="preserve">  </w:t>
      </w:r>
      <w:r>
        <w:rPr>
          <w:rFonts w:ascii="宋体" w:hAnsi="宋体"/>
          <w:b/>
          <w:bCs/>
          <w:color w:val="000000"/>
          <w:sz w:val="28"/>
          <w:szCs w:val="28"/>
        </w:rPr>
        <w:t xml:space="preserve">          </w:t>
      </w:r>
      <w:r>
        <w:rPr>
          <w:rFonts w:hint="eastAsia" w:ascii="宋体" w:hAnsi="宋体"/>
          <w:b/>
          <w:bCs/>
          <w:color w:val="000000"/>
          <w:sz w:val="28"/>
          <w:szCs w:val="28"/>
          <w:u w:val="single"/>
        </w:rPr>
        <w:t xml:space="preserve">被授权人签名： </w:t>
      </w:r>
      <w:r>
        <w:rPr>
          <w:rFonts w:hint="eastAsia" w:ascii="宋体" w:hAnsi="宋体"/>
          <w:color w:val="000000"/>
          <w:sz w:val="28"/>
          <w:szCs w:val="28"/>
        </w:rPr>
        <w:t xml:space="preserve">               </w:t>
      </w:r>
    </w:p>
    <w:p>
      <w:pPr>
        <w:snapToGrid w:val="0"/>
        <w:spacing w:beforeLines="50" w:after="50" w:line="460" w:lineRule="exact"/>
        <w:rPr>
          <w:rFonts w:hint="eastAsia" w:ascii="宋体" w:hAnsi="宋体"/>
          <w:color w:val="000000"/>
          <w:sz w:val="24"/>
          <w:szCs w:val="20"/>
          <w:u w:val="single"/>
        </w:rPr>
      </w:pPr>
    </w:p>
    <w:p>
      <w:pPr>
        <w:snapToGrid w:val="0"/>
        <w:spacing w:beforeLines="50" w:after="50" w:line="460" w:lineRule="exact"/>
        <w:rPr>
          <w:rFonts w:ascii="宋体" w:hAnsi="宋体"/>
          <w:b/>
          <w:bCs/>
          <w:sz w:val="28"/>
          <w:szCs w:val="28"/>
        </w:rPr>
      </w:pPr>
      <w:r>
        <w:rPr>
          <w:rFonts w:hint="eastAsia" w:ascii="宋体" w:hAnsi="宋体"/>
          <w:b/>
          <w:bCs/>
          <w:sz w:val="28"/>
          <w:szCs w:val="28"/>
        </w:rPr>
        <w:t xml:space="preserve">法定代表人身份证复印件 </w:t>
      </w:r>
      <w:r>
        <w:rPr>
          <w:rFonts w:ascii="宋体" w:hAnsi="宋体"/>
          <w:b/>
          <w:bCs/>
          <w:sz w:val="28"/>
          <w:szCs w:val="28"/>
        </w:rPr>
        <w:t xml:space="preserve">           </w:t>
      </w:r>
      <w:r>
        <w:rPr>
          <w:rFonts w:hint="eastAsia" w:ascii="宋体" w:hAnsi="宋体"/>
          <w:b/>
          <w:bCs/>
          <w:sz w:val="28"/>
          <w:szCs w:val="28"/>
        </w:rPr>
        <w:t>被授权人身份证复印件</w:t>
      </w:r>
    </w:p>
    <w:tbl>
      <w:tblPr>
        <w:tblStyle w:val="48"/>
        <w:tblW w:w="0" w:type="auto"/>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4962"/>
        <w:gridCol w:w="4961"/>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noWrap w:val="0"/>
            <w:vAlign w:val="top"/>
          </w:tcPr>
          <w:p>
            <w:pPr>
              <w:spacing w:line="360" w:lineRule="auto"/>
              <w:rPr>
                <w:sz w:val="30"/>
                <w:szCs w:val="30"/>
              </w:rPr>
            </w:pPr>
            <w:r>
              <w:rPr>
                <w:rFonts w:hint="eastAsia"/>
                <w:sz w:val="30"/>
                <w:szCs w:val="30"/>
              </w:rPr>
              <w:t>身份证复印件粘贴处，正反两面均复印，复印件清晰可认。</w:t>
            </w:r>
          </w:p>
        </w:tc>
        <w:tc>
          <w:tcPr>
            <w:tcW w:w="4961" w:type="dxa"/>
            <w:noWrap w:val="0"/>
            <w:vAlign w:val="top"/>
          </w:tcPr>
          <w:p>
            <w:pPr>
              <w:spacing w:line="360" w:lineRule="auto"/>
              <w:rPr>
                <w:sz w:val="30"/>
                <w:szCs w:val="30"/>
              </w:rPr>
            </w:pPr>
            <w:r>
              <w:rPr>
                <w:rFonts w:hint="eastAsia"/>
                <w:sz w:val="30"/>
                <w:szCs w:val="30"/>
              </w:rPr>
              <w:t>身份证复印件粘贴处，正反两面均复印，复印件清晰可认。</w:t>
            </w:r>
          </w:p>
        </w:tc>
      </w:tr>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noWrap w:val="0"/>
            <w:vAlign w:val="top"/>
          </w:tcPr>
          <w:p>
            <w:pPr>
              <w:spacing w:line="360" w:lineRule="auto"/>
              <w:rPr>
                <w:sz w:val="30"/>
                <w:szCs w:val="30"/>
              </w:rPr>
            </w:pPr>
          </w:p>
        </w:tc>
        <w:tc>
          <w:tcPr>
            <w:tcW w:w="4961" w:type="dxa"/>
            <w:noWrap w:val="0"/>
            <w:vAlign w:val="top"/>
          </w:tcPr>
          <w:p>
            <w:pPr>
              <w:spacing w:line="360" w:lineRule="auto"/>
              <w:rPr>
                <w:sz w:val="30"/>
                <w:szCs w:val="30"/>
              </w:rPr>
            </w:pPr>
          </w:p>
        </w:tc>
      </w:tr>
    </w:tbl>
    <w:p>
      <w:pPr>
        <w:snapToGrid w:val="0"/>
        <w:spacing w:beforeLines="50" w:after="50" w:line="460" w:lineRule="exact"/>
        <w:rPr>
          <w:rFonts w:hint="eastAsia" w:ascii="宋体" w:hAnsi="宋体"/>
          <w:color w:val="000000"/>
          <w:sz w:val="24"/>
        </w:rPr>
      </w:pPr>
      <w:r>
        <w:rPr>
          <w:rFonts w:hint="eastAsia" w:ascii="宋体" w:hAnsi="宋体"/>
          <w:color w:val="000000"/>
          <w:sz w:val="24"/>
        </w:rPr>
        <w:t xml:space="preserve">                                                投标人公章：</w:t>
      </w:r>
    </w:p>
    <w:p>
      <w:pPr>
        <w:snapToGrid w:val="0"/>
        <w:spacing w:beforeLines="50" w:after="50"/>
        <w:jc w:val="center"/>
        <w:rPr>
          <w:rFonts w:ascii="宋体" w:hAnsi="宋体"/>
          <w:color w:val="000000"/>
          <w:sz w:val="24"/>
          <w:szCs w:val="20"/>
        </w:rPr>
      </w:pPr>
      <w:r>
        <w:rPr>
          <w:rFonts w:hint="eastAsia" w:ascii="宋体" w:hAnsi="宋体"/>
          <w:color w:val="000000"/>
          <w:sz w:val="24"/>
        </w:rPr>
        <w:t xml:space="preserve">                                        年    月    日</w:t>
      </w:r>
    </w:p>
    <w:p>
      <w:pPr>
        <w:snapToGrid w:val="0"/>
        <w:spacing w:before="50" w:afterLines="50"/>
        <w:jc w:val="left"/>
        <w:rPr>
          <w:rFonts w:ascii="宋体" w:hAnsi="宋体"/>
          <w:color w:val="000000"/>
          <w:sz w:val="24"/>
        </w:rPr>
      </w:pPr>
      <w:r>
        <w:rPr>
          <w:rFonts w:ascii="宋体" w:hAnsi="宋体"/>
          <w:color w:val="000000"/>
          <w:sz w:val="24"/>
        </w:rPr>
        <w:t>7</w:t>
      </w:r>
      <w:r>
        <w:rPr>
          <w:rFonts w:hint="eastAsia" w:ascii="宋体" w:hAnsi="宋体"/>
          <w:color w:val="000000"/>
          <w:sz w:val="24"/>
        </w:rPr>
        <w:t>. 设备说明表格式：</w:t>
      </w:r>
    </w:p>
    <w:p>
      <w:pPr>
        <w:snapToGrid w:val="0"/>
        <w:spacing w:beforeLines="50" w:after="50" w:line="360" w:lineRule="auto"/>
        <w:jc w:val="center"/>
        <w:rPr>
          <w:rFonts w:ascii="宋体" w:hAnsi="宋体"/>
          <w:b/>
          <w:color w:val="000000"/>
          <w:sz w:val="24"/>
        </w:rPr>
      </w:pPr>
      <w:r>
        <w:rPr>
          <w:rFonts w:hint="eastAsia" w:ascii="宋体" w:hAnsi="宋体"/>
          <w:b/>
          <w:color w:val="000000"/>
          <w:sz w:val="24"/>
        </w:rPr>
        <w:t>设备说明表</w:t>
      </w:r>
    </w:p>
    <w:p>
      <w:pPr>
        <w:snapToGrid w:val="0"/>
        <w:spacing w:beforeLines="50" w:after="50" w:line="360" w:lineRule="auto"/>
        <w:rPr>
          <w:rFonts w:ascii="宋体" w:hAnsi="宋体"/>
          <w:bCs/>
          <w:color w:val="000000"/>
          <w:sz w:val="24"/>
          <w:szCs w:val="20"/>
        </w:rPr>
      </w:pPr>
      <w:r>
        <w:rPr>
          <w:rFonts w:hint="eastAsia" w:ascii="宋体" w:hAnsi="宋体"/>
          <w:bCs/>
          <w:color w:val="000000"/>
          <w:sz w:val="24"/>
        </w:rPr>
        <w:t>项目名称：</w:t>
      </w:r>
    </w:p>
    <w:p>
      <w:pPr>
        <w:snapToGrid w:val="0"/>
        <w:spacing w:beforeLines="50" w:after="50" w:line="360" w:lineRule="auto"/>
        <w:rPr>
          <w:rFonts w:hint="eastAsia" w:ascii="宋体" w:hAnsi="宋体"/>
          <w:bCs/>
          <w:color w:val="000000"/>
          <w:sz w:val="24"/>
        </w:rPr>
      </w:pPr>
      <w:r>
        <w:rPr>
          <w:rFonts w:hint="eastAsia" w:ascii="宋体" w:hAnsi="宋体"/>
          <w:bCs/>
          <w:color w:val="000000"/>
          <w:sz w:val="24"/>
        </w:rPr>
        <w:t>项目编号：</w:t>
      </w:r>
    </w:p>
    <w:tbl>
      <w:tblPr>
        <w:tblStyle w:val="48"/>
        <w:tblW w:w="0" w:type="auto"/>
        <w:tblInd w:w="93" w:type="dxa"/>
        <w:tblLayout w:type="fixed"/>
        <w:tblCellMar>
          <w:top w:w="0" w:type="dxa"/>
          <w:left w:w="108" w:type="dxa"/>
          <w:bottom w:w="0" w:type="dxa"/>
          <w:right w:w="108" w:type="dxa"/>
        </w:tblCellMar>
      </w:tblPr>
      <w:tblGrid>
        <w:gridCol w:w="728"/>
        <w:gridCol w:w="2122"/>
        <w:gridCol w:w="1701"/>
        <w:gridCol w:w="3402"/>
        <w:gridCol w:w="1266"/>
      </w:tblGrid>
      <w:tr>
        <w:tblPrEx>
          <w:tblCellMar>
            <w:top w:w="0" w:type="dxa"/>
            <w:left w:w="108" w:type="dxa"/>
            <w:bottom w:w="0" w:type="dxa"/>
            <w:right w:w="108" w:type="dxa"/>
          </w:tblCellMar>
        </w:tblPrEx>
        <w:trPr>
          <w:wBefore w:w="0" w:type="dxa"/>
          <w:wAfter w:w="0" w:type="dxa"/>
          <w:trHeight w:val="435" w:hRule="atLeast"/>
        </w:trPr>
        <w:tc>
          <w:tcPr>
            <w:tcW w:w="7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序号</w:t>
            </w:r>
          </w:p>
        </w:tc>
        <w:tc>
          <w:tcPr>
            <w:tcW w:w="212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设备名称</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品牌及型号</w:t>
            </w:r>
          </w:p>
        </w:tc>
        <w:tc>
          <w:tcPr>
            <w:tcW w:w="340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cs="宋体"/>
                <w:b/>
                <w:color w:val="000000"/>
                <w:kern w:val="0"/>
                <w:sz w:val="24"/>
              </w:rPr>
            </w:pPr>
            <w:r>
              <w:rPr>
                <w:rFonts w:hint="eastAsia" w:ascii="宋体" w:hAnsi="宋体" w:cs="宋体"/>
                <w:b/>
                <w:color w:val="000000"/>
                <w:kern w:val="0"/>
                <w:sz w:val="24"/>
              </w:rPr>
              <w:t>详细参数</w:t>
            </w:r>
          </w:p>
        </w:tc>
        <w:tc>
          <w:tcPr>
            <w:tcW w:w="1266" w:type="dxa"/>
            <w:vMerge w:val="restar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备注</w:t>
            </w:r>
          </w:p>
        </w:tc>
      </w:tr>
      <w:tr>
        <w:tblPrEx>
          <w:tblCellMar>
            <w:top w:w="0" w:type="dxa"/>
            <w:left w:w="108" w:type="dxa"/>
            <w:bottom w:w="0" w:type="dxa"/>
            <w:right w:w="108" w:type="dxa"/>
          </w:tblCellMar>
        </w:tblPrEx>
        <w:trPr>
          <w:wBefore w:w="0" w:type="dxa"/>
          <w:wAfter w:w="0" w:type="dxa"/>
          <w:trHeight w:val="311" w:hRule="atLeast"/>
        </w:trPr>
        <w:tc>
          <w:tcPr>
            <w:tcW w:w="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212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340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266"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wBefore w:w="0" w:type="dxa"/>
          <w:wAfter w:w="0" w:type="dxa"/>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12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1701"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402"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wBefore w:w="0" w:type="dxa"/>
          <w:wAfter w:w="0" w:type="dxa"/>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12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1701"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402"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wBefore w:w="0" w:type="dxa"/>
          <w:wAfter w:w="0" w:type="dxa"/>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212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1701"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402"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wBefore w:w="0" w:type="dxa"/>
          <w:wAfter w:w="0" w:type="dxa"/>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212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1701"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402"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wBefore w:w="0" w:type="dxa"/>
          <w:wAfter w:w="0" w:type="dxa"/>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212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1701"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402"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wBefore w:w="0" w:type="dxa"/>
          <w:wAfter w:w="0" w:type="dxa"/>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212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1701"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402"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wBefore w:w="0" w:type="dxa"/>
          <w:wAfter w:w="0" w:type="dxa"/>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212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1701"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402"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wBefore w:w="0" w:type="dxa"/>
          <w:wAfter w:w="0" w:type="dxa"/>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212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1701"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402"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wBefore w:w="0" w:type="dxa"/>
          <w:wAfter w:w="0" w:type="dxa"/>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212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1701"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402"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wBefore w:w="0" w:type="dxa"/>
          <w:wAfter w:w="0" w:type="dxa"/>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212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1701"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402"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wBefore w:w="0" w:type="dxa"/>
          <w:wAfter w:w="0" w:type="dxa"/>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212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1701"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402"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wBefore w:w="0" w:type="dxa"/>
          <w:wAfter w:w="0" w:type="dxa"/>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212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1701"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402"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wBefore w:w="0" w:type="dxa"/>
          <w:wAfter w:w="0" w:type="dxa"/>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212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1701"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402"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bl>
    <w:p>
      <w:pPr>
        <w:snapToGrid w:val="0"/>
        <w:spacing w:before="50" w:afterLines="50"/>
        <w:jc w:val="left"/>
        <w:rPr>
          <w:rFonts w:ascii="宋体" w:hAnsi="宋体"/>
          <w:spacing w:val="20"/>
          <w:sz w:val="24"/>
        </w:rPr>
      </w:pPr>
    </w:p>
    <w:p>
      <w:pPr>
        <w:snapToGrid w:val="0"/>
        <w:spacing w:beforeLines="50" w:after="50" w:line="360" w:lineRule="auto"/>
        <w:rPr>
          <w:rFonts w:hint="eastAsia" w:ascii="宋体" w:hAnsi="宋体"/>
          <w:b/>
          <w:color w:val="000000"/>
          <w:sz w:val="24"/>
        </w:rPr>
      </w:pPr>
      <w:r>
        <w:rPr>
          <w:rFonts w:hint="eastAsia" w:ascii="宋体" w:hAnsi="宋体"/>
          <w:b/>
          <w:sz w:val="24"/>
        </w:rPr>
        <w:t>注：投标人根据</w:t>
      </w:r>
      <w:r>
        <w:rPr>
          <w:rFonts w:hint="eastAsia" w:ascii="宋体" w:hAnsi="宋体"/>
          <w:b/>
          <w:sz w:val="24"/>
          <w:lang w:eastAsia="zh-CN"/>
        </w:rPr>
        <w:t>采购清单</w:t>
      </w:r>
      <w:r>
        <w:rPr>
          <w:rFonts w:hint="eastAsia" w:ascii="宋体" w:hAnsi="宋体"/>
          <w:b/>
          <w:sz w:val="24"/>
        </w:rPr>
        <w:t>的内容进行填写，</w:t>
      </w:r>
      <w:bookmarkStart w:id="67" w:name="_Hlk52958408"/>
      <w:r>
        <w:rPr>
          <w:rFonts w:hint="eastAsia" w:ascii="宋体" w:hAnsi="宋体"/>
          <w:b/>
          <w:sz w:val="24"/>
        </w:rPr>
        <w:t>设备说明表中勿填写价格信息。</w:t>
      </w:r>
      <w:bookmarkEnd w:id="67"/>
    </w:p>
    <w:p>
      <w:pPr>
        <w:snapToGrid w:val="0"/>
        <w:spacing w:before="50" w:afterLines="50"/>
        <w:jc w:val="left"/>
        <w:rPr>
          <w:rFonts w:ascii="宋体" w:hAnsi="宋体"/>
          <w:spacing w:val="20"/>
          <w:sz w:val="24"/>
        </w:rPr>
      </w:pPr>
      <w:r>
        <w:rPr>
          <w:rFonts w:hint="eastAsia" w:ascii="宋体" w:hAnsi="宋体"/>
          <w:spacing w:val="20"/>
          <w:sz w:val="24"/>
        </w:rPr>
        <w:t>法定代表人签字（或盖章）：            投标人（盖章）：</w:t>
      </w:r>
    </w:p>
    <w:p>
      <w:pPr>
        <w:snapToGrid w:val="0"/>
        <w:spacing w:before="50" w:afterLines="50"/>
        <w:jc w:val="left"/>
        <w:rPr>
          <w:rFonts w:ascii="宋体" w:hAnsi="宋体"/>
          <w:color w:val="000000"/>
          <w:sz w:val="24"/>
          <w:szCs w:val="20"/>
        </w:rPr>
      </w:pPr>
      <w:r>
        <w:rPr>
          <w:rFonts w:hint="eastAsia" w:ascii="宋体" w:hAnsi="宋体"/>
          <w:color w:val="000000"/>
          <w:sz w:val="24"/>
          <w:szCs w:val="20"/>
        </w:rPr>
        <w:t>日期：</w:t>
      </w:r>
    </w:p>
    <w:p>
      <w:pPr>
        <w:snapToGrid w:val="0"/>
        <w:spacing w:before="50" w:afterLines="50"/>
        <w:jc w:val="left"/>
        <w:rPr>
          <w:rFonts w:ascii="宋体" w:hAnsi="宋体"/>
          <w:color w:val="000000"/>
          <w:sz w:val="24"/>
        </w:rPr>
      </w:pPr>
    </w:p>
    <w:p>
      <w:pPr>
        <w:snapToGrid w:val="0"/>
        <w:spacing w:before="50" w:afterLines="50"/>
        <w:jc w:val="left"/>
        <w:rPr>
          <w:rFonts w:ascii="宋体" w:hAnsi="宋体"/>
          <w:color w:val="000000"/>
          <w:sz w:val="24"/>
        </w:rPr>
      </w:pPr>
    </w:p>
    <w:p>
      <w:pPr>
        <w:snapToGrid w:val="0"/>
        <w:spacing w:before="50" w:afterLines="50"/>
        <w:jc w:val="left"/>
        <w:rPr>
          <w:rFonts w:ascii="宋体" w:hAnsi="宋体"/>
          <w:color w:val="000000"/>
          <w:sz w:val="24"/>
        </w:rPr>
      </w:pPr>
    </w:p>
    <w:p>
      <w:pPr>
        <w:snapToGrid w:val="0"/>
        <w:spacing w:before="50" w:afterLines="50"/>
        <w:jc w:val="left"/>
        <w:rPr>
          <w:rFonts w:ascii="宋体" w:hAnsi="宋体"/>
          <w:color w:val="000000"/>
          <w:sz w:val="24"/>
        </w:rPr>
      </w:pPr>
    </w:p>
    <w:p>
      <w:pPr>
        <w:snapToGrid w:val="0"/>
        <w:spacing w:before="50" w:afterLines="50"/>
        <w:jc w:val="left"/>
        <w:rPr>
          <w:rFonts w:ascii="宋体" w:hAnsi="宋体"/>
          <w:color w:val="000000"/>
          <w:sz w:val="24"/>
        </w:rPr>
      </w:pPr>
      <w:r>
        <w:rPr>
          <w:rFonts w:ascii="宋体" w:hAnsi="宋体"/>
          <w:color w:val="000000"/>
          <w:sz w:val="24"/>
        </w:rPr>
        <w:t>8</w:t>
      </w:r>
      <w:r>
        <w:rPr>
          <w:rFonts w:hint="eastAsia" w:ascii="宋体" w:hAnsi="宋体"/>
          <w:color w:val="000000"/>
          <w:sz w:val="24"/>
        </w:rPr>
        <w:t>.项目负责人简历：</w:t>
      </w:r>
    </w:p>
    <w:p>
      <w:pPr>
        <w:snapToGrid w:val="0"/>
        <w:spacing w:before="50" w:afterLines="50"/>
        <w:jc w:val="left"/>
        <w:rPr>
          <w:rFonts w:ascii="宋体" w:hAnsi="宋体"/>
          <w:color w:val="000000"/>
          <w:sz w:val="24"/>
          <w:szCs w:val="20"/>
        </w:rPr>
      </w:pPr>
    </w:p>
    <w:p>
      <w:pPr>
        <w:jc w:val="center"/>
        <w:rPr>
          <w:rFonts w:ascii="宋体" w:hAnsi="宋体"/>
          <w:snapToGrid w:val="0"/>
          <w:color w:val="000000"/>
          <w:sz w:val="28"/>
        </w:rPr>
      </w:pPr>
      <w:r>
        <w:rPr>
          <w:rFonts w:hint="eastAsia" w:ascii="宋体" w:hAnsi="宋体"/>
          <w:snapToGrid w:val="0"/>
          <w:color w:val="000000"/>
          <w:sz w:val="28"/>
        </w:rPr>
        <w:t>项目负责人简历表</w:t>
      </w:r>
    </w:p>
    <w:p>
      <w:pPr>
        <w:snapToGrid w:val="0"/>
        <w:spacing w:beforeLines="50" w:after="50" w:line="360" w:lineRule="auto"/>
        <w:jc w:val="center"/>
        <w:rPr>
          <w:rFonts w:ascii="宋体" w:hAnsi="宋体"/>
          <w:bCs/>
          <w:color w:val="000000"/>
          <w:sz w:val="24"/>
        </w:rPr>
      </w:pPr>
    </w:p>
    <w:p>
      <w:pPr>
        <w:snapToGrid w:val="0"/>
        <w:spacing w:beforeLines="50" w:after="50" w:line="480" w:lineRule="auto"/>
        <w:rPr>
          <w:rFonts w:ascii="宋体" w:hAnsi="宋体"/>
          <w:color w:val="000000"/>
          <w:sz w:val="24"/>
        </w:rPr>
      </w:pPr>
      <w:r>
        <w:rPr>
          <w:rFonts w:hint="eastAsia" w:ascii="宋体" w:hAnsi="宋体"/>
          <w:bCs/>
          <w:color w:val="000000"/>
          <w:sz w:val="24"/>
        </w:rPr>
        <w:t>项目名称：</w:t>
      </w:r>
    </w:p>
    <w:p>
      <w:pPr>
        <w:snapToGrid w:val="0"/>
        <w:spacing w:beforeLines="50" w:after="50" w:line="480" w:lineRule="auto"/>
        <w:rPr>
          <w:rFonts w:ascii="宋体" w:hAnsi="宋体"/>
          <w:bCs/>
          <w:color w:val="000000"/>
          <w:sz w:val="24"/>
          <w:szCs w:val="20"/>
        </w:rPr>
      </w:pPr>
      <w:r>
        <w:rPr>
          <w:rFonts w:hint="eastAsia" w:ascii="宋体" w:hAnsi="宋体"/>
          <w:bCs/>
          <w:color w:val="000000"/>
          <w:sz w:val="24"/>
        </w:rPr>
        <w:t>项目编号：</w:t>
      </w:r>
    </w:p>
    <w:tbl>
      <w:tblPr>
        <w:tblStyle w:val="48"/>
        <w:tblpPr w:leftFromText="180" w:rightFromText="180" w:vertAnchor="text" w:tblpY="219"/>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noWrap w:val="0"/>
            <w:vAlign w:val="center"/>
          </w:tcPr>
          <w:p>
            <w:pPr>
              <w:spacing w:line="351" w:lineRule="atLeast"/>
              <w:jc w:val="center"/>
              <w:rPr>
                <w:rFonts w:ascii="宋体" w:hAnsi="宋体"/>
                <w:color w:val="000000"/>
                <w:sz w:val="28"/>
                <w:u w:val="none" w:color="000000"/>
              </w:rPr>
            </w:pPr>
            <w:r>
              <w:rPr>
                <w:rFonts w:hint="eastAsia" w:ascii="宋体" w:hAnsi="宋体"/>
                <w:color w:val="000000"/>
                <w:sz w:val="28"/>
              </w:rPr>
              <w:t>姓  名</w:t>
            </w:r>
          </w:p>
        </w:tc>
        <w:tc>
          <w:tcPr>
            <w:tcW w:w="2733" w:type="dxa"/>
            <w:tcBorders>
              <w:top w:val="single" w:color="000000" w:sz="8" w:space="0"/>
              <w:left w:val="single" w:color="auto" w:sz="4" w:space="0"/>
              <w:bottom w:val="single" w:color="000000" w:sz="4" w:space="0"/>
              <w:right w:val="single" w:color="000000" w:sz="4" w:space="0"/>
            </w:tcBorders>
            <w:noWrap w:val="0"/>
            <w:vAlign w:val="center"/>
          </w:tcPr>
          <w:p>
            <w:pPr>
              <w:spacing w:line="351" w:lineRule="atLeast"/>
              <w:jc w:val="center"/>
              <w:rPr>
                <w:rFonts w:ascii="宋体" w:hAnsi="宋体"/>
                <w:color w:val="000000"/>
                <w:sz w:val="28"/>
                <w:u w:val="none" w:color="000000"/>
              </w:rPr>
            </w:pPr>
          </w:p>
        </w:tc>
        <w:tc>
          <w:tcPr>
            <w:tcW w:w="1952" w:type="dxa"/>
            <w:tcBorders>
              <w:top w:val="single" w:color="000000" w:sz="8" w:space="0"/>
              <w:left w:val="single" w:color="auto" w:sz="4" w:space="0"/>
              <w:bottom w:val="single" w:color="000000" w:sz="4" w:space="0"/>
              <w:right w:val="single" w:color="000000" w:sz="4" w:space="0"/>
            </w:tcBorders>
            <w:noWrap w:val="0"/>
            <w:vAlign w:val="center"/>
          </w:tcPr>
          <w:p>
            <w:pPr>
              <w:spacing w:line="351" w:lineRule="atLeast"/>
              <w:jc w:val="center"/>
              <w:rPr>
                <w:rFonts w:ascii="宋体" w:hAnsi="宋体"/>
                <w:color w:val="000000"/>
                <w:sz w:val="28"/>
                <w:u w:val="none" w:color="000000"/>
              </w:rPr>
            </w:pPr>
            <w:r>
              <w:rPr>
                <w:rFonts w:hint="eastAsia" w:ascii="宋体" w:hAnsi="宋体"/>
                <w:color w:val="000000"/>
                <w:sz w:val="28"/>
              </w:rPr>
              <w:t>性  别</w:t>
            </w:r>
          </w:p>
        </w:tc>
        <w:tc>
          <w:tcPr>
            <w:tcW w:w="2928" w:type="dxa"/>
            <w:tcBorders>
              <w:top w:val="single" w:color="000000" w:sz="8" w:space="0"/>
              <w:left w:val="single" w:color="auto" w:sz="4" w:space="0"/>
              <w:bottom w:val="single" w:color="000000" w:sz="4" w:space="0"/>
              <w:right w:val="single" w:color="000000" w:sz="8" w:space="0"/>
            </w:tcBorders>
            <w:noWrap w:val="0"/>
            <w:vAlign w:val="center"/>
          </w:tcPr>
          <w:p>
            <w:pPr>
              <w:spacing w:line="351" w:lineRule="atLeast"/>
              <w:jc w:val="center"/>
              <w:rPr>
                <w:rFonts w:ascii="宋体" w:hAnsi="宋体"/>
                <w:color w:val="000000"/>
                <w:sz w:val="28"/>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noWrap w:val="0"/>
            <w:vAlign w:val="center"/>
          </w:tcPr>
          <w:p>
            <w:pPr>
              <w:spacing w:line="351" w:lineRule="atLeast"/>
              <w:jc w:val="center"/>
              <w:rPr>
                <w:rFonts w:ascii="宋体" w:hAnsi="宋体"/>
                <w:color w:val="000000"/>
                <w:sz w:val="28"/>
              </w:rPr>
            </w:pPr>
            <w:r>
              <w:rPr>
                <w:rFonts w:hint="eastAsia" w:ascii="宋体" w:hAnsi="宋体"/>
                <w:color w:val="000000"/>
                <w:sz w:val="28"/>
              </w:rPr>
              <w:t>年  龄</w:t>
            </w:r>
          </w:p>
        </w:tc>
        <w:tc>
          <w:tcPr>
            <w:tcW w:w="2733" w:type="dxa"/>
            <w:tcBorders>
              <w:top w:val="single" w:color="000000" w:sz="8" w:space="0"/>
              <w:left w:val="single" w:color="auto" w:sz="4" w:space="0"/>
              <w:bottom w:val="single" w:color="000000" w:sz="4" w:space="0"/>
              <w:right w:val="single" w:color="000000" w:sz="4" w:space="0"/>
            </w:tcBorders>
            <w:noWrap w:val="0"/>
            <w:vAlign w:val="center"/>
          </w:tcPr>
          <w:p>
            <w:pPr>
              <w:spacing w:line="351" w:lineRule="atLeast"/>
              <w:jc w:val="center"/>
              <w:rPr>
                <w:rFonts w:ascii="宋体" w:hAnsi="宋体"/>
                <w:color w:val="000000"/>
                <w:sz w:val="28"/>
                <w:u w:val="none" w:color="000000"/>
              </w:rPr>
            </w:pPr>
          </w:p>
        </w:tc>
        <w:tc>
          <w:tcPr>
            <w:tcW w:w="1952" w:type="dxa"/>
            <w:tcBorders>
              <w:top w:val="single" w:color="000000" w:sz="8" w:space="0"/>
              <w:left w:val="single" w:color="auto" w:sz="4" w:space="0"/>
              <w:bottom w:val="single" w:color="000000" w:sz="4" w:space="0"/>
              <w:right w:val="single" w:color="000000" w:sz="4" w:space="0"/>
            </w:tcBorders>
            <w:noWrap w:val="0"/>
            <w:vAlign w:val="center"/>
          </w:tcPr>
          <w:p>
            <w:pPr>
              <w:spacing w:line="351" w:lineRule="atLeast"/>
              <w:jc w:val="center"/>
              <w:rPr>
                <w:rFonts w:ascii="宋体" w:hAnsi="宋体"/>
                <w:color w:val="000000"/>
                <w:sz w:val="28"/>
              </w:rPr>
            </w:pPr>
            <w:r>
              <w:rPr>
                <w:rFonts w:hint="eastAsia" w:ascii="宋体" w:hAnsi="宋体"/>
                <w:color w:val="000000"/>
                <w:sz w:val="28"/>
              </w:rPr>
              <w:t>身份证号</w:t>
            </w:r>
          </w:p>
        </w:tc>
        <w:tc>
          <w:tcPr>
            <w:tcW w:w="2928" w:type="dxa"/>
            <w:tcBorders>
              <w:top w:val="single" w:color="000000" w:sz="8" w:space="0"/>
              <w:left w:val="single" w:color="auto" w:sz="4" w:space="0"/>
              <w:bottom w:val="single" w:color="000000" w:sz="4" w:space="0"/>
              <w:right w:val="single" w:color="000000" w:sz="8" w:space="0"/>
            </w:tcBorders>
            <w:noWrap w:val="0"/>
            <w:vAlign w:val="center"/>
          </w:tcPr>
          <w:p>
            <w:pPr>
              <w:spacing w:line="351" w:lineRule="atLeast"/>
              <w:jc w:val="center"/>
              <w:rPr>
                <w:rFonts w:ascii="宋体" w:hAnsi="宋体"/>
                <w:color w:val="000000"/>
                <w:sz w:val="28"/>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694" w:hRule="atLeast"/>
        </w:trPr>
        <w:tc>
          <w:tcPr>
            <w:tcW w:w="1964" w:type="dxa"/>
            <w:gridSpan w:val="2"/>
            <w:tcBorders>
              <w:top w:val="single" w:color="auto" w:sz="4" w:space="0"/>
              <w:left w:val="single" w:color="000000" w:sz="8" w:space="0"/>
              <w:bottom w:val="single" w:color="auto" w:sz="4" w:space="0"/>
              <w:right w:val="single" w:color="auto" w:sz="4" w:space="0"/>
            </w:tcBorders>
            <w:noWrap w:val="0"/>
            <w:vAlign w:val="center"/>
          </w:tcPr>
          <w:p>
            <w:pPr>
              <w:spacing w:line="351" w:lineRule="atLeast"/>
              <w:jc w:val="center"/>
              <w:rPr>
                <w:rFonts w:ascii="宋体" w:hAnsi="宋体"/>
                <w:color w:val="000000"/>
                <w:sz w:val="28"/>
                <w:u w:val="none" w:color="000000"/>
              </w:rPr>
            </w:pPr>
            <w:r>
              <w:rPr>
                <w:rFonts w:hint="eastAsia" w:ascii="宋体" w:hAnsi="宋体"/>
                <w:color w:val="000000"/>
                <w:sz w:val="28"/>
              </w:rPr>
              <w:t>资  格</w:t>
            </w:r>
          </w:p>
        </w:tc>
        <w:tc>
          <w:tcPr>
            <w:tcW w:w="2733" w:type="dxa"/>
            <w:tcBorders>
              <w:top w:val="single" w:color="auto" w:sz="4" w:space="0"/>
              <w:left w:val="single" w:color="auto" w:sz="4" w:space="0"/>
              <w:bottom w:val="single" w:color="auto" w:sz="4" w:space="0"/>
              <w:right w:val="single" w:color="000000" w:sz="4" w:space="0"/>
            </w:tcBorders>
            <w:noWrap w:val="0"/>
            <w:vAlign w:val="center"/>
          </w:tcPr>
          <w:p>
            <w:pPr>
              <w:spacing w:line="351" w:lineRule="atLeast"/>
              <w:jc w:val="center"/>
              <w:rPr>
                <w:rFonts w:ascii="宋体" w:hAnsi="宋体"/>
                <w:color w:val="000000"/>
                <w:sz w:val="28"/>
                <w:u w:val="none" w:color="000000"/>
              </w:rPr>
            </w:pPr>
          </w:p>
        </w:tc>
        <w:tc>
          <w:tcPr>
            <w:tcW w:w="1952" w:type="dxa"/>
            <w:tcBorders>
              <w:top w:val="single" w:color="auto" w:sz="4" w:space="0"/>
              <w:left w:val="single" w:color="auto" w:sz="4" w:space="0"/>
              <w:bottom w:val="single" w:color="auto" w:sz="4" w:space="0"/>
              <w:right w:val="single" w:color="auto" w:sz="4" w:space="0"/>
            </w:tcBorders>
            <w:noWrap w:val="0"/>
            <w:vAlign w:val="center"/>
          </w:tcPr>
          <w:p>
            <w:pPr>
              <w:spacing w:line="351" w:lineRule="atLeast"/>
              <w:jc w:val="center"/>
              <w:rPr>
                <w:rFonts w:ascii="宋体" w:hAnsi="宋体"/>
                <w:color w:val="000000"/>
                <w:sz w:val="28"/>
                <w:u w:val="none" w:color="000000"/>
              </w:rPr>
            </w:pPr>
            <w:r>
              <w:rPr>
                <w:rFonts w:hint="eastAsia" w:ascii="宋体" w:hAnsi="宋体"/>
                <w:color w:val="000000"/>
                <w:sz w:val="28"/>
              </w:rPr>
              <w:t>资格证书号</w:t>
            </w:r>
          </w:p>
        </w:tc>
        <w:tc>
          <w:tcPr>
            <w:tcW w:w="2928" w:type="dxa"/>
            <w:tcBorders>
              <w:top w:val="single" w:color="auto" w:sz="4" w:space="0"/>
              <w:left w:val="single" w:color="auto" w:sz="4" w:space="0"/>
              <w:bottom w:val="single" w:color="auto" w:sz="4" w:space="0"/>
              <w:right w:val="single" w:color="000000" w:sz="8" w:space="0"/>
            </w:tcBorders>
            <w:noWrap w:val="0"/>
            <w:vAlign w:val="center"/>
          </w:tcPr>
          <w:p>
            <w:pPr>
              <w:spacing w:line="351" w:lineRule="atLeast"/>
              <w:jc w:val="center"/>
              <w:rPr>
                <w:rFonts w:ascii="宋体" w:hAnsi="宋体"/>
                <w:color w:val="000000"/>
                <w:sz w:val="28"/>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631" w:hRule="atLeast"/>
        </w:trPr>
        <w:tc>
          <w:tcPr>
            <w:tcW w:w="1964" w:type="dxa"/>
            <w:gridSpan w:val="2"/>
            <w:tcBorders>
              <w:top w:val="single" w:color="auto" w:sz="4" w:space="0"/>
              <w:left w:val="single" w:color="000000" w:sz="8" w:space="0"/>
              <w:bottom w:val="single" w:color="000000" w:sz="4" w:space="0"/>
              <w:right w:val="single" w:color="auto" w:sz="4" w:space="0"/>
            </w:tcBorders>
            <w:noWrap w:val="0"/>
            <w:vAlign w:val="center"/>
          </w:tcPr>
          <w:p>
            <w:pPr>
              <w:spacing w:line="351" w:lineRule="atLeast"/>
              <w:ind w:firstLine="557" w:firstLineChars="199"/>
              <w:rPr>
                <w:rFonts w:ascii="宋体" w:hAnsi="宋体"/>
                <w:color w:val="000000"/>
                <w:sz w:val="28"/>
                <w:u w:val="none" w:color="000000"/>
              </w:rPr>
            </w:pPr>
            <w:r>
              <w:rPr>
                <w:rFonts w:hint="eastAsia" w:ascii="宋体" w:hAnsi="宋体"/>
                <w:color w:val="000000"/>
                <w:sz w:val="28"/>
              </w:rPr>
              <w:t>职  称</w:t>
            </w:r>
          </w:p>
        </w:tc>
        <w:tc>
          <w:tcPr>
            <w:tcW w:w="2733" w:type="dxa"/>
            <w:tcBorders>
              <w:top w:val="single" w:color="auto" w:sz="4" w:space="0"/>
              <w:left w:val="single" w:color="auto" w:sz="4" w:space="0"/>
              <w:bottom w:val="single" w:color="000000" w:sz="4" w:space="0"/>
              <w:right w:val="single" w:color="000000" w:sz="4" w:space="0"/>
            </w:tcBorders>
            <w:noWrap w:val="0"/>
            <w:vAlign w:val="center"/>
          </w:tcPr>
          <w:p>
            <w:pPr>
              <w:spacing w:line="351" w:lineRule="atLeast"/>
              <w:ind w:firstLine="419"/>
              <w:jc w:val="center"/>
              <w:rPr>
                <w:rFonts w:ascii="宋体" w:hAnsi="宋体"/>
                <w:color w:val="000000"/>
                <w:sz w:val="28"/>
                <w:u w:val="none" w:color="000000"/>
              </w:rPr>
            </w:pPr>
          </w:p>
        </w:tc>
        <w:tc>
          <w:tcPr>
            <w:tcW w:w="1952" w:type="dxa"/>
            <w:tcBorders>
              <w:top w:val="single" w:color="auto" w:sz="4" w:space="0"/>
              <w:left w:val="single" w:color="auto" w:sz="4" w:space="0"/>
              <w:bottom w:val="single" w:color="000000" w:sz="4" w:space="0"/>
              <w:right w:val="single" w:color="auto" w:sz="4" w:space="0"/>
            </w:tcBorders>
            <w:noWrap w:val="0"/>
            <w:vAlign w:val="center"/>
          </w:tcPr>
          <w:p>
            <w:pPr>
              <w:spacing w:line="351" w:lineRule="atLeast"/>
              <w:ind w:firstLine="554" w:firstLineChars="198"/>
              <w:rPr>
                <w:rFonts w:ascii="宋体" w:hAnsi="宋体"/>
                <w:color w:val="000000"/>
                <w:sz w:val="28"/>
                <w:u w:val="none" w:color="000000"/>
              </w:rPr>
            </w:pPr>
            <w:r>
              <w:rPr>
                <w:rFonts w:hint="eastAsia" w:ascii="宋体" w:hAnsi="宋体"/>
                <w:color w:val="000000"/>
                <w:sz w:val="28"/>
              </w:rPr>
              <w:t>学  历</w:t>
            </w:r>
          </w:p>
        </w:tc>
        <w:tc>
          <w:tcPr>
            <w:tcW w:w="2928" w:type="dxa"/>
            <w:tcBorders>
              <w:top w:val="single" w:color="auto" w:sz="4" w:space="0"/>
              <w:left w:val="single" w:color="auto" w:sz="4" w:space="0"/>
              <w:bottom w:val="single" w:color="000000" w:sz="4" w:space="0"/>
              <w:right w:val="single" w:color="000000" w:sz="8" w:space="0"/>
            </w:tcBorders>
            <w:noWrap w:val="0"/>
            <w:vAlign w:val="center"/>
          </w:tcPr>
          <w:p>
            <w:pPr>
              <w:spacing w:line="351" w:lineRule="atLeast"/>
              <w:jc w:val="center"/>
              <w:rPr>
                <w:rFonts w:ascii="宋体" w:hAnsi="宋体"/>
                <w:color w:val="000000"/>
                <w:sz w:val="28"/>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noWrap w:val="0"/>
            <w:vAlign w:val="center"/>
          </w:tcPr>
          <w:p>
            <w:pPr>
              <w:spacing w:line="351" w:lineRule="atLeast"/>
              <w:jc w:val="center"/>
              <w:rPr>
                <w:rFonts w:ascii="宋体" w:hAnsi="宋体"/>
                <w:color w:val="000000"/>
                <w:sz w:val="28"/>
                <w:u w:val="none" w:color="000000"/>
              </w:rPr>
            </w:pPr>
            <w:r>
              <w:rPr>
                <w:rFonts w:hint="eastAsia" w:ascii="宋体" w:hAnsi="宋体"/>
                <w:color w:val="000000"/>
                <w:sz w:val="28"/>
                <w:u w:val="none" w:color="000000"/>
              </w:rPr>
              <w:t>手机号</w:t>
            </w:r>
          </w:p>
        </w:tc>
        <w:tc>
          <w:tcPr>
            <w:tcW w:w="2733" w:type="dxa"/>
            <w:tcBorders>
              <w:top w:val="single" w:color="auto" w:sz="4" w:space="0"/>
              <w:left w:val="single" w:color="auto" w:sz="4" w:space="0"/>
              <w:bottom w:val="single" w:color="000000" w:sz="4" w:space="0"/>
              <w:right w:val="single" w:color="000000" w:sz="4" w:space="0"/>
            </w:tcBorders>
            <w:noWrap w:val="0"/>
            <w:vAlign w:val="center"/>
          </w:tcPr>
          <w:p>
            <w:pPr>
              <w:spacing w:line="351" w:lineRule="atLeast"/>
              <w:jc w:val="center"/>
              <w:rPr>
                <w:rFonts w:ascii="宋体" w:hAnsi="宋体"/>
                <w:color w:val="000000"/>
                <w:sz w:val="28"/>
                <w:u w:val="none" w:color="000000"/>
              </w:rPr>
            </w:pPr>
          </w:p>
        </w:tc>
        <w:tc>
          <w:tcPr>
            <w:tcW w:w="1952" w:type="dxa"/>
            <w:tcBorders>
              <w:top w:val="single" w:color="auto" w:sz="4" w:space="0"/>
              <w:left w:val="single" w:color="auto" w:sz="4" w:space="0"/>
              <w:bottom w:val="single" w:color="000000" w:sz="4" w:space="0"/>
              <w:right w:val="single" w:color="auto" w:sz="4" w:space="0"/>
            </w:tcBorders>
            <w:noWrap w:val="0"/>
            <w:vAlign w:val="center"/>
          </w:tcPr>
          <w:p>
            <w:pPr>
              <w:spacing w:line="351" w:lineRule="atLeast"/>
              <w:jc w:val="center"/>
              <w:rPr>
                <w:rFonts w:ascii="宋体" w:hAnsi="宋体"/>
                <w:color w:val="000000"/>
                <w:sz w:val="28"/>
                <w:u w:val="none" w:color="000000"/>
              </w:rPr>
            </w:pPr>
            <w:r>
              <w:rPr>
                <w:rFonts w:hint="eastAsia" w:ascii="宋体" w:hAnsi="宋体"/>
                <w:color w:val="000000"/>
                <w:sz w:val="28"/>
                <w:u w:val="none" w:color="000000"/>
              </w:rPr>
              <w:t>联系电话</w:t>
            </w:r>
          </w:p>
        </w:tc>
        <w:tc>
          <w:tcPr>
            <w:tcW w:w="2928" w:type="dxa"/>
            <w:tcBorders>
              <w:top w:val="single" w:color="auto" w:sz="4" w:space="0"/>
              <w:left w:val="single" w:color="auto" w:sz="4" w:space="0"/>
              <w:bottom w:val="single" w:color="000000" w:sz="4" w:space="0"/>
              <w:right w:val="single" w:color="000000" w:sz="8" w:space="0"/>
            </w:tcBorders>
            <w:noWrap w:val="0"/>
            <w:vAlign w:val="center"/>
          </w:tcPr>
          <w:p>
            <w:pPr>
              <w:spacing w:line="351" w:lineRule="atLeast"/>
              <w:jc w:val="center"/>
              <w:rPr>
                <w:rFonts w:ascii="宋体" w:hAnsi="宋体"/>
                <w:color w:val="000000"/>
                <w:sz w:val="28"/>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572" w:hRule="atLeast"/>
        </w:trPr>
        <w:tc>
          <w:tcPr>
            <w:tcW w:w="880" w:type="dxa"/>
            <w:tcBorders>
              <w:top w:val="single" w:color="auto" w:sz="4" w:space="0"/>
              <w:left w:val="single" w:color="000000" w:sz="8" w:space="0"/>
              <w:bottom w:val="single" w:color="000000" w:sz="8" w:space="0"/>
              <w:right w:val="single" w:color="000000" w:sz="4" w:space="0"/>
            </w:tcBorders>
            <w:noWrap w:val="0"/>
            <w:vAlign w:val="center"/>
          </w:tcPr>
          <w:p>
            <w:pPr>
              <w:jc w:val="center"/>
              <w:rPr>
                <w:rFonts w:ascii="宋体" w:hAnsi="宋体"/>
                <w:color w:val="000000"/>
                <w:sz w:val="28"/>
                <w:u w:val="none" w:color="000000"/>
              </w:rPr>
            </w:pPr>
            <w:r>
              <w:rPr>
                <w:rFonts w:hint="eastAsia" w:ascii="宋体" w:hAnsi="宋体"/>
                <w:color w:val="000000"/>
                <w:sz w:val="28"/>
              </w:rPr>
              <w:t>简</w:t>
            </w:r>
          </w:p>
          <w:p>
            <w:pPr>
              <w:jc w:val="center"/>
              <w:rPr>
                <w:rFonts w:ascii="宋体" w:hAnsi="宋体"/>
                <w:color w:val="000000"/>
                <w:sz w:val="28"/>
              </w:rPr>
            </w:pPr>
          </w:p>
          <w:p>
            <w:pPr>
              <w:jc w:val="center"/>
              <w:rPr>
                <w:rFonts w:ascii="宋体" w:hAnsi="宋体"/>
                <w:color w:val="000000"/>
                <w:sz w:val="28"/>
              </w:rPr>
            </w:pPr>
          </w:p>
          <w:p>
            <w:pPr>
              <w:spacing w:line="351" w:lineRule="atLeast"/>
              <w:jc w:val="center"/>
              <w:rPr>
                <w:rFonts w:ascii="宋体" w:hAnsi="宋体"/>
                <w:color w:val="000000"/>
                <w:u w:val="none" w:color="000000"/>
              </w:rPr>
            </w:pPr>
            <w:r>
              <w:rPr>
                <w:rFonts w:hint="eastAsia" w:ascii="宋体" w:hAnsi="宋体"/>
                <w:color w:val="000000"/>
                <w:sz w:val="28"/>
              </w:rPr>
              <w:t>历</w:t>
            </w:r>
          </w:p>
        </w:tc>
        <w:tc>
          <w:tcPr>
            <w:tcW w:w="8697" w:type="dxa"/>
            <w:gridSpan w:val="4"/>
            <w:tcBorders>
              <w:top w:val="single" w:color="auto" w:sz="4" w:space="0"/>
              <w:left w:val="single" w:color="auto" w:sz="4" w:space="0"/>
              <w:bottom w:val="single" w:color="000000" w:sz="8" w:space="0"/>
              <w:right w:val="single" w:color="000000" w:sz="8" w:space="0"/>
            </w:tcBorders>
            <w:noWrap w:val="0"/>
            <w:vAlign w:val="center"/>
          </w:tcPr>
          <w:p>
            <w:pPr>
              <w:spacing w:line="351" w:lineRule="atLeast"/>
              <w:jc w:val="center"/>
              <w:rPr>
                <w:rFonts w:ascii="宋体" w:hAnsi="宋体"/>
                <w:color w:val="000000"/>
                <w:u w:val="none" w:color="000000"/>
              </w:rPr>
            </w:pPr>
          </w:p>
        </w:tc>
      </w:tr>
    </w:tbl>
    <w:p>
      <w:pPr>
        <w:rPr>
          <w:rFonts w:ascii="宋体" w:hAnsi="宋体"/>
          <w:bCs/>
          <w:snapToGrid w:val="0"/>
          <w:color w:val="000000"/>
        </w:rPr>
      </w:pPr>
    </w:p>
    <w:p>
      <w:pPr>
        <w:snapToGrid w:val="0"/>
        <w:spacing w:before="50" w:afterLines="50"/>
        <w:jc w:val="left"/>
        <w:rPr>
          <w:rFonts w:ascii="宋体" w:hAnsi="宋体"/>
          <w:color w:val="000000"/>
          <w:spacing w:val="20"/>
          <w:sz w:val="24"/>
        </w:rPr>
      </w:pPr>
      <w:bookmarkStart w:id="68" w:name="_Hlk60757472"/>
      <w:r>
        <w:rPr>
          <w:rFonts w:hint="eastAsia" w:ascii="宋体" w:hAnsi="宋体"/>
          <w:color w:val="000000"/>
          <w:spacing w:val="20"/>
          <w:sz w:val="24"/>
        </w:rPr>
        <w:t>法定代表人签字（或盖章）：            投标人（盖章）：</w:t>
      </w:r>
    </w:p>
    <w:p>
      <w:pPr>
        <w:snapToGrid w:val="0"/>
        <w:spacing w:before="50" w:afterLines="50"/>
        <w:jc w:val="left"/>
        <w:rPr>
          <w:rFonts w:ascii="宋体" w:hAnsi="宋体"/>
          <w:color w:val="000000"/>
          <w:sz w:val="24"/>
          <w:szCs w:val="20"/>
        </w:rPr>
      </w:pPr>
      <w:r>
        <w:rPr>
          <w:rFonts w:hint="eastAsia" w:ascii="宋体" w:hAnsi="宋体"/>
          <w:color w:val="000000"/>
          <w:sz w:val="24"/>
          <w:szCs w:val="20"/>
        </w:rPr>
        <w:t>日期：</w:t>
      </w:r>
    </w:p>
    <w:p>
      <w:pPr>
        <w:snapToGrid w:val="0"/>
        <w:spacing w:before="50" w:afterLines="50"/>
        <w:jc w:val="left"/>
        <w:rPr>
          <w:rFonts w:hint="eastAsia" w:ascii="宋体" w:hAnsi="宋体"/>
          <w:color w:val="000000"/>
          <w:sz w:val="24"/>
        </w:rPr>
      </w:pPr>
    </w:p>
    <w:bookmarkEnd w:id="68"/>
    <w:p>
      <w:pPr>
        <w:snapToGrid w:val="0"/>
        <w:spacing w:before="50" w:afterLines="50"/>
        <w:jc w:val="left"/>
        <w:rPr>
          <w:rFonts w:hint="eastAsia" w:ascii="宋体" w:hAnsi="宋体"/>
          <w:color w:val="000000"/>
          <w:sz w:val="24"/>
        </w:rPr>
      </w:pPr>
    </w:p>
    <w:p>
      <w:pPr>
        <w:snapToGrid w:val="0"/>
        <w:spacing w:before="50" w:afterLines="50"/>
        <w:jc w:val="left"/>
        <w:rPr>
          <w:rFonts w:ascii="宋体" w:hAnsi="宋体"/>
          <w:color w:val="000000"/>
          <w:sz w:val="24"/>
          <w:szCs w:val="20"/>
        </w:rPr>
      </w:pPr>
      <w:r>
        <w:rPr>
          <w:rFonts w:ascii="宋体" w:hAnsi="宋体"/>
          <w:color w:val="000000"/>
          <w:sz w:val="24"/>
        </w:rPr>
        <w:t>9</w:t>
      </w:r>
      <w:r>
        <w:rPr>
          <w:rFonts w:hint="eastAsia" w:ascii="宋体" w:hAnsi="宋体"/>
          <w:color w:val="000000"/>
          <w:sz w:val="24"/>
        </w:rPr>
        <w:t>、项目实施人员一览表格式</w:t>
      </w:r>
    </w:p>
    <w:p>
      <w:pPr>
        <w:snapToGrid w:val="0"/>
        <w:spacing w:before="50" w:afterLines="50"/>
        <w:jc w:val="left"/>
        <w:rPr>
          <w:rFonts w:ascii="宋体" w:hAnsi="宋体"/>
          <w:color w:val="000000"/>
          <w:sz w:val="24"/>
          <w:szCs w:val="20"/>
        </w:rPr>
      </w:pPr>
    </w:p>
    <w:p>
      <w:pPr>
        <w:snapToGrid w:val="0"/>
        <w:spacing w:beforeLines="50" w:after="50"/>
        <w:jc w:val="center"/>
        <w:rPr>
          <w:rFonts w:ascii="宋体" w:hAnsi="宋体"/>
          <w:b/>
          <w:color w:val="000000"/>
          <w:sz w:val="24"/>
        </w:rPr>
      </w:pPr>
      <w:r>
        <w:rPr>
          <w:rFonts w:hint="eastAsia" w:ascii="宋体" w:hAnsi="宋体"/>
          <w:b/>
          <w:color w:val="000000"/>
          <w:sz w:val="24"/>
        </w:rPr>
        <w:t>项目实施人员（主要从业人员及其技术资格）一览表</w:t>
      </w:r>
    </w:p>
    <w:p>
      <w:pPr>
        <w:snapToGrid w:val="0"/>
        <w:spacing w:beforeLines="50" w:after="50" w:line="480" w:lineRule="auto"/>
        <w:rPr>
          <w:rFonts w:ascii="宋体" w:hAnsi="宋体"/>
          <w:color w:val="000000"/>
          <w:sz w:val="24"/>
        </w:rPr>
      </w:pPr>
      <w:r>
        <w:rPr>
          <w:rFonts w:hint="eastAsia" w:ascii="宋体" w:hAnsi="宋体"/>
          <w:bCs/>
          <w:color w:val="000000"/>
          <w:sz w:val="24"/>
        </w:rPr>
        <w:t>项目名称：</w:t>
      </w:r>
    </w:p>
    <w:p>
      <w:pPr>
        <w:snapToGrid w:val="0"/>
        <w:spacing w:beforeLines="50" w:after="50" w:line="480" w:lineRule="auto"/>
        <w:rPr>
          <w:rFonts w:ascii="宋体" w:hAnsi="宋体"/>
          <w:bCs/>
          <w:color w:val="000000"/>
          <w:sz w:val="24"/>
        </w:rPr>
      </w:pPr>
      <w:r>
        <w:rPr>
          <w:rFonts w:hint="eastAsia" w:ascii="宋体" w:hAnsi="宋体"/>
          <w:bCs/>
          <w:color w:val="000000"/>
          <w:sz w:val="24"/>
        </w:rPr>
        <w:t>项目编号：</w:t>
      </w:r>
    </w:p>
    <w:tbl>
      <w:tblPr>
        <w:tblStyle w:val="48"/>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8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after="50" w:line="360" w:lineRule="auto"/>
              <w:jc w:val="center"/>
              <w:rPr>
                <w:rFonts w:ascii="宋体" w:hAnsi="宋体"/>
                <w:sz w:val="24"/>
              </w:rPr>
            </w:pPr>
            <w:r>
              <w:rPr>
                <w:rFonts w:hint="eastAsia" w:ascii="宋体" w:hAnsi="宋体"/>
                <w:sz w:val="24"/>
              </w:rPr>
              <w:t>序号</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after="50" w:line="360" w:lineRule="auto"/>
              <w:jc w:val="center"/>
              <w:rPr>
                <w:rFonts w:ascii="宋体" w:hAnsi="宋体"/>
                <w:sz w:val="24"/>
              </w:rPr>
            </w:pPr>
            <w:r>
              <w:rPr>
                <w:rFonts w:hint="eastAsia" w:ascii="宋体" w:hAnsi="宋体"/>
                <w:sz w:val="24"/>
              </w:rPr>
              <w:t>姓名</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after="50" w:line="360" w:lineRule="auto"/>
              <w:jc w:val="center"/>
              <w:rPr>
                <w:rFonts w:ascii="宋体" w:hAnsi="宋体"/>
                <w:sz w:val="24"/>
              </w:rPr>
            </w:pPr>
            <w:r>
              <w:rPr>
                <w:rFonts w:hint="eastAsia" w:ascii="宋体" w:hAnsi="宋体"/>
                <w:sz w:val="24"/>
              </w:rPr>
              <w:t>职务</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after="50" w:line="360" w:lineRule="auto"/>
              <w:jc w:val="center"/>
              <w:rPr>
                <w:rFonts w:ascii="宋体" w:hAnsi="宋体"/>
                <w:sz w:val="24"/>
              </w:rPr>
            </w:pPr>
            <w:r>
              <w:rPr>
                <w:rFonts w:hint="eastAsia" w:ascii="宋体" w:hAnsi="宋体"/>
                <w:sz w:val="24"/>
              </w:rPr>
              <w:t>专业技术资格</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after="50" w:line="360" w:lineRule="auto"/>
              <w:jc w:val="center"/>
              <w:rPr>
                <w:rFonts w:ascii="宋体" w:hAnsi="宋体"/>
                <w:sz w:val="24"/>
              </w:rPr>
            </w:pPr>
            <w:r>
              <w:rPr>
                <w:rFonts w:hint="eastAsia" w:ascii="宋体" w:hAnsi="宋体"/>
                <w:sz w:val="24"/>
              </w:rPr>
              <w:t>证书编号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after="50" w:line="360" w:lineRule="auto"/>
              <w:jc w:val="center"/>
              <w:rPr>
                <w:rFonts w:ascii="宋体" w:hAnsi="宋体"/>
                <w:bCs/>
                <w:sz w:val="24"/>
              </w:rPr>
            </w:pPr>
            <w:r>
              <w:rPr>
                <w:rFonts w:hint="eastAsia" w:ascii="宋体" w:hAnsi="宋体"/>
                <w:bCs/>
                <w:sz w:val="24"/>
              </w:rPr>
              <w:t>进入本单位工作开始时间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818"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818"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818"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pStyle w:val="29"/>
              <w:snapToGrid w:val="0"/>
              <w:spacing w:beforeLines="50" w:after="50" w:line="360" w:lineRule="auto"/>
              <w:ind w:left="5250"/>
              <w:rPr>
                <w:rFonts w:ascii="宋体" w:hAnsi="宋体" w:eastAsia="宋体"/>
                <w:color w:val="000000"/>
                <w:kern w:val="2"/>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818"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818"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818"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818"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818"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818"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color w:val="000000"/>
                <w:sz w:val="24"/>
              </w:rPr>
            </w:pPr>
          </w:p>
        </w:tc>
      </w:tr>
    </w:tbl>
    <w:p>
      <w:pPr>
        <w:snapToGrid w:val="0"/>
        <w:spacing w:beforeLines="50" w:after="50" w:line="480" w:lineRule="auto"/>
        <w:rPr>
          <w:rFonts w:ascii="宋体" w:hAnsi="宋体"/>
          <w:bCs/>
          <w:color w:val="000000"/>
          <w:sz w:val="24"/>
        </w:rPr>
      </w:pPr>
    </w:p>
    <w:p>
      <w:pPr>
        <w:snapToGrid w:val="0"/>
        <w:spacing w:before="50" w:afterLines="50"/>
        <w:jc w:val="left"/>
        <w:rPr>
          <w:rFonts w:ascii="宋体" w:hAnsi="宋体"/>
          <w:b/>
          <w:bCs/>
          <w:color w:val="000000"/>
          <w:sz w:val="24"/>
        </w:rPr>
      </w:pPr>
      <w:r>
        <w:rPr>
          <w:rFonts w:hint="eastAsia" w:ascii="宋体" w:hAnsi="宋体"/>
          <w:b/>
          <w:bCs/>
          <w:color w:val="000000"/>
          <w:sz w:val="24"/>
        </w:rPr>
        <w:t>注：在填写时，如本表格不适合投标人的实际情况，可根据本表格式自行划表填写。</w:t>
      </w:r>
    </w:p>
    <w:p>
      <w:pPr>
        <w:snapToGrid w:val="0"/>
        <w:spacing w:before="50" w:afterLines="50" w:line="360" w:lineRule="auto"/>
        <w:jc w:val="left"/>
        <w:rPr>
          <w:rFonts w:ascii="宋体" w:hAnsi="宋体"/>
          <w:color w:val="000000"/>
          <w:sz w:val="24"/>
          <w:szCs w:val="20"/>
        </w:rPr>
      </w:pPr>
    </w:p>
    <w:p>
      <w:pPr>
        <w:snapToGrid w:val="0"/>
        <w:spacing w:before="50" w:afterLines="50" w:line="360" w:lineRule="auto"/>
        <w:jc w:val="left"/>
        <w:rPr>
          <w:rFonts w:hint="eastAsia" w:ascii="宋体" w:hAnsi="宋体"/>
          <w:color w:val="000000"/>
          <w:sz w:val="24"/>
          <w:szCs w:val="20"/>
        </w:rPr>
      </w:pPr>
    </w:p>
    <w:p>
      <w:pPr>
        <w:snapToGrid w:val="0"/>
        <w:spacing w:before="50" w:after="50" w:line="360" w:lineRule="auto"/>
        <w:rPr>
          <w:rFonts w:ascii="宋体" w:hAnsi="宋体"/>
          <w:color w:val="000000"/>
          <w:sz w:val="24"/>
          <w:szCs w:val="20"/>
        </w:rPr>
      </w:pPr>
      <w:r>
        <w:rPr>
          <w:rFonts w:hint="eastAsia" w:ascii="宋体" w:hAnsi="宋体"/>
          <w:color w:val="000000"/>
          <w:spacing w:val="20"/>
          <w:sz w:val="24"/>
        </w:rPr>
        <w:t xml:space="preserve">法定代表人签字（或盖章）：            投标人（盖章）：          </w:t>
      </w:r>
    </w:p>
    <w:p>
      <w:pPr>
        <w:pStyle w:val="27"/>
        <w:snapToGrid w:val="0"/>
        <w:spacing w:before="120" w:after="120" w:line="240" w:lineRule="auto"/>
        <w:rPr>
          <w:rFonts w:hAnsi="宋体"/>
          <w:color w:val="000000"/>
        </w:rPr>
        <w:sectPr>
          <w:headerReference r:id="rId10" w:type="default"/>
          <w:footerReference r:id="rId11" w:type="default"/>
          <w:footerReference r:id="rId12" w:type="even"/>
          <w:pgSz w:w="11906" w:h="16838"/>
          <w:pgMar w:top="1021" w:right="1588" w:bottom="851" w:left="1588" w:header="567" w:footer="454" w:gutter="0"/>
          <w:cols w:space="720" w:num="1"/>
          <w:rtlGutter w:val="1"/>
          <w:docGrid w:linePitch="286" w:charSpace="0"/>
        </w:sectPr>
      </w:pPr>
      <w:r>
        <w:rPr>
          <w:rFonts w:hint="eastAsia" w:hAnsi="宋体"/>
          <w:color w:val="000000"/>
        </w:rPr>
        <w:t>日期：</w:t>
      </w:r>
    </w:p>
    <w:p>
      <w:pPr>
        <w:snapToGrid w:val="0"/>
        <w:spacing w:before="50" w:afterLines="50"/>
        <w:ind w:firstLine="360" w:firstLineChars="150"/>
        <w:jc w:val="left"/>
        <w:rPr>
          <w:rFonts w:ascii="宋体" w:hAnsi="宋体"/>
          <w:sz w:val="24"/>
        </w:rPr>
      </w:pPr>
      <w:r>
        <w:rPr>
          <w:rFonts w:ascii="宋体" w:hAnsi="宋体"/>
          <w:color w:val="000000"/>
          <w:sz w:val="24"/>
        </w:rPr>
        <w:t>10</w:t>
      </w:r>
      <w:r>
        <w:rPr>
          <w:rFonts w:hint="eastAsia" w:ascii="宋体" w:hAnsi="宋体"/>
          <w:color w:val="000000"/>
          <w:sz w:val="24"/>
        </w:rPr>
        <w:t>.投标人类</w:t>
      </w:r>
      <w:r>
        <w:rPr>
          <w:rFonts w:hint="eastAsia" w:ascii="宋体" w:hAnsi="宋体"/>
          <w:sz w:val="24"/>
        </w:rPr>
        <w:t>似合同案例一览表格式：</w:t>
      </w:r>
    </w:p>
    <w:p>
      <w:pPr>
        <w:snapToGrid w:val="0"/>
        <w:spacing w:before="50" w:afterLines="50"/>
        <w:jc w:val="center"/>
        <w:rPr>
          <w:rFonts w:ascii="宋体" w:hAnsi="宋体"/>
          <w:b/>
          <w:sz w:val="24"/>
        </w:rPr>
      </w:pPr>
      <w:r>
        <w:rPr>
          <w:rFonts w:hint="eastAsia" w:ascii="宋体" w:hAnsi="宋体"/>
          <w:b/>
          <w:sz w:val="24"/>
        </w:rPr>
        <w:t>投标人类似合同案例一览表</w:t>
      </w:r>
    </w:p>
    <w:p>
      <w:pPr>
        <w:snapToGrid w:val="0"/>
        <w:spacing w:beforeLines="50" w:after="50" w:line="480" w:lineRule="auto"/>
        <w:ind w:firstLine="1068" w:firstLineChars="445"/>
        <w:rPr>
          <w:rFonts w:ascii="宋体" w:hAnsi="宋体"/>
          <w:bCs/>
          <w:sz w:val="24"/>
        </w:rPr>
      </w:pPr>
    </w:p>
    <w:p>
      <w:pPr>
        <w:snapToGrid w:val="0"/>
        <w:spacing w:beforeLines="50" w:after="50" w:line="480" w:lineRule="auto"/>
        <w:ind w:firstLine="1068" w:firstLineChars="445"/>
        <w:rPr>
          <w:rFonts w:ascii="宋体" w:hAnsi="宋体"/>
          <w:bCs/>
          <w:sz w:val="24"/>
          <w:szCs w:val="20"/>
        </w:rPr>
      </w:pPr>
      <w:r>
        <w:rPr>
          <w:rFonts w:hint="eastAsia" w:ascii="宋体" w:hAnsi="宋体"/>
          <w:bCs/>
          <w:sz w:val="24"/>
        </w:rPr>
        <w:t xml:space="preserve">项目名称：                                            </w:t>
      </w:r>
      <w:r>
        <w:rPr>
          <w:rFonts w:hint="eastAsia" w:ascii="宋体" w:hAnsi="宋体"/>
          <w:sz w:val="24"/>
        </w:rPr>
        <w:t>项目编号：</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sz w:val="24"/>
              </w:rPr>
            </w:pPr>
            <w:r>
              <w:rPr>
                <w:rFonts w:hint="eastAsia" w:ascii="宋体" w:hAnsi="宋体"/>
                <w:sz w:val="24"/>
              </w:rPr>
              <w:t>采购单位名称</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sz w:val="24"/>
              </w:rPr>
            </w:pPr>
            <w:r>
              <w:rPr>
                <w:rFonts w:hint="eastAsia" w:ascii="宋体" w:hAnsi="宋体"/>
                <w:sz w:val="24"/>
              </w:rPr>
              <w:t>项目名称</w:t>
            </w:r>
          </w:p>
        </w:tc>
        <w:tc>
          <w:tcPr>
            <w:tcW w:w="200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sz w:val="24"/>
              </w:rPr>
            </w:pPr>
            <w:r>
              <w:rPr>
                <w:rFonts w:hint="eastAsia" w:ascii="宋体" w:hAnsi="宋体"/>
                <w:sz w:val="24"/>
              </w:rPr>
              <w:t>合同金额（万元）</w:t>
            </w:r>
          </w:p>
        </w:tc>
        <w:tc>
          <w:tcPr>
            <w:tcW w:w="1843"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ascii="宋体" w:hAnsi="宋体"/>
                <w:sz w:val="24"/>
              </w:rPr>
            </w:pPr>
            <w:r>
              <w:rPr>
                <w:rFonts w:hint="eastAsia" w:ascii="宋体" w:hAnsi="宋体"/>
                <w:sz w:val="24"/>
              </w:rPr>
              <w:t>合同签订时间</w:t>
            </w:r>
          </w:p>
        </w:tc>
        <w:tc>
          <w:tcPr>
            <w:tcW w:w="176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sz w:val="24"/>
              </w:rPr>
            </w:pPr>
            <w:r>
              <w:rPr>
                <w:rFonts w:hint="eastAsia" w:ascii="宋体" w:hAnsi="宋体"/>
                <w:sz w:val="24"/>
              </w:rPr>
              <w:t>合同完成时间</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4"/>
              </w:rPr>
            </w:pPr>
            <w:r>
              <w:rPr>
                <w:rFonts w:hint="eastAsia" w:ascii="宋体" w:hAnsi="宋体"/>
                <w:sz w:val="24"/>
              </w:rPr>
              <w:t>采购单位联系人</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49" w:hRule="atLeast"/>
          <w:jc w:val="center"/>
        </w:trPr>
        <w:tc>
          <w:tcPr>
            <w:tcW w:w="2433"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sz w:val="24"/>
              </w:rPr>
            </w:pPr>
          </w:p>
        </w:tc>
        <w:tc>
          <w:tcPr>
            <w:tcW w:w="2835"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sz w:val="24"/>
              </w:rPr>
            </w:pPr>
          </w:p>
        </w:tc>
        <w:tc>
          <w:tcPr>
            <w:tcW w:w="2003"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sz w:val="24"/>
              </w:rPr>
            </w:pPr>
          </w:p>
        </w:tc>
        <w:tc>
          <w:tcPr>
            <w:tcW w:w="1764"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sz w:val="24"/>
              </w:rPr>
            </w:pPr>
          </w:p>
        </w:tc>
        <w:tc>
          <w:tcPr>
            <w:tcW w:w="1921"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sz w:val="24"/>
              </w:rPr>
            </w:pPr>
          </w:p>
        </w:tc>
        <w:tc>
          <w:tcPr>
            <w:tcW w:w="1399"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243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710" w:hRule="atLeast"/>
          <w:jc w:val="center"/>
        </w:trPr>
        <w:tc>
          <w:tcPr>
            <w:tcW w:w="243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243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243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olor w:val="000000"/>
                <w:sz w:val="24"/>
                <w:szCs w:val="20"/>
              </w:rPr>
            </w:pPr>
          </w:p>
        </w:tc>
      </w:tr>
    </w:tbl>
    <w:p>
      <w:pPr>
        <w:pStyle w:val="14"/>
        <w:snapToGrid w:val="0"/>
        <w:ind w:firstLine="960" w:firstLineChars="400"/>
        <w:rPr>
          <w:rFonts w:ascii="宋体" w:hAnsi="宋体" w:eastAsia="宋体"/>
          <w:color w:val="FF0000"/>
          <w:sz w:val="24"/>
          <w:szCs w:val="24"/>
        </w:rPr>
      </w:pPr>
      <w:r>
        <w:rPr>
          <w:rFonts w:hint="eastAsia" w:ascii="宋体" w:hAnsi="宋体" w:eastAsia="宋体"/>
          <w:color w:val="FF0000"/>
          <w:sz w:val="24"/>
          <w:szCs w:val="24"/>
        </w:rPr>
        <w:t xml:space="preserve"> </w:t>
      </w:r>
    </w:p>
    <w:p>
      <w:pPr>
        <w:pStyle w:val="14"/>
        <w:snapToGrid w:val="0"/>
        <w:ind w:firstLine="360" w:firstLineChars="150"/>
        <w:rPr>
          <w:rFonts w:ascii="宋体" w:hAnsi="宋体" w:eastAsia="宋体"/>
          <w:color w:val="000000"/>
          <w:sz w:val="24"/>
          <w:szCs w:val="24"/>
        </w:rPr>
      </w:pPr>
    </w:p>
    <w:p>
      <w:pPr>
        <w:pStyle w:val="14"/>
        <w:snapToGrid w:val="0"/>
        <w:ind w:firstLine="480" w:firstLineChars="200"/>
        <w:rPr>
          <w:rFonts w:ascii="宋体" w:hAnsi="宋体" w:eastAsia="宋体"/>
          <w:color w:val="000000"/>
          <w:sz w:val="24"/>
          <w:szCs w:val="24"/>
        </w:rPr>
      </w:pPr>
      <w:r>
        <w:rPr>
          <w:rFonts w:hint="eastAsia" w:ascii="宋体" w:hAnsi="宋体" w:eastAsia="宋体"/>
          <w:color w:val="000000"/>
          <w:sz w:val="24"/>
          <w:szCs w:val="24"/>
        </w:rPr>
        <w:t>法定代表人签字（或盖章）：                            投标人（盖章）：                    日期：</w:t>
      </w:r>
    </w:p>
    <w:p>
      <w:pPr>
        <w:pStyle w:val="14"/>
        <w:snapToGrid w:val="0"/>
        <w:rPr>
          <w:rFonts w:ascii="宋体" w:hAnsi="宋体" w:eastAsia="宋体"/>
          <w:color w:val="000000"/>
          <w:sz w:val="24"/>
          <w:szCs w:val="24"/>
        </w:rPr>
        <w:sectPr>
          <w:pgSz w:w="16838" w:h="11906" w:orient="landscape"/>
          <w:pgMar w:top="1588" w:right="1021" w:bottom="1588" w:left="851" w:header="851" w:footer="851" w:gutter="0"/>
          <w:cols w:space="720" w:num="1"/>
          <w:rtlGutter w:val="1"/>
        </w:sectPr>
      </w:pPr>
    </w:p>
    <w:p>
      <w:pPr>
        <w:snapToGrid w:val="0"/>
        <w:spacing w:before="50" w:afterLines="50"/>
        <w:jc w:val="left"/>
        <w:rPr>
          <w:rFonts w:ascii="宋体" w:hAnsi="宋体"/>
          <w:color w:val="000000"/>
          <w:sz w:val="24"/>
          <w:szCs w:val="20"/>
        </w:rPr>
      </w:pPr>
      <w:r>
        <w:rPr>
          <w:rFonts w:ascii="宋体" w:hAnsi="宋体"/>
          <w:color w:val="000000"/>
          <w:sz w:val="24"/>
        </w:rPr>
        <w:t>11</w:t>
      </w:r>
      <w:r>
        <w:rPr>
          <w:rFonts w:hint="eastAsia" w:ascii="宋体" w:hAnsi="宋体"/>
          <w:color w:val="000000"/>
          <w:sz w:val="24"/>
        </w:rPr>
        <w:t>.售后服务网点情况表格式：</w:t>
      </w:r>
    </w:p>
    <w:p>
      <w:pPr>
        <w:snapToGrid w:val="0"/>
        <w:spacing w:before="50" w:afterLines="50"/>
        <w:jc w:val="left"/>
        <w:rPr>
          <w:rFonts w:ascii="宋体" w:hAnsi="宋体"/>
          <w:color w:val="000000"/>
          <w:sz w:val="24"/>
          <w:szCs w:val="20"/>
        </w:rPr>
      </w:pPr>
      <w:r>
        <w:rPr>
          <w:rFonts w:hint="eastAsia" w:ascii="宋体" w:hAnsi="宋体"/>
          <w:color w:val="000000"/>
          <w:sz w:val="24"/>
          <w:szCs w:val="20"/>
        </w:rPr>
        <w:t xml:space="preserve"> </w:t>
      </w:r>
    </w:p>
    <w:p>
      <w:pPr>
        <w:pStyle w:val="36"/>
        <w:snapToGrid w:val="0"/>
        <w:ind w:left="480" w:hanging="480"/>
        <w:rPr>
          <w:rFonts w:ascii="宋体" w:hAnsi="宋体"/>
          <w:color w:val="000000"/>
          <w:sz w:val="24"/>
        </w:rPr>
      </w:pPr>
    </w:p>
    <w:p>
      <w:pPr>
        <w:pStyle w:val="36"/>
        <w:snapToGrid w:val="0"/>
        <w:ind w:left="482" w:hanging="482"/>
        <w:jc w:val="center"/>
        <w:rPr>
          <w:rFonts w:ascii="宋体" w:hAnsi="宋体"/>
          <w:b/>
          <w:color w:val="000000"/>
          <w:sz w:val="24"/>
        </w:rPr>
      </w:pPr>
      <w:r>
        <w:rPr>
          <w:rFonts w:hint="eastAsia" w:ascii="宋体" w:hAnsi="宋体"/>
          <w:b/>
          <w:color w:val="000000"/>
          <w:sz w:val="24"/>
        </w:rPr>
        <w:t>售后服务网点情况表</w:t>
      </w:r>
    </w:p>
    <w:p>
      <w:pPr>
        <w:snapToGrid w:val="0"/>
        <w:spacing w:beforeLines="50" w:after="50" w:line="360" w:lineRule="auto"/>
        <w:jc w:val="center"/>
        <w:rPr>
          <w:rFonts w:ascii="宋体" w:hAnsi="宋体"/>
          <w:bCs/>
          <w:color w:val="000000"/>
          <w:sz w:val="24"/>
        </w:rPr>
      </w:pPr>
    </w:p>
    <w:p>
      <w:pPr>
        <w:snapToGrid w:val="0"/>
        <w:spacing w:beforeLines="50" w:after="50" w:line="480" w:lineRule="auto"/>
        <w:rPr>
          <w:rFonts w:ascii="宋体" w:hAnsi="宋体"/>
          <w:bCs/>
          <w:color w:val="000000"/>
          <w:sz w:val="24"/>
          <w:szCs w:val="20"/>
        </w:rPr>
      </w:pPr>
      <w:r>
        <w:rPr>
          <w:rFonts w:hint="eastAsia" w:ascii="宋体" w:hAnsi="宋体"/>
          <w:bCs/>
          <w:color w:val="000000"/>
          <w:sz w:val="24"/>
        </w:rPr>
        <w:t>项目名称：</w:t>
      </w:r>
    </w:p>
    <w:p>
      <w:pPr>
        <w:snapToGrid w:val="0"/>
        <w:spacing w:beforeLines="50" w:after="50" w:line="480" w:lineRule="auto"/>
        <w:rPr>
          <w:rFonts w:ascii="宋体" w:hAnsi="宋体"/>
          <w:b/>
          <w:color w:val="000000"/>
          <w:sz w:val="24"/>
        </w:rPr>
      </w:pPr>
      <w:r>
        <w:rPr>
          <w:rFonts w:hint="eastAsia" w:ascii="宋体" w:hAnsi="宋体"/>
          <w:color w:val="000000"/>
          <w:sz w:val="24"/>
        </w:rPr>
        <w:t>项目编号：</w:t>
      </w:r>
    </w:p>
    <w:tbl>
      <w:tblPr>
        <w:tblStyle w:val="48"/>
        <w:tblpPr w:leftFromText="180" w:rightFromText="180" w:vertAnchor="text" w:horzAnchor="margin" w:tblpY="6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360" w:lineRule="auto"/>
              <w:jc w:val="left"/>
              <w:rPr>
                <w:rFonts w:ascii="宋体" w:hAnsi="宋体"/>
                <w:color w:val="000000"/>
                <w:sz w:val="24"/>
                <w:szCs w:val="20"/>
              </w:rPr>
            </w:pPr>
            <w:r>
              <w:rPr>
                <w:rFonts w:hint="eastAsia" w:ascii="宋体" w:hAnsi="宋体"/>
                <w:color w:val="000000"/>
                <w:sz w:val="24"/>
              </w:rPr>
              <w:t>服务网点名称</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360" w:lineRule="auto"/>
              <w:jc w:val="left"/>
              <w:rPr>
                <w:rFonts w:ascii="宋体" w:hAnsi="宋体"/>
                <w:color w:val="000000"/>
                <w:sz w:val="24"/>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360" w:lineRule="auto"/>
              <w:jc w:val="center"/>
              <w:rPr>
                <w:rFonts w:ascii="宋体" w:hAnsi="宋体"/>
                <w:color w:val="000000"/>
                <w:sz w:val="24"/>
                <w:szCs w:val="20"/>
              </w:rPr>
            </w:pPr>
            <w:r>
              <w:rPr>
                <w:rFonts w:hint="eastAsia" w:ascii="宋体" w:hAnsi="宋体"/>
                <w:color w:val="000000"/>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360" w:lineRule="auto"/>
              <w:jc w:val="left"/>
              <w:rPr>
                <w:rFonts w:ascii="宋体" w:hAnsi="宋体"/>
                <w:color w:val="000000"/>
                <w:sz w:val="24"/>
                <w:szCs w:val="20"/>
              </w:rPr>
            </w:pPr>
            <w:r>
              <w:rPr>
                <w:rFonts w:hint="eastAsia" w:ascii="宋体" w:hAnsi="宋体"/>
                <w:color w:val="000000"/>
                <w:sz w:val="24"/>
              </w:rPr>
              <w:t>地址</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360" w:lineRule="auto"/>
              <w:jc w:val="left"/>
              <w:rPr>
                <w:rFonts w:ascii="宋体" w:hAnsi="宋体"/>
                <w:color w:val="000000"/>
                <w:sz w:val="24"/>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360" w:lineRule="auto"/>
              <w:jc w:val="left"/>
              <w:rPr>
                <w:rFonts w:ascii="宋体" w:hAnsi="宋体"/>
                <w:color w:val="000000"/>
                <w:sz w:val="24"/>
                <w:szCs w:val="20"/>
              </w:rPr>
            </w:pPr>
            <w:r>
              <w:rPr>
                <w:rFonts w:hint="eastAsia" w:ascii="宋体" w:hAnsi="宋体"/>
                <w:color w:val="000000"/>
                <w:sz w:val="24"/>
              </w:rPr>
              <w:t>注册资本金</w:t>
            </w:r>
          </w:p>
        </w:tc>
        <w:tc>
          <w:tcPr>
            <w:tcW w:w="162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360" w:lineRule="auto"/>
              <w:jc w:val="left"/>
              <w:rPr>
                <w:rFonts w:ascii="宋体" w:hAnsi="宋体"/>
                <w:color w:val="000000"/>
                <w:sz w:val="24"/>
                <w:szCs w:val="20"/>
              </w:rPr>
            </w:pPr>
          </w:p>
        </w:tc>
        <w:tc>
          <w:tcPr>
            <w:tcW w:w="2754"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360" w:lineRule="auto"/>
              <w:jc w:val="left"/>
              <w:rPr>
                <w:rFonts w:ascii="宋体" w:hAnsi="宋体"/>
                <w:color w:val="000000"/>
                <w:sz w:val="24"/>
                <w:szCs w:val="20"/>
              </w:rPr>
            </w:pPr>
            <w:r>
              <w:rPr>
                <w:rFonts w:hint="eastAsia" w:ascii="宋体" w:hAnsi="宋体"/>
                <w:color w:val="000000"/>
                <w:sz w:val="24"/>
              </w:rPr>
              <w:t>其中：投标人出资比例</w:t>
            </w:r>
          </w:p>
        </w:tc>
        <w:tc>
          <w:tcPr>
            <w:tcW w:w="216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360" w:lineRule="auto"/>
              <w:jc w:val="left"/>
              <w:rPr>
                <w:rFonts w:ascii="宋体" w:hAnsi="宋体"/>
                <w:color w:val="000000"/>
                <w:sz w:val="24"/>
                <w:szCs w:val="20"/>
              </w:rPr>
            </w:pPr>
            <w:r>
              <w:rPr>
                <w:rFonts w:hint="eastAsia" w:ascii="宋体" w:hAnsi="宋体"/>
                <w:color w:val="000000"/>
                <w:sz w:val="24"/>
              </w:rPr>
              <w:t>员工总人数</w:t>
            </w:r>
          </w:p>
        </w:tc>
        <w:tc>
          <w:tcPr>
            <w:tcW w:w="162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360" w:lineRule="auto"/>
              <w:jc w:val="left"/>
              <w:rPr>
                <w:rFonts w:ascii="宋体" w:hAnsi="宋体"/>
                <w:color w:val="000000"/>
                <w:sz w:val="24"/>
                <w:szCs w:val="20"/>
              </w:rPr>
            </w:pPr>
          </w:p>
        </w:tc>
        <w:tc>
          <w:tcPr>
            <w:tcW w:w="2754"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360" w:lineRule="auto"/>
              <w:ind w:left="120"/>
              <w:jc w:val="left"/>
              <w:rPr>
                <w:rFonts w:ascii="宋体" w:hAnsi="宋体"/>
                <w:color w:val="000000"/>
                <w:sz w:val="24"/>
                <w:szCs w:val="20"/>
              </w:rPr>
            </w:pPr>
            <w:r>
              <w:rPr>
                <w:rFonts w:hint="eastAsia" w:ascii="宋体" w:hAnsi="宋体"/>
                <w:color w:val="000000"/>
                <w:sz w:val="24"/>
              </w:rPr>
              <w:t>其中：技术人员数</w:t>
            </w:r>
          </w:p>
        </w:tc>
        <w:tc>
          <w:tcPr>
            <w:tcW w:w="216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360" w:lineRule="auto"/>
              <w:jc w:val="left"/>
              <w:rPr>
                <w:rFonts w:ascii="宋体" w:hAnsi="宋体"/>
                <w:sz w:val="24"/>
                <w:szCs w:val="20"/>
              </w:rPr>
            </w:pPr>
            <w:r>
              <w:rPr>
                <w:rFonts w:hint="eastAsia" w:ascii="宋体" w:hAnsi="宋体"/>
                <w:sz w:val="24"/>
                <w:szCs w:val="20"/>
              </w:rPr>
              <w:t>设立日期</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360" w:lineRule="auto"/>
              <w:jc w:val="left"/>
              <w:rPr>
                <w:rFonts w:ascii="宋体" w:hAnsi="宋体"/>
                <w:color w:val="000000"/>
                <w:sz w:val="24"/>
                <w:szCs w:val="20"/>
              </w:rPr>
            </w:pPr>
            <w:r>
              <w:rPr>
                <w:rFonts w:hint="eastAsia" w:ascii="宋体" w:hAnsi="宋体"/>
                <w:color w:val="000000"/>
                <w:sz w:val="24"/>
              </w:rPr>
              <w:t>售后服务内容</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360" w:lineRule="auto"/>
              <w:jc w:val="left"/>
              <w:rPr>
                <w:rFonts w:ascii="宋体" w:hAnsi="宋体"/>
                <w:color w:val="000000"/>
                <w:sz w:val="24"/>
                <w:szCs w:val="20"/>
              </w:rPr>
            </w:pPr>
            <w:r>
              <w:rPr>
                <w:rFonts w:hint="eastAsia" w:ascii="宋体" w:hAnsi="宋体"/>
                <w:color w:val="000000"/>
                <w:sz w:val="24"/>
              </w:rPr>
              <w:t>服务承诺</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360" w:lineRule="auto"/>
              <w:jc w:val="left"/>
              <w:rPr>
                <w:rFonts w:ascii="宋体" w:hAnsi="宋体"/>
                <w:color w:val="000000"/>
                <w:sz w:val="24"/>
                <w:szCs w:val="20"/>
              </w:rPr>
            </w:pPr>
            <w:r>
              <w:rPr>
                <w:rFonts w:hint="eastAsia" w:ascii="宋体" w:hAnsi="宋体"/>
                <w:color w:val="000000"/>
                <w:sz w:val="24"/>
              </w:rPr>
              <w:t>业务咨询电话</w:t>
            </w:r>
          </w:p>
        </w:tc>
        <w:tc>
          <w:tcPr>
            <w:tcW w:w="2162"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before="50" w:afterLines="50" w:line="360" w:lineRule="auto"/>
              <w:jc w:val="left"/>
              <w:rPr>
                <w:rFonts w:ascii="宋体" w:hAnsi="宋体"/>
                <w:color w:val="000000"/>
                <w:sz w:val="24"/>
                <w:szCs w:val="20"/>
              </w:rPr>
            </w:pPr>
          </w:p>
        </w:tc>
        <w:tc>
          <w:tcPr>
            <w:tcW w:w="1326"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Lines="50" w:line="360" w:lineRule="auto"/>
              <w:jc w:val="center"/>
              <w:rPr>
                <w:rFonts w:ascii="宋体" w:hAnsi="宋体"/>
                <w:color w:val="000000"/>
                <w:sz w:val="24"/>
                <w:szCs w:val="20"/>
              </w:rPr>
            </w:pPr>
            <w:r>
              <w:rPr>
                <w:rFonts w:hint="eastAsia" w:ascii="宋体" w:hAnsi="宋体"/>
                <w:color w:val="000000"/>
                <w:sz w:val="24"/>
              </w:rPr>
              <w:t>传 真</w:t>
            </w:r>
          </w:p>
        </w:tc>
        <w:tc>
          <w:tcPr>
            <w:tcW w:w="3050" w:type="dxa"/>
            <w:gridSpan w:val="2"/>
            <w:tcBorders>
              <w:top w:val="single" w:color="auto" w:sz="4" w:space="0"/>
              <w:left w:val="single" w:color="auto" w:sz="2" w:space="0"/>
              <w:bottom w:val="single" w:color="auto" w:sz="4" w:space="0"/>
              <w:right w:val="single" w:color="auto" w:sz="2" w:space="0"/>
            </w:tcBorders>
            <w:noWrap w:val="0"/>
            <w:vAlign w:val="top"/>
          </w:tcPr>
          <w:p>
            <w:pPr>
              <w:snapToGrid w:val="0"/>
              <w:spacing w:before="50" w:afterLines="50" w:line="360" w:lineRule="auto"/>
              <w:jc w:val="left"/>
              <w:rPr>
                <w:rFonts w:ascii="宋体" w:hAnsi="宋体"/>
                <w:color w:val="000000"/>
                <w:sz w:val="24"/>
                <w:szCs w:val="20"/>
              </w:rPr>
            </w:pPr>
          </w:p>
        </w:tc>
        <w:tc>
          <w:tcPr>
            <w:tcW w:w="1080" w:type="dxa"/>
            <w:tcBorders>
              <w:top w:val="single" w:color="auto" w:sz="4" w:space="0"/>
              <w:left w:val="single" w:color="auto" w:sz="2" w:space="0"/>
              <w:bottom w:val="single" w:color="auto" w:sz="4" w:space="0"/>
              <w:right w:val="single" w:color="auto" w:sz="4" w:space="0"/>
            </w:tcBorders>
            <w:noWrap w:val="0"/>
            <w:vAlign w:val="top"/>
          </w:tcPr>
          <w:p>
            <w:pPr>
              <w:snapToGrid w:val="0"/>
              <w:spacing w:before="5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1000" w:hRule="atLeast"/>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360" w:lineRule="auto"/>
              <w:jc w:val="left"/>
              <w:rPr>
                <w:rFonts w:ascii="宋体" w:hAnsi="宋体"/>
                <w:color w:val="000000"/>
                <w:sz w:val="24"/>
                <w:szCs w:val="20"/>
              </w:rPr>
            </w:pPr>
            <w:r>
              <w:rPr>
                <w:rFonts w:hint="eastAsia" w:ascii="宋体" w:hAnsi="宋体"/>
                <w:color w:val="000000"/>
                <w:sz w:val="24"/>
              </w:rPr>
              <w:t>负责人</w:t>
            </w:r>
          </w:p>
        </w:tc>
        <w:tc>
          <w:tcPr>
            <w:tcW w:w="2162"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before="50" w:afterLines="50" w:line="360" w:lineRule="auto"/>
              <w:jc w:val="left"/>
              <w:rPr>
                <w:rFonts w:ascii="宋体" w:hAnsi="宋体"/>
                <w:color w:val="000000"/>
                <w:sz w:val="24"/>
                <w:szCs w:val="20"/>
              </w:rPr>
            </w:pPr>
          </w:p>
        </w:tc>
        <w:tc>
          <w:tcPr>
            <w:tcW w:w="1326"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Lines="50" w:line="360" w:lineRule="auto"/>
              <w:jc w:val="center"/>
              <w:rPr>
                <w:rFonts w:ascii="宋体" w:hAnsi="宋体"/>
                <w:color w:val="000000"/>
                <w:sz w:val="24"/>
                <w:szCs w:val="20"/>
              </w:rPr>
            </w:pPr>
            <w:r>
              <w:rPr>
                <w:rFonts w:hint="eastAsia" w:ascii="宋体" w:hAnsi="宋体"/>
                <w:color w:val="000000"/>
                <w:sz w:val="24"/>
              </w:rPr>
              <w:t>联系电话</w:t>
            </w:r>
          </w:p>
        </w:tc>
        <w:tc>
          <w:tcPr>
            <w:tcW w:w="3050" w:type="dxa"/>
            <w:gridSpan w:val="2"/>
            <w:tcBorders>
              <w:top w:val="single" w:color="auto" w:sz="4" w:space="0"/>
              <w:left w:val="single" w:color="auto" w:sz="2" w:space="0"/>
              <w:bottom w:val="single" w:color="auto" w:sz="4" w:space="0"/>
              <w:right w:val="single" w:color="auto" w:sz="4" w:space="0"/>
            </w:tcBorders>
            <w:noWrap w:val="0"/>
            <w:vAlign w:val="top"/>
          </w:tcPr>
          <w:p>
            <w:pPr>
              <w:snapToGrid w:val="0"/>
              <w:spacing w:before="5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360" w:lineRule="auto"/>
              <w:jc w:val="left"/>
              <w:rPr>
                <w:rFonts w:ascii="宋体" w:hAnsi="宋体"/>
                <w:color w:val="000000"/>
                <w:sz w:val="24"/>
                <w:szCs w:val="20"/>
              </w:rPr>
            </w:pPr>
          </w:p>
        </w:tc>
      </w:tr>
    </w:tbl>
    <w:p>
      <w:pPr>
        <w:pStyle w:val="36"/>
        <w:snapToGrid w:val="0"/>
        <w:ind w:left="199" w:hanging="199" w:hangingChars="83"/>
        <w:rPr>
          <w:rFonts w:ascii="宋体" w:hAnsi="宋体"/>
          <w:color w:val="000000"/>
          <w:sz w:val="24"/>
        </w:rPr>
      </w:pPr>
    </w:p>
    <w:p>
      <w:pPr>
        <w:pStyle w:val="14"/>
        <w:snapToGrid w:val="0"/>
        <w:rPr>
          <w:rFonts w:ascii="宋体" w:hAnsi="宋体" w:eastAsia="宋体"/>
          <w:color w:val="000000"/>
          <w:sz w:val="24"/>
        </w:rPr>
      </w:pPr>
    </w:p>
    <w:p>
      <w:pPr>
        <w:pStyle w:val="20"/>
        <w:snapToGrid w:val="0"/>
        <w:rPr>
          <w:rFonts w:ascii="宋体" w:hAnsi="宋体"/>
          <w:color w:val="000000"/>
          <w:sz w:val="24"/>
        </w:rPr>
      </w:pPr>
      <w:r>
        <w:rPr>
          <w:rFonts w:hint="eastAsia" w:ascii="宋体" w:hAnsi="宋体"/>
          <w:color w:val="000000"/>
          <w:spacing w:val="20"/>
          <w:sz w:val="24"/>
        </w:rPr>
        <w:t xml:space="preserve">法定代表人签字（或盖章）：            投标人（盖章）： </w:t>
      </w:r>
      <w:r>
        <w:rPr>
          <w:rFonts w:hint="eastAsia" w:ascii="宋体" w:hAnsi="宋体"/>
          <w:color w:val="000000"/>
          <w:sz w:val="24"/>
        </w:rPr>
        <w:t xml:space="preserve">           　 </w:t>
      </w:r>
    </w:p>
    <w:p>
      <w:pPr>
        <w:pStyle w:val="20"/>
        <w:snapToGrid w:val="0"/>
        <w:rPr>
          <w:rFonts w:ascii="宋体" w:hAnsi="宋体"/>
          <w:color w:val="000000"/>
          <w:sz w:val="24"/>
        </w:rPr>
      </w:pPr>
    </w:p>
    <w:p>
      <w:pPr>
        <w:pStyle w:val="20"/>
        <w:snapToGrid w:val="0"/>
        <w:ind w:firstLine="5520" w:firstLineChars="2300"/>
        <w:rPr>
          <w:rFonts w:ascii="宋体" w:hAnsi="宋体"/>
          <w:color w:val="000000"/>
          <w:sz w:val="24"/>
        </w:rPr>
      </w:pPr>
      <w:r>
        <w:rPr>
          <w:rFonts w:hint="eastAsia" w:ascii="宋体" w:hAnsi="宋体"/>
          <w:color w:val="000000"/>
          <w:sz w:val="24"/>
        </w:rPr>
        <w:t>年    月　 日</w:t>
      </w:r>
    </w:p>
    <w:p>
      <w:pPr>
        <w:snapToGrid w:val="0"/>
        <w:spacing w:before="50" w:afterLines="50"/>
        <w:jc w:val="left"/>
        <w:rPr>
          <w:rFonts w:ascii="宋体" w:hAnsi="宋体"/>
          <w:color w:val="000000"/>
          <w:sz w:val="24"/>
          <w:szCs w:val="20"/>
        </w:rPr>
      </w:pPr>
    </w:p>
    <w:p>
      <w:pPr>
        <w:snapToGrid w:val="0"/>
        <w:spacing w:before="50"/>
        <w:jc w:val="left"/>
        <w:rPr>
          <w:rFonts w:ascii="宋体" w:hAnsi="宋体"/>
          <w:color w:val="000000"/>
          <w:sz w:val="24"/>
        </w:rPr>
      </w:pPr>
    </w:p>
    <w:p>
      <w:pPr>
        <w:snapToGrid w:val="0"/>
        <w:spacing w:before="50"/>
        <w:jc w:val="left"/>
        <w:rPr>
          <w:rFonts w:ascii="宋体" w:hAnsi="宋体"/>
          <w:color w:val="000000"/>
          <w:sz w:val="24"/>
        </w:rPr>
      </w:pPr>
    </w:p>
    <w:p>
      <w:pPr>
        <w:snapToGrid w:val="0"/>
        <w:spacing w:before="50"/>
        <w:jc w:val="left"/>
        <w:rPr>
          <w:rFonts w:ascii="宋体" w:hAnsi="宋体"/>
          <w:color w:val="000000"/>
          <w:sz w:val="24"/>
        </w:rPr>
      </w:pPr>
      <w:r>
        <w:rPr>
          <w:rFonts w:ascii="宋体" w:hAnsi="宋体"/>
          <w:color w:val="000000"/>
          <w:sz w:val="24"/>
        </w:rPr>
        <w:br w:type="page"/>
      </w:r>
      <w:bookmarkStart w:id="69" w:name="_Hlk77588362"/>
      <w:r>
        <w:rPr>
          <w:rFonts w:ascii="宋体" w:hAnsi="宋体"/>
          <w:color w:val="000000"/>
          <w:sz w:val="24"/>
        </w:rPr>
        <w:t>12</w:t>
      </w:r>
      <w:r>
        <w:rPr>
          <w:rFonts w:hint="eastAsia" w:ascii="宋体" w:hAnsi="宋体"/>
          <w:color w:val="000000"/>
          <w:sz w:val="24"/>
        </w:rPr>
        <w:t>.商务及技术响应表格式：</w:t>
      </w:r>
      <w:bookmarkEnd w:id="69"/>
    </w:p>
    <w:p>
      <w:pPr>
        <w:snapToGrid w:val="0"/>
        <w:spacing w:before="50"/>
        <w:jc w:val="left"/>
        <w:rPr>
          <w:rFonts w:ascii="宋体" w:hAnsi="宋体"/>
          <w:color w:val="000000"/>
          <w:sz w:val="24"/>
        </w:rPr>
      </w:pPr>
    </w:p>
    <w:p>
      <w:pPr>
        <w:snapToGrid w:val="0"/>
        <w:spacing w:before="50"/>
        <w:jc w:val="center"/>
        <w:rPr>
          <w:rFonts w:ascii="宋体" w:hAnsi="宋体"/>
          <w:b/>
          <w:color w:val="000000"/>
          <w:sz w:val="24"/>
        </w:rPr>
      </w:pPr>
      <w:r>
        <w:rPr>
          <w:rFonts w:hint="eastAsia" w:ascii="宋体" w:hAnsi="宋体"/>
          <w:b/>
          <w:color w:val="000000"/>
          <w:sz w:val="24"/>
        </w:rPr>
        <w:t>商务及技术响应表</w:t>
      </w:r>
    </w:p>
    <w:p>
      <w:pPr>
        <w:snapToGrid w:val="0"/>
        <w:spacing w:beforeLines="50" w:after="50" w:line="360" w:lineRule="auto"/>
        <w:jc w:val="center"/>
        <w:rPr>
          <w:rFonts w:ascii="宋体" w:hAnsi="宋体"/>
          <w:bCs/>
          <w:color w:val="000000"/>
          <w:sz w:val="24"/>
        </w:rPr>
      </w:pPr>
    </w:p>
    <w:p>
      <w:pPr>
        <w:snapToGrid w:val="0"/>
        <w:spacing w:beforeLines="50" w:after="50" w:line="480" w:lineRule="auto"/>
        <w:rPr>
          <w:rFonts w:ascii="宋体" w:hAnsi="宋体"/>
          <w:color w:val="000000"/>
          <w:sz w:val="24"/>
        </w:rPr>
      </w:pPr>
      <w:r>
        <w:rPr>
          <w:rFonts w:hint="eastAsia" w:ascii="宋体" w:hAnsi="宋体"/>
          <w:bCs/>
          <w:color w:val="000000"/>
          <w:sz w:val="24"/>
        </w:rPr>
        <w:t>项目名称：</w:t>
      </w:r>
    </w:p>
    <w:p>
      <w:pPr>
        <w:snapToGrid w:val="0"/>
        <w:spacing w:beforeLines="50" w:after="50" w:line="480" w:lineRule="auto"/>
        <w:rPr>
          <w:rFonts w:ascii="宋体" w:hAnsi="宋体"/>
          <w:b/>
          <w:color w:val="000000"/>
          <w:sz w:val="24"/>
        </w:rPr>
      </w:pPr>
      <w:r>
        <w:rPr>
          <w:rFonts w:hint="eastAsia" w:ascii="宋体" w:hAnsi="宋体"/>
          <w:color w:val="000000"/>
          <w:sz w:val="24"/>
        </w:rPr>
        <w:t>项目编号：</w:t>
      </w:r>
    </w:p>
    <w:tbl>
      <w:tblPr>
        <w:tblStyle w:val="48"/>
        <w:tblW w:w="0" w:type="auto"/>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
        <w:gridCol w:w="1842"/>
        <w:gridCol w:w="1701"/>
        <w:gridCol w:w="993"/>
        <w:gridCol w:w="2409"/>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4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line="360" w:lineRule="exact"/>
              <w:jc w:val="center"/>
              <w:rPr>
                <w:rFonts w:hint="eastAsia" w:ascii="宋体" w:hAnsi="宋体"/>
                <w:b/>
                <w:sz w:val="24"/>
              </w:rPr>
            </w:pPr>
            <w:r>
              <w:rPr>
                <w:rFonts w:hint="eastAsia" w:ascii="宋体" w:hAnsi="宋体"/>
                <w:b/>
                <w:sz w:val="24"/>
              </w:rPr>
              <w:t>序号</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line="360" w:lineRule="exact"/>
              <w:jc w:val="center"/>
              <w:rPr>
                <w:rFonts w:ascii="宋体" w:hAnsi="宋体"/>
                <w:b/>
                <w:sz w:val="24"/>
                <w:szCs w:val="20"/>
              </w:rPr>
            </w:pPr>
            <w:r>
              <w:rPr>
                <w:rFonts w:hint="eastAsia" w:ascii="宋体" w:hAnsi="宋体"/>
                <w:b/>
                <w:sz w:val="24"/>
              </w:rPr>
              <w:t>名称</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line="360" w:lineRule="exact"/>
              <w:jc w:val="center"/>
              <w:rPr>
                <w:rFonts w:ascii="宋体" w:hAnsi="宋体"/>
                <w:b/>
                <w:sz w:val="24"/>
                <w:szCs w:val="20"/>
              </w:rPr>
            </w:pPr>
            <w:r>
              <w:rPr>
                <w:rFonts w:hint="eastAsia" w:ascii="宋体" w:hAnsi="宋体"/>
                <w:b/>
                <w:sz w:val="24"/>
              </w:rPr>
              <w:t>招标文件要求</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line="360" w:lineRule="exact"/>
              <w:jc w:val="center"/>
              <w:rPr>
                <w:rFonts w:ascii="宋体" w:hAnsi="宋体"/>
                <w:b/>
                <w:sz w:val="24"/>
              </w:rPr>
            </w:pPr>
            <w:r>
              <w:rPr>
                <w:rFonts w:hint="eastAsia" w:ascii="宋体" w:hAnsi="宋体"/>
                <w:b/>
                <w:sz w:val="24"/>
              </w:rPr>
              <w:t>是否</w:t>
            </w:r>
          </w:p>
          <w:p>
            <w:pPr>
              <w:snapToGrid w:val="0"/>
              <w:spacing w:beforeLines="50" w:line="360" w:lineRule="exact"/>
              <w:jc w:val="center"/>
              <w:rPr>
                <w:rFonts w:ascii="宋体" w:hAnsi="宋体"/>
                <w:b/>
                <w:sz w:val="24"/>
                <w:szCs w:val="20"/>
              </w:rPr>
            </w:pPr>
            <w:r>
              <w:rPr>
                <w:rFonts w:hint="eastAsia" w:ascii="宋体" w:hAnsi="宋体"/>
                <w:b/>
                <w:sz w:val="24"/>
              </w:rPr>
              <w:t>响应</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line="360" w:lineRule="exact"/>
              <w:jc w:val="center"/>
              <w:rPr>
                <w:rFonts w:ascii="宋体" w:hAnsi="宋体"/>
                <w:b/>
                <w:sz w:val="24"/>
                <w:szCs w:val="20"/>
              </w:rPr>
            </w:pPr>
            <w:r>
              <w:rPr>
                <w:rFonts w:hint="eastAsia" w:ascii="宋体" w:hAnsi="宋体"/>
                <w:b/>
                <w:sz w:val="24"/>
              </w:rPr>
              <w:t>投标人的应标情况</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line="360" w:lineRule="exact"/>
              <w:jc w:val="center"/>
              <w:rPr>
                <w:rFonts w:hint="eastAsia" w:ascii="宋体" w:hAnsi="宋体"/>
                <w:b/>
                <w:sz w:val="24"/>
              </w:rPr>
            </w:pPr>
            <w:r>
              <w:rPr>
                <w:rFonts w:hint="eastAsia" w:ascii="宋体" w:hAnsi="宋体"/>
                <w:b/>
                <w:sz w:val="24"/>
              </w:rPr>
              <w:t>相应内容在投标文件中页码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744" w:hRule="atLeast"/>
        </w:trPr>
        <w:tc>
          <w:tcPr>
            <w:tcW w:w="85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56" w:hRule="atLeast"/>
        </w:trPr>
        <w:tc>
          <w:tcPr>
            <w:tcW w:w="85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750" w:hRule="atLeast"/>
        </w:trPr>
        <w:tc>
          <w:tcPr>
            <w:tcW w:w="85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ind w:left="86"/>
              <w:rPr>
                <w:rFonts w:ascii="宋体" w:hAnsi="宋体"/>
                <w:color w:val="000000"/>
                <w:sz w:val="24"/>
                <w:szCs w:val="20"/>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ind w:left="86"/>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ind w:left="86"/>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48" w:hRule="atLeast"/>
        </w:trPr>
        <w:tc>
          <w:tcPr>
            <w:tcW w:w="85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85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84" w:hRule="atLeast"/>
        </w:trPr>
        <w:tc>
          <w:tcPr>
            <w:tcW w:w="85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84" w:hRule="atLeast"/>
        </w:trPr>
        <w:tc>
          <w:tcPr>
            <w:tcW w:w="85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84" w:hRule="atLeast"/>
        </w:trPr>
        <w:tc>
          <w:tcPr>
            <w:tcW w:w="85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84" w:hRule="atLeast"/>
        </w:trPr>
        <w:tc>
          <w:tcPr>
            <w:tcW w:w="85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84" w:hRule="atLeast"/>
        </w:trPr>
        <w:tc>
          <w:tcPr>
            <w:tcW w:w="85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84" w:hRule="atLeast"/>
        </w:trPr>
        <w:tc>
          <w:tcPr>
            <w:tcW w:w="85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line="360" w:lineRule="auto"/>
              <w:rPr>
                <w:rFonts w:ascii="宋体" w:hAnsi="宋体"/>
                <w:color w:val="000000"/>
                <w:sz w:val="24"/>
                <w:szCs w:val="20"/>
              </w:rPr>
            </w:pPr>
          </w:p>
        </w:tc>
      </w:tr>
    </w:tbl>
    <w:p>
      <w:pPr>
        <w:snapToGrid w:val="0"/>
        <w:spacing w:beforeLines="50"/>
        <w:rPr>
          <w:rFonts w:ascii="宋体" w:hAnsi="宋体"/>
          <w:b/>
          <w:sz w:val="24"/>
          <w:szCs w:val="20"/>
          <w:u w:val="single"/>
          <w:shd w:val="pct10" w:color="auto" w:fill="FFFFFF"/>
        </w:rPr>
      </w:pPr>
      <w:r>
        <w:rPr>
          <w:rFonts w:hint="eastAsia" w:ascii="宋体" w:hAnsi="宋体"/>
          <w:b/>
          <w:sz w:val="24"/>
          <w:szCs w:val="20"/>
          <w:u w:val="single"/>
          <w:shd w:val="pct10" w:color="auto" w:fill="FFFFFF"/>
        </w:rPr>
        <w:t>注：1、投标人应在此表中将招标文件中列明</w:t>
      </w:r>
      <w:bookmarkStart w:id="70" w:name="_Hlk535995896"/>
      <w:r>
        <w:rPr>
          <w:rFonts w:hint="eastAsia" w:ascii="宋体" w:hAnsi="宋体"/>
          <w:b/>
          <w:sz w:val="24"/>
          <w:szCs w:val="20"/>
          <w:u w:val="single"/>
          <w:shd w:val="pct10" w:color="auto" w:fill="FFFFFF"/>
        </w:rPr>
        <w:t>的商务要求和技术参数要求的正偏离或负偏离的应标内容详细写明，</w:t>
      </w:r>
      <w:bookmarkEnd w:id="70"/>
      <w:r>
        <w:rPr>
          <w:rFonts w:hint="eastAsia" w:ascii="宋体" w:hAnsi="宋体"/>
          <w:b/>
          <w:sz w:val="24"/>
          <w:szCs w:val="20"/>
          <w:u w:val="single"/>
          <w:shd w:val="pct10" w:color="auto" w:fill="FFFFFF"/>
        </w:rPr>
        <w:t>特别是勿遗漏打▲的商务和技术要求的应标内容。</w:t>
      </w:r>
    </w:p>
    <w:p>
      <w:pPr>
        <w:snapToGrid w:val="0"/>
        <w:spacing w:beforeLines="50"/>
        <w:rPr>
          <w:rFonts w:ascii="宋体" w:hAnsi="宋体"/>
          <w:b/>
          <w:sz w:val="24"/>
          <w:szCs w:val="20"/>
          <w:u w:val="single"/>
          <w:shd w:val="pct10" w:color="auto" w:fill="FFFFFF"/>
        </w:rPr>
      </w:pPr>
      <w:r>
        <w:rPr>
          <w:rFonts w:ascii="宋体" w:hAnsi="宋体"/>
          <w:b/>
          <w:sz w:val="24"/>
          <w:szCs w:val="20"/>
          <w:u w:val="single"/>
          <w:shd w:val="pct10" w:color="auto" w:fill="FFFFFF"/>
        </w:rPr>
        <w:t>2</w:t>
      </w:r>
      <w:r>
        <w:rPr>
          <w:rFonts w:hint="eastAsia" w:ascii="宋体" w:hAnsi="宋体"/>
          <w:b/>
          <w:sz w:val="24"/>
          <w:szCs w:val="20"/>
          <w:u w:val="single"/>
          <w:shd w:val="pct10" w:color="auto" w:fill="FFFFFF"/>
        </w:rPr>
        <w:t>、如果仅标注完全响应而不列出详细的应标内容，不予认可该商务及技术条款已作响应。</w:t>
      </w:r>
    </w:p>
    <w:p>
      <w:pPr>
        <w:pStyle w:val="27"/>
        <w:snapToGrid w:val="0"/>
        <w:spacing w:before="120" w:after="120" w:line="240" w:lineRule="auto"/>
        <w:ind w:firstLine="280" w:firstLineChars="100"/>
        <w:rPr>
          <w:rFonts w:hAnsi="宋体"/>
          <w:color w:val="000000"/>
        </w:rPr>
      </w:pPr>
      <w:r>
        <w:rPr>
          <w:rFonts w:hint="eastAsia" w:hAnsi="宋体"/>
          <w:color w:val="000000"/>
          <w:spacing w:val="20"/>
        </w:rPr>
        <w:t>法定代表人签字（或盖章）：            投标人（盖章）：</w:t>
      </w:r>
    </w:p>
    <w:p>
      <w:pPr>
        <w:widowControl/>
        <w:jc w:val="left"/>
        <w:rPr>
          <w:rFonts w:ascii="宋体" w:hAnsi="宋体"/>
          <w:color w:val="000000"/>
          <w:sz w:val="24"/>
        </w:rPr>
      </w:pPr>
      <w:r>
        <w:rPr>
          <w:rFonts w:hint="eastAsia" w:ascii="宋体" w:hAnsi="宋体"/>
          <w:color w:val="000000"/>
          <w:sz w:val="24"/>
        </w:rPr>
        <w:t xml:space="preserve">  日期：</w:t>
      </w:r>
    </w:p>
    <w:p>
      <w:pPr>
        <w:snapToGrid w:val="0"/>
        <w:spacing w:line="400" w:lineRule="exact"/>
        <w:jc w:val="left"/>
        <w:rPr>
          <w:rFonts w:ascii="宋体" w:hAnsi="宋体"/>
          <w:b/>
          <w:bCs/>
          <w:color w:val="FF0000"/>
          <w:sz w:val="24"/>
        </w:rPr>
      </w:pPr>
      <w:r>
        <w:rPr>
          <w:rFonts w:ascii="宋体" w:hAnsi="宋体"/>
          <w:color w:val="000000"/>
          <w:sz w:val="24"/>
        </w:rPr>
        <w:br w:type="page"/>
      </w:r>
      <w:bookmarkStart w:id="71" w:name="_Toc265669851"/>
    </w:p>
    <w:p>
      <w:pPr>
        <w:snapToGrid w:val="0"/>
        <w:spacing w:line="400" w:lineRule="exact"/>
        <w:ind w:firstLine="472" w:firstLineChars="196"/>
        <w:jc w:val="left"/>
        <w:rPr>
          <w:rFonts w:ascii="宋体" w:hAnsi="宋体"/>
          <w:b/>
          <w:bCs/>
          <w:color w:val="FF0000"/>
          <w:sz w:val="24"/>
        </w:rPr>
      </w:pPr>
    </w:p>
    <w:p>
      <w:pPr>
        <w:widowControl/>
        <w:jc w:val="left"/>
        <w:rPr>
          <w:rFonts w:hint="eastAsia" w:ascii="宋体" w:hAnsi="宋体"/>
          <w:b/>
          <w:color w:val="000000"/>
          <w:sz w:val="24"/>
        </w:rPr>
      </w:pPr>
    </w:p>
    <w:p>
      <w:pPr>
        <w:snapToGrid w:val="0"/>
        <w:spacing w:before="50" w:afterLines="50"/>
        <w:jc w:val="center"/>
        <w:outlineLvl w:val="1"/>
        <w:rPr>
          <w:rFonts w:ascii="宋体" w:hAnsi="宋体"/>
          <w:b/>
          <w:color w:val="000000"/>
          <w:sz w:val="24"/>
        </w:rPr>
      </w:pPr>
    </w:p>
    <w:p>
      <w:pPr>
        <w:snapToGrid w:val="0"/>
        <w:spacing w:before="50" w:afterLines="50"/>
        <w:jc w:val="center"/>
        <w:outlineLvl w:val="1"/>
        <w:rPr>
          <w:rFonts w:ascii="宋体" w:hAnsi="宋体"/>
          <w:b/>
          <w:color w:val="000000"/>
          <w:sz w:val="30"/>
          <w:szCs w:val="30"/>
        </w:rPr>
      </w:pPr>
      <w:bookmarkStart w:id="72" w:name="_Toc466534754"/>
      <w:r>
        <w:rPr>
          <w:rFonts w:hint="eastAsia" w:ascii="宋体" w:hAnsi="宋体"/>
          <w:b/>
          <w:color w:val="000000"/>
          <w:sz w:val="30"/>
          <w:szCs w:val="30"/>
        </w:rPr>
        <w:t>三、报价文件格式</w:t>
      </w:r>
      <w:bookmarkEnd w:id="71"/>
      <w:bookmarkEnd w:id="72"/>
    </w:p>
    <w:p>
      <w:pPr>
        <w:snapToGrid w:val="0"/>
        <w:spacing w:beforeLines="50" w:after="50"/>
        <w:ind w:firstLine="645"/>
        <w:jc w:val="center"/>
        <w:rPr>
          <w:rFonts w:ascii="宋体" w:hAnsi="宋体"/>
          <w:color w:val="000000"/>
          <w:sz w:val="24"/>
          <w:szCs w:val="20"/>
        </w:rPr>
      </w:pPr>
      <w:r>
        <w:rPr>
          <w:rFonts w:ascii="宋体" w:hAnsi="宋体"/>
          <w:bCs/>
          <w:color w:val="000000"/>
          <w:sz w:val="24"/>
        </w:rPr>
        <w:t xml:space="preserve"> </w:t>
      </w:r>
    </w:p>
    <w:p>
      <w:pPr>
        <w:snapToGrid w:val="0"/>
        <w:spacing w:beforeLines="50" w:after="50"/>
        <w:rPr>
          <w:rFonts w:ascii="宋体" w:hAnsi="宋体"/>
          <w:color w:val="000000"/>
          <w:sz w:val="24"/>
          <w:szCs w:val="20"/>
        </w:rPr>
      </w:pPr>
    </w:p>
    <w:p>
      <w:pPr>
        <w:snapToGrid w:val="0"/>
        <w:spacing w:beforeLines="50" w:after="50"/>
        <w:rPr>
          <w:rFonts w:ascii="宋体" w:hAnsi="宋体"/>
          <w:color w:val="000000"/>
          <w:sz w:val="24"/>
          <w:szCs w:val="20"/>
        </w:rPr>
      </w:pPr>
    </w:p>
    <w:p>
      <w:pPr>
        <w:snapToGrid w:val="0"/>
        <w:spacing w:beforeLines="50" w:after="50"/>
        <w:ind w:firstLine="560" w:firstLineChars="200"/>
        <w:rPr>
          <w:rFonts w:ascii="宋体" w:hAnsi="宋体"/>
          <w:color w:val="000000"/>
          <w:sz w:val="28"/>
          <w:szCs w:val="28"/>
        </w:rPr>
      </w:pPr>
      <w:r>
        <w:rPr>
          <w:rFonts w:hint="eastAsia" w:ascii="宋体" w:hAnsi="宋体"/>
          <w:color w:val="000000"/>
          <w:sz w:val="28"/>
          <w:szCs w:val="28"/>
        </w:rPr>
        <w:t>1</w:t>
      </w:r>
      <w:r>
        <w:rPr>
          <w:rFonts w:ascii="宋体" w:hAnsi="宋体"/>
          <w:color w:val="000000"/>
          <w:sz w:val="28"/>
          <w:szCs w:val="28"/>
        </w:rPr>
        <w:t>3</w:t>
      </w:r>
      <w:r>
        <w:rPr>
          <w:rFonts w:hint="eastAsia" w:ascii="宋体" w:hAnsi="宋体"/>
          <w:color w:val="000000"/>
          <w:sz w:val="28"/>
          <w:szCs w:val="28"/>
        </w:rPr>
        <w:t xml:space="preserve">.报价文件封面格式： </w:t>
      </w:r>
    </w:p>
    <w:p>
      <w:pPr>
        <w:snapToGrid w:val="0"/>
        <w:spacing w:beforeLines="50" w:after="50"/>
        <w:jc w:val="center"/>
        <w:rPr>
          <w:rFonts w:ascii="宋体" w:hAnsi="宋体"/>
          <w:bCs/>
          <w:color w:val="000000"/>
          <w:sz w:val="28"/>
          <w:szCs w:val="28"/>
        </w:rPr>
      </w:pPr>
      <w:r>
        <w:rPr>
          <w:rFonts w:hint="eastAsia" w:ascii="宋体" w:hAnsi="宋体"/>
          <w:bCs/>
          <w:color w:val="000000"/>
          <w:sz w:val="28"/>
          <w:szCs w:val="28"/>
        </w:rPr>
        <w:t>报 价 文 件</w:t>
      </w:r>
    </w:p>
    <w:p>
      <w:pPr>
        <w:snapToGrid w:val="0"/>
        <w:spacing w:beforeLines="50" w:after="50"/>
        <w:jc w:val="center"/>
        <w:rPr>
          <w:rFonts w:ascii="宋体" w:hAnsi="宋体"/>
          <w:b/>
          <w:bCs/>
          <w:color w:val="000000"/>
          <w:sz w:val="28"/>
          <w:szCs w:val="28"/>
        </w:rPr>
      </w:pPr>
      <w:r>
        <w:rPr>
          <w:rFonts w:hint="eastAsia" w:ascii="宋体" w:hAnsi="宋体"/>
          <w:b/>
          <w:bCs/>
          <w:color w:val="000000"/>
          <w:sz w:val="28"/>
          <w:szCs w:val="28"/>
        </w:rPr>
        <w:t xml:space="preserve"> </w:t>
      </w:r>
    </w:p>
    <w:p>
      <w:pPr>
        <w:snapToGrid w:val="0"/>
        <w:spacing w:beforeLines="50" w:after="50" w:line="360" w:lineRule="auto"/>
        <w:jc w:val="center"/>
        <w:rPr>
          <w:rFonts w:ascii="宋体" w:hAnsi="宋体"/>
          <w:bCs/>
          <w:color w:val="000000"/>
          <w:sz w:val="28"/>
          <w:szCs w:val="28"/>
        </w:rPr>
      </w:pPr>
    </w:p>
    <w:p>
      <w:pPr>
        <w:snapToGrid w:val="0"/>
        <w:spacing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pPr>
        <w:snapToGrid w:val="0"/>
        <w:spacing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w:t>
      </w:r>
    </w:p>
    <w:p>
      <w:pPr>
        <w:pStyle w:val="13"/>
        <w:snapToGrid w:val="0"/>
        <w:spacing w:before="50" w:after="50" w:line="360" w:lineRule="auto"/>
        <w:ind w:firstLine="1164" w:firstLineChars="416"/>
        <w:rPr>
          <w:rFonts w:ascii="宋体" w:hAnsi="宋体"/>
          <w:bCs/>
          <w:color w:val="000000"/>
          <w:sz w:val="28"/>
          <w:szCs w:val="28"/>
        </w:rPr>
      </w:pPr>
    </w:p>
    <w:p>
      <w:pPr>
        <w:pStyle w:val="1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投标人名称：</w:t>
      </w:r>
    </w:p>
    <w:p>
      <w:pPr>
        <w:pStyle w:val="1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投标人地址：</w:t>
      </w:r>
    </w:p>
    <w:p>
      <w:pPr>
        <w:snapToGrid w:val="0"/>
        <w:spacing w:beforeLines="50" w:after="50" w:line="360" w:lineRule="auto"/>
        <w:jc w:val="center"/>
        <w:rPr>
          <w:rFonts w:ascii="宋体" w:hAnsi="宋体"/>
          <w:color w:val="000000"/>
          <w:sz w:val="28"/>
          <w:szCs w:val="28"/>
        </w:rPr>
      </w:pPr>
      <w:r>
        <w:rPr>
          <w:rFonts w:hint="eastAsia" w:ascii="宋体" w:hAnsi="宋体"/>
          <w:color w:val="000000"/>
          <w:sz w:val="28"/>
          <w:szCs w:val="28"/>
        </w:rPr>
        <w:t xml:space="preserve">                        </w:t>
      </w:r>
    </w:p>
    <w:p>
      <w:pPr>
        <w:snapToGrid w:val="0"/>
        <w:spacing w:beforeLines="50" w:after="50" w:line="360" w:lineRule="auto"/>
        <w:jc w:val="center"/>
        <w:rPr>
          <w:rFonts w:ascii="宋体" w:hAnsi="宋体"/>
          <w:color w:val="000000"/>
          <w:sz w:val="28"/>
          <w:szCs w:val="28"/>
        </w:rPr>
      </w:pPr>
      <w:r>
        <w:rPr>
          <w:rFonts w:hint="eastAsia" w:ascii="宋体" w:hAnsi="宋体"/>
          <w:color w:val="000000"/>
          <w:sz w:val="28"/>
          <w:szCs w:val="28"/>
        </w:rPr>
        <w:t>年  月  日</w:t>
      </w:r>
    </w:p>
    <w:p>
      <w:pPr>
        <w:pStyle w:val="27"/>
        <w:snapToGrid w:val="0"/>
        <w:spacing w:before="120" w:after="120" w:line="240" w:lineRule="auto"/>
        <w:rPr>
          <w:rFonts w:hAnsi="宋体"/>
          <w:color w:val="000000"/>
        </w:rPr>
      </w:pPr>
      <w:r>
        <w:rPr>
          <w:rFonts w:hint="eastAsia" w:hAnsi="宋体"/>
          <w:color w:val="000000"/>
        </w:rPr>
        <w:br w:type="page"/>
      </w:r>
      <w:r>
        <w:rPr>
          <w:rFonts w:hint="eastAsia" w:hAnsi="宋体"/>
          <w:color w:val="000000"/>
        </w:rPr>
        <w:t>1</w:t>
      </w:r>
      <w:r>
        <w:rPr>
          <w:rFonts w:hAnsi="宋体"/>
          <w:color w:val="000000"/>
        </w:rPr>
        <w:t>4</w:t>
      </w:r>
      <w:r>
        <w:rPr>
          <w:rFonts w:hint="eastAsia" w:hAnsi="宋体"/>
          <w:color w:val="000000"/>
        </w:rPr>
        <w:t>.开标一览表格式：</w:t>
      </w:r>
    </w:p>
    <w:p>
      <w:pPr>
        <w:pStyle w:val="27"/>
        <w:snapToGrid w:val="0"/>
        <w:spacing w:before="120" w:after="120" w:line="240" w:lineRule="auto"/>
        <w:jc w:val="center"/>
        <w:rPr>
          <w:rFonts w:hAnsi="宋体"/>
          <w:b/>
          <w:color w:val="000000"/>
        </w:rPr>
      </w:pPr>
      <w:r>
        <w:rPr>
          <w:rFonts w:hint="eastAsia" w:hAnsi="宋体"/>
          <w:b/>
          <w:color w:val="000000"/>
        </w:rPr>
        <w:t>开标一览表</w:t>
      </w:r>
    </w:p>
    <w:p>
      <w:pPr>
        <w:snapToGrid w:val="0"/>
        <w:spacing w:line="360" w:lineRule="auto"/>
        <w:ind w:firstLine="588" w:firstLineChars="245"/>
        <w:rPr>
          <w:rFonts w:hint="eastAsia" w:ascii="宋体" w:hAnsi="宋体"/>
          <w:bCs/>
          <w:color w:val="000000"/>
          <w:sz w:val="24"/>
        </w:rPr>
      </w:pPr>
      <w:r>
        <w:rPr>
          <w:rFonts w:hint="eastAsia" w:ascii="宋体" w:hAnsi="宋体"/>
          <w:bCs/>
          <w:color w:val="000000"/>
          <w:sz w:val="24"/>
        </w:rPr>
        <w:t>项目名称：</w:t>
      </w:r>
    </w:p>
    <w:p>
      <w:pPr>
        <w:snapToGrid w:val="0"/>
        <w:spacing w:line="360" w:lineRule="auto"/>
        <w:ind w:firstLine="588" w:firstLineChars="245"/>
        <w:rPr>
          <w:rFonts w:ascii="宋体" w:hAnsi="宋体"/>
          <w:b/>
          <w:color w:val="000000"/>
          <w:sz w:val="24"/>
        </w:rPr>
      </w:pPr>
      <w:r>
        <w:rPr>
          <w:rFonts w:hint="eastAsia" w:ascii="宋体" w:hAnsi="宋体"/>
          <w:color w:val="000000"/>
          <w:sz w:val="24"/>
        </w:rPr>
        <w:t>项目编号：</w:t>
      </w:r>
    </w:p>
    <w:tbl>
      <w:tblPr>
        <w:tblStyle w:val="48"/>
        <w:tblW w:w="9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5681"/>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420" w:type="dxa"/>
            <w:noWrap w:val="0"/>
            <w:vAlign w:val="top"/>
          </w:tcPr>
          <w:p>
            <w:pPr>
              <w:jc w:val="center"/>
            </w:pPr>
            <w:r>
              <w:rPr>
                <w:rFonts w:hint="eastAsia"/>
              </w:rPr>
              <w:t>名称</w:t>
            </w:r>
          </w:p>
        </w:tc>
        <w:tc>
          <w:tcPr>
            <w:tcW w:w="5681" w:type="dxa"/>
            <w:noWrap w:val="0"/>
            <w:vAlign w:val="top"/>
          </w:tcPr>
          <w:p>
            <w:pPr>
              <w:jc w:val="center"/>
              <w:rPr>
                <w:rFonts w:hint="eastAsia"/>
              </w:rPr>
            </w:pPr>
            <w:r>
              <w:rPr>
                <w:rFonts w:hint="eastAsia"/>
              </w:rPr>
              <w:t>价格</w:t>
            </w:r>
          </w:p>
        </w:tc>
        <w:tc>
          <w:tcPr>
            <w:tcW w:w="2426" w:type="dxa"/>
            <w:noWrap w:val="0"/>
            <w:vAlign w:val="top"/>
          </w:tcPr>
          <w:p>
            <w:pPr>
              <w:jc w:val="cente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center"/>
          </w:tcPr>
          <w:p>
            <w:pPr>
              <w:jc w:val="center"/>
            </w:pPr>
            <w:r>
              <w:rPr>
                <w:rFonts w:hint="eastAsia" w:ascii="宋体" w:hAnsi="宋体" w:eastAsia="宋体" w:cs="Times New Roman"/>
                <w:color w:val="000000"/>
                <w:kern w:val="2"/>
                <w:sz w:val="24"/>
                <w:szCs w:val="24"/>
                <w:lang w:val="en-US" w:eastAsia="zh-CN" w:bidi="ar-SA"/>
              </w:rPr>
              <w:t>投标总报价</w:t>
            </w:r>
          </w:p>
        </w:tc>
        <w:tc>
          <w:tcPr>
            <w:tcW w:w="5681" w:type="dxa"/>
            <w:noWrap w:val="0"/>
            <w:vAlign w:val="center"/>
          </w:tcPr>
          <w:p>
            <w:pPr>
              <w:pStyle w:val="27"/>
              <w:snapToGrid w:val="0"/>
              <w:spacing w:before="120" w:after="120" w:line="240" w:lineRule="auto"/>
              <w:ind w:left="240" w:hanging="240" w:hangingChars="100"/>
              <w:jc w:val="both"/>
              <w:rPr>
                <w:rFonts w:hAnsi="宋体"/>
                <w:kern w:val="2"/>
              </w:rPr>
            </w:pPr>
            <w:r>
              <w:rPr>
                <w:rFonts w:hint="eastAsia" w:hAnsi="宋体"/>
                <w:color w:val="000000"/>
                <w:kern w:val="2"/>
              </w:rPr>
              <w:t>大写</w:t>
            </w:r>
            <w:r>
              <w:rPr>
                <w:rFonts w:hint="eastAsia" w:hAnsi="宋体"/>
                <w:kern w:val="2"/>
              </w:rPr>
              <w:t>：人民币</w:t>
            </w:r>
            <w:r>
              <w:rPr>
                <w:rFonts w:hint="eastAsia" w:hAnsi="宋体"/>
                <w:kern w:val="2"/>
                <w:u w:val="single"/>
              </w:rPr>
              <w:t xml:space="preserve"> </w:t>
            </w:r>
            <w:r>
              <w:rPr>
                <w:rFonts w:hAnsi="宋体"/>
                <w:kern w:val="2"/>
                <w:u w:val="single"/>
              </w:rPr>
              <w:t xml:space="preserve">   </w:t>
            </w:r>
            <w:r>
              <w:rPr>
                <w:rFonts w:hint="eastAsia" w:hAnsi="宋体"/>
                <w:kern w:val="2"/>
              </w:rPr>
              <w:t>佰</w:t>
            </w:r>
            <w:r>
              <w:rPr>
                <w:rFonts w:hint="eastAsia" w:hAnsi="宋体"/>
                <w:kern w:val="2"/>
                <w:u w:val="single"/>
              </w:rPr>
              <w:t xml:space="preserve"> </w:t>
            </w:r>
            <w:r>
              <w:rPr>
                <w:rFonts w:hAnsi="宋体"/>
                <w:kern w:val="2"/>
                <w:u w:val="single"/>
              </w:rPr>
              <w:t xml:space="preserve">   </w:t>
            </w:r>
            <w:r>
              <w:rPr>
                <w:rFonts w:hint="eastAsia" w:hAnsi="宋体"/>
                <w:kern w:val="2"/>
              </w:rPr>
              <w:t>拾</w:t>
            </w:r>
            <w:r>
              <w:rPr>
                <w:rFonts w:hint="eastAsia" w:hAnsi="宋体"/>
                <w:kern w:val="2"/>
                <w:u w:val="single"/>
              </w:rPr>
              <w:t xml:space="preserve"> </w:t>
            </w:r>
            <w:r>
              <w:rPr>
                <w:rFonts w:hAnsi="宋体"/>
                <w:kern w:val="2"/>
                <w:u w:val="single"/>
              </w:rPr>
              <w:t xml:space="preserve">  </w:t>
            </w:r>
            <w:r>
              <w:rPr>
                <w:rFonts w:hint="eastAsia" w:hAnsi="宋体"/>
                <w:kern w:val="2"/>
              </w:rPr>
              <w:t>万</w:t>
            </w:r>
            <w:r>
              <w:rPr>
                <w:rFonts w:hint="eastAsia" w:hAnsi="宋体"/>
                <w:kern w:val="2"/>
                <w:u w:val="single"/>
              </w:rPr>
              <w:t xml:space="preserve"> </w:t>
            </w:r>
            <w:r>
              <w:rPr>
                <w:rFonts w:hAnsi="宋体"/>
                <w:kern w:val="2"/>
                <w:u w:val="single"/>
              </w:rPr>
              <w:t xml:space="preserve">  </w:t>
            </w:r>
            <w:r>
              <w:rPr>
                <w:rFonts w:hint="eastAsia" w:hAnsi="宋体"/>
                <w:kern w:val="2"/>
              </w:rPr>
              <w:t>仟</w:t>
            </w:r>
            <w:r>
              <w:rPr>
                <w:rFonts w:hint="eastAsia" w:hAnsi="宋体"/>
                <w:kern w:val="2"/>
                <w:u w:val="single"/>
              </w:rPr>
              <w:t xml:space="preserve"> </w:t>
            </w:r>
            <w:r>
              <w:rPr>
                <w:rFonts w:hAnsi="宋体"/>
                <w:kern w:val="2"/>
                <w:u w:val="single"/>
              </w:rPr>
              <w:t xml:space="preserve">  </w:t>
            </w:r>
            <w:r>
              <w:rPr>
                <w:rFonts w:hint="eastAsia" w:hAnsi="宋体"/>
                <w:kern w:val="2"/>
              </w:rPr>
              <w:t>佰</w:t>
            </w:r>
            <w:r>
              <w:rPr>
                <w:rFonts w:hint="eastAsia" w:hAnsi="宋体"/>
                <w:kern w:val="2"/>
                <w:u w:val="single"/>
              </w:rPr>
              <w:t xml:space="preserve"> </w:t>
            </w:r>
            <w:r>
              <w:rPr>
                <w:rFonts w:hAnsi="宋体"/>
                <w:kern w:val="2"/>
                <w:u w:val="single"/>
              </w:rPr>
              <w:t xml:space="preserve">  </w:t>
            </w:r>
            <w:r>
              <w:rPr>
                <w:rFonts w:hint="eastAsia" w:hAnsi="宋体"/>
                <w:kern w:val="2"/>
              </w:rPr>
              <w:t>拾</w:t>
            </w:r>
          </w:p>
          <w:p>
            <w:pPr>
              <w:pStyle w:val="27"/>
              <w:snapToGrid w:val="0"/>
              <w:spacing w:before="120" w:after="120" w:line="240" w:lineRule="auto"/>
              <w:ind w:left="210" w:leftChars="100" w:firstLine="1200" w:firstLineChars="500"/>
              <w:jc w:val="both"/>
              <w:rPr>
                <w:rFonts w:hint="eastAsia" w:hAnsi="宋体"/>
                <w:kern w:val="2"/>
              </w:rPr>
            </w:pPr>
            <w:r>
              <w:rPr>
                <w:rFonts w:hint="eastAsia" w:hAnsi="宋体"/>
                <w:kern w:val="2"/>
                <w:u w:val="single"/>
              </w:rPr>
              <w:t xml:space="preserve"> </w:t>
            </w:r>
            <w:r>
              <w:rPr>
                <w:rFonts w:hAnsi="宋体"/>
                <w:kern w:val="2"/>
                <w:u w:val="single"/>
              </w:rPr>
              <w:t xml:space="preserve">   </w:t>
            </w:r>
            <w:r>
              <w:rPr>
                <w:rFonts w:hint="eastAsia" w:hAnsi="宋体"/>
                <w:kern w:val="2"/>
              </w:rPr>
              <w:t>元</w:t>
            </w:r>
            <w:r>
              <w:rPr>
                <w:rFonts w:hAnsi="宋体"/>
                <w:kern w:val="2"/>
                <w:u w:val="single"/>
              </w:rPr>
              <w:t xml:space="preserve"> </w:t>
            </w:r>
            <w:r>
              <w:rPr>
                <w:rFonts w:hint="eastAsia" w:hAnsi="宋体"/>
                <w:kern w:val="2"/>
                <w:u w:val="single"/>
              </w:rPr>
              <w:t xml:space="preserve"> </w:t>
            </w:r>
            <w:r>
              <w:rPr>
                <w:rFonts w:hAnsi="宋体"/>
                <w:kern w:val="2"/>
                <w:u w:val="single"/>
              </w:rPr>
              <w:t xml:space="preserve">  </w:t>
            </w:r>
            <w:r>
              <w:rPr>
                <w:rFonts w:hint="eastAsia" w:hAnsi="宋体"/>
                <w:kern w:val="2"/>
              </w:rPr>
              <w:t>角</w:t>
            </w:r>
            <w:r>
              <w:rPr>
                <w:rFonts w:hint="eastAsia" w:hAnsi="宋体"/>
                <w:kern w:val="2"/>
                <w:u w:val="single"/>
              </w:rPr>
              <w:t xml:space="preserve"> </w:t>
            </w:r>
            <w:r>
              <w:rPr>
                <w:rFonts w:hAnsi="宋体"/>
                <w:kern w:val="2"/>
                <w:u w:val="single"/>
              </w:rPr>
              <w:t xml:space="preserve">   </w:t>
            </w:r>
            <w:r>
              <w:rPr>
                <w:rFonts w:hint="eastAsia" w:hAnsi="宋体"/>
                <w:kern w:val="2"/>
              </w:rPr>
              <w:t>分整</w:t>
            </w:r>
          </w:p>
          <w:p>
            <w:pPr>
              <w:pStyle w:val="27"/>
              <w:snapToGrid w:val="0"/>
              <w:spacing w:before="120" w:after="120" w:line="240" w:lineRule="auto"/>
              <w:jc w:val="center"/>
              <w:rPr>
                <w:rFonts w:hAnsi="宋体"/>
                <w:kern w:val="2"/>
              </w:rPr>
            </w:pPr>
          </w:p>
          <w:p>
            <w:pPr>
              <w:pStyle w:val="27"/>
              <w:snapToGrid w:val="0"/>
              <w:spacing w:before="120" w:after="120" w:line="240" w:lineRule="auto"/>
              <w:jc w:val="both"/>
              <w:rPr>
                <w:rFonts w:hAnsi="宋体"/>
                <w:kern w:val="2"/>
              </w:rPr>
            </w:pPr>
            <w:r>
              <w:rPr>
                <w:rFonts w:hint="eastAsia" w:hAnsi="宋体"/>
                <w:kern w:val="2"/>
              </w:rPr>
              <w:t>小写：</w:t>
            </w:r>
            <w:r>
              <w:rPr>
                <w:rFonts w:hint="eastAsia" w:hAnsi="宋体"/>
                <w:kern w:val="2"/>
                <w:u w:val="single"/>
              </w:rPr>
              <w:t>￥</w:t>
            </w:r>
            <w:r>
              <w:rPr>
                <w:rFonts w:hint="eastAsia" w:hAnsi="宋体"/>
                <w:kern w:val="2"/>
              </w:rPr>
              <w:t>_______________________元整</w:t>
            </w:r>
          </w:p>
          <w:p>
            <w:pPr>
              <w:jc w:val="center"/>
            </w:pPr>
          </w:p>
        </w:tc>
        <w:tc>
          <w:tcPr>
            <w:tcW w:w="2426" w:type="dxa"/>
            <w:noWrap w:val="0"/>
            <w:vAlign w:val="top"/>
          </w:tcPr>
          <w:p/>
        </w:tc>
      </w:tr>
    </w:tbl>
    <w:p>
      <w:pPr>
        <w:snapToGrid w:val="0"/>
        <w:spacing w:before="50" w:afterLines="50" w:line="360" w:lineRule="auto"/>
        <w:jc w:val="left"/>
        <w:rPr>
          <w:rFonts w:hint="eastAsia" w:ascii="宋体" w:hAnsi="宋体"/>
          <w:color w:val="000000"/>
          <w:sz w:val="24"/>
          <w:szCs w:val="20"/>
        </w:rPr>
      </w:pPr>
    </w:p>
    <w:p>
      <w:pPr>
        <w:snapToGrid w:val="0"/>
        <w:spacing w:before="50" w:afterLines="50" w:line="360" w:lineRule="auto"/>
        <w:jc w:val="left"/>
        <w:rPr>
          <w:rFonts w:ascii="宋体" w:hAnsi="宋体"/>
          <w:color w:val="000000"/>
          <w:sz w:val="24"/>
          <w:szCs w:val="20"/>
        </w:rPr>
      </w:pPr>
      <w:r>
        <w:rPr>
          <w:rFonts w:hint="eastAsia" w:ascii="宋体" w:hAnsi="宋体"/>
          <w:color w:val="000000"/>
          <w:sz w:val="24"/>
          <w:szCs w:val="20"/>
        </w:rPr>
        <w:t>投标总报价包括（但不限于）施工设备、劳务、管理、材料、系统集成、安装调试、软件开发、试运行、质保、保险、利润、税金、培训费、开办费、措施费、人身意外伤害保险费、第三方检测费用、备品备件费用、建设期财务费用、光纤租赁费用、安全文明施工设施费用、机房和网络建设费用、维修维护服务、设备使用电费、相关审批费用、政策性文件规定费用及合同包含的所有风险、责任等各项所有费用。</w:t>
      </w:r>
    </w:p>
    <w:p>
      <w:pPr>
        <w:pStyle w:val="27"/>
        <w:snapToGrid w:val="0"/>
        <w:spacing w:before="120" w:after="120" w:line="240" w:lineRule="auto"/>
        <w:rPr>
          <w:rFonts w:hAnsi="宋体"/>
          <w:color w:val="000000"/>
          <w:spacing w:val="20"/>
        </w:rPr>
      </w:pPr>
      <w:r>
        <w:rPr>
          <w:rFonts w:hint="eastAsia" w:hAnsi="宋体"/>
          <w:color w:val="000000"/>
          <w:spacing w:val="20"/>
        </w:rPr>
        <w:t xml:space="preserve">法定代表人签字（或盖章）：            投标人（盖章）：  </w:t>
      </w:r>
    </w:p>
    <w:p>
      <w:pPr>
        <w:pStyle w:val="27"/>
        <w:snapToGrid w:val="0"/>
        <w:spacing w:before="120" w:after="120" w:line="240" w:lineRule="auto"/>
        <w:rPr>
          <w:rFonts w:hAnsi="宋体"/>
          <w:color w:val="000000"/>
        </w:rPr>
      </w:pPr>
      <w:r>
        <w:rPr>
          <w:rFonts w:hint="eastAsia" w:hAnsi="宋体"/>
          <w:color w:val="000000"/>
        </w:rPr>
        <w:t>日期：</w:t>
      </w:r>
    </w:p>
    <w:p>
      <w:pPr>
        <w:pStyle w:val="27"/>
        <w:snapToGrid w:val="0"/>
        <w:spacing w:before="120" w:after="120" w:line="240" w:lineRule="auto"/>
        <w:rPr>
          <w:rFonts w:hint="eastAsia" w:hAnsi="宋体"/>
          <w:color w:val="000000"/>
        </w:rPr>
      </w:pPr>
    </w:p>
    <w:p>
      <w:pPr>
        <w:pStyle w:val="27"/>
        <w:snapToGrid w:val="0"/>
        <w:spacing w:before="120" w:after="120" w:line="240" w:lineRule="auto"/>
        <w:rPr>
          <w:rFonts w:hint="eastAsia" w:hAnsi="宋体"/>
          <w:color w:val="000000"/>
        </w:rPr>
      </w:pPr>
    </w:p>
    <w:p>
      <w:pPr>
        <w:pStyle w:val="27"/>
        <w:snapToGrid w:val="0"/>
        <w:spacing w:before="120" w:after="120" w:line="240" w:lineRule="auto"/>
        <w:rPr>
          <w:rFonts w:hint="eastAsia" w:hAnsi="宋体"/>
          <w:color w:val="000000"/>
        </w:rPr>
      </w:pPr>
    </w:p>
    <w:p>
      <w:pPr>
        <w:pStyle w:val="27"/>
        <w:snapToGrid w:val="0"/>
        <w:spacing w:before="120" w:after="120" w:line="240" w:lineRule="auto"/>
        <w:rPr>
          <w:rFonts w:hint="eastAsia" w:hAnsi="宋体"/>
          <w:color w:val="000000"/>
        </w:rPr>
      </w:pPr>
    </w:p>
    <w:p>
      <w:pPr>
        <w:pStyle w:val="27"/>
        <w:snapToGrid w:val="0"/>
        <w:spacing w:before="120" w:after="120" w:line="240" w:lineRule="auto"/>
        <w:rPr>
          <w:rFonts w:hint="eastAsia" w:hAnsi="宋体"/>
          <w:color w:val="000000"/>
        </w:rPr>
      </w:pPr>
    </w:p>
    <w:p>
      <w:pPr>
        <w:pStyle w:val="27"/>
        <w:snapToGrid w:val="0"/>
        <w:spacing w:before="120" w:after="120" w:line="240" w:lineRule="auto"/>
        <w:rPr>
          <w:rFonts w:hint="eastAsia" w:hAnsi="宋体"/>
          <w:color w:val="000000"/>
        </w:rPr>
      </w:pPr>
    </w:p>
    <w:p>
      <w:pPr>
        <w:pStyle w:val="27"/>
        <w:snapToGrid w:val="0"/>
        <w:spacing w:before="120" w:after="120" w:line="240" w:lineRule="auto"/>
        <w:rPr>
          <w:rFonts w:hint="eastAsia" w:hAnsi="宋体"/>
          <w:color w:val="000000"/>
        </w:rPr>
      </w:pPr>
    </w:p>
    <w:p>
      <w:pPr>
        <w:pStyle w:val="27"/>
        <w:snapToGrid w:val="0"/>
        <w:spacing w:before="120" w:after="120" w:line="240" w:lineRule="auto"/>
        <w:rPr>
          <w:rFonts w:hint="eastAsia" w:hAnsi="宋体"/>
          <w:color w:val="000000"/>
        </w:rPr>
      </w:pPr>
    </w:p>
    <w:p>
      <w:pPr>
        <w:pStyle w:val="27"/>
        <w:snapToGrid w:val="0"/>
        <w:spacing w:before="120" w:after="120" w:line="240" w:lineRule="auto"/>
        <w:rPr>
          <w:rFonts w:hint="eastAsia" w:hAnsi="宋体"/>
          <w:color w:val="000000"/>
        </w:rPr>
      </w:pPr>
    </w:p>
    <w:p>
      <w:pPr>
        <w:pStyle w:val="27"/>
        <w:snapToGrid w:val="0"/>
        <w:spacing w:before="120" w:after="120" w:line="240" w:lineRule="auto"/>
        <w:rPr>
          <w:rFonts w:hint="eastAsia" w:hAnsi="宋体"/>
          <w:color w:val="000000"/>
        </w:rPr>
      </w:pPr>
    </w:p>
    <w:p>
      <w:pPr>
        <w:pStyle w:val="27"/>
        <w:snapToGrid w:val="0"/>
        <w:spacing w:before="120" w:after="120" w:line="240" w:lineRule="auto"/>
        <w:rPr>
          <w:rFonts w:hint="eastAsia" w:hAnsi="宋体"/>
          <w:color w:val="000000"/>
        </w:rPr>
      </w:pPr>
    </w:p>
    <w:p>
      <w:pPr>
        <w:pStyle w:val="27"/>
        <w:snapToGrid w:val="0"/>
        <w:spacing w:before="120" w:after="120" w:line="240" w:lineRule="auto"/>
        <w:rPr>
          <w:rFonts w:hint="eastAsia" w:hAnsi="宋体"/>
          <w:color w:val="000000"/>
        </w:rPr>
      </w:pPr>
    </w:p>
    <w:p>
      <w:pPr>
        <w:pStyle w:val="27"/>
        <w:snapToGrid w:val="0"/>
        <w:spacing w:before="120" w:after="120" w:line="240" w:lineRule="auto"/>
        <w:rPr>
          <w:rFonts w:hint="eastAsia" w:hAnsi="宋体"/>
          <w:color w:val="000000"/>
        </w:rPr>
      </w:pPr>
    </w:p>
    <w:p>
      <w:pPr>
        <w:pStyle w:val="27"/>
        <w:snapToGrid w:val="0"/>
        <w:spacing w:before="120" w:after="120" w:line="240" w:lineRule="auto"/>
        <w:rPr>
          <w:rFonts w:hint="eastAsia" w:hAnsi="宋体"/>
          <w:color w:val="000000"/>
        </w:rPr>
      </w:pPr>
    </w:p>
    <w:p>
      <w:pPr>
        <w:pStyle w:val="27"/>
        <w:snapToGrid w:val="0"/>
        <w:spacing w:before="120" w:after="120" w:line="240" w:lineRule="auto"/>
        <w:rPr>
          <w:rFonts w:hAnsi="宋体"/>
          <w:color w:val="000000"/>
        </w:rPr>
      </w:pPr>
      <w:r>
        <w:rPr>
          <w:rFonts w:hint="eastAsia" w:hAnsi="宋体"/>
          <w:color w:val="000000"/>
        </w:rPr>
        <w:t>1</w:t>
      </w:r>
      <w:r>
        <w:rPr>
          <w:rFonts w:hAnsi="宋体"/>
          <w:color w:val="000000"/>
        </w:rPr>
        <w:t>5</w:t>
      </w:r>
      <w:r>
        <w:rPr>
          <w:rFonts w:hint="eastAsia" w:hAnsi="宋体"/>
          <w:color w:val="000000"/>
        </w:rPr>
        <w:t xml:space="preserve">.报价明细表格式：       </w:t>
      </w:r>
    </w:p>
    <w:p>
      <w:pPr>
        <w:pStyle w:val="27"/>
        <w:snapToGrid w:val="0"/>
        <w:spacing w:before="120" w:after="120" w:line="240" w:lineRule="auto"/>
        <w:jc w:val="center"/>
        <w:rPr>
          <w:rFonts w:hint="eastAsia" w:hAnsi="宋体"/>
          <w:b/>
          <w:color w:val="000000"/>
        </w:rPr>
      </w:pPr>
      <w:r>
        <w:rPr>
          <w:rFonts w:hint="eastAsia" w:hAnsi="宋体"/>
          <w:b/>
          <w:color w:val="000000"/>
        </w:rPr>
        <w:t>报价明细表</w:t>
      </w:r>
    </w:p>
    <w:p>
      <w:pPr>
        <w:snapToGrid w:val="0"/>
        <w:spacing w:beforeLines="50" w:after="50" w:line="360" w:lineRule="auto"/>
        <w:rPr>
          <w:rFonts w:ascii="宋体" w:hAnsi="宋体"/>
          <w:bCs/>
          <w:color w:val="000000"/>
          <w:sz w:val="24"/>
        </w:rPr>
      </w:pPr>
      <w:r>
        <w:rPr>
          <w:rFonts w:hint="eastAsia" w:ascii="宋体" w:hAnsi="宋体"/>
          <w:bCs/>
          <w:color w:val="000000"/>
          <w:sz w:val="24"/>
        </w:rPr>
        <w:t xml:space="preserve">项目名称：                                         </w:t>
      </w:r>
      <w:r>
        <w:rPr>
          <w:rFonts w:hint="eastAsia" w:ascii="宋体" w:hAnsi="宋体"/>
          <w:color w:val="000000"/>
          <w:sz w:val="24"/>
        </w:rPr>
        <w:t>项目编号：</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302"/>
        <w:gridCol w:w="1559"/>
        <w:gridCol w:w="1417"/>
        <w:gridCol w:w="993"/>
        <w:gridCol w:w="993"/>
        <w:gridCol w:w="850"/>
        <w:gridCol w:w="992"/>
        <w:gridCol w:w="993"/>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8" w:hRule="atLeast"/>
          <w:jc w:val="center"/>
        </w:trPr>
        <w:tc>
          <w:tcPr>
            <w:tcW w:w="828" w:type="dxa"/>
            <w:noWrap w:val="0"/>
            <w:vAlign w:val="center"/>
          </w:tcPr>
          <w:p>
            <w:pPr>
              <w:jc w:val="center"/>
              <w:rPr>
                <w:b/>
                <w:color w:val="000000"/>
                <w:sz w:val="24"/>
              </w:rPr>
            </w:pPr>
            <w:bookmarkStart w:id="73" w:name="_Hlk78207666"/>
            <w:r>
              <w:rPr>
                <w:rFonts w:hint="eastAsia"/>
                <w:b/>
                <w:color w:val="000000"/>
                <w:sz w:val="24"/>
              </w:rPr>
              <w:t>序号</w:t>
            </w:r>
          </w:p>
        </w:tc>
        <w:tc>
          <w:tcPr>
            <w:tcW w:w="1302" w:type="dxa"/>
            <w:noWrap w:val="0"/>
            <w:vAlign w:val="center"/>
          </w:tcPr>
          <w:p>
            <w:pPr>
              <w:jc w:val="center"/>
              <w:rPr>
                <w:b/>
                <w:sz w:val="24"/>
              </w:rPr>
            </w:pPr>
            <w:r>
              <w:rPr>
                <w:rFonts w:hint="eastAsia"/>
                <w:b/>
                <w:sz w:val="24"/>
              </w:rPr>
              <w:t>标的设备名称</w:t>
            </w:r>
          </w:p>
        </w:tc>
        <w:tc>
          <w:tcPr>
            <w:tcW w:w="1559" w:type="dxa"/>
            <w:noWrap w:val="0"/>
            <w:vAlign w:val="center"/>
          </w:tcPr>
          <w:p>
            <w:pPr>
              <w:jc w:val="center"/>
              <w:rPr>
                <w:b/>
                <w:sz w:val="24"/>
              </w:rPr>
            </w:pPr>
            <w:r>
              <w:rPr>
                <w:rFonts w:hint="eastAsia"/>
                <w:b/>
                <w:sz w:val="24"/>
              </w:rPr>
              <w:t>制造商名称</w:t>
            </w:r>
          </w:p>
        </w:tc>
        <w:tc>
          <w:tcPr>
            <w:tcW w:w="1417" w:type="dxa"/>
            <w:noWrap w:val="0"/>
            <w:vAlign w:val="center"/>
          </w:tcPr>
          <w:p>
            <w:pPr>
              <w:jc w:val="center"/>
              <w:rPr>
                <w:b/>
                <w:sz w:val="24"/>
              </w:rPr>
            </w:pPr>
            <w:r>
              <w:rPr>
                <w:rFonts w:hint="eastAsia"/>
                <w:b/>
                <w:sz w:val="24"/>
              </w:rPr>
              <w:t>是否是小微企业</w:t>
            </w:r>
          </w:p>
        </w:tc>
        <w:tc>
          <w:tcPr>
            <w:tcW w:w="993" w:type="dxa"/>
            <w:noWrap w:val="0"/>
            <w:vAlign w:val="top"/>
          </w:tcPr>
          <w:p>
            <w:pPr>
              <w:jc w:val="center"/>
              <w:rPr>
                <w:b/>
                <w:sz w:val="24"/>
              </w:rPr>
            </w:pPr>
            <w:r>
              <w:rPr>
                <w:rFonts w:hint="eastAsia"/>
                <w:b/>
                <w:sz w:val="24"/>
              </w:rPr>
              <w:t>所属</w:t>
            </w:r>
          </w:p>
          <w:p>
            <w:pPr>
              <w:jc w:val="center"/>
              <w:rPr>
                <w:rFonts w:hint="eastAsia"/>
                <w:b/>
                <w:color w:val="000000"/>
                <w:sz w:val="24"/>
              </w:rPr>
            </w:pPr>
            <w:r>
              <w:rPr>
                <w:rFonts w:hint="eastAsia"/>
                <w:b/>
                <w:sz w:val="24"/>
              </w:rPr>
              <w:t>行业</w:t>
            </w:r>
          </w:p>
        </w:tc>
        <w:tc>
          <w:tcPr>
            <w:tcW w:w="993" w:type="dxa"/>
            <w:noWrap w:val="0"/>
            <w:vAlign w:val="center"/>
          </w:tcPr>
          <w:p>
            <w:pPr>
              <w:jc w:val="center"/>
              <w:rPr>
                <w:b/>
                <w:color w:val="000000"/>
                <w:sz w:val="24"/>
              </w:rPr>
            </w:pPr>
            <w:r>
              <w:rPr>
                <w:rFonts w:hint="eastAsia"/>
                <w:b/>
                <w:color w:val="000000"/>
                <w:sz w:val="24"/>
              </w:rPr>
              <w:t>品牌</w:t>
            </w:r>
          </w:p>
          <w:p>
            <w:pPr>
              <w:jc w:val="center"/>
              <w:rPr>
                <w:b/>
                <w:color w:val="000000"/>
                <w:sz w:val="24"/>
              </w:rPr>
            </w:pPr>
            <w:r>
              <w:rPr>
                <w:rFonts w:hint="eastAsia"/>
                <w:b/>
                <w:color w:val="000000"/>
                <w:sz w:val="24"/>
              </w:rPr>
              <w:t>型号</w:t>
            </w:r>
          </w:p>
        </w:tc>
        <w:tc>
          <w:tcPr>
            <w:tcW w:w="850" w:type="dxa"/>
            <w:noWrap w:val="0"/>
            <w:vAlign w:val="center"/>
          </w:tcPr>
          <w:p>
            <w:pPr>
              <w:jc w:val="center"/>
              <w:rPr>
                <w:b/>
                <w:color w:val="000000"/>
                <w:sz w:val="24"/>
              </w:rPr>
            </w:pPr>
            <w:r>
              <w:rPr>
                <w:rFonts w:hint="eastAsia"/>
                <w:b/>
                <w:color w:val="000000"/>
                <w:sz w:val="24"/>
              </w:rPr>
              <w:t>数量</w:t>
            </w:r>
          </w:p>
        </w:tc>
        <w:tc>
          <w:tcPr>
            <w:tcW w:w="992" w:type="dxa"/>
            <w:noWrap w:val="0"/>
            <w:vAlign w:val="center"/>
          </w:tcPr>
          <w:p>
            <w:pPr>
              <w:jc w:val="center"/>
              <w:rPr>
                <w:b/>
                <w:color w:val="000000"/>
                <w:sz w:val="24"/>
              </w:rPr>
            </w:pPr>
            <w:r>
              <w:rPr>
                <w:rFonts w:hint="eastAsia"/>
                <w:b/>
                <w:color w:val="000000"/>
                <w:sz w:val="24"/>
              </w:rPr>
              <w:t>单位</w:t>
            </w:r>
          </w:p>
        </w:tc>
        <w:tc>
          <w:tcPr>
            <w:tcW w:w="993" w:type="dxa"/>
            <w:noWrap w:val="0"/>
            <w:vAlign w:val="center"/>
          </w:tcPr>
          <w:p>
            <w:pPr>
              <w:jc w:val="center"/>
              <w:rPr>
                <w:b/>
                <w:color w:val="000000"/>
                <w:sz w:val="24"/>
              </w:rPr>
            </w:pPr>
            <w:r>
              <w:rPr>
                <w:rFonts w:hint="eastAsia"/>
                <w:b/>
                <w:color w:val="000000"/>
                <w:sz w:val="24"/>
              </w:rPr>
              <w:t>单价</w:t>
            </w:r>
          </w:p>
        </w:tc>
        <w:tc>
          <w:tcPr>
            <w:tcW w:w="935" w:type="dxa"/>
            <w:noWrap w:val="0"/>
            <w:vAlign w:val="center"/>
          </w:tcPr>
          <w:p>
            <w:pPr>
              <w:jc w:val="center"/>
              <w:rPr>
                <w:b/>
                <w:color w:val="000000"/>
                <w:sz w:val="24"/>
              </w:rPr>
            </w:pPr>
            <w:r>
              <w:rPr>
                <w:rFonts w:hint="eastAsia"/>
                <w:b/>
                <w:color w:val="000000"/>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5" w:hRule="exact"/>
          <w:jc w:val="center"/>
        </w:trPr>
        <w:tc>
          <w:tcPr>
            <w:tcW w:w="10862" w:type="dxa"/>
            <w:gridSpan w:val="10"/>
            <w:noWrap w:val="0"/>
            <w:vAlign w:val="center"/>
          </w:tcPr>
          <w:p>
            <w:pPr>
              <w:adjustRightInd w:val="0"/>
              <w:snapToGrid w:val="0"/>
              <w:spacing w:line="480" w:lineRule="auto"/>
              <w:jc w:val="left"/>
              <w:rPr>
                <w:rFonts w:ascii="宋体" w:hAnsi="宋体"/>
                <w:color w:val="000000"/>
                <w:szCs w:val="21"/>
              </w:rPr>
            </w:pPr>
            <w:r>
              <w:rPr>
                <w:rFonts w:hint="eastAsia"/>
                <w:szCs w:val="21"/>
              </w:rPr>
              <w:t>软件报价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828" w:type="dxa"/>
            <w:noWrap w:val="0"/>
            <w:vAlign w:val="center"/>
          </w:tcPr>
          <w:p>
            <w:pPr>
              <w:spacing w:line="480" w:lineRule="auto"/>
              <w:jc w:val="center"/>
              <w:rPr>
                <w:rFonts w:ascii="宋体" w:hAnsi="宋体"/>
                <w:color w:val="000000"/>
                <w:szCs w:val="21"/>
              </w:rPr>
            </w:pPr>
            <w:r>
              <w:rPr>
                <w:rFonts w:hint="eastAsia" w:ascii="宋体" w:hAnsi="宋体"/>
                <w:color w:val="000000"/>
                <w:szCs w:val="21"/>
              </w:rPr>
              <w:t>1</w:t>
            </w:r>
          </w:p>
        </w:tc>
        <w:tc>
          <w:tcPr>
            <w:tcW w:w="1302" w:type="dxa"/>
            <w:noWrap w:val="0"/>
            <w:vAlign w:val="center"/>
          </w:tcPr>
          <w:p>
            <w:pPr>
              <w:spacing w:line="480" w:lineRule="auto"/>
              <w:jc w:val="left"/>
              <w:rPr>
                <w:rFonts w:ascii="宋体" w:hAnsi="宋体"/>
                <w:color w:val="000000"/>
                <w:szCs w:val="21"/>
              </w:rPr>
            </w:pPr>
          </w:p>
        </w:tc>
        <w:tc>
          <w:tcPr>
            <w:tcW w:w="1559" w:type="dxa"/>
            <w:noWrap w:val="0"/>
            <w:vAlign w:val="center"/>
          </w:tcPr>
          <w:p>
            <w:pPr>
              <w:spacing w:line="480" w:lineRule="auto"/>
              <w:jc w:val="left"/>
              <w:rPr>
                <w:rFonts w:ascii="宋体" w:hAnsi="宋体"/>
                <w:color w:val="000000"/>
                <w:szCs w:val="21"/>
              </w:rPr>
            </w:pPr>
          </w:p>
        </w:tc>
        <w:tc>
          <w:tcPr>
            <w:tcW w:w="1417" w:type="dxa"/>
            <w:noWrap w:val="0"/>
            <w:vAlign w:val="center"/>
          </w:tcPr>
          <w:p>
            <w:pPr>
              <w:spacing w:line="480" w:lineRule="auto"/>
              <w:jc w:val="left"/>
              <w:rPr>
                <w:rFonts w:ascii="宋体" w:hAnsi="宋体"/>
                <w:color w:val="000000"/>
                <w:szCs w:val="21"/>
              </w:rPr>
            </w:pPr>
          </w:p>
        </w:tc>
        <w:tc>
          <w:tcPr>
            <w:tcW w:w="993" w:type="dxa"/>
            <w:noWrap w:val="0"/>
            <w:vAlign w:val="center"/>
          </w:tcPr>
          <w:p>
            <w:pPr>
              <w:spacing w:line="480" w:lineRule="auto"/>
              <w:jc w:val="left"/>
              <w:rPr>
                <w:rFonts w:ascii="宋体" w:hAnsi="宋体"/>
                <w:color w:val="000000"/>
                <w:szCs w:val="21"/>
              </w:rPr>
            </w:pPr>
          </w:p>
        </w:tc>
        <w:tc>
          <w:tcPr>
            <w:tcW w:w="993" w:type="dxa"/>
            <w:noWrap w:val="0"/>
            <w:vAlign w:val="center"/>
          </w:tcPr>
          <w:p>
            <w:pPr>
              <w:spacing w:line="480" w:lineRule="auto"/>
              <w:jc w:val="left"/>
              <w:rPr>
                <w:rFonts w:ascii="宋体" w:hAnsi="宋体"/>
                <w:color w:val="000000"/>
                <w:szCs w:val="21"/>
              </w:rPr>
            </w:pPr>
          </w:p>
        </w:tc>
        <w:tc>
          <w:tcPr>
            <w:tcW w:w="850" w:type="dxa"/>
            <w:noWrap w:val="0"/>
            <w:vAlign w:val="center"/>
          </w:tcPr>
          <w:p>
            <w:pPr>
              <w:spacing w:line="480" w:lineRule="auto"/>
              <w:jc w:val="left"/>
              <w:rPr>
                <w:rFonts w:ascii="宋体" w:hAnsi="宋体"/>
                <w:color w:val="000000"/>
                <w:szCs w:val="21"/>
              </w:rPr>
            </w:pPr>
          </w:p>
        </w:tc>
        <w:tc>
          <w:tcPr>
            <w:tcW w:w="992" w:type="dxa"/>
            <w:noWrap w:val="0"/>
            <w:vAlign w:val="center"/>
          </w:tcPr>
          <w:p>
            <w:pPr>
              <w:spacing w:line="480" w:lineRule="auto"/>
              <w:jc w:val="left"/>
              <w:rPr>
                <w:rFonts w:ascii="宋体" w:hAnsi="宋体"/>
                <w:color w:val="000000"/>
                <w:szCs w:val="21"/>
              </w:rPr>
            </w:pPr>
          </w:p>
        </w:tc>
        <w:tc>
          <w:tcPr>
            <w:tcW w:w="993" w:type="dxa"/>
            <w:noWrap w:val="0"/>
            <w:vAlign w:val="center"/>
          </w:tcPr>
          <w:p>
            <w:pPr>
              <w:spacing w:line="480" w:lineRule="auto"/>
              <w:jc w:val="left"/>
              <w:rPr>
                <w:rFonts w:ascii="宋体" w:hAnsi="宋体"/>
                <w:color w:val="000000"/>
                <w:szCs w:val="21"/>
              </w:rPr>
            </w:pPr>
          </w:p>
        </w:tc>
        <w:tc>
          <w:tcPr>
            <w:tcW w:w="935" w:type="dxa"/>
            <w:noWrap w:val="0"/>
            <w:vAlign w:val="center"/>
          </w:tcPr>
          <w:p>
            <w:pPr>
              <w:spacing w:line="480" w:lineRule="auto"/>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828" w:type="dxa"/>
            <w:noWrap w:val="0"/>
            <w:vAlign w:val="center"/>
          </w:tcPr>
          <w:p>
            <w:pPr>
              <w:spacing w:line="480" w:lineRule="auto"/>
              <w:jc w:val="center"/>
              <w:rPr>
                <w:rFonts w:hint="eastAsia" w:ascii="宋体" w:hAnsi="宋体"/>
                <w:color w:val="000000"/>
                <w:szCs w:val="21"/>
              </w:rPr>
            </w:pPr>
            <w:r>
              <w:rPr>
                <w:rFonts w:hint="eastAsia" w:ascii="宋体" w:hAnsi="宋体"/>
                <w:color w:val="000000"/>
                <w:szCs w:val="21"/>
              </w:rPr>
              <w:t>2</w:t>
            </w:r>
          </w:p>
        </w:tc>
        <w:tc>
          <w:tcPr>
            <w:tcW w:w="1302" w:type="dxa"/>
            <w:noWrap w:val="0"/>
            <w:vAlign w:val="center"/>
          </w:tcPr>
          <w:p>
            <w:pPr>
              <w:spacing w:line="480" w:lineRule="auto"/>
              <w:jc w:val="left"/>
              <w:rPr>
                <w:rFonts w:ascii="宋体" w:hAnsi="宋体"/>
                <w:color w:val="000000"/>
                <w:szCs w:val="21"/>
              </w:rPr>
            </w:pPr>
          </w:p>
        </w:tc>
        <w:tc>
          <w:tcPr>
            <w:tcW w:w="1559" w:type="dxa"/>
            <w:noWrap w:val="0"/>
            <w:vAlign w:val="center"/>
          </w:tcPr>
          <w:p>
            <w:pPr>
              <w:spacing w:line="480" w:lineRule="auto"/>
              <w:jc w:val="left"/>
              <w:rPr>
                <w:rFonts w:ascii="宋体" w:hAnsi="宋体"/>
                <w:color w:val="000000"/>
                <w:szCs w:val="21"/>
              </w:rPr>
            </w:pPr>
          </w:p>
        </w:tc>
        <w:tc>
          <w:tcPr>
            <w:tcW w:w="1417" w:type="dxa"/>
            <w:noWrap w:val="0"/>
            <w:vAlign w:val="center"/>
          </w:tcPr>
          <w:p>
            <w:pPr>
              <w:spacing w:line="480" w:lineRule="auto"/>
              <w:jc w:val="left"/>
              <w:rPr>
                <w:rFonts w:ascii="宋体" w:hAnsi="宋体"/>
                <w:color w:val="000000"/>
                <w:szCs w:val="21"/>
              </w:rPr>
            </w:pPr>
          </w:p>
        </w:tc>
        <w:tc>
          <w:tcPr>
            <w:tcW w:w="993" w:type="dxa"/>
            <w:noWrap w:val="0"/>
            <w:vAlign w:val="center"/>
          </w:tcPr>
          <w:p>
            <w:pPr>
              <w:spacing w:line="480" w:lineRule="auto"/>
              <w:jc w:val="left"/>
              <w:rPr>
                <w:rFonts w:ascii="宋体" w:hAnsi="宋体"/>
                <w:color w:val="000000"/>
                <w:szCs w:val="21"/>
              </w:rPr>
            </w:pPr>
          </w:p>
        </w:tc>
        <w:tc>
          <w:tcPr>
            <w:tcW w:w="993" w:type="dxa"/>
            <w:noWrap w:val="0"/>
            <w:vAlign w:val="center"/>
          </w:tcPr>
          <w:p>
            <w:pPr>
              <w:spacing w:line="480" w:lineRule="auto"/>
              <w:jc w:val="left"/>
              <w:rPr>
                <w:rFonts w:ascii="宋体" w:hAnsi="宋体"/>
                <w:color w:val="000000"/>
                <w:szCs w:val="21"/>
              </w:rPr>
            </w:pPr>
          </w:p>
        </w:tc>
        <w:tc>
          <w:tcPr>
            <w:tcW w:w="850" w:type="dxa"/>
            <w:noWrap w:val="0"/>
            <w:vAlign w:val="center"/>
          </w:tcPr>
          <w:p>
            <w:pPr>
              <w:spacing w:line="480" w:lineRule="auto"/>
              <w:jc w:val="left"/>
              <w:rPr>
                <w:rFonts w:ascii="宋体" w:hAnsi="宋体"/>
                <w:color w:val="000000"/>
                <w:szCs w:val="21"/>
              </w:rPr>
            </w:pPr>
          </w:p>
        </w:tc>
        <w:tc>
          <w:tcPr>
            <w:tcW w:w="992" w:type="dxa"/>
            <w:noWrap w:val="0"/>
            <w:vAlign w:val="center"/>
          </w:tcPr>
          <w:p>
            <w:pPr>
              <w:spacing w:line="480" w:lineRule="auto"/>
              <w:jc w:val="left"/>
              <w:rPr>
                <w:rFonts w:ascii="宋体" w:hAnsi="宋体"/>
                <w:color w:val="000000"/>
                <w:szCs w:val="21"/>
              </w:rPr>
            </w:pPr>
          </w:p>
        </w:tc>
        <w:tc>
          <w:tcPr>
            <w:tcW w:w="993" w:type="dxa"/>
            <w:noWrap w:val="0"/>
            <w:vAlign w:val="center"/>
          </w:tcPr>
          <w:p>
            <w:pPr>
              <w:spacing w:line="480" w:lineRule="auto"/>
              <w:jc w:val="left"/>
              <w:rPr>
                <w:rFonts w:ascii="宋体" w:hAnsi="宋体"/>
                <w:color w:val="000000"/>
                <w:szCs w:val="21"/>
              </w:rPr>
            </w:pPr>
          </w:p>
        </w:tc>
        <w:tc>
          <w:tcPr>
            <w:tcW w:w="935" w:type="dxa"/>
            <w:noWrap w:val="0"/>
            <w:vAlign w:val="center"/>
          </w:tcPr>
          <w:p>
            <w:pPr>
              <w:spacing w:line="480" w:lineRule="auto"/>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828" w:type="dxa"/>
            <w:noWrap w:val="0"/>
            <w:vAlign w:val="center"/>
          </w:tcPr>
          <w:p>
            <w:pPr>
              <w:spacing w:line="480" w:lineRule="auto"/>
              <w:jc w:val="center"/>
              <w:rPr>
                <w:rFonts w:ascii="宋体" w:hAnsi="宋体"/>
                <w:color w:val="000000"/>
                <w:szCs w:val="21"/>
              </w:rPr>
            </w:pPr>
            <w:r>
              <w:rPr>
                <w:rFonts w:hint="eastAsia" w:ascii="宋体" w:hAnsi="宋体"/>
                <w:color w:val="000000"/>
                <w:szCs w:val="21"/>
              </w:rPr>
              <w:t>....</w:t>
            </w:r>
          </w:p>
        </w:tc>
        <w:tc>
          <w:tcPr>
            <w:tcW w:w="1302" w:type="dxa"/>
            <w:noWrap w:val="0"/>
            <w:vAlign w:val="center"/>
          </w:tcPr>
          <w:p>
            <w:pPr>
              <w:spacing w:line="480" w:lineRule="auto"/>
              <w:jc w:val="left"/>
              <w:rPr>
                <w:rFonts w:ascii="宋体" w:hAnsi="宋体"/>
                <w:color w:val="000000"/>
                <w:szCs w:val="21"/>
              </w:rPr>
            </w:pPr>
          </w:p>
        </w:tc>
        <w:tc>
          <w:tcPr>
            <w:tcW w:w="1559" w:type="dxa"/>
            <w:noWrap w:val="0"/>
            <w:vAlign w:val="center"/>
          </w:tcPr>
          <w:p>
            <w:pPr>
              <w:spacing w:line="480" w:lineRule="auto"/>
              <w:jc w:val="left"/>
              <w:rPr>
                <w:rFonts w:ascii="宋体" w:hAnsi="宋体"/>
                <w:color w:val="000000"/>
                <w:szCs w:val="21"/>
              </w:rPr>
            </w:pPr>
          </w:p>
        </w:tc>
        <w:tc>
          <w:tcPr>
            <w:tcW w:w="1417" w:type="dxa"/>
            <w:noWrap w:val="0"/>
            <w:vAlign w:val="center"/>
          </w:tcPr>
          <w:p>
            <w:pPr>
              <w:spacing w:line="480" w:lineRule="auto"/>
              <w:jc w:val="left"/>
              <w:rPr>
                <w:rFonts w:ascii="宋体" w:hAnsi="宋体"/>
                <w:color w:val="000000"/>
                <w:szCs w:val="21"/>
              </w:rPr>
            </w:pPr>
          </w:p>
        </w:tc>
        <w:tc>
          <w:tcPr>
            <w:tcW w:w="993" w:type="dxa"/>
            <w:noWrap w:val="0"/>
            <w:vAlign w:val="center"/>
          </w:tcPr>
          <w:p>
            <w:pPr>
              <w:spacing w:line="480" w:lineRule="auto"/>
              <w:jc w:val="left"/>
              <w:rPr>
                <w:rFonts w:ascii="宋体" w:hAnsi="宋体"/>
                <w:color w:val="000000"/>
                <w:szCs w:val="21"/>
              </w:rPr>
            </w:pPr>
          </w:p>
        </w:tc>
        <w:tc>
          <w:tcPr>
            <w:tcW w:w="993" w:type="dxa"/>
            <w:noWrap w:val="0"/>
            <w:vAlign w:val="center"/>
          </w:tcPr>
          <w:p>
            <w:pPr>
              <w:spacing w:line="480" w:lineRule="auto"/>
              <w:jc w:val="left"/>
              <w:rPr>
                <w:rFonts w:ascii="宋体" w:hAnsi="宋体"/>
                <w:color w:val="000000"/>
                <w:szCs w:val="21"/>
              </w:rPr>
            </w:pPr>
          </w:p>
        </w:tc>
        <w:tc>
          <w:tcPr>
            <w:tcW w:w="850" w:type="dxa"/>
            <w:noWrap w:val="0"/>
            <w:vAlign w:val="center"/>
          </w:tcPr>
          <w:p>
            <w:pPr>
              <w:spacing w:line="480" w:lineRule="auto"/>
              <w:jc w:val="left"/>
              <w:rPr>
                <w:rFonts w:ascii="宋体" w:hAnsi="宋体"/>
                <w:color w:val="000000"/>
                <w:szCs w:val="21"/>
              </w:rPr>
            </w:pPr>
          </w:p>
        </w:tc>
        <w:tc>
          <w:tcPr>
            <w:tcW w:w="992" w:type="dxa"/>
            <w:noWrap w:val="0"/>
            <w:vAlign w:val="center"/>
          </w:tcPr>
          <w:p>
            <w:pPr>
              <w:spacing w:line="480" w:lineRule="auto"/>
              <w:jc w:val="left"/>
              <w:rPr>
                <w:rFonts w:ascii="宋体" w:hAnsi="宋体"/>
                <w:color w:val="000000"/>
                <w:szCs w:val="21"/>
              </w:rPr>
            </w:pPr>
          </w:p>
        </w:tc>
        <w:tc>
          <w:tcPr>
            <w:tcW w:w="993" w:type="dxa"/>
            <w:noWrap w:val="0"/>
            <w:vAlign w:val="center"/>
          </w:tcPr>
          <w:p>
            <w:pPr>
              <w:spacing w:line="480" w:lineRule="auto"/>
              <w:jc w:val="left"/>
              <w:rPr>
                <w:rFonts w:ascii="宋体" w:hAnsi="宋体"/>
                <w:color w:val="000000"/>
                <w:szCs w:val="21"/>
              </w:rPr>
            </w:pPr>
          </w:p>
        </w:tc>
        <w:tc>
          <w:tcPr>
            <w:tcW w:w="935" w:type="dxa"/>
            <w:noWrap w:val="0"/>
            <w:vAlign w:val="center"/>
          </w:tcPr>
          <w:p>
            <w:pPr>
              <w:spacing w:line="480" w:lineRule="auto"/>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10862" w:type="dxa"/>
            <w:gridSpan w:val="10"/>
            <w:noWrap w:val="0"/>
            <w:vAlign w:val="center"/>
          </w:tcPr>
          <w:p>
            <w:pPr>
              <w:spacing w:line="480" w:lineRule="auto"/>
              <w:jc w:val="left"/>
              <w:rPr>
                <w:rFonts w:ascii="宋体" w:hAnsi="宋体"/>
                <w:color w:val="000000"/>
                <w:szCs w:val="21"/>
              </w:rPr>
            </w:pPr>
            <w:r>
              <w:rPr>
                <w:rFonts w:hint="eastAsia" w:ascii="宋体" w:hAnsi="宋体"/>
                <w:color w:val="000000"/>
                <w:szCs w:val="21"/>
              </w:rPr>
              <w:t>合计</w:t>
            </w:r>
            <w:r>
              <w:rPr>
                <w:rFonts w:hint="eastAsia" w:ascii="宋体" w:hAnsi="宋体"/>
                <w:szCs w:val="21"/>
              </w:rPr>
              <w:t xml:space="preserve">人民币：大写                             </w:t>
            </w:r>
            <w:r>
              <w:rPr>
                <w:rFonts w:ascii="宋体" w:hAnsi="宋体"/>
                <w:szCs w:val="21"/>
              </w:rPr>
              <w:t xml:space="preserve">              </w:t>
            </w:r>
            <w:r>
              <w:rPr>
                <w:rFonts w:hint="eastAsia" w:ascii="宋体" w:hAnsi="宋体"/>
                <w:szCs w:val="21"/>
              </w:rPr>
              <w:t xml:space="preserve">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5" w:hRule="exact"/>
          <w:jc w:val="center"/>
        </w:trPr>
        <w:tc>
          <w:tcPr>
            <w:tcW w:w="10862" w:type="dxa"/>
            <w:gridSpan w:val="10"/>
            <w:noWrap w:val="0"/>
            <w:vAlign w:val="center"/>
          </w:tcPr>
          <w:p>
            <w:pPr>
              <w:spacing w:line="480" w:lineRule="auto"/>
              <w:jc w:val="left"/>
              <w:rPr>
                <w:rFonts w:ascii="宋体" w:hAnsi="宋体"/>
                <w:color w:val="000000"/>
                <w:szCs w:val="21"/>
              </w:rPr>
            </w:pPr>
            <w:r>
              <w:rPr>
                <w:rFonts w:hint="eastAsia"/>
                <w:szCs w:val="21"/>
              </w:rPr>
              <w:t>硬件报价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828" w:type="dxa"/>
            <w:noWrap w:val="0"/>
            <w:vAlign w:val="center"/>
          </w:tcPr>
          <w:p>
            <w:pPr>
              <w:spacing w:line="480" w:lineRule="auto"/>
              <w:jc w:val="center"/>
              <w:rPr>
                <w:rFonts w:hint="eastAsia" w:ascii="宋体" w:hAnsi="宋体"/>
                <w:color w:val="000000"/>
                <w:szCs w:val="21"/>
              </w:rPr>
            </w:pPr>
            <w:r>
              <w:rPr>
                <w:rFonts w:hint="eastAsia" w:ascii="宋体" w:hAnsi="宋体"/>
                <w:color w:val="000000"/>
                <w:szCs w:val="21"/>
              </w:rPr>
              <w:t>1</w:t>
            </w:r>
          </w:p>
        </w:tc>
        <w:tc>
          <w:tcPr>
            <w:tcW w:w="1302" w:type="dxa"/>
            <w:noWrap w:val="0"/>
            <w:vAlign w:val="center"/>
          </w:tcPr>
          <w:p>
            <w:pPr>
              <w:spacing w:line="480" w:lineRule="auto"/>
              <w:jc w:val="left"/>
              <w:rPr>
                <w:rFonts w:ascii="宋体" w:hAnsi="宋体"/>
                <w:color w:val="000000"/>
                <w:szCs w:val="21"/>
              </w:rPr>
            </w:pPr>
          </w:p>
        </w:tc>
        <w:tc>
          <w:tcPr>
            <w:tcW w:w="1559" w:type="dxa"/>
            <w:noWrap w:val="0"/>
            <w:vAlign w:val="center"/>
          </w:tcPr>
          <w:p>
            <w:pPr>
              <w:spacing w:line="480" w:lineRule="auto"/>
              <w:jc w:val="left"/>
              <w:rPr>
                <w:rFonts w:ascii="宋体" w:hAnsi="宋体"/>
                <w:color w:val="000000"/>
                <w:szCs w:val="21"/>
              </w:rPr>
            </w:pPr>
          </w:p>
        </w:tc>
        <w:tc>
          <w:tcPr>
            <w:tcW w:w="1417" w:type="dxa"/>
            <w:noWrap w:val="0"/>
            <w:vAlign w:val="center"/>
          </w:tcPr>
          <w:p>
            <w:pPr>
              <w:spacing w:line="480" w:lineRule="auto"/>
              <w:jc w:val="left"/>
              <w:rPr>
                <w:rFonts w:ascii="宋体" w:hAnsi="宋体"/>
                <w:color w:val="000000"/>
                <w:szCs w:val="21"/>
              </w:rPr>
            </w:pPr>
          </w:p>
        </w:tc>
        <w:tc>
          <w:tcPr>
            <w:tcW w:w="993" w:type="dxa"/>
            <w:noWrap w:val="0"/>
            <w:vAlign w:val="center"/>
          </w:tcPr>
          <w:p>
            <w:pPr>
              <w:spacing w:line="480" w:lineRule="auto"/>
              <w:jc w:val="left"/>
              <w:rPr>
                <w:rFonts w:ascii="宋体" w:hAnsi="宋体"/>
                <w:color w:val="000000"/>
                <w:szCs w:val="21"/>
              </w:rPr>
            </w:pPr>
          </w:p>
        </w:tc>
        <w:tc>
          <w:tcPr>
            <w:tcW w:w="993" w:type="dxa"/>
            <w:noWrap w:val="0"/>
            <w:vAlign w:val="center"/>
          </w:tcPr>
          <w:p>
            <w:pPr>
              <w:spacing w:line="480" w:lineRule="auto"/>
              <w:jc w:val="left"/>
              <w:rPr>
                <w:rFonts w:ascii="宋体" w:hAnsi="宋体"/>
                <w:color w:val="000000"/>
                <w:szCs w:val="21"/>
              </w:rPr>
            </w:pPr>
          </w:p>
        </w:tc>
        <w:tc>
          <w:tcPr>
            <w:tcW w:w="850" w:type="dxa"/>
            <w:noWrap w:val="0"/>
            <w:vAlign w:val="center"/>
          </w:tcPr>
          <w:p>
            <w:pPr>
              <w:spacing w:line="480" w:lineRule="auto"/>
              <w:jc w:val="left"/>
              <w:rPr>
                <w:rFonts w:ascii="宋体" w:hAnsi="宋体"/>
                <w:color w:val="000000"/>
                <w:szCs w:val="21"/>
              </w:rPr>
            </w:pPr>
          </w:p>
        </w:tc>
        <w:tc>
          <w:tcPr>
            <w:tcW w:w="992" w:type="dxa"/>
            <w:noWrap w:val="0"/>
            <w:vAlign w:val="center"/>
          </w:tcPr>
          <w:p>
            <w:pPr>
              <w:spacing w:line="480" w:lineRule="auto"/>
              <w:jc w:val="left"/>
              <w:rPr>
                <w:rFonts w:ascii="宋体" w:hAnsi="宋体"/>
                <w:color w:val="000000"/>
                <w:szCs w:val="21"/>
              </w:rPr>
            </w:pPr>
          </w:p>
        </w:tc>
        <w:tc>
          <w:tcPr>
            <w:tcW w:w="993" w:type="dxa"/>
            <w:noWrap w:val="0"/>
            <w:vAlign w:val="center"/>
          </w:tcPr>
          <w:p>
            <w:pPr>
              <w:spacing w:line="480" w:lineRule="auto"/>
              <w:jc w:val="left"/>
              <w:rPr>
                <w:rFonts w:ascii="宋体" w:hAnsi="宋体"/>
                <w:color w:val="000000"/>
                <w:szCs w:val="21"/>
              </w:rPr>
            </w:pPr>
          </w:p>
        </w:tc>
        <w:tc>
          <w:tcPr>
            <w:tcW w:w="935" w:type="dxa"/>
            <w:noWrap w:val="0"/>
            <w:vAlign w:val="center"/>
          </w:tcPr>
          <w:p>
            <w:pPr>
              <w:spacing w:line="480" w:lineRule="auto"/>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828" w:type="dxa"/>
            <w:noWrap w:val="0"/>
            <w:vAlign w:val="center"/>
          </w:tcPr>
          <w:p>
            <w:pPr>
              <w:spacing w:line="480" w:lineRule="auto"/>
              <w:jc w:val="center"/>
              <w:rPr>
                <w:rFonts w:hint="eastAsia" w:ascii="宋体" w:hAnsi="宋体"/>
                <w:color w:val="000000"/>
                <w:szCs w:val="21"/>
              </w:rPr>
            </w:pPr>
            <w:r>
              <w:rPr>
                <w:rFonts w:hint="eastAsia" w:ascii="宋体" w:hAnsi="宋体"/>
                <w:color w:val="000000"/>
                <w:szCs w:val="21"/>
              </w:rPr>
              <w:t>2</w:t>
            </w:r>
          </w:p>
        </w:tc>
        <w:tc>
          <w:tcPr>
            <w:tcW w:w="1302" w:type="dxa"/>
            <w:noWrap w:val="0"/>
            <w:vAlign w:val="center"/>
          </w:tcPr>
          <w:p>
            <w:pPr>
              <w:spacing w:line="480" w:lineRule="auto"/>
              <w:jc w:val="left"/>
              <w:rPr>
                <w:rFonts w:ascii="宋体" w:hAnsi="宋体"/>
                <w:color w:val="000000"/>
                <w:szCs w:val="21"/>
              </w:rPr>
            </w:pPr>
          </w:p>
        </w:tc>
        <w:tc>
          <w:tcPr>
            <w:tcW w:w="1559" w:type="dxa"/>
            <w:noWrap w:val="0"/>
            <w:vAlign w:val="center"/>
          </w:tcPr>
          <w:p>
            <w:pPr>
              <w:spacing w:line="480" w:lineRule="auto"/>
              <w:jc w:val="left"/>
              <w:rPr>
                <w:rFonts w:ascii="宋体" w:hAnsi="宋体"/>
                <w:color w:val="000000"/>
                <w:szCs w:val="21"/>
              </w:rPr>
            </w:pPr>
          </w:p>
        </w:tc>
        <w:tc>
          <w:tcPr>
            <w:tcW w:w="1417" w:type="dxa"/>
            <w:noWrap w:val="0"/>
            <w:vAlign w:val="center"/>
          </w:tcPr>
          <w:p>
            <w:pPr>
              <w:spacing w:line="480" w:lineRule="auto"/>
              <w:jc w:val="left"/>
              <w:rPr>
                <w:rFonts w:ascii="宋体" w:hAnsi="宋体"/>
                <w:color w:val="000000"/>
                <w:szCs w:val="21"/>
              </w:rPr>
            </w:pPr>
          </w:p>
        </w:tc>
        <w:tc>
          <w:tcPr>
            <w:tcW w:w="993" w:type="dxa"/>
            <w:noWrap w:val="0"/>
            <w:vAlign w:val="center"/>
          </w:tcPr>
          <w:p>
            <w:pPr>
              <w:spacing w:line="480" w:lineRule="auto"/>
              <w:jc w:val="left"/>
              <w:rPr>
                <w:rFonts w:ascii="宋体" w:hAnsi="宋体"/>
                <w:color w:val="000000"/>
                <w:szCs w:val="21"/>
              </w:rPr>
            </w:pPr>
          </w:p>
        </w:tc>
        <w:tc>
          <w:tcPr>
            <w:tcW w:w="993" w:type="dxa"/>
            <w:noWrap w:val="0"/>
            <w:vAlign w:val="center"/>
          </w:tcPr>
          <w:p>
            <w:pPr>
              <w:spacing w:line="480" w:lineRule="auto"/>
              <w:jc w:val="left"/>
              <w:rPr>
                <w:rFonts w:ascii="宋体" w:hAnsi="宋体"/>
                <w:color w:val="000000"/>
                <w:szCs w:val="21"/>
              </w:rPr>
            </w:pPr>
          </w:p>
        </w:tc>
        <w:tc>
          <w:tcPr>
            <w:tcW w:w="850" w:type="dxa"/>
            <w:noWrap w:val="0"/>
            <w:vAlign w:val="center"/>
          </w:tcPr>
          <w:p>
            <w:pPr>
              <w:spacing w:line="480" w:lineRule="auto"/>
              <w:jc w:val="left"/>
              <w:rPr>
                <w:rFonts w:ascii="宋体" w:hAnsi="宋体"/>
                <w:color w:val="000000"/>
                <w:szCs w:val="21"/>
              </w:rPr>
            </w:pPr>
          </w:p>
        </w:tc>
        <w:tc>
          <w:tcPr>
            <w:tcW w:w="992" w:type="dxa"/>
            <w:noWrap w:val="0"/>
            <w:vAlign w:val="center"/>
          </w:tcPr>
          <w:p>
            <w:pPr>
              <w:spacing w:line="480" w:lineRule="auto"/>
              <w:jc w:val="left"/>
              <w:rPr>
                <w:rFonts w:ascii="宋体" w:hAnsi="宋体"/>
                <w:color w:val="000000"/>
                <w:szCs w:val="21"/>
              </w:rPr>
            </w:pPr>
          </w:p>
        </w:tc>
        <w:tc>
          <w:tcPr>
            <w:tcW w:w="993" w:type="dxa"/>
            <w:noWrap w:val="0"/>
            <w:vAlign w:val="center"/>
          </w:tcPr>
          <w:p>
            <w:pPr>
              <w:spacing w:line="480" w:lineRule="auto"/>
              <w:jc w:val="left"/>
              <w:rPr>
                <w:rFonts w:ascii="宋体" w:hAnsi="宋体"/>
                <w:color w:val="000000"/>
                <w:szCs w:val="21"/>
              </w:rPr>
            </w:pPr>
          </w:p>
        </w:tc>
        <w:tc>
          <w:tcPr>
            <w:tcW w:w="935" w:type="dxa"/>
            <w:noWrap w:val="0"/>
            <w:vAlign w:val="center"/>
          </w:tcPr>
          <w:p>
            <w:pPr>
              <w:spacing w:line="480" w:lineRule="auto"/>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828" w:type="dxa"/>
            <w:noWrap w:val="0"/>
            <w:vAlign w:val="center"/>
          </w:tcPr>
          <w:p>
            <w:pPr>
              <w:spacing w:line="480" w:lineRule="auto"/>
              <w:jc w:val="center"/>
              <w:rPr>
                <w:rFonts w:ascii="宋体" w:hAnsi="宋体"/>
                <w:color w:val="000000"/>
                <w:szCs w:val="21"/>
              </w:rPr>
            </w:pPr>
            <w:r>
              <w:rPr>
                <w:rFonts w:hint="eastAsia" w:ascii="宋体" w:hAnsi="宋体"/>
                <w:color w:val="000000"/>
                <w:szCs w:val="21"/>
              </w:rPr>
              <w:t>....</w:t>
            </w:r>
          </w:p>
        </w:tc>
        <w:tc>
          <w:tcPr>
            <w:tcW w:w="1302" w:type="dxa"/>
            <w:noWrap w:val="0"/>
            <w:vAlign w:val="center"/>
          </w:tcPr>
          <w:p>
            <w:pPr>
              <w:spacing w:line="480" w:lineRule="auto"/>
              <w:jc w:val="left"/>
              <w:rPr>
                <w:rFonts w:ascii="宋体" w:hAnsi="宋体"/>
                <w:color w:val="000000"/>
                <w:szCs w:val="21"/>
              </w:rPr>
            </w:pPr>
          </w:p>
        </w:tc>
        <w:tc>
          <w:tcPr>
            <w:tcW w:w="1559" w:type="dxa"/>
            <w:noWrap w:val="0"/>
            <w:vAlign w:val="center"/>
          </w:tcPr>
          <w:p>
            <w:pPr>
              <w:spacing w:line="480" w:lineRule="auto"/>
              <w:jc w:val="left"/>
              <w:rPr>
                <w:rFonts w:ascii="宋体" w:hAnsi="宋体"/>
                <w:color w:val="000000"/>
                <w:szCs w:val="21"/>
              </w:rPr>
            </w:pPr>
          </w:p>
        </w:tc>
        <w:tc>
          <w:tcPr>
            <w:tcW w:w="1417" w:type="dxa"/>
            <w:noWrap w:val="0"/>
            <w:vAlign w:val="center"/>
          </w:tcPr>
          <w:p>
            <w:pPr>
              <w:spacing w:line="480" w:lineRule="auto"/>
              <w:jc w:val="left"/>
              <w:rPr>
                <w:rFonts w:ascii="宋体" w:hAnsi="宋体"/>
                <w:color w:val="000000"/>
                <w:szCs w:val="21"/>
              </w:rPr>
            </w:pPr>
          </w:p>
        </w:tc>
        <w:tc>
          <w:tcPr>
            <w:tcW w:w="993" w:type="dxa"/>
            <w:noWrap w:val="0"/>
            <w:vAlign w:val="center"/>
          </w:tcPr>
          <w:p>
            <w:pPr>
              <w:spacing w:line="480" w:lineRule="auto"/>
              <w:jc w:val="left"/>
              <w:rPr>
                <w:rFonts w:ascii="宋体" w:hAnsi="宋体"/>
                <w:color w:val="000000"/>
                <w:szCs w:val="21"/>
              </w:rPr>
            </w:pPr>
          </w:p>
        </w:tc>
        <w:tc>
          <w:tcPr>
            <w:tcW w:w="993" w:type="dxa"/>
            <w:noWrap w:val="0"/>
            <w:vAlign w:val="center"/>
          </w:tcPr>
          <w:p>
            <w:pPr>
              <w:spacing w:line="480" w:lineRule="auto"/>
              <w:jc w:val="left"/>
              <w:rPr>
                <w:rFonts w:ascii="宋体" w:hAnsi="宋体"/>
                <w:color w:val="000000"/>
                <w:szCs w:val="21"/>
              </w:rPr>
            </w:pPr>
          </w:p>
        </w:tc>
        <w:tc>
          <w:tcPr>
            <w:tcW w:w="850" w:type="dxa"/>
            <w:noWrap w:val="0"/>
            <w:vAlign w:val="center"/>
          </w:tcPr>
          <w:p>
            <w:pPr>
              <w:spacing w:line="480" w:lineRule="auto"/>
              <w:jc w:val="left"/>
              <w:rPr>
                <w:rFonts w:ascii="宋体" w:hAnsi="宋体"/>
                <w:color w:val="000000"/>
                <w:szCs w:val="21"/>
              </w:rPr>
            </w:pPr>
          </w:p>
        </w:tc>
        <w:tc>
          <w:tcPr>
            <w:tcW w:w="992" w:type="dxa"/>
            <w:noWrap w:val="0"/>
            <w:vAlign w:val="center"/>
          </w:tcPr>
          <w:p>
            <w:pPr>
              <w:spacing w:line="480" w:lineRule="auto"/>
              <w:jc w:val="left"/>
              <w:rPr>
                <w:rFonts w:ascii="宋体" w:hAnsi="宋体"/>
                <w:color w:val="000000"/>
                <w:szCs w:val="21"/>
              </w:rPr>
            </w:pPr>
          </w:p>
        </w:tc>
        <w:tc>
          <w:tcPr>
            <w:tcW w:w="993" w:type="dxa"/>
            <w:noWrap w:val="0"/>
            <w:vAlign w:val="center"/>
          </w:tcPr>
          <w:p>
            <w:pPr>
              <w:spacing w:line="480" w:lineRule="auto"/>
              <w:jc w:val="left"/>
              <w:rPr>
                <w:rFonts w:ascii="宋体" w:hAnsi="宋体"/>
                <w:color w:val="000000"/>
                <w:szCs w:val="21"/>
              </w:rPr>
            </w:pPr>
          </w:p>
        </w:tc>
        <w:tc>
          <w:tcPr>
            <w:tcW w:w="935" w:type="dxa"/>
            <w:noWrap w:val="0"/>
            <w:vAlign w:val="center"/>
          </w:tcPr>
          <w:p>
            <w:pPr>
              <w:spacing w:line="480" w:lineRule="auto"/>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10862" w:type="dxa"/>
            <w:gridSpan w:val="10"/>
            <w:noWrap w:val="0"/>
            <w:vAlign w:val="center"/>
          </w:tcPr>
          <w:p>
            <w:pPr>
              <w:spacing w:line="480" w:lineRule="auto"/>
              <w:jc w:val="left"/>
              <w:rPr>
                <w:rFonts w:ascii="宋体" w:hAnsi="宋体"/>
                <w:color w:val="000000"/>
                <w:szCs w:val="21"/>
              </w:rPr>
            </w:pPr>
            <w:r>
              <w:rPr>
                <w:rFonts w:hint="eastAsia" w:ascii="宋体" w:hAnsi="宋体"/>
                <w:color w:val="000000"/>
                <w:szCs w:val="21"/>
              </w:rPr>
              <w:t>合计</w:t>
            </w:r>
            <w:r>
              <w:rPr>
                <w:rFonts w:hint="eastAsia" w:ascii="宋体" w:hAnsi="宋体"/>
                <w:szCs w:val="21"/>
              </w:rPr>
              <w:t xml:space="preserve">人民币：大写                             </w:t>
            </w:r>
            <w:r>
              <w:rPr>
                <w:rFonts w:ascii="宋体" w:hAnsi="宋体"/>
                <w:szCs w:val="21"/>
              </w:rPr>
              <w:t xml:space="preserve">              </w:t>
            </w:r>
            <w:r>
              <w:rPr>
                <w:rFonts w:hint="eastAsia" w:ascii="宋体" w:hAnsi="宋体"/>
                <w:szCs w:val="21"/>
              </w:rPr>
              <w:t xml:space="preserve">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5" w:hRule="exact"/>
          <w:jc w:val="center"/>
        </w:trPr>
        <w:tc>
          <w:tcPr>
            <w:tcW w:w="10862" w:type="dxa"/>
            <w:gridSpan w:val="10"/>
            <w:noWrap w:val="0"/>
            <w:vAlign w:val="center"/>
          </w:tcPr>
          <w:p>
            <w:pPr>
              <w:spacing w:line="480" w:lineRule="auto"/>
              <w:jc w:val="left"/>
              <w:rPr>
                <w:rFonts w:ascii="宋体" w:hAnsi="宋体"/>
                <w:color w:val="000000"/>
                <w:szCs w:val="21"/>
              </w:rPr>
            </w:pPr>
            <w:r>
              <w:rPr>
                <w:rFonts w:hint="eastAsia"/>
                <w:szCs w:val="21"/>
              </w:rPr>
              <w:t>其他报价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828" w:type="dxa"/>
            <w:noWrap w:val="0"/>
            <w:vAlign w:val="center"/>
          </w:tcPr>
          <w:p>
            <w:pPr>
              <w:spacing w:line="480" w:lineRule="auto"/>
              <w:jc w:val="center"/>
              <w:rPr>
                <w:rFonts w:hint="eastAsia"/>
                <w:szCs w:val="21"/>
              </w:rPr>
            </w:pPr>
            <w:r>
              <w:rPr>
                <w:rFonts w:hint="eastAsia" w:ascii="宋体" w:hAnsi="宋体"/>
                <w:color w:val="000000"/>
                <w:szCs w:val="21"/>
              </w:rPr>
              <w:t>1</w:t>
            </w:r>
          </w:p>
        </w:tc>
        <w:tc>
          <w:tcPr>
            <w:tcW w:w="1302" w:type="dxa"/>
            <w:noWrap w:val="0"/>
            <w:vAlign w:val="center"/>
          </w:tcPr>
          <w:p>
            <w:pPr>
              <w:spacing w:line="480" w:lineRule="auto"/>
              <w:jc w:val="left"/>
              <w:rPr>
                <w:rFonts w:hint="eastAsia"/>
                <w:szCs w:val="21"/>
              </w:rPr>
            </w:pPr>
          </w:p>
        </w:tc>
        <w:tc>
          <w:tcPr>
            <w:tcW w:w="1559" w:type="dxa"/>
            <w:noWrap w:val="0"/>
            <w:vAlign w:val="center"/>
          </w:tcPr>
          <w:p>
            <w:pPr>
              <w:spacing w:line="480" w:lineRule="auto"/>
              <w:jc w:val="left"/>
              <w:rPr>
                <w:rFonts w:hint="eastAsia"/>
                <w:szCs w:val="21"/>
              </w:rPr>
            </w:pPr>
          </w:p>
        </w:tc>
        <w:tc>
          <w:tcPr>
            <w:tcW w:w="1417" w:type="dxa"/>
            <w:noWrap w:val="0"/>
            <w:vAlign w:val="center"/>
          </w:tcPr>
          <w:p>
            <w:pPr>
              <w:spacing w:line="480" w:lineRule="auto"/>
              <w:jc w:val="left"/>
              <w:rPr>
                <w:rFonts w:hint="eastAsia"/>
                <w:szCs w:val="21"/>
              </w:rPr>
            </w:pPr>
          </w:p>
        </w:tc>
        <w:tc>
          <w:tcPr>
            <w:tcW w:w="993" w:type="dxa"/>
            <w:noWrap w:val="0"/>
            <w:vAlign w:val="center"/>
          </w:tcPr>
          <w:p>
            <w:pPr>
              <w:spacing w:line="480" w:lineRule="auto"/>
              <w:jc w:val="left"/>
              <w:rPr>
                <w:rFonts w:hint="eastAsia"/>
                <w:szCs w:val="21"/>
              </w:rPr>
            </w:pPr>
          </w:p>
        </w:tc>
        <w:tc>
          <w:tcPr>
            <w:tcW w:w="993" w:type="dxa"/>
            <w:noWrap w:val="0"/>
            <w:vAlign w:val="center"/>
          </w:tcPr>
          <w:p>
            <w:pPr>
              <w:spacing w:line="480" w:lineRule="auto"/>
              <w:jc w:val="left"/>
              <w:rPr>
                <w:rFonts w:hint="eastAsia"/>
                <w:szCs w:val="21"/>
              </w:rPr>
            </w:pPr>
          </w:p>
        </w:tc>
        <w:tc>
          <w:tcPr>
            <w:tcW w:w="850" w:type="dxa"/>
            <w:noWrap w:val="0"/>
            <w:vAlign w:val="center"/>
          </w:tcPr>
          <w:p>
            <w:pPr>
              <w:spacing w:line="480" w:lineRule="auto"/>
              <w:jc w:val="left"/>
              <w:rPr>
                <w:rFonts w:hint="eastAsia"/>
                <w:szCs w:val="21"/>
              </w:rPr>
            </w:pPr>
          </w:p>
        </w:tc>
        <w:tc>
          <w:tcPr>
            <w:tcW w:w="992" w:type="dxa"/>
            <w:noWrap w:val="0"/>
            <w:vAlign w:val="center"/>
          </w:tcPr>
          <w:p>
            <w:pPr>
              <w:spacing w:line="480" w:lineRule="auto"/>
              <w:jc w:val="left"/>
              <w:rPr>
                <w:rFonts w:hint="eastAsia"/>
                <w:szCs w:val="21"/>
              </w:rPr>
            </w:pPr>
          </w:p>
        </w:tc>
        <w:tc>
          <w:tcPr>
            <w:tcW w:w="993" w:type="dxa"/>
            <w:noWrap w:val="0"/>
            <w:vAlign w:val="center"/>
          </w:tcPr>
          <w:p>
            <w:pPr>
              <w:spacing w:line="480" w:lineRule="auto"/>
              <w:jc w:val="left"/>
              <w:rPr>
                <w:rFonts w:hint="eastAsia"/>
                <w:szCs w:val="21"/>
              </w:rPr>
            </w:pPr>
          </w:p>
        </w:tc>
        <w:tc>
          <w:tcPr>
            <w:tcW w:w="935" w:type="dxa"/>
            <w:noWrap w:val="0"/>
            <w:vAlign w:val="center"/>
          </w:tcPr>
          <w:p>
            <w:pPr>
              <w:spacing w:line="480" w:lineRule="auto"/>
              <w:jc w:val="lef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828" w:type="dxa"/>
            <w:noWrap w:val="0"/>
            <w:vAlign w:val="center"/>
          </w:tcPr>
          <w:p>
            <w:pPr>
              <w:spacing w:line="480" w:lineRule="auto"/>
              <w:jc w:val="center"/>
              <w:rPr>
                <w:rFonts w:hint="eastAsia"/>
                <w:szCs w:val="21"/>
              </w:rPr>
            </w:pPr>
            <w:r>
              <w:rPr>
                <w:rFonts w:hint="eastAsia" w:ascii="宋体" w:hAnsi="宋体"/>
                <w:color w:val="000000"/>
                <w:szCs w:val="21"/>
              </w:rPr>
              <w:t>2</w:t>
            </w:r>
          </w:p>
        </w:tc>
        <w:tc>
          <w:tcPr>
            <w:tcW w:w="1302" w:type="dxa"/>
            <w:noWrap w:val="0"/>
            <w:vAlign w:val="center"/>
          </w:tcPr>
          <w:p>
            <w:pPr>
              <w:spacing w:line="480" w:lineRule="auto"/>
              <w:jc w:val="left"/>
              <w:rPr>
                <w:rFonts w:hint="eastAsia"/>
                <w:szCs w:val="21"/>
              </w:rPr>
            </w:pPr>
          </w:p>
        </w:tc>
        <w:tc>
          <w:tcPr>
            <w:tcW w:w="1559" w:type="dxa"/>
            <w:noWrap w:val="0"/>
            <w:vAlign w:val="center"/>
          </w:tcPr>
          <w:p>
            <w:pPr>
              <w:spacing w:line="480" w:lineRule="auto"/>
              <w:jc w:val="left"/>
              <w:rPr>
                <w:rFonts w:hint="eastAsia"/>
                <w:szCs w:val="21"/>
              </w:rPr>
            </w:pPr>
          </w:p>
        </w:tc>
        <w:tc>
          <w:tcPr>
            <w:tcW w:w="1417" w:type="dxa"/>
            <w:noWrap w:val="0"/>
            <w:vAlign w:val="center"/>
          </w:tcPr>
          <w:p>
            <w:pPr>
              <w:spacing w:line="480" w:lineRule="auto"/>
              <w:jc w:val="left"/>
              <w:rPr>
                <w:rFonts w:hint="eastAsia"/>
                <w:szCs w:val="21"/>
              </w:rPr>
            </w:pPr>
          </w:p>
        </w:tc>
        <w:tc>
          <w:tcPr>
            <w:tcW w:w="993" w:type="dxa"/>
            <w:noWrap w:val="0"/>
            <w:vAlign w:val="center"/>
          </w:tcPr>
          <w:p>
            <w:pPr>
              <w:spacing w:line="480" w:lineRule="auto"/>
              <w:jc w:val="left"/>
              <w:rPr>
                <w:rFonts w:hint="eastAsia"/>
                <w:szCs w:val="21"/>
              </w:rPr>
            </w:pPr>
          </w:p>
        </w:tc>
        <w:tc>
          <w:tcPr>
            <w:tcW w:w="993" w:type="dxa"/>
            <w:noWrap w:val="0"/>
            <w:vAlign w:val="center"/>
          </w:tcPr>
          <w:p>
            <w:pPr>
              <w:spacing w:line="480" w:lineRule="auto"/>
              <w:jc w:val="left"/>
              <w:rPr>
                <w:rFonts w:hint="eastAsia"/>
                <w:szCs w:val="21"/>
              </w:rPr>
            </w:pPr>
          </w:p>
        </w:tc>
        <w:tc>
          <w:tcPr>
            <w:tcW w:w="850" w:type="dxa"/>
            <w:noWrap w:val="0"/>
            <w:vAlign w:val="center"/>
          </w:tcPr>
          <w:p>
            <w:pPr>
              <w:spacing w:line="480" w:lineRule="auto"/>
              <w:jc w:val="left"/>
              <w:rPr>
                <w:rFonts w:hint="eastAsia"/>
                <w:szCs w:val="21"/>
              </w:rPr>
            </w:pPr>
          </w:p>
        </w:tc>
        <w:tc>
          <w:tcPr>
            <w:tcW w:w="992" w:type="dxa"/>
            <w:noWrap w:val="0"/>
            <w:vAlign w:val="center"/>
          </w:tcPr>
          <w:p>
            <w:pPr>
              <w:spacing w:line="480" w:lineRule="auto"/>
              <w:jc w:val="left"/>
              <w:rPr>
                <w:rFonts w:hint="eastAsia"/>
                <w:szCs w:val="21"/>
              </w:rPr>
            </w:pPr>
          </w:p>
        </w:tc>
        <w:tc>
          <w:tcPr>
            <w:tcW w:w="993" w:type="dxa"/>
            <w:noWrap w:val="0"/>
            <w:vAlign w:val="center"/>
          </w:tcPr>
          <w:p>
            <w:pPr>
              <w:spacing w:line="480" w:lineRule="auto"/>
              <w:jc w:val="left"/>
              <w:rPr>
                <w:rFonts w:hint="eastAsia"/>
                <w:szCs w:val="21"/>
              </w:rPr>
            </w:pPr>
          </w:p>
        </w:tc>
        <w:tc>
          <w:tcPr>
            <w:tcW w:w="935" w:type="dxa"/>
            <w:noWrap w:val="0"/>
            <w:vAlign w:val="center"/>
          </w:tcPr>
          <w:p>
            <w:pPr>
              <w:spacing w:line="480" w:lineRule="auto"/>
              <w:jc w:val="lef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828" w:type="dxa"/>
            <w:noWrap w:val="0"/>
            <w:vAlign w:val="center"/>
          </w:tcPr>
          <w:p>
            <w:pPr>
              <w:spacing w:line="480" w:lineRule="auto"/>
              <w:jc w:val="center"/>
              <w:rPr>
                <w:rFonts w:hint="eastAsia"/>
                <w:szCs w:val="21"/>
              </w:rPr>
            </w:pPr>
            <w:r>
              <w:rPr>
                <w:rFonts w:hint="eastAsia" w:ascii="宋体" w:hAnsi="宋体"/>
                <w:color w:val="000000"/>
                <w:szCs w:val="21"/>
              </w:rPr>
              <w:t>....</w:t>
            </w:r>
          </w:p>
        </w:tc>
        <w:tc>
          <w:tcPr>
            <w:tcW w:w="1302" w:type="dxa"/>
            <w:noWrap w:val="0"/>
            <w:vAlign w:val="center"/>
          </w:tcPr>
          <w:p>
            <w:pPr>
              <w:spacing w:line="480" w:lineRule="auto"/>
              <w:jc w:val="left"/>
              <w:rPr>
                <w:rFonts w:hint="eastAsia"/>
                <w:szCs w:val="21"/>
              </w:rPr>
            </w:pPr>
          </w:p>
        </w:tc>
        <w:tc>
          <w:tcPr>
            <w:tcW w:w="1559" w:type="dxa"/>
            <w:noWrap w:val="0"/>
            <w:vAlign w:val="center"/>
          </w:tcPr>
          <w:p>
            <w:pPr>
              <w:spacing w:line="480" w:lineRule="auto"/>
              <w:jc w:val="left"/>
              <w:rPr>
                <w:rFonts w:hint="eastAsia"/>
                <w:szCs w:val="21"/>
              </w:rPr>
            </w:pPr>
          </w:p>
        </w:tc>
        <w:tc>
          <w:tcPr>
            <w:tcW w:w="1417" w:type="dxa"/>
            <w:noWrap w:val="0"/>
            <w:vAlign w:val="center"/>
          </w:tcPr>
          <w:p>
            <w:pPr>
              <w:spacing w:line="480" w:lineRule="auto"/>
              <w:jc w:val="left"/>
              <w:rPr>
                <w:rFonts w:hint="eastAsia"/>
                <w:szCs w:val="21"/>
              </w:rPr>
            </w:pPr>
          </w:p>
        </w:tc>
        <w:tc>
          <w:tcPr>
            <w:tcW w:w="993" w:type="dxa"/>
            <w:noWrap w:val="0"/>
            <w:vAlign w:val="center"/>
          </w:tcPr>
          <w:p>
            <w:pPr>
              <w:spacing w:line="480" w:lineRule="auto"/>
              <w:jc w:val="left"/>
              <w:rPr>
                <w:rFonts w:hint="eastAsia"/>
                <w:szCs w:val="21"/>
              </w:rPr>
            </w:pPr>
          </w:p>
        </w:tc>
        <w:tc>
          <w:tcPr>
            <w:tcW w:w="993" w:type="dxa"/>
            <w:noWrap w:val="0"/>
            <w:vAlign w:val="center"/>
          </w:tcPr>
          <w:p>
            <w:pPr>
              <w:spacing w:line="480" w:lineRule="auto"/>
              <w:jc w:val="left"/>
              <w:rPr>
                <w:rFonts w:hint="eastAsia"/>
                <w:szCs w:val="21"/>
              </w:rPr>
            </w:pPr>
          </w:p>
        </w:tc>
        <w:tc>
          <w:tcPr>
            <w:tcW w:w="850" w:type="dxa"/>
            <w:noWrap w:val="0"/>
            <w:vAlign w:val="center"/>
          </w:tcPr>
          <w:p>
            <w:pPr>
              <w:spacing w:line="480" w:lineRule="auto"/>
              <w:jc w:val="left"/>
              <w:rPr>
                <w:rFonts w:hint="eastAsia"/>
                <w:szCs w:val="21"/>
              </w:rPr>
            </w:pPr>
          </w:p>
        </w:tc>
        <w:tc>
          <w:tcPr>
            <w:tcW w:w="992" w:type="dxa"/>
            <w:noWrap w:val="0"/>
            <w:vAlign w:val="center"/>
          </w:tcPr>
          <w:p>
            <w:pPr>
              <w:spacing w:line="480" w:lineRule="auto"/>
              <w:jc w:val="left"/>
              <w:rPr>
                <w:rFonts w:hint="eastAsia"/>
                <w:szCs w:val="21"/>
              </w:rPr>
            </w:pPr>
          </w:p>
        </w:tc>
        <w:tc>
          <w:tcPr>
            <w:tcW w:w="993" w:type="dxa"/>
            <w:noWrap w:val="0"/>
            <w:vAlign w:val="center"/>
          </w:tcPr>
          <w:p>
            <w:pPr>
              <w:spacing w:line="480" w:lineRule="auto"/>
              <w:jc w:val="left"/>
              <w:rPr>
                <w:rFonts w:hint="eastAsia"/>
                <w:szCs w:val="21"/>
              </w:rPr>
            </w:pPr>
          </w:p>
        </w:tc>
        <w:tc>
          <w:tcPr>
            <w:tcW w:w="935" w:type="dxa"/>
            <w:noWrap w:val="0"/>
            <w:vAlign w:val="center"/>
          </w:tcPr>
          <w:p>
            <w:pPr>
              <w:spacing w:line="480" w:lineRule="auto"/>
              <w:jc w:val="lef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10862" w:type="dxa"/>
            <w:gridSpan w:val="10"/>
            <w:noWrap w:val="0"/>
            <w:vAlign w:val="center"/>
          </w:tcPr>
          <w:p>
            <w:pPr>
              <w:spacing w:line="480" w:lineRule="auto"/>
              <w:jc w:val="left"/>
              <w:rPr>
                <w:rFonts w:hint="eastAsia"/>
                <w:szCs w:val="21"/>
              </w:rPr>
            </w:pPr>
            <w:r>
              <w:rPr>
                <w:rFonts w:hint="eastAsia" w:ascii="宋体" w:hAnsi="宋体"/>
                <w:color w:val="000000"/>
                <w:szCs w:val="21"/>
              </w:rPr>
              <w:t>合计</w:t>
            </w:r>
            <w:r>
              <w:rPr>
                <w:rFonts w:hint="eastAsia" w:ascii="宋体" w:hAnsi="宋体"/>
                <w:szCs w:val="21"/>
              </w:rPr>
              <w:t xml:space="preserve">人民币：大写                             </w:t>
            </w:r>
            <w:r>
              <w:rPr>
                <w:rFonts w:ascii="宋体" w:hAnsi="宋体"/>
                <w:szCs w:val="21"/>
              </w:rPr>
              <w:t xml:space="preserve">              </w:t>
            </w:r>
            <w:r>
              <w:rPr>
                <w:rFonts w:hint="eastAsia" w:ascii="宋体" w:hAnsi="宋体"/>
                <w:szCs w:val="21"/>
              </w:rPr>
              <w:t xml:space="preserve">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10862" w:type="dxa"/>
            <w:gridSpan w:val="10"/>
            <w:noWrap w:val="0"/>
            <w:vAlign w:val="top"/>
          </w:tcPr>
          <w:p>
            <w:pPr>
              <w:spacing w:line="480" w:lineRule="auto"/>
              <w:jc w:val="left"/>
              <w:rPr>
                <w:rFonts w:hint="eastAsia" w:ascii="宋体" w:hAnsi="宋体"/>
                <w:b/>
                <w:color w:val="000000"/>
                <w:sz w:val="28"/>
                <w:szCs w:val="28"/>
              </w:rPr>
            </w:pPr>
            <w:r>
              <w:rPr>
                <w:rFonts w:hint="eastAsia" w:ascii="宋体" w:hAnsi="宋体"/>
                <w:b/>
                <w:sz w:val="24"/>
                <w:lang w:val="en-US" w:eastAsia="zh-CN"/>
              </w:rPr>
              <w:t>投标</w:t>
            </w:r>
            <w:r>
              <w:rPr>
                <w:rFonts w:hint="eastAsia" w:ascii="宋体" w:hAnsi="宋体"/>
                <w:b/>
                <w:sz w:val="24"/>
              </w:rPr>
              <w:t xml:space="preserve">总报价人民币：大写                             </w:t>
            </w:r>
            <w:r>
              <w:rPr>
                <w:rFonts w:ascii="宋体" w:hAnsi="宋体"/>
                <w:b/>
                <w:sz w:val="24"/>
              </w:rPr>
              <w:t xml:space="preserve">              </w:t>
            </w:r>
            <w:r>
              <w:rPr>
                <w:rFonts w:hint="eastAsia" w:ascii="宋体" w:hAnsi="宋体"/>
                <w:b/>
                <w:sz w:val="24"/>
              </w:rPr>
              <w:t xml:space="preserve">  小写</w:t>
            </w:r>
          </w:p>
        </w:tc>
      </w:tr>
    </w:tbl>
    <w:p>
      <w:pPr>
        <w:snapToGrid w:val="0"/>
        <w:spacing w:line="400" w:lineRule="exact"/>
        <w:jc w:val="left"/>
        <w:rPr>
          <w:rFonts w:ascii="宋体" w:hAnsi="宋体"/>
          <w:b/>
          <w:bCs/>
          <w:color w:val="000000"/>
          <w:sz w:val="24"/>
        </w:rPr>
      </w:pPr>
      <w:r>
        <w:rPr>
          <w:rFonts w:hint="eastAsia" w:ascii="宋体" w:hAnsi="宋体"/>
          <w:b/>
          <w:bCs/>
          <w:color w:val="000000"/>
          <w:sz w:val="24"/>
        </w:rPr>
        <w:t>说明：</w:t>
      </w:r>
    </w:p>
    <w:p>
      <w:pPr>
        <w:snapToGrid w:val="0"/>
        <w:spacing w:line="400" w:lineRule="exact"/>
        <w:jc w:val="left"/>
        <w:rPr>
          <w:rFonts w:ascii="宋体" w:hAnsi="宋体"/>
          <w:b/>
          <w:bCs/>
          <w:sz w:val="24"/>
          <w:u w:val="single"/>
          <w:shd w:val="pct10" w:color="auto" w:fill="FFFFFF"/>
        </w:rPr>
      </w:pPr>
      <w:r>
        <w:rPr>
          <w:rFonts w:hint="eastAsia" w:ascii="宋体" w:hAnsi="宋体"/>
          <w:sz w:val="24"/>
          <w:lang w:val="en-US" w:eastAsia="zh-CN"/>
        </w:rPr>
        <w:t>1、</w:t>
      </w:r>
      <w:r>
        <w:rPr>
          <w:rFonts w:hint="eastAsia" w:ascii="宋体" w:hAnsi="宋体" w:eastAsia="宋体" w:cs="Times New Roman"/>
          <w:sz w:val="24"/>
          <w:lang w:val="en-US" w:eastAsia="zh-CN"/>
        </w:rPr>
        <w:t>其他报价</w:t>
      </w:r>
      <w:r>
        <w:rPr>
          <w:rFonts w:hint="eastAsia" w:ascii="宋体" w:hAnsi="宋体" w:eastAsia="宋体" w:cs="Times New Roman"/>
          <w:sz w:val="24"/>
        </w:rPr>
        <w:t>包含：1.线路、云计算及云安全；2.等保测评和软件第三方测评；3.运营及系统维护等其他费用。</w:t>
      </w:r>
    </w:p>
    <w:p>
      <w:pPr>
        <w:snapToGrid w:val="0"/>
        <w:spacing w:line="400" w:lineRule="exact"/>
        <w:jc w:val="left"/>
        <w:rPr>
          <w:rFonts w:ascii="宋体" w:hAnsi="宋体"/>
          <w:b/>
          <w:bCs/>
          <w:sz w:val="24"/>
          <w:u w:val="single"/>
          <w:shd w:val="pct10" w:color="auto" w:fill="FFFFFF"/>
        </w:rPr>
      </w:pPr>
      <w:r>
        <w:rPr>
          <w:rFonts w:hint="eastAsia" w:ascii="宋体" w:hAnsi="宋体"/>
          <w:b/>
          <w:bCs/>
          <w:sz w:val="24"/>
          <w:u w:val="single"/>
          <w:shd w:val="pct10" w:color="auto" w:fill="FFFFFF"/>
          <w:lang w:val="en-US" w:eastAsia="zh-CN"/>
        </w:rPr>
        <w:t>2</w:t>
      </w:r>
      <w:r>
        <w:rPr>
          <w:rFonts w:hint="eastAsia" w:ascii="宋体" w:hAnsi="宋体"/>
          <w:b/>
          <w:bCs/>
          <w:sz w:val="24"/>
          <w:u w:val="single"/>
          <w:shd w:val="pct10" w:color="auto" w:fill="FFFFFF"/>
        </w:rPr>
        <w:t>、制造商所属行业请根据《工业和信息化部、国家统计局、国家发展和改革委员会、财政部关于印发中小企业划型标准规定的通知》（工信部联企业[2011]300号）文件第四条规定的划型标准来填写制造商所属行业。</w:t>
      </w:r>
    </w:p>
    <w:p>
      <w:pPr>
        <w:snapToGrid w:val="0"/>
        <w:spacing w:line="400" w:lineRule="exact"/>
        <w:jc w:val="left"/>
        <w:rPr>
          <w:rFonts w:ascii="宋体" w:hAnsi="宋体"/>
          <w:sz w:val="24"/>
        </w:rPr>
      </w:pPr>
      <w:r>
        <w:rPr>
          <w:rFonts w:hint="eastAsia" w:ascii="宋体" w:hAnsi="宋体"/>
          <w:b/>
          <w:sz w:val="24"/>
          <w:lang w:val="en-US" w:eastAsia="zh-CN"/>
        </w:rPr>
        <w:t>3</w:t>
      </w:r>
      <w:r>
        <w:rPr>
          <w:rFonts w:hint="eastAsia" w:ascii="宋体" w:hAnsi="宋体"/>
          <w:b/>
          <w:sz w:val="24"/>
        </w:rPr>
        <w:t>、本报价明细表投标人请根据招标文件</w:t>
      </w:r>
      <w:r>
        <w:rPr>
          <w:rFonts w:hint="eastAsia" w:ascii="宋体" w:hAnsi="宋体"/>
          <w:b/>
          <w:sz w:val="24"/>
          <w:lang w:eastAsia="zh-CN"/>
        </w:rPr>
        <w:t>采购清单</w:t>
      </w:r>
      <w:r>
        <w:rPr>
          <w:rFonts w:hint="eastAsia" w:ascii="宋体" w:hAnsi="宋体"/>
          <w:b/>
          <w:sz w:val="24"/>
        </w:rPr>
        <w:t>中的内容进行填写，不得漏项。</w:t>
      </w:r>
    </w:p>
    <w:p>
      <w:pPr>
        <w:snapToGrid w:val="0"/>
        <w:spacing w:line="400" w:lineRule="exact"/>
        <w:jc w:val="left"/>
        <w:rPr>
          <w:rFonts w:hint="default" w:ascii="宋体" w:hAnsi="宋体" w:eastAsia="宋体"/>
          <w:sz w:val="24"/>
          <w:lang w:val="en-US" w:eastAsia="zh-CN"/>
        </w:rPr>
      </w:pPr>
      <w:r>
        <w:rPr>
          <w:rFonts w:hint="eastAsia" w:ascii="宋体" w:hAnsi="宋体"/>
          <w:sz w:val="24"/>
          <w:lang w:val="en-US" w:eastAsia="zh-CN"/>
        </w:rPr>
        <w:t>4</w:t>
      </w:r>
      <w:r>
        <w:rPr>
          <w:rFonts w:hint="eastAsia" w:ascii="宋体" w:hAnsi="宋体"/>
          <w:sz w:val="24"/>
        </w:rPr>
        <w:t>、报价一经涂改，应在涂改处加盖单位公章或者由法定代表人签字或盖章</w:t>
      </w:r>
      <w:r>
        <w:rPr>
          <w:rFonts w:hint="eastAsia" w:ascii="宋体" w:hAnsi="宋体"/>
          <w:b/>
          <w:sz w:val="24"/>
          <w:szCs w:val="20"/>
        </w:rPr>
        <w:t>或授权委托人签字或盖章</w:t>
      </w:r>
      <w:r>
        <w:rPr>
          <w:rFonts w:hint="eastAsia" w:ascii="宋体" w:hAnsi="宋体"/>
          <w:sz w:val="24"/>
        </w:rPr>
        <w:t>。</w:t>
      </w:r>
    </w:p>
    <w:bookmarkEnd w:id="73"/>
    <w:p>
      <w:pPr>
        <w:snapToGrid w:val="0"/>
        <w:spacing w:before="50" w:afterLines="50" w:line="400" w:lineRule="exact"/>
        <w:jc w:val="left"/>
        <w:rPr>
          <w:rFonts w:hint="eastAsia" w:ascii="宋体" w:hAnsi="宋体"/>
          <w:b/>
          <w:color w:val="000000"/>
          <w:spacing w:val="20"/>
          <w:sz w:val="24"/>
        </w:rPr>
      </w:pPr>
      <w:r>
        <w:rPr>
          <w:rFonts w:hint="eastAsia" w:ascii="宋体" w:hAnsi="宋体"/>
          <w:b/>
          <w:color w:val="000000"/>
          <w:spacing w:val="20"/>
          <w:sz w:val="24"/>
        </w:rPr>
        <w:t>法定代表人签字（或盖章）：            投标人（盖章）：</w:t>
      </w:r>
    </w:p>
    <w:p>
      <w:pPr>
        <w:snapToGrid w:val="0"/>
        <w:spacing w:before="50" w:afterLines="50" w:line="400" w:lineRule="exact"/>
        <w:jc w:val="left"/>
        <w:rPr>
          <w:rFonts w:ascii="宋体" w:hAnsi="宋体"/>
          <w:b/>
          <w:color w:val="000000"/>
        </w:rPr>
      </w:pPr>
      <w:r>
        <w:rPr>
          <w:rFonts w:hint="eastAsia" w:ascii="宋体" w:hAnsi="宋体"/>
          <w:b/>
          <w:color w:val="000000"/>
          <w:spacing w:val="20"/>
          <w:sz w:val="24"/>
        </w:rPr>
        <w:t>日期：</w:t>
      </w:r>
    </w:p>
    <w:p>
      <w:pPr>
        <w:pStyle w:val="27"/>
        <w:pageBreakBefore/>
        <w:snapToGrid w:val="0"/>
        <w:spacing w:before="120" w:after="120" w:line="240" w:lineRule="auto"/>
        <w:rPr>
          <w:rFonts w:hint="eastAsia" w:hAnsi="宋体"/>
        </w:rPr>
      </w:pPr>
      <w:bookmarkStart w:id="74" w:name="_Hlk60823488"/>
      <w:r>
        <w:rPr>
          <w:rFonts w:hint="eastAsia" w:hAnsi="宋体"/>
        </w:rPr>
        <w:t>1</w:t>
      </w:r>
      <w:r>
        <w:rPr>
          <w:rFonts w:hAnsi="宋体"/>
        </w:rPr>
        <w:t>6</w:t>
      </w:r>
      <w:r>
        <w:rPr>
          <w:rFonts w:hint="eastAsia" w:hAnsi="宋体"/>
        </w:rPr>
        <w:t>.中小企业声明函</w:t>
      </w:r>
    </w:p>
    <w:p>
      <w:pPr>
        <w:pStyle w:val="27"/>
        <w:snapToGrid w:val="0"/>
        <w:spacing w:before="120" w:after="120" w:line="240" w:lineRule="auto"/>
        <w:jc w:val="center"/>
        <w:rPr>
          <w:rFonts w:hint="eastAsia"/>
          <w:b/>
          <w:sz w:val="28"/>
          <w:szCs w:val="28"/>
        </w:rPr>
      </w:pPr>
      <w:bookmarkStart w:id="75" w:name="_Hlk78207720"/>
      <w:r>
        <w:rPr>
          <w:rFonts w:hint="eastAsia"/>
          <w:b/>
          <w:sz w:val="28"/>
          <w:szCs w:val="28"/>
        </w:rPr>
        <w:t>中小企业声明函（货物类）</w:t>
      </w:r>
    </w:p>
    <w:p>
      <w:pPr>
        <w:pStyle w:val="27"/>
        <w:snapToGrid w:val="0"/>
        <w:spacing w:before="120" w:after="120" w:line="360" w:lineRule="auto"/>
        <w:ind w:firstLine="480"/>
        <w:jc w:val="left"/>
        <w:rPr>
          <w:bCs/>
        </w:rPr>
      </w:pPr>
      <w:r>
        <w:rPr>
          <w:rFonts w:hint="eastAsia"/>
          <w:bCs/>
        </w:rPr>
        <w:t>本公司（联合体）郑重声明，根据《政府采购促进中小企业发展管理办法》（财库［20</w:t>
      </w:r>
      <w:r>
        <w:rPr>
          <w:bCs/>
        </w:rPr>
        <w:t>20</w:t>
      </w:r>
      <w:r>
        <w:rPr>
          <w:rFonts w:hint="eastAsia"/>
          <w:bCs/>
        </w:rPr>
        <w:t>］</w:t>
      </w:r>
      <w:r>
        <w:rPr>
          <w:bCs/>
        </w:rPr>
        <w:t>46</w:t>
      </w:r>
      <w:r>
        <w:rPr>
          <w:rFonts w:hint="eastAsia"/>
          <w:bCs/>
        </w:rPr>
        <w:t>号）的规定，本公司（联合体）参加</w:t>
      </w:r>
      <w:r>
        <w:rPr>
          <w:rFonts w:hint="eastAsia"/>
          <w:bCs/>
          <w:u w:val="single"/>
        </w:rPr>
        <w:t>（单位名称）</w:t>
      </w:r>
      <w:r>
        <w:rPr>
          <w:rFonts w:hint="eastAsia"/>
          <w:bCs/>
        </w:rPr>
        <w:t xml:space="preserve"> 的</w:t>
      </w:r>
      <w:r>
        <w:rPr>
          <w:rFonts w:hint="eastAsia"/>
          <w:bCs/>
          <w:u w:val="single"/>
        </w:rPr>
        <w:t xml:space="preserve"> （项目名称）</w:t>
      </w:r>
      <w:r>
        <w:rPr>
          <w:rFonts w:hint="eastAsia"/>
          <w:bCs/>
        </w:rPr>
        <w:t>采购活动，提供的货物全部由符合政策要求的中小企业制造。相关企业（含联合体中的中小企业、签订分包意向协议的中小企业）的具体情况如下：</w:t>
      </w:r>
    </w:p>
    <w:p>
      <w:pPr>
        <w:pStyle w:val="27"/>
        <w:snapToGrid w:val="0"/>
        <w:spacing w:before="120" w:after="120" w:line="360" w:lineRule="auto"/>
        <w:ind w:firstLine="480"/>
        <w:jc w:val="left"/>
        <w:rPr>
          <w:bCs/>
          <w:u w:val="single"/>
        </w:rPr>
      </w:pPr>
      <w:r>
        <w:rPr>
          <w:rFonts w:hint="eastAsia"/>
          <w:bCs/>
        </w:rPr>
        <w:t>1、</w:t>
      </w:r>
      <w:r>
        <w:rPr>
          <w:rFonts w:hint="eastAsia"/>
          <w:bCs/>
          <w:u w:val="single"/>
        </w:rPr>
        <w:t>（标的名称）</w:t>
      </w:r>
      <w:r>
        <w:rPr>
          <w:rFonts w:hint="eastAsia"/>
          <w:bCs/>
        </w:rPr>
        <w:t>，属于</w:t>
      </w:r>
      <w:r>
        <w:rPr>
          <w:rFonts w:hint="eastAsia" w:hAnsi="宋体" w:cs="宋体"/>
          <w:u w:val="single"/>
        </w:rPr>
        <w:t>（招标文件中明确的所属行业）</w:t>
      </w:r>
      <w:r>
        <w:rPr>
          <w:rFonts w:hint="eastAsia" w:hAnsi="宋体" w:cs="宋体"/>
        </w:rPr>
        <w:t>行业，</w:t>
      </w:r>
      <w:r>
        <w:rPr>
          <w:rFonts w:hint="eastAsia"/>
          <w:bCs/>
        </w:rPr>
        <w:t>制造商为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p>
      <w:pPr>
        <w:pStyle w:val="27"/>
        <w:snapToGrid w:val="0"/>
        <w:spacing w:before="120" w:after="120" w:line="360" w:lineRule="auto"/>
        <w:ind w:firstLine="480"/>
        <w:jc w:val="left"/>
        <w:rPr>
          <w:bCs/>
          <w:u w:val="single"/>
        </w:rPr>
      </w:pPr>
      <w:r>
        <w:rPr>
          <w:bCs/>
        </w:rPr>
        <w:t>2</w:t>
      </w:r>
      <w:r>
        <w:rPr>
          <w:rFonts w:hint="eastAsia"/>
          <w:bCs/>
        </w:rPr>
        <w:t>、</w:t>
      </w:r>
      <w:r>
        <w:rPr>
          <w:rFonts w:hint="eastAsia"/>
          <w:bCs/>
          <w:u w:val="single"/>
        </w:rPr>
        <w:t>（标的名称）</w:t>
      </w:r>
      <w:r>
        <w:rPr>
          <w:rFonts w:hint="eastAsia"/>
          <w:bCs/>
        </w:rPr>
        <w:t>，属于</w:t>
      </w:r>
      <w:r>
        <w:rPr>
          <w:rFonts w:hint="eastAsia" w:hAnsi="宋体" w:cs="宋体"/>
          <w:u w:val="single"/>
        </w:rPr>
        <w:t>（招标文件中明确的所属行业）</w:t>
      </w:r>
      <w:r>
        <w:rPr>
          <w:rFonts w:hint="eastAsia" w:hAnsi="宋体" w:cs="宋体"/>
        </w:rPr>
        <w:t>行业，</w:t>
      </w:r>
      <w:r>
        <w:rPr>
          <w:rFonts w:hint="eastAsia"/>
          <w:bCs/>
        </w:rPr>
        <w:t>制造商为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p>
      <w:pPr>
        <w:pStyle w:val="27"/>
        <w:snapToGrid w:val="0"/>
        <w:spacing w:before="120" w:after="120" w:line="360" w:lineRule="auto"/>
        <w:ind w:firstLine="480"/>
        <w:jc w:val="left"/>
        <w:rPr>
          <w:bCs/>
        </w:rPr>
      </w:pPr>
      <w:r>
        <w:rPr>
          <w:bCs/>
        </w:rPr>
        <w:t>………</w:t>
      </w:r>
    </w:p>
    <w:p>
      <w:pPr>
        <w:pStyle w:val="27"/>
        <w:snapToGrid w:val="0"/>
        <w:spacing w:before="120" w:after="120" w:line="360" w:lineRule="auto"/>
        <w:ind w:firstLine="480" w:firstLineChars="200"/>
        <w:jc w:val="left"/>
        <w:rPr>
          <w:rFonts w:hint="eastAsia"/>
          <w:bCs/>
        </w:rPr>
      </w:pPr>
      <w:r>
        <w:rPr>
          <w:rFonts w:hint="eastAsia"/>
          <w:bCs/>
        </w:rPr>
        <w:t>以上企业，不属于大企业的分支机构，不存在控股股东为大企业的情形，也不存在与大企业的负责人为同一人的情形。</w:t>
      </w:r>
    </w:p>
    <w:p>
      <w:pPr>
        <w:pStyle w:val="27"/>
        <w:snapToGrid w:val="0"/>
        <w:spacing w:before="120" w:after="120" w:line="360" w:lineRule="auto"/>
        <w:ind w:firstLine="482" w:firstLineChars="200"/>
        <w:jc w:val="left"/>
        <w:rPr>
          <w:b/>
          <w:bCs/>
          <w:u w:val="single"/>
          <w:shd w:val="pct10" w:color="auto" w:fill="FFFFFF"/>
        </w:rPr>
      </w:pPr>
      <w:r>
        <w:rPr>
          <w:rFonts w:hint="eastAsia"/>
          <w:b/>
          <w:bCs/>
          <w:u w:val="single"/>
          <w:shd w:val="pct10" w:color="auto" w:fill="FFFFFF"/>
        </w:rPr>
        <w:t>本企业对上述声明内容的真实性负责。如有虚假，将依法承担相应责任。</w:t>
      </w:r>
    </w:p>
    <w:p>
      <w:pPr>
        <w:pStyle w:val="27"/>
        <w:snapToGrid w:val="0"/>
        <w:spacing w:before="120" w:after="120" w:line="240" w:lineRule="auto"/>
        <w:rPr>
          <w:rFonts w:hAnsi="宋体"/>
          <w:spacing w:val="20"/>
        </w:rPr>
      </w:pPr>
    </w:p>
    <w:p>
      <w:pPr>
        <w:pStyle w:val="27"/>
        <w:snapToGrid w:val="0"/>
        <w:spacing w:before="120" w:after="120" w:line="240" w:lineRule="auto"/>
        <w:rPr>
          <w:rFonts w:hint="eastAsia" w:hAnsi="宋体"/>
        </w:rPr>
      </w:pPr>
      <w:r>
        <w:rPr>
          <w:rFonts w:hint="eastAsia" w:hAnsi="宋体"/>
          <w:spacing w:val="20"/>
        </w:rPr>
        <w:t>法定代表人签字（或盖章）：            投标人（盖章）：</w:t>
      </w:r>
      <w:r>
        <w:rPr>
          <w:rFonts w:hint="eastAsia" w:hAnsi="宋体"/>
        </w:rPr>
        <w:t xml:space="preserve">                                              </w:t>
      </w:r>
    </w:p>
    <w:p>
      <w:pPr>
        <w:pStyle w:val="27"/>
        <w:snapToGrid w:val="0"/>
        <w:spacing w:before="120" w:after="120" w:line="360" w:lineRule="auto"/>
        <w:ind w:firstLine="480" w:firstLineChars="200"/>
        <w:jc w:val="left"/>
      </w:pPr>
      <w:r>
        <w:rPr>
          <w:rFonts w:hint="eastAsia"/>
        </w:rPr>
        <w:t xml:space="preserve">                                             </w:t>
      </w:r>
    </w:p>
    <w:p>
      <w:pPr>
        <w:pStyle w:val="27"/>
        <w:snapToGrid w:val="0"/>
        <w:spacing w:before="120" w:after="120" w:line="360" w:lineRule="auto"/>
        <w:ind w:firstLine="480" w:firstLineChars="200"/>
        <w:jc w:val="right"/>
        <w:rPr>
          <w:rFonts w:hint="eastAsia"/>
          <w:b/>
          <w:bCs/>
          <w:u w:val="single"/>
          <w:shd w:val="pct10" w:color="auto" w:fill="FFFFFF"/>
        </w:rPr>
      </w:pPr>
      <w:r>
        <w:rPr>
          <w:rFonts w:hint="eastAsia"/>
        </w:rPr>
        <w:t>日期:_____年___月___日</w:t>
      </w:r>
    </w:p>
    <w:p>
      <w:pPr>
        <w:pStyle w:val="27"/>
        <w:snapToGrid w:val="0"/>
        <w:spacing w:before="120" w:after="120"/>
        <w:jc w:val="left"/>
        <w:rPr>
          <w:b/>
          <w:bCs/>
          <w:sz w:val="28"/>
          <w:szCs w:val="28"/>
          <w:u w:val="single"/>
          <w:shd w:val="pct10" w:color="auto" w:fill="FFFFFF"/>
        </w:rPr>
      </w:pPr>
      <w:bookmarkStart w:id="76" w:name="_Hlk77602961"/>
      <w:r>
        <w:rPr>
          <w:rFonts w:hint="eastAsia"/>
          <w:b/>
          <w:bCs/>
          <w:sz w:val="28"/>
          <w:szCs w:val="28"/>
          <w:u w:val="single"/>
          <w:shd w:val="pct10" w:color="auto" w:fill="FFFFFF"/>
        </w:rPr>
        <w:t>填表说明：</w:t>
      </w:r>
    </w:p>
    <w:p>
      <w:pPr>
        <w:pStyle w:val="27"/>
        <w:snapToGrid w:val="0"/>
        <w:spacing w:before="120" w:after="120"/>
        <w:jc w:val="left"/>
        <w:rPr>
          <w:b/>
          <w:bCs/>
          <w:sz w:val="28"/>
          <w:szCs w:val="28"/>
          <w:u w:val="single"/>
          <w:shd w:val="pct10" w:color="auto" w:fill="FFFFFF"/>
        </w:rPr>
      </w:pPr>
      <w:r>
        <w:rPr>
          <w:rFonts w:hint="eastAsia"/>
          <w:b/>
          <w:bCs/>
          <w:sz w:val="28"/>
          <w:szCs w:val="28"/>
          <w:u w:val="single"/>
          <w:shd w:val="pct10" w:color="auto" w:fill="FFFFFF"/>
        </w:rPr>
        <w:t>1、标的设备分别由不同制造商制造的，请按序号填写齐全所有标的设备制造商的信息。</w:t>
      </w:r>
    </w:p>
    <w:p>
      <w:pPr>
        <w:pStyle w:val="27"/>
        <w:snapToGrid w:val="0"/>
        <w:spacing w:before="120" w:after="120"/>
        <w:jc w:val="left"/>
        <w:rPr>
          <w:rFonts w:hint="eastAsia"/>
          <w:b/>
          <w:bCs/>
          <w:sz w:val="28"/>
          <w:szCs w:val="28"/>
          <w:u w:val="single"/>
          <w:shd w:val="pct10" w:color="auto" w:fill="FFFFFF"/>
        </w:rPr>
      </w:pPr>
      <w:r>
        <w:rPr>
          <w:rFonts w:hint="eastAsia"/>
          <w:b/>
          <w:bCs/>
          <w:sz w:val="28"/>
          <w:szCs w:val="28"/>
          <w:u w:val="single"/>
          <w:shd w:val="pct10" w:color="auto" w:fill="FFFFFF"/>
        </w:rPr>
        <w:t>2、从业人员、营业收入、资产总额填报上一年度数据，无上一年度数据的新成立企业可不填报。</w:t>
      </w:r>
    </w:p>
    <w:p>
      <w:pPr>
        <w:pStyle w:val="27"/>
        <w:snapToGrid w:val="0"/>
        <w:spacing w:before="120" w:after="120"/>
        <w:jc w:val="left"/>
        <w:rPr>
          <w:rFonts w:hint="eastAsia"/>
          <w:b/>
          <w:bCs/>
          <w:color w:val="FF0000"/>
          <w:sz w:val="28"/>
          <w:szCs w:val="28"/>
          <w:u w:val="single"/>
          <w:shd w:val="pct10" w:color="auto" w:fill="FFFFFF"/>
        </w:rPr>
      </w:pPr>
      <w:r>
        <w:rPr>
          <w:rFonts w:hint="eastAsia"/>
          <w:b/>
          <w:bCs/>
          <w:color w:val="FF0000"/>
          <w:sz w:val="28"/>
          <w:szCs w:val="28"/>
          <w:u w:val="single"/>
          <w:shd w:val="pct10" w:color="auto" w:fill="FFFFFF"/>
        </w:rPr>
        <w:t>3、为了更加准确判定制造商是否为小微企业，请投标人根据工业和信息化部官方网站---中小企业规模类型自测小程序来辨别制造商企业规模类型，中小企业规模类型自测小程序链接网址为</w:t>
      </w:r>
    </w:p>
    <w:p>
      <w:pPr>
        <w:pStyle w:val="27"/>
        <w:snapToGrid w:val="0"/>
        <w:spacing w:before="120" w:after="120"/>
        <w:jc w:val="left"/>
        <w:rPr>
          <w:b/>
          <w:bCs/>
          <w:color w:val="FF0000"/>
          <w:sz w:val="28"/>
          <w:szCs w:val="28"/>
          <w:u w:val="single"/>
          <w:shd w:val="pct10" w:color="auto" w:fill="FFFFFF"/>
        </w:rPr>
      </w:pPr>
      <w:r>
        <w:rPr>
          <w:b/>
          <w:bCs/>
          <w:color w:val="FF0000"/>
          <w:sz w:val="28"/>
          <w:szCs w:val="28"/>
          <w:u w:val="single"/>
          <w:shd w:val="pct10" w:color="auto" w:fill="FFFFFF"/>
        </w:rPr>
        <w:t>http://202.106.120.146/baosong/appweb/orgScale.html</w:t>
      </w:r>
    </w:p>
    <w:p>
      <w:pPr>
        <w:pStyle w:val="27"/>
        <w:snapToGrid w:val="0"/>
        <w:spacing w:before="120" w:after="120"/>
        <w:jc w:val="left"/>
        <w:rPr>
          <w:b/>
          <w:bCs/>
          <w:sz w:val="28"/>
          <w:szCs w:val="28"/>
          <w:u w:val="single"/>
          <w:shd w:val="pct10" w:color="auto" w:fill="FFFFFF"/>
        </w:rPr>
      </w:pPr>
      <w:r>
        <w:rPr>
          <w:b/>
          <w:bCs/>
          <w:sz w:val="28"/>
          <w:szCs w:val="28"/>
          <w:u w:val="single"/>
          <w:shd w:val="pct10" w:color="auto" w:fill="FFFFFF"/>
        </w:rPr>
        <w:t>4</w:t>
      </w:r>
      <w:r>
        <w:rPr>
          <w:rFonts w:hint="eastAsia"/>
          <w:b/>
          <w:bCs/>
          <w:sz w:val="28"/>
          <w:szCs w:val="28"/>
          <w:u w:val="single"/>
          <w:shd w:val="pct10" w:color="auto" w:fill="FFFFFF"/>
        </w:rPr>
        <w:t>、投标人未提供《中小企业声明函》的、《中小企业声明函》中内容应填写而未进行填写或未如实填写的，将不给予投标人</w:t>
      </w:r>
      <w:bookmarkStart w:id="77" w:name="_Hlk77601958"/>
      <w:r>
        <w:rPr>
          <w:rFonts w:hint="eastAsia"/>
          <w:b/>
          <w:bCs/>
          <w:sz w:val="28"/>
          <w:szCs w:val="28"/>
          <w:u w:val="single"/>
          <w:shd w:val="pct10" w:color="auto" w:fill="FFFFFF"/>
        </w:rPr>
        <w:t>小微企业报价优惠扣除。</w:t>
      </w:r>
    </w:p>
    <w:bookmarkEnd w:id="77"/>
    <w:p>
      <w:pPr>
        <w:pStyle w:val="27"/>
        <w:snapToGrid w:val="0"/>
        <w:spacing w:before="120" w:after="120"/>
        <w:jc w:val="left"/>
        <w:rPr>
          <w:b/>
          <w:bCs/>
          <w:sz w:val="28"/>
          <w:szCs w:val="28"/>
          <w:u w:val="single"/>
          <w:shd w:val="pct10" w:color="auto" w:fill="FFFFFF"/>
        </w:rPr>
      </w:pPr>
      <w:r>
        <w:rPr>
          <w:rFonts w:hint="eastAsia"/>
          <w:b/>
          <w:bCs/>
          <w:sz w:val="28"/>
          <w:szCs w:val="28"/>
          <w:u w:val="single"/>
          <w:shd w:val="pct10" w:color="auto" w:fill="FFFFFF"/>
        </w:rPr>
        <w:t>预成交供应商享受小微企业报价优惠扣除的，将按规定公开预成交供应商的《中小企业声明函》。</w:t>
      </w:r>
    </w:p>
    <w:p>
      <w:pPr>
        <w:pStyle w:val="27"/>
        <w:snapToGrid w:val="0"/>
        <w:spacing w:before="120" w:after="120"/>
        <w:jc w:val="left"/>
        <w:rPr>
          <w:rFonts w:hint="eastAsia"/>
          <w:b/>
          <w:bCs/>
          <w:sz w:val="28"/>
          <w:szCs w:val="28"/>
          <w:u w:val="single"/>
          <w:shd w:val="pct10" w:color="auto" w:fill="FFFFFF"/>
        </w:rPr>
      </w:pPr>
      <w:r>
        <w:rPr>
          <w:b/>
          <w:bCs/>
          <w:sz w:val="28"/>
          <w:szCs w:val="28"/>
          <w:u w:val="single"/>
          <w:shd w:val="pct10" w:color="auto" w:fill="FFFFFF"/>
        </w:rPr>
        <w:t>5</w:t>
      </w:r>
      <w:r>
        <w:rPr>
          <w:rFonts w:hint="eastAsia"/>
          <w:b/>
          <w:bCs/>
          <w:sz w:val="28"/>
          <w:szCs w:val="28"/>
          <w:u w:val="single"/>
          <w:shd w:val="pct10" w:color="auto" w:fill="FFFFFF"/>
        </w:rPr>
        <w:t>、如国家对中小企业划型标准有新的规定的，从其规定。</w:t>
      </w:r>
    </w:p>
    <w:bookmarkEnd w:id="76"/>
    <w:p>
      <w:pPr>
        <w:pStyle w:val="27"/>
        <w:snapToGrid w:val="0"/>
        <w:spacing w:before="120" w:after="120"/>
        <w:jc w:val="left"/>
        <w:rPr>
          <w:rFonts w:hAnsi="宋体"/>
        </w:rPr>
      </w:pPr>
      <w:r>
        <w:br w:type="page"/>
      </w:r>
      <w:bookmarkEnd w:id="74"/>
      <w:bookmarkEnd w:id="75"/>
      <w:r>
        <w:rPr>
          <w:rFonts w:hint="eastAsia" w:hAnsi="宋体"/>
        </w:rPr>
        <w:t>1</w:t>
      </w:r>
      <w:r>
        <w:rPr>
          <w:rFonts w:hAnsi="宋体"/>
        </w:rPr>
        <w:t>7</w:t>
      </w:r>
      <w:r>
        <w:rPr>
          <w:rFonts w:hint="eastAsia" w:hAnsi="宋体"/>
        </w:rPr>
        <w:t>.政府采购活动现场确认声明书</w:t>
      </w:r>
    </w:p>
    <w:p>
      <w:pPr>
        <w:snapToGrid w:val="0"/>
        <w:spacing w:line="500" w:lineRule="exact"/>
        <w:jc w:val="center"/>
        <w:rPr>
          <w:rFonts w:ascii="方正小标宋简体" w:hAnsi="方正小标宋简体" w:eastAsia="方正小标宋简体" w:cs="方正小标宋简体"/>
          <w:color w:val="000000"/>
          <w:sz w:val="44"/>
          <w:szCs w:val="44"/>
        </w:rPr>
      </w:pPr>
    </w:p>
    <w:p>
      <w:pPr>
        <w:snapToGrid w:val="0"/>
        <w:spacing w:line="5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政府采购活动现场确认声明书</w:t>
      </w:r>
    </w:p>
    <w:p>
      <w:pPr>
        <w:snapToGrid w:val="0"/>
        <w:spacing w:line="500" w:lineRule="exact"/>
        <w:rPr>
          <w:rFonts w:ascii="仿宋" w:hAnsi="Courier New" w:eastAsia="仿宋"/>
          <w:b/>
          <w:color w:val="000000"/>
          <w:sz w:val="24"/>
        </w:rPr>
      </w:pP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仿宋" w:hAnsi="仿宋"/>
          <w:color w:val="000000"/>
          <w:kern w:val="0"/>
          <w:sz w:val="24"/>
          <w:u w:val="single"/>
        </w:rPr>
        <w:t xml:space="preserve"> </w:t>
      </w:r>
      <w:r>
        <w:rPr>
          <w:rFonts w:hint="eastAsia" w:ascii="仿宋" w:hAnsi="仿宋"/>
          <w:color w:val="000000"/>
          <w:kern w:val="0"/>
          <w:sz w:val="24"/>
        </w:rPr>
        <w:t>（采购组织机构名称）：</w:t>
      </w:r>
    </w:p>
    <w:p>
      <w:pPr>
        <w:widowControl/>
        <w:spacing w:line="360" w:lineRule="exact"/>
        <w:ind w:firstLine="504" w:firstLineChars="200"/>
        <w:jc w:val="left"/>
        <w:rPr>
          <w:rFonts w:ascii="宋体" w:hAnsi="宋体"/>
          <w:color w:val="000000"/>
          <w:kern w:val="0"/>
          <w:sz w:val="24"/>
        </w:rPr>
      </w:pPr>
      <w:r>
        <w:rPr>
          <w:rFonts w:hint="eastAsia" w:ascii="仿宋" w:hAnsi="仿宋"/>
          <w:color w:val="000000"/>
          <w:spacing w:val="6"/>
          <w:kern w:val="0"/>
          <w:sz w:val="24"/>
        </w:rPr>
        <w:t>本人经由</w:t>
      </w:r>
      <w:r>
        <w:rPr>
          <w:rFonts w:hint="eastAsia" w:ascii="仿宋" w:hAnsi="仿宋"/>
          <w:color w:val="000000"/>
          <w:spacing w:val="6"/>
          <w:kern w:val="0"/>
          <w:sz w:val="24"/>
          <w:u w:val="single"/>
        </w:rPr>
        <w:t xml:space="preserve">                   </w:t>
      </w:r>
      <w:r>
        <w:rPr>
          <w:rFonts w:ascii="仿宋" w:hAnsi="仿宋"/>
          <w:color w:val="000000"/>
          <w:spacing w:val="6"/>
          <w:kern w:val="0"/>
          <w:sz w:val="24"/>
          <w:u w:val="single"/>
        </w:rPr>
        <w:t xml:space="preserve">          </w:t>
      </w:r>
      <w:r>
        <w:rPr>
          <w:rFonts w:hint="eastAsia" w:ascii="仿宋" w:hAnsi="仿宋"/>
          <w:color w:val="000000"/>
          <w:spacing w:val="6"/>
          <w:kern w:val="0"/>
          <w:sz w:val="24"/>
        </w:rPr>
        <w:t>单位</w:t>
      </w:r>
      <w:r>
        <w:rPr>
          <w:rFonts w:hint="eastAsia" w:ascii="仿宋" w:hAnsi="仿宋"/>
          <w:color w:val="000000"/>
          <w:spacing w:val="6"/>
          <w:kern w:val="0"/>
          <w:sz w:val="24"/>
          <w:u w:val="single"/>
        </w:rPr>
        <w:t xml:space="preserve">         (法人代表)</w:t>
      </w:r>
      <w:r>
        <w:rPr>
          <w:rFonts w:hint="eastAsia" w:ascii="仿宋" w:hAnsi="仿宋"/>
          <w:color w:val="000000"/>
          <w:spacing w:val="6"/>
          <w:kern w:val="0"/>
          <w:sz w:val="24"/>
        </w:rPr>
        <w:t>合法授权参加</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采购</w:t>
      </w:r>
      <w:r>
        <w:rPr>
          <w:rFonts w:hint="eastAsia" w:ascii="仿宋" w:hAnsi="仿宋"/>
          <w:color w:val="000000"/>
          <w:spacing w:val="6"/>
          <w:kern w:val="0"/>
          <w:sz w:val="24"/>
          <w:u w:val="single"/>
        </w:rPr>
        <w:t xml:space="preserve">（编号： </w:t>
      </w:r>
      <w:r>
        <w:rPr>
          <w:rFonts w:ascii="仿宋" w:hAnsi="仿宋"/>
          <w:color w:val="000000"/>
          <w:spacing w:val="6"/>
          <w:kern w:val="0"/>
          <w:sz w:val="24"/>
          <w:u w:val="single"/>
        </w:rPr>
        <w:t xml:space="preserve">      ）</w:t>
      </w:r>
      <w:r>
        <w:rPr>
          <w:rFonts w:hint="eastAsia" w:ascii="仿宋" w:hAnsi="仿宋"/>
          <w:color w:val="000000"/>
          <w:spacing w:val="6"/>
          <w:kern w:val="0"/>
          <w:sz w:val="24"/>
        </w:rPr>
        <w:t>政府采购活动，经与本单位法人代表（负责人）联系确认，现就有关公平竞争事项郑重声明如下：</w:t>
      </w:r>
    </w:p>
    <w:p>
      <w:pPr>
        <w:widowControl/>
        <w:snapToGrid w:val="0"/>
        <w:spacing w:line="440" w:lineRule="exact"/>
        <w:rPr>
          <w:rFonts w:ascii="仿宋" w:eastAsia="仿宋"/>
          <w:color w:val="000000"/>
          <w:kern w:val="0"/>
          <w:sz w:val="24"/>
        </w:rPr>
      </w:pPr>
      <w:r>
        <w:rPr>
          <w:rFonts w:hint="eastAsia" w:ascii="仿宋" w:hAnsi="仿宋"/>
          <w:color w:val="000000"/>
          <w:kern w:val="0"/>
          <w:sz w:val="24"/>
        </w:rPr>
        <w:t>一、本单位与采购人之间</w:t>
      </w:r>
    </w:p>
    <w:p>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不存在利害关系</w:t>
      </w:r>
    </w:p>
    <w:p>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存在下列利害关系：</w:t>
      </w:r>
    </w:p>
    <w:p>
      <w:pPr>
        <w:widowControl/>
        <w:snapToGrid w:val="0"/>
        <w:spacing w:line="440" w:lineRule="exact"/>
        <w:rPr>
          <w:rFonts w:ascii="仿宋"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投资关系</w:t>
      </w:r>
      <w:r>
        <w:rPr>
          <w:rFonts w:ascii="仿宋" w:hAnsi="仿宋"/>
          <w:color w:val="000000"/>
          <w:kern w:val="0"/>
          <w:sz w:val="24"/>
        </w:rPr>
        <w:t xml:space="preserve">    B.</w:t>
      </w:r>
      <w:r>
        <w:rPr>
          <w:rFonts w:hint="eastAsia" w:ascii="仿宋" w:hAnsi="仿宋"/>
          <w:color w:val="000000"/>
          <w:kern w:val="0"/>
          <w:sz w:val="24"/>
        </w:rPr>
        <w:t>行政隶属关系</w:t>
      </w:r>
      <w:r>
        <w:rPr>
          <w:rFonts w:ascii="仿宋" w:hAnsi="仿宋"/>
          <w:color w:val="000000"/>
          <w:kern w:val="0"/>
          <w:sz w:val="24"/>
        </w:rPr>
        <w:t xml:space="preserve">    C.</w:t>
      </w:r>
      <w:r>
        <w:rPr>
          <w:rFonts w:hint="eastAsia" w:ascii="仿宋" w:hAnsi="仿宋"/>
          <w:color w:val="000000"/>
          <w:kern w:val="0"/>
          <w:sz w:val="24"/>
        </w:rPr>
        <w:t>业务指导关系</w:t>
      </w:r>
    </w:p>
    <w:p>
      <w:pPr>
        <w:widowControl/>
        <w:snapToGrid w:val="0"/>
        <w:spacing w:line="440" w:lineRule="exact"/>
        <w:rPr>
          <w:rFonts w:ascii="仿宋" w:eastAsia="仿宋"/>
          <w:color w:val="000000"/>
          <w:kern w:val="0"/>
          <w:sz w:val="24"/>
        </w:rPr>
      </w:pPr>
      <w:r>
        <w:rPr>
          <w:rFonts w:ascii="仿宋" w:hAnsi="仿宋"/>
          <w:color w:val="000000"/>
          <w:kern w:val="0"/>
          <w:sz w:val="24"/>
        </w:rPr>
        <w:t xml:space="preserve">  D.</w:t>
      </w:r>
      <w:r>
        <w:rPr>
          <w:rFonts w:hint="eastAsia" w:ascii="仿宋" w:hAnsi="仿宋"/>
          <w:color w:val="000000"/>
          <w:kern w:val="0"/>
          <w:sz w:val="24"/>
        </w:rPr>
        <w:t>其他可能</w:t>
      </w:r>
      <w:r>
        <w:rPr>
          <w:rFonts w:hint="eastAsia" w:ascii="仿宋" w:hAnsi="仿宋"/>
          <w:color w:val="000000"/>
          <w:sz w:val="24"/>
        </w:rPr>
        <w:t>影响采购公正的</w:t>
      </w:r>
      <w:r>
        <w:rPr>
          <w:rFonts w:hint="eastAsia" w:ascii="仿宋" w:hAnsi="仿宋"/>
          <w:color w:val="000000"/>
          <w:kern w:val="0"/>
          <w:sz w:val="24"/>
        </w:rPr>
        <w:t>利害关系。</w:t>
      </w:r>
    </w:p>
    <w:p>
      <w:pPr>
        <w:widowControl/>
        <w:snapToGrid w:val="0"/>
        <w:spacing w:line="440" w:lineRule="exact"/>
        <w:rPr>
          <w:rFonts w:ascii="仿宋" w:eastAsia="仿宋"/>
          <w:color w:val="000000"/>
          <w:kern w:val="0"/>
          <w:sz w:val="24"/>
        </w:rPr>
      </w:pPr>
      <w:r>
        <w:rPr>
          <w:rFonts w:hint="eastAsia" w:ascii="仿宋" w:hAnsi="仿宋"/>
          <w:color w:val="000000"/>
          <w:spacing w:val="6"/>
          <w:sz w:val="24"/>
        </w:rPr>
        <w:t>二、</w:t>
      </w:r>
      <w:r>
        <w:rPr>
          <w:rFonts w:hint="eastAsia" w:ascii="仿宋" w:hAnsi="仿宋"/>
          <w:color w:val="000000"/>
          <w:kern w:val="0"/>
          <w:sz w:val="24"/>
        </w:rPr>
        <w:t>现已清楚知道参加本项目采购活动的其他所有供应商名称，本单位</w:t>
      </w:r>
    </w:p>
    <w:p>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□与其他所有供应商之间均</w:t>
      </w:r>
      <w:r>
        <w:rPr>
          <w:rFonts w:hint="eastAsia" w:ascii="仿宋" w:hAnsi="仿宋"/>
          <w:color w:val="000000"/>
          <w:kern w:val="0"/>
          <w:sz w:val="24"/>
        </w:rPr>
        <w:t>不存在利害关系</w:t>
      </w:r>
    </w:p>
    <w:p>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□与之间</w:t>
      </w:r>
      <w:r>
        <w:rPr>
          <w:rFonts w:hint="eastAsia" w:ascii="仿宋" w:hAnsi="仿宋"/>
          <w:color w:val="000000"/>
          <w:kern w:val="0"/>
          <w:sz w:val="24"/>
        </w:rPr>
        <w:t>存在下列利害关系：</w:t>
      </w:r>
    </w:p>
    <w:p>
      <w:pPr>
        <w:snapToGrid w:val="0"/>
        <w:spacing w:line="440" w:lineRule="exact"/>
        <w:rPr>
          <w:rFonts w:ascii="仿宋" w:hAnsi="Courier New"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法定代表人或负责人或实际控制人是同一人</w:t>
      </w:r>
    </w:p>
    <w:p>
      <w:pPr>
        <w:snapToGrid w:val="0"/>
        <w:spacing w:line="440" w:lineRule="exact"/>
        <w:rPr>
          <w:rFonts w:ascii="仿宋" w:hAnsi="Courier New" w:eastAsia="仿宋"/>
          <w:color w:val="000000"/>
          <w:spacing w:val="6"/>
          <w:sz w:val="24"/>
        </w:rPr>
      </w:pPr>
      <w:r>
        <w:rPr>
          <w:rFonts w:ascii="仿宋" w:hAnsi="仿宋"/>
          <w:color w:val="000000"/>
          <w:kern w:val="0"/>
          <w:sz w:val="24"/>
        </w:rPr>
        <w:t xml:space="preserve">  B.</w:t>
      </w:r>
      <w:r>
        <w:rPr>
          <w:rFonts w:hint="eastAsia" w:ascii="仿宋" w:hAnsi="仿宋"/>
          <w:color w:val="000000"/>
          <w:kern w:val="0"/>
          <w:sz w:val="24"/>
        </w:rPr>
        <w:t>法定代表人或负责人或实际控制人是夫妻关系</w:t>
      </w:r>
    </w:p>
    <w:p>
      <w:pPr>
        <w:snapToGrid w:val="0"/>
        <w:spacing w:line="440" w:lineRule="exact"/>
        <w:rPr>
          <w:rFonts w:ascii="仿宋" w:hAnsi="Courier New" w:eastAsia="仿宋"/>
          <w:color w:val="000000"/>
          <w:spacing w:val="6"/>
          <w:sz w:val="24"/>
        </w:rPr>
      </w:pPr>
      <w:r>
        <w:rPr>
          <w:rFonts w:ascii="仿宋" w:hAnsi="仿宋"/>
          <w:color w:val="000000"/>
          <w:kern w:val="0"/>
          <w:sz w:val="24"/>
        </w:rPr>
        <w:t xml:space="preserve">  C.</w:t>
      </w:r>
      <w:r>
        <w:rPr>
          <w:rFonts w:hint="eastAsia" w:ascii="仿宋" w:hAnsi="仿宋"/>
          <w:color w:val="000000"/>
          <w:kern w:val="0"/>
          <w:sz w:val="24"/>
        </w:rPr>
        <w:t>法定代表人或负责人或实际控制人是直系血亲关系</w:t>
      </w:r>
    </w:p>
    <w:p>
      <w:pPr>
        <w:snapToGrid w:val="0"/>
        <w:spacing w:line="440" w:lineRule="exact"/>
        <w:rPr>
          <w:rFonts w:ascii="仿宋" w:hAnsi="Courier New" w:eastAsia="仿宋"/>
          <w:color w:val="000000"/>
          <w:spacing w:val="6"/>
          <w:sz w:val="24"/>
        </w:rPr>
      </w:pPr>
      <w:r>
        <w:rPr>
          <w:rFonts w:ascii="仿宋" w:hAnsi="仿宋"/>
          <w:color w:val="000000"/>
          <w:kern w:val="0"/>
          <w:sz w:val="24"/>
        </w:rPr>
        <w:t xml:space="preserve">  D.</w:t>
      </w:r>
      <w:r>
        <w:rPr>
          <w:rFonts w:hint="eastAsia" w:ascii="仿宋" w:hAnsi="仿宋"/>
          <w:color w:val="000000"/>
          <w:kern w:val="0"/>
          <w:sz w:val="24"/>
        </w:rPr>
        <w:t>法定代表人或负责人或实际控制人存在三代以内旁系血亲关系</w:t>
      </w:r>
    </w:p>
    <w:p>
      <w:pPr>
        <w:snapToGrid w:val="0"/>
        <w:spacing w:line="440" w:lineRule="exact"/>
        <w:rPr>
          <w:rFonts w:ascii="仿宋" w:hAnsi="Courier New" w:eastAsia="仿宋"/>
          <w:color w:val="000000"/>
          <w:kern w:val="0"/>
          <w:sz w:val="24"/>
        </w:rPr>
      </w:pPr>
      <w:r>
        <w:rPr>
          <w:rFonts w:ascii="仿宋" w:hAnsi="仿宋"/>
          <w:color w:val="000000"/>
          <w:kern w:val="0"/>
          <w:sz w:val="24"/>
        </w:rPr>
        <w:t xml:space="preserve">  E.</w:t>
      </w:r>
      <w:r>
        <w:rPr>
          <w:rFonts w:hint="eastAsia" w:ascii="仿宋" w:hAnsi="仿宋"/>
          <w:color w:val="000000"/>
          <w:kern w:val="0"/>
          <w:sz w:val="24"/>
        </w:rPr>
        <w:t>法定代表人或负责人或实际控制人存在近姻亲关系</w:t>
      </w:r>
    </w:p>
    <w:p>
      <w:pPr>
        <w:snapToGrid w:val="0"/>
        <w:spacing w:line="440" w:lineRule="exact"/>
        <w:rPr>
          <w:rFonts w:ascii="仿宋" w:hAnsi="Courier New" w:eastAsia="仿宋"/>
          <w:color w:val="000000"/>
          <w:kern w:val="0"/>
          <w:sz w:val="24"/>
        </w:rPr>
      </w:pPr>
      <w:r>
        <w:rPr>
          <w:rFonts w:ascii="仿宋" w:hAnsi="仿宋"/>
          <w:color w:val="000000"/>
          <w:kern w:val="0"/>
          <w:sz w:val="24"/>
        </w:rPr>
        <w:t xml:space="preserve">  F.</w:t>
      </w:r>
      <w:r>
        <w:rPr>
          <w:rFonts w:hint="eastAsia" w:ascii="仿宋" w:hAnsi="仿宋"/>
          <w:color w:val="000000"/>
          <w:kern w:val="0"/>
          <w:sz w:val="24"/>
        </w:rPr>
        <w:t>法定代表人或负责人或实际控制人存在股份控制或实际控制关系</w:t>
      </w:r>
    </w:p>
    <w:p>
      <w:pPr>
        <w:snapToGrid w:val="0"/>
        <w:spacing w:line="440" w:lineRule="exact"/>
        <w:outlineLvl w:val="0"/>
        <w:rPr>
          <w:rFonts w:ascii="仿宋" w:hAnsi="Courier New" w:eastAsia="仿宋"/>
          <w:color w:val="000000"/>
          <w:kern w:val="0"/>
          <w:sz w:val="24"/>
        </w:rPr>
      </w:pPr>
      <w:r>
        <w:rPr>
          <w:rFonts w:ascii="仿宋" w:hAnsi="仿宋"/>
          <w:color w:val="000000"/>
          <w:kern w:val="0"/>
          <w:sz w:val="24"/>
        </w:rPr>
        <w:t xml:space="preserve">  G.</w:t>
      </w:r>
      <w:r>
        <w:rPr>
          <w:rFonts w:hint="eastAsia" w:ascii="仿宋" w:hAnsi="仿宋"/>
          <w:color w:val="000000"/>
          <w:kern w:val="0"/>
          <w:sz w:val="24"/>
        </w:rPr>
        <w:t>存在共同直接或间接投资设立子公司、联营企业和合营企业情况</w:t>
      </w:r>
    </w:p>
    <w:p>
      <w:pPr>
        <w:snapToGrid w:val="0"/>
        <w:spacing w:line="440" w:lineRule="exact"/>
        <w:rPr>
          <w:rFonts w:ascii="仿宋" w:hAnsi="Courier New" w:eastAsia="仿宋"/>
          <w:color w:val="000000"/>
          <w:sz w:val="24"/>
        </w:rPr>
      </w:pPr>
      <w:r>
        <w:rPr>
          <w:rFonts w:ascii="仿宋" w:hAnsi="仿宋"/>
          <w:color w:val="000000"/>
          <w:kern w:val="0"/>
          <w:sz w:val="24"/>
        </w:rPr>
        <w:t xml:space="preserve">  H.</w:t>
      </w:r>
      <w:r>
        <w:rPr>
          <w:rFonts w:hint="eastAsia" w:ascii="仿宋" w:hAnsi="仿宋"/>
          <w:color w:val="000000"/>
          <w:kern w:val="0"/>
          <w:sz w:val="24"/>
        </w:rPr>
        <w:t>存在分级代理或代销关系、同一生产制造商关系、</w:t>
      </w:r>
      <w:r>
        <w:rPr>
          <w:rFonts w:hint="eastAsia" w:ascii="仿宋" w:hAnsi="仿宋"/>
          <w:color w:val="000000"/>
          <w:sz w:val="24"/>
        </w:rPr>
        <w:t>管理关系、重要业务（占主营业务收入</w:t>
      </w:r>
      <w:r>
        <w:rPr>
          <w:rFonts w:ascii="仿宋" w:hAnsi="仿宋"/>
          <w:color w:val="000000"/>
          <w:sz w:val="24"/>
        </w:rPr>
        <w:t>50%</w:t>
      </w:r>
      <w:r>
        <w:rPr>
          <w:rFonts w:hint="eastAsia" w:ascii="仿宋" w:hAnsi="仿宋"/>
          <w:color w:val="000000"/>
          <w:sz w:val="24"/>
        </w:rPr>
        <w:t>以上）或重要财务往来关系（如融资）等其他实质性控制关系</w:t>
      </w:r>
    </w:p>
    <w:p>
      <w:pPr>
        <w:snapToGrid w:val="0"/>
        <w:spacing w:line="440" w:lineRule="exact"/>
        <w:rPr>
          <w:rFonts w:ascii="仿宋" w:hAnsi="Courier New" w:eastAsia="仿宋"/>
          <w:color w:val="000000"/>
          <w:spacing w:val="6"/>
          <w:sz w:val="24"/>
        </w:rPr>
      </w:pPr>
      <w:r>
        <w:rPr>
          <w:rFonts w:ascii="仿宋" w:hAnsi="仿宋"/>
          <w:color w:val="000000"/>
          <w:sz w:val="24"/>
        </w:rPr>
        <w:t>I</w:t>
      </w:r>
      <w:r>
        <w:rPr>
          <w:rFonts w:ascii="仿宋" w:hAnsi="Courier New" w:eastAsia="仿宋"/>
          <w:color w:val="000000"/>
          <w:kern w:val="0"/>
          <w:sz w:val="24"/>
        </w:rPr>
        <w:t>.</w:t>
      </w:r>
      <w:r>
        <w:rPr>
          <w:rFonts w:hint="eastAsia" w:ascii="仿宋" w:hAnsi="仿宋"/>
          <w:color w:val="000000"/>
          <w:sz w:val="24"/>
        </w:rPr>
        <w:t>其他利害关系情况</w:t>
      </w:r>
      <w:r>
        <w:rPr>
          <w:rFonts w:hint="eastAsia" w:ascii="仿宋" w:hAnsi="仿宋"/>
          <w:color w:val="000000"/>
          <w:kern w:val="0"/>
          <w:sz w:val="24"/>
        </w:rPr>
        <w:t>。</w:t>
      </w:r>
    </w:p>
    <w:p>
      <w:pPr>
        <w:widowControl/>
        <w:snapToGrid w:val="0"/>
        <w:spacing w:line="440" w:lineRule="exact"/>
        <w:rPr>
          <w:rFonts w:ascii="仿宋" w:eastAsia="仿宋"/>
          <w:color w:val="000000"/>
          <w:kern w:val="0"/>
          <w:sz w:val="24"/>
        </w:rPr>
      </w:pPr>
      <w:r>
        <w:rPr>
          <w:rFonts w:hint="eastAsia" w:ascii="仿宋" w:hAnsi="仿宋"/>
          <w:color w:val="000000"/>
          <w:sz w:val="24"/>
        </w:rPr>
        <w:t>三、现已清楚知道并</w:t>
      </w:r>
      <w:r>
        <w:rPr>
          <w:rFonts w:hint="eastAsia" w:ascii="仿宋" w:hAnsi="仿宋"/>
          <w:color w:val="000000"/>
          <w:kern w:val="0"/>
          <w:sz w:val="24"/>
        </w:rPr>
        <w:t>严格遵守政府采购法律法规和现场纪律。</w:t>
      </w:r>
    </w:p>
    <w:p>
      <w:pPr>
        <w:widowControl/>
        <w:snapToGrid w:val="0"/>
        <w:spacing w:line="440" w:lineRule="exact"/>
        <w:rPr>
          <w:rFonts w:ascii="仿宋" w:hAnsi="仿宋"/>
          <w:color w:val="000000"/>
          <w:kern w:val="0"/>
          <w:sz w:val="24"/>
        </w:rPr>
      </w:pPr>
      <w:r>
        <w:rPr>
          <w:rFonts w:hint="eastAsia" w:ascii="仿宋" w:hAnsi="仿宋"/>
          <w:color w:val="000000"/>
          <w:kern w:val="0"/>
          <w:sz w:val="24"/>
        </w:rPr>
        <w:t>四、我发现供应商之间存在或可能存在上述第二条第项利害关系。</w:t>
      </w:r>
    </w:p>
    <w:p>
      <w:pPr>
        <w:widowControl/>
        <w:snapToGrid w:val="0"/>
        <w:spacing w:line="440" w:lineRule="exact"/>
        <w:rPr>
          <w:rFonts w:ascii="宋体" w:hAnsi="宋体"/>
          <w:color w:val="000000"/>
          <w:kern w:val="0"/>
          <w:sz w:val="24"/>
        </w:rPr>
      </w:pPr>
      <w:r>
        <w:rPr>
          <w:rFonts w:hint="eastAsia" w:ascii="宋体" w:hAnsi="宋体"/>
          <w:color w:val="000000"/>
          <w:kern w:val="0"/>
          <w:sz w:val="24"/>
        </w:rPr>
        <w:t>□不存在利害关系</w:t>
      </w:r>
    </w:p>
    <w:p>
      <w:pPr>
        <w:widowControl/>
        <w:snapToGrid w:val="0"/>
        <w:spacing w:line="440" w:lineRule="exact"/>
        <w:rPr>
          <w:rFonts w:ascii="宋体" w:hAnsi="宋体"/>
          <w:color w:val="000000"/>
          <w:kern w:val="0"/>
          <w:sz w:val="24"/>
        </w:rPr>
      </w:pPr>
      <w:r>
        <w:rPr>
          <w:rFonts w:hint="eastAsia" w:ascii="宋体" w:hAnsi="宋体"/>
          <w:color w:val="000000"/>
          <w:kern w:val="0"/>
          <w:sz w:val="24"/>
        </w:rPr>
        <w:t>□存在下列利害关系</w:t>
      </w:r>
    </w:p>
    <w:p>
      <w:pPr>
        <w:snapToGrid w:val="0"/>
        <w:spacing w:line="500" w:lineRule="exact"/>
        <w:ind w:firstLine="480" w:firstLineChars="200"/>
        <w:rPr>
          <w:rFonts w:hint="eastAsia" w:ascii="仿宋" w:hAnsi="仿宋"/>
          <w:color w:val="000000"/>
          <w:sz w:val="24"/>
        </w:rPr>
      </w:pPr>
    </w:p>
    <w:p>
      <w:pPr>
        <w:snapToGrid w:val="0"/>
        <w:spacing w:line="500" w:lineRule="exact"/>
        <w:ind w:firstLine="482" w:firstLineChars="200"/>
        <w:rPr>
          <w:rFonts w:ascii="仿宋" w:hAnsi="Courier New" w:eastAsia="仿宋"/>
          <w:b/>
          <w:color w:val="000000"/>
          <w:sz w:val="24"/>
        </w:rPr>
      </w:pPr>
      <w:r>
        <w:rPr>
          <w:rFonts w:hint="eastAsia" w:ascii="仿宋" w:hAnsi="仿宋"/>
          <w:b/>
          <w:color w:val="000000"/>
          <w:sz w:val="24"/>
        </w:rPr>
        <w:t>供应商代表签名：</w:t>
      </w:r>
    </w:p>
    <w:p>
      <w:pPr>
        <w:ind w:firstLine="3840" w:firstLineChars="1600"/>
        <w:rPr>
          <w:rFonts w:ascii="仿宋" w:eastAsia="仿宋"/>
          <w:color w:val="000000"/>
          <w:sz w:val="24"/>
        </w:rPr>
      </w:pPr>
    </w:p>
    <w:p>
      <w:pPr>
        <w:ind w:firstLine="5880" w:firstLineChars="2450"/>
      </w:pPr>
      <w:r>
        <w:rPr>
          <w:rFonts w:hint="eastAsia" w:ascii="仿宋" w:hAnsi="仿宋"/>
          <w:color w:val="000000"/>
          <w:sz w:val="24"/>
        </w:rPr>
        <w:t>年</w:t>
      </w:r>
      <w:r>
        <w:rPr>
          <w:rFonts w:ascii="仿宋" w:hAnsi="仿宋"/>
          <w:color w:val="000000"/>
          <w:sz w:val="24"/>
        </w:rPr>
        <w:t xml:space="preserve">  </w:t>
      </w:r>
      <w:r>
        <w:rPr>
          <w:rFonts w:hint="eastAsia" w:ascii="仿宋" w:hAnsi="仿宋"/>
          <w:color w:val="000000"/>
          <w:sz w:val="24"/>
        </w:rPr>
        <w:t>月</w:t>
      </w:r>
      <w:bookmarkStart w:id="78" w:name="_GoBack"/>
      <w:bookmarkEnd w:id="78"/>
      <w:r>
        <w:rPr>
          <w:rFonts w:ascii="仿宋" w:hAnsi="仿宋"/>
          <w:color w:val="000000"/>
          <w:sz w:val="24"/>
        </w:rPr>
        <w:t xml:space="preserve">   </w:t>
      </w:r>
      <w:r>
        <w:rPr>
          <w:rFonts w:hint="eastAsia" w:ascii="仿宋" w:hAnsi="仿宋"/>
          <w:color w:val="000000"/>
          <w:sz w:val="24"/>
        </w:rPr>
        <w:t>日</w:t>
      </w:r>
    </w:p>
    <w:p>
      <w:pPr>
        <w:rPr>
          <w:rFonts w:ascii="宋体" w:hAnsi="宋体"/>
          <w:b/>
          <w:color w:val="000000"/>
          <w:sz w:val="24"/>
        </w:rPr>
      </w:pPr>
    </w:p>
    <w:sectPr>
      <w:footerReference r:id="rId13" w:type="default"/>
      <w:footerReference r:id="rId14" w:type="even"/>
      <w:pgSz w:w="11906" w:h="16838"/>
      <w:pgMar w:top="1021" w:right="1588" w:bottom="851" w:left="1588" w:header="851" w:footer="851" w:gutter="0"/>
      <w:cols w:space="720" w:num="1"/>
      <w:rtlGutter w:val="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HelveticaNeueLT Std Lt">
    <w:altName w:val="新宋体"/>
    <w:panose1 w:val="00000000000000000000"/>
    <w:charset w:val="00"/>
    <w:family w:val="auto"/>
    <w:pitch w:val="default"/>
    <w:sig w:usb0="00000000" w:usb1="00000000" w:usb2="0000001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roman"/>
    <w:pitch w:val="default"/>
    <w:sig w:usb0="FFFFFFFF" w:usb1="E9FFFFFF" w:usb2="0000003F" w:usb3="00000000" w:csb0="603F01FF" w:csb1="FFFF0000"/>
  </w:font>
  <w:font w:name="昆仑仿宋">
    <w:altName w:val="黑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EtGsHeiBold">
    <w:altName w:val="黑体"/>
    <w:panose1 w:val="00000000000000000000"/>
    <w:charset w:val="86"/>
    <w:family w:val="auto"/>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Garamond">
    <w:panose1 w:val="02020404030301010803"/>
    <w:charset w:val="00"/>
    <w:family w:val="roman"/>
    <w:pitch w:val="default"/>
    <w:sig w:usb0="00000287" w:usb1="00000000" w:usb2="00000000" w:usb3="00000000" w:csb0="0000009F" w:csb1="DFD70000"/>
  </w:font>
  <w:font w:name="Swis721 Lt BT">
    <w:altName w:val="Yu Gothic UI Semilight"/>
    <w:panose1 w:val="020B0403020202020204"/>
    <w:charset w:val="00"/>
    <w:family w:val="swiss"/>
    <w:pitch w:val="default"/>
    <w:sig w:usb0="00000087" w:usb1="00000000" w:usb2="00000000" w:usb3="00000000" w:csb0="0000001B" w:csb1="00000000"/>
  </w:font>
  <w:font w:name="Calibri Light">
    <w:panose1 w:val="020F03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3" w:usb1="00000000" w:usb2="00000000" w:usb3="00000000" w:csb0="00000001" w:csb1="00000000"/>
  </w:font>
  <w:font w:name="Tms Rmn">
    <w:altName w:val="Segoe Print"/>
    <w:panose1 w:val="02020603040505020304"/>
    <w:charset w:val="00"/>
    <w:family w:val="roman"/>
    <w:pitch w:val="default"/>
    <w:sig w:usb0="00000003"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方正小标宋简体">
    <w:altName w:val="Malgun Gothic Semilight"/>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Yu Gothic UI Semilight">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2"/>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GnaBycgBAACZAwAADgAAAGRycy9lMm9Eb2MueG1srVPNjtMwEL4j8Q6W 79RpD6iKmq4WVYuQECAtPIDr2I0l/8njNukLwBtw4sKd5+pzMHaS7rJc9rCXZDwz+eb7Pk82N4M1 5CQjaO8aulxUlEgnfKvdoaHfvt69WVMCibuWG+9kQ88S6M329atNH2q58p03rYwEQRzUfWhol1Ko GQPRScth4YN0WFQ+Wp7wGA+sjbxHdGvYqqrest7HNkQvJABmd2ORTojxOYBeKS3kzoujlS6NqFEa nlASdDoA3Ra2SkmRPisFMhHTUFSayhOHYLzPT7bd8PoQeei0mCjw51B4osly7XDoFWrHEyfHqP+D slpED16lhfCWjUKKI6hiWT3x5r7jQRYtaDWEq+nwcrDi0+lLJLrFTaDEcYsXfvn54/Lrz+X3d7LM 9vQBauy6D9iXhnd+yK1THjCZVQ8q2vxGPQTraO75aq4cEhH5o/Vqva6wJLA2HxCHPXweIqT30luS g4ZGvL1iKj99hDS2zi15mvN32hjM89q4fxKImTMscx855igN+2EivvftGfX0ePENdbjnlJgPDn3N OzIHcQ72c3AMUR86pLYsvCDcHhOSKNzyhBF2Gow3VtRN25VX4vG5dD38Udu/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Bp2gcnIAQAAmQMAAA4AAAAAAAAAAQAgAAAAHgEAAGRycy9lMm9Eb2Mu eG1sUEsFBgAAAAAGAAYAWQEAAFgFAAAAAA== ">
              <v:fill on="f" focussize="0,0"/>
              <v:stroke on="f"/>
              <v:imagedata o:title=""/>
              <o:lock v:ext="edit" aspectratio="f"/>
              <v:textbox inset="0mm,0mm,0mm,0mm" style="mso-fit-shape-to-text:t;">
                <w:txbxContent>
                  <w:p>
                    <w:pPr>
                      <w:pStyle w:val="3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2"/>
                            <w:jc w:val="right"/>
                          </w:pPr>
                          <w:r>
                            <w:fldChar w:fldCharType="begin"/>
                          </w:r>
                          <w:r>
                            <w:instrText xml:space="preserve">PAGE   \* MERGEFORMAT</w:instrText>
                          </w:r>
                          <w:r>
                            <w:fldChar w:fldCharType="separate"/>
                          </w:r>
                          <w:r>
                            <w:rPr>
                              <w:lang w:val="zh-CN"/>
                            </w:rPr>
                            <w:t>34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Ct1YkckBAACZAwAADgAAAGRycy9lMm9Eb2MueG1srVNLbtswEN0XyB0I 7mPJWhSGYDlIYaQoEKQF0h6ApkiLAH/g0JZ8gfYGXXXTfc/lc3RISU6abrLIhhrODN+8NzNa3wxG k6MIoJxt6HJRUiIsd62y+4Z++3p3vaIEIrMt086Khp4E0JvN1bt172tRuc7pVgSCIBbq3je0i9HX RQG8E4bBwnlhMShdMCziNeyLNrAe0Y0uqrJ8X/QutD44LgDQux2DdEIMrwF0Uiouto4fjLBxRA1C s4iSoFMe6CazlVLw+FlKEJHohqLSmE8sgvYuncVmzep9YL5TfKLAXkPhhSbDlMWiF6gti4wcgvoP yigeHDgZF9yZYhSSO4IqluWL3jx2zIusBVsN/tJ0eDtY/nD8EohqG1pRYpnBgZ9//jj/+nP+/Z1U qT29hxqzHj3mxeGDG3BpZj+gM6keZDDpi3oIxrG5p0tzxRAJT49W1WpVYohjbL4gfvH03AeIH4Uz JBkNDTi93FR2vIc4ps4pqZp1d0rrPEFt/3EgZvIUifvIMVlx2A2ToJ1rT6inx8E31OKeU6I/Wexr 2pHZCLOxm42DD2rfIbVl5gX+9hCRROaWKoywU2GcWFY3bVdaief3nPX0R23+A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K3ViRyQEAAJkDAAAOAAAAAAAAAAEAIAAAAB4BAABkcnMvZTJvRG9j LnhtbFBLBQYAAAAABgAGAFkBAABZBQAAAAA= ">
              <v:fill on="f" focussize="0,0"/>
              <v:stroke on="f"/>
              <v:imagedata o:title=""/>
              <o:lock v:ext="edit" aspectratio="f"/>
              <v:textbox inset="0mm,0mm,0mm,0mm" style="mso-fit-shape-to-text:t;">
                <w:txbxContent>
                  <w:p>
                    <w:pPr>
                      <w:pStyle w:val="32"/>
                      <w:jc w:val="right"/>
                    </w:pPr>
                    <w:r>
                      <w:fldChar w:fldCharType="begin"/>
                    </w:r>
                    <w:r>
                      <w:instrText xml:space="preserve">PAGE   \* MERGEFORMAT</w:instrText>
                    </w:r>
                    <w:r>
                      <w:fldChar w:fldCharType="separate"/>
                    </w:r>
                    <w:r>
                      <w:rPr>
                        <w:lang w:val="zh-CN"/>
                      </w:rPr>
                      <w:t>34</w:t>
                    </w:r>
                    <w:r>
                      <w:fldChar w:fldCharType="end"/>
                    </w:r>
                  </w:p>
                </w:txbxContent>
              </v:textbox>
            </v:shape>
          </w:pict>
        </mc:Fallback>
      </mc:AlternateContent>
    </w:r>
  </w:p>
  <w:p>
    <w:pPr>
      <w:pStyle w:val="3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Align="top"/>
      <w:rPr>
        <w:rStyle w:val="52"/>
      </w:rPr>
    </w:pPr>
    <w:r>
      <w:fldChar w:fldCharType="begin"/>
    </w:r>
    <w:r>
      <w:rPr>
        <w:rStyle w:val="52"/>
      </w:rPr>
      <w:instrText xml:space="preserve">PAGE  </w:instrText>
    </w:r>
    <w:r>
      <w:fldChar w:fldCharType="end"/>
    </w:r>
  </w:p>
  <w:p>
    <w:pPr>
      <w:pStyle w:val="3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2"/>
                            <w:rPr>
                              <w:rStyle w:val="52"/>
                            </w:rPr>
                          </w:pPr>
                          <w:r>
                            <w:fldChar w:fldCharType="begin"/>
                          </w:r>
                          <w:r>
                            <w:rPr>
                              <w:rStyle w:val="52"/>
                            </w:rPr>
                            <w:instrText xml:space="preserve">PAGE  </w:instrText>
                          </w:r>
                          <w:r>
                            <w:fldChar w:fldCharType="separate"/>
                          </w:r>
                          <w:r>
                            <w:rPr>
                              <w:rStyle w:val="52"/>
                            </w:rPr>
                            <w:t>61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rvvpskBAACZAwAADgAAAGRycy9lMm9Eb2MueG1srVPNjtMwEL4j8Q6W 79RpV0JV1HQFqhYhIUBaeADXsRtL/pPHbdIXgDfgxIU7z9XnYOwk3WW57IGLM54Zf/N9M5PN7WAN OckI2ruGLhcVJdIJ32p3aOjXL3ev1pRA4q7lxjvZ0LMEert9+WLTh1qufOdNKyNBEAd1HxrapRRq xkB00nJY+CAdBpWPlie8xgNrI+8R3Rq2qqrXrPexDdELCYDe3RikE2J8DqBXSgu58+JopUsjapSG J5QEnQ5At4WtUlKkT0qBTMQ0FJWmcmIRtPf5ZNsNrw+Rh06LiQJ/DoUnmizXDoteoXY8cXKM+h8o q0X04FVaCG/ZKKR0BFUsqye9ue94kEULthrCtenw/2DFx9PnSHTb0BtKHLc48MuP75efvy+/vpGb 3J4+QI1Z9wHz0vDWD7g0sx/QmVUPKtr8RT0E49jc87W5ckhE5Efr1XpdYUhgbL4gPnt4HiKkd9Jb ko2GRpxeaSo/fYA0ps4puZrzd9qYMkHj/nIgZvawzH3kmK007IdJ0N63Z9TT4+Ab6nDPKTHvHfY1 78hsxNnYz8YxRH3okNqy8ILw5piQROGWK4ywU2GcWFE3bVdeicf3kvXwR23/AF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6u++myQEAAJkDAAAOAAAAAAAAAAEAIAAAAB4BAABkcnMvZTJvRG9j LnhtbFBLBQYAAAAABgAGAFkBAABZBQAAAAA= ">
              <v:fill on="f" focussize="0,0"/>
              <v:stroke on="f"/>
              <v:imagedata o:title=""/>
              <o:lock v:ext="edit" aspectratio="f"/>
              <v:textbox inset="0mm,0mm,0mm,0mm" style="mso-fit-shape-to-text:t;">
                <w:txbxContent>
                  <w:p>
                    <w:pPr>
                      <w:pStyle w:val="32"/>
                      <w:rPr>
                        <w:rStyle w:val="52"/>
                      </w:rPr>
                    </w:pPr>
                    <w:r>
                      <w:fldChar w:fldCharType="begin"/>
                    </w:r>
                    <w:r>
                      <w:rPr>
                        <w:rStyle w:val="52"/>
                      </w:rPr>
                      <w:instrText xml:space="preserve">PAGE  </w:instrText>
                    </w:r>
                    <w:r>
                      <w:fldChar w:fldCharType="separate"/>
                    </w:r>
                    <w:r>
                      <w:rPr>
                        <w:rStyle w:val="52"/>
                      </w:rPr>
                      <w:t>61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Align="top"/>
      <w:rPr>
        <w:rStyle w:val="52"/>
      </w:rPr>
    </w:pPr>
    <w:r>
      <w:fldChar w:fldCharType="begin"/>
    </w:r>
    <w:r>
      <w:rPr>
        <w:rStyle w:val="52"/>
      </w:rPr>
      <w:instrText xml:space="preserve">PAGE  </w:instrText>
    </w:r>
    <w:r>
      <w:fldChar w:fldCharType="separate"/>
    </w:r>
    <w:r>
      <w:rPr>
        <w:rStyle w:val="52"/>
      </w:rPr>
      <w:t>53</w:t>
    </w:r>
    <w:r>
      <w:fldChar w:fldCharType="end"/>
    </w:r>
  </w:p>
  <w:p>
    <w:pPr>
      <w:pStyle w:val="3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00000003"/>
    <w:multiLevelType w:val="multilevel"/>
    <w:tmpl w:val="00000003"/>
    <w:lvl w:ilvl="0" w:tentative="0">
      <w:start w:val="1"/>
      <w:numFmt w:val="bullet"/>
      <w:pStyle w:val="309"/>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1D92129"/>
    <w:multiLevelType w:val="multilevel"/>
    <w:tmpl w:val="01D92129"/>
    <w:lvl w:ilvl="0" w:tentative="0">
      <w:start w:val="1"/>
      <w:numFmt w:val="bullet"/>
      <w:pStyle w:val="294"/>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2"/>
  </w:num>
  <w:num w:numId="2">
    <w:abstractNumId w:val="0"/>
    <w:lvlOverride w:ilvl="0">
      <w:lvl w:ilvl="0" w:tentative="1">
        <w:start w:val="0"/>
        <w:numFmt w:val="bullet"/>
        <w:pStyle w:val="300"/>
        <w:lvlText w:val=""/>
        <w:legacy w:legacy="1" w:legacySpace="0" w:legacyIndent="360"/>
        <w:lvlJc w:val="left"/>
        <w:rPr>
          <w:rFonts w:hint="default" w:ascii="Symbol" w:hAnsi="Symbol"/>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90299"/>
    <w:rsid w:val="008E0C60"/>
    <w:rsid w:val="00E32D5A"/>
    <w:rsid w:val="01165404"/>
    <w:rsid w:val="01461B2E"/>
    <w:rsid w:val="0182558C"/>
    <w:rsid w:val="01F75AF4"/>
    <w:rsid w:val="020D7BF3"/>
    <w:rsid w:val="037A2E48"/>
    <w:rsid w:val="03A569EC"/>
    <w:rsid w:val="03C56396"/>
    <w:rsid w:val="052B2F21"/>
    <w:rsid w:val="05663F59"/>
    <w:rsid w:val="05B10A88"/>
    <w:rsid w:val="05D110F3"/>
    <w:rsid w:val="0613279B"/>
    <w:rsid w:val="063716D7"/>
    <w:rsid w:val="06BA152A"/>
    <w:rsid w:val="06DE05A1"/>
    <w:rsid w:val="070B300A"/>
    <w:rsid w:val="07143D1C"/>
    <w:rsid w:val="07CA50FC"/>
    <w:rsid w:val="09102B5A"/>
    <w:rsid w:val="0A1B183D"/>
    <w:rsid w:val="0A6B25E4"/>
    <w:rsid w:val="0AE06862"/>
    <w:rsid w:val="0B2428ED"/>
    <w:rsid w:val="0BB45331"/>
    <w:rsid w:val="0C597DB2"/>
    <w:rsid w:val="0C927091"/>
    <w:rsid w:val="0CA47E60"/>
    <w:rsid w:val="0CFA362C"/>
    <w:rsid w:val="0D23494C"/>
    <w:rsid w:val="0D313732"/>
    <w:rsid w:val="0E00516C"/>
    <w:rsid w:val="0E0B1B42"/>
    <w:rsid w:val="0E6D45AA"/>
    <w:rsid w:val="0EBE4FB4"/>
    <w:rsid w:val="0F31280B"/>
    <w:rsid w:val="0FB81855"/>
    <w:rsid w:val="0FE54ADC"/>
    <w:rsid w:val="0FFF7484"/>
    <w:rsid w:val="100F5919"/>
    <w:rsid w:val="10593038"/>
    <w:rsid w:val="110E0456"/>
    <w:rsid w:val="113E5CE2"/>
    <w:rsid w:val="1176338B"/>
    <w:rsid w:val="12247DD2"/>
    <w:rsid w:val="12CB57E2"/>
    <w:rsid w:val="14186D67"/>
    <w:rsid w:val="155B52BD"/>
    <w:rsid w:val="15B4486D"/>
    <w:rsid w:val="15E43774"/>
    <w:rsid w:val="16C638A0"/>
    <w:rsid w:val="16F5771D"/>
    <w:rsid w:val="17CC08F3"/>
    <w:rsid w:val="18482B9D"/>
    <w:rsid w:val="184B34A1"/>
    <w:rsid w:val="18786026"/>
    <w:rsid w:val="18AF6AED"/>
    <w:rsid w:val="18BC73EA"/>
    <w:rsid w:val="19294C2D"/>
    <w:rsid w:val="1ADF238C"/>
    <w:rsid w:val="1B196182"/>
    <w:rsid w:val="1B3F107D"/>
    <w:rsid w:val="1BE24584"/>
    <w:rsid w:val="1C406E5A"/>
    <w:rsid w:val="1C6860AC"/>
    <w:rsid w:val="1C8B31D1"/>
    <w:rsid w:val="1D676594"/>
    <w:rsid w:val="1D9669F2"/>
    <w:rsid w:val="1E262080"/>
    <w:rsid w:val="1E276524"/>
    <w:rsid w:val="1E88576B"/>
    <w:rsid w:val="1E887609"/>
    <w:rsid w:val="1EF74148"/>
    <w:rsid w:val="1EFF0614"/>
    <w:rsid w:val="1F3F33F9"/>
    <w:rsid w:val="1F5F3A9B"/>
    <w:rsid w:val="1F9C4CF0"/>
    <w:rsid w:val="202D5376"/>
    <w:rsid w:val="20972481"/>
    <w:rsid w:val="20C10A68"/>
    <w:rsid w:val="20C55B80"/>
    <w:rsid w:val="210D6279"/>
    <w:rsid w:val="216730C6"/>
    <w:rsid w:val="222D0572"/>
    <w:rsid w:val="22603DB2"/>
    <w:rsid w:val="23922691"/>
    <w:rsid w:val="239857CE"/>
    <w:rsid w:val="24071AF1"/>
    <w:rsid w:val="24076FED"/>
    <w:rsid w:val="241B626A"/>
    <w:rsid w:val="24DD12D5"/>
    <w:rsid w:val="24E57BFC"/>
    <w:rsid w:val="25124021"/>
    <w:rsid w:val="25902C01"/>
    <w:rsid w:val="26CA3EF0"/>
    <w:rsid w:val="277F227A"/>
    <w:rsid w:val="27B01338"/>
    <w:rsid w:val="28167051"/>
    <w:rsid w:val="28B859D2"/>
    <w:rsid w:val="28C62F47"/>
    <w:rsid w:val="28DD5822"/>
    <w:rsid w:val="2912392D"/>
    <w:rsid w:val="29335658"/>
    <w:rsid w:val="2987256D"/>
    <w:rsid w:val="2A5F01E9"/>
    <w:rsid w:val="2AB55310"/>
    <w:rsid w:val="2AE5579D"/>
    <w:rsid w:val="2B45623B"/>
    <w:rsid w:val="2B5B3F83"/>
    <w:rsid w:val="2C2C73FB"/>
    <w:rsid w:val="2C3E572D"/>
    <w:rsid w:val="2C551EA0"/>
    <w:rsid w:val="2D190DF1"/>
    <w:rsid w:val="2D4D0AFB"/>
    <w:rsid w:val="2D8A43D9"/>
    <w:rsid w:val="2F2919D0"/>
    <w:rsid w:val="2FD44EE4"/>
    <w:rsid w:val="2FD9660F"/>
    <w:rsid w:val="312406A1"/>
    <w:rsid w:val="316B62D0"/>
    <w:rsid w:val="31735AF8"/>
    <w:rsid w:val="31BF2B33"/>
    <w:rsid w:val="32116E77"/>
    <w:rsid w:val="32792407"/>
    <w:rsid w:val="331F55C4"/>
    <w:rsid w:val="332B6C84"/>
    <w:rsid w:val="337E678E"/>
    <w:rsid w:val="33D60378"/>
    <w:rsid w:val="35A51BDA"/>
    <w:rsid w:val="37ED790B"/>
    <w:rsid w:val="384A5E4A"/>
    <w:rsid w:val="385B0E4C"/>
    <w:rsid w:val="39C12F31"/>
    <w:rsid w:val="3A7B3A28"/>
    <w:rsid w:val="3B280154"/>
    <w:rsid w:val="3B2E7FB9"/>
    <w:rsid w:val="3B350B0E"/>
    <w:rsid w:val="3B6129B6"/>
    <w:rsid w:val="3B6F4C0F"/>
    <w:rsid w:val="3C30004C"/>
    <w:rsid w:val="3C3B1125"/>
    <w:rsid w:val="3C5F4EAC"/>
    <w:rsid w:val="3D3473F4"/>
    <w:rsid w:val="3DFA614B"/>
    <w:rsid w:val="3E035721"/>
    <w:rsid w:val="3EB22200"/>
    <w:rsid w:val="3FAD211D"/>
    <w:rsid w:val="415154E2"/>
    <w:rsid w:val="41C04CFE"/>
    <w:rsid w:val="42401BEA"/>
    <w:rsid w:val="42864D18"/>
    <w:rsid w:val="42A800A9"/>
    <w:rsid w:val="42C57A1C"/>
    <w:rsid w:val="43957436"/>
    <w:rsid w:val="43972E97"/>
    <w:rsid w:val="43FA12B2"/>
    <w:rsid w:val="44566F7A"/>
    <w:rsid w:val="44C61D43"/>
    <w:rsid w:val="44E81CBA"/>
    <w:rsid w:val="450E39DF"/>
    <w:rsid w:val="464F752F"/>
    <w:rsid w:val="46665A96"/>
    <w:rsid w:val="46AE6F33"/>
    <w:rsid w:val="472F41D6"/>
    <w:rsid w:val="475A6030"/>
    <w:rsid w:val="47906AD7"/>
    <w:rsid w:val="48BF2D31"/>
    <w:rsid w:val="494E2307"/>
    <w:rsid w:val="498F7286"/>
    <w:rsid w:val="49F80028"/>
    <w:rsid w:val="4AE64EED"/>
    <w:rsid w:val="4B25430B"/>
    <w:rsid w:val="4BB87672"/>
    <w:rsid w:val="4BEE27D5"/>
    <w:rsid w:val="4C8476AA"/>
    <w:rsid w:val="4CBD1ADA"/>
    <w:rsid w:val="4FB8672C"/>
    <w:rsid w:val="50127FEB"/>
    <w:rsid w:val="50181F31"/>
    <w:rsid w:val="50414974"/>
    <w:rsid w:val="50DE6540"/>
    <w:rsid w:val="51450743"/>
    <w:rsid w:val="517B34EB"/>
    <w:rsid w:val="51A06B6E"/>
    <w:rsid w:val="53000B16"/>
    <w:rsid w:val="53031DEA"/>
    <w:rsid w:val="53C82DEF"/>
    <w:rsid w:val="53F31A5A"/>
    <w:rsid w:val="54947768"/>
    <w:rsid w:val="54EB20ED"/>
    <w:rsid w:val="55284354"/>
    <w:rsid w:val="55894B00"/>
    <w:rsid w:val="56105181"/>
    <w:rsid w:val="561072C2"/>
    <w:rsid w:val="563C164C"/>
    <w:rsid w:val="567E39FA"/>
    <w:rsid w:val="5684380C"/>
    <w:rsid w:val="56D57BC4"/>
    <w:rsid w:val="57517B92"/>
    <w:rsid w:val="575925A3"/>
    <w:rsid w:val="58922210"/>
    <w:rsid w:val="58CD5721"/>
    <w:rsid w:val="593B28A8"/>
    <w:rsid w:val="59804260"/>
    <w:rsid w:val="5A156B34"/>
    <w:rsid w:val="5A32331C"/>
    <w:rsid w:val="5AED6608"/>
    <w:rsid w:val="5BEB09EB"/>
    <w:rsid w:val="5C240471"/>
    <w:rsid w:val="5CF460D5"/>
    <w:rsid w:val="5DC15346"/>
    <w:rsid w:val="5E5D506F"/>
    <w:rsid w:val="5E6175FA"/>
    <w:rsid w:val="5E923A8B"/>
    <w:rsid w:val="5EA175DA"/>
    <w:rsid w:val="5F4918E1"/>
    <w:rsid w:val="5F51779F"/>
    <w:rsid w:val="5F9C3975"/>
    <w:rsid w:val="5FAF24EB"/>
    <w:rsid w:val="603941FE"/>
    <w:rsid w:val="60563B24"/>
    <w:rsid w:val="61182C94"/>
    <w:rsid w:val="616D4F0A"/>
    <w:rsid w:val="628E0698"/>
    <w:rsid w:val="62BA5A30"/>
    <w:rsid w:val="62C77A86"/>
    <w:rsid w:val="630950C4"/>
    <w:rsid w:val="63556A74"/>
    <w:rsid w:val="635C567B"/>
    <w:rsid w:val="6371022B"/>
    <w:rsid w:val="63AD43A2"/>
    <w:rsid w:val="63D300D9"/>
    <w:rsid w:val="643A1EF6"/>
    <w:rsid w:val="643D177C"/>
    <w:rsid w:val="646F7898"/>
    <w:rsid w:val="64C02B74"/>
    <w:rsid w:val="661C5726"/>
    <w:rsid w:val="66E115FB"/>
    <w:rsid w:val="6703580B"/>
    <w:rsid w:val="671944AF"/>
    <w:rsid w:val="688D6550"/>
    <w:rsid w:val="68A60CBE"/>
    <w:rsid w:val="69250429"/>
    <w:rsid w:val="6A042842"/>
    <w:rsid w:val="6A0960AB"/>
    <w:rsid w:val="6A1C75DD"/>
    <w:rsid w:val="6A7D1238"/>
    <w:rsid w:val="6AE54422"/>
    <w:rsid w:val="6BD3071E"/>
    <w:rsid w:val="6C9003BD"/>
    <w:rsid w:val="6CC12C6C"/>
    <w:rsid w:val="6D6B2D52"/>
    <w:rsid w:val="6D877A12"/>
    <w:rsid w:val="6DA2050E"/>
    <w:rsid w:val="6DDD5884"/>
    <w:rsid w:val="6DEF3B3A"/>
    <w:rsid w:val="6E82642B"/>
    <w:rsid w:val="6ECD0145"/>
    <w:rsid w:val="6F5D302B"/>
    <w:rsid w:val="6F901BD3"/>
    <w:rsid w:val="70EA56D2"/>
    <w:rsid w:val="72402885"/>
    <w:rsid w:val="73596AD9"/>
    <w:rsid w:val="73AA7BCB"/>
    <w:rsid w:val="73CC3F16"/>
    <w:rsid w:val="741F5A9C"/>
    <w:rsid w:val="74426B6B"/>
    <w:rsid w:val="745756B7"/>
    <w:rsid w:val="74A72748"/>
    <w:rsid w:val="74A76BEC"/>
    <w:rsid w:val="74CD3B69"/>
    <w:rsid w:val="750E27C7"/>
    <w:rsid w:val="755D63E4"/>
    <w:rsid w:val="75C86FE6"/>
    <w:rsid w:val="75F61BD9"/>
    <w:rsid w:val="75FF1540"/>
    <w:rsid w:val="76155804"/>
    <w:rsid w:val="76431932"/>
    <w:rsid w:val="76DB2892"/>
    <w:rsid w:val="76E94E08"/>
    <w:rsid w:val="77212C85"/>
    <w:rsid w:val="779A6172"/>
    <w:rsid w:val="77CD6969"/>
    <w:rsid w:val="780D6D66"/>
    <w:rsid w:val="7839549F"/>
    <w:rsid w:val="78B96EEE"/>
    <w:rsid w:val="78C86602"/>
    <w:rsid w:val="79220875"/>
    <w:rsid w:val="792544E8"/>
    <w:rsid w:val="798112AA"/>
    <w:rsid w:val="79AC3E96"/>
    <w:rsid w:val="79D200AC"/>
    <w:rsid w:val="79D815F5"/>
    <w:rsid w:val="7A501B64"/>
    <w:rsid w:val="7A50742F"/>
    <w:rsid w:val="7AB66E67"/>
    <w:rsid w:val="7ABB0CFB"/>
    <w:rsid w:val="7B130B37"/>
    <w:rsid w:val="7B332489"/>
    <w:rsid w:val="7B884BA2"/>
    <w:rsid w:val="7B9003DA"/>
    <w:rsid w:val="7B9A47D2"/>
    <w:rsid w:val="7CB93960"/>
    <w:rsid w:val="7CC66323"/>
    <w:rsid w:val="7CD50193"/>
    <w:rsid w:val="7CE107C1"/>
    <w:rsid w:val="7D3C48E3"/>
    <w:rsid w:val="7D7136C7"/>
    <w:rsid w:val="7E005B4E"/>
    <w:rsid w:val="7E1F57E6"/>
    <w:rsid w:val="7F0E207E"/>
    <w:rsid w:val="7F264BB1"/>
    <w:rsid w:val="7F403EC5"/>
    <w:rsid w:val="7F581C39"/>
    <w:rsid w:val="7FF015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semiHidden="0" w:name="toc 4"/>
    <w:lsdException w:unhideWhenUsed="0" w:uiPriority="39" w:semiHidden="0" w:name="toc 5"/>
    <w:lsdException w:uiPriority="39" w:semiHidden="0" w:name="toc 6"/>
    <w:lsdException w:unhideWhenUsed="0" w:uiPriority="39" w:semiHidden="0" w:name="toc 7"/>
    <w:lsdException w:uiPriority="39" w:semiHidden="0" w:name="toc 8"/>
    <w:lsdException w:uiPriority="39" w:semiHidden="0" w:name="toc 9"/>
    <w:lsdException w:unhideWhenUsed="0" w:uiPriority="0" w:semiHidden="0" w:name="Normal Indent"/>
    <w:lsdException w:uiPriority="1" w:name="footnote text"/>
    <w:lsdException w:unhideWhenUsed="0" w:uiPriority="0" w:semiHidden="0" w:name="annotation text"/>
    <w:lsdException w:unhideWhenUsed="0" w:uiPriority="99" w:semiHidden="0" w:name="header"/>
    <w:lsdException w:unhideWhenUsed="0" w:uiPriority="99" w:semiHidden="0" w:name="footer"/>
    <w:lsdException w:uiPriority="1" w:name="index heading"/>
    <w:lsdException w:qFormat="1" w:unhideWhenUsed="0" w:uiPriority="0" w:semiHidden="0" w:name="caption"/>
    <w:lsdException w:uiPriority="0" w:semiHidden="0" w:name="table of figures"/>
    <w:lsdException w:uiPriority="1" w:name="envelope address"/>
    <w:lsdException w:uiPriority="1" w:name="envelope return"/>
    <w:lsdException w:uiPriority="1" w:name="footnote reference"/>
    <w:lsdException w:unhideWhenUsed="0" w:uiPriority="0" w:semiHidden="0" w:name="annotation reference"/>
    <w:lsdException w:uiPriority="1" w:name="line number"/>
    <w:lsdException w:unhideWhenUsed="0" w:uiPriority="0" w:semiHidden="0" w:name="page number"/>
    <w:lsdException w:uiPriority="1" w:name="endnote reference"/>
    <w:lsdException w:uiPriority="1" w:name="endnote text"/>
    <w:lsdException w:uiPriority="1" w:name="table of authorities"/>
    <w:lsdException w:uiPriority="1"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iPriority="1" w:name="List 3"/>
    <w:lsdException w:uiPriority="1" w:name="List 4"/>
    <w:lsdException w:uiPriority="1" w:name="List 5"/>
    <w:lsdException w:unhideWhenUsed="0" w:uiPriority="0" w:semiHidden="0" w:name="List Bullet 2"/>
    <w:lsdException w:uiPriority="1" w:name="List Bullet 3"/>
    <w:lsdException w:uiPriority="1" w:name="List Bullet 4"/>
    <w:lsdException w:uiPriority="1" w:name="List Bullet 5"/>
    <w:lsdException w:uiPriority="1" w:name="List Number 2"/>
    <w:lsdException w:unhideWhenUsed="0" w:uiPriority="0" w:semiHidden="0" w:name="List Number 3"/>
    <w:lsdException w:uiPriority="1" w:name="List Number 4"/>
    <w:lsdException w:uiPriority="1" w:name="List Number 5"/>
    <w:lsdException w:qFormat="1" w:unhideWhenUsed="0" w:uiPriority="0" w:semiHidden="0" w:name="Title"/>
    <w:lsdException w:uiPriority="1" w:name="Closing"/>
    <w:lsdException w:uiPriority="1" w:name="Signature"/>
    <w:lsdException w:uiPriority="1" w:semiHidden="0" w:name="Default Paragraph Font"/>
    <w:lsdException w:unhideWhenUsed="0" w:uiPriority="0" w:semiHidden="0" w:name="Body Text"/>
    <w:lsdException w:unhideWhenUsed="0" w:uiPriority="0"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uiPriority="1" w:name="Salutation"/>
    <w:lsdException w:unhideWhenUsed="0" w:uiPriority="0" w:semiHidden="0" w:name="Date"/>
    <w:lsdException w:unhideWhenUsed="0" w:uiPriority="0" w:semiHidden="0" w:name="Body Text First Indent"/>
    <w:lsdException w:uiPriority="1" w:name="Body Text First Indent 2"/>
    <w:lsdException w:uiPriority="1" w:name="Note Heading"/>
    <w:lsdException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1"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99" w:semiHidden="0" w:name="Document Map"/>
    <w:lsdException w:qFormat="1" w:unhideWhenUsed="0" w:uiPriority="0" w:semiHidden="0" w:name="Plain Text"/>
    <w:lsdException w:uiPriority="1" w:name="E-mail Signature"/>
    <w:lsdException w:unhideWhenUsed="0" w:uiPriority="0"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uiPriority="1" w:name="HTML Sample"/>
    <w:lsdException w:uiPriority="1" w:name="HTML Typewriter"/>
    <w:lsdException w:uiPriority="1" w:name="HTML Variable"/>
    <w:lsdException w:qFormat="1" w:uiPriority="99" w:semiHidden="0" w:name="Normal Table"/>
    <w:lsdException w:unhideWhenUsed="0" w:uiPriority="99"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unhideWhenUsed="0" w:uiPriority="99" w:semiHidden="0" w:name="Balloon Text"/>
    <w:lsdException w:unhideWhenUsed="0" w:uiPriority="0" w:semiHidden="0" w:name="Table Grid"/>
    <w:lsdException w:uiPriority="1" w:name="Table Theme"/>
    <w:lsdException w:unhideWhenUsed="0" w:uiPriority="1" w:semiHidden="0" w:name="Light Shading"/>
    <w:lsdException w:unhideWhenUsed="0" w:uiPriority="1" w:semiHidden="0" w:name="Light List"/>
    <w:lsdException w:unhideWhenUsed="0" w:uiPriority="1" w:semiHidden="0" w:name="Light Grid"/>
    <w:lsdException w:unhideWhenUsed="0" w:uiPriority="1" w:semiHidden="0" w:name="Medium Shading 1"/>
    <w:lsdException w:unhideWhenUsed="0" w:uiPriority="1" w:semiHidden="0" w:name="Medium Shading 2"/>
    <w:lsdException w:unhideWhenUsed="0" w:uiPriority="1" w:semiHidden="0" w:name="Medium List 1"/>
    <w:lsdException w:unhideWhenUsed="0" w:uiPriority="1" w:semiHidden="0" w:name="Medium List 2"/>
    <w:lsdException w:unhideWhenUsed="0" w:uiPriority="1" w:semiHidden="0" w:name="Medium Grid 1"/>
    <w:lsdException w:unhideWhenUsed="0" w:uiPriority="1" w:semiHidden="0" w:name="Medium Grid 2"/>
    <w:lsdException w:unhideWhenUsed="0" w:uiPriority="1" w:semiHidden="0" w:name="Medium Grid 3"/>
    <w:lsdException w:unhideWhenUsed="0" w:uiPriority="1" w:semiHidden="0" w:name="Dark List"/>
    <w:lsdException w:unhideWhenUsed="0" w:uiPriority="1" w:semiHidden="0" w:name="Colorful Shading"/>
    <w:lsdException w:unhideWhenUsed="0" w:uiPriority="1" w:semiHidden="0" w:name="Colorful List"/>
    <w:lsdException w:unhideWhenUsed="0" w:uiPriority="1" w:semiHidden="0" w:name="Colorful Grid"/>
    <w:lsdException w:unhideWhenUsed="0" w:uiPriority="1" w:semiHidden="0" w:name="Light Shading Accent 1"/>
    <w:lsdException w:unhideWhenUsed="0" w:uiPriority="1" w:semiHidden="0" w:name="Light List Accent 1"/>
    <w:lsdException w:unhideWhenUsed="0" w:uiPriority="1" w:semiHidden="0" w:name="Light Grid Accent 1"/>
    <w:lsdException w:unhideWhenUsed="0" w:uiPriority="1" w:semiHidden="0" w:name="Medium Shading 1 Accent 1"/>
    <w:lsdException w:unhideWhenUsed="0" w:uiPriority="1" w:semiHidden="0" w:name="Medium Shading 2 Accent 1"/>
    <w:lsdException w:unhideWhenUsed="0" w:uiPriority="1" w:semiHidden="0" w:name="Medium List 1 Accent 1"/>
    <w:lsdException w:unhideWhenUsed="0" w:uiPriority="1" w:semiHidden="0" w:name="Medium List 2 Accent 1"/>
    <w:lsdException w:unhideWhenUsed="0" w:uiPriority="1" w:semiHidden="0" w:name="Medium Grid 1 Accent 1"/>
    <w:lsdException w:unhideWhenUsed="0" w:uiPriority="1" w:semiHidden="0" w:name="Medium Grid 2 Accent 1"/>
    <w:lsdException w:unhideWhenUsed="0" w:uiPriority="1" w:semiHidden="0" w:name="Medium Grid 3 Accent 1"/>
    <w:lsdException w:unhideWhenUsed="0" w:uiPriority="1" w:semiHidden="0" w:name="Dark List Accent 1"/>
    <w:lsdException w:unhideWhenUsed="0" w:uiPriority="1" w:semiHidden="0" w:name="Colorful Shading Accent 1"/>
    <w:lsdException w:unhideWhenUsed="0" w:uiPriority="1" w:semiHidden="0" w:name="Colorful List Accent 1"/>
    <w:lsdException w:unhideWhenUsed="0" w:uiPriority="1" w:semiHidden="0" w:name="Colorful Grid Accent 1"/>
    <w:lsdException w:unhideWhenUsed="0" w:uiPriority="1" w:semiHidden="0" w:name="Light Shading Accent 2"/>
    <w:lsdException w:unhideWhenUsed="0" w:uiPriority="1" w:semiHidden="0" w:name="Light List Accent 2"/>
    <w:lsdException w:unhideWhenUsed="0" w:uiPriority="1" w:semiHidden="0" w:name="Light Grid Accent 2"/>
    <w:lsdException w:unhideWhenUsed="0" w:uiPriority="1" w:semiHidden="0" w:name="Medium Shading 1 Accent 2"/>
    <w:lsdException w:unhideWhenUsed="0" w:uiPriority="1" w:semiHidden="0" w:name="Medium Shading 2 Accent 2"/>
    <w:lsdException w:unhideWhenUsed="0" w:uiPriority="1" w:semiHidden="0" w:name="Medium List 1 Accent 2"/>
    <w:lsdException w:unhideWhenUsed="0" w:uiPriority="1" w:semiHidden="0" w:name="Medium List 2 Accent 2"/>
    <w:lsdException w:unhideWhenUsed="0" w:uiPriority="1" w:semiHidden="0" w:name="Medium Grid 1 Accent 2"/>
    <w:lsdException w:unhideWhenUsed="0" w:uiPriority="1" w:semiHidden="0" w:name="Medium Grid 2 Accent 2"/>
    <w:lsdException w:unhideWhenUsed="0" w:uiPriority="1" w:semiHidden="0" w:name="Medium Grid 3 Accent 2"/>
    <w:lsdException w:unhideWhenUsed="0" w:uiPriority="1" w:semiHidden="0" w:name="Dark List Accent 2"/>
    <w:lsdException w:unhideWhenUsed="0" w:uiPriority="1" w:semiHidden="0" w:name="Colorful Shading Accent 2"/>
    <w:lsdException w:unhideWhenUsed="0" w:uiPriority="1" w:semiHidden="0" w:name="Colorful List Accent 2"/>
    <w:lsdException w:unhideWhenUsed="0" w:uiPriority="1" w:semiHidden="0" w:name="Colorful Grid Accent 2"/>
    <w:lsdException w:unhideWhenUsed="0" w:uiPriority="1" w:semiHidden="0" w:name="Light Shading Accent 3"/>
    <w:lsdException w:unhideWhenUsed="0" w:uiPriority="1" w:semiHidden="0" w:name="Light List Accent 3"/>
    <w:lsdException w:unhideWhenUsed="0" w:uiPriority="1" w:semiHidden="0" w:name="Light Grid Accent 3"/>
    <w:lsdException w:unhideWhenUsed="0" w:uiPriority="1" w:semiHidden="0" w:name="Medium Shading 1 Accent 3"/>
    <w:lsdException w:unhideWhenUsed="0" w:uiPriority="1" w:semiHidden="0" w:name="Medium Shading 2 Accent 3"/>
    <w:lsdException w:unhideWhenUsed="0" w:uiPriority="1" w:semiHidden="0" w:name="Medium List 1 Accent 3"/>
    <w:lsdException w:unhideWhenUsed="0" w:uiPriority="1" w:semiHidden="0" w:name="Medium List 2 Accent 3"/>
    <w:lsdException w:unhideWhenUsed="0" w:uiPriority="1" w:semiHidden="0" w:name="Medium Grid 1 Accent 3"/>
    <w:lsdException w:unhideWhenUsed="0" w:uiPriority="1" w:semiHidden="0" w:name="Medium Grid 2 Accent 3"/>
    <w:lsdException w:unhideWhenUsed="0" w:uiPriority="1" w:semiHidden="0" w:name="Medium Grid 3 Accent 3"/>
    <w:lsdException w:unhideWhenUsed="0" w:uiPriority="1" w:semiHidden="0" w:name="Dark List Accent 3"/>
    <w:lsdException w:unhideWhenUsed="0" w:uiPriority="1" w:semiHidden="0" w:name="Colorful Shading Accent 3"/>
    <w:lsdException w:unhideWhenUsed="0" w:uiPriority="1" w:semiHidden="0" w:name="Colorful List Accent 3"/>
    <w:lsdException w:unhideWhenUsed="0" w:uiPriority="1" w:semiHidden="0" w:name="Colorful Grid Accent 3"/>
    <w:lsdException w:unhideWhenUsed="0" w:uiPriority="1" w:semiHidden="0" w:name="Light Shading Accent 4"/>
    <w:lsdException w:unhideWhenUsed="0" w:uiPriority="1" w:semiHidden="0" w:name="Light List Accent 4"/>
    <w:lsdException w:unhideWhenUsed="0" w:uiPriority="1" w:semiHidden="0" w:name="Light Grid Accent 4"/>
    <w:lsdException w:unhideWhenUsed="0" w:uiPriority="1" w:semiHidden="0" w:name="Medium Shading 1 Accent 4"/>
    <w:lsdException w:unhideWhenUsed="0" w:uiPriority="1" w:semiHidden="0" w:name="Medium Shading 2 Accent 4"/>
    <w:lsdException w:unhideWhenUsed="0" w:uiPriority="1" w:semiHidden="0" w:name="Medium List 1 Accent 4"/>
    <w:lsdException w:unhideWhenUsed="0" w:uiPriority="1" w:semiHidden="0" w:name="Medium List 2 Accent 4"/>
    <w:lsdException w:unhideWhenUsed="0" w:uiPriority="1" w:semiHidden="0" w:name="Medium Grid 1 Accent 4"/>
    <w:lsdException w:unhideWhenUsed="0" w:uiPriority="1" w:semiHidden="0" w:name="Medium Grid 2 Accent 4"/>
    <w:lsdException w:unhideWhenUsed="0" w:uiPriority="1" w:semiHidden="0" w:name="Medium Grid 3 Accent 4"/>
    <w:lsdException w:unhideWhenUsed="0" w:uiPriority="1" w:semiHidden="0" w:name="Dark List Accent 4"/>
    <w:lsdException w:unhideWhenUsed="0" w:uiPriority="1" w:semiHidden="0" w:name="Colorful Shading Accent 4"/>
    <w:lsdException w:unhideWhenUsed="0" w:uiPriority="1" w:semiHidden="0" w:name="Colorful List Accent 4"/>
    <w:lsdException w:unhideWhenUsed="0" w:uiPriority="1" w:semiHidden="0" w:name="Colorful Grid Accent 4"/>
    <w:lsdException w:unhideWhenUsed="0" w:uiPriority="1" w:semiHidden="0" w:name="Light Shading Accent 5"/>
    <w:lsdException w:unhideWhenUsed="0" w:uiPriority="1" w:semiHidden="0" w:name="Light List Accent 5"/>
    <w:lsdException w:unhideWhenUsed="0" w:uiPriority="1" w:semiHidden="0" w:name="Light Grid Accent 5"/>
    <w:lsdException w:unhideWhenUsed="0" w:uiPriority="1" w:semiHidden="0" w:name="Medium Shading 1 Accent 5"/>
    <w:lsdException w:unhideWhenUsed="0" w:uiPriority="1" w:semiHidden="0" w:name="Medium Shading 2 Accent 5"/>
    <w:lsdException w:unhideWhenUsed="0" w:uiPriority="1" w:semiHidden="0" w:name="Medium List 1 Accent 5"/>
    <w:lsdException w:unhideWhenUsed="0" w:uiPriority="1" w:semiHidden="0" w:name="Medium List 2 Accent 5"/>
    <w:lsdException w:unhideWhenUsed="0" w:uiPriority="1" w:semiHidden="0" w:name="Medium Grid 1 Accent 5"/>
    <w:lsdException w:unhideWhenUsed="0" w:uiPriority="1" w:semiHidden="0" w:name="Medium Grid 2 Accent 5"/>
    <w:lsdException w:unhideWhenUsed="0" w:uiPriority="1" w:semiHidden="0" w:name="Medium Grid 3 Accent 5"/>
    <w:lsdException w:unhideWhenUsed="0" w:uiPriority="1" w:semiHidden="0" w:name="Dark List Accent 5"/>
    <w:lsdException w:unhideWhenUsed="0" w:uiPriority="1" w:semiHidden="0" w:name="Colorful Shading Accent 5"/>
    <w:lsdException w:unhideWhenUsed="0" w:uiPriority="1" w:semiHidden="0" w:name="Colorful List Accent 5"/>
    <w:lsdException w:unhideWhenUsed="0" w:uiPriority="1" w:semiHidden="0" w:name="Colorful Grid Accent 5"/>
    <w:lsdException w:unhideWhenUsed="0" w:uiPriority="1" w:semiHidden="0" w:name="Light Shading Accent 6"/>
    <w:lsdException w:unhideWhenUsed="0" w:uiPriority="1" w:semiHidden="0" w:name="Light List Accent 6"/>
    <w:lsdException w:unhideWhenUsed="0" w:uiPriority="1" w:semiHidden="0" w:name="Light Grid Accent 6"/>
    <w:lsdException w:unhideWhenUsed="0" w:uiPriority="1" w:semiHidden="0" w:name="Medium Shading 1 Accent 6"/>
    <w:lsdException w:unhideWhenUsed="0" w:uiPriority="1" w:semiHidden="0" w:name="Medium Shading 2 Accent 6"/>
    <w:lsdException w:unhideWhenUsed="0" w:uiPriority="1" w:semiHidden="0" w:name="Medium List 1 Accent 6"/>
    <w:lsdException w:unhideWhenUsed="0" w:uiPriority="1" w:semiHidden="0" w:name="Medium List 2 Accent 6"/>
    <w:lsdException w:unhideWhenUsed="0" w:uiPriority="1" w:semiHidden="0" w:name="Medium Grid 1 Accent 6"/>
    <w:lsdException w:unhideWhenUsed="0" w:uiPriority="1" w:semiHidden="0" w:name="Medium Grid 2 Accent 6"/>
    <w:lsdException w:unhideWhenUsed="0" w:uiPriority="1" w:semiHidden="0" w:name="Medium Grid 3 Accent 6"/>
    <w:lsdException w:unhideWhenUsed="0" w:uiPriority="1" w:semiHidden="0" w:name="Dark List Accent 6"/>
    <w:lsdException w:unhideWhenUsed="0" w:uiPriority="1" w:semiHidden="0" w:name="Colorful Shading Accent 6"/>
    <w:lsdException w:unhideWhenUsed="0" w:uiPriority="1" w:semiHidden="0" w:name="Colorful List Accent 6"/>
    <w:lsdException w:unhideWhenUsed="0" w:uiPriority="1"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5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8"/>
    <w:qFormat/>
    <w:uiPriority w:val="9"/>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59"/>
    <w:qFormat/>
    <w:uiPriority w:val="0"/>
    <w:pPr>
      <w:keepNext/>
      <w:keepLines/>
      <w:spacing w:before="260" w:after="260" w:line="416" w:lineRule="auto"/>
      <w:jc w:val="center"/>
      <w:outlineLvl w:val="2"/>
    </w:pPr>
    <w:rPr>
      <w:rFonts w:eastAsia="楷体_GB2312"/>
      <w:b/>
      <w:bCs/>
      <w:kern w:val="0"/>
      <w:sz w:val="32"/>
      <w:szCs w:val="32"/>
    </w:rPr>
  </w:style>
  <w:style w:type="paragraph" w:styleId="5">
    <w:name w:val="heading 4"/>
    <w:basedOn w:val="1"/>
    <w:next w:val="1"/>
    <w:link w:val="60"/>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61"/>
    <w:qFormat/>
    <w:uiPriority w:val="9"/>
    <w:pPr>
      <w:keepNext/>
      <w:keepLines/>
      <w:spacing w:before="280" w:after="290" w:line="376" w:lineRule="auto"/>
      <w:outlineLvl w:val="4"/>
    </w:pPr>
    <w:rPr>
      <w:b/>
      <w:bCs/>
      <w:kern w:val="0"/>
      <w:sz w:val="28"/>
      <w:szCs w:val="28"/>
    </w:rPr>
  </w:style>
  <w:style w:type="paragraph" w:styleId="7">
    <w:name w:val="heading 6"/>
    <w:basedOn w:val="1"/>
    <w:next w:val="1"/>
    <w:link w:val="62"/>
    <w:qFormat/>
    <w:uiPriority w:val="0"/>
    <w:pPr>
      <w:keepNext/>
      <w:keepLines/>
      <w:spacing w:before="240" w:after="64" w:line="320" w:lineRule="auto"/>
      <w:outlineLvl w:val="5"/>
    </w:pPr>
    <w:rPr>
      <w:rFonts w:ascii="Arial" w:hAnsi="Arial" w:eastAsia="黑体"/>
      <w:b/>
      <w:bCs/>
      <w:kern w:val="0"/>
      <w:sz w:val="24"/>
    </w:rPr>
  </w:style>
  <w:style w:type="paragraph" w:styleId="8">
    <w:name w:val="heading 7"/>
    <w:basedOn w:val="1"/>
    <w:next w:val="1"/>
    <w:link w:val="63"/>
    <w:qFormat/>
    <w:uiPriority w:val="0"/>
    <w:pPr>
      <w:keepNext/>
      <w:keepLines/>
      <w:spacing w:before="240" w:after="64" w:line="320" w:lineRule="auto"/>
      <w:outlineLvl w:val="6"/>
    </w:pPr>
    <w:rPr>
      <w:b/>
      <w:bCs/>
      <w:kern w:val="0"/>
      <w:sz w:val="24"/>
    </w:rPr>
  </w:style>
  <w:style w:type="paragraph" w:styleId="9">
    <w:name w:val="heading 8"/>
    <w:basedOn w:val="1"/>
    <w:next w:val="1"/>
    <w:link w:val="64"/>
    <w:qFormat/>
    <w:uiPriority w:val="0"/>
    <w:pPr>
      <w:keepNext/>
      <w:keepLines/>
      <w:spacing w:before="240" w:after="64" w:line="320" w:lineRule="auto"/>
      <w:outlineLvl w:val="7"/>
    </w:pPr>
    <w:rPr>
      <w:rFonts w:ascii="Arial" w:hAnsi="Arial" w:eastAsia="黑体"/>
      <w:kern w:val="0"/>
      <w:sz w:val="24"/>
    </w:rPr>
  </w:style>
  <w:style w:type="paragraph" w:styleId="10">
    <w:name w:val="heading 9"/>
    <w:basedOn w:val="1"/>
    <w:next w:val="1"/>
    <w:link w:val="65"/>
    <w:qFormat/>
    <w:uiPriority w:val="0"/>
    <w:pPr>
      <w:keepNext/>
      <w:keepLines/>
      <w:spacing w:before="240" w:after="64" w:line="320" w:lineRule="auto"/>
      <w:outlineLvl w:val="8"/>
    </w:pPr>
    <w:rPr>
      <w:rFonts w:ascii="Arial" w:hAnsi="Arial" w:eastAsia="黑体"/>
      <w:kern w:val="0"/>
      <w:sz w:val="20"/>
      <w:szCs w:val="21"/>
    </w:rPr>
  </w:style>
  <w:style w:type="character" w:default="1" w:styleId="50">
    <w:name w:val="Default Paragraph Font"/>
    <w:unhideWhenUsed/>
    <w:uiPriority w:val="1"/>
  </w:style>
  <w:style w:type="table" w:default="1" w:styleId="48">
    <w:name w:val="Normal Table"/>
    <w:unhideWhenUsed/>
    <w:qFormat/>
    <w:uiPriority w:val="99"/>
    <w:tblPr>
      <w:tblStyle w:val="48"/>
      <w:tblCellMar>
        <w:top w:w="0" w:type="dxa"/>
        <w:left w:w="108" w:type="dxa"/>
        <w:bottom w:w="0" w:type="dxa"/>
        <w:right w:w="108" w:type="dxa"/>
      </w:tblCellMar>
    </w:tblPr>
  </w:style>
  <w:style w:type="paragraph" w:styleId="11">
    <w:name w:val="toc 7"/>
    <w:basedOn w:val="1"/>
    <w:next w:val="1"/>
    <w:uiPriority w:val="39"/>
    <w:pPr>
      <w:ind w:left="2520" w:leftChars="1200"/>
    </w:pPr>
  </w:style>
  <w:style w:type="paragraph" w:styleId="12">
    <w:name w:val="List Number"/>
    <w:basedOn w:val="1"/>
    <w:uiPriority w:val="0"/>
    <w:pPr>
      <w:widowControl/>
      <w:tabs>
        <w:tab w:val="left" w:pos="454"/>
        <w:tab w:val="left" w:pos="720"/>
        <w:tab w:val="left" w:pos="900"/>
      </w:tabs>
      <w:spacing w:afterLines="50"/>
      <w:ind w:left="908" w:hanging="284"/>
      <w:jc w:val="left"/>
    </w:pPr>
    <w:rPr>
      <w:kern w:val="0"/>
      <w:sz w:val="24"/>
      <w:szCs w:val="20"/>
    </w:rPr>
  </w:style>
  <w:style w:type="paragraph" w:styleId="13">
    <w:name w:val="Normal Indent"/>
    <w:basedOn w:val="1"/>
    <w:link w:val="66"/>
    <w:uiPriority w:val="0"/>
    <w:pPr>
      <w:ind w:firstLine="420"/>
    </w:pPr>
    <w:rPr>
      <w:kern w:val="0"/>
      <w:sz w:val="20"/>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List Bullet"/>
    <w:basedOn w:val="1"/>
    <w:uiPriority w:val="0"/>
    <w:pPr>
      <w:spacing w:line="360" w:lineRule="auto"/>
      <w:jc w:val="left"/>
    </w:pPr>
    <w:rPr>
      <w:rFonts w:ascii="宋体"/>
      <w:b/>
      <w:sz w:val="24"/>
    </w:rPr>
  </w:style>
  <w:style w:type="paragraph" w:styleId="16">
    <w:name w:val="Document Map"/>
    <w:basedOn w:val="1"/>
    <w:link w:val="67"/>
    <w:uiPriority w:val="99"/>
    <w:pPr>
      <w:shd w:val="clear" w:color="auto" w:fill="000080"/>
    </w:pPr>
    <w:rPr>
      <w:kern w:val="0"/>
      <w:sz w:val="20"/>
    </w:rPr>
  </w:style>
  <w:style w:type="paragraph" w:styleId="17">
    <w:name w:val="toa heading"/>
    <w:basedOn w:val="1"/>
    <w:next w:val="1"/>
    <w:link w:val="68"/>
    <w:uiPriority w:val="0"/>
    <w:pPr>
      <w:tabs>
        <w:tab w:val="left" w:pos="0"/>
      </w:tabs>
      <w:spacing w:before="120" w:line="360" w:lineRule="auto"/>
    </w:pPr>
    <w:rPr>
      <w:rFonts w:ascii="Arial" w:hAnsi="Arial"/>
      <w:kern w:val="0"/>
      <w:sz w:val="24"/>
      <w:szCs w:val="20"/>
    </w:rPr>
  </w:style>
  <w:style w:type="paragraph" w:styleId="18">
    <w:name w:val="annotation text"/>
    <w:basedOn w:val="1"/>
    <w:link w:val="69"/>
    <w:uiPriority w:val="0"/>
    <w:pPr>
      <w:jc w:val="left"/>
    </w:pPr>
    <w:rPr>
      <w:kern w:val="0"/>
      <w:sz w:val="20"/>
    </w:rPr>
  </w:style>
  <w:style w:type="paragraph" w:styleId="19">
    <w:name w:val="Body Text 3"/>
    <w:basedOn w:val="1"/>
    <w:link w:val="70"/>
    <w:uiPriority w:val="0"/>
    <w:pPr>
      <w:snapToGrid w:val="0"/>
      <w:spacing w:before="50" w:after="50"/>
    </w:pPr>
    <w:rPr>
      <w:rFonts w:hAnsi="宋体" w:eastAsia="仿宋_GB2312"/>
      <w:b/>
      <w:bCs/>
      <w:kern w:val="0"/>
      <w:sz w:val="24"/>
      <w:szCs w:val="20"/>
    </w:rPr>
  </w:style>
  <w:style w:type="paragraph" w:styleId="20">
    <w:name w:val="Body Text"/>
    <w:basedOn w:val="1"/>
    <w:link w:val="71"/>
    <w:uiPriority w:val="0"/>
    <w:pPr>
      <w:spacing w:after="120"/>
    </w:pPr>
    <w:rPr>
      <w:kern w:val="0"/>
      <w:sz w:val="28"/>
    </w:rPr>
  </w:style>
  <w:style w:type="paragraph" w:styleId="21">
    <w:name w:val="Body Text Indent"/>
    <w:basedOn w:val="1"/>
    <w:link w:val="72"/>
    <w:uiPriority w:val="0"/>
    <w:pPr>
      <w:spacing w:line="200" w:lineRule="exact"/>
      <w:ind w:firstLine="301"/>
    </w:pPr>
    <w:rPr>
      <w:rFonts w:ascii="宋体" w:hAnsi="Courier New"/>
      <w:spacing w:val="-4"/>
      <w:kern w:val="0"/>
      <w:sz w:val="18"/>
      <w:szCs w:val="20"/>
    </w:rPr>
  </w:style>
  <w:style w:type="paragraph" w:styleId="22">
    <w:name w:val="List Number 3"/>
    <w:basedOn w:val="1"/>
    <w:uiPriority w:val="0"/>
    <w:pPr>
      <w:tabs>
        <w:tab w:val="left" w:pos="1200"/>
      </w:tabs>
      <w:ind w:left="1200" w:hanging="360"/>
    </w:pPr>
  </w:style>
  <w:style w:type="paragraph" w:styleId="23">
    <w:name w:val="List 2"/>
    <w:basedOn w:val="1"/>
    <w:uiPriority w:val="0"/>
    <w:pPr>
      <w:ind w:left="100" w:leftChars="200" w:hanging="200" w:hangingChars="200"/>
    </w:pPr>
    <w:rPr>
      <w:sz w:val="28"/>
    </w:rPr>
  </w:style>
  <w:style w:type="paragraph" w:styleId="24">
    <w:name w:val="List Bullet 2"/>
    <w:basedOn w:val="1"/>
    <w:uiPriority w:val="0"/>
    <w:pPr>
      <w:tabs>
        <w:tab w:val="left" w:pos="840"/>
      </w:tabs>
      <w:spacing w:line="360" w:lineRule="auto"/>
      <w:ind w:left="989" w:leftChars="471" w:firstLine="2" w:firstLineChars="1"/>
    </w:pPr>
    <w:rPr>
      <w:rFonts w:ascii="宋体"/>
      <w:sz w:val="24"/>
    </w:rPr>
  </w:style>
  <w:style w:type="paragraph" w:styleId="25">
    <w:name w:val="toc 5"/>
    <w:basedOn w:val="1"/>
    <w:next w:val="1"/>
    <w:uiPriority w:val="39"/>
    <w:pPr>
      <w:ind w:left="1680" w:leftChars="800"/>
    </w:pPr>
  </w:style>
  <w:style w:type="paragraph" w:styleId="26">
    <w:name w:val="toc 3"/>
    <w:basedOn w:val="1"/>
    <w:next w:val="1"/>
    <w:qFormat/>
    <w:uiPriority w:val="39"/>
    <w:pPr>
      <w:ind w:left="840" w:leftChars="400"/>
    </w:pPr>
  </w:style>
  <w:style w:type="paragraph" w:styleId="27">
    <w:name w:val="Plain Text"/>
    <w:basedOn w:val="1"/>
    <w:link w:val="73"/>
    <w:qFormat/>
    <w:uiPriority w:val="0"/>
    <w:pPr>
      <w:spacing w:beforeLines="50" w:afterLines="50" w:line="400" w:lineRule="exact"/>
    </w:pPr>
    <w:rPr>
      <w:rFonts w:ascii="宋体" w:hAnsi="Courier New"/>
      <w:kern w:val="0"/>
      <w:sz w:val="24"/>
    </w:rPr>
  </w:style>
  <w:style w:type="paragraph" w:styleId="28">
    <w:name w:val="toc 8"/>
    <w:basedOn w:val="1"/>
    <w:next w:val="1"/>
    <w:unhideWhenUsed/>
    <w:uiPriority w:val="39"/>
    <w:pPr>
      <w:ind w:left="2940" w:leftChars="1400"/>
    </w:pPr>
    <w:rPr>
      <w:rFonts w:ascii="Calibri" w:hAnsi="Calibri"/>
      <w:szCs w:val="22"/>
    </w:rPr>
  </w:style>
  <w:style w:type="paragraph" w:styleId="29">
    <w:name w:val="Date"/>
    <w:basedOn w:val="1"/>
    <w:next w:val="1"/>
    <w:link w:val="74"/>
    <w:uiPriority w:val="0"/>
    <w:pPr>
      <w:ind w:left="2500" w:leftChars="2500"/>
    </w:pPr>
    <w:rPr>
      <w:rFonts w:eastAsia="楷体_GB2312"/>
      <w:kern w:val="0"/>
      <w:sz w:val="32"/>
      <w:szCs w:val="20"/>
    </w:rPr>
  </w:style>
  <w:style w:type="paragraph" w:styleId="30">
    <w:name w:val="Body Text Indent 2"/>
    <w:basedOn w:val="1"/>
    <w:link w:val="75"/>
    <w:uiPriority w:val="0"/>
    <w:pPr>
      <w:snapToGrid w:val="0"/>
      <w:ind w:firstLine="542" w:firstLineChars="225"/>
    </w:pPr>
    <w:rPr>
      <w:rFonts w:ascii="仿宋_GB2312" w:hAnsi="宋体"/>
      <w:b/>
      <w:bCs/>
      <w:color w:val="000000"/>
      <w:kern w:val="0"/>
      <w:sz w:val="24"/>
    </w:rPr>
  </w:style>
  <w:style w:type="paragraph" w:styleId="31">
    <w:name w:val="Balloon Text"/>
    <w:basedOn w:val="1"/>
    <w:link w:val="76"/>
    <w:uiPriority w:val="99"/>
    <w:rPr>
      <w:kern w:val="0"/>
      <w:sz w:val="18"/>
      <w:szCs w:val="18"/>
    </w:rPr>
  </w:style>
  <w:style w:type="paragraph" w:styleId="32">
    <w:name w:val="footer"/>
    <w:basedOn w:val="1"/>
    <w:link w:val="77"/>
    <w:uiPriority w:val="99"/>
    <w:pPr>
      <w:tabs>
        <w:tab w:val="center" w:pos="4153"/>
        <w:tab w:val="right" w:pos="8306"/>
      </w:tabs>
      <w:snapToGrid w:val="0"/>
      <w:jc w:val="left"/>
    </w:pPr>
    <w:rPr>
      <w:rFonts w:eastAsia="黑体"/>
      <w:kern w:val="0"/>
      <w:sz w:val="18"/>
      <w:szCs w:val="18"/>
    </w:rPr>
  </w:style>
  <w:style w:type="paragraph" w:styleId="33">
    <w:name w:val="header"/>
    <w:basedOn w:val="1"/>
    <w:link w:val="78"/>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4">
    <w:name w:val="toc 1"/>
    <w:basedOn w:val="1"/>
    <w:next w:val="1"/>
    <w:qFormat/>
    <w:uiPriority w:val="39"/>
  </w:style>
  <w:style w:type="paragraph" w:styleId="35">
    <w:name w:val="toc 4"/>
    <w:basedOn w:val="1"/>
    <w:next w:val="1"/>
    <w:unhideWhenUsed/>
    <w:uiPriority w:val="39"/>
    <w:pPr>
      <w:ind w:left="1260" w:leftChars="600"/>
    </w:pPr>
    <w:rPr>
      <w:rFonts w:ascii="Calibri" w:hAnsi="Calibri"/>
      <w:szCs w:val="22"/>
    </w:rPr>
  </w:style>
  <w:style w:type="paragraph" w:styleId="36">
    <w:name w:val="List"/>
    <w:basedOn w:val="1"/>
    <w:uiPriority w:val="0"/>
    <w:pPr>
      <w:ind w:left="200" w:hanging="200" w:hangingChars="200"/>
    </w:pPr>
    <w:rPr>
      <w:sz w:val="28"/>
    </w:rPr>
  </w:style>
  <w:style w:type="paragraph" w:styleId="37">
    <w:name w:val="toc 6"/>
    <w:basedOn w:val="1"/>
    <w:next w:val="1"/>
    <w:unhideWhenUsed/>
    <w:uiPriority w:val="39"/>
    <w:pPr>
      <w:ind w:left="2100" w:leftChars="1000"/>
    </w:pPr>
    <w:rPr>
      <w:rFonts w:ascii="Calibri" w:hAnsi="Calibri"/>
      <w:szCs w:val="22"/>
    </w:rPr>
  </w:style>
  <w:style w:type="paragraph" w:styleId="38">
    <w:name w:val="Body Text Indent 3"/>
    <w:basedOn w:val="1"/>
    <w:link w:val="79"/>
    <w:uiPriority w:val="0"/>
    <w:pPr>
      <w:snapToGrid w:val="0"/>
      <w:ind w:firstLine="480" w:firstLineChars="200"/>
      <w:jc w:val="left"/>
    </w:pPr>
    <w:rPr>
      <w:rFonts w:ascii="仿宋_GB2312" w:hAnsi="宋体" w:eastAsia="仿宋_GB2312"/>
      <w:color w:val="000000"/>
      <w:kern w:val="0"/>
      <w:sz w:val="24"/>
    </w:rPr>
  </w:style>
  <w:style w:type="paragraph" w:styleId="39">
    <w:name w:val="table of figures"/>
    <w:basedOn w:val="1"/>
    <w:next w:val="1"/>
    <w:unhideWhenUsed/>
    <w:uiPriority w:val="0"/>
    <w:pPr>
      <w:spacing w:line="360" w:lineRule="auto"/>
      <w:ind w:left="480" w:hanging="480"/>
      <w:jc w:val="left"/>
    </w:pPr>
    <w:rPr>
      <w:rFonts w:ascii="Calibri" w:hAnsi="Calibri" w:cs="Calibri"/>
      <w:smallCaps/>
      <w:sz w:val="20"/>
      <w:szCs w:val="20"/>
    </w:rPr>
  </w:style>
  <w:style w:type="paragraph" w:styleId="40">
    <w:name w:val="toc 2"/>
    <w:basedOn w:val="1"/>
    <w:next w:val="1"/>
    <w:qFormat/>
    <w:uiPriority w:val="39"/>
    <w:pPr>
      <w:ind w:left="420" w:leftChars="200"/>
    </w:pPr>
  </w:style>
  <w:style w:type="paragraph" w:styleId="41">
    <w:name w:val="toc 9"/>
    <w:basedOn w:val="1"/>
    <w:next w:val="1"/>
    <w:unhideWhenUsed/>
    <w:uiPriority w:val="39"/>
    <w:pPr>
      <w:ind w:left="3360" w:leftChars="1600"/>
    </w:pPr>
    <w:rPr>
      <w:rFonts w:ascii="Calibri" w:hAnsi="Calibri"/>
      <w:szCs w:val="22"/>
    </w:rPr>
  </w:style>
  <w:style w:type="paragraph" w:styleId="42">
    <w:name w:val="Body Text 2"/>
    <w:basedOn w:val="1"/>
    <w:link w:val="80"/>
    <w:uiPriority w:val="99"/>
    <w:pPr>
      <w:widowControl/>
      <w:snapToGrid w:val="0"/>
      <w:spacing w:before="50" w:afterLines="50" w:line="400" w:lineRule="exact"/>
      <w:jc w:val="left"/>
    </w:pPr>
    <w:rPr>
      <w:rFonts w:ascii="宋体" w:hAnsi="宋体"/>
      <w:color w:val="000000"/>
      <w:kern w:val="0"/>
      <w:sz w:val="24"/>
    </w:rPr>
  </w:style>
  <w:style w:type="paragraph" w:styleId="43">
    <w:name w:val="Normal (Web)"/>
    <w:basedOn w:val="1"/>
    <w:link w:val="81"/>
    <w:uiPriority w:val="0"/>
    <w:pPr>
      <w:widowControl/>
      <w:spacing w:before="100" w:beforeAutospacing="1" w:after="100" w:afterAutospacing="1"/>
      <w:jc w:val="left"/>
    </w:pPr>
    <w:rPr>
      <w:rFonts w:ascii="宋体" w:hAnsi="宋体"/>
      <w:kern w:val="0"/>
      <w:sz w:val="24"/>
    </w:rPr>
  </w:style>
  <w:style w:type="paragraph" w:styleId="44">
    <w:name w:val="index 1"/>
    <w:basedOn w:val="1"/>
    <w:next w:val="1"/>
    <w:uiPriority w:val="0"/>
    <w:pPr>
      <w:spacing w:line="360" w:lineRule="auto"/>
      <w:jc w:val="center"/>
    </w:pPr>
    <w:rPr>
      <w:rFonts w:ascii="宋体" w:hAnsi="宋体"/>
      <w:bCs/>
    </w:rPr>
  </w:style>
  <w:style w:type="paragraph" w:styleId="45">
    <w:name w:val="Title"/>
    <w:basedOn w:val="1"/>
    <w:next w:val="1"/>
    <w:link w:val="82"/>
    <w:qFormat/>
    <w:uiPriority w:val="0"/>
    <w:pPr>
      <w:spacing w:before="240" w:after="60"/>
      <w:jc w:val="center"/>
      <w:outlineLvl w:val="0"/>
    </w:pPr>
    <w:rPr>
      <w:rFonts w:ascii="Cambria" w:hAnsi="Cambria"/>
      <w:b/>
      <w:bCs/>
      <w:kern w:val="0"/>
      <w:sz w:val="32"/>
      <w:szCs w:val="32"/>
    </w:rPr>
  </w:style>
  <w:style w:type="paragraph" w:styleId="46">
    <w:name w:val="annotation subject"/>
    <w:basedOn w:val="18"/>
    <w:next w:val="18"/>
    <w:link w:val="83"/>
    <w:uiPriority w:val="99"/>
    <w:rPr>
      <w:b/>
      <w:bCs/>
    </w:rPr>
  </w:style>
  <w:style w:type="paragraph" w:styleId="47">
    <w:name w:val="Body Text First Indent"/>
    <w:basedOn w:val="20"/>
    <w:link w:val="84"/>
    <w:uiPriority w:val="0"/>
    <w:pPr>
      <w:spacing w:beforeLines="50" w:afterLines="50" w:line="360" w:lineRule="auto"/>
      <w:ind w:firstLine="480" w:firstLineChars="200"/>
    </w:pPr>
    <w:rPr>
      <w:sz w:val="24"/>
    </w:rPr>
  </w:style>
  <w:style w:type="table" w:styleId="49">
    <w:name w:val="Table Grid"/>
    <w:basedOn w:val="48"/>
    <w:uiPriority w:val="0"/>
    <w:rPr>
      <w:rFonts w:ascii="Times New Roman" w:hAnsi="Times New Roman" w:eastAsia="宋体" w:cs="Times New Roman"/>
      <w:kern w:val="0"/>
      <w:sz w:val="20"/>
      <w:szCs w:val="20"/>
    </w:rPr>
    <w:tblPr>
      <w:tblStyle w:val="4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b/>
      <w:bCs/>
      <w:color w:val="000000"/>
    </w:rPr>
  </w:style>
  <w:style w:type="character" w:styleId="52">
    <w:name w:val="page number"/>
    <w:uiPriority w:val="0"/>
  </w:style>
  <w:style w:type="character" w:styleId="53">
    <w:name w:val="FollowedHyperlink"/>
    <w:uiPriority w:val="99"/>
    <w:rPr>
      <w:color w:val="800080"/>
      <w:u w:val="single"/>
    </w:rPr>
  </w:style>
  <w:style w:type="character" w:styleId="54">
    <w:name w:val="Emphasis"/>
    <w:qFormat/>
    <w:uiPriority w:val="0"/>
  </w:style>
  <w:style w:type="character" w:styleId="55">
    <w:name w:val="Hyperlink"/>
    <w:uiPriority w:val="99"/>
    <w:rPr>
      <w:color w:val="0000FF"/>
      <w:u w:val="single"/>
    </w:rPr>
  </w:style>
  <w:style w:type="character" w:styleId="56">
    <w:name w:val="annotation reference"/>
    <w:uiPriority w:val="0"/>
    <w:rPr>
      <w:sz w:val="21"/>
      <w:szCs w:val="21"/>
    </w:rPr>
  </w:style>
  <w:style w:type="character" w:customStyle="1" w:styleId="57">
    <w:name w:val="标题 1 字符1"/>
    <w:link w:val="2"/>
    <w:uiPriority w:val="9"/>
    <w:rPr>
      <w:rFonts w:ascii="Times New Roman" w:hAnsi="Times New Roman" w:eastAsia="宋体" w:cs="Times New Roman"/>
      <w:b/>
      <w:bCs/>
      <w:kern w:val="44"/>
      <w:sz w:val="44"/>
      <w:szCs w:val="44"/>
    </w:rPr>
  </w:style>
  <w:style w:type="character" w:customStyle="1" w:styleId="58">
    <w:name w:val="标题 2 字符"/>
    <w:link w:val="3"/>
    <w:uiPriority w:val="9"/>
    <w:rPr>
      <w:rFonts w:ascii="Arial" w:hAnsi="Arial" w:eastAsia="黑体" w:cs="Times New Roman"/>
      <w:b/>
      <w:bCs/>
      <w:kern w:val="0"/>
      <w:sz w:val="32"/>
      <w:szCs w:val="32"/>
    </w:rPr>
  </w:style>
  <w:style w:type="character" w:customStyle="1" w:styleId="59">
    <w:name w:val="标题 3 字符"/>
    <w:link w:val="4"/>
    <w:uiPriority w:val="0"/>
    <w:rPr>
      <w:rFonts w:ascii="Times New Roman" w:hAnsi="Times New Roman" w:eastAsia="楷体_GB2312" w:cs="Times New Roman"/>
      <w:b/>
      <w:bCs/>
      <w:kern w:val="0"/>
      <w:sz w:val="32"/>
      <w:szCs w:val="32"/>
    </w:rPr>
  </w:style>
  <w:style w:type="character" w:customStyle="1" w:styleId="60">
    <w:name w:val="标题 4 字符"/>
    <w:link w:val="5"/>
    <w:uiPriority w:val="0"/>
    <w:rPr>
      <w:rFonts w:ascii="Arial" w:hAnsi="Arial" w:eastAsia="黑体" w:cs="Times New Roman"/>
      <w:b/>
      <w:bCs/>
      <w:kern w:val="0"/>
      <w:sz w:val="28"/>
      <w:szCs w:val="28"/>
    </w:rPr>
  </w:style>
  <w:style w:type="character" w:customStyle="1" w:styleId="61">
    <w:name w:val="标题 5 字符"/>
    <w:link w:val="6"/>
    <w:uiPriority w:val="9"/>
    <w:rPr>
      <w:rFonts w:ascii="Times New Roman" w:hAnsi="Times New Roman" w:eastAsia="宋体" w:cs="Times New Roman"/>
      <w:b/>
      <w:bCs/>
      <w:kern w:val="0"/>
      <w:sz w:val="28"/>
      <w:szCs w:val="28"/>
    </w:rPr>
  </w:style>
  <w:style w:type="character" w:customStyle="1" w:styleId="62">
    <w:name w:val="标题 6 字符"/>
    <w:link w:val="7"/>
    <w:uiPriority w:val="0"/>
    <w:rPr>
      <w:rFonts w:ascii="Arial" w:hAnsi="Arial" w:eastAsia="黑体" w:cs="Times New Roman"/>
      <w:b/>
      <w:bCs/>
      <w:kern w:val="0"/>
      <w:sz w:val="24"/>
      <w:szCs w:val="24"/>
    </w:rPr>
  </w:style>
  <w:style w:type="character" w:customStyle="1" w:styleId="63">
    <w:name w:val="标题 7 字符"/>
    <w:link w:val="8"/>
    <w:uiPriority w:val="0"/>
    <w:rPr>
      <w:rFonts w:ascii="Times New Roman" w:hAnsi="Times New Roman" w:eastAsia="宋体" w:cs="Times New Roman"/>
      <w:b/>
      <w:bCs/>
      <w:kern w:val="0"/>
      <w:sz w:val="24"/>
      <w:szCs w:val="24"/>
    </w:rPr>
  </w:style>
  <w:style w:type="character" w:customStyle="1" w:styleId="64">
    <w:name w:val="标题 8 字符"/>
    <w:link w:val="9"/>
    <w:uiPriority w:val="0"/>
    <w:rPr>
      <w:rFonts w:ascii="Arial" w:hAnsi="Arial" w:eastAsia="黑体" w:cs="Times New Roman"/>
      <w:kern w:val="0"/>
      <w:sz w:val="24"/>
      <w:szCs w:val="24"/>
    </w:rPr>
  </w:style>
  <w:style w:type="character" w:customStyle="1" w:styleId="65">
    <w:name w:val="标题 9 字符"/>
    <w:link w:val="10"/>
    <w:uiPriority w:val="0"/>
    <w:rPr>
      <w:rFonts w:ascii="Arial" w:hAnsi="Arial" w:eastAsia="黑体" w:cs="Times New Roman"/>
      <w:kern w:val="0"/>
      <w:sz w:val="20"/>
      <w:szCs w:val="21"/>
    </w:rPr>
  </w:style>
  <w:style w:type="character" w:customStyle="1" w:styleId="66">
    <w:name w:val="正文缩进 字符1"/>
    <w:link w:val="13"/>
    <w:uiPriority w:val="0"/>
    <w:rPr>
      <w:rFonts w:eastAsia="宋体"/>
    </w:rPr>
  </w:style>
  <w:style w:type="character" w:customStyle="1" w:styleId="67">
    <w:name w:val="文档结构图 字符"/>
    <w:link w:val="16"/>
    <w:uiPriority w:val="99"/>
    <w:rPr>
      <w:szCs w:val="24"/>
      <w:shd w:val="clear" w:color="auto" w:fill="000080"/>
    </w:rPr>
  </w:style>
  <w:style w:type="character" w:customStyle="1" w:styleId="68">
    <w:name w:val="引文目录标题 字符"/>
    <w:link w:val="17"/>
    <w:uiPriority w:val="0"/>
    <w:rPr>
      <w:rFonts w:ascii="Arial" w:hAnsi="Arial" w:eastAsia="宋体" w:cs="Times New Roman"/>
      <w:kern w:val="0"/>
      <w:sz w:val="24"/>
      <w:szCs w:val="20"/>
    </w:rPr>
  </w:style>
  <w:style w:type="character" w:customStyle="1" w:styleId="69">
    <w:name w:val="批注文字 字符"/>
    <w:link w:val="18"/>
    <w:uiPriority w:val="0"/>
    <w:rPr>
      <w:szCs w:val="24"/>
    </w:rPr>
  </w:style>
  <w:style w:type="character" w:customStyle="1" w:styleId="70">
    <w:name w:val="正文文本 3 字符"/>
    <w:link w:val="19"/>
    <w:uiPriority w:val="0"/>
    <w:rPr>
      <w:rFonts w:hAnsi="宋体" w:eastAsia="仿宋_GB2312"/>
      <w:b/>
      <w:bCs/>
      <w:sz w:val="24"/>
    </w:rPr>
  </w:style>
  <w:style w:type="character" w:customStyle="1" w:styleId="71">
    <w:name w:val="正文文本 字符1"/>
    <w:link w:val="20"/>
    <w:uiPriority w:val="0"/>
    <w:rPr>
      <w:rFonts w:ascii="Times New Roman" w:hAnsi="Times New Roman" w:eastAsia="宋体" w:cs="Times New Roman"/>
      <w:kern w:val="0"/>
      <w:sz w:val="28"/>
      <w:szCs w:val="24"/>
    </w:rPr>
  </w:style>
  <w:style w:type="character" w:customStyle="1" w:styleId="72">
    <w:name w:val="正文文本缩进 字符1"/>
    <w:link w:val="21"/>
    <w:uiPriority w:val="0"/>
    <w:rPr>
      <w:rFonts w:ascii="宋体" w:hAnsi="Courier New"/>
      <w:spacing w:val="-4"/>
      <w:sz w:val="18"/>
    </w:rPr>
  </w:style>
  <w:style w:type="character" w:customStyle="1" w:styleId="73">
    <w:name w:val="纯文本 字符2"/>
    <w:link w:val="27"/>
    <w:uiPriority w:val="0"/>
    <w:rPr>
      <w:rFonts w:ascii="宋体" w:hAnsi="Courier New" w:eastAsia="宋体"/>
      <w:sz w:val="24"/>
      <w:szCs w:val="24"/>
    </w:rPr>
  </w:style>
  <w:style w:type="character" w:customStyle="1" w:styleId="74">
    <w:name w:val="日期 字符"/>
    <w:link w:val="29"/>
    <w:uiPriority w:val="0"/>
    <w:rPr>
      <w:rFonts w:eastAsia="楷体_GB2312"/>
      <w:sz w:val="32"/>
    </w:rPr>
  </w:style>
  <w:style w:type="character" w:customStyle="1" w:styleId="75">
    <w:name w:val="正文文本缩进 2 字符"/>
    <w:link w:val="30"/>
    <w:uiPriority w:val="0"/>
    <w:rPr>
      <w:rFonts w:ascii="仿宋_GB2312" w:hAnsi="宋体" w:cs="Arial"/>
      <w:b/>
      <w:bCs/>
      <w:color w:val="000000"/>
      <w:sz w:val="24"/>
      <w:szCs w:val="24"/>
    </w:rPr>
  </w:style>
  <w:style w:type="character" w:customStyle="1" w:styleId="76">
    <w:name w:val="批注框文本 字符"/>
    <w:link w:val="31"/>
    <w:uiPriority w:val="99"/>
    <w:rPr>
      <w:sz w:val="18"/>
      <w:szCs w:val="18"/>
    </w:rPr>
  </w:style>
  <w:style w:type="character" w:customStyle="1" w:styleId="77">
    <w:name w:val="页脚 字符"/>
    <w:link w:val="32"/>
    <w:uiPriority w:val="99"/>
    <w:rPr>
      <w:rFonts w:eastAsia="黑体"/>
      <w:sz w:val="18"/>
      <w:szCs w:val="18"/>
    </w:rPr>
  </w:style>
  <w:style w:type="character" w:customStyle="1" w:styleId="78">
    <w:name w:val="页眉 字符"/>
    <w:link w:val="33"/>
    <w:uiPriority w:val="99"/>
    <w:rPr>
      <w:rFonts w:eastAsia="仿宋_GB2312"/>
      <w:sz w:val="18"/>
    </w:rPr>
  </w:style>
  <w:style w:type="character" w:customStyle="1" w:styleId="79">
    <w:name w:val="正文文本缩进 3 字符"/>
    <w:link w:val="38"/>
    <w:uiPriority w:val="0"/>
    <w:rPr>
      <w:rFonts w:ascii="仿宋_GB2312" w:hAnsi="宋体" w:eastAsia="仿宋_GB2312"/>
      <w:color w:val="000000"/>
      <w:sz w:val="24"/>
      <w:szCs w:val="24"/>
    </w:rPr>
  </w:style>
  <w:style w:type="character" w:customStyle="1" w:styleId="80">
    <w:name w:val="正文文本 2 字符"/>
    <w:link w:val="42"/>
    <w:uiPriority w:val="99"/>
    <w:rPr>
      <w:rFonts w:ascii="宋体" w:hAnsi="宋体"/>
      <w:color w:val="000000"/>
      <w:sz w:val="24"/>
      <w:szCs w:val="24"/>
    </w:rPr>
  </w:style>
  <w:style w:type="character" w:customStyle="1" w:styleId="81">
    <w:name w:val="普通(网站) 字符"/>
    <w:link w:val="43"/>
    <w:uiPriority w:val="0"/>
    <w:rPr>
      <w:rFonts w:ascii="宋体" w:hAnsi="宋体"/>
      <w:sz w:val="24"/>
      <w:szCs w:val="24"/>
    </w:rPr>
  </w:style>
  <w:style w:type="character" w:customStyle="1" w:styleId="82">
    <w:name w:val="标题 字符"/>
    <w:link w:val="45"/>
    <w:uiPriority w:val="0"/>
    <w:rPr>
      <w:rFonts w:ascii="Cambria" w:hAnsi="Cambria"/>
      <w:b/>
      <w:bCs/>
      <w:sz w:val="32"/>
      <w:szCs w:val="32"/>
    </w:rPr>
  </w:style>
  <w:style w:type="character" w:customStyle="1" w:styleId="83">
    <w:name w:val="批注主题 字符"/>
    <w:link w:val="46"/>
    <w:uiPriority w:val="99"/>
    <w:rPr>
      <w:b/>
      <w:bCs/>
      <w:szCs w:val="24"/>
    </w:rPr>
  </w:style>
  <w:style w:type="character" w:customStyle="1" w:styleId="84">
    <w:name w:val="正文文本首行缩进 字符"/>
    <w:link w:val="47"/>
    <w:uiPriority w:val="0"/>
    <w:rPr>
      <w:sz w:val="24"/>
      <w:szCs w:val="24"/>
    </w:rPr>
  </w:style>
  <w:style w:type="character" w:customStyle="1" w:styleId="85">
    <w:name w:val="Char Char6"/>
    <w:uiPriority w:val="0"/>
    <w:rPr>
      <w:rFonts w:ascii="Cambria" w:hAnsi="Cambria"/>
      <w:b/>
      <w:bCs/>
      <w:kern w:val="2"/>
      <w:sz w:val="32"/>
      <w:szCs w:val="32"/>
    </w:rPr>
  </w:style>
  <w:style w:type="character" w:customStyle="1" w:styleId="86">
    <w:name w:val="标题 1 字符"/>
    <w:uiPriority w:val="9"/>
    <w:rPr>
      <w:b/>
      <w:bCs/>
      <w:kern w:val="44"/>
      <w:sz w:val="30"/>
      <w:szCs w:val="44"/>
    </w:rPr>
  </w:style>
  <w:style w:type="character" w:customStyle="1" w:styleId="87">
    <w:name w:val="Heading 7 Char"/>
    <w:semiHidden/>
    <w:locked/>
    <w:uiPriority w:val="0"/>
    <w:rPr>
      <w:rFonts w:cs="Times New Roman"/>
      <w:b/>
      <w:bCs/>
      <w:kern w:val="0"/>
      <w:sz w:val="24"/>
      <w:szCs w:val="24"/>
    </w:rPr>
  </w:style>
  <w:style w:type="character" w:customStyle="1" w:styleId="88">
    <w:name w:val="纯文本 Char3"/>
    <w:aliases w:val="普通文字 Char,纯文本 Char Char Char1,Texte Char1,普通文字 Char Char Char Char Char1,普通文字1 Char1,普通文字2 Char1,普通文字3 Char1,普通文字4 Char1,普通文字5 Char1,普通文字6 Char1,普通文字11 Char1,普通文字21 Char1,普通文字31 Char,普通文字41 Char,普通文字7 Char,正 文 1 Char,正文非缩进 Char Char Char"/>
    <w:uiPriority w:val="0"/>
    <w:rPr>
      <w:rFonts w:ascii="宋体" w:hAnsi="Courier New" w:eastAsia="宋体"/>
      <w:sz w:val="24"/>
      <w:szCs w:val="24"/>
    </w:rPr>
  </w:style>
  <w:style w:type="character" w:customStyle="1" w:styleId="89">
    <w:name w:val="Char Char3"/>
    <w:uiPriority w:val="0"/>
    <w:rPr>
      <w:kern w:val="2"/>
      <w:sz w:val="24"/>
      <w:szCs w:val="24"/>
    </w:rPr>
  </w:style>
  <w:style w:type="character" w:customStyle="1" w:styleId="90">
    <w:name w:val="正文文本 字符"/>
    <w:uiPriority w:val="0"/>
    <w:rPr>
      <w:rFonts w:ascii="Times New Roman" w:hAnsi="Times New Roman" w:eastAsia="宋体" w:cs="Times New Roman"/>
      <w:kern w:val="0"/>
      <w:sz w:val="28"/>
      <w:szCs w:val="24"/>
    </w:rPr>
  </w:style>
  <w:style w:type="character" w:customStyle="1" w:styleId="91">
    <w:name w:val="Char Char20"/>
    <w:uiPriority w:val="0"/>
    <w:rPr>
      <w:rFonts w:ascii="Arial" w:hAnsi="Arial" w:eastAsia="黑体"/>
      <w:kern w:val="2"/>
      <w:sz w:val="24"/>
      <w:szCs w:val="24"/>
    </w:rPr>
  </w:style>
  <w:style w:type="character" w:customStyle="1" w:styleId="92">
    <w:name w:val="正文文本缩进 字符"/>
    <w:uiPriority w:val="0"/>
    <w:rPr>
      <w:rFonts w:ascii="宋体" w:hAnsi="Courier New"/>
      <w:spacing w:val="-4"/>
      <w:sz w:val="18"/>
    </w:rPr>
  </w:style>
  <w:style w:type="character" w:customStyle="1" w:styleId="93">
    <w:name w:val="unnamed21"/>
    <w:uiPriority w:val="0"/>
    <w:rPr>
      <w:b/>
      <w:bCs/>
      <w:spacing w:val="330"/>
      <w:sz w:val="21"/>
      <w:szCs w:val="21"/>
    </w:rPr>
  </w:style>
  <w:style w:type="character" w:customStyle="1" w:styleId="94">
    <w:name w:val="font51"/>
    <w:qFormat/>
    <w:uiPriority w:val="0"/>
    <w:rPr>
      <w:rFonts w:hint="eastAsia" w:ascii="宋体" w:hAnsi="宋体" w:eastAsia="宋体" w:cs="宋体"/>
      <w:color w:val="auto"/>
      <w:sz w:val="18"/>
      <w:szCs w:val="18"/>
      <w:u w:val="none"/>
    </w:rPr>
  </w:style>
  <w:style w:type="character" w:customStyle="1" w:styleId="95">
    <w:name w:val="style171"/>
    <w:uiPriority w:val="0"/>
    <w:rPr>
      <w:sz w:val="20"/>
      <w:szCs w:val="20"/>
    </w:rPr>
  </w:style>
  <w:style w:type="character" w:customStyle="1" w:styleId="96">
    <w:name w:val="￥正文 Char"/>
    <w:link w:val="97"/>
    <w:uiPriority w:val="0"/>
    <w:rPr>
      <w:rFonts w:ascii="Calibri" w:hAnsi="Calibri" w:eastAsia="宋体"/>
      <w:sz w:val="24"/>
      <w:lang w:bidi="ar-SA"/>
    </w:rPr>
  </w:style>
  <w:style w:type="paragraph" w:customStyle="1" w:styleId="97">
    <w:name w:val="￥正文"/>
    <w:basedOn w:val="1"/>
    <w:link w:val="96"/>
    <w:qFormat/>
    <w:uiPriority w:val="0"/>
    <w:pPr>
      <w:spacing w:line="360" w:lineRule="auto"/>
      <w:ind w:firstLine="200" w:firstLineChars="200"/>
    </w:pPr>
    <w:rPr>
      <w:rFonts w:ascii="Calibri" w:hAnsi="Calibri"/>
      <w:kern w:val="0"/>
      <w:sz w:val="24"/>
      <w:szCs w:val="20"/>
    </w:rPr>
  </w:style>
  <w:style w:type="character" w:customStyle="1" w:styleId="98">
    <w:name w:val="标题 Char1"/>
    <w:uiPriority w:val="10"/>
    <w:rPr>
      <w:rFonts w:ascii="Cambria" w:hAnsi="Cambria" w:eastAsia="宋体" w:cs="Times New Roman"/>
      <w:b/>
      <w:bCs/>
      <w:sz w:val="32"/>
      <w:szCs w:val="32"/>
    </w:rPr>
  </w:style>
  <w:style w:type="character" w:customStyle="1" w:styleId="99">
    <w:name w:val="font41"/>
    <w:uiPriority w:val="0"/>
    <w:rPr>
      <w:rFonts w:hint="eastAsia" w:ascii="宋体" w:hAnsi="宋体" w:eastAsia="宋体" w:cs="宋体"/>
      <w:color w:val="000000"/>
      <w:sz w:val="20"/>
      <w:szCs w:val="20"/>
      <w:u w:val="none"/>
    </w:rPr>
  </w:style>
  <w:style w:type="character" w:customStyle="1" w:styleId="100">
    <w:name w:val="* table text Char"/>
    <w:link w:val="101"/>
    <w:locked/>
    <w:uiPriority w:val="0"/>
    <w:rPr>
      <w:rFonts w:ascii="Arial" w:hAnsi="Arial" w:eastAsia="宋体"/>
      <w:color w:val="333333"/>
      <w:sz w:val="18"/>
      <w:szCs w:val="18"/>
      <w:lang w:bidi="ar-SA"/>
    </w:rPr>
  </w:style>
  <w:style w:type="paragraph" w:customStyle="1" w:styleId="101">
    <w:name w:val="* table text"/>
    <w:basedOn w:val="1"/>
    <w:link w:val="100"/>
    <w:uiPriority w:val="0"/>
    <w:pPr>
      <w:widowControl/>
    </w:pPr>
    <w:rPr>
      <w:rFonts w:ascii="Arial" w:hAnsi="Arial"/>
      <w:color w:val="333333"/>
      <w:kern w:val="0"/>
      <w:sz w:val="18"/>
      <w:szCs w:val="18"/>
    </w:rPr>
  </w:style>
  <w:style w:type="character" w:customStyle="1" w:styleId="102">
    <w:name w:val="body1"/>
    <w:uiPriority w:val="0"/>
    <w:rPr>
      <w:rFonts w:hint="default"/>
      <w:sz w:val="18"/>
    </w:rPr>
  </w:style>
  <w:style w:type="character" w:customStyle="1" w:styleId="103">
    <w:name w:val="页脚 Char"/>
    <w:uiPriority w:val="99"/>
    <w:rPr>
      <w:rFonts w:eastAsia="Calibri"/>
      <w:sz w:val="21"/>
    </w:rPr>
  </w:style>
  <w:style w:type="character" w:customStyle="1" w:styleId="104">
    <w:name w:val="A正文 Char"/>
    <w:link w:val="105"/>
    <w:uiPriority w:val="0"/>
    <w:rPr>
      <w:szCs w:val="24"/>
    </w:rPr>
  </w:style>
  <w:style w:type="paragraph" w:customStyle="1" w:styleId="105">
    <w:name w:val="A正文"/>
    <w:basedOn w:val="1"/>
    <w:link w:val="104"/>
    <w:uiPriority w:val="0"/>
    <w:pPr>
      <w:spacing w:line="360" w:lineRule="auto"/>
      <w:ind w:firstLine="200" w:firstLineChars="200"/>
    </w:pPr>
    <w:rPr>
      <w:kern w:val="0"/>
      <w:sz w:val="20"/>
    </w:rPr>
  </w:style>
  <w:style w:type="character" w:customStyle="1" w:styleId="106">
    <w:name w:val="纯文本 Char1"/>
    <w:aliases w:val="普通文字 Char Char1,纯文本 Char Char Char,纯文本 Char Char1,普通文字 Char Char Char1,普通文字 Char1,普通文字 Char Char Char Char1,普通文字 Char Char Char Char Char,Texte Char,普通文字1 Char,普通文字2 Char,普通文字3 Char,普通文字4 Char,普通文字5 Char,普通文字6 Char,普通文字11 Char,普通文字21 Char"/>
    <w:uiPriority w:val="0"/>
    <w:rPr>
      <w:rFonts w:ascii="宋体" w:hAnsi="Courier New" w:eastAsia="宋体"/>
      <w:kern w:val="2"/>
      <w:sz w:val="24"/>
      <w:szCs w:val="24"/>
      <w:lang w:val="en-US" w:eastAsia="zh-CN" w:bidi="ar-SA"/>
    </w:rPr>
  </w:style>
  <w:style w:type="character" w:customStyle="1" w:styleId="107">
    <w:name w:val="彩色列表 - 着色 1 字符"/>
    <w:link w:val="108"/>
    <w:locked/>
    <w:uiPriority w:val="34"/>
    <w:rPr>
      <w:rFonts w:ascii="Times New Roman" w:hAnsi="Times New Roman"/>
      <w:kern w:val="2"/>
      <w:sz w:val="21"/>
      <w:szCs w:val="24"/>
    </w:rPr>
  </w:style>
  <w:style w:type="paragraph" w:customStyle="1" w:styleId="108">
    <w:name w:val="彩色列表 - 着色 11"/>
    <w:basedOn w:val="1"/>
    <w:link w:val="107"/>
    <w:qFormat/>
    <w:uiPriority w:val="34"/>
    <w:pPr>
      <w:ind w:firstLine="420" w:firstLineChars="200"/>
    </w:pPr>
  </w:style>
  <w:style w:type="character" w:customStyle="1" w:styleId="109">
    <w:name w:val="Footer Char"/>
    <w:locked/>
    <w:uiPriority w:val="0"/>
    <w:rPr>
      <w:rFonts w:ascii="Calibri" w:hAnsi="Calibri" w:eastAsia="宋体" w:cs="Times New Roman"/>
      <w:sz w:val="18"/>
      <w:szCs w:val="18"/>
    </w:rPr>
  </w:style>
  <w:style w:type="character" w:customStyle="1" w:styleId="110">
    <w:name w:val="Char Char23"/>
    <w:uiPriority w:val="0"/>
    <w:rPr>
      <w:b/>
      <w:bCs/>
      <w:kern w:val="2"/>
      <w:sz w:val="28"/>
      <w:szCs w:val="28"/>
    </w:rPr>
  </w:style>
  <w:style w:type="character" w:customStyle="1" w:styleId="111">
    <w:name w:val="正文文本 2 Char1"/>
    <w:semiHidden/>
    <w:uiPriority w:val="99"/>
    <w:rPr>
      <w:rFonts w:ascii="Times New Roman" w:hAnsi="Times New Roman" w:eastAsia="宋体" w:cs="Times New Roman"/>
      <w:szCs w:val="24"/>
    </w:rPr>
  </w:style>
  <w:style w:type="character" w:customStyle="1" w:styleId="112">
    <w:name w:val="Balloon Text Char"/>
    <w:locked/>
    <w:uiPriority w:val="0"/>
    <w:rPr>
      <w:rFonts w:cs="Times New Roman"/>
      <w:sz w:val="18"/>
      <w:szCs w:val="18"/>
    </w:rPr>
  </w:style>
  <w:style w:type="character" w:customStyle="1" w:styleId="113">
    <w:name w:val="Heading 3 - old Char"/>
    <w:aliases w:val="Title3 Char,h3 Char,3rd level Char,H3 Char,l3 Char,CT Char,level_3 Char,PIM 3 Char,3 Char,h4 Char,正文三级标题 Char,标题 4.1.1 Char,BOD 0 Char,sect1.2.3 Char,Level 3 Head Char,heading 3 Char,list 3 Char,Head 3 Char,Map Char,H31 Char1,33 Char"/>
    <w:uiPriority w:val="0"/>
    <w:rPr>
      <w:rFonts w:ascii="Times New Roman" w:hAnsi="Times New Roman" w:eastAsia="宋体" w:cs="Times New Roman"/>
      <w:b/>
      <w:bCs/>
      <w:sz w:val="32"/>
      <w:szCs w:val="32"/>
    </w:rPr>
  </w:style>
  <w:style w:type="character" w:customStyle="1" w:styleId="114">
    <w:name w:val="纯文本 字符"/>
    <w:qFormat/>
    <w:uiPriority w:val="0"/>
    <w:rPr>
      <w:rFonts w:ascii="宋体" w:hAnsi="Courier New"/>
      <w:sz w:val="24"/>
      <w:szCs w:val="24"/>
    </w:rPr>
  </w:style>
  <w:style w:type="character" w:customStyle="1" w:styleId="115">
    <w:name w:val="Char Char19"/>
    <w:uiPriority w:val="0"/>
    <w:rPr>
      <w:rFonts w:ascii="Arial" w:hAnsi="Arial" w:eastAsia="黑体"/>
      <w:kern w:val="2"/>
      <w:sz w:val="21"/>
      <w:szCs w:val="21"/>
    </w:rPr>
  </w:style>
  <w:style w:type="character" w:customStyle="1" w:styleId="116">
    <w:name w:val="普通 (Web) Char"/>
    <w:aliases w:val="普通(Web)1 Char,普通(Web)2 Char,普通 (Web)1 Char,普通(Web)3 Char,普通(Web)4 Char,普通(Web)5 Char,普通 (Web)211 Char,普通 (Web)21111 Char,普通(Web)211 Char,普通 (Web)11 Char,普通(Web) Char,普通 (Web)2 Char,普通 (Web)21 Char,普通 (Web)212 Char,普通 (Web)2111 Char"/>
    <w:uiPriority w:val="0"/>
    <w:rPr>
      <w:rFonts w:ascii="宋体" w:hAnsi="宋体" w:eastAsia="宋体" w:cs="Times New Roman"/>
      <w:kern w:val="0"/>
      <w:sz w:val="24"/>
      <w:szCs w:val="24"/>
    </w:rPr>
  </w:style>
  <w:style w:type="character" w:styleId="117">
    <w:name w:val=""/>
    <w:unhideWhenUsed/>
    <w:uiPriority w:val="99"/>
    <w:rPr>
      <w:color w:val="605E5C"/>
      <w:shd w:val="clear" w:color="auto" w:fill="E1DFDD"/>
    </w:rPr>
  </w:style>
  <w:style w:type="character" w:customStyle="1" w:styleId="118">
    <w:name w:val="Char Char17"/>
    <w:uiPriority w:val="0"/>
    <w:rPr>
      <w:rFonts w:ascii="仿宋_GB2312" w:hAnsi="宋体" w:cs="Arial"/>
      <w:b/>
      <w:bCs/>
      <w:color w:val="000000"/>
      <w:kern w:val="2"/>
      <w:sz w:val="24"/>
      <w:szCs w:val="24"/>
    </w:rPr>
  </w:style>
  <w:style w:type="character" w:customStyle="1" w:styleId="119">
    <w:name w:val="缺省文本 Char"/>
    <w:link w:val="120"/>
    <w:uiPriority w:val="0"/>
    <w:rPr>
      <w:rFonts w:ascii="Arial" w:hAnsi="Arial"/>
      <w:szCs w:val="21"/>
    </w:rPr>
  </w:style>
  <w:style w:type="paragraph" w:customStyle="1" w:styleId="120">
    <w:name w:val="缺省文本"/>
    <w:basedOn w:val="1"/>
    <w:link w:val="119"/>
    <w:uiPriority w:val="0"/>
    <w:pPr>
      <w:autoSpaceDE w:val="0"/>
      <w:autoSpaceDN w:val="0"/>
      <w:adjustRightInd w:val="0"/>
      <w:spacing w:line="360" w:lineRule="auto"/>
      <w:jc w:val="left"/>
    </w:pPr>
    <w:rPr>
      <w:rFonts w:ascii="Arial" w:hAnsi="Arial"/>
      <w:kern w:val="0"/>
      <w:sz w:val="20"/>
      <w:szCs w:val="21"/>
    </w:rPr>
  </w:style>
  <w:style w:type="character" w:customStyle="1" w:styleId="121">
    <w:name w:val="Char Char4"/>
    <w:uiPriority w:val="0"/>
    <w:rPr>
      <w:rFonts w:ascii="宋体" w:hAnsi="Courier New" w:eastAsia="宋体"/>
      <w:kern w:val="2"/>
      <w:sz w:val="24"/>
      <w:szCs w:val="24"/>
      <w:lang w:val="en-US" w:eastAsia="zh-CN" w:bidi="ar-SA"/>
    </w:rPr>
  </w:style>
  <w:style w:type="character" w:customStyle="1" w:styleId="122">
    <w:name w:val="Heading 1 Char"/>
    <w:locked/>
    <w:uiPriority w:val="0"/>
    <w:rPr>
      <w:rFonts w:cs="Times New Roman"/>
      <w:b/>
      <w:bCs/>
      <w:kern w:val="44"/>
      <w:sz w:val="44"/>
      <w:szCs w:val="44"/>
    </w:rPr>
  </w:style>
  <w:style w:type="character" w:customStyle="1" w:styleId="123">
    <w:name w:val="粘贴正文 Char"/>
    <w:link w:val="124"/>
    <w:uiPriority w:val="0"/>
    <w:rPr>
      <w:kern w:val="2"/>
      <w:sz w:val="24"/>
      <w:szCs w:val="21"/>
      <w:lang w:val="en-US" w:eastAsia="zh-CN" w:bidi="ar-SA"/>
    </w:rPr>
  </w:style>
  <w:style w:type="paragraph" w:customStyle="1" w:styleId="124">
    <w:name w:val="粘贴正文"/>
    <w:link w:val="123"/>
    <w:qFormat/>
    <w:uiPriority w:val="0"/>
    <w:pPr>
      <w:spacing w:before="260" w:after="260" w:line="360" w:lineRule="auto"/>
      <w:ind w:left="578" w:right="210" w:firstLine="480"/>
      <w:jc w:val="both"/>
    </w:pPr>
    <w:rPr>
      <w:kern w:val="2"/>
      <w:sz w:val="24"/>
      <w:szCs w:val="21"/>
      <w:lang w:val="en-US" w:eastAsia="zh-CN" w:bidi="ar-SA"/>
    </w:rPr>
  </w:style>
  <w:style w:type="character" w:customStyle="1" w:styleId="125">
    <w:name w:val="正文文本缩进 3 Char1"/>
    <w:semiHidden/>
    <w:uiPriority w:val="99"/>
    <w:rPr>
      <w:rFonts w:ascii="Times New Roman" w:hAnsi="Times New Roman" w:eastAsia="宋体" w:cs="Times New Roman"/>
      <w:sz w:val="16"/>
      <w:szCs w:val="16"/>
    </w:rPr>
  </w:style>
  <w:style w:type="character" w:customStyle="1" w:styleId="126">
    <w:name w:val="正文首行缩进 Char1"/>
    <w:semiHidden/>
    <w:uiPriority w:val="99"/>
    <w:rPr>
      <w:rFonts w:ascii="Times New Roman" w:hAnsi="Times New Roman" w:eastAsia="宋体" w:cs="Times New Roman"/>
      <w:szCs w:val="24"/>
    </w:rPr>
  </w:style>
  <w:style w:type="character" w:customStyle="1" w:styleId="127">
    <w:name w:val="zhenwen14"/>
    <w:uiPriority w:val="0"/>
    <w:rPr>
      <w:color w:val="085994"/>
      <w:sz w:val="18"/>
      <w:szCs w:val="18"/>
    </w:rPr>
  </w:style>
  <w:style w:type="character" w:customStyle="1" w:styleId="128">
    <w:name w:val="批注主题 Char1"/>
    <w:semiHidden/>
    <w:uiPriority w:val="99"/>
    <w:rPr>
      <w:rFonts w:ascii="Times New Roman" w:hAnsi="Times New Roman" w:eastAsia="宋体" w:cs="Times New Roman"/>
      <w:b/>
      <w:bCs/>
      <w:szCs w:val="24"/>
    </w:rPr>
  </w:style>
  <w:style w:type="character" w:customStyle="1" w:styleId="129">
    <w:name w:val="无格式标题 Char"/>
    <w:link w:val="130"/>
    <w:uiPriority w:val="0"/>
    <w:rPr>
      <w:rFonts w:ascii="微软雅黑" w:hAnsi="微软雅黑" w:eastAsia="微软雅黑"/>
      <w:b/>
      <w:szCs w:val="24"/>
      <w:lang w:bidi="ar-SA"/>
    </w:rPr>
  </w:style>
  <w:style w:type="paragraph" w:customStyle="1" w:styleId="130">
    <w:name w:val="无格式标题"/>
    <w:basedOn w:val="1"/>
    <w:link w:val="129"/>
    <w:qFormat/>
    <w:uiPriority w:val="0"/>
    <w:pPr>
      <w:spacing w:line="360" w:lineRule="auto"/>
    </w:pPr>
    <w:rPr>
      <w:rFonts w:ascii="微软雅黑" w:hAnsi="微软雅黑" w:eastAsia="微软雅黑"/>
      <w:b/>
      <w:kern w:val="0"/>
      <w:sz w:val="20"/>
    </w:rPr>
  </w:style>
  <w:style w:type="character" w:customStyle="1" w:styleId="131">
    <w:name w:val="font31"/>
    <w:uiPriority w:val="0"/>
    <w:rPr>
      <w:rFonts w:hint="default" w:ascii="Times New Roman" w:hAnsi="Times New Roman" w:cs="Times New Roman"/>
      <w:color w:val="000000"/>
      <w:sz w:val="20"/>
      <w:szCs w:val="20"/>
      <w:u w:val="none"/>
    </w:rPr>
  </w:style>
  <w:style w:type="character" w:customStyle="1" w:styleId="132">
    <w:name w:val="中等深浅网格 2 字符"/>
    <w:link w:val="133"/>
    <w:uiPriority w:val="1"/>
    <w:rPr>
      <w:kern w:val="2"/>
      <w:sz w:val="21"/>
      <w:szCs w:val="24"/>
      <w:lang w:val="en-US" w:eastAsia="zh-CN" w:bidi="ar-SA"/>
    </w:rPr>
  </w:style>
  <w:style w:type="paragraph" w:customStyle="1" w:styleId="133">
    <w:name w:val="中等深浅网格 21"/>
    <w:link w:val="132"/>
    <w:qFormat/>
    <w:uiPriority w:val="1"/>
    <w:pPr>
      <w:widowControl w:val="0"/>
      <w:jc w:val="both"/>
    </w:pPr>
    <w:rPr>
      <w:kern w:val="2"/>
      <w:sz w:val="21"/>
      <w:szCs w:val="24"/>
      <w:lang w:val="en-US" w:eastAsia="zh-CN" w:bidi="ar-SA"/>
    </w:rPr>
  </w:style>
  <w:style w:type="character" w:customStyle="1" w:styleId="134">
    <w:name w:val="Char Char1111"/>
    <w:uiPriority w:val="0"/>
    <w:rPr>
      <w:kern w:val="2"/>
      <w:sz w:val="28"/>
      <w:szCs w:val="24"/>
    </w:rPr>
  </w:style>
  <w:style w:type="character" w:customStyle="1" w:styleId="135">
    <w:name w:val="Char Char10"/>
    <w:uiPriority w:val="0"/>
    <w:rPr>
      <w:kern w:val="2"/>
      <w:sz w:val="21"/>
      <w:szCs w:val="24"/>
      <w:shd w:val="clear" w:color="auto" w:fill="000080"/>
    </w:rPr>
  </w:style>
  <w:style w:type="character" w:customStyle="1" w:styleId="136">
    <w:name w:val="普通段落 Char"/>
    <w:link w:val="137"/>
    <w:uiPriority w:val="0"/>
    <w:rPr>
      <w:rFonts w:ascii="Arial" w:hAnsi="Arial" w:eastAsia="宋体"/>
      <w:lang w:bidi="ar-SA"/>
    </w:rPr>
  </w:style>
  <w:style w:type="paragraph" w:customStyle="1" w:styleId="137">
    <w:name w:val="普通段落"/>
    <w:basedOn w:val="1"/>
    <w:link w:val="136"/>
    <w:qFormat/>
    <w:uiPriority w:val="0"/>
    <w:pPr>
      <w:spacing w:after="240" w:line="276" w:lineRule="auto"/>
    </w:pPr>
    <w:rPr>
      <w:rFonts w:ascii="Arial" w:hAnsi="Arial"/>
      <w:kern w:val="0"/>
      <w:sz w:val="20"/>
      <w:szCs w:val="20"/>
    </w:rPr>
  </w:style>
  <w:style w:type="character" w:customStyle="1" w:styleId="138">
    <w:name w:val="newscontent1"/>
    <w:uiPriority w:val="0"/>
    <w:rPr>
      <w:rFonts w:hint="default" w:ascii="Verdana" w:hAnsi="Verdana"/>
      <w:color w:val="333333"/>
      <w:sz w:val="18"/>
      <w:szCs w:val="18"/>
    </w:rPr>
  </w:style>
  <w:style w:type="character" w:customStyle="1" w:styleId="139">
    <w:name w:val="日期 Char1"/>
    <w:semiHidden/>
    <w:uiPriority w:val="99"/>
    <w:rPr>
      <w:rFonts w:ascii="Times New Roman" w:hAnsi="Times New Roman" w:eastAsia="宋体" w:cs="Times New Roman"/>
      <w:szCs w:val="24"/>
    </w:rPr>
  </w:style>
  <w:style w:type="character" w:customStyle="1" w:styleId="140">
    <w:name w:val="正文首行缩进1 Char"/>
    <w:aliases w:val="正文首行缩进 Char Char Char Char Char Char Char Char Char1 Char Char Char Char,正文首行缩进 Char Char Char Char Char Char Char Char Char1 Char Char Char Char Char Char Char Char"/>
    <w:uiPriority w:val="0"/>
    <w:rPr>
      <w:rFonts w:ascii="Arial" w:hAnsi="Arial" w:eastAsia="宋体"/>
      <w:sz w:val="24"/>
      <w:szCs w:val="21"/>
      <w:lang w:bidi="ar-SA"/>
    </w:rPr>
  </w:style>
  <w:style w:type="character" w:customStyle="1" w:styleId="141">
    <w:name w:val="!标题3 Ctrl+3 Char"/>
    <w:link w:val="142"/>
    <w:locked/>
    <w:uiPriority w:val="0"/>
    <w:rPr>
      <w:rFonts w:ascii="Arial" w:hAnsi="Arial" w:eastAsia="黑体"/>
      <w:b/>
      <w:kern w:val="2"/>
      <w:sz w:val="32"/>
      <w:szCs w:val="32"/>
    </w:rPr>
  </w:style>
  <w:style w:type="paragraph" w:customStyle="1" w:styleId="142">
    <w:name w:val="!标题3 Ctrl+3"/>
    <w:basedOn w:val="4"/>
    <w:next w:val="1"/>
    <w:link w:val="141"/>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143">
    <w:name w:val="Char Char2"/>
    <w:uiPriority w:val="0"/>
    <w:rPr>
      <w:rFonts w:ascii="宋体" w:hAnsi="宋体"/>
      <w:color w:val="000000"/>
      <w:kern w:val="2"/>
      <w:sz w:val="24"/>
      <w:szCs w:val="24"/>
    </w:rPr>
  </w:style>
  <w:style w:type="character" w:customStyle="1" w:styleId="144">
    <w:name w:val="页眉 Char1"/>
    <w:semiHidden/>
    <w:uiPriority w:val="99"/>
    <w:rPr>
      <w:rFonts w:ascii="Times New Roman" w:hAnsi="Times New Roman" w:eastAsia="宋体" w:cs="Times New Roman"/>
      <w:sz w:val="18"/>
      <w:szCs w:val="18"/>
    </w:rPr>
  </w:style>
  <w:style w:type="character" w:customStyle="1" w:styleId="145">
    <w:name w:val="Heading 8 Char"/>
    <w:semiHidden/>
    <w:locked/>
    <w:uiPriority w:val="0"/>
    <w:rPr>
      <w:rFonts w:ascii="Cambria" w:hAnsi="Cambria" w:eastAsia="宋体" w:cs="Times New Roman"/>
      <w:kern w:val="0"/>
      <w:sz w:val="24"/>
      <w:szCs w:val="24"/>
    </w:rPr>
  </w:style>
  <w:style w:type="character" w:customStyle="1" w:styleId="146">
    <w:name w:val="A7"/>
    <w:uiPriority w:val="0"/>
    <w:rPr>
      <w:rFonts w:ascii="HelveticaNeueLT Std Lt" w:eastAsia="HelveticaNeueLT Std Lt" w:cs="HelveticaNeueLT Std Lt"/>
      <w:color w:val="000000"/>
      <w:sz w:val="20"/>
      <w:szCs w:val="20"/>
    </w:rPr>
  </w:style>
  <w:style w:type="character" w:customStyle="1" w:styleId="147">
    <w:name w:val="正文1 Char Char"/>
    <w:link w:val="148"/>
    <w:uiPriority w:val="0"/>
    <w:rPr>
      <w:rFonts w:ascii="宋体" w:hAnsi="宋体" w:eastAsia="宋体"/>
      <w:color w:val="000000"/>
      <w:sz w:val="24"/>
    </w:rPr>
  </w:style>
  <w:style w:type="paragraph" w:customStyle="1" w:styleId="148">
    <w:name w:val="正文1"/>
    <w:basedOn w:val="1"/>
    <w:link w:val="147"/>
    <w:uiPriority w:val="0"/>
    <w:pPr>
      <w:spacing w:line="360" w:lineRule="auto"/>
      <w:ind w:firstLine="200" w:firstLineChars="200"/>
      <w:jc w:val="left"/>
    </w:pPr>
    <w:rPr>
      <w:rFonts w:ascii="宋体" w:hAnsi="宋体"/>
      <w:color w:val="000000"/>
      <w:kern w:val="0"/>
      <w:sz w:val="24"/>
      <w:szCs w:val="20"/>
    </w:rPr>
  </w:style>
  <w:style w:type="character" w:customStyle="1" w:styleId="149">
    <w:name w:val="Normal Indent Char"/>
    <w:locked/>
    <w:uiPriority w:val="0"/>
    <w:rPr>
      <w:sz w:val="20"/>
    </w:rPr>
  </w:style>
  <w:style w:type="character" w:customStyle="1" w:styleId="150">
    <w:name w:val="正文缩进 字符"/>
    <w:uiPriority w:val="0"/>
    <w:rPr>
      <w:rFonts w:eastAsia="宋体"/>
    </w:rPr>
  </w:style>
  <w:style w:type="character" w:customStyle="1" w:styleId="151">
    <w:name w:val="标书正文格式 Char"/>
    <w:link w:val="152"/>
    <w:uiPriority w:val="0"/>
    <w:rPr>
      <w:rFonts w:eastAsia="楷体_GB2312"/>
      <w:kern w:val="2"/>
      <w:sz w:val="24"/>
      <w:szCs w:val="24"/>
      <w:lang w:val="en-US" w:eastAsia="zh-CN" w:bidi="ar-SA"/>
    </w:rPr>
  </w:style>
  <w:style w:type="paragraph" w:customStyle="1" w:styleId="152">
    <w:name w:val="标书正文格式"/>
    <w:link w:val="151"/>
    <w:uiPriority w:val="0"/>
    <w:pPr>
      <w:spacing w:line="360" w:lineRule="auto"/>
      <w:ind w:firstLine="200" w:firstLineChars="200"/>
      <w:jc w:val="both"/>
    </w:pPr>
    <w:rPr>
      <w:rFonts w:eastAsia="楷体_GB2312"/>
      <w:kern w:val="2"/>
      <w:sz w:val="24"/>
      <w:szCs w:val="24"/>
      <w:lang w:val="en-US" w:eastAsia="zh-CN" w:bidi="ar-SA"/>
    </w:rPr>
  </w:style>
  <w:style w:type="character" w:customStyle="1" w:styleId="153">
    <w:name w:val="表格文本 Char Char"/>
    <w:link w:val="154"/>
    <w:uiPriority w:val="0"/>
    <w:rPr>
      <w:rFonts w:ascii="Arial" w:hAnsi="Arial"/>
      <w:kern w:val="2"/>
      <w:sz w:val="21"/>
      <w:szCs w:val="21"/>
      <w:lang w:val="en-US" w:eastAsia="zh-CN" w:bidi="ar-SA"/>
    </w:rPr>
  </w:style>
  <w:style w:type="paragraph" w:customStyle="1" w:styleId="154">
    <w:name w:val="表格文本 Char"/>
    <w:link w:val="153"/>
    <w:qFormat/>
    <w:uiPriority w:val="0"/>
    <w:pPr>
      <w:tabs>
        <w:tab w:val="decimal" w:pos="0"/>
      </w:tabs>
    </w:pPr>
    <w:rPr>
      <w:rFonts w:ascii="Arial" w:hAnsi="Arial"/>
      <w:kern w:val="2"/>
      <w:sz w:val="21"/>
      <w:szCs w:val="21"/>
      <w:lang w:val="en-US" w:eastAsia="zh-CN" w:bidi="ar-SA"/>
    </w:rPr>
  </w:style>
  <w:style w:type="character" w:customStyle="1" w:styleId="155">
    <w:name w:val="font81"/>
    <w:uiPriority w:val="0"/>
    <w:rPr>
      <w:rFonts w:hint="eastAsia" w:ascii="宋体" w:hAnsi="宋体" w:eastAsia="宋体" w:cs="宋体"/>
      <w:color w:val="000000"/>
      <w:sz w:val="20"/>
      <w:szCs w:val="20"/>
      <w:u w:val="none"/>
      <w:vertAlign w:val="superscript"/>
    </w:rPr>
  </w:style>
  <w:style w:type="character" w:customStyle="1" w:styleId="156">
    <w:name w:val="普通 (Web) Char1"/>
    <w:aliases w:val="普通(Web)1 Char1,普通(Web)2 Char1,普通 (Web)1 Char1,普通(Web)3 Char1,普通(Web)4 Char1,普通(Web)5 Char1,普通 (Web)211 Char1,普通 (Web)21111 Char1,普通(Web)211 Char1,普通 (Web)11 Char1,普通(Web) Char1,普通 (Web)2 Char1,普通 (Web)21 Char1,普通 (Web)212 Char1"/>
    <w:locked/>
    <w:uiPriority w:val="0"/>
    <w:rPr>
      <w:rFonts w:ascii="宋体" w:hAnsi="宋体" w:eastAsia="宋体"/>
      <w:sz w:val="24"/>
      <w:szCs w:val="24"/>
      <w:lang w:val="en-US" w:eastAsia="zh-CN" w:bidi="ar-SA"/>
    </w:rPr>
  </w:style>
  <w:style w:type="character" w:customStyle="1" w:styleId="157">
    <w:name w:val="Char Char24"/>
    <w:uiPriority w:val="0"/>
    <w:rPr>
      <w:rFonts w:ascii="Arial" w:hAnsi="Arial" w:eastAsia="黑体"/>
      <w:b/>
      <w:bCs/>
      <w:kern w:val="2"/>
      <w:sz w:val="28"/>
      <w:szCs w:val="28"/>
    </w:rPr>
  </w:style>
  <w:style w:type="character" w:customStyle="1" w:styleId="158">
    <w:name w:val="普通文字 Char Char"/>
    <w:uiPriority w:val="0"/>
    <w:rPr>
      <w:rFonts w:ascii="宋体" w:hAnsi="Courier New" w:eastAsia="宋体" w:cs="Times New Roman"/>
      <w:szCs w:val="20"/>
    </w:rPr>
  </w:style>
  <w:style w:type="character" w:customStyle="1" w:styleId="159">
    <w:name w:val="Item List Char"/>
    <w:link w:val="160"/>
    <w:uiPriority w:val="0"/>
    <w:rPr>
      <w:rFonts w:cs="Arial"/>
      <w:kern w:val="2"/>
      <w:sz w:val="21"/>
      <w:szCs w:val="21"/>
      <w:lang w:val="en-US" w:eastAsia="zh-CN" w:bidi="ar-SA"/>
    </w:rPr>
  </w:style>
  <w:style w:type="paragraph" w:customStyle="1" w:styleId="160">
    <w:name w:val="Item List"/>
    <w:link w:val="159"/>
    <w:uiPriority w:val="0"/>
    <w:pPr>
      <w:tabs>
        <w:tab w:val="left" w:pos="0"/>
        <w:tab w:val="left" w:pos="2126"/>
      </w:tabs>
      <w:adjustRightInd w:val="0"/>
      <w:snapToGrid w:val="0"/>
      <w:spacing w:before="80" w:after="80" w:line="240" w:lineRule="atLeast"/>
      <w:ind w:left="1134" w:hanging="1134"/>
    </w:pPr>
    <w:rPr>
      <w:rFonts w:cs="Arial"/>
      <w:kern w:val="2"/>
      <w:sz w:val="21"/>
      <w:szCs w:val="21"/>
      <w:lang w:val="en-US" w:eastAsia="zh-CN" w:bidi="ar-SA"/>
    </w:rPr>
  </w:style>
  <w:style w:type="character" w:customStyle="1" w:styleId="161">
    <w:name w:val="Char Char111"/>
    <w:uiPriority w:val="0"/>
    <w:rPr>
      <w:kern w:val="2"/>
      <w:sz w:val="28"/>
      <w:szCs w:val="24"/>
    </w:rPr>
  </w:style>
  <w:style w:type="character" w:customStyle="1" w:styleId="162">
    <w:name w:val="Char Char13"/>
    <w:uiPriority w:val="0"/>
    <w:rPr>
      <w:b/>
      <w:bCs/>
      <w:kern w:val="2"/>
      <w:sz w:val="21"/>
      <w:szCs w:val="24"/>
    </w:rPr>
  </w:style>
  <w:style w:type="character" w:customStyle="1" w:styleId="163">
    <w:name w:val="样式 (中文) 放宋 小四号"/>
    <w:uiPriority w:val="0"/>
    <w:rPr>
      <w:rFonts w:eastAsia="仿宋_GB2312"/>
      <w:sz w:val="24"/>
    </w:rPr>
  </w:style>
  <w:style w:type="character" w:customStyle="1" w:styleId="164">
    <w:name w:val="font21"/>
    <w:uiPriority w:val="0"/>
    <w:rPr>
      <w:rFonts w:hint="eastAsia" w:ascii="宋体" w:hAnsi="宋体" w:eastAsia="宋体" w:cs="宋体"/>
      <w:color w:val="000000"/>
      <w:sz w:val="20"/>
      <w:szCs w:val="20"/>
      <w:u w:val="none"/>
    </w:rPr>
  </w:style>
  <w:style w:type="character" w:customStyle="1" w:styleId="165">
    <w:name w:val="样式7 Char"/>
    <w:uiPriority w:val="0"/>
    <w:rPr>
      <w:rFonts w:eastAsia="宋体" w:cs="宋体"/>
      <w:kern w:val="2"/>
      <w:sz w:val="24"/>
      <w:szCs w:val="24"/>
      <w:lang w:val="en-US" w:eastAsia="zh-CN" w:bidi="ar-SA"/>
    </w:rPr>
  </w:style>
  <w:style w:type="character" w:customStyle="1" w:styleId="166">
    <w:name w:val="段落文本 Char"/>
    <w:link w:val="167"/>
    <w:uiPriority w:val="0"/>
    <w:rPr>
      <w:rFonts w:eastAsia="宋体"/>
      <w:szCs w:val="21"/>
      <w:lang w:bidi="ar-SA"/>
    </w:rPr>
  </w:style>
  <w:style w:type="paragraph" w:customStyle="1" w:styleId="167">
    <w:name w:val="段落文本"/>
    <w:basedOn w:val="1"/>
    <w:link w:val="166"/>
    <w:uiPriority w:val="0"/>
    <w:pPr>
      <w:spacing w:line="360" w:lineRule="auto"/>
      <w:ind w:firstLine="420"/>
    </w:pPr>
    <w:rPr>
      <w:kern w:val="0"/>
      <w:sz w:val="20"/>
      <w:szCs w:val="21"/>
    </w:rPr>
  </w:style>
  <w:style w:type="character" w:customStyle="1" w:styleId="168">
    <w:name w:val="Heading 5 Char"/>
    <w:semiHidden/>
    <w:locked/>
    <w:uiPriority w:val="0"/>
    <w:rPr>
      <w:rFonts w:cs="Times New Roman"/>
      <w:b/>
      <w:bCs/>
      <w:kern w:val="0"/>
      <w:sz w:val="28"/>
      <w:szCs w:val="28"/>
    </w:rPr>
  </w:style>
  <w:style w:type="character" w:customStyle="1" w:styleId="169">
    <w:name w:val="批注框文本 Char1"/>
    <w:semiHidden/>
    <w:uiPriority w:val="99"/>
    <w:rPr>
      <w:rFonts w:ascii="Times New Roman" w:hAnsi="Times New Roman" w:eastAsia="宋体" w:cs="Times New Roman"/>
      <w:sz w:val="18"/>
      <w:szCs w:val="18"/>
    </w:rPr>
  </w:style>
  <w:style w:type="character" w:customStyle="1" w:styleId="170">
    <w:name w:val="Heading 2 Char"/>
    <w:semiHidden/>
    <w:locked/>
    <w:uiPriority w:val="0"/>
    <w:rPr>
      <w:rFonts w:ascii="Cambria" w:hAnsi="Cambria" w:eastAsia="宋体" w:cs="Times New Roman"/>
      <w:b/>
      <w:bCs/>
      <w:kern w:val="0"/>
      <w:sz w:val="32"/>
      <w:szCs w:val="32"/>
    </w:rPr>
  </w:style>
  <w:style w:type="character" w:customStyle="1" w:styleId="171">
    <w:name w:val="Plain Text Char"/>
    <w:semiHidden/>
    <w:locked/>
    <w:uiPriority w:val="0"/>
    <w:rPr>
      <w:rFonts w:ascii="宋体" w:hAnsi="Courier New" w:cs="Courier New"/>
      <w:kern w:val="0"/>
      <w:sz w:val="21"/>
      <w:szCs w:val="21"/>
    </w:rPr>
  </w:style>
  <w:style w:type="character" w:customStyle="1" w:styleId="172">
    <w:name w:val="Char Char8"/>
    <w:uiPriority w:val="0"/>
    <w:rPr>
      <w:rFonts w:eastAsia="楷体_GB2312"/>
      <w:kern w:val="2"/>
      <w:sz w:val="32"/>
    </w:rPr>
  </w:style>
  <w:style w:type="character" w:customStyle="1" w:styleId="173">
    <w:name w:val="Char Char21"/>
    <w:uiPriority w:val="0"/>
    <w:rPr>
      <w:b/>
      <w:bCs/>
      <w:kern w:val="2"/>
      <w:sz w:val="24"/>
      <w:szCs w:val="24"/>
    </w:rPr>
  </w:style>
  <w:style w:type="character" w:customStyle="1" w:styleId="174">
    <w:name w:val="font01"/>
    <w:uiPriority w:val="0"/>
    <w:rPr>
      <w:rFonts w:hint="eastAsia" w:ascii="宋体" w:hAnsi="宋体" w:eastAsia="宋体" w:cs="宋体"/>
      <w:b/>
      <w:bCs/>
      <w:color w:val="000000"/>
      <w:sz w:val="24"/>
      <w:szCs w:val="24"/>
      <w:u w:val="none"/>
    </w:rPr>
  </w:style>
  <w:style w:type="character" w:customStyle="1" w:styleId="175">
    <w:name w:val="Heading 3 Char"/>
    <w:semiHidden/>
    <w:locked/>
    <w:uiPriority w:val="0"/>
    <w:rPr>
      <w:rFonts w:cs="Times New Roman"/>
      <w:b/>
      <w:bCs/>
      <w:kern w:val="0"/>
      <w:sz w:val="32"/>
      <w:szCs w:val="32"/>
    </w:rPr>
  </w:style>
  <w:style w:type="character" w:customStyle="1" w:styleId="176">
    <w:name w:val="Char Char18"/>
    <w:uiPriority w:val="0"/>
    <w:rPr>
      <w:rFonts w:eastAsia="黑体"/>
      <w:sz w:val="18"/>
      <w:szCs w:val="18"/>
    </w:rPr>
  </w:style>
  <w:style w:type="character" w:customStyle="1" w:styleId="177">
    <w:name w:val="页脚 Char1"/>
    <w:semiHidden/>
    <w:uiPriority w:val="99"/>
    <w:rPr>
      <w:rFonts w:ascii="Times New Roman" w:hAnsi="Times New Roman" w:eastAsia="宋体" w:cs="Times New Roman"/>
      <w:sz w:val="18"/>
      <w:szCs w:val="18"/>
    </w:rPr>
  </w:style>
  <w:style w:type="character" w:customStyle="1" w:styleId="178">
    <w:name w:val="纯文本 Char2"/>
    <w:semiHidden/>
    <w:uiPriority w:val="99"/>
    <w:rPr>
      <w:rFonts w:ascii="宋体" w:hAnsi="Courier New" w:eastAsia="宋体" w:cs="Courier New"/>
      <w:szCs w:val="21"/>
    </w:rPr>
  </w:style>
  <w:style w:type="character" w:customStyle="1" w:styleId="179">
    <w:name w:val="内容文本 Char"/>
    <w:link w:val="180"/>
    <w:uiPriority w:val="0"/>
    <w:rPr>
      <w:rFonts w:ascii="宋体" w:hAnsi="宋体" w:eastAsia="宋体"/>
      <w:kern w:val="2"/>
      <w:sz w:val="24"/>
      <w:szCs w:val="24"/>
      <w:lang w:bidi="ar-SA"/>
    </w:rPr>
  </w:style>
  <w:style w:type="paragraph" w:customStyle="1" w:styleId="180">
    <w:name w:val="内容文本"/>
    <w:basedOn w:val="1"/>
    <w:link w:val="179"/>
    <w:qFormat/>
    <w:uiPriority w:val="0"/>
    <w:pPr>
      <w:spacing w:line="360" w:lineRule="auto"/>
      <w:ind w:firstLine="480" w:firstLineChars="200"/>
    </w:pPr>
    <w:rPr>
      <w:rFonts w:ascii="宋体" w:hAnsi="宋体"/>
      <w:sz w:val="24"/>
    </w:rPr>
  </w:style>
  <w:style w:type="character" w:customStyle="1" w:styleId="181">
    <w:name w:val="H1 Char"/>
    <w:aliases w:val="Section Head Char,h1 Char,1st level Char,l1 Char,1 Char,H11 Char,H12 Char,H13 Char,H14 Char,H15 Char,H16 Char,H17 Char,张斌 Char Char,L1 Heading 1 Char,h11 Char,1st level1 Char,heading 11 Char,h12 Char,1st level2 Char,heading 12 Char,h111 Char"/>
    <w:uiPriority w:val="0"/>
    <w:rPr>
      <w:rFonts w:ascii="Times New Roman" w:hAnsi="Times New Roman" w:eastAsia="宋体" w:cs="Times New Roman"/>
      <w:b/>
      <w:bCs/>
      <w:kern w:val="44"/>
      <w:sz w:val="44"/>
      <w:szCs w:val="44"/>
    </w:rPr>
  </w:style>
  <w:style w:type="character" w:customStyle="1" w:styleId="182">
    <w:name w:val="Char Char14"/>
    <w:uiPriority w:val="0"/>
    <w:rPr>
      <w:kern w:val="2"/>
      <w:sz w:val="18"/>
      <w:szCs w:val="18"/>
    </w:rPr>
  </w:style>
  <w:style w:type="character" w:customStyle="1" w:styleId="183">
    <w:name w:val="正文文本 Char"/>
    <w:aliases w:val="NICMAN Body Text Char,无缩进 Char,bt Char, ändrad Char,标书正文 Char,小行距正文文字 Char,小行距正文文字1 Char,小行距正文文字2 Char,小行距正文文字3 Char,小行距正文文字4 Char,小行距正文文字5 Char,居中 Char,居中 Char Char"/>
    <w:uiPriority w:val="0"/>
    <w:rPr>
      <w:rFonts w:ascii="Times New Roman" w:hAnsi="Times New Roman" w:eastAsia="宋体" w:cs="Times New Roman"/>
      <w:szCs w:val="24"/>
    </w:rPr>
  </w:style>
  <w:style w:type="character" w:customStyle="1" w:styleId="184">
    <w:name w:val="Header Char"/>
    <w:locked/>
    <w:uiPriority w:val="0"/>
    <w:rPr>
      <w:rFonts w:ascii="Calibri" w:hAnsi="Calibri" w:eastAsia="宋体" w:cs="Times New Roman"/>
      <w:sz w:val="18"/>
      <w:szCs w:val="18"/>
    </w:rPr>
  </w:style>
  <w:style w:type="character" w:customStyle="1" w:styleId="185">
    <w:name w:val="BOD 4 Char Char"/>
    <w:uiPriority w:val="0"/>
    <w:rPr>
      <w:rFonts w:ascii="Arial" w:hAnsi="Arial" w:eastAsia="黑体" w:cs="Times New Roman"/>
      <w:b/>
      <w:bCs/>
      <w:sz w:val="24"/>
      <w:szCs w:val="24"/>
    </w:rPr>
  </w:style>
  <w:style w:type="character" w:customStyle="1" w:styleId="186">
    <w:name w:val="Char Char22"/>
    <w:uiPriority w:val="0"/>
    <w:rPr>
      <w:rFonts w:ascii="Arial" w:hAnsi="Arial" w:eastAsia="黑体"/>
      <w:b/>
      <w:bCs/>
      <w:kern w:val="2"/>
      <w:sz w:val="24"/>
      <w:szCs w:val="24"/>
    </w:rPr>
  </w:style>
  <w:style w:type="character" w:customStyle="1" w:styleId="187">
    <w:name w:val="Char Char15"/>
    <w:uiPriority w:val="0"/>
    <w:rPr>
      <w:rFonts w:hAnsi="宋体" w:eastAsia="仿宋_GB2312"/>
      <w:b/>
      <w:bCs/>
      <w:kern w:val="2"/>
      <w:sz w:val="24"/>
    </w:rPr>
  </w:style>
  <w:style w:type="character" w:customStyle="1" w:styleId="188">
    <w:name w:val="Char Char1"/>
    <w:uiPriority w:val="0"/>
    <w:rPr>
      <w:kern w:val="2"/>
      <w:sz w:val="21"/>
      <w:szCs w:val="24"/>
    </w:rPr>
  </w:style>
  <w:style w:type="character" w:customStyle="1" w:styleId="189">
    <w:name w:val="cn1"/>
    <w:uiPriority w:val="0"/>
  </w:style>
  <w:style w:type="character" w:customStyle="1" w:styleId="190">
    <w:name w:val="con-all2"/>
    <w:uiPriority w:val="0"/>
  </w:style>
  <w:style w:type="character" w:customStyle="1" w:styleId="191">
    <w:name w:val="正文样式 Char"/>
    <w:link w:val="192"/>
    <w:uiPriority w:val="0"/>
    <w:rPr>
      <w:rFonts w:ascii="宋体" w:hAnsi="Calibri" w:eastAsia="宋体" w:cs="宋体"/>
      <w:sz w:val="24"/>
      <w:szCs w:val="24"/>
      <w:lang w:val="zh-CN" w:eastAsia="en-US" w:bidi="he-IL"/>
    </w:rPr>
  </w:style>
  <w:style w:type="paragraph" w:customStyle="1" w:styleId="192">
    <w:name w:val="正文样式"/>
    <w:basedOn w:val="1"/>
    <w:link w:val="191"/>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93">
    <w:name w:val="font11"/>
    <w:uiPriority w:val="0"/>
    <w:rPr>
      <w:rFonts w:hint="default" w:ascii="Times New Roman" w:hAnsi="Times New Roman" w:cs="Times New Roman"/>
      <w:color w:val="000000"/>
      <w:sz w:val="20"/>
      <w:szCs w:val="20"/>
      <w:u w:val="none"/>
    </w:rPr>
  </w:style>
  <w:style w:type="character" w:customStyle="1" w:styleId="194">
    <w:name w:val="h Char"/>
    <w:aliases w:val="Ò³Ã¼ Char,页眉1 Char Char"/>
    <w:uiPriority w:val="0"/>
    <w:rPr>
      <w:rFonts w:ascii="Times New Roman" w:hAnsi="Times New Roman" w:eastAsia="宋体" w:cs="Times New Roman"/>
      <w:sz w:val="18"/>
      <w:szCs w:val="18"/>
    </w:rPr>
  </w:style>
  <w:style w:type="character" w:customStyle="1" w:styleId="195">
    <w:name w:val="3zw"/>
    <w:uiPriority w:val="0"/>
  </w:style>
  <w:style w:type="character" w:customStyle="1" w:styleId="196">
    <w:name w:val="批注文字 Char1"/>
    <w:semiHidden/>
    <w:uiPriority w:val="99"/>
    <w:rPr>
      <w:rFonts w:ascii="Times New Roman" w:hAnsi="Times New Roman" w:eastAsia="宋体" w:cs="Times New Roman"/>
      <w:szCs w:val="24"/>
    </w:rPr>
  </w:style>
  <w:style w:type="character" w:customStyle="1" w:styleId="197">
    <w:name w:val="Heading 4 Char"/>
    <w:locked/>
    <w:uiPriority w:val="0"/>
    <w:rPr>
      <w:rFonts w:cs="Times New Roman"/>
      <w:b/>
      <w:sz w:val="21"/>
    </w:rPr>
  </w:style>
  <w:style w:type="character" w:customStyle="1" w:styleId="198">
    <w:name w:val="H4 Char"/>
    <w:aliases w:val="标题 4 Char Char Char Char Char Char Char Char Char,PIM 4 Char,4 Char,4heading Char,Ref Heading 1 Char,rh1 Char,Heading sql Char,sect 1.2.3.4 Char,bullet Char,bl Char,bb Char,heading 4 Char,付标题 Char,SS标题 4 Char,First Subheading Char,第三层条 Char"/>
    <w:uiPriority w:val="0"/>
    <w:rPr>
      <w:rFonts w:ascii="Arial" w:hAnsi="Arial" w:eastAsia="黑体" w:cs="Times New Roman"/>
      <w:b/>
      <w:bCs/>
      <w:sz w:val="28"/>
      <w:szCs w:val="28"/>
    </w:rPr>
  </w:style>
  <w:style w:type="character" w:customStyle="1" w:styleId="199">
    <w:name w:val="Body Text Char"/>
    <w:semiHidden/>
    <w:locked/>
    <w:uiPriority w:val="0"/>
    <w:rPr>
      <w:rFonts w:cs="Times New Roman"/>
      <w:kern w:val="0"/>
      <w:sz w:val="21"/>
      <w:szCs w:val="21"/>
    </w:rPr>
  </w:style>
  <w:style w:type="character" w:customStyle="1" w:styleId="200">
    <w:name w:val="font61"/>
    <w:uiPriority w:val="0"/>
    <w:rPr>
      <w:rFonts w:hint="eastAsia" w:ascii="宋体" w:hAnsi="宋体" w:eastAsia="宋体" w:cs="宋体"/>
      <w:color w:val="000000"/>
      <w:sz w:val="24"/>
      <w:szCs w:val="24"/>
      <w:u w:val="none"/>
    </w:rPr>
  </w:style>
  <w:style w:type="character" w:customStyle="1" w:styleId="201">
    <w:name w:val="纯文本 字符1"/>
    <w:aliases w:val="普通文字 字符1,纯文本 Char Char 字符1,Texte 字符1,普通文字 Char Char Char Char 字符1,普通文字1 字符1,普通文字2 字符1,普通文字3 字符1,普通文字4 字符1,普通文字5 字符1,普通文字6 字符1,普通文字11 字符1,普通文字21 字符1,普通文字31 字符1,普通文字41 字符1,普通文字7 字符1,正 文 1 字符1,正文非缩进 Char Char 字符1,body text 字符1,小 字符1,文字缩进 字符1,普通文字 字符"/>
    <w:semiHidden/>
    <w:locked/>
    <w:uiPriority w:val="0"/>
    <w:rPr>
      <w:rFonts w:ascii="宋体" w:hAnsi="Courier New"/>
      <w:sz w:val="24"/>
      <w:szCs w:val="24"/>
    </w:rPr>
  </w:style>
  <w:style w:type="character" w:customStyle="1" w:styleId="202">
    <w:name w:val="文章正文 Char Char"/>
    <w:link w:val="203"/>
    <w:uiPriority w:val="0"/>
    <w:rPr>
      <w:rFonts w:ascii="宋体" w:hAnsi="宋体"/>
      <w:sz w:val="24"/>
      <w:szCs w:val="24"/>
    </w:rPr>
  </w:style>
  <w:style w:type="paragraph" w:customStyle="1" w:styleId="203">
    <w:name w:val="文章正文"/>
    <w:basedOn w:val="1"/>
    <w:link w:val="202"/>
    <w:uiPriority w:val="0"/>
    <w:pPr>
      <w:spacing w:line="360" w:lineRule="auto"/>
      <w:ind w:firstLine="200" w:firstLineChars="200"/>
      <w:jc w:val="left"/>
    </w:pPr>
    <w:rPr>
      <w:rFonts w:ascii="宋体" w:hAnsi="宋体"/>
      <w:kern w:val="0"/>
      <w:sz w:val="24"/>
    </w:rPr>
  </w:style>
  <w:style w:type="character" w:customStyle="1" w:styleId="204">
    <w:name w:val="Heading 6 Char"/>
    <w:semiHidden/>
    <w:locked/>
    <w:uiPriority w:val="0"/>
    <w:rPr>
      <w:rFonts w:ascii="Cambria" w:hAnsi="Cambria" w:eastAsia="宋体" w:cs="Times New Roman"/>
      <w:b/>
      <w:bCs/>
      <w:kern w:val="0"/>
      <w:sz w:val="24"/>
      <w:szCs w:val="24"/>
    </w:rPr>
  </w:style>
  <w:style w:type="character" w:customStyle="1" w:styleId="205">
    <w:name w:val="H2 Char"/>
    <w:aliases w:val="2nd level Char,h2 Char,2 Char,Header 2 Char,l2 Char,Titre2 Char,Head 2 Char,Heading 2 Hidden Char,Heading 2 CCBS Char,heading 2 Char,Underrubrik1 Char,prop2 Char,heading 2+ Indent: Left 0.25 in Char,SS标题 2 Char,PIM2 Char,DO NOT USE_h2 Char"/>
    <w:uiPriority w:val="0"/>
    <w:rPr>
      <w:rFonts w:ascii="Cambria" w:hAnsi="Cambria" w:eastAsia="宋体" w:cs="Times New Roman"/>
      <w:b/>
      <w:bCs/>
      <w:sz w:val="32"/>
      <w:szCs w:val="32"/>
    </w:rPr>
  </w:style>
  <w:style w:type="character" w:customStyle="1" w:styleId="206">
    <w:name w:val="常规 Char"/>
    <w:link w:val="207"/>
    <w:uiPriority w:val="0"/>
    <w:rPr>
      <w:rFonts w:eastAsia="宋体"/>
      <w:szCs w:val="21"/>
      <w:lang w:bidi="ar-SA"/>
    </w:rPr>
  </w:style>
  <w:style w:type="paragraph" w:customStyle="1" w:styleId="207">
    <w:name w:val="常规"/>
    <w:basedOn w:val="1"/>
    <w:link w:val="206"/>
    <w:qFormat/>
    <w:uiPriority w:val="0"/>
    <w:pPr>
      <w:spacing w:beforeLines="100" w:afterLines="100"/>
      <w:ind w:left="1134"/>
    </w:pPr>
    <w:rPr>
      <w:kern w:val="0"/>
      <w:sz w:val="20"/>
      <w:szCs w:val="21"/>
    </w:rPr>
  </w:style>
  <w:style w:type="character" w:customStyle="1" w:styleId="208">
    <w:name w:val="Char Char16"/>
    <w:uiPriority w:val="0"/>
    <w:rPr>
      <w:rFonts w:ascii="宋体" w:hAnsi="Courier New"/>
      <w:spacing w:val="-4"/>
      <w:kern w:val="2"/>
      <w:sz w:val="18"/>
    </w:rPr>
  </w:style>
  <w:style w:type="character" w:customStyle="1" w:styleId="209">
    <w:name w:val="Char Char5"/>
    <w:uiPriority w:val="0"/>
    <w:rPr>
      <w:rFonts w:ascii="宋体" w:hAnsi="宋体"/>
      <w:sz w:val="24"/>
      <w:szCs w:val="24"/>
    </w:rPr>
  </w:style>
  <w:style w:type="character" w:customStyle="1" w:styleId="210">
    <w:name w:val="正文文字缩进4字符 Char"/>
    <w:aliases w:val="HD正文1 Char,正文文字首行缩进 Char,PI Char Char"/>
    <w:uiPriority w:val="0"/>
    <w:rPr>
      <w:rFonts w:ascii="Times New Roman" w:hAnsi="Times New Roman" w:eastAsia="宋体" w:cs="Times New Roman"/>
      <w:sz w:val="24"/>
      <w:szCs w:val="24"/>
    </w:rPr>
  </w:style>
  <w:style w:type="character" w:customStyle="1" w:styleId="211">
    <w:name w:val="style211"/>
    <w:uiPriority w:val="0"/>
    <w:rPr>
      <w:color w:val="0000FF"/>
    </w:rPr>
  </w:style>
  <w:style w:type="character" w:customStyle="1" w:styleId="212">
    <w:name w:val="def正文 Char Char"/>
    <w:link w:val="213"/>
    <w:uiPriority w:val="0"/>
    <w:rPr>
      <w:sz w:val="24"/>
      <w:szCs w:val="24"/>
    </w:rPr>
  </w:style>
  <w:style w:type="paragraph" w:customStyle="1" w:styleId="213">
    <w:name w:val="def正文"/>
    <w:basedOn w:val="20"/>
    <w:link w:val="212"/>
    <w:uiPriority w:val="0"/>
    <w:pPr>
      <w:widowControl/>
      <w:spacing w:after="0" w:line="360" w:lineRule="auto"/>
      <w:ind w:firstLine="510"/>
      <w:jc w:val="left"/>
    </w:pPr>
    <w:rPr>
      <w:sz w:val="24"/>
    </w:rPr>
  </w:style>
  <w:style w:type="character" w:customStyle="1" w:styleId="214">
    <w:name w:val="彩色列表 - 强调文字颜色 1 Char"/>
    <w:aliases w:val="List Char,符号列表 Char,正文段落1 Char,列出段落2 Char,列出段落 Char,编号 Char,列出段落1 Char,列出段落12 Char,列出段落4 Char,List Paragraph Char"/>
    <w:link w:val="215"/>
    <w:uiPriority w:val="0"/>
    <w:rPr>
      <w:rFonts w:ascii="微软雅黑" w:hAnsi="微软雅黑" w:eastAsia="微软雅黑" w:cs="宋体"/>
      <w:kern w:val="2"/>
      <w:sz w:val="24"/>
      <w:szCs w:val="21"/>
      <w:lang w:val="en-US" w:eastAsia="zh-CN" w:bidi="ar-SA"/>
    </w:rPr>
  </w:style>
  <w:style w:type="paragraph" w:customStyle="1" w:styleId="215">
    <w:name w:val="列出段落2"/>
    <w:basedOn w:val="1"/>
    <w:link w:val="214"/>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16">
    <w:name w:val="标题 1 Char Char"/>
    <w:uiPriority w:val="0"/>
    <w:rPr>
      <w:rFonts w:eastAsia="宋体"/>
      <w:b/>
      <w:spacing w:val="-2"/>
      <w:sz w:val="24"/>
      <w:lang w:val="en-US" w:eastAsia="zh-CN" w:bidi="ar-SA"/>
    </w:rPr>
  </w:style>
  <w:style w:type="character" w:customStyle="1" w:styleId="217">
    <w:name w:val="Heading 9 Char"/>
    <w:semiHidden/>
    <w:locked/>
    <w:uiPriority w:val="0"/>
    <w:rPr>
      <w:rFonts w:ascii="Cambria" w:hAnsi="Cambria" w:eastAsia="宋体" w:cs="Times New Roman"/>
      <w:kern w:val="0"/>
      <w:sz w:val="21"/>
      <w:szCs w:val="21"/>
    </w:rPr>
  </w:style>
  <w:style w:type="character" w:customStyle="1" w:styleId="218">
    <w:name w:val="wj1"/>
    <w:uiPriority w:val="0"/>
    <w:rPr>
      <w:color w:val="000000"/>
      <w:sz w:val="18"/>
      <w:szCs w:val="18"/>
      <w:u w:val="none"/>
    </w:rPr>
  </w:style>
  <w:style w:type="character" w:customStyle="1" w:styleId="219">
    <w:name w:val="正文文本缩进 2 Char1"/>
    <w:semiHidden/>
    <w:uiPriority w:val="99"/>
    <w:rPr>
      <w:rFonts w:ascii="Times New Roman" w:hAnsi="Times New Roman" w:eastAsia="宋体" w:cs="Times New Roman"/>
      <w:szCs w:val="24"/>
    </w:rPr>
  </w:style>
  <w:style w:type="character" w:customStyle="1" w:styleId="220">
    <w:name w:val="font91"/>
    <w:qFormat/>
    <w:uiPriority w:val="0"/>
    <w:rPr>
      <w:rFonts w:hint="default" w:ascii="Arial" w:hAnsi="Arial" w:cs="Arial"/>
      <w:b/>
      <w:color w:val="auto"/>
      <w:sz w:val="20"/>
      <w:szCs w:val="20"/>
      <w:u w:val="none"/>
    </w:rPr>
  </w:style>
  <w:style w:type="character" w:customStyle="1" w:styleId="221">
    <w:name w:val="正文文本缩进 Char1"/>
    <w:semiHidden/>
    <w:uiPriority w:val="99"/>
    <w:rPr>
      <w:rFonts w:ascii="Times New Roman" w:hAnsi="Times New Roman" w:eastAsia="宋体" w:cs="Times New Roman"/>
      <w:szCs w:val="24"/>
    </w:rPr>
  </w:style>
  <w:style w:type="character" w:customStyle="1" w:styleId="222">
    <w:name w:val="Body Text Indent 3 Char"/>
    <w:locked/>
    <w:uiPriority w:val="0"/>
    <w:rPr>
      <w:rFonts w:cs="Times New Roman"/>
      <w:kern w:val="2"/>
      <w:sz w:val="16"/>
      <w:szCs w:val="16"/>
    </w:rPr>
  </w:style>
  <w:style w:type="character" w:customStyle="1" w:styleId="223">
    <w:name w:val="正文文本 3 Char1"/>
    <w:semiHidden/>
    <w:uiPriority w:val="99"/>
    <w:rPr>
      <w:rFonts w:ascii="Times New Roman" w:hAnsi="Times New Roman" w:eastAsia="宋体" w:cs="Times New Roman"/>
      <w:sz w:val="16"/>
      <w:szCs w:val="16"/>
    </w:rPr>
  </w:style>
  <w:style w:type="character" w:customStyle="1" w:styleId="224">
    <w:name w:val="style551"/>
    <w:uiPriority w:val="0"/>
    <w:rPr>
      <w:rFonts w:hint="default" w:ascii="Arial" w:hAnsi="Arial" w:cs="Arial"/>
      <w:color w:val="333333"/>
      <w:sz w:val="18"/>
      <w:szCs w:val="18"/>
    </w:rPr>
  </w:style>
  <w:style w:type="character" w:customStyle="1" w:styleId="225">
    <w:name w:val="文档结构图 Char1"/>
    <w:semiHidden/>
    <w:uiPriority w:val="99"/>
    <w:rPr>
      <w:rFonts w:ascii="宋体" w:hAnsi="Times New Roman" w:eastAsia="宋体" w:cs="Times New Roman"/>
      <w:sz w:val="18"/>
      <w:szCs w:val="18"/>
    </w:rPr>
  </w:style>
  <w:style w:type="character" w:customStyle="1" w:styleId="226">
    <w:name w:val="Char Char26"/>
    <w:uiPriority w:val="0"/>
    <w:rPr>
      <w:rFonts w:ascii="Arial" w:hAnsi="Arial" w:eastAsia="黑体"/>
      <w:b/>
      <w:bCs/>
      <w:kern w:val="2"/>
      <w:sz w:val="32"/>
      <w:szCs w:val="32"/>
    </w:rPr>
  </w:style>
  <w:style w:type="character" w:customStyle="1" w:styleId="227">
    <w:name w:val="Char Char27"/>
    <w:uiPriority w:val="0"/>
    <w:rPr>
      <w:b/>
      <w:bCs/>
      <w:kern w:val="44"/>
      <w:sz w:val="44"/>
      <w:szCs w:val="44"/>
    </w:rPr>
  </w:style>
  <w:style w:type="character" w:customStyle="1" w:styleId="228">
    <w:name w:val="样式 加粗"/>
    <w:uiPriority w:val="0"/>
    <w:rPr>
      <w:rFonts w:eastAsia="仿宋_GB2312"/>
      <w:b/>
      <w:bCs/>
      <w:sz w:val="24"/>
    </w:rPr>
  </w:style>
  <w:style w:type="character" w:customStyle="1" w:styleId="229">
    <w:name w:val="标题 3 Char1"/>
    <w:aliases w:val="h3 Char1,H3 Char1,BOD 0 Char1,l3 Char1,CT Char1,3rd level Char1,Heading 3 - old Char1,3 Char1,sect1.2.3 Char1,HeadC Char,Map Char1,H31 Char,Level 3 Topic Heading Char,Org Heading 1 Char,Head 3 Char1,level_3 Char1,PIM 3 Char1,第二层条 Char,bh Char"/>
    <w:uiPriority w:val="0"/>
    <w:rPr>
      <w:rFonts w:ascii="Times New Roman" w:hAnsi="Times New Roman" w:eastAsia="宋体" w:cs="Times New Roman"/>
      <w:b/>
      <w:bCs/>
      <w:sz w:val="32"/>
      <w:szCs w:val="32"/>
    </w:rPr>
  </w:style>
  <w:style w:type="character" w:customStyle="1" w:styleId="230">
    <w:name w:val="￥正文 Char Char"/>
    <w:uiPriority w:val="0"/>
    <w:rPr>
      <w:rFonts w:ascii="Calibri" w:hAnsi="Calibri"/>
      <w:sz w:val="24"/>
    </w:rPr>
  </w:style>
  <w:style w:type="character" w:customStyle="1" w:styleId="231">
    <w:name w:val="中等深浅网格 1 - 强调文字颜色 2 Char"/>
    <w:link w:val="232"/>
    <w:uiPriority w:val="0"/>
    <w:rPr>
      <w:rFonts w:ascii="Calibri" w:hAnsi="Calibri" w:eastAsia="宋体"/>
      <w:sz w:val="24"/>
      <w:lang w:bidi="ar-SA"/>
    </w:rPr>
  </w:style>
  <w:style w:type="paragraph" w:customStyle="1" w:styleId="232">
    <w:name w:val="中等深浅网格 1 - 强调文字颜色 21"/>
    <w:basedOn w:val="1"/>
    <w:link w:val="231"/>
    <w:qFormat/>
    <w:uiPriority w:val="0"/>
    <w:pPr>
      <w:spacing w:line="360" w:lineRule="auto"/>
      <w:ind w:firstLine="420" w:firstLineChars="200"/>
    </w:pPr>
    <w:rPr>
      <w:rFonts w:ascii="Calibri" w:hAnsi="Calibri"/>
      <w:kern w:val="0"/>
      <w:sz w:val="24"/>
      <w:szCs w:val="20"/>
    </w:rPr>
  </w:style>
  <w:style w:type="character" w:customStyle="1" w:styleId="233">
    <w:name w:val="Char Char12"/>
    <w:uiPriority w:val="0"/>
    <w:rPr>
      <w:rFonts w:ascii="仿宋_GB2312" w:hAnsi="宋体" w:eastAsia="仿宋_GB2312"/>
      <w:color w:val="000000"/>
      <w:kern w:val="2"/>
      <w:sz w:val="24"/>
      <w:szCs w:val="24"/>
    </w:rPr>
  </w:style>
  <w:style w:type="character" w:customStyle="1" w:styleId="234">
    <w:name w:val="Char Char9"/>
    <w:uiPriority w:val="0"/>
    <w:rPr>
      <w:rFonts w:eastAsia="仿宋_GB2312"/>
      <w:kern w:val="2"/>
      <w:sz w:val="18"/>
    </w:rPr>
  </w:style>
  <w:style w:type="character" w:customStyle="1" w:styleId="235">
    <w:name w:val="表正文 Char"/>
    <w:aliases w:val="正文非缩进 Char,特点 Char,段1 Char,二 Char,ALT+Z Char1,四号 Char,首行缩进 Char,缩进 Char,正文不缩进 Char,正文缩进1 Char,正文（首行缩进两字）1 Char,正文（首行缩进两字） Char1 Char,正文缩进 Char Char Char Char Char Char Char Char Char Char Char,正文缩进 Char Char Char Char,body text Char,鋘drad Char"/>
    <w:uiPriority w:val="0"/>
    <w:rPr>
      <w:rFonts w:ascii="Times New Roman" w:hAnsi="Times New Roman" w:eastAsia="宋体" w:cs="Times New Roman"/>
      <w:szCs w:val="24"/>
    </w:rPr>
  </w:style>
  <w:style w:type="character" w:customStyle="1" w:styleId="236">
    <w:name w:val="Char Char7"/>
    <w:uiPriority w:val="0"/>
    <w:rPr>
      <w:rFonts w:eastAsia="宋体"/>
      <w:kern w:val="2"/>
      <w:sz w:val="21"/>
      <w:lang w:val="en-US" w:eastAsia="zh-CN" w:bidi="ar-SA"/>
    </w:rPr>
  </w:style>
  <w:style w:type="character" w:customStyle="1" w:styleId="237">
    <w:name w:val="Char Char25"/>
    <w:uiPriority w:val="0"/>
    <w:rPr>
      <w:rFonts w:eastAsia="楷体_GB2312"/>
      <w:b/>
      <w:bCs/>
      <w:kern w:val="2"/>
      <w:sz w:val="32"/>
      <w:szCs w:val="32"/>
    </w:rPr>
  </w:style>
  <w:style w:type="character" w:customStyle="1" w:styleId="238">
    <w:name w:val="font71"/>
    <w:qFormat/>
    <w:uiPriority w:val="0"/>
    <w:rPr>
      <w:rFonts w:hint="default" w:ascii="Arial" w:hAnsi="Arial" w:cs="Arial"/>
      <w:color w:val="auto"/>
      <w:sz w:val="20"/>
      <w:szCs w:val="20"/>
      <w:u w:val="none"/>
    </w:rPr>
  </w:style>
  <w:style w:type="character" w:customStyle="1" w:styleId="239">
    <w:name w:val="txt1"/>
    <w:uiPriority w:val="0"/>
    <w:rPr>
      <w:rFonts w:hint="default" w:ascii="ˎ̥" w:hAnsi="ˎ̥"/>
      <w:sz w:val="18"/>
      <w:szCs w:val="18"/>
    </w:rPr>
  </w:style>
  <w:style w:type="paragraph" w:customStyle="1" w:styleId="240">
    <w:name w:val="xl7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241">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42">
    <w:name w:val="p16"/>
    <w:basedOn w:val="1"/>
    <w:uiPriority w:val="0"/>
    <w:pPr>
      <w:widowControl/>
    </w:pPr>
    <w:rPr>
      <w:rFonts w:ascii="Arial" w:hAnsi="Arial" w:cs="Arial"/>
      <w:color w:val="333333"/>
      <w:kern w:val="0"/>
      <w:sz w:val="18"/>
      <w:szCs w:val="18"/>
    </w:rPr>
  </w:style>
  <w:style w:type="paragraph" w:customStyle="1" w:styleId="243">
    <w:name w:val="彩色底纹 - 着色 11"/>
    <w:semiHidden/>
    <w:uiPriority w:val="99"/>
    <w:rPr>
      <w:kern w:val="2"/>
      <w:sz w:val="21"/>
      <w:szCs w:val="24"/>
      <w:lang w:val="en-US" w:eastAsia="zh-CN" w:bidi="ar-SA"/>
    </w:rPr>
  </w:style>
  <w:style w:type="paragraph" w:customStyle="1" w:styleId="244">
    <w:name w:val="xl11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5">
    <w:name w:val="xl8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6">
    <w:name w:val="Char Char1 Char11"/>
    <w:basedOn w:val="1"/>
    <w:uiPriority w:val="0"/>
    <w:pPr>
      <w:widowControl/>
      <w:spacing w:after="160" w:line="240" w:lineRule="exact"/>
      <w:jc w:val="left"/>
    </w:pPr>
    <w:rPr>
      <w:rFonts w:ascii="Verdana" w:hAnsi="Verdana" w:eastAsia="Times New Roman"/>
      <w:kern w:val="0"/>
      <w:sz w:val="24"/>
      <w:szCs w:val="20"/>
      <w:lang w:eastAsia="en-US"/>
    </w:rPr>
  </w:style>
  <w:style w:type="paragraph" w:customStyle="1" w:styleId="247">
    <w:name w:val="首行缩进:  2 字符"/>
    <w:basedOn w:val="1"/>
    <w:uiPriority w:val="0"/>
    <w:pPr>
      <w:kinsoku w:val="0"/>
      <w:overflowPunct w:val="0"/>
      <w:snapToGrid w:val="0"/>
      <w:spacing w:line="360" w:lineRule="auto"/>
      <w:ind w:firstLine="200" w:firstLineChars="200"/>
      <w:jc w:val="left"/>
    </w:pPr>
    <w:rPr>
      <w:rFonts w:cs="宋体"/>
      <w:kern w:val="0"/>
      <w:szCs w:val="21"/>
    </w:rPr>
  </w:style>
  <w:style w:type="paragraph" w:customStyle="1" w:styleId="248">
    <w:name w:val="二级编号"/>
    <w:basedOn w:val="1"/>
    <w:uiPriority w:val="0"/>
    <w:pPr>
      <w:tabs>
        <w:tab w:val="left" w:pos="851"/>
      </w:tabs>
      <w:spacing w:line="360" w:lineRule="auto"/>
      <w:jc w:val="left"/>
    </w:pPr>
    <w:rPr>
      <w:rFonts w:cs="宋体"/>
      <w:sz w:val="24"/>
      <w:szCs w:val="20"/>
    </w:rPr>
  </w:style>
  <w:style w:type="paragraph" w:customStyle="1" w:styleId="249">
    <w:name w:val="正文首行缩进11"/>
    <w:basedOn w:val="20"/>
    <w:uiPriority w:val="0"/>
    <w:pPr>
      <w:spacing w:line="360" w:lineRule="auto"/>
      <w:ind w:firstLine="420" w:firstLineChars="100"/>
    </w:pPr>
    <w:rPr>
      <w:rFonts w:ascii="Courier New" w:hAnsi="Courier New" w:eastAsia="仿宋_GB2312"/>
      <w:szCs w:val="22"/>
    </w:rPr>
  </w:style>
  <w:style w:type="paragraph" w:customStyle="1" w:styleId="250">
    <w:name w:val="样式 正文缩进 + 首行缩进:  2 字符"/>
    <w:basedOn w:val="13"/>
    <w:uiPriority w:val="0"/>
    <w:pPr>
      <w:spacing w:after="80" w:line="360" w:lineRule="auto"/>
      <w:ind w:firstLine="480" w:firstLineChars="200"/>
    </w:pPr>
    <w:rPr>
      <w:sz w:val="24"/>
    </w:rPr>
  </w:style>
  <w:style w:type="paragraph" w:customStyle="1" w:styleId="251">
    <w:name w:val="小点说明"/>
    <w:basedOn w:val="1"/>
    <w:uiPriority w:val="0"/>
    <w:pPr>
      <w:tabs>
        <w:tab w:val="left" w:pos="420"/>
      </w:tabs>
      <w:spacing w:after="80" w:line="360" w:lineRule="auto"/>
      <w:ind w:left="420" w:hanging="420"/>
    </w:pPr>
    <w:rPr>
      <w:sz w:val="24"/>
    </w:rPr>
  </w:style>
  <w:style w:type="paragraph" w:customStyle="1" w:styleId="252">
    <w:name w:val="样式 标题 3列表编号3h33rd level + 段前: 1 行"/>
    <w:basedOn w:val="4"/>
    <w:uiPriority w:val="0"/>
    <w:pPr>
      <w:keepNext w:val="0"/>
      <w:keepLines w:val="0"/>
      <w:adjustRightInd w:val="0"/>
      <w:spacing w:before="312" w:afterLines="50" w:line="360" w:lineRule="auto"/>
      <w:jc w:val="both"/>
    </w:pPr>
    <w:rPr>
      <w:rFonts w:ascii="宋体" w:eastAsia="宋体"/>
      <w:bCs w:val="0"/>
      <w:sz w:val="21"/>
      <w:szCs w:val="20"/>
      <w:lang w:val="en-US" w:eastAsia="zh-CN"/>
    </w:rPr>
  </w:style>
  <w:style w:type="paragraph" w:customStyle="1" w:styleId="253">
    <w:name w:val="±íÉí"/>
    <w:basedOn w:val="1"/>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54">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255">
    <w:name w:val="xl9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56">
    <w:name w:val="Char1"/>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257">
    <w:name w:val="Block"/>
    <w:basedOn w:val="1"/>
    <w:next w:val="207"/>
    <w:uiPriority w:val="0"/>
    <w:pPr>
      <w:tabs>
        <w:tab w:val="left" w:pos="0"/>
      </w:tabs>
    </w:pPr>
    <w:rPr>
      <w:rFonts w:ascii="Arial" w:hAnsi="Arial" w:eastAsia="楷体_GB2312"/>
      <w:color w:val="000080"/>
      <w:sz w:val="28"/>
      <w:szCs w:val="28"/>
    </w:rPr>
  </w:style>
  <w:style w:type="paragraph" w:customStyle="1" w:styleId="258">
    <w:name w:val="xl9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9">
    <w:name w:val="列表1"/>
    <w:basedOn w:val="1"/>
    <w:uiPriority w:val="0"/>
    <w:pPr>
      <w:adjustRightInd w:val="0"/>
      <w:spacing w:line="360" w:lineRule="auto"/>
      <w:ind w:left="902" w:hanging="482"/>
      <w:textAlignment w:val="baseline"/>
    </w:pPr>
    <w:rPr>
      <w:rFonts w:ascii="昆仑仿宋" w:eastAsia="昆仑仿宋"/>
      <w:kern w:val="0"/>
      <w:szCs w:val="20"/>
    </w:rPr>
  </w:style>
  <w:style w:type="paragraph" w:customStyle="1" w:styleId="260">
    <w:name w:val="font9"/>
    <w:basedOn w:val="1"/>
    <w:uiPriority w:val="0"/>
    <w:pPr>
      <w:widowControl/>
      <w:spacing w:before="100" w:beforeAutospacing="1" w:after="100" w:afterAutospacing="1"/>
      <w:jc w:val="left"/>
    </w:pPr>
    <w:rPr>
      <w:color w:val="000000"/>
      <w:kern w:val="0"/>
      <w:sz w:val="20"/>
      <w:szCs w:val="20"/>
    </w:rPr>
  </w:style>
  <w:style w:type="paragraph" w:customStyle="1" w:styleId="261">
    <w:name w:val="p19"/>
    <w:basedOn w:val="1"/>
    <w:uiPriority w:val="0"/>
    <w:pPr>
      <w:widowControl/>
      <w:spacing w:beforeLines="100" w:afterLines="100"/>
      <w:ind w:left="1134"/>
    </w:pPr>
    <w:rPr>
      <w:kern w:val="0"/>
      <w:szCs w:val="21"/>
    </w:rPr>
  </w:style>
  <w:style w:type="paragraph" w:customStyle="1" w:styleId="262">
    <w:name w:val="xl8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3">
    <w:name w:val="Figure Description"/>
    <w:basedOn w:val="264"/>
    <w:next w:val="207"/>
    <w:qFormat/>
    <w:uiPriority w:val="0"/>
    <w:pPr>
      <w:tabs>
        <w:tab w:val="left" w:pos="680"/>
      </w:tabs>
      <w:spacing w:afterLines="100"/>
    </w:pPr>
    <w:rPr>
      <w:sz w:val="18"/>
    </w:rPr>
  </w:style>
  <w:style w:type="paragraph" w:customStyle="1" w:styleId="264">
    <w:name w:val="Figure"/>
    <w:basedOn w:val="1"/>
    <w:next w:val="263"/>
    <w:uiPriority w:val="0"/>
    <w:pPr>
      <w:keepNext/>
      <w:keepLines/>
      <w:ind w:left="1134"/>
      <w:jc w:val="center"/>
    </w:pPr>
  </w:style>
  <w:style w:type="paragraph" w:customStyle="1" w:styleId="265">
    <w:name w:val="小标题 1"/>
    <w:basedOn w:val="1"/>
    <w:uiPriority w:val="0"/>
    <w:pPr>
      <w:autoSpaceDE w:val="0"/>
      <w:autoSpaceDN w:val="0"/>
      <w:adjustRightInd w:val="0"/>
      <w:spacing w:line="360" w:lineRule="atLeast"/>
    </w:pPr>
    <w:rPr>
      <w:rFonts w:ascii="文鼎粗黑" w:eastAsia="文鼎粗黑"/>
      <w:kern w:val="0"/>
      <w:sz w:val="22"/>
      <w:szCs w:val="20"/>
    </w:rPr>
  </w:style>
  <w:style w:type="paragraph" w:customStyle="1" w:styleId="266">
    <w:name w:val="正文首行缩进2字"/>
    <w:basedOn w:val="1"/>
    <w:uiPriority w:val="0"/>
    <w:pPr>
      <w:spacing w:line="360" w:lineRule="auto"/>
      <w:ind w:firstLine="412" w:firstLineChars="196"/>
    </w:pPr>
    <w:rPr>
      <w:rFonts w:ascii="宋体" w:hAnsi="宋体"/>
      <w:kern w:val="0"/>
      <w:szCs w:val="21"/>
    </w:rPr>
  </w:style>
  <w:style w:type="paragraph" w:customStyle="1" w:styleId="267">
    <w:name w:val="±íÏî"/>
    <w:basedOn w:val="1"/>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8">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69">
    <w:name w:val="图片"/>
    <w:basedOn w:val="1"/>
    <w:next w:val="1"/>
    <w:uiPriority w:val="0"/>
    <w:pPr>
      <w:jc w:val="center"/>
    </w:pPr>
  </w:style>
  <w:style w:type="paragraph" w:customStyle="1" w:styleId="270">
    <w:name w:val="xl10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71">
    <w:name w:val="Char Char"/>
    <w:basedOn w:val="1"/>
    <w:uiPriority w:val="0"/>
    <w:pPr>
      <w:jc w:val="center"/>
    </w:pPr>
    <w:rPr>
      <w:rFonts w:ascii="仿宋_GB2312" w:eastAsia="仿宋_GB2312"/>
      <w:b/>
      <w:kern w:val="0"/>
      <w:sz w:val="32"/>
      <w:szCs w:val="32"/>
      <w:lang w:val="en-GB"/>
    </w:rPr>
  </w:style>
  <w:style w:type="paragraph" w:customStyle="1" w:styleId="272">
    <w:name w:val="xl10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73">
    <w:name w:val="首行缩进"/>
    <w:basedOn w:val="1"/>
    <w:uiPriority w:val="0"/>
    <w:pPr>
      <w:spacing w:line="360" w:lineRule="auto"/>
      <w:ind w:firstLine="720"/>
    </w:pPr>
    <w:rPr>
      <w:szCs w:val="21"/>
    </w:rPr>
  </w:style>
  <w:style w:type="paragraph" w:customStyle="1" w:styleId="274">
    <w:name w:val="xl9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5">
    <w:name w:val="正文文本1"/>
    <w:basedOn w:val="1"/>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276">
    <w:name w:val="xl10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7">
    <w:name w:val="网格表 3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78">
    <w:name w:val="xl79"/>
    <w:basedOn w:val="1"/>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279">
    <w:name w:val="xl74"/>
    <w:basedOn w:val="1"/>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80">
    <w:name w:val="样式 A正文 + 首行缩进:  0 字符"/>
    <w:basedOn w:val="105"/>
    <w:uiPriority w:val="0"/>
    <w:pPr>
      <w:spacing w:line="240" w:lineRule="auto"/>
      <w:ind w:firstLine="0" w:firstLineChars="0"/>
    </w:pPr>
    <w:rPr>
      <w:rFonts w:cs="宋体"/>
      <w:szCs w:val="20"/>
    </w:rPr>
  </w:style>
  <w:style w:type="paragraph" w:customStyle="1" w:styleId="281">
    <w:name w:val="正文段"/>
    <w:basedOn w:val="1"/>
    <w:uiPriority w:val="0"/>
    <w:pPr>
      <w:widowControl/>
      <w:snapToGrid w:val="0"/>
      <w:spacing w:afterLines="50"/>
      <w:ind w:firstLine="200" w:firstLineChars="200"/>
    </w:pPr>
    <w:rPr>
      <w:kern w:val="0"/>
      <w:sz w:val="24"/>
      <w:szCs w:val="20"/>
    </w:rPr>
  </w:style>
  <w:style w:type="paragraph" w:customStyle="1" w:styleId="282">
    <w:name w:val="xl10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83">
    <w:name w:val="默认段落字体 Para Char Char Char Char Char Char Char Char Char1 Char Char Char Char"/>
    <w:basedOn w:val="1"/>
    <w:uiPriority w:val="0"/>
    <w:rPr>
      <w:rFonts w:ascii="Tahoma" w:hAnsi="Tahoma"/>
      <w:sz w:val="24"/>
      <w:szCs w:val="20"/>
    </w:rPr>
  </w:style>
  <w:style w:type="paragraph" w:customStyle="1" w:styleId="284">
    <w:name w:val="Table Heading"/>
    <w:basedOn w:val="1"/>
    <w:uiPriority w:val="0"/>
    <w:pPr>
      <w:jc w:val="center"/>
    </w:pPr>
    <w:rPr>
      <w:rFonts w:ascii="Arial" w:hAnsi="Arial" w:eastAsia="黑体"/>
      <w:b/>
    </w:rPr>
  </w:style>
  <w:style w:type="paragraph" w:customStyle="1" w:styleId="285">
    <w:name w:val="Pa5"/>
    <w:basedOn w:val="1"/>
    <w:next w:val="1"/>
    <w:uiPriority w:val="0"/>
    <w:pPr>
      <w:spacing w:line="241" w:lineRule="auto"/>
      <w:ind w:firstLine="1680" w:firstLineChars="200"/>
    </w:pPr>
    <w:rPr>
      <w:rFonts w:ascii="EtGsHeiBold" w:eastAsia="EtGsHeiBold"/>
      <w:sz w:val="24"/>
    </w:rPr>
  </w:style>
  <w:style w:type="paragraph" w:customStyle="1" w:styleId="286">
    <w:name w:val="±íÌâ"/>
    <w:basedOn w:val="1"/>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287">
    <w:name w:val="xl8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8">
    <w:name w:val="Char111"/>
    <w:basedOn w:val="1"/>
    <w:uiPriority w:val="0"/>
    <w:rPr>
      <w:rFonts w:ascii="仿宋_GB2312" w:hAnsi="宋体" w:eastAsia="仿宋_GB2312" w:cs="宋体"/>
      <w:b/>
      <w:sz w:val="32"/>
      <w:szCs w:val="32"/>
    </w:rPr>
  </w:style>
  <w:style w:type="paragraph" w:customStyle="1" w:styleId="289">
    <w:name w:val="xl11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90">
    <w:name w:val="xl9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91">
    <w:name w:val="样式25"/>
    <w:basedOn w:val="1"/>
    <w:uiPriority w:val="0"/>
    <w:pPr>
      <w:tabs>
        <w:tab w:val="left" w:pos="180"/>
      </w:tabs>
      <w:ind w:left="1260" w:hanging="720"/>
    </w:pPr>
    <w:rPr>
      <w:sz w:val="24"/>
      <w:szCs w:val="20"/>
    </w:rPr>
  </w:style>
  <w:style w:type="paragraph" w:customStyle="1" w:styleId="292">
    <w:name w:val="xl9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293">
    <w:name w:val="Char Char1 Char"/>
    <w:basedOn w:val="1"/>
    <w:uiPriority w:val="0"/>
    <w:pPr>
      <w:widowControl/>
      <w:spacing w:after="160" w:line="240" w:lineRule="exact"/>
      <w:jc w:val="left"/>
    </w:pPr>
    <w:rPr>
      <w:rFonts w:ascii="Verdana" w:hAnsi="Verdana" w:eastAsia="Times New Roman"/>
      <w:kern w:val="0"/>
      <w:sz w:val="24"/>
      <w:szCs w:val="20"/>
      <w:lang w:eastAsia="en-US"/>
    </w:rPr>
  </w:style>
  <w:style w:type="paragraph" w:customStyle="1" w:styleId="294">
    <w:name w:val="Item Step"/>
    <w:basedOn w:val="1"/>
    <w:uiPriority w:val="0"/>
    <w:pPr>
      <w:widowControl/>
      <w:numPr>
        <w:ilvl w:val="0"/>
        <w:numId w:val="1"/>
      </w:numPr>
      <w:spacing w:afterLines="50"/>
      <w:jc w:val="left"/>
    </w:pPr>
  </w:style>
  <w:style w:type="paragraph" w:customStyle="1" w:styleId="295">
    <w:name w:val="正文2 Char Char Char Char Char Char Char Char Char Char Char Char1 Char Char Char Char Char Char Char Char1 Char Char Char Char Char Char Char Char Char"/>
    <w:basedOn w:val="1"/>
    <w:uiPriority w:val="0"/>
    <w:pPr>
      <w:widowControl/>
      <w:spacing w:line="400" w:lineRule="exact"/>
      <w:jc w:val="center"/>
    </w:pPr>
    <w:rPr>
      <w:rFonts w:ascii="Verdana" w:hAnsi="Verdana"/>
      <w:kern w:val="0"/>
      <w:szCs w:val="20"/>
      <w:lang w:eastAsia="en-US"/>
    </w:rPr>
  </w:style>
  <w:style w:type="paragraph" w:customStyle="1" w:styleId="296">
    <w:name w:val="Char11"/>
    <w:basedOn w:val="1"/>
    <w:uiPriority w:val="0"/>
    <w:rPr>
      <w:rFonts w:ascii="仿宋_GB2312" w:hAnsi="宋体" w:eastAsia="仿宋_GB2312" w:cs="宋体"/>
      <w:b/>
      <w:sz w:val="32"/>
      <w:szCs w:val="32"/>
    </w:rPr>
  </w:style>
  <w:style w:type="paragraph" w:customStyle="1" w:styleId="297">
    <w:name w:val="xl9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98">
    <w:name w:val="列出段落21"/>
    <w:basedOn w:val="1"/>
    <w:uiPriority w:val="0"/>
    <w:pPr>
      <w:kinsoku w:val="0"/>
      <w:overflowPunct w:val="0"/>
      <w:snapToGrid w:val="0"/>
      <w:spacing w:line="360" w:lineRule="auto"/>
      <w:ind w:firstLine="420" w:firstLineChars="200"/>
      <w:jc w:val="left"/>
    </w:pPr>
    <w:rPr>
      <w:kern w:val="0"/>
      <w:szCs w:val="21"/>
    </w:rPr>
  </w:style>
  <w:style w:type="paragraph" w:customStyle="1" w:styleId="299">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00">
    <w:name w:val="标题1"/>
    <w:basedOn w:val="2"/>
    <w:next w:val="1"/>
    <w:qFormat/>
    <w:uiPriority w:val="0"/>
    <w:pPr>
      <w:numPr>
        <w:ilvl w:val="0"/>
        <w:numId w:val="2"/>
      </w:numPr>
      <w:spacing w:before="0" w:after="0" w:line="360" w:lineRule="auto"/>
      <w:jc w:val="left"/>
    </w:pPr>
    <w:rPr>
      <w:rFonts w:ascii="华文中宋" w:hAnsi="华文中宋" w:eastAsia="华文中宋"/>
      <w:szCs w:val="36"/>
      <w:lang w:val="en-US" w:eastAsia="zh-CN"/>
    </w:rPr>
  </w:style>
  <w:style w:type="paragraph" w:customStyle="1" w:styleId="301">
    <w:name w:val="段落正文 Char Char"/>
    <w:basedOn w:val="1"/>
    <w:uiPriority w:val="0"/>
    <w:pPr>
      <w:spacing w:line="360" w:lineRule="auto"/>
      <w:ind w:firstLine="461" w:firstLineChars="192"/>
    </w:pPr>
    <w:rPr>
      <w:rFonts w:ascii="宋体" w:hAnsi="宋体"/>
      <w:sz w:val="24"/>
    </w:rPr>
  </w:style>
  <w:style w:type="paragraph" w:customStyle="1" w:styleId="302">
    <w:name w:val="xl9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3">
    <w:name w:val="font7"/>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304">
    <w:name w:val="标题4"/>
    <w:basedOn w:val="1"/>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05">
    <w:name w:val="style1"/>
    <w:basedOn w:val="1"/>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306">
    <w:name w:val="方案标题4"/>
    <w:basedOn w:val="5"/>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07">
    <w:name w:val="样式26"/>
    <w:basedOn w:val="291"/>
    <w:uiPriority w:val="0"/>
    <w:pPr>
      <w:tabs>
        <w:tab w:val="left" w:pos="1580"/>
        <w:tab w:val="clear" w:pos="180"/>
      </w:tabs>
      <w:ind w:left="1603" w:hanging="363"/>
    </w:pPr>
  </w:style>
  <w:style w:type="paragraph" w:customStyle="1" w:styleId="308">
    <w:name w:val="xl11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09">
    <w:name w:val="Item List in Table"/>
    <w:basedOn w:val="1"/>
    <w:uiPriority w:val="0"/>
    <w:pPr>
      <w:numPr>
        <w:ilvl w:val="0"/>
        <w:numId w:val="3"/>
      </w:numPr>
      <w:jc w:val="left"/>
    </w:pPr>
  </w:style>
  <w:style w:type="paragraph" w:customStyle="1" w:styleId="310">
    <w:name w:val="ÕýÎÄ 1"/>
    <w:basedOn w:val="1"/>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11">
    <w:name w:val="Char Char Char Char Char Char11"/>
    <w:basedOn w:val="1"/>
    <w:uiPriority w:val="0"/>
    <w:pPr>
      <w:spacing w:line="360" w:lineRule="auto"/>
      <w:ind w:firstLine="200" w:firstLineChars="200"/>
    </w:pPr>
    <w:rPr>
      <w:rFonts w:ascii="Tahoma" w:hAnsi="Tahoma" w:cs="Tahoma"/>
      <w:sz w:val="24"/>
    </w:rPr>
  </w:style>
  <w:style w:type="paragraph" w:customStyle="1" w:styleId="312">
    <w:name w:val="xl75"/>
    <w:basedOn w:val="1"/>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13">
    <w:name w:val="Ê×ÐÐËõ½ø"/>
    <w:basedOn w:val="1"/>
    <w:uiPriority w:val="0"/>
    <w:pPr>
      <w:widowControl/>
      <w:overflowPunct w:val="0"/>
      <w:autoSpaceDE w:val="0"/>
      <w:autoSpaceDN w:val="0"/>
      <w:adjustRightInd w:val="0"/>
      <w:textAlignment w:val="baseline"/>
    </w:pPr>
    <w:rPr>
      <w:kern w:val="0"/>
      <w:sz w:val="28"/>
      <w:szCs w:val="20"/>
    </w:rPr>
  </w:style>
  <w:style w:type="paragraph" w:customStyle="1" w:styleId="314">
    <w:name w:val="正文首行缩进1"/>
    <w:uiPriority w:val="0"/>
    <w:pPr>
      <w:spacing w:after="120"/>
      <w:ind w:firstLine="420" w:firstLineChars="100"/>
    </w:pPr>
    <w:rPr>
      <w:lang w:val="en-US" w:eastAsia="zh-CN" w:bidi="ar-SA"/>
    </w:rPr>
  </w:style>
  <w:style w:type="paragraph" w:customStyle="1" w:styleId="315">
    <w:name w:val="样式 正文文本正文文字 + 首行缩进:  2 字符"/>
    <w:basedOn w:val="20"/>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6">
    <w:name w:val="默认段落字体 Para Char"/>
    <w:basedOn w:val="1"/>
    <w:uiPriority w:val="0"/>
    <w:rPr>
      <w:szCs w:val="20"/>
    </w:rPr>
  </w:style>
  <w:style w:type="paragraph" w:customStyle="1" w:styleId="317">
    <w:name w:val="样式 Swis721 Lt BT 左 行距: 固定值 12.5 磅"/>
    <w:basedOn w:val="1"/>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318">
    <w:name w:val="font8"/>
    <w:basedOn w:val="1"/>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319">
    <w:name w:val="Char Char Char Char Char Char1"/>
    <w:basedOn w:val="1"/>
    <w:uiPriority w:val="0"/>
    <w:pPr>
      <w:spacing w:line="360" w:lineRule="auto"/>
      <w:ind w:firstLine="200" w:firstLineChars="200"/>
    </w:pPr>
    <w:rPr>
      <w:rFonts w:ascii="Tahoma" w:hAnsi="Tahoma" w:cs="Tahoma"/>
      <w:sz w:val="24"/>
    </w:rPr>
  </w:style>
  <w:style w:type="paragraph" w:customStyle="1" w:styleId="320">
    <w:name w:val="Char Char Char Char"/>
    <w:basedOn w:val="1"/>
    <w:uiPriority w:val="0"/>
    <w:pPr>
      <w:widowControl/>
      <w:spacing w:line="400" w:lineRule="exact"/>
      <w:jc w:val="center"/>
    </w:pPr>
    <w:rPr>
      <w:rFonts w:ascii="Verdana" w:hAnsi="Verdana"/>
      <w:kern w:val="0"/>
      <w:szCs w:val="20"/>
      <w:lang w:eastAsia="en-US"/>
    </w:rPr>
  </w:style>
  <w:style w:type="paragraph" w:customStyle="1" w:styleId="321">
    <w:name w:val="Item Step in Table"/>
    <w:basedOn w:val="1"/>
    <w:uiPriority w:val="0"/>
    <w:pPr>
      <w:tabs>
        <w:tab w:val="left" w:pos="420"/>
      </w:tabs>
      <w:ind w:left="420" w:hanging="420"/>
      <w:jc w:val="left"/>
    </w:pPr>
  </w:style>
  <w:style w:type="paragraph" w:customStyle="1" w:styleId="322">
    <w:name w:val="_Style 3"/>
    <w:basedOn w:val="1"/>
    <w:qFormat/>
    <w:uiPriority w:val="34"/>
    <w:pPr>
      <w:spacing w:line="360" w:lineRule="auto"/>
      <w:ind w:firstLine="420" w:firstLineChars="200"/>
    </w:pPr>
    <w:rPr>
      <w:rFonts w:ascii="Calibri" w:hAnsi="Calibri"/>
      <w:szCs w:val="22"/>
    </w:rPr>
  </w:style>
  <w:style w:type="paragraph" w:customStyle="1" w:styleId="323">
    <w:name w:val="样式22"/>
    <w:basedOn w:val="4"/>
    <w:uiPriority w:val="0"/>
    <w:pPr>
      <w:tabs>
        <w:tab w:val="left" w:pos="1080"/>
      </w:tabs>
      <w:spacing w:before="0" w:after="0" w:line="240" w:lineRule="auto"/>
      <w:ind w:left="1260" w:hanging="420"/>
      <w:jc w:val="both"/>
    </w:pPr>
    <w:rPr>
      <w:rFonts w:eastAsia="宋体"/>
      <w:sz w:val="28"/>
    </w:rPr>
  </w:style>
  <w:style w:type="paragraph" w:customStyle="1" w:styleId="324">
    <w:name w:val="xl78"/>
    <w:basedOn w:val="1"/>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25">
    <w:name w:val="此正文"/>
    <w:basedOn w:val="1"/>
    <w:uiPriority w:val="0"/>
    <w:pPr>
      <w:spacing w:line="360" w:lineRule="auto"/>
      <w:ind w:firstLine="200" w:firstLineChars="200"/>
    </w:pPr>
    <w:rPr>
      <w:sz w:val="24"/>
    </w:rPr>
  </w:style>
  <w:style w:type="paragraph" w:customStyle="1" w:styleId="326">
    <w:name w:val="TOC 标题1"/>
    <w:basedOn w:val="2"/>
    <w:next w:val="1"/>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27">
    <w:name w:val="p18"/>
    <w:basedOn w:val="1"/>
    <w:uiPriority w:val="0"/>
    <w:pPr>
      <w:widowControl/>
      <w:spacing w:afterLines="100"/>
      <w:ind w:left="1134"/>
      <w:jc w:val="center"/>
    </w:pPr>
    <w:rPr>
      <w:kern w:val="0"/>
      <w:sz w:val="18"/>
      <w:szCs w:val="18"/>
    </w:rPr>
  </w:style>
  <w:style w:type="paragraph" w:customStyle="1" w:styleId="328">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29">
    <w:name w:val="xl8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30">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31">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332">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33">
    <w:name w:val="font6"/>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334">
    <w:name w:val="xl9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35">
    <w:name w:val="项目正文"/>
    <w:basedOn w:val="1"/>
    <w:uiPriority w:val="0"/>
    <w:pPr>
      <w:ind w:left="420" w:hanging="420"/>
    </w:pPr>
    <w:rPr>
      <w:sz w:val="28"/>
      <w:szCs w:val="20"/>
    </w:rPr>
  </w:style>
  <w:style w:type="paragraph" w:customStyle="1" w:styleId="336">
    <w:name w:val="样式 宋体 小四 段前: 7.8 磅 段后: 7.8 磅 行距: 1.5 倍行距"/>
    <w:basedOn w:val="1"/>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37">
    <w:name w:val="List Paragraph"/>
    <w:basedOn w:val="1"/>
    <w:qFormat/>
    <w:uiPriority w:val="34"/>
    <w:pPr>
      <w:ind w:firstLine="420" w:firstLineChars="200"/>
    </w:pPr>
  </w:style>
  <w:style w:type="paragraph" w:customStyle="1" w:styleId="338">
    <w:name w:val="È±Ê¡ÎÄ±¾"/>
    <w:basedOn w:val="1"/>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339">
    <w:name w:val="xl9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0">
    <w:name w:val="xl10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1">
    <w:name w:val="Char Char1 Char1"/>
    <w:basedOn w:val="1"/>
    <w:uiPriority w:val="0"/>
    <w:pPr>
      <w:widowControl/>
      <w:spacing w:after="160" w:line="240" w:lineRule="exact"/>
      <w:jc w:val="left"/>
    </w:pPr>
    <w:rPr>
      <w:rFonts w:ascii="Verdana" w:hAnsi="Verdana" w:eastAsia="Times New Roman"/>
      <w:kern w:val="0"/>
      <w:sz w:val="24"/>
      <w:szCs w:val="20"/>
      <w:lang w:eastAsia="en-US"/>
    </w:rPr>
  </w:style>
  <w:style w:type="paragraph" w:customStyle="1" w:styleId="342">
    <w:name w:val="xl9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3">
    <w:name w:val="正文文本缩进 21"/>
    <w:basedOn w:val="1"/>
    <w:uiPriority w:val="0"/>
    <w:pPr>
      <w:autoSpaceDE w:val="0"/>
      <w:autoSpaceDN w:val="0"/>
      <w:adjustRightInd w:val="0"/>
      <w:spacing w:line="360" w:lineRule="auto"/>
      <w:ind w:firstLine="540" w:firstLineChars="200"/>
      <w:textAlignment w:val="baseline"/>
    </w:pPr>
    <w:rPr>
      <w:sz w:val="24"/>
      <w:szCs w:val="20"/>
    </w:rPr>
  </w:style>
  <w:style w:type="paragraph" w:customStyle="1" w:styleId="344">
    <w:name w:val="xl10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5">
    <w:name w:val="xl8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6">
    <w:name w:val="xl8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47">
    <w:name w:val="列出段落1"/>
    <w:basedOn w:val="1"/>
    <w:uiPriority w:val="0"/>
    <w:pPr>
      <w:spacing w:line="360" w:lineRule="auto"/>
      <w:ind w:firstLine="420" w:firstLineChars="200"/>
    </w:pPr>
    <w:rPr>
      <w:rFonts w:ascii="宋体" w:hAnsi="宋体"/>
      <w:sz w:val="24"/>
    </w:rPr>
  </w:style>
  <w:style w:type="paragraph" w:customStyle="1" w:styleId="348">
    <w:name w:val="Char Char Char Char Char Char"/>
    <w:basedOn w:val="1"/>
    <w:uiPriority w:val="0"/>
    <w:pPr>
      <w:ind w:firstLine="200" w:firstLineChars="200"/>
    </w:pPr>
    <w:rPr>
      <w:szCs w:val="20"/>
    </w:rPr>
  </w:style>
  <w:style w:type="paragraph" w:customStyle="1" w:styleId="349">
    <w:name w:val="简单回函地址"/>
    <w:basedOn w:val="1"/>
    <w:uiPriority w:val="0"/>
    <w:rPr>
      <w:szCs w:val="20"/>
    </w:rPr>
  </w:style>
  <w:style w:type="paragraph" w:customStyle="1" w:styleId="350">
    <w:name w:val="正文缩进2"/>
    <w:basedOn w:val="1"/>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51">
    <w:name w:val="Default"/>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352">
    <w:name w:val="xl10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53">
    <w:name w:val="p0"/>
    <w:basedOn w:val="1"/>
    <w:uiPriority w:val="0"/>
    <w:pPr>
      <w:widowControl/>
      <w:jc w:val="left"/>
    </w:pPr>
    <w:rPr>
      <w:rFonts w:ascii="宋体" w:hAnsi="宋体"/>
      <w:kern w:val="0"/>
      <w:sz w:val="20"/>
      <w:szCs w:val="20"/>
    </w:rPr>
  </w:style>
  <w:style w:type="paragraph" w:customStyle="1" w:styleId="354">
    <w:name w:val="xl76"/>
    <w:basedOn w:val="1"/>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55">
    <w:name w:val="xl11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56">
    <w:name w:val="Char"/>
    <w:basedOn w:val="1"/>
    <w:uiPriority w:val="0"/>
    <w:rPr>
      <w:rFonts w:ascii="仿宋_GB2312" w:eastAsia="仿宋_GB2312"/>
      <w:b/>
      <w:sz w:val="32"/>
      <w:szCs w:val="32"/>
    </w:rPr>
  </w:style>
  <w:style w:type="paragraph" w:customStyle="1" w:styleId="357">
    <w:name w:val="contentnoteheader"/>
    <w:basedOn w:val="1"/>
    <w:uiPriority w:val="0"/>
    <w:pPr>
      <w:widowControl/>
      <w:spacing w:before="30" w:after="100" w:afterAutospacing="1"/>
      <w:ind w:left="90"/>
      <w:jc w:val="left"/>
    </w:pPr>
    <w:rPr>
      <w:rFonts w:ascii="宋体" w:hAnsi="宋体"/>
      <w:b/>
      <w:bCs/>
      <w:color w:val="990000"/>
      <w:kern w:val="0"/>
      <w:sz w:val="18"/>
      <w:szCs w:val="18"/>
    </w:rPr>
  </w:style>
  <w:style w:type="paragraph" w:customStyle="1" w:styleId="358">
    <w:name w:val="正文符号1"/>
    <w:basedOn w:val="266"/>
    <w:uiPriority w:val="0"/>
    <w:pPr>
      <w:tabs>
        <w:tab w:val="left" w:pos="1080"/>
      </w:tabs>
      <w:ind w:left="1134" w:firstLine="0" w:firstLineChars="0"/>
    </w:pPr>
  </w:style>
  <w:style w:type="paragraph" w:customStyle="1" w:styleId="359">
    <w:name w:val="xl77"/>
    <w:basedOn w:val="1"/>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360">
    <w:name w:val="xl8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1">
    <w:name w:val="xl10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2">
    <w:name w:val="Table Text"/>
    <w:basedOn w:val="1"/>
    <w:uiPriority w:val="0"/>
    <w:rPr>
      <w:sz w:val="18"/>
    </w:rPr>
  </w:style>
  <w:style w:type="paragraph" w:customStyle="1" w:styleId="363">
    <w:name w:val="样式1"/>
    <w:basedOn w:val="1"/>
    <w:uiPriority w:val="0"/>
    <w:pPr>
      <w:adjustRightInd w:val="0"/>
      <w:snapToGrid w:val="0"/>
      <w:spacing w:line="360" w:lineRule="auto"/>
      <w:ind w:left="315" w:leftChars="150" w:firstLine="480" w:firstLineChars="200"/>
      <w:textAlignment w:val="baseline"/>
    </w:pPr>
    <w:rPr>
      <w:sz w:val="24"/>
      <w:szCs w:val="20"/>
    </w:rPr>
  </w:style>
  <w:style w:type="paragraph" w:customStyle="1" w:styleId="364">
    <w:name w:val="xl8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5">
    <w:name w:val="xl26"/>
    <w:basedOn w:val="1"/>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66">
    <w:name w:val="xl11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7">
    <w:name w:val="方案正文"/>
    <w:basedOn w:val="1"/>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68">
    <w:name w:val="xl11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9">
    <w:name w:val="列项——"/>
    <w:uiPriority w:val="0"/>
    <w:pPr>
      <w:widowControl w:val="0"/>
      <w:tabs>
        <w:tab w:val="left" w:pos="854"/>
      </w:tabs>
      <w:ind w:left="200" w:leftChars="200" w:hanging="200" w:hangingChars="200"/>
      <w:jc w:val="both"/>
    </w:pPr>
    <w:rPr>
      <w:rFonts w:ascii="宋体"/>
      <w:sz w:val="21"/>
      <w:lang w:val="en-US" w:eastAsia="zh-CN" w:bidi="ar-SA"/>
    </w:rPr>
  </w:style>
  <w:style w:type="paragraph" w:customStyle="1" w:styleId="370">
    <w:name w:val="正文ok"/>
    <w:qFormat/>
    <w:uiPriority w:val="0"/>
    <w:pPr>
      <w:spacing w:line="360" w:lineRule="auto"/>
      <w:ind w:firstLine="200" w:firstLineChars="200"/>
    </w:pPr>
    <w:rPr>
      <w:rFonts w:ascii="宋体" w:cs="宋体"/>
      <w:sz w:val="24"/>
      <w:szCs w:val="24"/>
      <w:lang w:val="en-US" w:eastAsia="zh-CN" w:bidi="ar-SA"/>
    </w:rPr>
  </w:style>
  <w:style w:type="paragraph" w:customStyle="1" w:styleId="371">
    <w:name w:val="5"/>
    <w:uiPriority w:val="0"/>
    <w:rPr>
      <w:kern w:val="2"/>
      <w:sz w:val="21"/>
      <w:szCs w:val="22"/>
      <w:lang w:val="en-US" w:eastAsia="zh-CN" w:bidi="ar-SA"/>
    </w:rPr>
  </w:style>
  <w:style w:type="paragraph" w:customStyle="1" w:styleId="372">
    <w:name w:val="itemlistintable"/>
    <w:basedOn w:val="1"/>
    <w:uiPriority w:val="0"/>
    <w:pPr>
      <w:widowControl/>
      <w:spacing w:before="100" w:beforeAutospacing="1" w:after="100" w:afterAutospacing="1"/>
      <w:jc w:val="left"/>
    </w:pPr>
    <w:rPr>
      <w:rFonts w:ascii="宋体" w:hAnsi="宋体" w:cs="宋体"/>
      <w:kern w:val="0"/>
      <w:sz w:val="24"/>
    </w:rPr>
  </w:style>
  <w:style w:type="paragraph" w:customStyle="1" w:styleId="373">
    <w:name w:val="次小点说明"/>
    <w:basedOn w:val="13"/>
    <w:uiPriority w:val="0"/>
    <w:pPr>
      <w:tabs>
        <w:tab w:val="left" w:pos="720"/>
      </w:tabs>
      <w:spacing w:line="360" w:lineRule="auto"/>
      <w:ind w:left="777" w:hanging="417"/>
    </w:pPr>
    <w:rPr>
      <w:sz w:val="24"/>
    </w:rPr>
  </w:style>
  <w:style w:type="paragraph" w:customStyle="1" w:styleId="374">
    <w:name w:val="正文文本2"/>
    <w:basedOn w:val="1"/>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75">
    <w:name w:val="xl8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6">
    <w:name w:val="样式7"/>
    <w:basedOn w:val="1"/>
    <w:uiPriority w:val="0"/>
    <w:pPr>
      <w:spacing w:beforeLines="30" w:afterLines="30" w:line="480" w:lineRule="exact"/>
      <w:ind w:left="840" w:leftChars="400" w:firstLine="480" w:firstLineChars="200"/>
    </w:pPr>
    <w:rPr>
      <w:rFonts w:cs="宋体"/>
      <w:sz w:val="24"/>
    </w:rPr>
  </w:style>
  <w:style w:type="paragraph" w:customStyle="1" w:styleId="377">
    <w:name w:val="段"/>
    <w:uiPriority w:val="0"/>
    <w:pPr>
      <w:autoSpaceDE w:val="0"/>
      <w:autoSpaceDN w:val="0"/>
      <w:ind w:firstLine="200" w:firstLineChars="200"/>
      <w:jc w:val="both"/>
    </w:pPr>
    <w:rPr>
      <w:rFonts w:ascii="宋体"/>
      <w:sz w:val="21"/>
      <w:lang w:val="en-US" w:eastAsia="zh-CN" w:bidi="ar-SA"/>
    </w:rPr>
  </w:style>
  <w:style w:type="paragraph" w:customStyle="1" w:styleId="378">
    <w:name w:val="样式 楷体_GB2312 小四 Char Char Char Char Char Char Char Char Char Char Char Char"/>
    <w:basedOn w:val="1"/>
    <w:next w:val="1"/>
    <w:uiPriority w:val="0"/>
    <w:pPr>
      <w:spacing w:line="360" w:lineRule="auto"/>
    </w:pPr>
    <w:rPr>
      <w:rFonts w:ascii="楷体_GB2312" w:eastAsia="楷体_GB2312"/>
      <w:sz w:val="24"/>
    </w:rPr>
  </w:style>
  <w:style w:type="paragraph" w:customStyle="1" w:styleId="379">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80">
    <w:name w:val="样式23"/>
    <w:basedOn w:val="251"/>
    <w:uiPriority w:val="0"/>
    <w:pPr>
      <w:adjustRightInd w:val="0"/>
      <w:snapToGrid w:val="0"/>
      <w:spacing w:after="0" w:line="240" w:lineRule="auto"/>
    </w:pPr>
    <w:rPr>
      <w:szCs w:val="20"/>
    </w:rPr>
  </w:style>
  <w:style w:type="paragraph" w:customStyle="1" w:styleId="381">
    <w:name w:val="a"/>
    <w:basedOn w:val="1"/>
    <w:uiPriority w:val="0"/>
    <w:pPr>
      <w:widowControl/>
      <w:spacing w:before="100" w:beforeAutospacing="1" w:after="100" w:afterAutospacing="1"/>
      <w:jc w:val="left"/>
    </w:pPr>
    <w:rPr>
      <w:rFonts w:ascii="宋体" w:hAnsi="宋体" w:cs="宋体"/>
      <w:kern w:val="0"/>
      <w:sz w:val="24"/>
    </w:rPr>
  </w:style>
  <w:style w:type="paragraph" w:customStyle="1" w:styleId="382">
    <w:name w:val="样式 标题 2H2子系统子系统1子系统2子系统3子系统4子系统11子系统21子系统31子系统5子系统12...1"/>
    <w:basedOn w:val="3"/>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lang w:val="en-US" w:eastAsia="zh-CN"/>
    </w:rPr>
  </w:style>
  <w:style w:type="paragraph" w:customStyle="1" w:styleId="383">
    <w:name w:val="Char Char11"/>
    <w:basedOn w:val="1"/>
    <w:uiPriority w:val="0"/>
    <w:pPr>
      <w:widowControl/>
      <w:jc w:val="left"/>
    </w:pPr>
    <w:rPr>
      <w:sz w:val="36"/>
    </w:rPr>
  </w:style>
  <w:style w:type="paragraph" w:customStyle="1" w:styleId="384">
    <w:name w:val="xl80"/>
    <w:basedOn w:val="1"/>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385">
    <w:name w:val="Char2"/>
    <w:basedOn w:val="1"/>
    <w:uiPriority w:val="0"/>
    <w:pPr>
      <w:spacing w:line="240" w:lineRule="atLeast"/>
      <w:ind w:left="420" w:firstLine="420"/>
    </w:pPr>
  </w:style>
  <w:style w:type="paragraph" w:customStyle="1" w:styleId="386">
    <w:name w:val="xl10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87">
    <w:name w:val="默认段落字体 Para Char Char Char Char"/>
    <w:basedOn w:val="1"/>
    <w:uiPriority w:val="0"/>
    <w:pPr>
      <w:adjustRightInd w:val="0"/>
      <w:spacing w:line="360" w:lineRule="auto"/>
      <w:ind w:firstLine="1680" w:firstLineChars="200"/>
    </w:pPr>
    <w:rPr>
      <w:kern w:val="0"/>
      <w:sz w:val="24"/>
      <w:szCs w:val="20"/>
    </w:rPr>
  </w:style>
  <w:style w:type="paragraph" w:customStyle="1" w:styleId="388">
    <w:name w:val="È±Ê¡ÎÄ±¾:1"/>
    <w:basedOn w:val="1"/>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389">
    <w:name w:val="xl11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90">
    <w:name w:val="xl10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91">
    <w:name w:val="font5"/>
    <w:basedOn w:val="1"/>
    <w:uiPriority w:val="0"/>
    <w:pPr>
      <w:widowControl/>
      <w:spacing w:before="100" w:beforeAutospacing="1" w:after="100" w:afterAutospacing="1"/>
      <w:jc w:val="left"/>
    </w:pPr>
    <w:rPr>
      <w:rFonts w:hint="eastAsia" w:ascii="宋体" w:hAnsi="宋体" w:cs="Arial Unicode MS"/>
      <w:kern w:val="0"/>
      <w:sz w:val="18"/>
      <w:szCs w:val="18"/>
    </w:rPr>
  </w:style>
  <w:style w:type="table" w:customStyle="1" w:styleId="392">
    <w:name w:val="网格型1"/>
    <w:basedOn w:val="48"/>
    <w:unhideWhenUsed/>
    <w:uiPriority w:val="99"/>
    <w:pPr>
      <w:widowControl w:val="0"/>
      <w:jc w:val="both"/>
    </w:pPr>
    <w:tblPr>
      <w:tblStyle w:val="4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footer5.xml" Type="http://schemas.openxmlformats.org/officeDocument/2006/relationships/footer"/><Relationship Id="rId12" Target="footer6.xml" Type="http://schemas.openxmlformats.org/officeDocument/2006/relationships/footer"/><Relationship Id="rId13" Target="footer7.xml" Type="http://schemas.openxmlformats.org/officeDocument/2006/relationships/footer"/><Relationship Id="rId14" Target="footer8.xml" Type="http://schemas.openxmlformats.org/officeDocument/2006/relationships/footer"/><Relationship Id="rId15" Target="theme/theme1.xml" Type="http://schemas.openxmlformats.org/officeDocument/2006/relationships/theme"/><Relationship Id="rId16" Target="../customXml/item1.xml" Type="http://schemas.openxmlformats.org/officeDocument/2006/relationships/customXml"/><Relationship Id="rId17" Target="numbering.xml" Type="http://schemas.openxmlformats.org/officeDocument/2006/relationships/numbering"/><Relationship Id="rId18"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162</Pages>
  <Words>20895</Words>
  <Characters>119108</Characters>
  <Lines>992</Lines>
  <Paragraphs>279</Paragraphs>
  <TotalTime>3</TotalTime>
  <ScaleCrop>false</ScaleCrop>
  <LinksUpToDate>false</LinksUpToDate>
  <CharactersWithSpaces>139724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2021-11-16T04:50:00Z</dcterms:created>
  <dc:creator>Sky123.Org</dc:creator>
  <cp:lastModifiedBy>WPS_1701756769</cp:lastModifiedBy>
  <cp:lastPrinted>2021-11-22T08:39:37Z</cp:lastPrinted>
  <dcterms:modified xsi:type="dcterms:W3CDTF">2024-02-26T01:41:01Z</dcterms:modified>
  <cp:revision>2</cp:revision>
  <dc:title>临海市政府采购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674998965EA34873A0F93342D265618C_13</vt:lpwstr>
  </property>
</Properties>
</file>