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p>
    <w:p>
      <w:pPr>
        <w:adjustRightInd/>
        <w:spacing w:line="360" w:lineRule="auto"/>
        <w:jc w:val="center"/>
        <w:rPr>
          <w:rFonts w:ascii="宋体" w:hAnsi="宋体" w:cs="宋体"/>
          <w:b/>
          <w:sz w:val="44"/>
          <w:szCs w:val="44"/>
          <w:highlight w:val="none"/>
        </w:rPr>
      </w:pPr>
    </w:p>
    <w:p>
      <w:pPr>
        <w:spacing w:line="360" w:lineRule="auto"/>
        <w:jc w:val="center"/>
        <w:rPr>
          <w:rFonts w:ascii="宋体" w:hAnsi="宋体" w:cs="宋体"/>
          <w:b/>
          <w:sz w:val="44"/>
          <w:szCs w:val="44"/>
          <w:highlight w:val="none"/>
        </w:rPr>
      </w:pPr>
    </w:p>
    <w:p>
      <w:pPr>
        <w:adjustRightInd/>
        <w:spacing w:line="360" w:lineRule="auto"/>
        <w:jc w:val="center"/>
        <w:rPr>
          <w:rFonts w:ascii="宋体" w:hAnsi="宋体" w:cs="宋体"/>
          <w:b w:val="0"/>
          <w:bCs/>
          <w:sz w:val="48"/>
          <w:szCs w:val="48"/>
          <w:highlight w:val="none"/>
        </w:rPr>
      </w:pPr>
    </w:p>
    <w:p>
      <w:pPr>
        <w:adjustRightInd/>
        <w:spacing w:line="360" w:lineRule="auto"/>
        <w:jc w:val="center"/>
        <w:rPr>
          <w:rFonts w:hint="eastAsia" w:ascii="宋体" w:hAnsi="宋体" w:eastAsia="宋体" w:cs="宋体"/>
          <w:b/>
          <w:bCs w:val="0"/>
          <w:sz w:val="48"/>
          <w:szCs w:val="48"/>
          <w:highlight w:val="none"/>
          <w:lang w:eastAsia="zh-CN"/>
        </w:rPr>
      </w:pPr>
      <w:r>
        <w:rPr>
          <w:rFonts w:hint="eastAsia" w:ascii="宋体" w:hAnsi="宋体" w:cs="宋体"/>
          <w:b/>
          <w:bCs w:val="0"/>
          <w:sz w:val="48"/>
          <w:szCs w:val="48"/>
          <w:highlight w:val="none"/>
          <w:lang w:eastAsia="zh-CN"/>
        </w:rPr>
        <w:t>杭州市西湖区电子政务整体安全体系改造提升（2022）项目</w:t>
      </w:r>
    </w:p>
    <w:p>
      <w:pPr>
        <w:pStyle w:val="3"/>
        <w:rPr>
          <w:rFonts w:hint="eastAsia"/>
          <w:highlight w:val="none"/>
        </w:rPr>
      </w:pPr>
    </w:p>
    <w:p>
      <w:pPr>
        <w:adjustRightInd/>
        <w:spacing w:line="360" w:lineRule="auto"/>
        <w:jc w:val="center"/>
        <w:rPr>
          <w:rFonts w:hint="eastAsia" w:ascii="宋体" w:hAnsi="宋体" w:eastAsia="宋体" w:cs="宋体"/>
          <w:sz w:val="48"/>
          <w:szCs w:val="48"/>
          <w:highlight w:val="none"/>
          <w:lang w:eastAsia="zh-CN"/>
        </w:rPr>
      </w:pPr>
      <w:r>
        <w:rPr>
          <w:rFonts w:hint="eastAsia" w:ascii="宋体" w:hAnsi="宋体" w:cs="宋体"/>
          <w:sz w:val="48"/>
          <w:szCs w:val="48"/>
          <w:highlight w:val="none"/>
        </w:rPr>
        <w:t xml:space="preserve">招标文件 </w:t>
      </w:r>
    </w:p>
    <w:p>
      <w:pPr>
        <w:adjustRightInd/>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（电子招投标）</w:t>
      </w:r>
    </w:p>
    <w:p>
      <w:pPr>
        <w:snapToGrid w:val="0"/>
        <w:spacing w:line="360" w:lineRule="auto"/>
        <w:jc w:val="center"/>
        <w:rPr>
          <w:rFonts w:hint="default" w:ascii="宋体" w:hAnsi="宋体" w:cs="宋体"/>
          <w:sz w:val="30"/>
          <w:szCs w:val="30"/>
          <w:highlight w:val="none"/>
          <w:lang w:val="en-US"/>
        </w:rPr>
      </w:pPr>
      <w:r>
        <w:rPr>
          <w:rFonts w:hint="eastAsia" w:ascii="宋体" w:hAnsi="宋体" w:cs="宋体"/>
          <w:sz w:val="30"/>
          <w:szCs w:val="30"/>
          <w:highlight w:val="none"/>
        </w:rPr>
        <w:t>编号:</w:t>
      </w:r>
      <w:r>
        <w:rPr>
          <w:rFonts w:hint="default" w:ascii="宋体" w:hAnsi="宋体" w:cs="宋体"/>
          <w:sz w:val="30"/>
          <w:szCs w:val="30"/>
          <w:highlight w:val="none"/>
          <w:lang w:val="en-US"/>
        </w:rPr>
        <w:t>XHZFCG-2022-G-42</w:t>
      </w:r>
    </w:p>
    <w:p>
      <w:pPr>
        <w:adjustRightInd/>
        <w:spacing w:line="360" w:lineRule="auto"/>
        <w:rPr>
          <w:rFonts w:ascii="宋体" w:hAnsi="宋体" w:cs="宋体"/>
          <w:sz w:val="28"/>
          <w:szCs w:val="20"/>
          <w:highlight w:val="none"/>
        </w:rPr>
      </w:pPr>
    </w:p>
    <w:p>
      <w:pPr>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w:t>
      </w:r>
    </w:p>
    <w:p>
      <w:pPr>
        <w:spacing w:line="360" w:lineRule="auto"/>
        <w:jc w:val="center"/>
        <w:rPr>
          <w:rFonts w:ascii="宋体" w:hAnsi="宋体" w:cs="宋体"/>
          <w:b/>
          <w:sz w:val="44"/>
          <w:szCs w:val="44"/>
          <w:highlight w:val="none"/>
        </w:rPr>
      </w:pPr>
    </w:p>
    <w:p>
      <w:pPr>
        <w:spacing w:line="360" w:lineRule="auto"/>
        <w:jc w:val="center"/>
        <w:rPr>
          <w:rFonts w:ascii="宋体" w:hAnsi="宋体" w:cs="宋体"/>
          <w:sz w:val="24"/>
          <w:highlight w:val="none"/>
        </w:rPr>
      </w:pPr>
    </w:p>
    <w:p>
      <w:pPr>
        <w:spacing w:line="360" w:lineRule="auto"/>
        <w:jc w:val="center"/>
        <w:rPr>
          <w:rFonts w:ascii="宋体" w:hAnsi="宋体" w:cs="宋体"/>
          <w:sz w:val="24"/>
          <w:highlight w:val="none"/>
        </w:rPr>
      </w:pPr>
    </w:p>
    <w:p>
      <w:pPr>
        <w:spacing w:line="360" w:lineRule="auto"/>
        <w:rPr>
          <w:rFonts w:ascii="宋体" w:hAnsi="宋体" w:cs="宋体"/>
          <w:sz w:val="32"/>
          <w:szCs w:val="32"/>
          <w:highlight w:val="none"/>
        </w:rPr>
      </w:pPr>
    </w:p>
    <w:p>
      <w:pPr>
        <w:snapToGrid w:val="0"/>
        <w:spacing w:line="360" w:lineRule="auto"/>
        <w:jc w:val="center"/>
        <w:rPr>
          <w:rFonts w:hint="eastAsia" w:ascii="宋体" w:hAnsi="宋体" w:eastAsia="宋体" w:cs="宋体"/>
          <w:sz w:val="32"/>
          <w:szCs w:val="32"/>
          <w:highlight w:val="none"/>
          <w:lang w:eastAsia="zh-CN"/>
        </w:rPr>
      </w:pPr>
      <w:r>
        <w:rPr>
          <w:rFonts w:hint="eastAsia" w:ascii="宋体" w:hAnsi="宋体" w:cs="宋体"/>
          <w:sz w:val="32"/>
          <w:szCs w:val="32"/>
          <w:highlight w:val="none"/>
          <w:lang w:eastAsia="zh-CN"/>
        </w:rPr>
        <w:t>杭州市西湖区数据资源管理局</w:t>
      </w:r>
    </w:p>
    <w:p>
      <w:pPr>
        <w:spacing w:line="360" w:lineRule="auto"/>
        <w:jc w:val="center"/>
        <w:rPr>
          <w:rFonts w:hint="eastAsia" w:ascii="宋体" w:hAnsi="宋体" w:eastAsia="宋体" w:cs="宋体"/>
          <w:bCs/>
          <w:sz w:val="32"/>
          <w:szCs w:val="32"/>
          <w:highlight w:val="none"/>
          <w:lang w:eastAsia="zh-CN"/>
        </w:rPr>
      </w:pPr>
      <w:r>
        <w:rPr>
          <w:rFonts w:hint="eastAsia" w:ascii="宋体" w:hAnsi="宋体" w:cs="宋体"/>
          <w:bCs/>
          <w:sz w:val="32"/>
          <w:szCs w:val="32"/>
          <w:highlight w:val="none"/>
          <w:lang w:eastAsia="zh-CN"/>
        </w:rPr>
        <w:t>杭州市西湖区政府采购中心</w:t>
      </w:r>
    </w:p>
    <w:p>
      <w:pPr>
        <w:snapToGrid w:val="0"/>
        <w:spacing w:line="360" w:lineRule="auto"/>
        <w:jc w:val="center"/>
        <w:rPr>
          <w:rFonts w:ascii="宋体" w:hAnsi="宋体" w:cs="宋体"/>
          <w:bCs/>
          <w:sz w:val="32"/>
          <w:szCs w:val="32"/>
          <w:highlight w:val="none"/>
        </w:rPr>
      </w:pPr>
      <w:r>
        <w:rPr>
          <w:rFonts w:hint="eastAsia" w:ascii="宋体" w:hAnsi="宋体" w:cs="宋体"/>
          <w:bCs/>
          <w:sz w:val="32"/>
          <w:szCs w:val="32"/>
          <w:highlight w:val="none"/>
        </w:rPr>
        <w:t>二〇二</w:t>
      </w:r>
      <w:r>
        <w:rPr>
          <w:rFonts w:hint="eastAsia" w:ascii="宋体" w:hAnsi="宋体" w:cs="宋体"/>
          <w:bCs/>
          <w:sz w:val="32"/>
          <w:szCs w:val="32"/>
          <w:highlight w:val="none"/>
          <w:lang w:eastAsia="zh-CN"/>
        </w:rPr>
        <w:t>二</w:t>
      </w:r>
      <w:r>
        <w:rPr>
          <w:rFonts w:hint="eastAsia" w:ascii="宋体" w:hAnsi="宋体" w:cs="宋体"/>
          <w:bCs/>
          <w:sz w:val="32"/>
          <w:szCs w:val="32"/>
          <w:highlight w:val="none"/>
        </w:rPr>
        <w:t>年</w:t>
      </w:r>
      <w:r>
        <w:rPr>
          <w:rFonts w:hint="eastAsia" w:ascii="宋体" w:hAnsi="宋体" w:cs="宋体"/>
          <w:bCs/>
          <w:sz w:val="32"/>
          <w:szCs w:val="32"/>
          <w:highlight w:val="none"/>
          <w:lang w:eastAsia="zh-CN"/>
        </w:rPr>
        <w:t>八</w:t>
      </w:r>
      <w:r>
        <w:rPr>
          <w:rFonts w:hint="eastAsia" w:ascii="宋体" w:hAnsi="宋体" w:cs="宋体"/>
          <w:bCs/>
          <w:sz w:val="32"/>
          <w:szCs w:val="32"/>
          <w:highlight w:val="none"/>
        </w:rPr>
        <w:t>月</w:t>
      </w:r>
      <w:r>
        <w:rPr>
          <w:rFonts w:hint="eastAsia" w:ascii="宋体" w:hAnsi="宋体" w:cs="宋体"/>
          <w:bCs/>
          <w:sz w:val="32"/>
          <w:szCs w:val="32"/>
          <w:highlight w:val="none"/>
          <w:lang w:val="en-US" w:eastAsia="zh-CN"/>
        </w:rPr>
        <w:t>二十三</w:t>
      </w:r>
      <w:r>
        <w:rPr>
          <w:rFonts w:hint="eastAsia" w:ascii="宋体" w:hAnsi="宋体" w:cs="宋体"/>
          <w:bCs/>
          <w:sz w:val="32"/>
          <w:szCs w:val="32"/>
          <w:highlight w:val="none"/>
        </w:rPr>
        <w:t>日</w:t>
      </w:r>
    </w:p>
    <w:p>
      <w:pPr>
        <w:spacing w:line="360" w:lineRule="auto"/>
        <w:jc w:val="center"/>
        <w:rPr>
          <w:rFonts w:ascii="宋体" w:hAnsi="宋体" w:cs="宋体"/>
          <w:sz w:val="24"/>
          <w:highlight w:val="none"/>
        </w:rPr>
      </w:pPr>
      <w:r>
        <w:rPr>
          <w:rFonts w:hint="eastAsia" w:ascii="宋体" w:hAnsi="宋体" w:cs="宋体"/>
          <w:sz w:val="24"/>
          <w:highlight w:val="none"/>
        </w:rPr>
        <w:br w:type="page"/>
      </w:r>
      <w:bookmarkStart w:id="0" w:name="_Hlt67893495"/>
      <w:bookmarkEnd w:id="0"/>
    </w:p>
    <w:p>
      <w:pPr>
        <w:spacing w:line="360" w:lineRule="auto"/>
        <w:jc w:val="center"/>
        <w:rPr>
          <w:rFonts w:ascii="宋体" w:hAnsi="宋体" w:cs="宋体"/>
          <w:sz w:val="24"/>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目  录</w:t>
      </w:r>
    </w:p>
    <w:p>
      <w:pPr>
        <w:spacing w:line="360" w:lineRule="auto"/>
        <w:rPr>
          <w:rFonts w:ascii="宋体" w:hAnsi="宋体" w:cs="宋体"/>
          <w:sz w:val="32"/>
          <w:szCs w:val="32"/>
          <w:highlight w:val="none"/>
        </w:rPr>
      </w:pPr>
    </w:p>
    <w:p>
      <w:pPr>
        <w:spacing w:line="360" w:lineRule="auto"/>
        <w:rPr>
          <w:rFonts w:ascii="宋体" w:hAnsi="宋体" w:cs="宋体"/>
          <w:sz w:val="32"/>
          <w:szCs w:val="32"/>
          <w:highlight w:val="none"/>
        </w:rPr>
      </w:pP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第一部分      招标公告</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第二部分      投标人须知</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第三部分      采购需求</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第四部分      评标办法</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第五部分      拟签订的合同文本</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第六部分      应提交的有关格式范例</w:t>
      </w:r>
    </w:p>
    <w:p>
      <w:pPr>
        <w:spacing w:line="360" w:lineRule="auto"/>
        <w:ind w:firstLine="549" w:firstLineChars="229"/>
        <w:rPr>
          <w:rFonts w:ascii="宋体" w:hAnsi="宋体" w:cs="宋体"/>
          <w:sz w:val="24"/>
          <w:highlight w:val="none"/>
        </w:rPr>
      </w:pPr>
      <w:bookmarkStart w:id="1" w:name="_Hlt91233176"/>
      <w:bookmarkEnd w:id="1"/>
      <w:bookmarkStart w:id="2" w:name="_Toc91899869"/>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rPr>
          <w:rFonts w:ascii="宋体" w:hAnsi="宋体" w:cs="宋体"/>
          <w:sz w:val="24"/>
          <w:highlight w:val="none"/>
        </w:rPr>
      </w:pPr>
    </w:p>
    <w:p>
      <w:pPr>
        <w:adjustRightInd/>
        <w:spacing w:line="360" w:lineRule="auto"/>
        <w:jc w:val="center"/>
        <w:outlineLvl w:val="0"/>
        <w:rPr>
          <w:rFonts w:ascii="宋体" w:hAnsi="宋体" w:cs="宋体"/>
          <w:b/>
          <w:sz w:val="36"/>
          <w:szCs w:val="20"/>
          <w:highlight w:val="none"/>
        </w:rPr>
      </w:pPr>
      <w:bookmarkStart w:id="3" w:name="第一部分"/>
      <w:r>
        <w:rPr>
          <w:rFonts w:hint="eastAsia" w:ascii="宋体" w:hAnsi="宋体" w:cs="宋体"/>
          <w:b/>
          <w:sz w:val="36"/>
          <w:szCs w:val="36"/>
          <w:highlight w:val="none"/>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highlight w:val="none"/>
          <w:u w:val="single"/>
          <w:lang w:eastAsia="zh-CN"/>
        </w:rPr>
        <w:t>杭州市西湖区电子政务整体安全体系改造提升（2022）项目</w:t>
      </w:r>
      <w:r>
        <w:rPr>
          <w:rFonts w:hint="eastAsia" w:ascii="宋体" w:hAnsi="宋体" w:cs="宋体"/>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Fonts w:hint="eastAsia" w:ascii="宋体" w:hAnsi="宋体" w:cs="宋体"/>
          <w:sz w:val="24"/>
          <w:highlight w:val="none"/>
          <w:u w:val="single"/>
        </w:rPr>
        <w:t>20</w:t>
      </w:r>
      <w:r>
        <w:rPr>
          <w:rFonts w:hint="default" w:ascii="宋体" w:hAnsi="宋体" w:cs="宋体"/>
          <w:sz w:val="24"/>
          <w:highlight w:val="none"/>
          <w:u w:val="single"/>
          <w:lang w:val="en-US"/>
        </w:rPr>
        <w:t>22</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9</w:t>
      </w:r>
      <w:r>
        <w:rPr>
          <w:rFonts w:hint="eastAsia" w:ascii="宋体" w:hAnsi="宋体" w:cs="宋体"/>
          <w:sz w:val="24"/>
          <w:highlight w:val="none"/>
          <w:u w:val="single"/>
        </w:rPr>
        <w:t>月</w:t>
      </w:r>
      <w:r>
        <w:rPr>
          <w:rFonts w:hint="default" w:ascii="宋体" w:hAnsi="宋体" w:cs="宋体"/>
          <w:sz w:val="24"/>
          <w:highlight w:val="none"/>
          <w:u w:val="single"/>
          <w:lang w:val="en-US"/>
        </w:rPr>
        <w:t>13</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00秒</w:t>
      </w:r>
      <w:r>
        <w:rPr>
          <w:rFonts w:hint="eastAsia" w:ascii="宋体" w:hAnsi="宋体" w:cs="宋体"/>
          <w:bCs/>
          <w:sz w:val="24"/>
          <w:highlight w:val="none"/>
          <w:u w:val="singl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highlight w:val="none"/>
        </w:rPr>
      </w:pPr>
      <w:r>
        <w:rPr>
          <w:rFonts w:hint="eastAsia" w:ascii="宋体" w:hAnsi="宋体" w:cs="宋体"/>
          <w:b/>
          <w:sz w:val="24"/>
          <w:highlight w:val="none"/>
        </w:rPr>
        <w:t xml:space="preserve">一、项目基本情况                                            </w:t>
      </w:r>
    </w:p>
    <w:p>
      <w:pPr>
        <w:spacing w:line="360" w:lineRule="auto"/>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b/>
          <w:sz w:val="24"/>
          <w:highlight w:val="none"/>
        </w:rPr>
        <w:t>项目编号：</w:t>
      </w:r>
      <w:r>
        <w:rPr>
          <w:rFonts w:hint="eastAsia" w:ascii="宋体" w:hAnsi="宋体" w:cs="宋体"/>
          <w:sz w:val="24"/>
          <w:highlight w:val="none"/>
        </w:rPr>
        <w:t>XHZFCG-2022-G-42</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 xml:space="preserve"> 项目名称：</w:t>
      </w:r>
      <w:r>
        <w:rPr>
          <w:rFonts w:hint="eastAsia" w:ascii="宋体" w:hAnsi="宋体" w:cs="宋体"/>
          <w:sz w:val="24"/>
          <w:highlight w:val="none"/>
          <w:lang w:eastAsia="zh-CN"/>
        </w:rPr>
        <w:t>杭州市西湖区电子政务整体安全体系改造提升（2022）项目</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w:t>
      </w:r>
      <w:r>
        <w:rPr>
          <w:rFonts w:hint="eastAsia" w:ascii="宋体" w:hAnsi="宋体" w:cs="宋体"/>
          <w:b/>
          <w:sz w:val="24"/>
          <w:highlight w:val="none"/>
        </w:rPr>
        <w:t xml:space="preserve"> 预算金额（元）：</w:t>
      </w:r>
      <w:r>
        <w:rPr>
          <w:rFonts w:hint="eastAsia" w:ascii="宋体" w:hAnsi="宋体" w:cs="宋体"/>
          <w:sz w:val="24"/>
          <w:highlight w:val="none"/>
        </w:rPr>
        <w:t xml:space="preserve">  </w:t>
      </w:r>
      <w:r>
        <w:rPr>
          <w:rFonts w:hint="eastAsia" w:ascii="宋体" w:hAnsi="宋体" w:cs="宋体"/>
          <w:sz w:val="24"/>
          <w:highlight w:val="none"/>
          <w:lang w:val="en-US" w:eastAsia="zh-CN"/>
        </w:rPr>
        <w:t>6026000</w:t>
      </w:r>
      <w:r>
        <w:rPr>
          <w:rFonts w:hint="default" w:ascii="宋体" w:hAnsi="宋体" w:cs="宋体"/>
          <w:sz w:val="24"/>
          <w:highlight w:val="none"/>
          <w:lang w:val="en-US"/>
        </w:rPr>
        <w:t>.00</w:t>
      </w:r>
    </w:p>
    <w:p>
      <w:pPr>
        <w:spacing w:line="360" w:lineRule="auto"/>
        <w:ind w:firstLine="480"/>
        <w:rPr>
          <w:rFonts w:hint="default" w:ascii="宋体" w:hAnsi="宋体" w:cs="宋体"/>
          <w:sz w:val="24"/>
          <w:highlight w:val="none"/>
          <w:lang w:val="en-US"/>
        </w:rPr>
      </w:pPr>
      <w:r>
        <w:rPr>
          <w:rFonts w:hint="eastAsia" w:ascii="宋体" w:hAnsi="宋体" w:cs="宋体"/>
          <w:b/>
          <w:sz w:val="24"/>
          <w:highlight w:val="none"/>
        </w:rPr>
        <w:t>最高限价（元）：</w:t>
      </w:r>
      <w:r>
        <w:rPr>
          <w:rFonts w:hint="eastAsia" w:ascii="宋体" w:hAnsi="宋体" w:cs="宋体"/>
          <w:sz w:val="24"/>
          <w:highlight w:val="none"/>
        </w:rPr>
        <w:t xml:space="preserve">  </w:t>
      </w:r>
      <w:r>
        <w:rPr>
          <w:rFonts w:hint="eastAsia" w:ascii="宋体" w:hAnsi="宋体" w:cs="宋体"/>
          <w:sz w:val="24"/>
          <w:highlight w:val="none"/>
          <w:lang w:val="en-US" w:eastAsia="zh-CN"/>
        </w:rPr>
        <w:t>6026000</w:t>
      </w:r>
      <w:r>
        <w:rPr>
          <w:rFonts w:hint="default" w:ascii="宋体" w:hAnsi="宋体" w:cs="宋体"/>
          <w:sz w:val="24"/>
          <w:highlight w:val="none"/>
          <w:lang w:val="en-US"/>
        </w:rPr>
        <w:t>.00</w:t>
      </w:r>
    </w:p>
    <w:p>
      <w:pPr>
        <w:pStyle w:val="5"/>
        <w:spacing w:line="360" w:lineRule="auto"/>
        <w:ind w:firstLine="480"/>
        <w:rPr>
          <w:rFonts w:hint="eastAsia"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杭州市西湖区电子政务整体安全体系改造提升（2022）项目</w:t>
      </w:r>
      <w:r>
        <w:rPr>
          <w:rFonts w:hint="default" w:hAnsi="宋体" w:cs="宋体"/>
          <w:bCs/>
          <w:snapToGrid/>
          <w:color w:val="auto"/>
          <w:kern w:val="2"/>
          <w:sz w:val="24"/>
          <w:szCs w:val="24"/>
          <w:highlight w:val="none"/>
          <w:lang w:val="en-US" w:eastAsia="zh-CN"/>
        </w:rPr>
        <w:t>,</w:t>
      </w:r>
      <w:r>
        <w:rPr>
          <w:rFonts w:hint="eastAsia" w:hAnsi="宋体" w:cs="宋体"/>
          <w:bCs/>
          <w:snapToGrid/>
          <w:color w:val="auto"/>
          <w:kern w:val="2"/>
          <w:sz w:val="24"/>
          <w:szCs w:val="24"/>
          <w:highlight w:val="none"/>
        </w:rPr>
        <w:t>主要内容</w:t>
      </w:r>
      <w:r>
        <w:rPr>
          <w:rFonts w:hint="default" w:hAnsi="宋体" w:cs="宋体"/>
          <w:bCs/>
          <w:snapToGrid/>
          <w:color w:val="auto"/>
          <w:kern w:val="2"/>
          <w:sz w:val="24"/>
          <w:szCs w:val="24"/>
          <w:highlight w:val="none"/>
          <w:lang w:val="en-US"/>
        </w:rPr>
        <w:t>:</w:t>
      </w:r>
      <w:r>
        <w:rPr>
          <w:rFonts w:hint="eastAsia" w:hAnsi="宋体" w:cs="宋体"/>
          <w:bCs/>
          <w:snapToGrid/>
          <w:color w:val="auto"/>
          <w:kern w:val="2"/>
          <w:sz w:val="24"/>
          <w:szCs w:val="24"/>
          <w:highlight w:val="none"/>
          <w:lang w:eastAsia="zh-CN"/>
        </w:rPr>
        <w:t>更新网络边界、网络通信、计算环境等基础设施；搭建公共数据平台安全技术体系；升级迭代现有数据管控平台，实现全链路监管体系；完善攻防演练及应急处置服务、人员驻场服务（3名驻场人员）、网络重保服务等政府运营管理体系，主要包括硬件更新、软件升级开发、系统集成、系统培训，其中硬件质保期不少于3年，安全设备和机房设施维保服务不得少于1年，软件不少于1年（含）7×24小时免费售后技术服务。</w:t>
      </w:r>
      <w:r>
        <w:rPr>
          <w:rFonts w:hint="eastAsia" w:hAnsi="宋体" w:cs="宋体"/>
          <w:bCs/>
          <w:snapToGrid/>
          <w:color w:val="auto"/>
          <w:kern w:val="2"/>
          <w:sz w:val="24"/>
          <w:szCs w:val="24"/>
          <w:highlight w:val="none"/>
        </w:rPr>
        <w:t>详见招标文件第三部分采购需求。</w:t>
      </w:r>
    </w:p>
    <w:p>
      <w:pPr>
        <w:pStyle w:val="5"/>
        <w:spacing w:line="360" w:lineRule="auto"/>
        <w:ind w:firstLine="480"/>
        <w:rPr>
          <w:rFonts w:hint="eastAsia" w:hAnsi="宋体" w:cs="宋体"/>
          <w:bCs/>
          <w:snapToGrid/>
          <w:color w:val="auto"/>
          <w:kern w:val="2"/>
          <w:sz w:val="24"/>
          <w:szCs w:val="24"/>
          <w:highlight w:val="none"/>
          <w:lang w:eastAsia="zh-CN"/>
        </w:rPr>
      </w:pPr>
      <w:r>
        <w:rPr>
          <w:rFonts w:hint="eastAsia" w:ascii="宋体" w:hAnsi="宋体" w:cs="宋体"/>
          <w:sz w:val="24"/>
          <w:highlight w:val="none"/>
        </w:rPr>
        <w:t>▲</w:t>
      </w:r>
      <w:r>
        <w:rPr>
          <w:rFonts w:hint="eastAsia" w:hAnsi="宋体" w:cs="宋体"/>
          <w:bCs/>
          <w:snapToGrid/>
          <w:color w:val="auto"/>
          <w:kern w:val="2"/>
          <w:sz w:val="24"/>
          <w:szCs w:val="24"/>
          <w:highlight w:val="none"/>
          <w:lang w:eastAsia="zh-CN"/>
        </w:rPr>
        <w:t>注：</w:t>
      </w:r>
    </w:p>
    <w:p>
      <w:pPr>
        <w:pStyle w:val="5"/>
        <w:numPr>
          <w:ilvl w:val="0"/>
          <w:numId w:val="0"/>
        </w:numPr>
        <w:spacing w:line="360" w:lineRule="auto"/>
        <w:ind w:firstLine="480" w:firstLineChars="200"/>
        <w:rPr>
          <w:rFonts w:hint="eastAsia" w:hAnsi="宋体" w:cs="宋体"/>
          <w:bCs/>
          <w:snapToGrid/>
          <w:color w:val="auto"/>
          <w:kern w:val="2"/>
          <w:sz w:val="24"/>
          <w:szCs w:val="24"/>
          <w:highlight w:val="none"/>
          <w:lang w:val="en-US" w:eastAsia="zh-CN"/>
        </w:rPr>
      </w:pPr>
      <w:r>
        <w:rPr>
          <w:rFonts w:hint="default" w:hAnsi="宋体" w:cs="宋体"/>
          <w:bCs/>
          <w:snapToGrid/>
          <w:color w:val="auto"/>
          <w:kern w:val="2"/>
          <w:sz w:val="24"/>
          <w:szCs w:val="24"/>
          <w:highlight w:val="none"/>
          <w:lang w:val="en-US" w:eastAsia="zh-CN"/>
        </w:rPr>
        <w:t>1</w:t>
      </w:r>
      <w:r>
        <w:rPr>
          <w:rFonts w:hint="eastAsia" w:hAnsi="宋体" w:cs="宋体"/>
          <w:bCs/>
          <w:snapToGrid/>
          <w:color w:val="auto"/>
          <w:kern w:val="2"/>
          <w:sz w:val="24"/>
          <w:szCs w:val="24"/>
          <w:highlight w:val="none"/>
          <w:lang w:val="en-US" w:eastAsia="zh-CN"/>
        </w:rPr>
        <w:t>、本次投标总报价不得超过602.6万元整。</w:t>
      </w:r>
    </w:p>
    <w:p>
      <w:pPr>
        <w:pStyle w:val="5"/>
        <w:numPr>
          <w:ilvl w:val="0"/>
          <w:numId w:val="0"/>
        </w:numPr>
        <w:spacing w:line="360" w:lineRule="auto"/>
        <w:ind w:firstLine="480" w:firstLineChars="200"/>
        <w:rPr>
          <w:rFonts w:hint="eastAsia" w:hAnsi="宋体" w:cs="宋体"/>
          <w:bCs/>
          <w:snapToGrid/>
          <w:color w:val="auto"/>
          <w:kern w:val="2"/>
          <w:sz w:val="24"/>
          <w:szCs w:val="24"/>
          <w:highlight w:val="none"/>
          <w:lang w:val="en-US" w:eastAsia="zh-CN"/>
        </w:rPr>
      </w:pPr>
      <w:r>
        <w:rPr>
          <w:rFonts w:hint="eastAsia" w:hAnsi="宋体" w:cs="宋体"/>
          <w:bCs/>
          <w:snapToGrid/>
          <w:color w:val="auto"/>
          <w:kern w:val="2"/>
          <w:sz w:val="24"/>
          <w:szCs w:val="24"/>
          <w:highlight w:val="none"/>
          <w:lang w:val="en-US" w:eastAsia="zh-CN"/>
        </w:rPr>
        <w:t>●更新网络边界、网络通信、计算环境等基础设施，搭建公共数据平台安全技术体系，升级迭代现有数据管控平台，实现全链路监管体系的报价不得超过</w:t>
      </w:r>
      <w:r>
        <w:rPr>
          <w:rFonts w:hint="default" w:hAnsi="宋体" w:cs="宋体"/>
          <w:bCs/>
          <w:snapToGrid/>
          <w:color w:val="auto"/>
          <w:kern w:val="2"/>
          <w:sz w:val="24"/>
          <w:szCs w:val="24"/>
          <w:highlight w:val="none"/>
          <w:lang w:val="en-US" w:eastAsia="zh-CN"/>
        </w:rPr>
        <w:t>546.6</w:t>
      </w:r>
      <w:r>
        <w:rPr>
          <w:rFonts w:hint="eastAsia" w:hAnsi="宋体" w:cs="宋体"/>
          <w:bCs/>
          <w:snapToGrid/>
          <w:color w:val="auto"/>
          <w:kern w:val="2"/>
          <w:sz w:val="24"/>
          <w:szCs w:val="24"/>
          <w:highlight w:val="none"/>
          <w:lang w:val="en-US" w:eastAsia="zh-CN"/>
        </w:rPr>
        <w:t>万元整；</w:t>
      </w:r>
    </w:p>
    <w:p>
      <w:pPr>
        <w:pStyle w:val="5"/>
        <w:numPr>
          <w:ilvl w:val="0"/>
          <w:numId w:val="0"/>
        </w:numPr>
        <w:spacing w:line="360" w:lineRule="auto"/>
        <w:ind w:firstLine="480" w:firstLineChars="200"/>
        <w:rPr>
          <w:rFonts w:hint="eastAsia" w:hAnsi="宋体" w:cs="宋体"/>
          <w:bCs/>
          <w:snapToGrid/>
          <w:color w:val="auto"/>
          <w:kern w:val="2"/>
          <w:sz w:val="24"/>
          <w:szCs w:val="24"/>
          <w:highlight w:val="none"/>
          <w:lang w:val="en-US" w:eastAsia="zh-CN"/>
        </w:rPr>
      </w:pPr>
      <w:r>
        <w:rPr>
          <w:rFonts w:hint="eastAsia" w:hAnsi="宋体" w:cs="宋体"/>
          <w:bCs/>
          <w:snapToGrid/>
          <w:color w:val="auto"/>
          <w:kern w:val="2"/>
          <w:sz w:val="24"/>
          <w:szCs w:val="24"/>
          <w:highlight w:val="none"/>
          <w:lang w:val="en-US" w:eastAsia="zh-CN"/>
        </w:rPr>
        <w:t>●攻防演练及应急处置服务的报价不得超过</w:t>
      </w:r>
      <w:r>
        <w:rPr>
          <w:rFonts w:hint="default" w:hAnsi="宋体" w:cs="宋体"/>
          <w:bCs/>
          <w:snapToGrid/>
          <w:color w:val="auto"/>
          <w:kern w:val="2"/>
          <w:sz w:val="24"/>
          <w:szCs w:val="24"/>
          <w:highlight w:val="none"/>
          <w:lang w:val="en-US" w:eastAsia="zh-CN"/>
        </w:rPr>
        <w:t>6</w:t>
      </w:r>
      <w:r>
        <w:rPr>
          <w:rFonts w:hint="eastAsia" w:hAnsi="宋体" w:cs="宋体"/>
          <w:bCs/>
          <w:snapToGrid/>
          <w:color w:val="auto"/>
          <w:kern w:val="2"/>
          <w:sz w:val="24"/>
          <w:szCs w:val="24"/>
          <w:highlight w:val="none"/>
          <w:lang w:val="en-US" w:eastAsia="zh-CN"/>
        </w:rPr>
        <w:t>万元整/年，服务期3年；</w:t>
      </w:r>
    </w:p>
    <w:p>
      <w:pPr>
        <w:pStyle w:val="5"/>
        <w:numPr>
          <w:ilvl w:val="0"/>
          <w:numId w:val="0"/>
        </w:numPr>
        <w:spacing w:line="360" w:lineRule="auto"/>
        <w:ind w:firstLine="480" w:firstLineChars="200"/>
        <w:rPr>
          <w:rFonts w:hint="eastAsia" w:hAnsi="宋体" w:cs="宋体"/>
          <w:bCs/>
          <w:snapToGrid/>
          <w:color w:val="auto"/>
          <w:kern w:val="2"/>
          <w:sz w:val="24"/>
          <w:szCs w:val="24"/>
          <w:highlight w:val="none"/>
          <w:lang w:val="en-US" w:eastAsia="zh-CN"/>
        </w:rPr>
      </w:pPr>
      <w:r>
        <w:rPr>
          <w:rFonts w:hint="eastAsia" w:hAnsi="宋体" w:cs="宋体"/>
          <w:bCs/>
          <w:snapToGrid/>
          <w:color w:val="auto"/>
          <w:kern w:val="2"/>
          <w:sz w:val="24"/>
          <w:szCs w:val="24"/>
          <w:highlight w:val="none"/>
          <w:lang w:val="en-US" w:eastAsia="zh-CN"/>
        </w:rPr>
        <w:t>●3名人员驻场服务的报价不得超过</w:t>
      </w:r>
      <w:r>
        <w:rPr>
          <w:rFonts w:hint="default" w:hAnsi="宋体" w:cs="宋体"/>
          <w:bCs/>
          <w:snapToGrid/>
          <w:color w:val="auto"/>
          <w:kern w:val="2"/>
          <w:sz w:val="24"/>
          <w:szCs w:val="24"/>
          <w:highlight w:val="none"/>
          <w:lang w:val="en-US" w:eastAsia="zh-CN"/>
        </w:rPr>
        <w:t>45</w:t>
      </w:r>
      <w:r>
        <w:rPr>
          <w:rFonts w:hint="eastAsia" w:hAnsi="宋体" w:cs="宋体"/>
          <w:bCs/>
          <w:snapToGrid/>
          <w:color w:val="auto"/>
          <w:kern w:val="2"/>
          <w:sz w:val="24"/>
          <w:szCs w:val="24"/>
          <w:highlight w:val="none"/>
          <w:lang w:val="en-US" w:eastAsia="zh-CN"/>
        </w:rPr>
        <w:t>万元整/年，服务期3年；</w:t>
      </w:r>
    </w:p>
    <w:p>
      <w:pPr>
        <w:pStyle w:val="5"/>
        <w:numPr>
          <w:ilvl w:val="0"/>
          <w:numId w:val="0"/>
        </w:numPr>
        <w:spacing w:line="360" w:lineRule="auto"/>
        <w:ind w:firstLine="480" w:firstLineChars="200"/>
        <w:rPr>
          <w:rFonts w:hint="eastAsia" w:hAnsi="宋体" w:cs="宋体"/>
          <w:bCs/>
          <w:snapToGrid/>
          <w:color w:val="auto"/>
          <w:kern w:val="2"/>
          <w:sz w:val="24"/>
          <w:szCs w:val="24"/>
          <w:highlight w:val="none"/>
          <w:lang w:val="en-US" w:eastAsia="zh-CN"/>
        </w:rPr>
      </w:pPr>
      <w:r>
        <w:rPr>
          <w:rFonts w:hint="eastAsia" w:hAnsi="宋体" w:cs="宋体"/>
          <w:bCs/>
          <w:snapToGrid/>
          <w:color w:val="auto"/>
          <w:kern w:val="2"/>
          <w:sz w:val="24"/>
          <w:szCs w:val="24"/>
          <w:highlight w:val="none"/>
          <w:lang w:val="en-US" w:eastAsia="zh-CN"/>
        </w:rPr>
        <w:t>●网络重保支持服务的报价不得超过</w:t>
      </w:r>
      <w:r>
        <w:rPr>
          <w:rFonts w:hint="default" w:hAnsi="宋体" w:cs="宋体"/>
          <w:bCs/>
          <w:snapToGrid/>
          <w:color w:val="auto"/>
          <w:kern w:val="2"/>
          <w:sz w:val="24"/>
          <w:szCs w:val="24"/>
          <w:highlight w:val="none"/>
          <w:lang w:val="en-US" w:eastAsia="zh-CN"/>
        </w:rPr>
        <w:t>5</w:t>
      </w:r>
      <w:r>
        <w:rPr>
          <w:rFonts w:hint="eastAsia" w:hAnsi="宋体" w:cs="宋体"/>
          <w:bCs/>
          <w:snapToGrid/>
          <w:color w:val="auto"/>
          <w:kern w:val="2"/>
          <w:sz w:val="24"/>
          <w:szCs w:val="24"/>
          <w:highlight w:val="none"/>
          <w:lang w:val="en-US" w:eastAsia="zh-CN"/>
        </w:rPr>
        <w:t>万元整/年，服务期3年。</w:t>
      </w:r>
    </w:p>
    <w:p>
      <w:pPr>
        <w:pStyle w:val="5"/>
        <w:numPr>
          <w:ilvl w:val="0"/>
          <w:numId w:val="0"/>
        </w:numPr>
        <w:spacing w:line="360" w:lineRule="auto"/>
        <w:ind w:firstLine="480" w:firstLineChars="200"/>
        <w:rPr>
          <w:rFonts w:hint="default" w:hAnsi="宋体" w:cs="宋体"/>
          <w:bCs/>
          <w:snapToGrid/>
          <w:color w:val="auto"/>
          <w:kern w:val="2"/>
          <w:sz w:val="24"/>
          <w:szCs w:val="24"/>
          <w:highlight w:val="none"/>
          <w:lang w:val="en-US" w:eastAsia="zh-CN"/>
        </w:rPr>
      </w:pPr>
      <w:r>
        <w:rPr>
          <w:rFonts w:hint="eastAsia" w:hAnsi="宋体" w:cs="宋体"/>
          <w:bCs/>
          <w:snapToGrid/>
          <w:color w:val="auto"/>
          <w:kern w:val="2"/>
          <w:sz w:val="24"/>
          <w:szCs w:val="24"/>
          <w:highlight w:val="none"/>
          <w:lang w:val="en-US" w:eastAsia="zh-CN"/>
        </w:rPr>
        <w:t>2、攻防演练及应急处置服务、人员驻场服务及网络重保支持服务的服务期均为3年，合同按年签定，每年验收合格后续签合同。</w:t>
      </w:r>
    </w:p>
    <w:p>
      <w:pPr>
        <w:pStyle w:val="128"/>
        <w:ind w:firstLine="482"/>
        <w:outlineLvl w:val="2"/>
        <w:rPr>
          <w:rFonts w:hint="eastAsia" w:ascii="宋体" w:hAnsi="宋体" w:eastAsia="宋体" w:cs="宋体"/>
          <w:highlight w:val="none"/>
          <w:lang w:eastAsia="zh-CN"/>
        </w:rPr>
      </w:pPr>
      <w:r>
        <w:rPr>
          <w:rFonts w:hint="eastAsia" w:ascii="宋体" w:hAnsi="宋体" w:cs="宋体"/>
          <w:b/>
          <w:highlight w:val="none"/>
        </w:rPr>
        <w:t>合同履约期限：项目总建设工期</w:t>
      </w:r>
      <w:r>
        <w:rPr>
          <w:rFonts w:hint="eastAsia" w:ascii="宋体" w:hAnsi="宋体" w:cs="宋体"/>
          <w:b/>
          <w:highlight w:val="none"/>
          <w:lang w:val="en-US" w:eastAsia="zh-CN"/>
        </w:rPr>
        <w:t>3</w:t>
      </w:r>
      <w:r>
        <w:rPr>
          <w:rFonts w:hint="eastAsia" w:ascii="宋体" w:hAnsi="宋体" w:cs="宋体"/>
          <w:b/>
          <w:highlight w:val="none"/>
        </w:rPr>
        <w:t>个月</w:t>
      </w:r>
      <w:r>
        <w:rPr>
          <w:rFonts w:hint="eastAsia" w:ascii="宋体" w:hAnsi="宋体" w:cs="宋体"/>
          <w:b/>
          <w:highlight w:val="none"/>
          <w:lang w:eastAsia="zh-CN"/>
        </w:rPr>
        <w:t>。</w:t>
      </w:r>
    </w:p>
    <w:p>
      <w:pPr>
        <w:pStyle w:val="5"/>
        <w:spacing w:line="360" w:lineRule="auto"/>
        <w:ind w:firstLine="480"/>
        <w:rPr>
          <w:rFonts w:hAnsi="宋体" w:cs="宋体"/>
          <w:color w:val="auto"/>
          <w:kern w:val="0"/>
          <w:sz w:val="24"/>
          <w:highlight w:val="none"/>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hAnsi="宋体" w:cs="宋体"/>
          <w:b/>
          <w:color w:val="auto"/>
          <w:sz w:val="24"/>
          <w:highlight w:val="none"/>
        </w:rPr>
        <w:t>是，</w:t>
      </w:r>
      <w:sdt>
        <w:sdtPr>
          <w:rPr>
            <w:rFonts w:hint="eastAsia" w:hAnsi="宋体" w:cs="宋体"/>
            <w:color w:val="auto"/>
            <w:kern w:val="0"/>
            <w:sz w:val="24"/>
            <w:highlight w:val="none"/>
          </w:rPr>
          <w:id w:val="-176552672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MS Gothic" w:hAnsi="MS Gothic" w:eastAsia="宋体" w:cs="宋体"/>
              <w:snapToGrid w:val="0"/>
              <w:color w:val="auto"/>
              <w:kern w:val="0"/>
              <w:sz w:val="24"/>
              <w:szCs w:val="20"/>
              <w:highlight w:val="none"/>
              <w:lang w:val="en-US" w:eastAsia="zh-CN" w:bidi="ar-SA"/>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二、申请人的资格要求：</w:t>
      </w:r>
    </w:p>
    <w:p>
      <w:pPr>
        <w:spacing w:line="360" w:lineRule="auto"/>
        <w:ind w:firstLine="48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 xml:space="preserve">    </w:t>
      </w:r>
      <w:r>
        <w:rPr>
          <w:rFonts w:ascii="宋体" w:hAnsi="宋体" w:cs="宋体"/>
          <w:snapToGrid w:val="0"/>
          <w:kern w:val="28"/>
          <w:sz w:val="24"/>
          <w:szCs w:val="20"/>
          <w:highlight w:val="none"/>
        </w:rPr>
        <w:t>2</w:t>
      </w:r>
      <w:r>
        <w:rPr>
          <w:rFonts w:hint="eastAsia" w:ascii="宋体" w:hAnsi="宋体" w:cs="宋体"/>
          <w:snapToGrid w:val="0"/>
          <w:kern w:val="28"/>
          <w:sz w:val="24"/>
          <w:szCs w:val="20"/>
          <w:highlight w:val="none"/>
        </w:rPr>
        <w:t>.</w:t>
      </w:r>
      <w:r>
        <w:rPr>
          <w:rFonts w:hint="eastAsia"/>
          <w:highlight w:val="none"/>
        </w:rPr>
        <w:t xml:space="preserve"> </w:t>
      </w:r>
      <w:r>
        <w:rPr>
          <w:rFonts w:hint="eastAsia" w:ascii="宋体" w:hAnsi="宋体" w:cs="宋体"/>
          <w:snapToGrid w:val="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highlight w:val="none"/>
        </w:rPr>
      </w:pPr>
      <w:r>
        <w:rPr>
          <w:rFonts w:ascii="宋体" w:hAnsi="宋体" w:cs="宋体"/>
          <w:snapToGrid w:val="0"/>
          <w:kern w:val="28"/>
          <w:sz w:val="24"/>
          <w:szCs w:val="20"/>
          <w:highlight w:val="none"/>
        </w:rPr>
        <w:t>3</w:t>
      </w:r>
      <w:r>
        <w:rPr>
          <w:rFonts w:hint="eastAsia" w:ascii="宋体" w:hAnsi="宋体" w:cs="宋体"/>
          <w:snapToGrid w:val="0"/>
          <w:kern w:val="28"/>
          <w:sz w:val="24"/>
          <w:szCs w:val="20"/>
          <w:highlight w:val="none"/>
        </w:rPr>
        <w:t>.落实政府采购政策需满足的资格要求：</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无</w:t>
      </w:r>
      <w:r>
        <w:rPr>
          <w:rFonts w:hint="eastAsia" w:ascii="宋体" w:hAnsi="宋体" w:cs="宋体"/>
          <w:snapToGrid w:val="0"/>
          <w:kern w:val="28"/>
          <w:sz w:val="24"/>
          <w:szCs w:val="20"/>
          <w:highlight w:val="none"/>
        </w:rPr>
        <w:t>（注：不得限制大中型企业与小微企业组成联合体参与投标）</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kern w:val="0"/>
          <w:sz w:val="24"/>
          <w:highlight w:val="none"/>
        </w:rPr>
        <w:t>专</w:t>
      </w:r>
      <w:r>
        <w:rPr>
          <w:rFonts w:hint="eastAsia" w:ascii="宋体" w:hAnsi="宋体" w:cs="宋体"/>
          <w:sz w:val="24"/>
          <w:highlight w:val="none"/>
        </w:rPr>
        <w:t>门面向中小企业</w:t>
      </w:r>
    </w:p>
    <w:p>
      <w:pPr>
        <w:spacing w:line="360" w:lineRule="auto"/>
        <w:ind w:firstLine="897" w:firstLineChars="374"/>
        <w:rPr>
          <w:rFonts w:ascii="宋体" w:hAnsi="宋体" w:cs="宋体"/>
          <w:sz w:val="24"/>
          <w:highlight w:val="none"/>
        </w:rPr>
      </w:pPr>
      <w:sdt>
        <w:sdtPr>
          <w:rPr>
            <w:rFonts w:hint="eastAsia" w:ascii="宋体" w:hAnsi="宋体" w:cs="宋体"/>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sz w:val="24"/>
          <w:highlight w:val="none"/>
        </w:rPr>
        <w:t>服务全部由符合政策要求的中小企业承接，提供中小企业声明函；</w:t>
      </w:r>
    </w:p>
    <w:p>
      <w:pPr>
        <w:spacing w:line="360" w:lineRule="auto"/>
        <w:ind w:firstLine="897" w:firstLineChars="374"/>
        <w:rPr>
          <w:rFonts w:ascii="宋体" w:hAnsi="宋体" w:cs="宋体"/>
          <w:sz w:val="24"/>
          <w:highlight w:val="none"/>
        </w:rPr>
      </w:pPr>
      <w:sdt>
        <w:sdtPr>
          <w:rPr>
            <w:rFonts w:hint="eastAsia" w:ascii="宋体" w:hAnsi="宋体" w:cs="宋体"/>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服务全部由符合政策要求的小微企业承接，提供中小企业声明函；</w:t>
      </w:r>
    </w:p>
    <w:p>
      <w:pPr>
        <w:rPr>
          <w:rFonts w:ascii="宋体" w:hAnsi="宋体" w:cs="宋体"/>
          <w:highlight w:val="none"/>
        </w:rPr>
      </w:pP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要求以联合体形式参加，提供联合协议和中小企业声明函，联合协议中中小企业合同金额应当达到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要求合同分包，提供分包意向协议和中小企业声明函，分包意向协议中中小企业合同金额应当达到达到</w:t>
      </w:r>
      <w:r>
        <w:rPr>
          <w:rFonts w:hint="eastAsia" w:ascii="宋体" w:hAnsi="宋体" w:cs="宋体"/>
          <w:sz w:val="24"/>
          <w:highlight w:val="none"/>
          <w:u w:val="single"/>
        </w:rPr>
        <w:t xml:space="preserve">  </w:t>
      </w:r>
      <w:r>
        <w:rPr>
          <w:rFonts w:hint="eastAsia" w:ascii="宋体" w:hAnsi="宋体" w:cs="宋体"/>
          <w:sz w:val="24"/>
          <w:highlight w:val="none"/>
        </w:rPr>
        <w:t>% ，小微企业合同金额应当达到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 ;</w:t>
      </w:r>
      <w:r>
        <w:rPr>
          <w:rFonts w:hint="eastAsia" w:ascii="宋体" w:hAnsi="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ascii="宋体" w:hAnsi="宋体" w:cs="宋体"/>
          <w:sz w:val="24"/>
          <w:highlight w:val="none"/>
        </w:rPr>
        <w:t>4</w:t>
      </w:r>
      <w:r>
        <w:rPr>
          <w:rFonts w:hint="eastAsia" w:ascii="宋体" w:hAnsi="宋体" w:cs="宋体"/>
          <w:sz w:val="24"/>
          <w:highlight w:val="none"/>
        </w:rPr>
        <w:t>.本项目的特定资格要求：无；</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5</w:t>
      </w:r>
      <w:r>
        <w:rPr>
          <w:rFonts w:hint="eastAsia" w:ascii="宋体" w:hAnsi="宋体" w:cs="宋体"/>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highlight w:val="none"/>
        </w:rPr>
      </w:pPr>
      <w:r>
        <w:rPr>
          <w:rFonts w:hint="eastAsia" w:ascii="宋体" w:hAnsi="宋体" w:cs="宋体"/>
          <w:b/>
          <w:sz w:val="24"/>
          <w:highlight w:val="none"/>
        </w:rPr>
        <w:t xml:space="preserve">三、获取招标文件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sz w:val="24"/>
          <w:highlight w:val="none"/>
          <w:u w:val="single"/>
        </w:rPr>
        <w:t>202</w:t>
      </w:r>
      <w:r>
        <w:rPr>
          <w:rFonts w:hint="default" w:ascii="宋体" w:hAnsi="宋体" w:cs="宋体"/>
          <w:sz w:val="24"/>
          <w:highlight w:val="none"/>
          <w:u w:val="single"/>
          <w:lang w:val="en-US"/>
        </w:rPr>
        <w:t>2</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9</w:t>
      </w:r>
      <w:r>
        <w:rPr>
          <w:rFonts w:hint="eastAsia" w:ascii="宋体" w:hAnsi="宋体" w:cs="宋体"/>
          <w:sz w:val="24"/>
          <w:highlight w:val="none"/>
          <w:u w:val="single"/>
        </w:rPr>
        <w:t>月</w:t>
      </w:r>
      <w:r>
        <w:rPr>
          <w:rFonts w:hint="default" w:ascii="宋体" w:hAnsi="宋体" w:cs="宋体"/>
          <w:sz w:val="24"/>
          <w:highlight w:val="none"/>
          <w:u w:val="single"/>
          <w:lang w:val="en-US"/>
        </w:rPr>
        <w:t>13</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 xml:space="preserve"> 202</w:t>
      </w:r>
      <w:r>
        <w:rPr>
          <w:rFonts w:hint="default" w:ascii="宋体" w:hAnsi="宋体" w:cs="宋体"/>
          <w:sz w:val="24"/>
          <w:highlight w:val="none"/>
          <w:u w:val="single"/>
          <w:lang w:val="en-US"/>
        </w:rPr>
        <w:t>2</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9</w:t>
      </w:r>
      <w:r>
        <w:rPr>
          <w:rFonts w:hint="eastAsia" w:ascii="宋体" w:hAnsi="宋体" w:cs="宋体"/>
          <w:sz w:val="24"/>
          <w:highlight w:val="none"/>
          <w:u w:val="single"/>
        </w:rPr>
        <w:t>月</w:t>
      </w:r>
      <w:r>
        <w:rPr>
          <w:rFonts w:hint="default" w:ascii="宋体" w:hAnsi="宋体" w:cs="宋体"/>
          <w:sz w:val="24"/>
          <w:highlight w:val="none"/>
          <w:u w:val="single"/>
          <w:lang w:val="en-US"/>
        </w:rPr>
        <w:t>13</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 xml:space="preserve">点 </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 xml:space="preserve"> </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w:t>
      </w:r>
      <w:r>
        <w:rPr>
          <w:rFonts w:hint="default" w:ascii="宋体" w:hAnsi="宋体" w:cs="宋体"/>
          <w:sz w:val="24"/>
          <w:highlight w:val="none"/>
          <w:u w:val="single"/>
          <w:lang w:val="en-US"/>
        </w:rPr>
        <w:t>2</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9</w:t>
      </w:r>
      <w:r>
        <w:rPr>
          <w:rFonts w:hint="eastAsia" w:ascii="宋体" w:hAnsi="宋体" w:cs="宋体"/>
          <w:sz w:val="24"/>
          <w:highlight w:val="none"/>
          <w:u w:val="single"/>
        </w:rPr>
        <w:t>月</w:t>
      </w:r>
      <w:r>
        <w:rPr>
          <w:rFonts w:hint="default" w:ascii="宋体" w:hAnsi="宋体" w:cs="宋体"/>
          <w:sz w:val="24"/>
          <w:highlight w:val="none"/>
          <w:u w:val="single"/>
          <w:lang w:val="en-US"/>
        </w:rPr>
        <w:t>13</w:t>
      </w:r>
      <w:r>
        <w:rPr>
          <w:rFonts w:hint="eastAsia" w:ascii="宋体" w:hAnsi="宋体" w:cs="宋体"/>
          <w:sz w:val="24"/>
          <w:highlight w:val="none"/>
          <w:u w:val="single"/>
        </w:rPr>
        <w:t xml:space="preserve">日 </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 xml:space="preserve"> 分</w:t>
      </w:r>
      <w:r>
        <w:rPr>
          <w:rFonts w:hint="eastAsia" w:ascii="宋体" w:hAnsi="宋体" w:cs="宋体"/>
          <w:bCs/>
          <w:sz w:val="24"/>
          <w:highlight w:val="none"/>
          <w:u w:val="single"/>
        </w:rPr>
        <w:t xml:space="preserve">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spacing w:line="360" w:lineRule="auto"/>
        <w:rPr>
          <w:rFonts w:ascii="宋体" w:hAnsi="宋体" w:cs="宋体"/>
          <w:sz w:val="24"/>
          <w:highlight w:val="none"/>
        </w:rPr>
      </w:pPr>
      <w:r>
        <w:rPr>
          <w:rFonts w:hint="eastAsia" w:ascii="宋体" w:hAnsi="宋体" w:cs="宋体"/>
          <w:sz w:val="24"/>
          <w:highlight w:val="none"/>
        </w:rPr>
        <w:t xml:space="preserve">    1.采购人信息</w:t>
      </w:r>
    </w:p>
    <w:p>
      <w:pPr>
        <w:spacing w:line="360" w:lineRule="auto"/>
        <w:rPr>
          <w:rFonts w:ascii="宋体" w:hAnsi="宋体" w:cs="宋体"/>
          <w:sz w:val="24"/>
          <w:highlight w:val="none"/>
        </w:rPr>
      </w:pPr>
      <w:r>
        <w:rPr>
          <w:rFonts w:hint="eastAsia" w:ascii="宋体" w:hAnsi="宋体" w:cs="宋体"/>
          <w:sz w:val="24"/>
          <w:highlight w:val="none"/>
        </w:rPr>
        <w:t xml:space="preserve">    名    称：</w:t>
      </w:r>
      <w:r>
        <w:rPr>
          <w:rFonts w:hint="eastAsia" w:ascii="宋体" w:hAnsi="宋体" w:cs="宋体"/>
          <w:sz w:val="24"/>
          <w:highlight w:val="none"/>
          <w:lang w:eastAsia="zh-CN"/>
        </w:rPr>
        <w:t>杭州市西湖区数据资源管理局</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地    址：</w:t>
      </w:r>
      <w:r>
        <w:rPr>
          <w:rFonts w:hint="eastAsia" w:ascii="宋体" w:hAnsi="宋体" w:cs="宋体"/>
          <w:sz w:val="24"/>
          <w:highlight w:val="none"/>
          <w:lang w:eastAsia="zh-CN"/>
        </w:rPr>
        <w:t>杭州市西湖区浙大路</w:t>
      </w:r>
      <w:r>
        <w:rPr>
          <w:rFonts w:hint="eastAsia" w:ascii="宋体" w:hAnsi="宋体" w:cs="宋体"/>
          <w:sz w:val="24"/>
          <w:highlight w:val="none"/>
          <w:lang w:val="en-US" w:eastAsia="zh-CN"/>
        </w:rPr>
        <w:t>1号</w:t>
      </w:r>
      <w:r>
        <w:rPr>
          <w:rFonts w:hint="eastAsia" w:ascii="宋体" w:hAnsi="宋体" w:cs="宋体"/>
          <w:sz w:val="24"/>
          <w:highlight w:val="none"/>
        </w:rPr>
        <w:t xml:space="preserve">    </w:t>
      </w:r>
    </w:p>
    <w:p>
      <w:pPr>
        <w:spacing w:line="360" w:lineRule="auto"/>
        <w:ind w:firstLine="480"/>
        <w:rPr>
          <w:rFonts w:ascii="宋体" w:hAnsi="宋体" w:cs="宋体"/>
          <w:sz w:val="24"/>
          <w:highlight w:val="none"/>
        </w:rPr>
      </w:pPr>
      <w:r>
        <w:rPr>
          <w:rFonts w:hint="eastAsia" w:ascii="宋体" w:hAnsi="宋体" w:cs="宋体"/>
          <w:sz w:val="24"/>
          <w:highlight w:val="none"/>
        </w:rPr>
        <w:t>传    真： /</w:t>
      </w:r>
    </w:p>
    <w:p>
      <w:pPr>
        <w:spacing w:line="360" w:lineRule="auto"/>
        <w:ind w:firstLine="480"/>
        <w:rPr>
          <w:rFonts w:hint="eastAsia" w:ascii="宋体" w:hAnsi="宋体" w:cs="宋体"/>
          <w:sz w:val="24"/>
          <w:highlight w:val="none"/>
        </w:rPr>
      </w:pPr>
      <w:r>
        <w:rPr>
          <w:rFonts w:hint="eastAsia" w:ascii="宋体" w:hAnsi="宋体" w:cs="宋体"/>
          <w:sz w:val="24"/>
          <w:highlight w:val="none"/>
        </w:rPr>
        <w:t xml:space="preserve">项目联系人（询问）： 周奇倩 </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项目联系方式（询问）：</w:t>
      </w:r>
      <w:r>
        <w:rPr>
          <w:rFonts w:hint="eastAsia" w:ascii="宋体" w:hAnsi="宋体" w:cs="宋体"/>
          <w:sz w:val="24"/>
          <w:highlight w:val="none"/>
          <w:lang w:val="en-US" w:eastAsia="zh-CN"/>
        </w:rPr>
        <w:t>0571-</w:t>
      </w:r>
      <w:r>
        <w:rPr>
          <w:rFonts w:hint="eastAsia" w:ascii="宋体" w:hAnsi="宋体" w:cs="宋体"/>
          <w:sz w:val="24"/>
          <w:highlight w:val="none"/>
        </w:rPr>
        <w:t>87939232</w:t>
      </w:r>
    </w:p>
    <w:p>
      <w:pPr>
        <w:spacing w:line="360" w:lineRule="auto"/>
        <w:rPr>
          <w:rFonts w:ascii="宋体" w:hAnsi="宋体" w:cs="宋体"/>
          <w:sz w:val="24"/>
          <w:highlight w:val="none"/>
        </w:rPr>
      </w:pPr>
      <w:r>
        <w:rPr>
          <w:rFonts w:hint="eastAsia" w:ascii="宋体" w:hAnsi="宋体" w:cs="宋体"/>
          <w:sz w:val="24"/>
          <w:highlight w:val="none"/>
        </w:rPr>
        <w:t xml:space="preserve">    质疑联系人： 王泽恺</w:t>
      </w:r>
    </w:p>
    <w:p>
      <w:pPr>
        <w:spacing w:line="360" w:lineRule="auto"/>
        <w:rPr>
          <w:rFonts w:ascii="宋体" w:hAnsi="宋体" w:cs="宋体"/>
          <w:sz w:val="24"/>
          <w:highlight w:val="none"/>
        </w:rPr>
      </w:pPr>
      <w:r>
        <w:rPr>
          <w:rFonts w:hint="eastAsia" w:ascii="宋体" w:hAnsi="宋体" w:cs="宋体"/>
          <w:sz w:val="24"/>
          <w:highlight w:val="none"/>
        </w:rPr>
        <w:t xml:space="preserve">    质疑联系方式</w:t>
      </w:r>
      <w:r>
        <w:rPr>
          <w:rFonts w:hint="eastAsia" w:ascii="宋体" w:hAnsi="宋体" w:cs="宋体"/>
          <w:sz w:val="24"/>
          <w:highlight w:val="none"/>
          <w:lang w:eastAsia="zh-CN"/>
        </w:rPr>
        <w:t>：</w:t>
      </w:r>
      <w:r>
        <w:rPr>
          <w:rFonts w:hint="eastAsia" w:ascii="宋体" w:hAnsi="宋体" w:cs="宋体"/>
          <w:sz w:val="24"/>
          <w:highlight w:val="none"/>
          <w:lang w:val="en-US" w:eastAsia="zh-CN"/>
        </w:rPr>
        <w:t>0571-</w:t>
      </w:r>
      <w:r>
        <w:rPr>
          <w:rFonts w:hint="eastAsia" w:ascii="宋体" w:hAnsi="宋体" w:cs="宋体"/>
          <w:sz w:val="24"/>
          <w:highlight w:val="none"/>
        </w:rPr>
        <w:t xml:space="preserve">87939251 </w:t>
      </w:r>
    </w:p>
    <w:p>
      <w:pPr>
        <w:spacing w:line="360" w:lineRule="auto"/>
        <w:rPr>
          <w:rFonts w:ascii="宋体" w:hAnsi="宋体" w:cs="宋体"/>
          <w:sz w:val="24"/>
          <w:highlight w:val="none"/>
        </w:rPr>
      </w:pPr>
      <w:r>
        <w:rPr>
          <w:rFonts w:hint="eastAsia" w:ascii="宋体" w:hAnsi="宋体" w:cs="宋体"/>
          <w:sz w:val="24"/>
          <w:highlight w:val="none"/>
        </w:rPr>
        <w:t xml:space="preserve">    2.采购代理机构信息            </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名    称：</w:t>
      </w:r>
      <w:r>
        <w:rPr>
          <w:rFonts w:hint="eastAsia" w:ascii="宋体" w:hAnsi="宋体" w:cs="宋体"/>
          <w:sz w:val="24"/>
          <w:highlight w:val="none"/>
          <w:lang w:eastAsia="zh-CN"/>
        </w:rPr>
        <w:t>杭州市西湖区政府采购中心</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地    址：</w:t>
      </w:r>
      <w:r>
        <w:rPr>
          <w:rFonts w:hint="eastAsia" w:ascii="宋体" w:hAnsi="宋体" w:cs="宋体"/>
          <w:sz w:val="24"/>
          <w:highlight w:val="none"/>
          <w:lang w:eastAsia="zh-CN"/>
        </w:rPr>
        <w:t>杭州市文一西路858号</w:t>
      </w:r>
    </w:p>
    <w:p>
      <w:pPr>
        <w:spacing w:line="360" w:lineRule="auto"/>
        <w:rPr>
          <w:rFonts w:ascii="宋体" w:hAnsi="宋体" w:cs="宋体"/>
          <w:sz w:val="24"/>
          <w:highlight w:val="none"/>
        </w:rPr>
      </w:pPr>
      <w:r>
        <w:rPr>
          <w:rFonts w:hint="eastAsia" w:ascii="宋体" w:hAnsi="宋体" w:cs="宋体"/>
          <w:sz w:val="24"/>
          <w:highlight w:val="none"/>
        </w:rPr>
        <w:t xml:space="preserve">    传    真：</w:t>
      </w:r>
      <w:r>
        <w:rPr>
          <w:rFonts w:hint="eastAsia" w:ascii="宋体" w:hAnsi="宋体" w:cs="宋体"/>
          <w:sz w:val="24"/>
          <w:highlight w:val="none"/>
          <w:lang w:val="en-US" w:eastAsia="zh-CN"/>
        </w:rPr>
        <w:t>0571-86834771</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项目联系人（询问）：</w:t>
      </w:r>
      <w:r>
        <w:rPr>
          <w:rFonts w:hint="eastAsia" w:ascii="宋体" w:hAnsi="宋体" w:cs="宋体"/>
          <w:sz w:val="24"/>
          <w:highlight w:val="none"/>
          <w:lang w:eastAsia="zh-CN"/>
        </w:rPr>
        <w:t>江涛</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项目联系方式（询问）：0571-87759375</w:t>
      </w:r>
    </w:p>
    <w:p>
      <w:pPr>
        <w:spacing w:line="360" w:lineRule="auto"/>
        <w:rPr>
          <w:rFonts w:ascii="宋体" w:hAnsi="宋体" w:cs="宋体"/>
          <w:sz w:val="24"/>
          <w:highlight w:val="none"/>
        </w:rPr>
      </w:pPr>
      <w:r>
        <w:rPr>
          <w:rFonts w:hint="eastAsia" w:ascii="宋体" w:hAnsi="宋体" w:cs="宋体"/>
          <w:sz w:val="24"/>
          <w:highlight w:val="none"/>
        </w:rPr>
        <w:t xml:space="preserve">    质疑联系人：</w:t>
      </w:r>
      <w:r>
        <w:rPr>
          <w:rFonts w:hint="eastAsia" w:ascii="宋体" w:hAnsi="宋体" w:cs="宋体"/>
          <w:sz w:val="24"/>
          <w:highlight w:val="none"/>
          <w:lang w:eastAsia="zh-CN"/>
        </w:rPr>
        <w:t>缪新新</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质疑联系方式：0571-85368157</w:t>
      </w:r>
    </w:p>
    <w:p>
      <w:pPr>
        <w:spacing w:line="360" w:lineRule="auto"/>
        <w:rPr>
          <w:rFonts w:ascii="宋体" w:hAnsi="宋体" w:cs="宋体"/>
          <w:sz w:val="24"/>
          <w:highlight w:val="none"/>
        </w:rPr>
      </w:pPr>
      <w:r>
        <w:rPr>
          <w:rFonts w:hint="eastAsia" w:ascii="宋体" w:hAnsi="宋体" w:cs="宋体"/>
          <w:sz w:val="24"/>
          <w:highlight w:val="none"/>
        </w:rPr>
        <w:t xml:space="preserve">    3.同级政府采购监督管理部门            </w:t>
      </w:r>
    </w:p>
    <w:p>
      <w:pPr>
        <w:spacing w:line="360" w:lineRule="auto"/>
        <w:rPr>
          <w:rFonts w:ascii="宋体" w:hAnsi="宋体" w:cs="宋体"/>
          <w:sz w:val="24"/>
          <w:highlight w:val="none"/>
        </w:rPr>
      </w:pPr>
      <w:r>
        <w:rPr>
          <w:rFonts w:hint="eastAsia" w:ascii="宋体" w:hAnsi="宋体" w:cs="宋体"/>
          <w:sz w:val="24"/>
          <w:highlight w:val="none"/>
        </w:rPr>
        <w:t xml:space="preserve">    名    称：</w:t>
      </w:r>
      <w:r>
        <w:rPr>
          <w:rFonts w:hint="eastAsia" w:ascii="宋体" w:hAnsi="宋体" w:cs="宋体"/>
          <w:sz w:val="24"/>
          <w:highlight w:val="none"/>
          <w:lang w:eastAsia="zh-CN"/>
        </w:rPr>
        <w:t>杭州市西湖区财政局政府采购监管科</w:t>
      </w:r>
      <w:r>
        <w:rPr>
          <w:rFonts w:hint="eastAsia" w:ascii="宋体" w:hAnsi="宋体" w:cs="宋体"/>
          <w:sz w:val="24"/>
          <w:highlight w:val="none"/>
        </w:rPr>
        <w:t xml:space="preserve"> </w:t>
      </w:r>
    </w:p>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 xml:space="preserve">    地    址：杭州市</w:t>
      </w:r>
      <w:r>
        <w:rPr>
          <w:rFonts w:hint="eastAsia" w:ascii="宋体" w:hAnsi="宋体" w:cs="宋体"/>
          <w:sz w:val="24"/>
          <w:highlight w:val="none"/>
          <w:lang w:eastAsia="zh-CN"/>
        </w:rPr>
        <w:t>文三西路</w:t>
      </w:r>
      <w:r>
        <w:rPr>
          <w:rFonts w:hint="eastAsia" w:ascii="宋体" w:hAnsi="宋体" w:cs="宋体"/>
          <w:sz w:val="24"/>
          <w:highlight w:val="none"/>
          <w:lang w:val="en-US" w:eastAsia="zh-CN"/>
        </w:rPr>
        <w:t>18号11楼1104</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 xml:space="preserve">  传    真： /</w:t>
      </w:r>
    </w:p>
    <w:p>
      <w:pPr>
        <w:spacing w:line="360" w:lineRule="auto"/>
        <w:rPr>
          <w:rFonts w:ascii="宋体" w:hAnsi="宋体" w:cs="宋体"/>
          <w:sz w:val="24"/>
          <w:highlight w:val="none"/>
        </w:rPr>
      </w:pPr>
      <w:r>
        <w:rPr>
          <w:rFonts w:hint="eastAsia" w:ascii="宋体" w:hAnsi="宋体" w:cs="宋体"/>
          <w:sz w:val="24"/>
          <w:highlight w:val="none"/>
        </w:rPr>
        <w:t xml:space="preserve">    联系人 ：</w:t>
      </w:r>
      <w:r>
        <w:rPr>
          <w:rFonts w:hint="eastAsia" w:ascii="宋体" w:hAnsi="宋体" w:cs="宋体"/>
          <w:sz w:val="24"/>
          <w:highlight w:val="none"/>
          <w:lang w:eastAsia="zh-CN"/>
        </w:rPr>
        <w:t>韩继伟</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监督投诉电话：</w:t>
      </w:r>
      <w:r>
        <w:rPr>
          <w:rFonts w:hint="eastAsia" w:ascii="宋体" w:hAnsi="宋体" w:cs="宋体"/>
          <w:sz w:val="24"/>
          <w:highlight w:val="none"/>
          <w:lang w:eastAsia="zh-CN"/>
        </w:rPr>
        <w:t>0571-58101865</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CA问题联系电话（人工）：汇信CA 400-888-4636；天谷CA 400-087-8198。</w:t>
      </w:r>
    </w:p>
    <w:p>
      <w:pPr>
        <w:pStyle w:val="26"/>
        <w:rPr>
          <w:highlight w:val="none"/>
        </w:rPr>
      </w:pPr>
    </w:p>
    <w:p>
      <w:pPr>
        <w:pStyle w:val="34"/>
        <w:adjustRightInd/>
        <w:spacing w:line="360" w:lineRule="auto"/>
        <w:jc w:val="center"/>
        <w:outlineLvl w:val="0"/>
        <w:rPr>
          <w:rFonts w:hAnsi="宋体" w:cs="宋体"/>
          <w:b/>
          <w:sz w:val="36"/>
          <w:szCs w:val="20"/>
          <w:highlight w:val="none"/>
        </w:rPr>
      </w:pPr>
      <w:r>
        <w:rPr>
          <w:rFonts w:hint="eastAsia" w:hAnsi="宋体" w:cs="宋体"/>
          <w:b/>
          <w:sz w:val="36"/>
          <w:szCs w:val="20"/>
          <w:highlight w:val="none"/>
        </w:rPr>
        <w:t>第二部分</w:t>
      </w:r>
      <w:bookmarkEnd w:id="8"/>
      <w:r>
        <w:rPr>
          <w:rFonts w:hint="eastAsia" w:hAnsi="宋体" w:cs="宋体"/>
          <w:b/>
          <w:sz w:val="36"/>
          <w:szCs w:val="20"/>
          <w:highlight w:val="none"/>
        </w:rPr>
        <w:t xml:space="preserve"> 投标人须知</w:t>
      </w:r>
      <w:bookmarkEnd w:id="9"/>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both"/>
              <w:rPr>
                <w:rFonts w:ascii="宋体" w:hAnsi="宋体" w:cs="宋体"/>
                <w:b/>
                <w:sz w:val="24"/>
                <w:highlight w:val="none"/>
              </w:rPr>
            </w:pPr>
            <w:r>
              <w:rPr>
                <w:rFonts w:hint="eastAsia" w:ascii="宋体" w:hAnsi="宋体" w:cs="宋体"/>
                <w:b/>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highlight w:val="none"/>
              </w:rPr>
            </w:pPr>
            <w:r>
              <w:rPr>
                <w:rFonts w:hint="eastAsia" w:ascii="宋体" w:hAnsi="宋体" w:cs="宋体"/>
                <w:kern w:val="0"/>
                <w:sz w:val="24"/>
                <w:highlight w:val="none"/>
              </w:rPr>
              <w:t>（1）标的：</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eastAsia="zh-CN"/>
              </w:rPr>
              <w:t>系统升级改造</w:t>
            </w:r>
            <w:r>
              <w:rPr>
                <w:rFonts w:hint="eastAsia" w:ascii="宋体" w:hAnsi="宋体" w:cs="宋体"/>
                <w:kern w:val="0"/>
                <w:sz w:val="24"/>
                <w:highlight w:val="none"/>
                <w:u w:val="single"/>
              </w:rPr>
              <w:t xml:space="preserve">   </w:t>
            </w:r>
            <w:r>
              <w:rPr>
                <w:rFonts w:hint="eastAsia" w:ascii="宋体" w:hAnsi="宋体" w:cs="宋体"/>
                <w:kern w:val="0"/>
                <w:sz w:val="24"/>
                <w:highlight w:val="none"/>
              </w:rPr>
              <w:t>，属于</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eastAsia="zh-CN"/>
              </w:rPr>
              <w:t>软件和信息技术服务业</w:t>
            </w:r>
            <w:r>
              <w:rPr>
                <w:rFonts w:hint="eastAsia" w:ascii="宋体" w:hAnsi="宋体" w:cs="宋体"/>
                <w:kern w:val="0"/>
                <w:sz w:val="24"/>
                <w:highlight w:val="none"/>
                <w:u w:val="single"/>
              </w:rPr>
              <w:t xml:space="preserve">   </w:t>
            </w:r>
            <w:r>
              <w:rPr>
                <w:rFonts w:hint="eastAsia" w:ascii="宋体" w:hAnsi="宋体" w:cs="宋体"/>
                <w:kern w:val="0"/>
                <w:sz w:val="24"/>
                <w:highlight w:val="none"/>
              </w:rPr>
              <w:t>行业；</w:t>
            </w:r>
          </w:p>
          <w:p>
            <w:pPr>
              <w:pStyle w:val="3"/>
              <w:rPr>
                <w:rFonts w:ascii="宋体" w:hAnsi="宋体" w:eastAsia="宋体" w:cs="宋体"/>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highlight w:val="none"/>
              </w:rPr>
            </w:pPr>
            <w:sdt>
              <w:sdtPr>
                <w:rPr>
                  <w:rFonts w:hint="eastAsia" w:ascii="宋体" w:hAnsi="宋体" w:cs="宋体"/>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kern w:val="0"/>
                <w:sz w:val="24"/>
                <w:highlight w:val="none"/>
              </w:rPr>
              <w:t>本项目不允许采购进口产品。</w:t>
            </w:r>
          </w:p>
          <w:p>
            <w:pPr>
              <w:spacing w:line="360" w:lineRule="auto"/>
              <w:rPr>
                <w:rFonts w:ascii="宋体" w:hAnsi="宋体" w:cs="宋体"/>
                <w:highlight w:val="none"/>
              </w:rPr>
            </w:pPr>
            <w:sdt>
              <w:sdtPr>
                <w:rPr>
                  <w:rFonts w:hint="eastAsia" w:ascii="宋体" w:hAnsi="宋体" w:cs="宋体"/>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可以就</w:t>
            </w:r>
            <w:r>
              <w:rPr>
                <w:rFonts w:hint="eastAsia" w:ascii="宋体" w:hAnsi="宋体" w:cs="宋体"/>
                <w:sz w:val="24"/>
                <w:highlight w:val="none"/>
                <w:u w:val="single"/>
              </w:rPr>
              <w:t xml:space="preserve">    </w:t>
            </w:r>
            <w:r>
              <w:rPr>
                <w:rFonts w:hint="eastAsia" w:ascii="宋体" w:hAnsi="宋体" w:cs="宋体"/>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highlight w:val="none"/>
              </w:rPr>
            </w:pPr>
            <w:r>
              <w:rPr>
                <w:rFonts w:hint="eastAsia" w:ascii="宋体" w:hAnsi="宋体" w:cs="宋体"/>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sdt>
              <w:sdtPr>
                <w:rPr>
                  <w:rFonts w:hint="eastAsia" w:ascii="宋体" w:hAnsi="宋体" w:cs="宋体"/>
                  <w:kern w:val="0"/>
                  <w:sz w:val="24"/>
                  <w:highlight w:val="none"/>
                </w:rPr>
                <w:id w:val="-1477286927"/>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kern w:val="0"/>
                <w:sz w:val="24"/>
                <w:highlight w:val="none"/>
              </w:rPr>
              <w:t xml:space="preserve"> A</w:t>
            </w:r>
            <w:r>
              <w:rPr>
                <w:rFonts w:hint="eastAsia" w:ascii="宋体" w:hAnsi="宋体" w:cs="宋体"/>
                <w:sz w:val="24"/>
                <w:highlight w:val="none"/>
              </w:rPr>
              <w:t>同意将非主体、非关键性的</w:t>
            </w:r>
            <w:r>
              <w:rPr>
                <w:rFonts w:hint="eastAsia" w:ascii="宋体" w:hAnsi="宋体" w:cs="宋体"/>
                <w:sz w:val="24"/>
                <w:highlight w:val="none"/>
                <w:u w:val="single"/>
              </w:rPr>
              <w:t xml:space="preserve">             </w:t>
            </w:r>
            <w:r>
              <w:rPr>
                <w:rFonts w:hint="eastAsia" w:ascii="宋体" w:hAnsi="宋体" w:cs="宋体"/>
                <w:sz w:val="24"/>
                <w:highlight w:val="none"/>
              </w:rPr>
              <w:t>工作分包。</w:t>
            </w:r>
            <w:sdt>
              <w:sdtPr>
                <w:rPr>
                  <w:rFonts w:hint="eastAsia" w:ascii="宋体" w:hAnsi="宋体" w:cs="宋体"/>
                  <w:kern w:val="0"/>
                  <w:sz w:val="24"/>
                  <w:highlight w:val="none"/>
                </w:rPr>
                <w:id w:val="-1276331357"/>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kern w:val="0"/>
                <w:sz w:val="24"/>
                <w:highlight w:val="none"/>
              </w:rPr>
              <w:t xml:space="preserve"> B</w:t>
            </w:r>
            <w:r>
              <w:rPr>
                <w:rFonts w:hint="eastAsia" w:ascii="宋体" w:hAnsi="宋体" w:cs="宋体"/>
                <w:sz w:val="24"/>
                <w:highlight w:val="none"/>
              </w:rPr>
              <w:t>不同意分包。</w:t>
            </w:r>
          </w:p>
          <w:p>
            <w:pPr>
              <w:spacing w:line="360" w:lineRule="auto"/>
              <w:rPr>
                <w:rFonts w:ascii="宋体" w:hAnsi="宋体" w:cs="宋体"/>
                <w:sz w:val="24"/>
                <w:highlight w:val="none"/>
              </w:rPr>
            </w:pPr>
            <w:r>
              <w:rPr>
                <w:rFonts w:hint="eastAsia" w:ascii="宋体" w:hAnsi="宋体" w:cs="宋体"/>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sdt>
              <w:sdtPr>
                <w:rPr>
                  <w:rFonts w:hint="eastAsia" w:ascii="宋体" w:hAnsi="宋体" w:cs="宋体"/>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kern w:val="0"/>
                <w:sz w:val="24"/>
                <w:highlight w:val="none"/>
              </w:rPr>
              <w:t>A</w:t>
            </w:r>
            <w:r>
              <w:rPr>
                <w:rFonts w:hint="eastAsia" w:ascii="宋体" w:hAnsi="宋体" w:cs="宋体"/>
                <w:sz w:val="24"/>
                <w:highlight w:val="none"/>
              </w:rPr>
              <w:t>不组织。</w:t>
            </w:r>
          </w:p>
          <w:p>
            <w:pPr>
              <w:spacing w:line="360" w:lineRule="auto"/>
              <w:rPr>
                <w:rFonts w:ascii="宋体" w:hAnsi="宋体" w:cs="宋体"/>
                <w:sz w:val="24"/>
                <w:szCs w:val="20"/>
                <w:highlight w:val="none"/>
              </w:rPr>
            </w:pPr>
            <w:sdt>
              <w:sdtPr>
                <w:rPr>
                  <w:rFonts w:hint="eastAsia" w:ascii="宋体" w:hAnsi="宋体" w:cs="宋体"/>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B组织，</w:t>
            </w:r>
            <w:r>
              <w:rPr>
                <w:rFonts w:hint="eastAsia" w:ascii="宋体" w:hAnsi="宋体" w:cs="宋体"/>
                <w:sz w:val="24"/>
                <w:highlight w:val="none"/>
              </w:rPr>
              <w:t>时间：</w:t>
            </w:r>
            <w:r>
              <w:rPr>
                <w:rFonts w:hint="eastAsia" w:ascii="宋体" w:hAnsi="宋体" w:cs="宋体"/>
                <w:sz w:val="24"/>
                <w:highlight w:val="none"/>
                <w:u w:val="single"/>
              </w:rPr>
              <w:t xml:space="preserve">      </w:t>
            </w:r>
            <w:r>
              <w:rPr>
                <w:rFonts w:hint="eastAsia" w:ascii="宋体" w:hAnsi="宋体" w:cs="宋体"/>
                <w:sz w:val="24"/>
                <w:highlight w:val="none"/>
              </w:rPr>
              <w:t>,地点：</w:t>
            </w:r>
            <w:r>
              <w:rPr>
                <w:rFonts w:hint="eastAsia" w:ascii="宋体" w:hAnsi="宋体" w:cs="宋体"/>
                <w:sz w:val="24"/>
                <w:highlight w:val="none"/>
                <w:u w:val="single"/>
              </w:rPr>
              <w:t xml:space="preserve">      </w:t>
            </w:r>
            <w:r>
              <w:rPr>
                <w:rFonts w:hint="eastAsia" w:ascii="宋体" w:hAnsi="宋体" w:cs="宋体"/>
                <w:sz w:val="24"/>
                <w:highlight w:val="none"/>
              </w:rPr>
              <w:t>，联系人：</w:t>
            </w:r>
            <w:r>
              <w:rPr>
                <w:rFonts w:hint="eastAsia" w:ascii="宋体" w:hAnsi="宋体" w:cs="宋体"/>
                <w:sz w:val="24"/>
                <w:highlight w:val="none"/>
                <w:u w:val="single"/>
              </w:rPr>
              <w:t xml:space="preserve">      </w:t>
            </w:r>
            <w:r>
              <w:rPr>
                <w:rFonts w:hint="eastAsia" w:ascii="宋体" w:hAnsi="宋体" w:cs="宋体"/>
                <w:sz w:val="24"/>
                <w:highlight w:val="none"/>
              </w:rPr>
              <w:t>，联系方式：</w:t>
            </w:r>
            <w:r>
              <w:rPr>
                <w:rFonts w:hint="eastAsia" w:ascii="宋体" w:hAnsi="宋体" w:cs="宋体"/>
                <w:sz w:val="24"/>
                <w:highlight w:val="none"/>
                <w:u w:val="single"/>
              </w:rPr>
              <w:t xml:space="preserve">      </w:t>
            </w:r>
            <w:r>
              <w:rPr>
                <w:rFonts w:hint="eastAsia" w:ascii="宋体" w:hAnsi="宋体" w:cs="宋体"/>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sdt>
              <w:sdtPr>
                <w:rPr>
                  <w:rFonts w:hint="eastAsia" w:ascii="宋体" w:hAnsi="宋体" w:cs="宋体"/>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kern w:val="0"/>
                <w:sz w:val="24"/>
                <w:highlight w:val="none"/>
              </w:rPr>
              <w:t>A</w:t>
            </w:r>
            <w:r>
              <w:rPr>
                <w:rFonts w:hint="eastAsia" w:ascii="宋体" w:hAnsi="宋体" w:cs="宋体"/>
                <w:sz w:val="24"/>
                <w:highlight w:val="none"/>
              </w:rPr>
              <w:t>不要求提供。</w:t>
            </w:r>
          </w:p>
          <w:p>
            <w:pPr>
              <w:spacing w:line="360" w:lineRule="auto"/>
              <w:rPr>
                <w:rFonts w:ascii="宋体" w:hAnsi="宋体" w:cs="宋体"/>
                <w:kern w:val="0"/>
                <w:sz w:val="24"/>
                <w:highlight w:val="none"/>
              </w:rPr>
            </w:pPr>
            <w:sdt>
              <w:sdtPr>
                <w:rPr>
                  <w:rFonts w:hint="eastAsia" w:ascii="宋体" w:hAnsi="宋体" w:cs="宋体"/>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MS Gothic" w:cs="宋体"/>
                    <w:kern w:val="0"/>
                    <w:sz w:val="24"/>
                    <w:highlight w:val="none"/>
                  </w:rPr>
                  <w:t>☐</w:t>
                </w:r>
              </w:sdtContent>
            </w:sdt>
            <w:r>
              <w:rPr>
                <w:rFonts w:hint="eastAsia" w:ascii="宋体" w:hAnsi="宋体" w:cs="宋体"/>
                <w:kern w:val="0"/>
                <w:sz w:val="24"/>
                <w:highlight w:val="none"/>
              </w:rPr>
              <w:t>B要求提供，</w:t>
            </w:r>
          </w:p>
          <w:p>
            <w:pPr>
              <w:spacing w:line="360" w:lineRule="auto"/>
              <w:rPr>
                <w:rFonts w:ascii="宋体" w:hAnsi="宋体" w:cs="宋体"/>
                <w:kern w:val="0"/>
                <w:sz w:val="24"/>
                <w:highlight w:val="none"/>
              </w:rPr>
            </w:pPr>
            <w:r>
              <w:rPr>
                <w:rFonts w:hint="eastAsia" w:ascii="宋体" w:hAnsi="宋体" w:cs="宋体"/>
                <w:kern w:val="0"/>
                <w:sz w:val="24"/>
                <w:highlight w:val="none"/>
              </w:rPr>
              <w:t>（1）</w:t>
            </w:r>
            <w:r>
              <w:rPr>
                <w:rFonts w:hint="eastAsia" w:ascii="宋体" w:hAnsi="宋体" w:cs="宋体"/>
                <w:snapToGrid w:val="0"/>
                <w:kern w:val="28"/>
                <w:sz w:val="24"/>
                <w:highlight w:val="none"/>
              </w:rPr>
              <w:t>样品：</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spacing w:line="360" w:lineRule="auto"/>
              <w:rPr>
                <w:rFonts w:ascii="宋体" w:hAnsi="宋体" w:cs="宋体"/>
                <w:kern w:val="0"/>
                <w:sz w:val="24"/>
                <w:highlight w:val="none"/>
              </w:rPr>
            </w:pPr>
            <w:r>
              <w:rPr>
                <w:rFonts w:hint="eastAsia" w:ascii="宋体" w:hAnsi="宋体" w:cs="宋体"/>
                <w:kern w:val="0"/>
                <w:sz w:val="24"/>
                <w:highlight w:val="none"/>
              </w:rPr>
              <w:t>（2）</w:t>
            </w:r>
            <w:r>
              <w:rPr>
                <w:rFonts w:hint="eastAsia" w:ascii="宋体" w:hAnsi="宋体" w:cs="宋体"/>
                <w:snapToGrid w:val="0"/>
                <w:kern w:val="28"/>
                <w:sz w:val="24"/>
                <w:highlight w:val="none"/>
              </w:rPr>
              <w:t>样品制作的标准和要求：</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spacing w:line="360" w:lineRule="auto"/>
              <w:rPr>
                <w:rFonts w:ascii="宋体" w:hAnsi="宋体" w:cs="宋体"/>
                <w:kern w:val="0"/>
                <w:sz w:val="24"/>
                <w:highlight w:val="none"/>
              </w:rPr>
            </w:pPr>
            <w:r>
              <w:rPr>
                <w:rFonts w:hint="eastAsia" w:ascii="宋体" w:hAnsi="宋体" w:cs="宋体"/>
                <w:kern w:val="0"/>
                <w:sz w:val="24"/>
                <w:highlight w:val="none"/>
              </w:rPr>
              <w:t>（3）样品的评审方法以及评审标准</w:t>
            </w:r>
            <w:r>
              <w:rPr>
                <w:rFonts w:hint="eastAsia" w:ascii="宋体" w:hAnsi="宋体" w:cs="宋体"/>
                <w:snapToGrid w:val="0"/>
                <w:kern w:val="28"/>
                <w:sz w:val="24"/>
                <w:highlight w:val="none"/>
              </w:rPr>
              <w:t>：详见</w:t>
            </w:r>
            <w:r>
              <w:rPr>
                <w:rFonts w:hint="eastAsia" w:ascii="宋体" w:hAnsi="宋体" w:cs="宋体"/>
                <w:sz w:val="24"/>
                <w:highlight w:val="none"/>
                <w:u w:val="single"/>
              </w:rPr>
              <w:t>评标办法</w:t>
            </w:r>
            <w:r>
              <w:rPr>
                <w:rFonts w:hint="eastAsia" w:ascii="宋体" w:hAnsi="宋体" w:cs="宋体"/>
                <w:kern w:val="0"/>
                <w:sz w:val="24"/>
                <w:highlight w:val="none"/>
              </w:rPr>
              <w:t>；</w:t>
            </w:r>
          </w:p>
          <w:p>
            <w:pPr>
              <w:spacing w:line="360" w:lineRule="auto"/>
              <w:rPr>
                <w:rFonts w:ascii="宋体" w:hAnsi="宋体" w:cs="宋体"/>
                <w:kern w:val="0"/>
                <w:sz w:val="24"/>
                <w:highlight w:val="none"/>
              </w:rPr>
            </w:pPr>
            <w:r>
              <w:rPr>
                <w:rFonts w:hint="eastAsia" w:ascii="宋体" w:hAnsi="宋体" w:cs="宋体"/>
                <w:kern w:val="0"/>
                <w:sz w:val="24"/>
                <w:highlight w:val="none"/>
              </w:rPr>
              <w:t>（4）是否需要随样品提交检测报告：</w:t>
            </w:r>
            <w:sdt>
              <w:sdtPr>
                <w:rPr>
                  <w:rFonts w:hint="eastAsia" w:ascii="宋体" w:hAnsi="宋体" w:cs="宋体"/>
                  <w:kern w:val="0"/>
                  <w:sz w:val="24"/>
                  <w:highlight w:val="none"/>
                </w:rPr>
                <w:id w:val="1303421454"/>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kern w:val="0"/>
                <w:sz w:val="24"/>
                <w:highlight w:val="none"/>
              </w:rPr>
              <w:t>否；</w:t>
            </w:r>
            <w:sdt>
              <w:sdtPr>
                <w:rPr>
                  <w:rFonts w:hint="eastAsia" w:ascii="宋体" w:hAnsi="宋体" w:cs="宋体"/>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是，检测机构的要求</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kern w:val="0"/>
                <w:sz w:val="24"/>
                <w:highlight w:val="none"/>
              </w:rPr>
              <w:t>；检测内容</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spacing w:line="360" w:lineRule="auto"/>
              <w:rPr>
                <w:rFonts w:ascii="宋体" w:hAnsi="宋体" w:cs="宋体"/>
                <w:sz w:val="24"/>
                <w:highlight w:val="none"/>
              </w:rPr>
            </w:pPr>
            <w:r>
              <w:rPr>
                <w:rFonts w:hint="eastAsia" w:ascii="宋体" w:hAnsi="宋体" w:cs="宋体"/>
                <w:sz w:val="24"/>
                <w:highlight w:val="none"/>
              </w:rPr>
              <w:t>（5）提供样品的时间：</w:t>
            </w:r>
            <w:r>
              <w:rPr>
                <w:rFonts w:hint="eastAsia" w:ascii="宋体" w:hAnsi="宋体" w:cs="宋体"/>
                <w:sz w:val="24"/>
                <w:highlight w:val="none"/>
                <w:u w:val="single"/>
              </w:rPr>
              <w:t xml:space="preserve">    </w:t>
            </w:r>
            <w:r>
              <w:rPr>
                <w:rFonts w:hint="eastAsia" w:ascii="宋体" w:hAnsi="宋体" w:cs="宋体"/>
                <w:kern w:val="0"/>
                <w:sz w:val="24"/>
                <w:highlight w:val="none"/>
              </w:rPr>
              <w:t>；地点：</w:t>
            </w:r>
            <w:r>
              <w:rPr>
                <w:rFonts w:hint="eastAsia" w:ascii="宋体" w:hAnsi="宋体" w:cs="宋体"/>
                <w:sz w:val="24"/>
                <w:highlight w:val="none"/>
                <w:u w:val="single"/>
              </w:rPr>
              <w:t xml:space="preserve">    </w:t>
            </w:r>
            <w:r>
              <w:rPr>
                <w:rFonts w:hint="eastAsia" w:ascii="宋体" w:hAnsi="宋体" w:cs="宋体"/>
                <w:kern w:val="0"/>
                <w:sz w:val="24"/>
                <w:highlight w:val="none"/>
              </w:rPr>
              <w:t>；联系人</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28"/>
                <w:sz w:val="24"/>
                <w:highlight w:val="none"/>
              </w:rPr>
              <w:t>联系电话：</w:t>
            </w:r>
            <w:r>
              <w:rPr>
                <w:rFonts w:hint="eastAsia" w:ascii="宋体" w:hAnsi="宋体" w:cs="宋体"/>
                <w:sz w:val="24"/>
                <w:highlight w:val="none"/>
                <w:u w:val="single"/>
              </w:rPr>
              <w:t xml:space="preserve">    </w:t>
            </w:r>
            <w:r>
              <w:rPr>
                <w:rFonts w:hint="eastAsia" w:ascii="宋体" w:hAnsi="宋体" w:cs="宋体"/>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highlight w:val="none"/>
              </w:rPr>
            </w:pPr>
            <w:r>
              <w:rPr>
                <w:rFonts w:hint="eastAsia" w:ascii="宋体" w:hAnsi="宋体" w:cs="宋体"/>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sz w:val="24"/>
                <w:highlight w:val="none"/>
              </w:rPr>
            </w:pPr>
            <w:r>
              <w:rPr>
                <w:rFonts w:hint="eastAsia" w:ascii="宋体" w:hAnsi="宋体" w:cs="宋体"/>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highlight w:val="none"/>
              </w:rPr>
            </w:pPr>
            <w:r>
              <w:rPr>
                <w:rFonts w:hint="eastAsia" w:ascii="宋体" w:hAnsi="宋体" w:cs="宋体"/>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sdt>
              <w:sdtPr>
                <w:rPr>
                  <w:rFonts w:hint="eastAsia" w:ascii="宋体" w:hAnsi="宋体" w:cs="宋体"/>
                  <w:kern w:val="0"/>
                  <w:sz w:val="24"/>
                  <w:highlight w:val="none"/>
                </w:rPr>
                <w:id w:val="-1859348549"/>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kern w:val="0"/>
                <w:sz w:val="24"/>
                <w:highlight w:val="none"/>
              </w:rPr>
              <w:t>A</w:t>
            </w:r>
            <w:r>
              <w:rPr>
                <w:rFonts w:hint="eastAsia" w:ascii="宋体" w:hAnsi="宋体" w:cs="宋体"/>
                <w:sz w:val="24"/>
                <w:highlight w:val="none"/>
              </w:rPr>
              <w:t>不组织。</w:t>
            </w:r>
          </w:p>
          <w:p>
            <w:pPr>
              <w:spacing w:line="360" w:lineRule="auto"/>
              <w:rPr>
                <w:rFonts w:ascii="宋体" w:hAnsi="宋体" w:cs="宋体"/>
                <w:kern w:val="0"/>
                <w:sz w:val="24"/>
                <w:highlight w:val="none"/>
              </w:rPr>
            </w:pPr>
            <w:sdt>
              <w:sdtPr>
                <w:rPr>
                  <w:rFonts w:hint="eastAsia" w:ascii="宋体" w:hAnsi="宋体" w:cs="宋体"/>
                  <w:kern w:val="0"/>
                  <w:sz w:val="24"/>
                  <w:highlight w:val="none"/>
                </w:rPr>
                <w:id w:val="1174071719"/>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kern w:val="0"/>
                <w:sz w:val="24"/>
                <w:highlight w:val="none"/>
              </w:rPr>
              <w:t>B组织。</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（1）在评标时安排每个投标人进行方案讲解演示。每个投标人时间不超过20分钟，</w:t>
            </w:r>
            <w:r>
              <w:rPr>
                <w:rFonts w:hint="eastAsia" w:ascii="宋体" w:hAnsi="宋体" w:cs="宋体"/>
                <w:b/>
                <w:bCs/>
                <w:kern w:val="0"/>
                <w:sz w:val="24"/>
                <w:highlight w:val="none"/>
              </w:rPr>
              <w:t>讲解次序以投标文件解密时间先后次序为准</w:t>
            </w:r>
            <w:r>
              <w:rPr>
                <w:rFonts w:hint="eastAsia" w:ascii="宋体" w:hAnsi="宋体" w:cs="宋体"/>
                <w:kern w:val="0"/>
                <w:sz w:val="24"/>
                <w:highlight w:val="none"/>
              </w:rPr>
              <w:t>，讲解演示人员不超过3人。讲解演示结束后按要求解答评标委员会提问。</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（2）方案讲解演示方式：</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eastAsia="zh-CN"/>
              </w:rPr>
              <w:t>通过</w:t>
            </w:r>
            <w:r>
              <w:rPr>
                <w:rFonts w:hint="eastAsia" w:ascii="宋体" w:hAnsi="宋体" w:cs="宋体"/>
                <w:kern w:val="0"/>
                <w:sz w:val="24"/>
                <w:highlight w:val="none"/>
              </w:rPr>
              <w:t>政采云平台</w:t>
            </w:r>
            <w:r>
              <w:rPr>
                <w:rFonts w:hint="eastAsia" w:ascii="宋体" w:hAnsi="宋体" w:cs="宋体"/>
                <w:kern w:val="0"/>
                <w:sz w:val="24"/>
                <w:highlight w:val="none"/>
                <w:lang w:eastAsia="zh-CN"/>
              </w:rPr>
              <w:t>进行</w:t>
            </w:r>
            <w:r>
              <w:rPr>
                <w:rFonts w:hint="eastAsia" w:ascii="宋体" w:hAnsi="宋体" w:cs="宋体"/>
                <w:kern w:val="0"/>
                <w:sz w:val="24"/>
                <w:highlight w:val="none"/>
              </w:rPr>
              <w:t>在线讲解演示</w:t>
            </w:r>
            <w:r>
              <w:rPr>
                <w:rFonts w:hint="eastAsia" w:ascii="宋体" w:hAnsi="宋体" w:cs="宋体"/>
                <w:b/>
                <w:bCs/>
                <w:kern w:val="0"/>
                <w:sz w:val="24"/>
                <w:highlight w:val="none"/>
                <w:lang w:eastAsia="zh-CN"/>
              </w:rPr>
              <w:t>或</w:t>
            </w:r>
            <w:r>
              <w:rPr>
                <w:rFonts w:hint="eastAsia" w:ascii="宋体" w:hAnsi="宋体" w:cs="宋体"/>
                <w:kern w:val="0"/>
                <w:sz w:val="24"/>
                <w:highlight w:val="none"/>
                <w:lang w:eastAsia="zh-CN"/>
              </w:rPr>
              <w:t>播放已录制好的演示视频（为确保视频播放过程中顺畅、不卡顿，播放视频的分辨率要求为1280*720）</w:t>
            </w:r>
            <w:r>
              <w:rPr>
                <w:rFonts w:hint="eastAsia" w:ascii="宋体" w:hAnsi="宋体" w:cs="宋体"/>
                <w:kern w:val="0"/>
                <w:sz w:val="24"/>
                <w:highlight w:val="none"/>
              </w:rPr>
              <w:t>。政采云平台在线讲解需投标人根据政采云平台操作要求做好准备工作，提前完善软硬件配置环境。</w:t>
            </w:r>
          </w:p>
          <w:p>
            <w:pPr>
              <w:snapToGrid w:val="0"/>
              <w:spacing w:line="360" w:lineRule="auto"/>
              <w:rPr>
                <w:rFonts w:ascii="宋体" w:hAnsi="宋体" w:cs="宋体"/>
                <w:b/>
                <w:kern w:val="0"/>
                <w:sz w:val="24"/>
                <w:highlight w:val="none"/>
                <w:lang w:val="zh-CN"/>
              </w:rPr>
            </w:pPr>
            <w:r>
              <w:rPr>
                <w:rFonts w:hint="eastAsia" w:ascii="宋体" w:hAnsi="宋体" w:cs="宋体"/>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（1）资格证明文件：见招标文件第二部分11.1。</w:t>
            </w:r>
          </w:p>
          <w:p>
            <w:pPr>
              <w:spacing w:line="360" w:lineRule="auto"/>
              <w:rPr>
                <w:rFonts w:ascii="宋体" w:hAnsi="宋体" w:cs="宋体"/>
                <w:snapToGrid w:val="0"/>
                <w:kern w:val="0"/>
                <w:szCs w:val="21"/>
                <w:highlight w:val="none"/>
              </w:rPr>
            </w:pPr>
            <w:r>
              <w:rPr>
                <w:rFonts w:hint="eastAsia" w:ascii="宋体" w:hAnsi="宋体" w:cs="宋体"/>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highlight w:val="none"/>
              </w:rPr>
            </w:pPr>
            <w:r>
              <w:rPr>
                <w:rFonts w:hint="eastAsia" w:ascii="宋体" w:hAnsi="宋体" w:cs="宋体"/>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highlight w:val="none"/>
                <w:lang w:val="zh-CN"/>
              </w:rPr>
            </w:pPr>
            <w:r>
              <w:rPr>
                <w:rFonts w:hint="eastAsia" w:ascii="宋体" w:hAnsi="宋体" w:cs="宋体"/>
                <w:kern w:val="0"/>
                <w:sz w:val="24"/>
                <w:highlight w:val="none"/>
                <w:lang w:val="zh-CN"/>
              </w:rPr>
              <w:t>有关本项目实施所需的所有费用（含税费）均计入报价。</w:t>
            </w:r>
            <w:r>
              <w:rPr>
                <w:rFonts w:hint="eastAsia" w:ascii="宋体" w:hAnsi="宋体" w:cs="宋体"/>
                <w:sz w:val="24"/>
                <w:highlight w:val="none"/>
              </w:rPr>
              <w:t>开标一览表（报价表）是报价的唯一载体</w:t>
            </w:r>
            <w:r>
              <w:rPr>
                <w:rFonts w:hint="eastAsia" w:ascii="宋体" w:hAnsi="宋体" w:cs="宋体"/>
                <w:kern w:val="0"/>
                <w:sz w:val="24"/>
                <w:highlight w:val="none"/>
                <w:lang w:val="zh-CN"/>
              </w:rPr>
              <w:t>。投标文件中价格全部采用人民币报价。招标文件未列明，而投标人认为必需的费用也需列入报价。</w:t>
            </w:r>
            <w:r>
              <w:rPr>
                <w:rFonts w:hint="eastAsia" w:ascii="宋体" w:hAnsi="宋体" w:cs="宋体"/>
                <w:b/>
                <w:kern w:val="0"/>
                <w:sz w:val="24"/>
                <w:highlight w:val="none"/>
                <w:lang w:val="zh-CN"/>
              </w:rPr>
              <w:t>提醒：验收时检测费用由采购人承担，不包含在投标总价中。</w:t>
            </w:r>
          </w:p>
          <w:p>
            <w:pPr>
              <w:snapToGrid w:val="0"/>
              <w:spacing w:line="360" w:lineRule="auto"/>
              <w:jc w:val="left"/>
              <w:rPr>
                <w:rFonts w:ascii="宋体" w:hAnsi="宋体" w:cs="宋体"/>
                <w:b/>
                <w:kern w:val="0"/>
                <w:sz w:val="24"/>
                <w:highlight w:val="none"/>
                <w:lang w:val="zh-CN"/>
              </w:rPr>
            </w:pPr>
            <w:r>
              <w:rPr>
                <w:rFonts w:hint="eastAsia" w:ascii="宋体" w:hAnsi="宋体" w:cs="宋体"/>
                <w:b/>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kern w:val="0"/>
                <w:sz w:val="24"/>
                <w:highlight w:val="none"/>
                <w:lang w:val="zh-CN"/>
              </w:rPr>
            </w:pPr>
            <w:r>
              <w:rPr>
                <w:rFonts w:hint="eastAsia" w:ascii="宋体" w:hAnsi="宋体" w:cs="宋体"/>
                <w:b/>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kern w:val="0"/>
                <w:sz w:val="24"/>
                <w:highlight w:val="none"/>
                <w:lang w:val="zh-CN"/>
              </w:rPr>
            </w:pPr>
            <w:r>
              <w:rPr>
                <w:rFonts w:hint="eastAsia" w:ascii="宋体" w:hAnsi="宋体" w:cs="宋体"/>
                <w:b/>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sz w:val="24"/>
                <w:highlight w:val="none"/>
              </w:rPr>
            </w:pPr>
            <w:r>
              <w:rPr>
                <w:rFonts w:hint="eastAsia" w:ascii="宋体" w:hAnsi="宋体" w:cs="宋体"/>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highlight w:val="none"/>
              </w:rPr>
              <w:t>;</w:t>
            </w:r>
          </w:p>
          <w:p>
            <w:pPr>
              <w:spacing w:line="360" w:lineRule="auto"/>
              <w:ind w:firstLine="241" w:firstLineChars="100"/>
              <w:rPr>
                <w:rFonts w:ascii="宋体" w:hAnsi="宋体" w:cs="宋体"/>
                <w:sz w:val="24"/>
                <w:highlight w:val="none"/>
              </w:rPr>
            </w:pPr>
            <w:r>
              <w:rPr>
                <w:rFonts w:hint="eastAsia" w:ascii="宋体" w:hAnsi="宋体" w:cs="宋体"/>
                <w:b/>
                <w:kern w:val="0"/>
                <w:sz w:val="24"/>
                <w:highlight w:val="none"/>
              </w:rPr>
              <w:t>投标人对根据修正原则修正后的报价不确认的</w:t>
            </w:r>
            <w:r>
              <w:rPr>
                <w:rFonts w:hint="eastAsia" w:ascii="宋体" w:hAnsi="宋体" w:cs="宋体"/>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lang w:val="en-US" w:eastAsia="zh-CN"/>
              </w:rPr>
              <w:t>1</w:t>
            </w:r>
            <w:r>
              <w:rPr>
                <w:rFonts w:hint="eastAsia" w:ascii="宋体" w:hAnsi="宋体" w:cs="宋体"/>
                <w:sz w:val="24"/>
                <w:highlight w:val="none"/>
              </w:rPr>
              <w:t>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z w:val="24"/>
                <w:highlight w:val="none"/>
              </w:rPr>
            </w:pPr>
            <w:r>
              <w:rPr>
                <w:rFonts w:hint="eastAsia" w:ascii="宋体" w:hAnsi="宋体" w:cs="宋体"/>
                <w:snapToGrid w:val="0"/>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宋体" w:hAnsi="宋体" w:cs="宋体"/>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宋体" w:hAnsi="宋体" w:cs="宋体"/>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sz w:val="24"/>
                <w:highlight w:val="none"/>
              </w:rPr>
            </w:pPr>
            <w:r>
              <w:rPr>
                <w:rFonts w:hint="eastAsia" w:hAnsi="宋体" w:cs="宋体"/>
                <w:kern w:val="28"/>
                <w:sz w:val="24"/>
                <w:szCs w:val="24"/>
                <w:highlight w:val="none"/>
              </w:rPr>
              <w:t>备份投标文件送达地点：</w:t>
            </w:r>
            <w:r>
              <w:rPr>
                <w:rFonts w:hint="eastAsia" w:hAnsi="宋体" w:cs="宋体"/>
                <w:sz w:val="24"/>
                <w:highlight w:val="none"/>
                <w:u w:val="single"/>
                <w:lang w:eastAsia="zh-CN"/>
              </w:rPr>
              <w:t>杭州市文一西路858号东3楼329办公室</w:t>
            </w:r>
            <w:r>
              <w:rPr>
                <w:rFonts w:hint="eastAsia" w:hAnsi="宋体" w:cs="宋体"/>
                <w:sz w:val="24"/>
                <w:highlight w:val="none"/>
                <w:u w:val="single"/>
              </w:rPr>
              <w:t xml:space="preserve"> </w:t>
            </w:r>
            <w:r>
              <w:rPr>
                <w:rFonts w:hint="eastAsia" w:hAnsi="宋体" w:cs="宋体"/>
                <w:kern w:val="28"/>
                <w:sz w:val="24"/>
                <w:szCs w:val="24"/>
                <w:highlight w:val="none"/>
              </w:rPr>
              <w:t>；备份投标文件签收人员联系电话：</w:t>
            </w:r>
            <w:r>
              <w:rPr>
                <w:rFonts w:hint="eastAsia" w:hAnsi="宋体" w:cs="宋体"/>
                <w:sz w:val="24"/>
                <w:highlight w:val="none"/>
                <w:u w:val="single"/>
              </w:rPr>
              <w:t xml:space="preserve">  </w:t>
            </w:r>
            <w:r>
              <w:rPr>
                <w:rFonts w:hint="eastAsia" w:hAnsi="宋体" w:cs="宋体"/>
                <w:sz w:val="24"/>
                <w:highlight w:val="none"/>
                <w:u w:val="single"/>
                <w:lang w:eastAsia="zh-CN"/>
              </w:rPr>
              <w:t>0571-87759375</w:t>
            </w:r>
            <w:r>
              <w:rPr>
                <w:rFonts w:hint="eastAsia" w:hAnsi="宋体" w:cs="宋体"/>
                <w:sz w:val="24"/>
                <w:szCs w:val="24"/>
                <w:highlight w:val="none"/>
              </w:rPr>
              <w:t>。</w:t>
            </w:r>
            <w:r>
              <w:rPr>
                <w:rFonts w:hint="eastAsia" w:hAnsi="宋体" w:cs="宋体"/>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43"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lang w:eastAsia="zh-CN"/>
              </w:rPr>
              <w:t>特别</w:t>
            </w:r>
            <w:r>
              <w:rPr>
                <w:rFonts w:hint="eastAsia" w:ascii="宋体" w:hAnsi="宋体" w:cs="宋体"/>
                <w:b/>
                <w:sz w:val="24"/>
                <w:highlight w:val="none"/>
              </w:rPr>
              <w:t>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r>
              <w:rPr>
                <w:rFonts w:hint="eastAsia" w:ascii="宋体" w:hAnsi="宋体" w:cs="宋体"/>
                <w:snapToGrid w:val="0"/>
                <w:kern w:val="28"/>
                <w:sz w:val="24"/>
                <w:highlight w:val="none"/>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cs="宋体"/>
                <w:b/>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43" w:hRule="atLeast"/>
          <w:tblHeader/>
        </w:trPr>
        <w:tc>
          <w:tcPr>
            <w:tcW w:w="629" w:type="dxa"/>
            <w:vMerge w:val="continue"/>
            <w:tcBorders>
              <w:left w:val="single" w:color="000000" w:sz="8" w:space="0"/>
              <w:bottom w:val="single" w:color="auto" w:sz="4" w:space="0"/>
              <w:right w:val="single" w:color="000000" w:sz="2" w:space="0"/>
            </w:tcBorders>
            <w:vAlign w:val="center"/>
          </w:tcPr>
          <w:p>
            <w:pPr>
              <w:spacing w:line="360" w:lineRule="auto"/>
              <w:rPr>
                <w:highlight w:val="none"/>
              </w:rPr>
            </w:pPr>
          </w:p>
        </w:tc>
        <w:tc>
          <w:tcPr>
            <w:tcW w:w="1843" w:type="dxa"/>
            <w:vMerge w:val="continue"/>
            <w:tcBorders>
              <w:left w:val="single" w:color="000000" w:sz="2" w:space="0"/>
              <w:bottom w:val="single" w:color="000000" w:sz="8" w:space="0"/>
              <w:right w:val="single" w:color="000000" w:sz="8" w:space="0"/>
            </w:tcBorders>
            <w:vAlign w:val="center"/>
          </w:tcPr>
          <w:p>
            <w:pPr>
              <w:spacing w:line="360" w:lineRule="auto"/>
              <w:rPr>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sdt>
              <w:sdtPr>
                <w:rPr>
                  <w:rFonts w:hint="eastAsia" w:cs="Arial" w:asciiTheme="minorEastAsia" w:hAnsiTheme="minorEastAsia" w:eastAsiaTheme="minorEastAsia"/>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ascii="宋体" w:hAnsi="宋体" w:cs="宋体"/>
                <w:snapToGrid w:val="0"/>
                <w:kern w:val="28"/>
                <w:sz w:val="24"/>
                <w:highlight w:val="none"/>
              </w:rPr>
              <w:t>联合体投标的，联合体各方均需按招标文件第四部分评标标准要求提供资信证明文件，否则视为不符合相关要求。</w:t>
            </w:r>
          </w:p>
          <w:p>
            <w:pPr>
              <w:spacing w:line="360" w:lineRule="auto"/>
              <w:rPr>
                <w:rFonts w:hint="eastAsia" w:ascii="宋体" w:hAnsi="宋体" w:cs="宋体"/>
                <w:snapToGrid w:val="0"/>
                <w:kern w:val="28"/>
                <w:sz w:val="24"/>
                <w:highlight w:val="none"/>
              </w:rPr>
            </w:pPr>
            <w:sdt>
              <w:sdtPr>
                <w:rPr>
                  <w:rFonts w:hint="eastAsia" w:cs="Arial" w:asciiTheme="minorEastAsia" w:hAnsiTheme="minorEastAsia" w:eastAsiaTheme="minorEastAsia"/>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cs="Arial" w:asciiTheme="minorEastAsia" w:hAnsiTheme="minorEastAsia" w:eastAsiaTheme="minorEastAsia"/>
                    <w:kern w:val="0"/>
                    <w:sz w:val="24"/>
                    <w:highlight w:val="none"/>
                  </w:rPr>
                  <w:sym w:font="Wingdings" w:char="F0FE"/>
                </w:r>
              </w:sdtContent>
            </w:sdt>
            <w:r>
              <w:rPr>
                <w:rFonts w:hint="eastAsia" w:ascii="宋体" w:hAnsi="宋体" w:cs="宋体"/>
                <w:snapToGrid w:val="0"/>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sz w:val="32"/>
          <w:szCs w:val="20"/>
          <w:highlight w:val="none"/>
        </w:rPr>
      </w:pPr>
    </w:p>
    <w:bookmarkEnd w:id="10"/>
    <w:p>
      <w:pPr>
        <w:adjustRightInd/>
        <w:spacing w:line="360" w:lineRule="auto"/>
        <w:ind w:firstLine="3845" w:firstLineChars="1197"/>
        <w:outlineLvl w:val="0"/>
        <w:rPr>
          <w:rFonts w:ascii="宋体" w:hAnsi="宋体" w:cs="宋体"/>
          <w:b/>
          <w:sz w:val="32"/>
          <w:szCs w:val="20"/>
          <w:highlight w:val="none"/>
        </w:rPr>
      </w:pPr>
      <w:bookmarkStart w:id="11" w:name="第三部分"/>
      <w:bookmarkStart w:id="12" w:name="_Toc164416483"/>
      <w:r>
        <w:rPr>
          <w:rFonts w:hint="eastAsia" w:ascii="宋体" w:hAnsi="宋体" w:cs="宋体"/>
          <w:b/>
          <w:sz w:val="32"/>
          <w:szCs w:val="20"/>
          <w:highlight w:val="none"/>
        </w:rPr>
        <w:t>一、总则</w:t>
      </w:r>
    </w:p>
    <w:p>
      <w:pPr>
        <w:snapToGrid w:val="0"/>
        <w:spacing w:line="360" w:lineRule="auto"/>
        <w:ind w:firstLine="361" w:firstLineChars="150"/>
        <w:jc w:val="left"/>
        <w:outlineLvl w:val="1"/>
        <w:rPr>
          <w:rFonts w:ascii="宋体" w:hAnsi="宋体" w:cs="宋体"/>
          <w:b/>
          <w:sz w:val="24"/>
          <w:highlight w:val="none"/>
        </w:rPr>
      </w:pPr>
      <w:r>
        <w:rPr>
          <w:rFonts w:hint="eastAsia" w:ascii="宋体" w:hAnsi="宋体" w:cs="宋体"/>
          <w:b/>
          <w:sz w:val="24"/>
          <w:highlight w:val="none"/>
        </w:rPr>
        <w:t>1. 适用范围</w:t>
      </w:r>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highlight w:val="none"/>
        </w:rPr>
      </w:pPr>
      <w:r>
        <w:rPr>
          <w:rFonts w:hint="eastAsia" w:ascii="宋体" w:hAnsi="宋体" w:cs="宋体"/>
          <w:b/>
          <w:sz w:val="24"/>
          <w:highlight w:val="none"/>
        </w:rPr>
        <w:t xml:space="preserve">   2.定义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 “采购人”系指招标公告中载明的本项目的采购人。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2.2 “采购机构”系指招标公告中载明的本项目的采购机构。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2.3 “投标人”系指是指响应招标、参加投标竞争的法人、其他组织或者自然人。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2.6“电子交易平台”是指本项目政府采购活动所依托的政府采购云平台（https://www.zcygov.cn/）。</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2.7 “▲” 系指实质性要求条款，“</w:t>
      </w:r>
      <w:sdt>
        <w:sdtPr>
          <w:rPr>
            <w:rFonts w:hint="eastAsia" w:ascii="宋体" w:hAnsi="宋体" w:cs="宋体"/>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cs="宋体"/>
              <w:kern w:val="0"/>
              <w:sz w:val="24"/>
              <w:highlight w:val="none"/>
            </w:rPr>
            <w:t>þ</w:t>
          </w:r>
        </w:sdtContent>
      </w:sdt>
      <w:r>
        <w:rPr>
          <w:rFonts w:hint="eastAsia" w:ascii="宋体" w:hAnsi="宋体" w:cs="宋体"/>
          <w:sz w:val="24"/>
          <w:highlight w:val="none"/>
        </w:rPr>
        <w:t>” 系指适用本项目的要求，“</w:t>
      </w:r>
      <w:sdt>
        <w:sdtPr>
          <w:rPr>
            <w:rFonts w:hint="eastAsia" w:ascii="宋体" w:hAnsi="宋体" w:cs="宋体"/>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 系指不适用本项目的要求。</w:t>
      </w:r>
    </w:p>
    <w:p>
      <w:pPr>
        <w:spacing w:line="360" w:lineRule="auto"/>
        <w:ind w:firstLine="241" w:firstLineChars="100"/>
        <w:rPr>
          <w:rFonts w:ascii="宋体" w:hAnsi="宋体" w:cs="宋体"/>
          <w:b/>
          <w:sz w:val="24"/>
          <w:highlight w:val="none"/>
        </w:rPr>
      </w:pPr>
      <w:r>
        <w:rPr>
          <w:rFonts w:hint="eastAsia" w:ascii="宋体" w:hAnsi="宋体" w:cs="宋体"/>
          <w:b/>
          <w:sz w:val="24"/>
          <w:highlight w:val="none"/>
        </w:rPr>
        <w:t>3.</w:t>
      </w:r>
      <w:r>
        <w:rPr>
          <w:rFonts w:hint="eastAsia" w:ascii="宋体" w:hAnsi="宋体" w:cs="宋体"/>
          <w:highlight w:val="none"/>
        </w:rPr>
        <w:t xml:space="preserve"> </w:t>
      </w:r>
      <w:r>
        <w:rPr>
          <w:rFonts w:hint="eastAsia" w:ascii="宋体" w:hAnsi="宋体" w:cs="宋体"/>
          <w:b/>
          <w:sz w:val="24"/>
          <w:highlight w:val="none"/>
        </w:rPr>
        <w:t>采购项目需要落实的政府采购政策</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highlight w:val="none"/>
        </w:rPr>
        <w:t>优先采购向我国企业转让技术、与我国企业签订消化吸收再创新方案的供应商的进口产品</w:t>
      </w:r>
      <w:r>
        <w:rPr>
          <w:rFonts w:hint="eastAsia" w:ascii="宋体" w:hAnsi="宋体" w:cs="宋体"/>
          <w:sz w:val="24"/>
          <w:highlight w:val="none"/>
        </w:rPr>
        <w:t>。</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3.2 支持绿色发展</w:t>
      </w:r>
    </w:p>
    <w:p>
      <w:pPr>
        <w:spacing w:line="360" w:lineRule="auto"/>
        <w:ind w:firstLine="480" w:firstLineChars="200"/>
        <w:rPr>
          <w:rFonts w:ascii="宋体" w:hAnsi="宋体" w:cs="宋体"/>
          <w:b/>
          <w:sz w:val="24"/>
          <w:highlight w:val="none"/>
        </w:rPr>
      </w:pPr>
      <w:r>
        <w:rPr>
          <w:rFonts w:hint="eastAsia" w:ascii="宋体" w:hAnsi="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3.3支持中小企业发展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bCs/>
          <w:sz w:val="24"/>
          <w:highlight w:val="none"/>
        </w:rPr>
        <w:t>3.3.2</w:t>
      </w:r>
      <w:r>
        <w:rPr>
          <w:rFonts w:hint="eastAsia" w:ascii="宋体" w:hAnsi="宋体" w:cs="宋体"/>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3.3.3对于未预留份额专门面向中小企业的政府采购服务项目，以及预留份额政府采购服务项目中的非预留部分标项，对小型和微型企业的投标报价给予</w:t>
      </w:r>
      <w:r>
        <w:rPr>
          <w:rFonts w:hint="default" w:ascii="宋体" w:hAnsi="宋体" w:cs="宋体"/>
          <w:sz w:val="24"/>
          <w:highlight w:val="none"/>
          <w:lang w:val="en-US"/>
        </w:rPr>
        <w:t>2</w:t>
      </w:r>
      <w:r>
        <w:rPr>
          <w:rFonts w:hint="eastAsia" w:ascii="宋体" w:hAnsi="宋体" w:cs="宋体"/>
          <w:sz w:val="24"/>
          <w:highlight w:val="none"/>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default" w:ascii="宋体" w:hAnsi="宋体" w:cs="宋体"/>
          <w:sz w:val="24"/>
          <w:highlight w:val="none"/>
          <w:lang w:val="en-US"/>
        </w:rPr>
        <w:t>6</w:t>
      </w:r>
      <w:r>
        <w:rPr>
          <w:rFonts w:hint="eastAsia" w:ascii="宋体" w:hAnsi="宋体" w:cs="宋体"/>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3.4</w:t>
      </w:r>
      <w:r>
        <w:rPr>
          <w:rFonts w:hint="eastAsia" w:ascii="宋体" w:hAnsi="宋体" w:cs="宋体"/>
          <w:bCs/>
          <w:sz w:val="24"/>
          <w:highlight w:val="none"/>
        </w:rPr>
        <w:t>支持创新发展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3.4.1 采购人优先采购被认定为首台套产品和“制造精品”的自主创新产品。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3.4.2首台套产品被纳入《首台套产品推广应用指导目录》之日起</w:t>
      </w:r>
      <w:r>
        <w:rPr>
          <w:rFonts w:hint="default" w:ascii="宋体" w:hAnsi="宋体" w:cs="宋体"/>
          <w:sz w:val="24"/>
          <w:highlight w:val="none"/>
          <w:lang w:val="en-US"/>
        </w:rPr>
        <w:t>3</w:t>
      </w:r>
      <w:r>
        <w:rPr>
          <w:rFonts w:hint="eastAsia" w:ascii="宋体" w:hAnsi="宋体" w:cs="宋体"/>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highlight w:val="none"/>
        </w:rPr>
      </w:pPr>
      <w:r>
        <w:rPr>
          <w:rFonts w:hint="eastAsia" w:ascii="宋体" w:hAnsi="宋体" w:cs="宋体"/>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3.5平等对待内外资企业和符合条件的破产重整企业</w:t>
      </w:r>
    </w:p>
    <w:p>
      <w:pPr>
        <w:spacing w:line="360" w:lineRule="auto"/>
        <w:ind w:firstLine="240" w:firstLineChars="100"/>
        <w:rPr>
          <w:rFonts w:ascii="宋体" w:hAnsi="宋体" w:cs="宋体"/>
          <w:b/>
          <w:sz w:val="24"/>
          <w:highlight w:val="none"/>
        </w:rPr>
      </w:pPr>
      <w:r>
        <w:rPr>
          <w:rFonts w:hint="eastAsia" w:ascii="宋体" w:hAnsi="宋体" w:cs="宋体"/>
          <w:sz w:val="24"/>
          <w:highlight w:val="none"/>
        </w:rPr>
        <w:t>平等对待内外资企业和符合条件的破产重整企业，切实保障企业公平竞争，平等维护企业的合法利益。</w:t>
      </w:r>
      <w:r>
        <w:rPr>
          <w:rFonts w:hint="eastAsia" w:ascii="宋体" w:hAnsi="宋体" w:cs="宋体"/>
          <w:sz w:val="24"/>
          <w:highlight w:val="none"/>
        </w:rPr>
        <w:cr/>
      </w:r>
      <w:r>
        <w:rPr>
          <w:rFonts w:hint="eastAsia" w:ascii="宋体" w:hAnsi="宋体" w:cs="宋体"/>
          <w:b/>
          <w:sz w:val="24"/>
          <w:highlight w:val="none"/>
        </w:rPr>
        <w:t>4. 询问、质疑、投诉</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4.1供应商询问</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4.2供应商质疑</w:t>
      </w:r>
    </w:p>
    <w:p>
      <w:pPr>
        <w:pStyle w:val="34"/>
        <w:spacing w:line="360" w:lineRule="auto"/>
        <w:ind w:firstLine="480" w:firstLineChars="200"/>
        <w:rPr>
          <w:rFonts w:hAnsi="宋体" w:cs="宋体"/>
          <w:sz w:val="24"/>
          <w:highlight w:val="none"/>
        </w:rPr>
      </w:pPr>
      <w:r>
        <w:rPr>
          <w:rFonts w:hint="eastAsia" w:hAnsi="宋体" w:cs="宋体"/>
          <w:kern w:val="0"/>
          <w:sz w:val="24"/>
          <w:highlight w:val="none"/>
          <w:lang w:val="zh-CN"/>
        </w:rPr>
        <w:t>4.2</w:t>
      </w:r>
      <w:r>
        <w:rPr>
          <w:rFonts w:hint="eastAsia" w:hAnsi="宋体" w:cs="宋体"/>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highlight w:val="none"/>
        </w:rPr>
      </w:pPr>
      <w:r>
        <w:rPr>
          <w:rFonts w:hint="eastAsia" w:hAnsi="宋体" w:cs="宋体"/>
          <w:kern w:val="0"/>
          <w:sz w:val="24"/>
          <w:highlight w:val="none"/>
          <w:lang w:val="zh-CN"/>
        </w:rPr>
        <w:t>4.2</w:t>
      </w:r>
      <w:r>
        <w:rPr>
          <w:rFonts w:hint="eastAsia" w:hAnsi="宋体" w:cs="宋体"/>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4.2.2.1对招标文件提出质疑的，质疑期限为供应商获得招标文件之日或者招标文件公告期限届满之日起计算。</w:t>
      </w:r>
    </w:p>
    <w:p>
      <w:pPr>
        <w:pStyle w:val="34"/>
        <w:spacing w:line="360" w:lineRule="auto"/>
        <w:ind w:left="479" w:leftChars="228"/>
        <w:rPr>
          <w:rFonts w:hAnsi="宋体" w:cs="宋体"/>
          <w:sz w:val="24"/>
          <w:highlight w:val="none"/>
        </w:rPr>
      </w:pPr>
      <w:r>
        <w:rPr>
          <w:rFonts w:hint="eastAsia" w:hAnsi="宋体" w:cs="宋体"/>
          <w:sz w:val="24"/>
          <w:highlight w:val="none"/>
        </w:rPr>
        <w:t>4.2.2.2对采购过程提出质疑的，质疑期限为各采购程序环节结束之日起计算。4.2.2.3对采购结果提出质疑的，质疑期限自采购结果公告期限届满之日起计算。</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4.2.3</w:t>
      </w:r>
      <w:r>
        <w:rPr>
          <w:rFonts w:hint="eastAsia" w:hAnsi="宋体" w:cs="宋体"/>
          <w:sz w:val="24"/>
          <w:highlight w:val="none"/>
        </w:rPr>
        <w:t>供应商提出质疑应当提交质疑函和必要的证明材料。质疑函应当包括下列内容：</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4.2.3.1供应商的姓名或者名称、地址、邮编、联系人及联系电话；</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4.2.3.2质疑项目的名称、编号；</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4.2.3.3具体、明确的质疑事项和与质疑事项相关的请求；</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4.2.3.4事实依据；</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4.2.3.5必要的法律依据；</w:t>
      </w:r>
    </w:p>
    <w:p>
      <w:pPr>
        <w:pStyle w:val="34"/>
        <w:spacing w:line="360" w:lineRule="auto"/>
        <w:ind w:firstLine="960" w:firstLineChars="400"/>
        <w:rPr>
          <w:rFonts w:hAnsi="宋体" w:cs="宋体"/>
          <w:kern w:val="0"/>
          <w:sz w:val="24"/>
          <w:highlight w:val="none"/>
          <w:lang w:val="zh-CN"/>
        </w:rPr>
      </w:pPr>
      <w:r>
        <w:rPr>
          <w:rFonts w:hint="eastAsia" w:hAnsi="宋体" w:cs="宋体"/>
          <w:kern w:val="0"/>
          <w:sz w:val="24"/>
          <w:highlight w:val="none"/>
          <w:lang w:val="zh-CN"/>
        </w:rPr>
        <w:t>4.2.3.6提出质疑的日期。</w:t>
      </w:r>
    </w:p>
    <w:p>
      <w:pPr>
        <w:ind w:firstLine="480" w:firstLineChars="200"/>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质疑函范本及制作说明详见附件2。</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4.2.4对同一采购程序环节的质疑，供应商须在法定质疑期内一次性提出。</w:t>
      </w:r>
    </w:p>
    <w:p>
      <w:pPr>
        <w:pStyle w:val="886"/>
        <w:shd w:val="clear" w:color="auto" w:fill="FFFFFF"/>
        <w:snapToGrid w:val="0"/>
        <w:spacing w:after="240" w:afterAutospacing="0" w:line="360" w:lineRule="auto"/>
        <w:ind w:firstLine="400"/>
        <w:contextualSpacing/>
        <w:rPr>
          <w:highlight w:val="none"/>
        </w:rPr>
      </w:pPr>
      <w:r>
        <w:rPr>
          <w:rFonts w:hint="eastAsia"/>
          <w:highlight w:val="none"/>
          <w:lang w:val="zh-CN"/>
        </w:rPr>
        <w:t>4.2</w:t>
      </w:r>
      <w:r>
        <w:rPr>
          <w:rFonts w:hint="eastAsia"/>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highlight w:val="none"/>
        </w:rPr>
      </w:pPr>
      <w:r>
        <w:rPr>
          <w:rFonts w:hint="eastAsia"/>
          <w:highlight w:val="none"/>
          <w:lang w:val="zh-CN"/>
        </w:rPr>
        <w:t>4.2</w:t>
      </w:r>
      <w:r>
        <w:rPr>
          <w:rFonts w:hint="eastAsia"/>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highlight w:val="none"/>
          <w:lang w:val="zh-CN"/>
        </w:rPr>
      </w:pPr>
      <w:r>
        <w:rPr>
          <w:rFonts w:hint="eastAsia"/>
          <w:highlight w:val="none"/>
          <w:lang w:val="zh-CN"/>
        </w:rPr>
        <w:t>4.3供应商投诉</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4.3.</w:t>
      </w:r>
      <w:r>
        <w:rPr>
          <w:rFonts w:hint="eastAsia"/>
          <w:highlight w:val="none"/>
          <w:lang w:val="zh-CN"/>
        </w:rPr>
        <w:t>2</w:t>
      </w:r>
      <w:r>
        <w:rPr>
          <w:rFonts w:hint="eastAsia"/>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4.3.3供应商投诉应当有明确的请求和必要的证明材料。</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投诉书范本及制作说明详见附件3。</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4.4在线质疑、投诉。</w:t>
      </w:r>
    </w:p>
    <w:p>
      <w:pPr>
        <w:pStyle w:val="886"/>
        <w:shd w:val="clear" w:color="auto" w:fill="FFFFFF"/>
        <w:snapToGrid w:val="0"/>
        <w:spacing w:after="240" w:afterAutospacing="0" w:line="360" w:lineRule="auto"/>
        <w:ind w:firstLine="480" w:firstLineChars="200"/>
        <w:contextualSpacing/>
        <w:rPr>
          <w:highlight w:val="none"/>
        </w:rPr>
      </w:pPr>
      <w:r>
        <w:rPr>
          <w:rFonts w:hint="eastAsia"/>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28"/>
        <w:snapToGrid w:val="0"/>
        <w:spacing w:before="0"/>
        <w:ind w:firstLine="360"/>
        <w:rPr>
          <w:rFonts w:ascii="宋体" w:hAnsi="宋体" w:cs="宋体"/>
          <w:sz w:val="18"/>
          <w:szCs w:val="18"/>
          <w:highlight w:val="none"/>
        </w:rPr>
      </w:pPr>
    </w:p>
    <w:p>
      <w:pPr>
        <w:adjustRightInd/>
        <w:spacing w:line="360" w:lineRule="auto"/>
        <w:jc w:val="center"/>
        <w:outlineLvl w:val="0"/>
        <w:rPr>
          <w:rFonts w:ascii="宋体" w:hAnsi="宋体" w:cs="宋体"/>
          <w:b/>
          <w:sz w:val="32"/>
          <w:szCs w:val="20"/>
          <w:highlight w:val="none"/>
        </w:rPr>
      </w:pPr>
      <w:r>
        <w:rPr>
          <w:rFonts w:hint="eastAsia" w:ascii="宋体" w:hAnsi="宋体" w:cs="宋体"/>
          <w:b/>
          <w:sz w:val="32"/>
          <w:szCs w:val="20"/>
          <w:highlight w:val="none"/>
        </w:rPr>
        <w:t xml:space="preserve">      二、招标文件的构成、澄清、修改</w:t>
      </w:r>
    </w:p>
    <w:p>
      <w:pPr>
        <w:pStyle w:val="34"/>
        <w:spacing w:line="360" w:lineRule="auto"/>
        <w:rPr>
          <w:rFonts w:hAnsi="宋体" w:cs="宋体"/>
          <w:b/>
          <w:sz w:val="24"/>
          <w:szCs w:val="24"/>
          <w:highlight w:val="none"/>
        </w:rPr>
      </w:pPr>
      <w:r>
        <w:rPr>
          <w:rFonts w:hint="eastAsia" w:hAnsi="宋体" w:cs="宋体"/>
          <w:b/>
          <w:sz w:val="24"/>
          <w:szCs w:val="24"/>
          <w:highlight w:val="none"/>
        </w:rPr>
        <w:t>5．招标文件的构成</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5.1 招标文件包括下列文件及附件：</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5.1.1招标公告；</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5.1.2投标人须知；</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5.1.3采购需求；</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5.1.4评标办法；</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5.1.5拟签订的合同文本；</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highlight w:val="none"/>
        </w:rPr>
        <w:t>5.1.6</w:t>
      </w:r>
      <w:r>
        <w:rPr>
          <w:rFonts w:hint="eastAsia" w:hAnsi="宋体" w:cs="宋体"/>
          <w:sz w:val="24"/>
          <w:szCs w:val="24"/>
          <w:highlight w:val="none"/>
        </w:rPr>
        <w:t>应提交的有关格式范例。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5.2与本项目有关的</w:t>
      </w:r>
      <w:r>
        <w:rPr>
          <w:rFonts w:hint="eastAsia" w:ascii="宋体" w:hAnsi="宋体" w:cs="宋体"/>
          <w:bCs/>
          <w:sz w:val="24"/>
          <w:highlight w:val="none"/>
        </w:rPr>
        <w:t>澄清或者修改的内容为招标文件的组成部分</w:t>
      </w:r>
      <w:r>
        <w:rPr>
          <w:rFonts w:hint="eastAsia" w:ascii="宋体" w:hAnsi="宋体" w:cs="宋体"/>
          <w:sz w:val="24"/>
          <w:highlight w:val="none"/>
        </w:rPr>
        <w:t>。</w:t>
      </w:r>
    </w:p>
    <w:p>
      <w:pPr>
        <w:pStyle w:val="34"/>
        <w:spacing w:line="360" w:lineRule="auto"/>
        <w:rPr>
          <w:rFonts w:hAnsi="宋体" w:cs="宋体"/>
          <w:b/>
          <w:sz w:val="24"/>
          <w:szCs w:val="24"/>
          <w:highlight w:val="none"/>
        </w:rPr>
      </w:pPr>
      <w:r>
        <w:rPr>
          <w:rFonts w:hint="eastAsia" w:hAnsi="宋体" w:cs="宋体"/>
          <w:b/>
          <w:sz w:val="24"/>
          <w:szCs w:val="24"/>
          <w:highlight w:val="none"/>
        </w:rPr>
        <w:t>6. 招标文件的澄清、修改</w:t>
      </w:r>
    </w:p>
    <w:p>
      <w:pPr>
        <w:pStyle w:val="128"/>
        <w:snapToGrid w:val="0"/>
        <w:spacing w:before="0"/>
        <w:ind w:firstLine="480"/>
        <w:rPr>
          <w:rFonts w:ascii="宋体" w:hAnsi="宋体" w:cs="宋体"/>
          <w:highlight w:val="none"/>
        </w:rPr>
      </w:pPr>
      <w:r>
        <w:rPr>
          <w:rFonts w:hint="eastAsia" w:ascii="宋体" w:hAnsi="宋体" w:cs="宋体"/>
          <w:highlight w:val="none"/>
        </w:rPr>
        <w:t>6.1已获取招标文件的潜在投标人，若有问题需要澄清，应于投标截止时间前，以书面形式向采购机构提出。</w:t>
      </w:r>
    </w:p>
    <w:p>
      <w:pPr>
        <w:pStyle w:val="128"/>
        <w:snapToGrid w:val="0"/>
        <w:spacing w:before="0"/>
        <w:ind w:firstLine="480"/>
        <w:rPr>
          <w:rFonts w:ascii="宋体" w:hAnsi="宋体" w:cs="宋体"/>
          <w:highlight w:val="none"/>
        </w:rPr>
      </w:pPr>
      <w:r>
        <w:rPr>
          <w:rFonts w:hint="eastAsia" w:ascii="宋体" w:hAnsi="宋体" w:cs="宋体"/>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highlight w:val="none"/>
          <w:lang w:val="en-US"/>
        </w:rPr>
      </w:pPr>
      <w:r>
        <w:rPr>
          <w:rFonts w:hint="eastAsia" w:hAnsi="宋体" w:cs="宋体"/>
          <w:szCs w:val="24"/>
          <w:highlight w:val="none"/>
          <w:lang w:val="en-US"/>
        </w:rPr>
        <w:t xml:space="preserve">    </w:t>
      </w:r>
    </w:p>
    <w:p>
      <w:pPr>
        <w:adjustRightInd/>
        <w:spacing w:line="360" w:lineRule="auto"/>
        <w:jc w:val="center"/>
        <w:outlineLvl w:val="0"/>
        <w:rPr>
          <w:rFonts w:ascii="宋体" w:hAnsi="宋体" w:cs="宋体"/>
          <w:b/>
          <w:sz w:val="30"/>
          <w:szCs w:val="20"/>
          <w:highlight w:val="none"/>
        </w:rPr>
      </w:pPr>
      <w:r>
        <w:rPr>
          <w:rFonts w:hint="eastAsia" w:ascii="宋体" w:hAnsi="宋体" w:cs="宋体"/>
          <w:b/>
          <w:sz w:val="30"/>
          <w:szCs w:val="20"/>
          <w:highlight w:val="none"/>
        </w:rPr>
        <w:t>三、投标</w:t>
      </w:r>
    </w:p>
    <w:p>
      <w:pPr>
        <w:pStyle w:val="34"/>
        <w:spacing w:line="360" w:lineRule="auto"/>
        <w:rPr>
          <w:rFonts w:hAnsi="宋体" w:cs="宋体"/>
          <w:b/>
          <w:sz w:val="24"/>
          <w:szCs w:val="24"/>
          <w:highlight w:val="none"/>
        </w:rPr>
      </w:pPr>
      <w:r>
        <w:rPr>
          <w:rFonts w:hint="eastAsia" w:hAnsi="宋体" w:cs="宋体"/>
          <w:b/>
          <w:sz w:val="24"/>
          <w:szCs w:val="24"/>
          <w:highlight w:val="none"/>
        </w:rPr>
        <w:t>7. 招标文件的获取</w:t>
      </w:r>
    </w:p>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详见招标公告中获取招标文件的时间期限、地点、方式及招标文件售价。</w:t>
      </w:r>
    </w:p>
    <w:p>
      <w:pPr>
        <w:pStyle w:val="34"/>
        <w:spacing w:line="360" w:lineRule="auto"/>
        <w:rPr>
          <w:rFonts w:hAnsi="宋体" w:cs="宋体"/>
          <w:b/>
          <w:sz w:val="24"/>
          <w:szCs w:val="24"/>
          <w:highlight w:val="none"/>
        </w:rPr>
      </w:pPr>
      <w:r>
        <w:rPr>
          <w:rFonts w:hint="eastAsia" w:hAnsi="宋体" w:cs="宋体"/>
          <w:b/>
          <w:sz w:val="24"/>
          <w:szCs w:val="24"/>
          <w:highlight w:val="none"/>
        </w:rPr>
        <w:t>8.开标前答疑会或现场考察</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highlight w:val="none"/>
        </w:rPr>
      </w:pPr>
      <w:r>
        <w:rPr>
          <w:rFonts w:hint="eastAsia" w:hAnsi="宋体" w:cs="宋体"/>
          <w:b/>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sz w:val="24"/>
          <w:szCs w:val="24"/>
          <w:highlight w:val="none"/>
        </w:rPr>
      </w:pPr>
      <w:r>
        <w:rPr>
          <w:rFonts w:hint="eastAsia" w:hAnsi="宋体" w:cs="宋体"/>
          <w:b/>
          <w:sz w:val="24"/>
          <w:szCs w:val="24"/>
          <w:highlight w:val="none"/>
        </w:rPr>
        <w:t>10. 投标文件的语言</w:t>
      </w:r>
    </w:p>
    <w:p>
      <w:pPr>
        <w:autoSpaceDE w:val="0"/>
        <w:autoSpaceDN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投标文件及投标人与采购有关的来往通知、函件和文件均应使用中文。</w:t>
      </w:r>
    </w:p>
    <w:p>
      <w:pPr>
        <w:pStyle w:val="34"/>
        <w:spacing w:line="360" w:lineRule="auto"/>
        <w:rPr>
          <w:rFonts w:hAnsi="宋体" w:cs="宋体"/>
          <w:b/>
          <w:sz w:val="24"/>
          <w:szCs w:val="24"/>
          <w:highlight w:val="none"/>
        </w:rPr>
      </w:pPr>
      <w:r>
        <w:rPr>
          <w:rFonts w:hint="eastAsia" w:hAnsi="宋体" w:cs="宋体"/>
          <w:b/>
          <w:sz w:val="24"/>
          <w:szCs w:val="24"/>
          <w:highlight w:val="none"/>
        </w:rPr>
        <w:t>11. 投标文件的组成</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11.1</w:t>
      </w:r>
      <w:r>
        <w:rPr>
          <w:rFonts w:hint="eastAsia" w:ascii="宋体" w:hAnsi="宋体" w:cs="宋体"/>
          <w:b/>
          <w:sz w:val="24"/>
          <w:highlight w:val="none"/>
        </w:rPr>
        <w:t>资格文件</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11.1.1符合参加政府采购活动应当具备的一般条件的承诺函；</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w:t>
      </w:r>
      <w:r>
        <w:rPr>
          <w:rFonts w:ascii="宋体" w:hAnsi="宋体" w:cs="宋体"/>
          <w:sz w:val="24"/>
          <w:highlight w:val="none"/>
        </w:rPr>
        <w:t>1.1.2</w:t>
      </w:r>
      <w:r>
        <w:rPr>
          <w:rFonts w:hint="eastAsia" w:ascii="宋体" w:hAnsi="宋体" w:cs="宋体"/>
          <w:snapToGrid w:val="0"/>
          <w:kern w:val="28"/>
          <w:sz w:val="24"/>
          <w:szCs w:val="20"/>
          <w:highlight w:val="none"/>
        </w:rPr>
        <w:t>联合协议（如果有)；</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w:t>
      </w:r>
      <w:r>
        <w:rPr>
          <w:rFonts w:ascii="宋体" w:hAnsi="宋体" w:cs="宋体"/>
          <w:sz w:val="24"/>
          <w:highlight w:val="none"/>
        </w:rPr>
        <w:t>3</w:t>
      </w:r>
      <w:r>
        <w:rPr>
          <w:rFonts w:hint="eastAsia" w:ascii="宋体" w:hAnsi="宋体" w:cs="宋体"/>
          <w:sz w:val="24"/>
          <w:highlight w:val="none"/>
        </w:rPr>
        <w:t>落实政府采购政策需满足的资格要求</w:t>
      </w:r>
      <w:r>
        <w:rPr>
          <w:rFonts w:hint="eastAsia" w:ascii="宋体" w:hAnsi="宋体" w:cs="宋体"/>
          <w:sz w:val="24"/>
          <w:highlight w:val="none"/>
          <w:lang w:eastAsia="zh-CN"/>
        </w:rPr>
        <w:t>（如果有）</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w:t>
      </w:r>
      <w:r>
        <w:rPr>
          <w:rFonts w:ascii="宋体" w:hAnsi="宋体" w:cs="宋体"/>
          <w:sz w:val="24"/>
          <w:highlight w:val="none"/>
        </w:rPr>
        <w:t>4</w:t>
      </w:r>
      <w:r>
        <w:rPr>
          <w:rFonts w:hint="eastAsia" w:ascii="宋体" w:hAnsi="宋体" w:cs="宋体"/>
          <w:sz w:val="24"/>
          <w:highlight w:val="none"/>
        </w:rPr>
        <w:t>本项目的特定资格要求</w:t>
      </w:r>
      <w:r>
        <w:rPr>
          <w:rFonts w:hint="eastAsia" w:ascii="宋体" w:hAnsi="宋体" w:cs="宋体"/>
          <w:snapToGrid w:val="0"/>
          <w:kern w:val="28"/>
          <w:sz w:val="24"/>
          <w:szCs w:val="20"/>
          <w:highlight w:val="none"/>
        </w:rPr>
        <w:t>（如果有)</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 xml:space="preserve">  </w:t>
      </w:r>
      <w:r>
        <w:rPr>
          <w:rFonts w:hint="eastAsia" w:ascii="宋体" w:hAnsi="宋体" w:cs="宋体"/>
          <w:sz w:val="24"/>
          <w:highlight w:val="none"/>
        </w:rPr>
        <w:t>商务技术</w:t>
      </w:r>
      <w:r>
        <w:rPr>
          <w:rFonts w:hint="eastAsia" w:ascii="宋体" w:hAnsi="宋体" w:cs="宋体"/>
          <w:sz w:val="24"/>
          <w:highlight w:val="none"/>
          <w:lang w:val="zh-CN"/>
        </w:rPr>
        <w:t>文件：</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11.2.1投标函；</w:t>
      </w:r>
      <w:r>
        <w:rPr>
          <w:rFonts w:hint="eastAsia" w:ascii="宋体" w:hAnsi="宋体" w:cs="宋体"/>
          <w:sz w:val="24"/>
          <w:highlight w:val="none"/>
          <w:lang w:val="zh-CN"/>
        </w:rPr>
        <w:t xml:space="preserve"> </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11.2.2授权委托书或法定代表人（单位负责人、自然人本人）身份证明；</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3</w:t>
      </w:r>
      <w:r>
        <w:rPr>
          <w:rFonts w:hint="eastAsia" w:ascii="宋体" w:hAnsi="宋体" w:cs="宋体"/>
          <w:sz w:val="24"/>
          <w:highlight w:val="none"/>
        </w:rPr>
        <w:t>分包意向协议</w:t>
      </w:r>
      <w:r>
        <w:rPr>
          <w:rFonts w:hint="eastAsia" w:ascii="宋体" w:hAnsi="宋体" w:cs="宋体"/>
          <w:snapToGrid w:val="0"/>
          <w:kern w:val="28"/>
          <w:sz w:val="24"/>
          <w:szCs w:val="20"/>
          <w:highlight w:val="none"/>
        </w:rPr>
        <w:t>（如果有)</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4</w:t>
      </w:r>
      <w:r>
        <w:rPr>
          <w:rFonts w:hint="eastAsia" w:ascii="宋体" w:hAnsi="宋体" w:cs="宋体"/>
          <w:sz w:val="24"/>
          <w:highlight w:val="none"/>
        </w:rPr>
        <w:t>符合性审查资料；</w:t>
      </w:r>
    </w:p>
    <w:p>
      <w:pPr>
        <w:snapToGrid w:val="0"/>
        <w:spacing w:line="360" w:lineRule="auto"/>
        <w:ind w:firstLine="960" w:firstLineChars="400"/>
        <w:rPr>
          <w:rFonts w:hint="eastAsia"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5</w:t>
      </w:r>
      <w:r>
        <w:rPr>
          <w:rFonts w:hint="eastAsia" w:ascii="宋体" w:hAnsi="宋体" w:cs="宋体"/>
          <w:sz w:val="24"/>
          <w:highlight w:val="none"/>
        </w:rPr>
        <w:t>评标标准相应的商务技术资料；</w:t>
      </w:r>
    </w:p>
    <w:p>
      <w:pPr>
        <w:snapToGrid w:val="0"/>
        <w:spacing w:line="360" w:lineRule="auto"/>
        <w:ind w:firstLine="960" w:firstLineChars="400"/>
        <w:rPr>
          <w:rFonts w:hint="eastAsia" w:ascii="宋体" w:hAnsi="宋体" w:eastAsia="宋体" w:cs="宋体"/>
          <w:b w:val="0"/>
          <w:bCs w:val="0"/>
          <w:kern w:val="2"/>
          <w:sz w:val="24"/>
          <w:szCs w:val="24"/>
          <w:highlight w:val="none"/>
          <w:lang w:val="en-US" w:eastAsia="zh-CN" w:bidi="ar-SA"/>
        </w:rPr>
      </w:pPr>
      <w:r>
        <w:rPr>
          <w:rFonts w:hint="default" w:ascii="宋体" w:hAnsi="宋体" w:eastAsia="宋体" w:cs="宋体"/>
          <w:b w:val="0"/>
          <w:bCs w:val="0"/>
          <w:kern w:val="2"/>
          <w:sz w:val="24"/>
          <w:szCs w:val="24"/>
          <w:highlight w:val="none"/>
          <w:lang w:val="en-US" w:eastAsia="zh-CN" w:bidi="ar-SA"/>
        </w:rPr>
        <w:t xml:space="preserve">11.2.6 </w:t>
      </w:r>
      <w:r>
        <w:rPr>
          <w:rFonts w:hint="eastAsia" w:ascii="宋体" w:hAnsi="宋体" w:eastAsia="宋体" w:cs="宋体"/>
          <w:b w:val="0"/>
          <w:bCs w:val="0"/>
          <w:kern w:val="2"/>
          <w:sz w:val="24"/>
          <w:szCs w:val="24"/>
          <w:highlight w:val="none"/>
          <w:lang w:val="en-US" w:eastAsia="zh-CN" w:bidi="ar-SA"/>
        </w:rPr>
        <w:t>投标标的清单；</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hint="default" w:ascii="宋体" w:hAnsi="宋体" w:cs="宋体"/>
          <w:sz w:val="24"/>
          <w:highlight w:val="none"/>
          <w:lang w:val="en-US"/>
        </w:rPr>
        <w:t>7</w:t>
      </w:r>
      <w:r>
        <w:rPr>
          <w:rFonts w:hint="eastAsia" w:ascii="宋体" w:hAnsi="宋体" w:cs="宋体"/>
          <w:sz w:val="24"/>
          <w:highlight w:val="none"/>
        </w:rPr>
        <w:t>商务技术偏离表；</w:t>
      </w:r>
    </w:p>
    <w:p>
      <w:pPr>
        <w:snapToGrid w:val="0"/>
        <w:spacing w:line="360" w:lineRule="auto"/>
        <w:ind w:firstLine="960" w:firstLineChars="4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w:t>
      </w:r>
      <w:r>
        <w:rPr>
          <w:rFonts w:hint="default" w:ascii="宋体" w:hAnsi="宋体" w:cs="宋体"/>
          <w:sz w:val="24"/>
          <w:highlight w:val="none"/>
          <w:lang w:val="en-US"/>
        </w:rPr>
        <w:t>8</w:t>
      </w:r>
      <w:r>
        <w:rPr>
          <w:rFonts w:hint="eastAsia" w:ascii="宋体" w:hAnsi="宋体" w:cs="宋体"/>
          <w:sz w:val="24"/>
          <w:highlight w:val="none"/>
          <w:lang w:val="zh-CN"/>
        </w:rPr>
        <w:t>政府采购供应商廉洁自律承诺书；</w:t>
      </w:r>
    </w:p>
    <w:p>
      <w:pPr>
        <w:snapToGrid w:val="0"/>
        <w:spacing w:line="360" w:lineRule="auto"/>
        <w:ind w:firstLine="480" w:firstLineChars="200"/>
        <w:rPr>
          <w:rFonts w:ascii="宋体" w:hAnsi="宋体" w:cs="宋体"/>
          <w:sz w:val="24"/>
          <w:highlight w:val="none"/>
          <w:u w:val="single"/>
          <w:lang w:val="zh-CN"/>
        </w:rPr>
      </w:pPr>
      <w:r>
        <w:rPr>
          <w:rFonts w:hint="eastAsia" w:ascii="宋体" w:hAnsi="宋体" w:cs="宋体"/>
          <w:kern w:val="0"/>
          <w:sz w:val="24"/>
          <w:highlight w:val="none"/>
          <w:lang w:val="zh-CN"/>
        </w:rPr>
        <w:t>11.</w:t>
      </w:r>
      <w:r>
        <w:rPr>
          <w:rFonts w:hint="eastAsia" w:ascii="宋体" w:hAnsi="宋体" w:cs="宋体"/>
          <w:kern w:val="0"/>
          <w:sz w:val="24"/>
          <w:highlight w:val="none"/>
        </w:rPr>
        <w:t>3</w:t>
      </w:r>
      <w:r>
        <w:rPr>
          <w:rFonts w:hint="eastAsia" w:ascii="宋体" w:hAnsi="宋体" w:cs="宋体"/>
          <w:b/>
          <w:sz w:val="24"/>
          <w:highlight w:val="none"/>
        </w:rPr>
        <w:t>报价文件：</w:t>
      </w:r>
      <w:r>
        <w:rPr>
          <w:rFonts w:hint="eastAsia" w:ascii="宋体" w:hAnsi="宋体" w:cs="宋体"/>
          <w:sz w:val="24"/>
          <w:highlight w:val="none"/>
        </w:rPr>
        <w:t xml:space="preserve"> </w:t>
      </w:r>
    </w:p>
    <w:p>
      <w:pPr>
        <w:snapToGrid w:val="0"/>
        <w:spacing w:line="360" w:lineRule="auto"/>
        <w:ind w:firstLine="960" w:firstLineChars="400"/>
        <w:rPr>
          <w:rFonts w:hint="eastAsia" w:ascii="宋体" w:hAnsi="宋体" w:eastAsia="宋体" w:cs="宋体"/>
          <w:sz w:val="24"/>
          <w:highlight w:val="none"/>
          <w:lang w:eastAsia="zh-CN"/>
        </w:rPr>
      </w:pPr>
      <w:r>
        <w:rPr>
          <w:rFonts w:hint="eastAsia" w:ascii="宋体" w:hAnsi="宋体" w:cs="宋体"/>
          <w:sz w:val="24"/>
          <w:highlight w:val="none"/>
        </w:rPr>
        <w:t>11.3.1开标一览表（报价表）</w:t>
      </w:r>
      <w:r>
        <w:rPr>
          <w:rFonts w:hint="eastAsia" w:ascii="宋体" w:hAnsi="宋体" w:cs="宋体"/>
          <w:sz w:val="24"/>
          <w:highlight w:val="none"/>
          <w:lang w:eastAsia="zh-CN"/>
        </w:rPr>
        <w:t>。</w:t>
      </w:r>
    </w:p>
    <w:p>
      <w:pPr>
        <w:spacing w:line="360" w:lineRule="auto"/>
        <w:ind w:firstLine="723" w:firstLineChars="300"/>
        <w:rPr>
          <w:rFonts w:ascii="宋体" w:hAnsi="宋体" w:cs="宋体"/>
          <w:b/>
          <w:sz w:val="24"/>
          <w:highlight w:val="none"/>
        </w:rPr>
      </w:pPr>
      <w:r>
        <w:rPr>
          <w:rFonts w:hint="eastAsia" w:ascii="宋体" w:hAnsi="宋体" w:cs="宋体"/>
          <w:b/>
          <w:sz w:val="24"/>
          <w:highlight w:val="none"/>
        </w:rPr>
        <w:t>投标文件含有采购人不能接受的附加条件的，投标无效；</w:t>
      </w:r>
    </w:p>
    <w:p>
      <w:pPr>
        <w:spacing w:line="360" w:lineRule="auto"/>
        <w:ind w:firstLine="723" w:firstLineChars="300"/>
        <w:rPr>
          <w:rFonts w:ascii="宋体" w:hAnsi="宋体" w:cs="宋体"/>
          <w:b/>
          <w:sz w:val="24"/>
          <w:szCs w:val="21"/>
          <w:highlight w:val="none"/>
        </w:rPr>
      </w:pPr>
      <w:r>
        <w:rPr>
          <w:rFonts w:hint="eastAsia" w:ascii="宋体" w:hAnsi="宋体" w:cs="宋体"/>
          <w:b/>
          <w:sz w:val="24"/>
          <w:highlight w:val="none"/>
        </w:rPr>
        <w:t>投标人提供虚假材料投标的，投标无效。</w:t>
      </w:r>
    </w:p>
    <w:p>
      <w:pPr>
        <w:pStyle w:val="128"/>
        <w:snapToGrid w:val="0"/>
        <w:spacing w:before="0"/>
        <w:ind w:firstLine="0" w:firstLineChars="0"/>
        <w:outlineLvl w:val="0"/>
        <w:rPr>
          <w:rFonts w:ascii="宋体" w:hAnsi="宋体" w:cs="宋体"/>
          <w:b/>
          <w:szCs w:val="24"/>
          <w:highlight w:val="none"/>
        </w:rPr>
      </w:pPr>
      <w:r>
        <w:rPr>
          <w:rFonts w:hint="eastAsia" w:ascii="宋体" w:hAnsi="宋体" w:cs="宋体"/>
          <w:b/>
          <w:szCs w:val="24"/>
          <w:highlight w:val="none"/>
        </w:rPr>
        <w:t>12</w:t>
      </w:r>
      <w:r>
        <w:rPr>
          <w:rFonts w:hint="eastAsia" w:ascii="宋体" w:hAnsi="宋体" w:cs="宋体"/>
          <w:b/>
          <w:kern w:val="0"/>
          <w:szCs w:val="24"/>
          <w:highlight w:val="none"/>
          <w:lang w:val="zh-CN"/>
        </w:rPr>
        <w:t xml:space="preserve">. </w:t>
      </w:r>
      <w:r>
        <w:rPr>
          <w:rFonts w:hint="eastAsia" w:ascii="宋体" w:hAnsi="宋体" w:cs="宋体"/>
          <w:b/>
          <w:szCs w:val="24"/>
          <w:highlight w:val="none"/>
        </w:rPr>
        <w:t>投标文件的编制</w:t>
      </w:r>
    </w:p>
    <w:p>
      <w:pPr>
        <w:spacing w:line="360" w:lineRule="auto"/>
        <w:ind w:firstLine="480" w:firstLineChars="200"/>
        <w:rPr>
          <w:rFonts w:ascii="宋体" w:hAnsi="宋体" w:cs="宋体"/>
          <w:b/>
          <w:sz w:val="24"/>
          <w:highlight w:val="none"/>
        </w:rPr>
      </w:pPr>
      <w:r>
        <w:rPr>
          <w:rFonts w:hint="eastAsia" w:ascii="宋体" w:hAnsi="宋体" w:cs="宋体"/>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highlight w:val="none"/>
        </w:rPr>
      </w:pPr>
      <w:r>
        <w:rPr>
          <w:rFonts w:hint="eastAsia" w:ascii="宋体" w:hAnsi="宋体" w:cs="宋体"/>
          <w:b/>
          <w:sz w:val="24"/>
          <w:highlight w:val="none"/>
        </w:rPr>
        <w:t>13.投标文件的签署、盖章</w:t>
      </w:r>
    </w:p>
    <w:p>
      <w:pPr>
        <w:pStyle w:val="128"/>
        <w:snapToGrid w:val="0"/>
        <w:spacing w:before="0"/>
        <w:ind w:firstLine="480"/>
        <w:rPr>
          <w:rFonts w:ascii="宋体" w:hAnsi="宋体" w:cs="宋体"/>
          <w:b/>
          <w:highlight w:val="none"/>
        </w:rPr>
      </w:pPr>
      <w:r>
        <w:rPr>
          <w:rFonts w:hint="eastAsia" w:ascii="宋体" w:hAnsi="宋体" w:cs="宋体"/>
          <w:szCs w:val="24"/>
          <w:highlight w:val="none"/>
        </w:rPr>
        <w:t>13.1投标文件按照招标文件第六部分格式要</w:t>
      </w:r>
      <w:r>
        <w:rPr>
          <w:rFonts w:hint="eastAsia" w:ascii="宋体" w:hAnsi="宋体" w:cs="宋体"/>
          <w:highlight w:val="none"/>
        </w:rPr>
        <w:t>求进行签署、盖章。</w:t>
      </w:r>
      <w:r>
        <w:rPr>
          <w:rFonts w:hint="eastAsia" w:ascii="宋体" w:hAnsi="宋体" w:cs="宋体"/>
          <w:b/>
          <w:highlight w:val="none"/>
        </w:rPr>
        <w:t>▲投标人的投标文件未按照招标文件要求签署、盖章的，其投标无效</w:t>
      </w:r>
      <w:r>
        <w:rPr>
          <w:rFonts w:hint="eastAsia" w:ascii="宋体" w:hAnsi="宋体" w:cs="宋体"/>
          <w:szCs w:val="24"/>
          <w:highlight w:val="none"/>
        </w:rPr>
        <w:t>。</w:t>
      </w:r>
    </w:p>
    <w:p>
      <w:pPr>
        <w:pStyle w:val="128"/>
        <w:snapToGrid w:val="0"/>
        <w:spacing w:before="0" w:line="360" w:lineRule="auto"/>
        <w:ind w:firstLine="480"/>
        <w:rPr>
          <w:rFonts w:ascii="宋体" w:hAnsi="宋体" w:cs="宋体"/>
          <w:highlight w:val="none"/>
        </w:rPr>
      </w:pPr>
      <w:r>
        <w:rPr>
          <w:rFonts w:hint="eastAsia" w:ascii="宋体" w:hAnsi="宋体" w:cs="宋体"/>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line="360" w:lineRule="auto"/>
        <w:ind w:firstLine="480"/>
        <w:rPr>
          <w:rFonts w:ascii="宋体" w:hAnsi="宋体" w:cs="宋体"/>
          <w:szCs w:val="24"/>
          <w:highlight w:val="none"/>
        </w:rPr>
      </w:pPr>
      <w:r>
        <w:rPr>
          <w:rFonts w:hint="eastAsia" w:ascii="宋体" w:hAnsi="宋体" w:cs="宋体"/>
          <w:highlight w:val="none"/>
        </w:rPr>
        <w:t>13.3招标文件对投标文件签署、盖章的要求适用于电子签名。</w:t>
      </w:r>
    </w:p>
    <w:p>
      <w:pPr>
        <w:pStyle w:val="128"/>
        <w:keepNext w:val="0"/>
        <w:keepLines w:val="0"/>
        <w:pageBreakBefore w:val="0"/>
        <w:widowControl w:val="0"/>
        <w:kinsoku/>
        <w:wordWrap/>
        <w:overflowPunct/>
        <w:topLinePunct w:val="0"/>
        <w:autoSpaceDE/>
        <w:autoSpaceDN/>
        <w:bidi w:val="0"/>
        <w:adjustRightInd w:val="0"/>
        <w:snapToGrid w:val="0"/>
        <w:spacing w:before="0" w:line="360" w:lineRule="auto"/>
        <w:ind w:firstLine="0" w:firstLineChars="0"/>
        <w:textAlignment w:val="auto"/>
        <w:rPr>
          <w:rFonts w:ascii="宋体" w:hAnsi="宋体" w:cs="宋体"/>
          <w:b/>
          <w:szCs w:val="24"/>
          <w:highlight w:val="none"/>
        </w:rPr>
      </w:pPr>
      <w:r>
        <w:rPr>
          <w:rFonts w:hint="eastAsia" w:ascii="宋体" w:hAnsi="宋体" w:cs="宋体"/>
          <w:b/>
          <w:szCs w:val="24"/>
          <w:highlight w:val="none"/>
        </w:rPr>
        <w:t>14. 投标文件的提交、补充、修改、撤回</w:t>
      </w:r>
    </w:p>
    <w:p>
      <w:pPr>
        <w:pStyle w:val="128"/>
        <w:spacing w:line="360" w:lineRule="auto"/>
        <w:ind w:firstLine="480"/>
        <w:rPr>
          <w:rFonts w:ascii="宋体" w:hAnsi="宋体" w:cs="宋体"/>
          <w:szCs w:val="24"/>
          <w:highlight w:val="none"/>
        </w:rPr>
      </w:pPr>
      <w:r>
        <w:rPr>
          <w:rFonts w:hint="eastAsia" w:ascii="宋体" w:hAnsi="宋体" w:cs="宋体"/>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line="360" w:lineRule="auto"/>
        <w:ind w:firstLine="480"/>
        <w:rPr>
          <w:rFonts w:ascii="宋体" w:hAnsi="宋体" w:cs="宋体"/>
          <w:szCs w:val="24"/>
          <w:highlight w:val="none"/>
        </w:rPr>
      </w:pPr>
      <w:r>
        <w:rPr>
          <w:rFonts w:hint="eastAsia" w:ascii="宋体" w:hAnsi="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highlight w:val="none"/>
        </w:rPr>
      </w:pPr>
      <w:r>
        <w:rPr>
          <w:rFonts w:hint="eastAsia" w:ascii="宋体" w:hAnsi="宋体" w:cs="宋体"/>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Ansi="宋体" w:cs="宋体"/>
          <w:b/>
          <w:sz w:val="24"/>
          <w:szCs w:val="24"/>
          <w:highlight w:val="none"/>
        </w:rPr>
      </w:pPr>
      <w:r>
        <w:rPr>
          <w:rFonts w:hint="eastAsia" w:hAnsi="宋体" w:cs="宋体"/>
          <w:b/>
          <w:sz w:val="24"/>
          <w:szCs w:val="24"/>
          <w:highlight w:val="none"/>
        </w:rPr>
        <w:t>15.备份投标文件</w:t>
      </w:r>
    </w:p>
    <w:p>
      <w:pPr>
        <w:pStyle w:val="34"/>
        <w:spacing w:line="360" w:lineRule="auto"/>
        <w:ind w:firstLine="360" w:firstLineChars="150"/>
        <w:rPr>
          <w:rFonts w:hAnsi="宋体" w:cs="宋体"/>
          <w:b/>
          <w:sz w:val="24"/>
          <w:szCs w:val="24"/>
          <w:highlight w:val="none"/>
        </w:rPr>
      </w:pPr>
      <w:r>
        <w:rPr>
          <w:rFonts w:hint="eastAsia" w:hAnsi="宋体" w:cs="宋体"/>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sz w:val="24"/>
          <w:szCs w:val="24"/>
          <w:highlight w:val="none"/>
        </w:rPr>
        <w:t>但采购人、采购机构不强制或变相强制投标人提交备份投标文件。</w:t>
      </w:r>
    </w:p>
    <w:p>
      <w:pPr>
        <w:pStyle w:val="34"/>
        <w:spacing w:line="360" w:lineRule="auto"/>
        <w:ind w:firstLine="480" w:firstLineChars="200"/>
        <w:rPr>
          <w:rFonts w:hAnsi="宋体" w:cs="宋体"/>
          <w:b/>
          <w:sz w:val="24"/>
          <w:szCs w:val="24"/>
          <w:highlight w:val="none"/>
        </w:rPr>
      </w:pPr>
      <w:r>
        <w:rPr>
          <w:rFonts w:hint="eastAsia" w:hAnsi="宋体" w:cs="宋体"/>
          <w:sz w:val="24"/>
          <w:szCs w:val="24"/>
          <w:highlight w:val="none"/>
        </w:rPr>
        <w:t>15.2备份投标文件须在“政采云投标客户端”制作生成，并储存在</w:t>
      </w:r>
      <w:r>
        <w:rPr>
          <w:rFonts w:hint="eastAsia" w:hAnsi="宋体" w:cs="宋体"/>
          <w:sz w:val="24"/>
          <w:highlight w:val="none"/>
        </w:rPr>
        <w:t>DVD光盘</w:t>
      </w:r>
      <w:r>
        <w:rPr>
          <w:rFonts w:hint="eastAsia" w:hAnsi="宋体" w:cs="宋体"/>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highlight w:val="none"/>
        </w:rPr>
        <w:t>不符合上述制作、</w:t>
      </w:r>
      <w:r>
        <w:rPr>
          <w:rFonts w:hint="eastAsia" w:hAnsi="宋体" w:cs="宋体"/>
          <w:b/>
          <w:sz w:val="24"/>
          <w:szCs w:val="24"/>
          <w:highlight w:val="none"/>
        </w:rPr>
        <w:t>存储、密封规定的备份投标文件将被视为无效或者被拒绝接收。</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highlight w:val="none"/>
        </w:rPr>
        <w:t>招标文件第二部分投标人须知前附表规定的备份投标文件送达地点；</w:t>
      </w:r>
      <w:r>
        <w:rPr>
          <w:rFonts w:hint="eastAsia" w:hAnsi="宋体" w:cs="宋体"/>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highlight w:val="none"/>
        </w:rPr>
      </w:pPr>
      <w:r>
        <w:rPr>
          <w:rFonts w:hint="eastAsia" w:hAnsi="宋体" w:cs="宋体"/>
          <w:b/>
          <w:sz w:val="24"/>
          <w:szCs w:val="24"/>
          <w:highlight w:val="none"/>
        </w:rPr>
        <w:t>15.5投标人仅提交备份投标文件，</w:t>
      </w:r>
      <w:r>
        <w:rPr>
          <w:rFonts w:hint="eastAsia" w:hAnsi="宋体" w:cs="宋体"/>
          <w:b/>
          <w:color w:val="auto"/>
          <w:sz w:val="24"/>
          <w:szCs w:val="24"/>
          <w:highlight w:val="none"/>
        </w:rPr>
        <w:t>未</w:t>
      </w:r>
      <w:r>
        <w:rPr>
          <w:rFonts w:hint="eastAsia" w:hAnsi="宋体" w:cs="宋体"/>
          <w:b/>
          <w:sz w:val="24"/>
          <w:szCs w:val="24"/>
          <w:highlight w:val="none"/>
        </w:rPr>
        <w:t>在电子交易平台传输递交投标文件的，投标无效。</w:t>
      </w:r>
    </w:p>
    <w:p>
      <w:pPr>
        <w:pStyle w:val="128"/>
        <w:spacing w:before="0"/>
        <w:ind w:firstLine="0" w:firstLineChars="0"/>
        <w:rPr>
          <w:rFonts w:ascii="宋体" w:hAnsi="宋体" w:cs="宋体"/>
          <w:b/>
          <w:szCs w:val="24"/>
          <w:highlight w:val="none"/>
        </w:rPr>
      </w:pPr>
      <w:r>
        <w:rPr>
          <w:rFonts w:hint="eastAsia" w:ascii="宋体" w:hAnsi="宋体" w:cs="宋体"/>
          <w:b/>
          <w:szCs w:val="24"/>
          <w:highlight w:val="none"/>
        </w:rPr>
        <w:t>16.投标文件的无效处理</w:t>
      </w:r>
    </w:p>
    <w:p>
      <w:pPr>
        <w:pStyle w:val="25"/>
        <w:spacing w:line="360" w:lineRule="auto"/>
        <w:ind w:firstLine="360" w:firstLineChars="150"/>
        <w:rPr>
          <w:rFonts w:cs="宋体"/>
          <w:szCs w:val="21"/>
          <w:highlight w:val="none"/>
        </w:rPr>
      </w:pPr>
      <w:r>
        <w:rPr>
          <w:rFonts w:hint="eastAsia" w:cs="宋体"/>
          <w:szCs w:val="21"/>
          <w:highlight w:val="none"/>
        </w:rPr>
        <w:t>有招标文件第四部分4.2规定的情形之一的，投标无效：</w:t>
      </w:r>
    </w:p>
    <w:p>
      <w:pPr>
        <w:pStyle w:val="128"/>
        <w:spacing w:before="0"/>
        <w:ind w:firstLine="0" w:firstLineChars="0"/>
        <w:rPr>
          <w:rFonts w:ascii="宋体" w:hAnsi="宋体" w:cs="宋体"/>
          <w:b/>
          <w:szCs w:val="24"/>
          <w:highlight w:val="none"/>
        </w:rPr>
      </w:pPr>
      <w:r>
        <w:rPr>
          <w:rFonts w:hint="eastAsia" w:ascii="宋体" w:hAnsi="宋体" w:cs="宋体"/>
          <w:b/>
          <w:szCs w:val="24"/>
          <w:highlight w:val="none"/>
        </w:rPr>
        <w:t>17.投标有效期</w:t>
      </w:r>
    </w:p>
    <w:p>
      <w:pPr>
        <w:spacing w:line="360" w:lineRule="auto"/>
        <w:ind w:firstLine="480" w:firstLineChars="200"/>
        <w:rPr>
          <w:rFonts w:ascii="宋体" w:hAnsi="宋体" w:cs="宋体"/>
          <w:b/>
          <w:sz w:val="24"/>
          <w:szCs w:val="21"/>
          <w:highlight w:val="none"/>
        </w:rPr>
      </w:pPr>
      <w:r>
        <w:rPr>
          <w:rFonts w:hint="eastAsia" w:ascii="宋体" w:hAnsi="宋体" w:cs="宋体"/>
          <w:sz w:val="24"/>
          <w:szCs w:val="20"/>
          <w:highlight w:val="none"/>
        </w:rPr>
        <w:t>17.1投标有效期为从提交投标文件的截止之日起90天。▲</w:t>
      </w:r>
      <w:r>
        <w:rPr>
          <w:rFonts w:hint="eastAsia" w:ascii="宋体" w:hAnsi="宋体" w:cs="宋体"/>
          <w:b/>
          <w:sz w:val="24"/>
          <w:szCs w:val="20"/>
          <w:highlight w:val="none"/>
        </w:rPr>
        <w:t>投标人的投标文件中承</w:t>
      </w:r>
      <w:r>
        <w:rPr>
          <w:rFonts w:hint="eastAsia" w:ascii="宋体" w:hAnsi="宋体" w:cs="宋体"/>
          <w:b/>
          <w:sz w:val="24"/>
          <w:szCs w:val="21"/>
          <w:highlight w:val="none"/>
        </w:rPr>
        <w:t>诺的投标有效期少于招标文件中载明的投标有效期的，投标无效。</w:t>
      </w:r>
    </w:p>
    <w:p>
      <w:pPr>
        <w:pStyle w:val="128"/>
        <w:spacing w:before="0"/>
        <w:ind w:firstLine="480"/>
        <w:rPr>
          <w:rFonts w:ascii="宋体" w:hAnsi="宋体" w:cs="宋体"/>
          <w:highlight w:val="none"/>
        </w:rPr>
      </w:pPr>
      <w:r>
        <w:rPr>
          <w:rFonts w:hint="eastAsia" w:ascii="宋体" w:hAnsi="宋体" w:cs="宋体"/>
          <w:highlight w:val="none"/>
        </w:rPr>
        <w:t>17.2投标文件合格投递后，自投标截止日期起，在投标有效期内有效。</w:t>
      </w:r>
    </w:p>
    <w:p>
      <w:pPr>
        <w:pStyle w:val="128"/>
        <w:spacing w:before="0"/>
        <w:ind w:firstLine="480"/>
        <w:rPr>
          <w:rFonts w:ascii="宋体" w:hAnsi="宋体" w:cs="宋体"/>
          <w:highlight w:val="none"/>
        </w:rPr>
      </w:pPr>
      <w:r>
        <w:rPr>
          <w:rFonts w:hint="eastAsia" w:ascii="宋体" w:hAnsi="宋体" w:cs="宋体"/>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highlight w:val="none"/>
        </w:rPr>
      </w:pPr>
    </w:p>
    <w:p>
      <w:pPr>
        <w:pStyle w:val="128"/>
        <w:spacing w:before="0"/>
        <w:ind w:firstLine="1928" w:firstLineChars="600"/>
        <w:rPr>
          <w:rFonts w:ascii="宋体" w:hAnsi="宋体" w:cs="宋体"/>
          <w:b/>
          <w:sz w:val="32"/>
          <w:highlight w:val="none"/>
        </w:rPr>
      </w:pPr>
      <w:r>
        <w:rPr>
          <w:rFonts w:hint="eastAsia" w:ascii="宋体" w:hAnsi="宋体" w:cs="宋体"/>
          <w:b/>
          <w:sz w:val="32"/>
          <w:highlight w:val="none"/>
        </w:rPr>
        <w:t>四、开标、资格审查与信用信息查询</w:t>
      </w:r>
    </w:p>
    <w:p>
      <w:pPr>
        <w:pStyle w:val="554"/>
        <w:spacing w:before="0" w:line="360" w:lineRule="auto"/>
        <w:ind w:left="0" w:firstLine="241" w:firstLineChars="100"/>
        <w:contextualSpacing/>
        <w:rPr>
          <w:rFonts w:ascii="宋体" w:hAnsi="宋体" w:cs="宋体"/>
          <w:sz w:val="24"/>
          <w:highlight w:val="none"/>
        </w:rPr>
      </w:pPr>
      <w:r>
        <w:rPr>
          <w:rFonts w:hint="eastAsia" w:ascii="宋体" w:hAnsi="宋体" w:cs="宋体"/>
          <w:b/>
          <w:sz w:val="24"/>
          <w:szCs w:val="24"/>
          <w:highlight w:val="none"/>
        </w:rPr>
        <w:t>18.开标</w:t>
      </w:r>
      <w:r>
        <w:rPr>
          <w:rFonts w:hint="eastAsia" w:ascii="宋体" w:hAnsi="宋体" w:cs="宋体"/>
          <w:sz w:val="24"/>
          <w:highlight w:val="none"/>
        </w:rPr>
        <w:t xml:space="preserve"> </w:t>
      </w:r>
    </w:p>
    <w:p>
      <w:pPr>
        <w:pStyle w:val="554"/>
        <w:spacing w:before="0" w:line="360" w:lineRule="auto"/>
        <w:ind w:left="0" w:firstLine="480" w:firstLineChars="200"/>
        <w:contextualSpacing/>
        <w:rPr>
          <w:rFonts w:ascii="宋体" w:hAnsi="宋体" w:cs="宋体"/>
          <w:sz w:val="24"/>
          <w:highlight w:val="none"/>
        </w:rPr>
      </w:pPr>
      <w:r>
        <w:rPr>
          <w:rFonts w:hint="eastAsia" w:ascii="宋体" w:hAnsi="宋体" w:cs="宋体"/>
          <w:sz w:val="24"/>
          <w:highlight w:val="none"/>
        </w:rPr>
        <w:t>18.1</w:t>
      </w:r>
      <w:r>
        <w:rPr>
          <w:rFonts w:hint="eastAsia" w:ascii="宋体" w:hAnsi="宋体" w:cs="宋体"/>
          <w:sz w:val="24"/>
          <w:highlight w:val="none"/>
          <w:lang w:val="en-US" w:eastAsia="zh-CN"/>
        </w:rPr>
        <w:t xml:space="preserve"> </w:t>
      </w:r>
      <w:r>
        <w:rPr>
          <w:rFonts w:hint="eastAsia" w:ascii="宋体" w:hAnsi="宋体" w:cs="宋体"/>
          <w:sz w:val="24"/>
          <w:highlight w:val="none"/>
        </w:rPr>
        <w:t>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highlight w:val="none"/>
        </w:rPr>
      </w:pPr>
      <w:r>
        <w:rPr>
          <w:rFonts w:hint="eastAsia" w:ascii="宋体" w:hAnsi="宋体" w:cs="宋体"/>
          <w:sz w:val="24"/>
          <w:highlight w:val="none"/>
        </w:rPr>
        <w:t>　18.2</w:t>
      </w:r>
      <w:r>
        <w:rPr>
          <w:rFonts w:hint="eastAsia" w:ascii="宋体" w:hAnsi="宋体" w:cs="宋体"/>
          <w:sz w:val="24"/>
          <w:highlight w:val="none"/>
          <w:lang w:val="en-US" w:eastAsia="zh-CN"/>
        </w:rPr>
        <w:t xml:space="preserve"> </w:t>
      </w:r>
      <w:r>
        <w:rPr>
          <w:rFonts w:hint="eastAsia" w:ascii="宋体" w:hAnsi="宋体" w:cs="宋体"/>
          <w:sz w:val="24"/>
          <w:highlight w:val="none"/>
        </w:rPr>
        <w:t>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highlight w:val="none"/>
        </w:rPr>
      </w:pPr>
      <w:r>
        <w:rPr>
          <w:rFonts w:hint="eastAsia" w:ascii="宋体" w:hAnsi="宋体" w:cs="宋体"/>
          <w:sz w:val="24"/>
          <w:highlight w:val="none"/>
        </w:rPr>
        <w:t>　18.3</w:t>
      </w:r>
      <w:r>
        <w:rPr>
          <w:rFonts w:hint="eastAsia" w:ascii="宋体" w:hAnsi="宋体" w:cs="宋体"/>
          <w:sz w:val="24"/>
          <w:highlight w:val="none"/>
          <w:lang w:val="en-US" w:eastAsia="zh-CN"/>
        </w:rPr>
        <w:t xml:space="preserve"> </w:t>
      </w:r>
      <w:r>
        <w:rPr>
          <w:rFonts w:hint="eastAsia" w:ascii="宋体" w:hAnsi="宋体" w:cs="宋体"/>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highlight w:val="none"/>
        </w:rPr>
      </w:pPr>
      <w:r>
        <w:rPr>
          <w:rFonts w:hint="eastAsia" w:ascii="宋体" w:hAnsi="宋体" w:cs="宋体"/>
          <w:b/>
          <w:sz w:val="24"/>
          <w:szCs w:val="20"/>
          <w:highlight w:val="none"/>
        </w:rPr>
        <w:t>　19、资格审查</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19.1开标后，采购人或采购机构将依法对投标人的资格进行审查。</w:t>
      </w:r>
    </w:p>
    <w:p>
      <w:pPr>
        <w:snapToGrid w:val="0"/>
        <w:spacing w:line="360" w:lineRule="auto"/>
        <w:ind w:firstLine="480" w:firstLineChars="200"/>
        <w:rPr>
          <w:rFonts w:ascii="宋体" w:hAnsi="宋体" w:cs="宋体"/>
          <w:sz w:val="24"/>
          <w:highlight w:val="none"/>
        </w:rPr>
      </w:pPr>
      <w:r>
        <w:rPr>
          <w:rFonts w:hint="eastAsia" w:ascii="宋体" w:hAnsi="宋体" w:cs="宋体"/>
          <w:kern w:val="0"/>
          <w:sz w:val="24"/>
          <w:highlight w:val="none"/>
        </w:rPr>
        <w:t>19.2</w:t>
      </w:r>
      <w:r>
        <w:rPr>
          <w:rFonts w:hint="eastAsia" w:ascii="宋体" w:hAnsi="宋体" w:cs="宋体"/>
          <w:sz w:val="24"/>
          <w:highlight w:val="none"/>
        </w:rPr>
        <w:t>采购人或采购机构依据法律法规和招标文件的规定，对投标人的资格进行审查。</w:t>
      </w:r>
    </w:p>
    <w:p>
      <w:pPr>
        <w:pStyle w:val="128"/>
        <w:spacing w:before="0"/>
        <w:ind w:firstLine="480"/>
        <w:rPr>
          <w:rFonts w:ascii="宋体" w:hAnsi="宋体" w:cs="宋体"/>
          <w:highlight w:val="none"/>
        </w:rPr>
      </w:pPr>
      <w:r>
        <w:rPr>
          <w:rFonts w:hint="eastAsia" w:ascii="宋体" w:hAnsi="宋体" w:cs="宋体"/>
          <w:kern w:val="0"/>
          <w:szCs w:val="24"/>
          <w:highlight w:val="none"/>
        </w:rPr>
        <w:t>19.3投标人未按照招标文件要求提供与</w:t>
      </w:r>
      <w:r>
        <w:rPr>
          <w:rFonts w:hint="eastAsia" w:ascii="宋体" w:hAnsi="宋体" w:cs="宋体"/>
          <w:highlight w:val="none"/>
        </w:rPr>
        <w:t>资格条件相应的</w:t>
      </w:r>
      <w:r>
        <w:rPr>
          <w:rFonts w:hint="eastAsia" w:ascii="宋体" w:hAnsi="宋体" w:cs="宋体"/>
          <w:kern w:val="0"/>
          <w:szCs w:val="24"/>
          <w:highlight w:val="none"/>
        </w:rPr>
        <w:t>有效资格证明材料的，视为</w:t>
      </w:r>
      <w:r>
        <w:rPr>
          <w:rFonts w:hint="eastAsia" w:ascii="宋体" w:hAnsi="宋体" w:cs="宋体"/>
          <w:highlight w:val="none"/>
        </w:rPr>
        <w:t>投标人不具备招标文件中规定的资格要求，其投标无效。</w:t>
      </w:r>
    </w:p>
    <w:p>
      <w:pPr>
        <w:pStyle w:val="128"/>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4对未通过资格审查的投标人，采购人或采购机构告知其未通过的原因。</w:t>
      </w:r>
    </w:p>
    <w:p>
      <w:pPr>
        <w:pStyle w:val="128"/>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5合格投标人不足3家的，不再评标。</w:t>
      </w:r>
    </w:p>
    <w:p>
      <w:pPr>
        <w:pStyle w:val="128"/>
        <w:spacing w:before="0"/>
        <w:ind w:firstLine="0" w:firstLineChars="0"/>
        <w:rPr>
          <w:rFonts w:ascii="宋体" w:hAnsi="宋体" w:cs="宋体"/>
          <w:b/>
          <w:szCs w:val="24"/>
          <w:highlight w:val="none"/>
        </w:rPr>
      </w:pPr>
      <w:r>
        <w:rPr>
          <w:rFonts w:hint="eastAsia" w:ascii="宋体" w:hAnsi="宋体" w:cs="宋体"/>
          <w:b/>
          <w:szCs w:val="24"/>
          <w:highlight w:val="none"/>
        </w:rPr>
        <w:t>20、信用信息查询</w:t>
      </w:r>
    </w:p>
    <w:p>
      <w:pPr>
        <w:pStyle w:val="128"/>
        <w:spacing w:before="0"/>
        <w:ind w:firstLine="495" w:firstLineChars="0"/>
        <w:rPr>
          <w:rFonts w:ascii="宋体" w:hAnsi="宋体" w:cs="宋体"/>
          <w:kern w:val="0"/>
          <w:szCs w:val="24"/>
          <w:highlight w:val="none"/>
        </w:rPr>
      </w:pPr>
      <w:r>
        <w:rPr>
          <w:rFonts w:hint="eastAsia" w:ascii="宋体" w:hAnsi="宋体" w:cs="宋体"/>
          <w:kern w:val="0"/>
          <w:szCs w:val="24"/>
          <w:highlight w:val="none"/>
        </w:rPr>
        <w:t>20.1信用信息查询渠道及截止时间：采购机构将在资格审查时通过“信用中国”网站(www.creditchina.gov.cn)、中国政府采购网(www.ccgp.gov.cn)渠道查询投标人接受资格时的信用记录。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kern w:val="0"/>
          <w:szCs w:val="24"/>
          <w:highlight w:val="none"/>
        </w:rPr>
      </w:pPr>
      <w:r>
        <w:rPr>
          <w:rFonts w:hint="eastAsia" w:ascii="宋体" w:hAnsi="宋体" w:cs="宋体"/>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highlight w:val="none"/>
        </w:rPr>
      </w:pPr>
      <w:r>
        <w:rPr>
          <w:rFonts w:hint="eastAsia" w:ascii="宋体" w:hAnsi="宋体" w:cs="宋体"/>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highlight w:val="none"/>
        </w:rPr>
      </w:pPr>
      <w:r>
        <w:rPr>
          <w:rFonts w:hint="eastAsia" w:ascii="宋体" w:hAnsi="宋体"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highlight w:val="none"/>
        </w:rPr>
        <w:t>。</w:t>
      </w:r>
    </w:p>
    <w:p>
      <w:pPr>
        <w:pStyle w:val="128"/>
        <w:spacing w:before="0"/>
        <w:ind w:firstLine="0" w:firstLineChars="0"/>
        <w:rPr>
          <w:rFonts w:ascii="宋体" w:hAnsi="宋体" w:cs="宋体"/>
          <w:kern w:val="0"/>
          <w:szCs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五、评标</w:t>
      </w:r>
    </w:p>
    <w:p>
      <w:pPr>
        <w:spacing w:line="360" w:lineRule="auto"/>
        <w:rPr>
          <w:rFonts w:ascii="宋体" w:hAnsi="宋体" w:cs="宋体"/>
          <w:b/>
          <w:sz w:val="24"/>
          <w:highlight w:val="none"/>
        </w:rPr>
      </w:pPr>
      <w:bookmarkStart w:id="13" w:name="_Toc91899903"/>
      <w:r>
        <w:rPr>
          <w:rFonts w:hint="eastAsia" w:ascii="宋体" w:hAnsi="宋体" w:cs="宋体"/>
          <w:b/>
          <w:sz w:val="24"/>
          <w:highlight w:val="none"/>
        </w:rPr>
        <w:t>21.</w:t>
      </w:r>
      <w:r>
        <w:rPr>
          <w:rFonts w:hint="eastAsia" w:ascii="宋体" w:hAnsi="宋体" w:cs="宋体"/>
          <w:highlight w:val="none"/>
        </w:rPr>
        <w:t xml:space="preserve"> </w:t>
      </w:r>
      <w:r>
        <w:rPr>
          <w:rFonts w:hint="eastAsia" w:ascii="宋体" w:hAnsi="宋体" w:cs="宋体"/>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highlight w:val="none"/>
        </w:rPr>
        <w:t>详见招标文件第四部分评标办法。</w:t>
      </w:r>
    </w:p>
    <w:p>
      <w:pPr>
        <w:spacing w:line="360" w:lineRule="auto"/>
        <w:rPr>
          <w:rFonts w:ascii="宋体" w:hAnsi="宋体" w:cs="宋体"/>
          <w:b/>
          <w:sz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六、定 标</w:t>
      </w:r>
    </w:p>
    <w:p>
      <w:pPr>
        <w:pStyle w:val="25"/>
        <w:spacing w:line="360" w:lineRule="auto"/>
        <w:ind w:left="479" w:hanging="479" w:hangingChars="199"/>
        <w:rPr>
          <w:rFonts w:cs="宋体"/>
          <w:b/>
          <w:highlight w:val="none"/>
        </w:rPr>
      </w:pPr>
      <w:r>
        <w:rPr>
          <w:rFonts w:hint="eastAsia" w:cs="宋体"/>
          <w:b/>
          <w:highlight w:val="none"/>
        </w:rPr>
        <w:t>22. 确定中标供应商</w:t>
      </w:r>
    </w:p>
    <w:p>
      <w:pPr>
        <w:pStyle w:val="128"/>
        <w:snapToGrid w:val="0"/>
        <w:spacing w:before="0"/>
        <w:ind w:firstLine="480"/>
        <w:rPr>
          <w:rFonts w:ascii="宋体" w:hAnsi="宋体" w:cs="宋体"/>
          <w:b/>
          <w:szCs w:val="24"/>
          <w:highlight w:val="none"/>
        </w:rPr>
      </w:pPr>
      <w:r>
        <w:rPr>
          <w:rFonts w:hint="eastAsia" w:ascii="宋体" w:hAnsi="宋体" w:cs="宋体"/>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highlight w:val="none"/>
        </w:rPr>
      </w:pPr>
      <w:r>
        <w:rPr>
          <w:rFonts w:hint="eastAsia" w:ascii="宋体" w:hAnsi="宋体" w:cs="宋体"/>
          <w:b/>
          <w:szCs w:val="24"/>
          <w:highlight w:val="none"/>
        </w:rPr>
        <w:t>23. 中标通知与中标结果公告</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b/>
          <w:bCs/>
          <w:sz w:val="24"/>
          <w:highlight w:val="none"/>
        </w:rPr>
        <w:t>资格审查情况、评审专家抽取规则、符合性审查情况、</w:t>
      </w:r>
      <w:bookmarkEnd w:id="14"/>
      <w:r>
        <w:rPr>
          <w:rFonts w:hint="eastAsia" w:ascii="宋体" w:hAnsi="宋体" w:cs="宋体"/>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23.3公告期限为1个工作日。</w:t>
      </w:r>
    </w:p>
    <w:p>
      <w:pPr>
        <w:snapToGrid w:val="0"/>
        <w:spacing w:line="360" w:lineRule="auto"/>
        <w:ind w:left="120" w:leftChars="57" w:firstLine="482" w:firstLineChars="150"/>
        <w:jc w:val="center"/>
        <w:rPr>
          <w:rFonts w:ascii="宋体" w:hAnsi="宋体" w:cs="宋体"/>
          <w:b/>
          <w:sz w:val="32"/>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七、合同授予</w:t>
      </w:r>
    </w:p>
    <w:p>
      <w:pPr>
        <w:pStyle w:val="25"/>
        <w:spacing w:line="360" w:lineRule="auto"/>
        <w:ind w:left="479" w:hanging="479" w:hangingChars="199"/>
        <w:rPr>
          <w:rFonts w:cs="宋体"/>
          <w:b/>
          <w:highlight w:val="none"/>
        </w:rPr>
      </w:pPr>
      <w:r>
        <w:rPr>
          <w:rFonts w:hint="eastAsia" w:cs="宋体"/>
          <w:b/>
          <w:highlight w:val="none"/>
        </w:rPr>
        <w:t xml:space="preserve">24. </w:t>
      </w:r>
      <w:r>
        <w:rPr>
          <w:rFonts w:hint="eastAsia" w:cs="宋体"/>
          <w:highlight w:val="none"/>
        </w:rPr>
        <w:t>合同主要条款详见第五部分拟签订的合同文本。</w:t>
      </w:r>
    </w:p>
    <w:p>
      <w:pPr>
        <w:pStyle w:val="25"/>
        <w:spacing w:line="360" w:lineRule="auto"/>
        <w:ind w:left="479" w:hanging="479" w:hangingChars="199"/>
        <w:rPr>
          <w:rFonts w:cs="宋体"/>
          <w:b/>
          <w:highlight w:val="none"/>
        </w:rPr>
      </w:pPr>
      <w:r>
        <w:rPr>
          <w:rFonts w:hint="eastAsia" w:cs="宋体"/>
          <w:b/>
          <w:highlight w:val="none"/>
        </w:rPr>
        <w:t>25. 合同的签订</w:t>
      </w:r>
    </w:p>
    <w:p>
      <w:pPr>
        <w:widowControl/>
        <w:shd w:val="clear" w:color="auto" w:fill="FFFFFF"/>
        <w:spacing w:line="360" w:lineRule="auto"/>
        <w:ind w:firstLine="480"/>
        <w:jc w:val="left"/>
        <w:rPr>
          <w:rFonts w:ascii="宋体" w:hAnsi="宋体" w:cs="宋体"/>
          <w:kern w:val="0"/>
          <w:sz w:val="24"/>
          <w:highlight w:val="none"/>
        </w:rPr>
      </w:pPr>
      <w:r>
        <w:rPr>
          <w:rFonts w:hint="eastAsia" w:ascii="宋体" w:hAnsi="宋体" w:cs="宋体"/>
          <w:sz w:val="24"/>
          <w:highlight w:val="none"/>
        </w:rPr>
        <w:t>25.1</w:t>
      </w:r>
      <w:r>
        <w:rPr>
          <w:rFonts w:hint="eastAsia" w:ascii="宋体" w:hAnsi="宋体" w:cs="宋体"/>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highlight w:val="none"/>
        </w:rPr>
      </w:pPr>
      <w:r>
        <w:rPr>
          <w:rFonts w:hint="eastAsia" w:ascii="宋体" w:hAnsi="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highlight w:val="none"/>
        </w:rPr>
      </w:pPr>
      <w:r>
        <w:rPr>
          <w:rFonts w:hint="eastAsia" w:ascii="宋体" w:hAnsi="宋体" w:cs="宋体"/>
          <w:highlight w:val="none"/>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highlight w:val="none"/>
        </w:rPr>
      </w:pPr>
      <w:r>
        <w:rPr>
          <w:rFonts w:hint="eastAsia" w:ascii="宋体" w:hAnsi="宋体" w:cs="宋体"/>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highlight w:val="none"/>
        </w:rPr>
      </w:pPr>
      <w:r>
        <w:rPr>
          <w:rFonts w:hint="eastAsia" w:ascii="宋体" w:hAnsi="宋体" w:cs="宋体"/>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highlight w:val="none"/>
        </w:rPr>
      </w:pPr>
      <w:r>
        <w:rPr>
          <w:rFonts w:hint="eastAsia" w:cs="宋体"/>
          <w:b/>
          <w:highlight w:val="none"/>
        </w:rPr>
        <w:t>26. 履约保证金</w:t>
      </w:r>
    </w:p>
    <w:p>
      <w:pPr>
        <w:tabs>
          <w:tab w:val="left" w:pos="0"/>
        </w:tabs>
        <w:spacing w:line="360" w:lineRule="auto"/>
        <w:ind w:firstLine="482"/>
        <w:rPr>
          <w:rFonts w:ascii="宋体" w:hAnsi="宋体" w:cs="宋体"/>
          <w:sz w:val="24"/>
          <w:highlight w:val="none"/>
        </w:rPr>
      </w:pPr>
      <w:r>
        <w:rPr>
          <w:rFonts w:hint="eastAsia" w:ascii="宋体" w:hAnsi="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sz w:val="24"/>
          <w:highlight w:val="none"/>
        </w:rPr>
        <w:t>。履约保证金的数额不得超过政府采购合同金额的</w:t>
      </w:r>
      <w:r>
        <w:rPr>
          <w:rFonts w:hint="default" w:ascii="宋体" w:hAnsi="宋体" w:cs="宋体"/>
          <w:sz w:val="24"/>
          <w:highlight w:val="none"/>
          <w:lang w:val="en-US"/>
        </w:rPr>
        <w:t>1</w:t>
      </w:r>
      <w:r>
        <w:rPr>
          <w:rFonts w:hint="eastAsia" w:ascii="宋体" w:hAnsi="宋体" w:cs="宋体"/>
          <w:sz w:val="24"/>
          <w:highlight w:val="none"/>
        </w:rPr>
        <w:t>%。鼓励和支持供应商以银行、保险公司出具的保函形式提供履约保证金。采购人不得拒收履约保函，项目验收结束后应及时退还，</w:t>
      </w:r>
      <w:r>
        <w:rPr>
          <w:rFonts w:ascii="宋体" w:hAnsi="宋体" w:cs="宋体"/>
          <w:sz w:val="24"/>
          <w:highlight w:val="none"/>
        </w:rPr>
        <w:t>延迟退还的，应当按照合同约定和法律规定承担相应的赔偿责任</w:t>
      </w:r>
      <w:r>
        <w:rPr>
          <w:rFonts w:hint="eastAsia" w:ascii="宋体" w:hAnsi="宋体" w:cs="宋体"/>
          <w:sz w:val="24"/>
          <w:highlight w:val="none"/>
        </w:rPr>
        <w:t>。</w:t>
      </w:r>
    </w:p>
    <w:p>
      <w:pPr>
        <w:tabs>
          <w:tab w:val="left" w:pos="0"/>
        </w:tabs>
        <w:spacing w:line="360" w:lineRule="auto"/>
        <w:ind w:firstLine="482"/>
        <w:rPr>
          <w:rFonts w:ascii="宋体" w:hAnsi="宋体" w:cs="宋体"/>
          <w:sz w:val="24"/>
          <w:szCs w:val="20"/>
          <w:highlight w:val="none"/>
        </w:rPr>
      </w:pPr>
      <w:r>
        <w:rPr>
          <w:rFonts w:hint="eastAsia" w:ascii="宋体" w:hAnsi="宋体" w:cs="宋体"/>
          <w:sz w:val="24"/>
          <w:szCs w:val="20"/>
          <w:highlight w:val="none"/>
        </w:rPr>
        <w:t>政府采购货物和服务项目中，采购单位可根据杭州市政府采购网公布的供应商履约评价情况减免履约保证金。供应商履约验收评价总分为100分的，采购单位应当免收履约保证金。</w:t>
      </w:r>
    </w:p>
    <w:p>
      <w:pPr>
        <w:pStyle w:val="3"/>
        <w:ind w:left="0" w:firstLine="480" w:firstLineChars="200"/>
        <w:rPr>
          <w:rFonts w:ascii="宋体" w:hAnsi="宋体" w:eastAsia="宋体" w:cs="宋体"/>
          <w:highlight w:val="none"/>
          <w:lang w:val="en-US"/>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highlight w:val="none"/>
        </w:rPr>
      </w:pPr>
    </w:p>
    <w:p>
      <w:pPr>
        <w:snapToGrid w:val="0"/>
        <w:spacing w:line="360" w:lineRule="auto"/>
        <w:ind w:firstLine="3357" w:firstLineChars="1045"/>
        <w:rPr>
          <w:rFonts w:ascii="宋体" w:hAnsi="宋体" w:cs="宋体"/>
          <w:b/>
          <w:sz w:val="24"/>
          <w:highlight w:val="none"/>
        </w:rPr>
      </w:pPr>
      <w:r>
        <w:rPr>
          <w:rFonts w:hint="eastAsia" w:ascii="宋体" w:hAnsi="宋体" w:cs="宋体"/>
          <w:b/>
          <w:sz w:val="32"/>
          <w:highlight w:val="none"/>
        </w:rPr>
        <w:t>八、电子交易活动的中止</w:t>
      </w:r>
    </w:p>
    <w:p>
      <w:pPr>
        <w:pStyle w:val="128"/>
        <w:snapToGrid w:val="0"/>
        <w:spacing w:before="0"/>
        <w:ind w:firstLine="0" w:firstLineChars="0"/>
        <w:rPr>
          <w:rFonts w:ascii="宋体" w:hAnsi="宋体" w:cs="宋体"/>
          <w:highlight w:val="none"/>
        </w:rPr>
      </w:pPr>
      <w:r>
        <w:rPr>
          <w:rFonts w:hint="eastAsia" w:ascii="宋体" w:hAnsi="宋体" w:cs="宋体"/>
          <w:highlight w:val="none"/>
        </w:rPr>
        <w:t>2</w:t>
      </w:r>
      <w:r>
        <w:rPr>
          <w:rFonts w:hint="eastAsia" w:ascii="宋体" w:hAnsi="宋体" w:cs="宋体"/>
          <w:b/>
          <w:szCs w:val="24"/>
          <w:highlight w:val="none"/>
        </w:rPr>
        <w:t>7. 电子交易活动的中止。</w:t>
      </w:r>
      <w:r>
        <w:rPr>
          <w:rFonts w:hint="eastAsia" w:ascii="宋体" w:hAnsi="宋体" w:cs="宋体"/>
          <w:highlight w:val="none"/>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highlight w:val="none"/>
        </w:rPr>
      </w:pPr>
      <w:r>
        <w:rPr>
          <w:rFonts w:hint="eastAsia" w:ascii="宋体" w:hAnsi="宋体" w:cs="宋体"/>
          <w:highlight w:val="none"/>
        </w:rPr>
        <w:t xml:space="preserve">27.1电子交易平台发生故障而无法登录访问的； </w:t>
      </w:r>
    </w:p>
    <w:p>
      <w:pPr>
        <w:pStyle w:val="128"/>
        <w:snapToGrid w:val="0"/>
        <w:spacing w:before="0"/>
        <w:ind w:firstLine="480"/>
        <w:rPr>
          <w:rFonts w:ascii="宋体" w:hAnsi="宋体" w:cs="宋体"/>
          <w:highlight w:val="none"/>
        </w:rPr>
      </w:pPr>
      <w:r>
        <w:rPr>
          <w:rFonts w:hint="eastAsia" w:ascii="宋体" w:hAnsi="宋体" w:cs="宋体"/>
          <w:highlight w:val="none"/>
        </w:rPr>
        <w:t>27.2电子交易平台应用或数据库出现错误，不能进行正常操作的；</w:t>
      </w:r>
    </w:p>
    <w:p>
      <w:pPr>
        <w:pStyle w:val="128"/>
        <w:snapToGrid w:val="0"/>
        <w:spacing w:before="0"/>
        <w:ind w:firstLine="480"/>
        <w:rPr>
          <w:rFonts w:ascii="宋体" w:hAnsi="宋体" w:cs="宋体"/>
          <w:highlight w:val="none"/>
        </w:rPr>
      </w:pPr>
      <w:r>
        <w:rPr>
          <w:rFonts w:hint="eastAsia" w:ascii="宋体" w:hAnsi="宋体" w:cs="宋体"/>
          <w:highlight w:val="none"/>
        </w:rPr>
        <w:t>27.3电子交易平台发现严重安全漏洞，有潜在泄密危险的；</w:t>
      </w:r>
    </w:p>
    <w:p>
      <w:pPr>
        <w:pStyle w:val="128"/>
        <w:snapToGrid w:val="0"/>
        <w:spacing w:before="0"/>
        <w:ind w:firstLine="480"/>
        <w:rPr>
          <w:rFonts w:ascii="宋体" w:hAnsi="宋体" w:cs="宋体"/>
          <w:highlight w:val="none"/>
        </w:rPr>
      </w:pPr>
      <w:r>
        <w:rPr>
          <w:rFonts w:hint="eastAsia" w:ascii="宋体" w:hAnsi="宋体" w:cs="宋体"/>
          <w:highlight w:val="none"/>
        </w:rPr>
        <w:t xml:space="preserve">27.4病毒发作导致不能进行正常操作的； </w:t>
      </w:r>
    </w:p>
    <w:p>
      <w:pPr>
        <w:pStyle w:val="128"/>
        <w:snapToGrid w:val="0"/>
        <w:spacing w:before="0"/>
        <w:ind w:firstLine="480"/>
        <w:rPr>
          <w:rFonts w:ascii="宋体" w:hAnsi="宋体" w:cs="宋体"/>
          <w:highlight w:val="none"/>
        </w:rPr>
      </w:pPr>
      <w:r>
        <w:rPr>
          <w:rFonts w:hint="eastAsia" w:ascii="宋体" w:hAnsi="宋体" w:cs="宋体"/>
          <w:highlight w:val="none"/>
        </w:rPr>
        <w:t>27.5其他无法保证电子交易的公平、公正和安全的情况。</w:t>
      </w:r>
    </w:p>
    <w:p>
      <w:pPr>
        <w:pStyle w:val="128"/>
        <w:snapToGrid w:val="0"/>
        <w:spacing w:before="0"/>
        <w:ind w:firstLine="0" w:firstLineChars="0"/>
        <w:rPr>
          <w:rFonts w:ascii="宋体" w:hAnsi="宋体" w:cs="宋体"/>
          <w:highlight w:val="none"/>
        </w:rPr>
      </w:pPr>
      <w:r>
        <w:rPr>
          <w:rFonts w:hint="eastAsia" w:ascii="宋体" w:hAnsi="宋体" w:cs="宋体"/>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九、验收</w:t>
      </w:r>
    </w:p>
    <w:p>
      <w:pPr>
        <w:pStyle w:val="25"/>
        <w:spacing w:line="360" w:lineRule="auto"/>
        <w:ind w:firstLine="0" w:firstLineChars="0"/>
        <w:rPr>
          <w:rFonts w:cs="宋体"/>
          <w:b/>
          <w:highlight w:val="none"/>
        </w:rPr>
      </w:pPr>
      <w:r>
        <w:rPr>
          <w:rFonts w:hint="eastAsia" w:cs="宋体"/>
          <w:b/>
          <w:highlight w:val="none"/>
        </w:rPr>
        <w:t>29.验收</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highlight w:val="none"/>
        </w:rPr>
      </w:pPr>
      <w:r>
        <w:rPr>
          <w:rFonts w:hint="eastAsia" w:ascii="宋体" w:hAnsi="宋体" w:cs="宋体"/>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14665"/>
      <w:bookmarkEnd w:id="15"/>
      <w:bookmarkStart w:id="16" w:name="_Hlt75236011"/>
      <w:bookmarkEnd w:id="16"/>
      <w:bookmarkStart w:id="17" w:name="_Hlt68057669"/>
      <w:bookmarkEnd w:id="17"/>
      <w:bookmarkStart w:id="18" w:name="_Hlt75236101"/>
      <w:bookmarkEnd w:id="18"/>
      <w:bookmarkStart w:id="19" w:name="_Hlt74729768"/>
      <w:bookmarkEnd w:id="19"/>
      <w:bookmarkStart w:id="20" w:name="_Hlt68403820"/>
      <w:bookmarkEnd w:id="20"/>
      <w:bookmarkStart w:id="21" w:name="_Hlt68072990"/>
      <w:bookmarkEnd w:id="21"/>
      <w:bookmarkStart w:id="22" w:name="_Hlt68073093"/>
      <w:bookmarkEnd w:id="22"/>
      <w:bookmarkStart w:id="23" w:name="_Hlt74707468"/>
      <w:bookmarkEnd w:id="23"/>
      <w:bookmarkStart w:id="24" w:name="_Hlt74730295"/>
      <w:bookmarkEnd w:id="24"/>
      <w:bookmarkStart w:id="25" w:name="_Hlt75236290"/>
      <w:bookmarkEnd w:id="25"/>
      <w:bookmarkStart w:id="26" w:name="_Hlt68072998"/>
      <w:bookmarkEnd w:id="26"/>
    </w:p>
    <w:bookmarkEnd w:id="11"/>
    <w:bookmarkEnd w:id="12"/>
    <w:p>
      <w:pPr>
        <w:spacing w:line="360" w:lineRule="auto"/>
        <w:jc w:val="center"/>
        <w:outlineLvl w:val="0"/>
        <w:rPr>
          <w:rFonts w:ascii="宋体" w:hAnsi="宋体" w:cs="宋体"/>
          <w:b/>
          <w:sz w:val="36"/>
          <w:szCs w:val="36"/>
          <w:highlight w:val="none"/>
        </w:rPr>
      </w:pPr>
      <w:bookmarkStart w:id="27" w:name="第四部分"/>
      <w:r>
        <w:rPr>
          <w:rFonts w:hint="eastAsia" w:ascii="宋体" w:hAnsi="宋体" w:cs="宋体"/>
          <w:b/>
          <w:sz w:val="36"/>
          <w:szCs w:val="36"/>
          <w:highlight w:val="none"/>
        </w:rPr>
        <w:t>第三部分   采购需求</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lang w:eastAsia="zh-CN"/>
        </w:rPr>
        <w:t>一、</w:t>
      </w:r>
      <w:r>
        <w:rPr>
          <w:rFonts w:hint="eastAsia" w:ascii="宋体" w:hAnsi="宋体" w:eastAsia="宋体" w:cs="宋体"/>
          <w:b/>
          <w:sz w:val="24"/>
          <w:szCs w:val="24"/>
          <w:highlight w:val="none"/>
        </w:rPr>
        <w:t>项目概述</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将数字化贯穿到西湖区电子政务安全的全过程各方面，统筹推进数字技术应用和制度创新，以一体化智能化公共数据平台安全为核心，参照国家法律法规、标准规范和省市文件要求，从安全管理体系、安全技术体系、安全运营体系等维度，加强全区政务网络、政务应用、政务数据基础设施安全；完善政务数据全生命周期安全，建立和提升覆盖云、网端、边界、应用、数据的一体化全链路网络安全监管体系；建立健全全区政务网络、政务应用和政务数据安全检测评估和安全运营体系，为“数字化改革”推进提供全方位安全保障。</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二、建设内容</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项目建设内容包括以下：</w:t>
      </w:r>
    </w:p>
    <w:p>
      <w:pPr>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1、加强电子政务平台基础安全防护</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根据《中华人民共和国网络安全法》、《等保2.0》、《县级公共数据平台建设导则》等相关要求，按照网络安全等级保护三级标准对网络边界、网络通信、计算环境等基础设施进行完善。</w:t>
      </w:r>
    </w:p>
    <w:p>
      <w:pPr>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2、建立公共数据平台安全技术体系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参考《县级公共数据平台建设导则》，结合西湖区一体化智能化公共数据平台建设，围绕公共数据平台数据采集、传输、存储、处理、交换、销毁等环节的数据安全保密需求，形成公共数据平台安全技术体系。</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3、建立政务外网全链路安全监管体系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结合全省全链路安全监管要求，在现有的数据管控平台基础上进行升级迭代，构建覆盖云、网、端、边界、应用、数据的全链路监管体系。</w:t>
      </w:r>
    </w:p>
    <w:p>
      <w:pPr>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4、强化电子政务安全评估检测和运营管理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强化政务网络安全评估、等保三级系统密码应用测评，完善网络重保、攻防演练、运行维护等政务运营管理体系。</w:t>
      </w:r>
    </w:p>
    <w:p>
      <w:pPr>
        <w:ind w:firstLine="480" w:firstLineChars="200"/>
        <w:rPr>
          <w:rFonts w:hint="eastAsia" w:ascii="宋体" w:hAnsi="宋体" w:eastAsia="宋体" w:cs="宋体"/>
          <w:sz w:val="24"/>
          <w:szCs w:val="24"/>
          <w:highlight w:val="none"/>
        </w:rPr>
      </w:pPr>
    </w:p>
    <w:p>
      <w:pPr>
        <w:ind w:firstLine="480" w:firstLineChars="200"/>
        <w:rPr>
          <w:rFonts w:hint="eastAsia" w:ascii="宋体" w:hAnsi="宋体" w:eastAsia="宋体" w:cs="宋体"/>
          <w:sz w:val="24"/>
          <w:szCs w:val="24"/>
          <w:highlight w:val="none"/>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szCs w:val="24"/>
          <w:highlight w:val="none"/>
        </w:rPr>
        <w:t xml:space="preserve">   </w:t>
      </w: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三、项目采购清单</w:t>
      </w:r>
    </w:p>
    <w:tbl>
      <w:tblPr>
        <w:tblStyle w:val="62"/>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1324"/>
        <w:gridCol w:w="4713"/>
        <w:gridCol w:w="709"/>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132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设备清单</w:t>
            </w:r>
          </w:p>
        </w:tc>
        <w:tc>
          <w:tcPr>
            <w:tcW w:w="4713"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配置</w:t>
            </w:r>
            <w:r>
              <w:rPr>
                <w:rFonts w:hint="eastAsia" w:ascii="宋体" w:hAnsi="宋体" w:eastAsia="宋体" w:cs="宋体"/>
                <w:sz w:val="24"/>
                <w:szCs w:val="24"/>
                <w:highlight w:val="none"/>
                <w:lang w:eastAsia="zh-CN"/>
              </w:rPr>
              <w:t>简要</w:t>
            </w:r>
            <w:r>
              <w:rPr>
                <w:rFonts w:hint="eastAsia" w:ascii="宋体" w:hAnsi="宋体" w:eastAsia="宋体" w:cs="宋体"/>
                <w:sz w:val="24"/>
                <w:szCs w:val="24"/>
                <w:highlight w:val="none"/>
              </w:rPr>
              <w:t>描述</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单位</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324" w:type="dxa"/>
            <w:shd w:val="clear" w:color="000000" w:fill="FFFFFF"/>
            <w:vAlign w:val="center"/>
          </w:tcPr>
          <w:p>
            <w:pP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日志审计系统</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2U机架式，内存容量：≧32GB*4， 10块4T硬盘，4个千兆电口，2个万兆光口；资产授权许可数量：≧1000个</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rPr>
              <w:t>三年免费质保及技术支持服务。</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324" w:type="dxa"/>
            <w:shd w:val="clear" w:color="000000" w:fill="FFFFFF"/>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终端安全软件</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终端安全软件，实现政务外网终端的病毒查杀、补丁分发以及终端管控。许可数量：3000节点</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rPr>
              <w:t>两年免费质保及病毒库更新</w:t>
            </w:r>
            <w:r>
              <w:rPr>
                <w:rFonts w:hint="eastAsia" w:ascii="宋体" w:hAnsi="宋体" w:eastAsia="宋体" w:cs="宋体"/>
                <w:sz w:val="24"/>
                <w:szCs w:val="24"/>
                <w:highlight w:val="none"/>
              </w:rPr>
              <w:t>。</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324" w:type="dxa"/>
            <w:shd w:val="clear" w:color="000000" w:fill="FFFFFF"/>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端点检测和响应系统（EDR）</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端点检测和响应系统（EDR），含管理平台一套及不少于450节点授权</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rPr>
              <w:t>三年免费质保及技术支持服务。</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1324" w:type="dxa"/>
            <w:shd w:val="clear" w:color="000000" w:fill="FFFFFF"/>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威胁狩猎与溯源系统</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2U机架式，内存≧32G，2个千兆网卡，双电源，配置4个沙箱，16个代理，包含沙箱仿真模块、伪装代理模块、攻击溯源模块、诱导感知模块、系统管理模块等</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rPr>
              <w:t>三年免费质保及技术服务。</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324" w:type="dxa"/>
            <w:shd w:val="clear" w:color="000000" w:fill="FFFFFF"/>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代码审计系统</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U机架式，内存≧128G，存储≧4TB，双电源，支持对C、C++、C#、Objective-C、Java、PHP、Swift、JavaScript、Python、Cobol、Go等语言开发的软件源代码进行安全缺陷检测；支持软件版本管理系统集成；能够从这些软件版本管理系统发起源代码安全缺陷检测任务</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rPr>
              <w:t>三年免费质保及技术服务。</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1324" w:type="dxa"/>
            <w:shd w:val="clear" w:color="000000" w:fill="FFFFFF"/>
            <w:vAlign w:val="center"/>
          </w:tcPr>
          <w:p>
            <w:pPr>
              <w:rPr>
                <w:rFonts w:hint="eastAsia" w:ascii="宋体" w:hAnsi="宋体" w:eastAsia="宋体" w:cs="宋体"/>
                <w:sz w:val="24"/>
                <w:szCs w:val="24"/>
                <w:highlight w:val="none"/>
              </w:rPr>
            </w:pPr>
            <w:bookmarkStart w:id="28" w:name="_Hlk89379395"/>
            <w:r>
              <w:rPr>
                <w:rFonts w:hint="eastAsia" w:ascii="宋体" w:hAnsi="宋体" w:eastAsia="宋体" w:cs="宋体"/>
                <w:sz w:val="24"/>
                <w:szCs w:val="24"/>
                <w:highlight w:val="none"/>
              </w:rPr>
              <w:t>数据库加密</w:t>
            </w:r>
            <w:bookmarkEnd w:id="28"/>
            <w:r>
              <w:rPr>
                <w:rFonts w:hint="eastAsia" w:ascii="宋体" w:hAnsi="宋体" w:eastAsia="宋体" w:cs="宋体"/>
                <w:sz w:val="24"/>
                <w:szCs w:val="24"/>
                <w:highlight w:val="none"/>
              </w:rPr>
              <w:t>系统</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2U机架式，双电源，2GE板载管理口，4GE板载接口，1×接口板卡插槽。</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≧16GB内存，≧2TB硬盘。支持Oracle，MySQL，Microsoft SQL Server等数据库类型。配置10个数据库(IP+Port)授权</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rPr>
              <w:t>三年免费质保及技术服务。</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1324" w:type="dxa"/>
            <w:shd w:val="clear" w:color="000000" w:fill="FFFFFF"/>
            <w:vAlign w:val="center"/>
          </w:tcPr>
          <w:p>
            <w:pPr>
              <w:rPr>
                <w:rFonts w:hint="eastAsia" w:ascii="宋体" w:hAnsi="宋体" w:eastAsia="宋体" w:cs="宋体"/>
                <w:sz w:val="24"/>
                <w:szCs w:val="24"/>
                <w:highlight w:val="none"/>
              </w:rPr>
            </w:pPr>
            <w:bookmarkStart w:id="29" w:name="_Hlk89331816"/>
            <w:r>
              <w:rPr>
                <w:rFonts w:hint="eastAsia" w:ascii="宋体" w:hAnsi="宋体" w:eastAsia="宋体" w:cs="宋体"/>
                <w:sz w:val="24"/>
                <w:szCs w:val="24"/>
                <w:highlight w:val="none"/>
              </w:rPr>
              <w:t>数据库权限管控</w:t>
            </w:r>
            <w:bookmarkEnd w:id="29"/>
            <w:r>
              <w:rPr>
                <w:rFonts w:hint="eastAsia" w:ascii="宋体" w:hAnsi="宋体" w:eastAsia="宋体" w:cs="宋体"/>
                <w:sz w:val="24"/>
                <w:szCs w:val="24"/>
                <w:highlight w:val="none"/>
              </w:rPr>
              <w:t>系统</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2U机架式，双电源，≧6个千兆电口，≧16G内存，≧2T存储空间，配置16个数据库实例授权，支持采用身份管理、授权等机制对数据库运维操作进行合规管理。</w:t>
            </w:r>
            <w:r>
              <w:rPr>
                <w:rFonts w:hint="eastAsia" w:ascii="宋体" w:hAnsi="宋体" w:eastAsia="宋体" w:cs="宋体"/>
                <w:b/>
                <w:bCs/>
                <w:sz w:val="24"/>
                <w:szCs w:val="24"/>
                <w:highlight w:val="none"/>
              </w:rPr>
              <w:t>三年免费质保及技术服务。</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1324" w:type="dxa"/>
            <w:shd w:val="clear" w:color="000000" w:fill="FFFFFF"/>
            <w:vAlign w:val="center"/>
          </w:tcPr>
          <w:p>
            <w:pPr>
              <w:rPr>
                <w:rFonts w:hint="eastAsia" w:ascii="宋体" w:hAnsi="宋体" w:eastAsia="宋体" w:cs="宋体"/>
                <w:sz w:val="24"/>
                <w:szCs w:val="24"/>
                <w:highlight w:val="none"/>
              </w:rPr>
            </w:pPr>
            <w:bookmarkStart w:id="30" w:name="_Hlk89331828"/>
            <w:r>
              <w:rPr>
                <w:rFonts w:hint="eastAsia" w:ascii="宋体" w:hAnsi="宋体" w:eastAsia="宋体" w:cs="宋体"/>
                <w:sz w:val="24"/>
                <w:szCs w:val="24"/>
                <w:highlight w:val="none"/>
              </w:rPr>
              <w:t>数据库脱敏</w:t>
            </w:r>
            <w:bookmarkEnd w:id="30"/>
            <w:r>
              <w:rPr>
                <w:rFonts w:hint="eastAsia" w:ascii="宋体" w:hAnsi="宋体" w:eastAsia="宋体" w:cs="宋体"/>
                <w:sz w:val="24"/>
                <w:szCs w:val="24"/>
                <w:highlight w:val="none"/>
              </w:rPr>
              <w:t>系统</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支持常用数据库：MySQL、Oracle、PostgreSQL、MSSQL、MariaDB、GreenPlum、DB2、Informix等</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rPr>
              <w:t>三年免费质保及技术服务。</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1324" w:type="dxa"/>
            <w:shd w:val="clear" w:color="000000" w:fill="FFFFFF"/>
            <w:vAlign w:val="center"/>
          </w:tcPr>
          <w:p>
            <w:pPr>
              <w:rPr>
                <w:rFonts w:hint="eastAsia" w:ascii="宋体" w:hAnsi="宋体" w:eastAsia="宋体" w:cs="宋体"/>
                <w:sz w:val="24"/>
                <w:szCs w:val="24"/>
                <w:highlight w:val="none"/>
              </w:rPr>
            </w:pPr>
            <w:bookmarkStart w:id="31" w:name="_Hlk89331840"/>
            <w:r>
              <w:rPr>
                <w:rFonts w:hint="eastAsia" w:ascii="宋体" w:hAnsi="宋体" w:eastAsia="宋体" w:cs="宋体"/>
                <w:sz w:val="24"/>
                <w:szCs w:val="24"/>
                <w:highlight w:val="none"/>
              </w:rPr>
              <w:t>数据水印</w:t>
            </w:r>
            <w:bookmarkEnd w:id="31"/>
            <w:r>
              <w:rPr>
                <w:rFonts w:hint="eastAsia" w:ascii="宋体" w:hAnsi="宋体" w:eastAsia="宋体" w:cs="宋体"/>
                <w:sz w:val="24"/>
                <w:szCs w:val="24"/>
                <w:highlight w:val="none"/>
              </w:rPr>
              <w:t>系统</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配置数据库管理授权5个，支持Oracle、SQLServer、Mysql、PostgreSQL、ODPS等主流数据库。</w:t>
            </w:r>
            <w:r>
              <w:rPr>
                <w:rFonts w:hint="eastAsia" w:ascii="宋体" w:hAnsi="宋体" w:eastAsia="宋体" w:cs="宋体"/>
                <w:b/>
                <w:bCs/>
                <w:sz w:val="24"/>
                <w:szCs w:val="24"/>
                <w:highlight w:val="none"/>
              </w:rPr>
              <w:t>三年免费质保及技术服务。</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bookmarkStart w:id="32" w:name="_Hlk110439869"/>
            <w:r>
              <w:rPr>
                <w:rFonts w:hint="eastAsia" w:ascii="宋体" w:hAnsi="宋体" w:eastAsia="宋体" w:cs="宋体"/>
                <w:sz w:val="24"/>
                <w:szCs w:val="24"/>
                <w:highlight w:val="none"/>
              </w:rPr>
              <w:t>10</w:t>
            </w:r>
          </w:p>
        </w:tc>
        <w:tc>
          <w:tcPr>
            <w:tcW w:w="1324" w:type="dxa"/>
            <w:shd w:val="clear" w:color="000000" w:fill="FFFFFF"/>
            <w:vAlign w:val="center"/>
          </w:tcPr>
          <w:p>
            <w:pPr>
              <w:rPr>
                <w:rFonts w:hint="eastAsia" w:ascii="宋体" w:hAnsi="宋体" w:eastAsia="宋体" w:cs="宋体"/>
                <w:sz w:val="24"/>
                <w:szCs w:val="24"/>
                <w:highlight w:val="none"/>
              </w:rPr>
            </w:pPr>
            <w:bookmarkStart w:id="33" w:name="_Hlk89331858"/>
            <w:r>
              <w:rPr>
                <w:rFonts w:hint="eastAsia" w:ascii="宋体" w:hAnsi="宋体" w:eastAsia="宋体" w:cs="宋体"/>
                <w:sz w:val="24"/>
                <w:szCs w:val="24"/>
                <w:highlight w:val="none"/>
              </w:rPr>
              <w:t>数据安全管控</w:t>
            </w:r>
            <w:bookmarkEnd w:id="33"/>
            <w:r>
              <w:rPr>
                <w:rFonts w:hint="eastAsia" w:ascii="宋体" w:hAnsi="宋体" w:eastAsia="宋体" w:cs="宋体"/>
                <w:sz w:val="24"/>
                <w:szCs w:val="24"/>
                <w:highlight w:val="none"/>
              </w:rPr>
              <w:t>分析服务</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基于现有数据管控平台，扩展数据安全管控能力，实现业务场景梳理、场景大屏定制、共享与回流防护、安全检查平台运营等服务</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rPr>
              <w:t>服务期：1年。</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1324" w:type="dxa"/>
            <w:shd w:val="clear" w:color="000000" w:fill="FFFFFF"/>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全链路安全监管升级服务</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在现有数据管控平台进行升级，增加监测范围，升级监测力度，增加云、网络及边界、应用、终端方面的安全监测能力，含资产管理升级服务、告警管理升级服务、通报处置升级服务、监督检查升级服务、知识库管理升级服务、考核评估升级服务、态势感知升级服务、事件案例升级服务。</w:t>
            </w:r>
            <w:r>
              <w:rPr>
                <w:rFonts w:hint="eastAsia" w:ascii="宋体" w:hAnsi="宋体" w:eastAsia="宋体" w:cs="宋体"/>
                <w:b/>
                <w:bCs/>
                <w:sz w:val="24"/>
                <w:szCs w:val="24"/>
                <w:highlight w:val="none"/>
              </w:rPr>
              <w:t>服务期：1年。</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bookmark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1324"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风险评估服务</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依据省、市数据安全检查的要求，对10个重要业务系统进行风险评估，包括漏洞扫描（每年4次）、安全基线检查（每年4次）、渗透测试（每年1次）、出具《漏洞扫描报告》（4份）、《安全基线检查报告》（4份）、《渗透测试报告》（1份）、《风险评估报告》（1份）。</w:t>
            </w:r>
            <w:r>
              <w:rPr>
                <w:rFonts w:hint="eastAsia" w:ascii="宋体" w:hAnsi="宋体" w:eastAsia="宋体" w:cs="宋体"/>
                <w:b/>
                <w:bCs/>
                <w:sz w:val="24"/>
                <w:szCs w:val="24"/>
                <w:highlight w:val="none"/>
              </w:rPr>
              <w:t>服务期1年。</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132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密码应用测评</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依据《信息系统密码应用基本要求》，对5个网络安全等保三级及以上政务信息系统开展国产密码应用评估。</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1324"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攻防演练及应急处置服务</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制定应急预案，并根据实际演练情况对应急预案的有效性、落地性进行检验，对重要信息系统的防御措施进行检查与评估，发现风险。服务期内如遇安全事件，及时协助客户进行应急响应处置，追踪溯源。</w:t>
            </w:r>
            <w:r>
              <w:rPr>
                <w:rFonts w:hint="eastAsia" w:ascii="宋体" w:hAnsi="宋体" w:eastAsia="宋体" w:cs="宋体"/>
                <w:b/>
                <w:bCs/>
                <w:sz w:val="24"/>
                <w:szCs w:val="24"/>
                <w:highlight w:val="none"/>
              </w:rPr>
              <w:t>每年提供1次服务。</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132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人员驻场服务</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人常驻现场服务，提供5×8小时现场技术服务。服务内容：1、网络安全技术支持服务：安全设备运维管理和日常巡检、网络安全事件处置和通报、协调安全加固等；2、数据安全技术支持服务：配合区数据资源局完成政务数据安全技术和管理措施落实工作，包括安全自查、部门安全检查、数据安全设施操作使用和日常维护、相关制度规范文档和工作台账整理等；3、终端及外设日常故障处理；4、用户交办的其他工作。具体工作由业主根据实际需要安排。</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132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网络</w:t>
            </w:r>
            <w:r>
              <w:rPr>
                <w:rFonts w:hint="eastAsia" w:ascii="宋体" w:hAnsi="宋体" w:eastAsia="宋体" w:cs="宋体"/>
                <w:sz w:val="24"/>
                <w:szCs w:val="24"/>
                <w:highlight w:val="none"/>
              </w:rPr>
              <w:t>重保支持服务</w:t>
            </w:r>
          </w:p>
        </w:tc>
        <w:tc>
          <w:tcPr>
            <w:tcW w:w="4713"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重要会议、重大活动、重要事件期间，委派资深安服技术人员到场，为电子政务网络、安全、云计算平台等设备正常稳定运行提供保障，随时应急处理全区电子政务网络突发故障。人员须具备至少3年以上网络技术工作经验，服务时长：每年不少于27人天。</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4"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1324" w:type="dxa"/>
            <w:shd w:val="clear" w:color="000000" w:fill="FFFFFF"/>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设备维保服务</w:t>
            </w:r>
          </w:p>
        </w:tc>
        <w:tc>
          <w:tcPr>
            <w:tcW w:w="4713" w:type="dxa"/>
            <w:shd w:val="clear" w:color="000000" w:fill="FFFFFF"/>
            <w:vAlign w:val="center"/>
          </w:tcPr>
          <w:p>
            <w:pPr>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天融信TSC-71232-WVS漏洞扫描系统一台</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安恒DAS-A1000数据库审计设备一台</w:t>
            </w:r>
            <w:r>
              <w:rPr>
                <w:rFonts w:hint="eastAsia" w:ascii="宋体" w:hAnsi="宋体" w:eastAsia="宋体" w:cs="宋体"/>
                <w:sz w:val="24"/>
                <w:szCs w:val="24"/>
                <w:highlight w:val="none"/>
                <w:lang w:eastAsia="zh-CN"/>
              </w:rPr>
              <w:t>；</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深信服SIP-1000－A600态势感知平台一套。</w:t>
            </w:r>
          </w:p>
          <w:p>
            <w:pPr>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rPr>
              <w:t>服务期：1年</w:t>
            </w:r>
          </w:p>
        </w:tc>
        <w:tc>
          <w:tcPr>
            <w:tcW w:w="70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819" w:type="dxa"/>
            <w:shd w:val="clear" w:color="000000" w:fill="FFFFFF"/>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bl>
    <w:p>
      <w:pPr>
        <w:rPr>
          <w:rFonts w:hint="eastAsia" w:ascii="宋体" w:hAnsi="宋体" w:eastAsia="宋体" w:cs="宋体"/>
          <w:sz w:val="24"/>
          <w:szCs w:val="24"/>
          <w:highlight w:val="none"/>
        </w:rPr>
      </w:pPr>
      <w:r>
        <w:rPr>
          <w:rFonts w:hint="eastAsia" w:ascii="宋体" w:hAnsi="宋体" w:eastAsia="宋体" w:cs="宋体"/>
          <w:b/>
          <w:sz w:val="24"/>
          <w:szCs w:val="24"/>
          <w:highlight w:val="none"/>
        </w:rPr>
        <w:t>四、采购内容及详细招标参数要求</w:t>
      </w:r>
      <w:r>
        <w:rPr>
          <w:rFonts w:hint="eastAsia" w:ascii="宋体" w:hAnsi="宋体" w:eastAsia="宋体" w:cs="宋体"/>
          <w:sz w:val="24"/>
          <w:szCs w:val="24"/>
          <w:highlight w:val="none"/>
        </w:rPr>
        <w:t>(指标及要求所述的“支持”内容均包含在此次采购项目中)</w:t>
      </w:r>
    </w:p>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1、日志审计系统</w:t>
      </w:r>
    </w:p>
    <w:tbl>
      <w:tblPr>
        <w:tblStyle w:val="62"/>
        <w:tblW w:w="8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9"/>
        <w:gridCol w:w="6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6705" w:type="dxa"/>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519" w:type="dxa"/>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硬件规格</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≧4个千兆电口，≧2个万兆光口；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519" w:type="dxa"/>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内存≧32GB*4，磁盘≧4T*10；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19"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处理性能</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峰值处理能力EPS≧20000/秒(峰值30000/秒)；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功能扩展</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支持手动或按周期自动备份系统配置，可随时对系统资产等配置进行还原操作，且自动备份周期与备份包个数可配；支持系统配置备份自动备份至远程服务器；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★支持kafka日志接收转发、大数据安全域同步、沙箱报告转发等大数据联调功能；</w:t>
            </w:r>
            <w:r>
              <w:rPr>
                <w:rFonts w:hint="eastAsia" w:ascii="宋体" w:hAnsi="宋体" w:eastAsia="宋体" w:cs="宋体"/>
                <w:b/>
                <w:bCs/>
                <w:sz w:val="24"/>
                <w:szCs w:val="24"/>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日志收集</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支持Syslog、SNMP Trap、HTTP、ODBC/JDBC、WMI、FTP、SFTP协议日志收集；支持阿里云SLS日志的采集；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设备厂家包括但不限于：Cisco(思科)、Juniper、联想网御/网御神州、F5、华为、H3C、微软、绿盟、飞塔(Fortinet)、Foundry、天融信、启明星辰、天网、趋势、东软、Nokia、CheckPoint、Hillstone(山石)、安恒信息、珠海伟思、BEA、中国电信、安氏、帕拉迪、APC、Arbor、Clam、戴尔（Dell）、Digium、东方电子、EMC、中国电力科学研究院、Eudora、Google、冠群金辰、Linksys、McAFee、Netapp、永达、Sonicwall、Vigor、天存、Symantec（赛门铁克）、Hardened-PHP、Foundertech(方正)、三零盛安、Allot、蓝盾、IBM、金诺网安、网威、Nortel(北电)、Citrix(思杰)、Watchguard、中兴、阿帕奇、Windows系统日志、Linux/UNIX syslog、IIS、Apache等；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支持常见的虚拟机环境日志收集，包括Xen、VMWare、Hyper-V等；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支持目前主流的网络安全设备、交换设备、路由设备、操作系统、应用系统等；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19"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日志分析</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支持对收集到的重复日志进行自动聚合归并，减少日志量；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支持将收集到的日志转发，当原始日志设备无法设置多个日志服务器时，可以通过本系统的日志转发功能将日志转发到其他日志存储设备；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内置5000+解析规则，支持对收集的5000+设备类型日志进行解析（标准化、归一化），解析维度多达200+，解析规则可以根据客户要求定制扩展；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6705" w:type="dxa"/>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★三维关联分析；支持通过资产、安全知识库、弱点库三个维度分析事件是否存在威胁，并形成关联事件；</w:t>
            </w:r>
            <w:r>
              <w:rPr>
                <w:rFonts w:hint="eastAsia" w:ascii="宋体" w:hAnsi="宋体" w:eastAsia="宋体" w:cs="宋体"/>
                <w:b/>
                <w:bCs/>
                <w:sz w:val="24"/>
                <w:szCs w:val="24"/>
                <w:highlight w:val="none"/>
              </w:rPr>
              <w:t>（提供第三方检测报告）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519"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综合查询及报表管理</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内置合规性报表1000+种；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支持报表导出为PDF和Word格式文件；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9"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日志备份</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支持日志备份自动传送到远程服务器；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支持从远程仓库恢复数据；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告警功能</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磁盘空间阈值告警，当磁盘使用率达到设定的阈值时可产生并外发告警；资产性能监控异常告警，对于监控的资产系统资源进行监测当指定指标使用率达到设定的阈值时可产生并外发告警；资产状态监控，当资产处于不活跃状态时可产生并外发告警；远程仓库状态监测可告警，当远程仓库可用性检测失败或备份包自动上传失败时可产生并外发告警；</w:t>
            </w:r>
            <w:r>
              <w:rPr>
                <w:rFonts w:hint="eastAsia" w:ascii="宋体" w:hAnsi="宋体" w:eastAsia="宋体" w:cs="宋体"/>
                <w:b/>
                <w:bCs/>
                <w:sz w:val="24"/>
                <w:szCs w:val="24"/>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具备报警合并和在一个时间段内抑制报警次数的能力；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应用性能监控</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★通过在目标主机上安装Agent程序，支持监测目标主机的CPU利用率、内存使用率、磁盘使用率、磁盘使用情况、流量等信息；</w:t>
            </w:r>
            <w:r>
              <w:rPr>
                <w:rFonts w:hint="eastAsia" w:ascii="宋体" w:hAnsi="宋体" w:eastAsia="宋体" w:cs="宋体"/>
                <w:b/>
                <w:bCs/>
                <w:sz w:val="24"/>
                <w:szCs w:val="24"/>
                <w:highlight w:val="none"/>
              </w:rPr>
              <w:t>（提供第三方检测报告）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支持监控MySQL以下参数：查询缓存命中率、键缓存命中率、立即获得锁数、连接数、线程数、每秒SQL查询数、每秒发送字节、每秒接收字节；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用户管理</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用户支持双因子认证登录，双因子认证令牌支持绑定至具体用户；</w:t>
            </w:r>
            <w:r>
              <w:rPr>
                <w:rFonts w:hint="eastAsia" w:ascii="宋体" w:hAnsi="宋体" w:eastAsia="宋体" w:cs="宋体"/>
                <w:b/>
                <w:bCs/>
                <w:sz w:val="24"/>
                <w:szCs w:val="24"/>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提供自助式的升级接口，支持对产品升级、规则升级；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519"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资产管理</w:t>
            </w: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注册用户资产时，提供自动发现识别能力；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0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资产拓扑支持按照实际的用户环境进行编辑发布并可以和资产进行绑定，扑可以显示资产采集的事件数量被采集资产的状态等信息；</w:t>
            </w:r>
            <w:r>
              <w:rPr>
                <w:rFonts w:hint="eastAsia" w:ascii="宋体" w:hAnsi="宋体" w:eastAsia="宋体" w:cs="宋体"/>
                <w:b/>
                <w:bCs/>
                <w:sz w:val="24"/>
                <w:szCs w:val="24"/>
                <w:highlight w:val="none"/>
              </w:rPr>
              <w:t>（提供第三方检测报告）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6705" w:type="dxa"/>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三年免费质保。</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2、终端安全软件</w:t>
      </w:r>
    </w:p>
    <w:tbl>
      <w:tblPr>
        <w:tblStyle w:val="62"/>
        <w:tblW w:w="48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6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22" w:type="pct"/>
            <w:shd w:val="clear" w:color="000000" w:fill="FFFFFF" w:themeFill="background1"/>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4078" w:type="pct"/>
            <w:shd w:val="clear" w:color="000000" w:fill="FFFFFF" w:themeFill="background1"/>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22"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产品形态</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软件形态，包含管理控制中心、客户端软件，本次授权许可数量：3000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22"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控制中心要求</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控制中心支持单机部署和集群部署两种方式，控制中心根据客户端点数的增加支持横向扩展；</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操作系统支持Windows Server 2012/2012 R2/2016的64位版本（简体中文版）；</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支持CentOS 7系统；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控制中心支持安装在虚拟机上；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控制中心支持级联管理，可支持5级级联部署，亦可单机和集群部署混合级联；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22"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客户端要求</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操作系统：Windows XP_SP3及以上/Windows Vista/Windows 7/Windows10</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Windows Server 2008/Windows Server 2012/Windows Server 2016/Windows Server 2019；macOS X 10.11/macOS X 10.12/macOS X 10.13/macOS X 10.14/macOS X 10.15/macOS X 10.16/macOS X 11.0；CentOS 5~8/Red Hat Enterprise Linux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22"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终端许可管理</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支持按照终端类型/分组统计及分配管理每个功能的终端授权使用数量。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22"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控制中心管理</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支持控制中心迁移、数据备份、数据恢复；支持多升级服务器；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支持根据分组、计算机名称、IP地址、操作系统、在线状态等条件的组合筛选出符合条件的终端进行管理；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单个页面展示终端部署统计、终端安全趋势、终端状态（文件防护开启率、未安装补丁终端率、终端病毒更新率和终端版本更新率）、终端程序版本、终端在线统计、病毒库版本分布、安全更新和重要补丁安全趋势等信息，均可通过图形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支持定时公告功能，可配置开机显示、周期显示和立即推送；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支持对单个客户端进行维护，终端视角查看终端基本信息，包括计算机名、型号、IP、MAC地址、工作组、域信息、本次开机时间、上次关机时间、应用功能、在线状态；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所功能应用策略情况；</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硬件信息展示，包括CPU、主板、内存、磁盘存储、显卡、显示器、声卡、网卡等信息；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实时进程信息展示，包括进程名称、PID、进程用户名、命令行、占用内存、CPU占用、MD5等信息；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网络信息展示，包括IP获取方式、IP地址、子网掩码、默认网关、DNS等信息；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noWrap/>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管理控制中心当登录账号输入密码错误次数超过锁定阈值后账号将被锁定，且可设置锁定时间，该时间内账号登录请求不被接受。同时应支持双因子认证登录方式，提高安全性；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定义不同权限管理员角色，通过角色能够对有相同权限需求的用户进行授权，达到复用的能力；而对于没有复用的权限，可通过基于规则方式进行授权，支持角色层级管理，可至少达到5级新建角色。简化管理员对角色的管理成本，提高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22"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客户端管理</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支持终端密码保护功能，支持终端“防退出”密码保护、“防卸载”密码保护、防安装密码保护。支持设置自我保护功能，可有效防止客户端进程被恶意终止、注入、提高客户端进程、数据、配置的安全性；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支持自定义定制客户端标题、皮肤、语言、产品LOGO、企业LOGO、认证弹窗LOGO；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22" w:type="pct"/>
            <w:shd w:val="clear" w:color="auto" w:fill="auto"/>
            <w:noWrap/>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病毒防护概况</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病毒防护概况：终端基础信息、病毒库版本、发现病毒数、未处理病毒数、最后查杀时间、文件防护状态、引擎使用状态、扩展病毒库版本；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22" w:type="pct"/>
            <w:shd w:val="clear" w:color="auto" w:fill="auto"/>
            <w:noWrap/>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病毒查杀日志</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病毒防护日志包含：病毒查杀日志、查杀任务日志、攻击防护日志、系统防护日志、按分组、按终端、按时间；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22" w:type="pct"/>
            <w:shd w:val="clear" w:color="auto" w:fill="auto"/>
            <w:noWrap/>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病毒防护报表</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病毒报表支持病毒查杀趋势、扫描触发方式趋势、发现病毒趋势、终端感染趋势、病毒类型统计、病毒处理结果统计、病毒发现触、方式统计、趋势图表、按分组、按终端、按病毒名称；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22" w:type="pct"/>
            <w:vMerge w:val="restart"/>
            <w:shd w:val="clear" w:color="auto" w:fill="auto"/>
            <w:noWrap/>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黑白名单</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支持手动导入、导出黑白名单，添加黑白名单。支持通过文件导入添加黑白名单；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支持通过文件数字签名添加黑白名单管理；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22"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病毒扫描</w:t>
            </w:r>
          </w:p>
        </w:tc>
        <w:tc>
          <w:tcPr>
            <w:tcW w:w="4078"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支持信任区设置，病毒扫描或实时防护时不扫描目录或文件；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病毒扫描支持扫描所有文件和仅扫描程序及文档文件设置，支持对压缩包文件设置最大扫描层数和大小，当发现压缩包内存在病毒时，还需继续扫描压缩包内其他文件；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支持对终端当扫描到感染型病毒、顽固木马时，自动进入深度查模式，可设置禁止终端用户管理路径或文件白名单、禁止终端用户管理扩展名白名单、扫描时不允许终端用户暂停或停止扫描任务；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支持扫描资源占用设置，可设置不限制、均衡型、低资源三种模式；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2" w:type="pct"/>
            <w:vMerge w:val="continue"/>
            <w:vAlign w:val="center"/>
          </w:tcPr>
          <w:p>
            <w:pPr>
              <w:adjustRightInd w:val="0"/>
              <w:snapToGrid w:val="0"/>
              <w:rPr>
                <w:rFonts w:hint="eastAsia" w:ascii="宋体" w:hAnsi="宋体" w:eastAsia="宋体" w:cs="宋体"/>
                <w:sz w:val="24"/>
                <w:szCs w:val="24"/>
                <w:highlight w:val="none"/>
              </w:rPr>
            </w:pPr>
          </w:p>
        </w:tc>
        <w:tc>
          <w:tcPr>
            <w:tcW w:w="4078"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支持对压缩包内的病毒扫描，支持多层压缩包的扫描，可自定义配置压缩包的扫描层数，至少大约10层模式下的扫描；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2"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主动防御</w:t>
            </w:r>
          </w:p>
        </w:tc>
        <w:tc>
          <w:tcPr>
            <w:tcW w:w="4078"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支持对进程防护、注册表防护、驱动防护、U盘安全防护、邮件防护、下载防护、IM防护、局域网文件防护、网页安全防护、勒索软件防护；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22"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终端病毒处理弹窗</w:t>
            </w:r>
          </w:p>
        </w:tc>
        <w:tc>
          <w:tcPr>
            <w:tcW w:w="4078"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客户端弹窗支持免打扰模式和智能模式，使用免打扰模式可以对不能弹窗的终端设备中避免弹窗。使用智能模式是智能调整弹窗，对已知的病毒自动处理，对未知的病毒提示处理；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22"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杀毒引擎</w:t>
            </w:r>
          </w:p>
        </w:tc>
        <w:tc>
          <w:tcPr>
            <w:tcW w:w="4078"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支持不少于三个杀毒引擎混合使用，提高病毒检出率；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22"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4078"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两年免费质保及病毒库更新。</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3、端点检测和响应系统（EDR）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6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45" w:type="dxa"/>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6731" w:type="dxa"/>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45" w:type="dxa"/>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基本要求</w:t>
            </w:r>
          </w:p>
        </w:tc>
        <w:tc>
          <w:tcPr>
            <w:tcW w:w="6731" w:type="dxa"/>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提供不少于450节点许可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45"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全网风险可视</w:t>
            </w: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支持当前待处理高危风险展示，包括弱口令、待处理病毒、待处理漏洞数据，并支持一键跳转到对应处理页面；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支持控制台动态更新显示全网终端安全状态分布，包括：终端总数、在线终端数、防护中终端数、异常设备数；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支持查看当前安全防护信息数据，包括渗透追踪防护、勒索防护数据、病毒防护数据、系统登录防护数据、web请求防护数据；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支持实时查看当前安全动态；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545"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一体化安全策略</w:t>
            </w: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只支持自定义安全策略、安全策略可继承，内置多个初始策略模板，包括防护模板、审计模板；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支持通过对终端制定模板的方式做到一键策略下发；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45"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系统性能监控</w:t>
            </w: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支持对CPU使用率监控、内存占用率监控、磁盘读写监控、上下行流量监控；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★支持对CPU、内存、磁盘读写、网络上下行流量达到配置阈值时告警，支持对CPU、内存达到一定阈值时客户端进行熔断；</w:t>
            </w:r>
            <w:r>
              <w:rPr>
                <w:rFonts w:hint="eastAsia" w:ascii="宋体" w:hAnsi="宋体" w:eastAsia="宋体" w:cs="宋体"/>
                <w:b/>
                <w:bCs/>
                <w:sz w:val="24"/>
                <w:szCs w:val="24"/>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系统安全性模块</w:t>
            </w: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支持对系统登录行为进行一定的限制，可设置单个IP请求时间、登录失败次数、IP临时锁定时间；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支持业务间流量东西向隔离功能，包括IP、端口、协议、流向等细粒度权限控制；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支持登录防护，包括以系统账号为粒度的异常登录防护、支持4个任意维度（任意IP，任意域名，任意计算机名，任意时间）的系统登录访问策略设置；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具有系统漏洞扫描和修复功能，提供真实漏洞补丁；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防病毒模块</w:t>
            </w: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支持对资产进行快速扫描、全盘扫描、自定自定义扫描，并对病毒扫描结果进行导出；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支持自定义病毒处理方式，包括自动处理、记录、删除。优先对病毒文件进行修复，并将修复前的病毒文件进行备份；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支持从资产视角和病毒视角展示病毒查杀概况，并对病毒进行处理；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支持多引擎设置，包括默认引擎、深度扫描引擎；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针对Windows系统，保护文件不被恶意修改、加密等，可自定义配置保护的文件及目录，支持设置例外进程；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支持自定义病毒处理方式，包括自动处理、记录、删除。优先对病毒文件进行修复，并将修复前的病毒文件进行备份；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高级威胁防护模块</w:t>
            </w: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★支持对本机的扩展行为（信息收集、权限提升）进行监测，防止提权行为和信息泄露；</w:t>
            </w:r>
            <w:r>
              <w:rPr>
                <w:rFonts w:hint="eastAsia" w:ascii="宋体" w:hAnsi="宋体" w:eastAsia="宋体" w:cs="宋体"/>
                <w:b/>
                <w:bCs/>
                <w:sz w:val="24"/>
                <w:szCs w:val="24"/>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★识别渗透过程中的隧道代理（端口映射、端口转发、内网代理），可阻断隧道代理搭建行为；</w:t>
            </w:r>
            <w:r>
              <w:rPr>
                <w:rFonts w:hint="eastAsia" w:ascii="宋体" w:hAnsi="宋体" w:eastAsia="宋体" w:cs="宋体"/>
                <w:b/>
                <w:bCs/>
                <w:sz w:val="24"/>
                <w:szCs w:val="24"/>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对失陷后主机远控持久化行为进行检测（反弹Shell、远程控制），可阻断远控；</w:t>
            </w:r>
            <w:r>
              <w:rPr>
                <w:rFonts w:hint="eastAsia" w:ascii="宋体" w:hAnsi="宋体" w:eastAsia="宋体" w:cs="宋体"/>
                <w:b/>
                <w:bCs/>
                <w:sz w:val="24"/>
                <w:szCs w:val="24"/>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★对内网的恶意攻击行为进行识别（漏洞利用、横向移动），可阻断恶意探测行为；</w:t>
            </w:r>
            <w:r>
              <w:rPr>
                <w:rFonts w:hint="eastAsia" w:ascii="宋体" w:hAnsi="宋体" w:eastAsia="宋体" w:cs="宋体"/>
                <w:b/>
                <w:bCs/>
                <w:sz w:val="24"/>
                <w:szCs w:val="24"/>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告警功能</w:t>
            </w: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告警类型包括：护网高级威胁、系统防护、网络防护、Web应用防护；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告警内容至少包括：资产名称、IP地址、日志类型、风险概况、风险评级、事件发生时间等详细内容；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告警方式包括：邮件告警、Syslog、短信告警及SNMP trap；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云端威胁鉴定</w:t>
            </w: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联动威胁情报，支持对外联IP、DNS解析、可疑文件进行情报鉴定；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集中管控</w:t>
            </w: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管理平台支持一键设置客户端卸载密码、一键卸载监控端、一键解除绑定、一键停止/恢复所有防护、一键关闭/重启主机、一键重启客户端、一键迁移资产、一键获取端上日志；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支持导出已安装客户端程序的资产清单；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vMerge w:val="continue"/>
            <w:shd w:val="clear" w:color="auto" w:fill="auto"/>
          </w:tcPr>
          <w:p>
            <w:pPr>
              <w:adjustRightInd w:val="0"/>
              <w:snapToGrid w:val="0"/>
              <w:rPr>
                <w:rFonts w:hint="eastAsia" w:ascii="宋体" w:hAnsi="宋体" w:eastAsia="宋体" w:cs="宋体"/>
                <w:sz w:val="24"/>
                <w:szCs w:val="24"/>
                <w:highlight w:val="none"/>
              </w:rPr>
            </w:pPr>
          </w:p>
        </w:tc>
        <w:tc>
          <w:tcPr>
            <w:tcW w:w="6731" w:type="dxa"/>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能够通过统一的管理中心对多个服务器或主机进行监控；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5" w:type="dxa"/>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6731" w:type="dxa"/>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三年免费质保。</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4、威胁狩猎与溯源系统</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6724" w:type="dxa"/>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硬件要求</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2U，内存≧32G，千兆网口≧2，冗余电源；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性能要求</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沙箱数≧4；</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伪装代理数量≧16；</w:t>
            </w:r>
          </w:p>
          <w:p>
            <w:pPr>
              <w:pStyle w:val="2"/>
              <w:spacing w:before="0" w:after="0" w:line="240" w:lineRule="auto"/>
              <w:rPr>
                <w:rFonts w:hint="eastAsia" w:ascii="宋体" w:hAnsi="宋体" w:eastAsia="宋体" w:cs="宋体"/>
                <w:b w:val="0"/>
                <w:bCs w:val="0"/>
                <w:kern w:val="2"/>
                <w:sz w:val="24"/>
                <w:szCs w:val="24"/>
                <w:highlight w:val="none"/>
              </w:rPr>
            </w:pPr>
            <w:r>
              <w:rPr>
                <w:rFonts w:hint="eastAsia" w:ascii="宋体" w:hAnsi="宋体" w:eastAsia="宋体" w:cs="宋体"/>
                <w:b w:val="0"/>
                <w:bCs w:val="0"/>
                <w:kern w:val="2"/>
                <w:sz w:val="24"/>
                <w:szCs w:val="24"/>
                <w:highlight w:val="none"/>
              </w:rPr>
              <w:t>沙箱种类</w:t>
            </w:r>
            <w:r>
              <w:rPr>
                <w:rFonts w:hint="eastAsia" w:ascii="宋体" w:hAnsi="宋体" w:eastAsia="宋体" w:cs="宋体"/>
                <w:sz w:val="24"/>
                <w:szCs w:val="24"/>
                <w:highlight w:val="none"/>
              </w:rPr>
              <w:t>≧</w:t>
            </w:r>
            <w:r>
              <w:rPr>
                <w:rFonts w:hint="eastAsia" w:ascii="宋体" w:hAnsi="宋体" w:eastAsia="宋体" w:cs="宋体"/>
                <w:b w:val="0"/>
                <w:bCs w:val="0"/>
                <w:kern w:val="2"/>
                <w:sz w:val="24"/>
                <w:szCs w:val="24"/>
                <w:highlight w:val="none"/>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安全要求</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产品完全基于KVM架构，并在访问策略、进程、流量等方面采取严格的技术管控措施防止攻击逃逸，并且具备逃逸告警功能;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部署要求</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支持硬件部署，软件部署，分布式部署，客户端可集群横向扩展;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restart"/>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沙箱仿真模块</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windows沙箱服务依托真实的虚拟服务器，有独立的含操作系统的虚拟化环境;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应用服务类：支持wiki、bbs、discuz、ecshop、espcms、websphere、phpmyadmin、confluence、hadoop、crm、oa、tomcat、mailbox、jboss、zabbix、struts2、jenkins、weblogic、vpn、joomla等不少于20种高交互应用服务类沙箱；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系统服务类：支持ssh、redis、mysql、ftp、samba、memcahed、sqlserver、portcheat、momgoob、telnet、mysqlcheat、postgresql、ADB等不少于13种高交互系统服务沙箱；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系统类：支持windows与centos沙箱，windows沙箱支持登录和交互操作，centos沙箱支持自定义上传业务仿真页面文件；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工控类：支持IPMI、MODBUS、IEC104、BACNET、S7COMM、ENIP、SNMP等不少于7种工控协议的模拟，可自定义输入和修改厂商名称、商品名称、产品名称等；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自定义模板：支持用户自行拓展沙箱的类型及数量，允许上传docker镜像文件，支持自定义配置环境变量；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沙箱支持增、删、停、重置、编辑沙箱内容，沙箱可关联多个IP；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沙箱支持调节行为灵敏度，开启或关闭流量阻断；支持自定义邮件告警级别；支持开启关闭溯源能力，自定义位置插入溯源组件；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数据仿真：支持新建沙箱后，向沙箱中注入脱敏数据，增加沙箱的真实性；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538" w:type="dxa"/>
            <w:vMerge w:val="restart"/>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探针感知模块</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探针节点：支持在不同区域部署探针，并能将网络隔离区域的攻击流量转发至沙箱；支持感知所有攻击流量，包括且不限于tcp、udp、icmp、半连接扫描等；支持监听1-65535任意端口，且不限制端口数量；支持IPV4和IPV6的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探针管理支持资产管理与IP管理，支持绑定多IP。资产管理支持查看资产信息及关联的沙箱信息。IP管理支持查看不同的探针详细信息，自定义关联沙箱和配置个性化标签；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restart"/>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诱饵感知模块</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支持不少于四种类型的反制诱饵，用户自定义上传后缀为EXE的反制程序并关联沙箱，伪造敏感信息，诱骗攻击者进行下载；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一键免杀：攻击反制木马支持自动化静态免杀、加壳、多态，保证反制功能的强力效果；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办公网诱饵：支持PC诱饵发布功能，通过agent在PC上发布与沙箱相关的虚假信息，包括网页浏览记录、网站登录密码、RDP连接记录、登录域凭据等；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文件诱饵：支持对已有文件word/excel/ppt加工，散布虚假信息到内网各处，感知攻击者访问行为；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邮件诱饵：支持向特定邮箱发送邮件诱饵以及附件，感知邮件入侵行为；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主机诱饵：通过将用户编辑的虚假信息，散布到linux主机上，迷惑攻击者；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互联网诱饵：支持Github与Gitee代码伪装服务，自动化发布代码项目至GitHub与Gitee网站；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restart"/>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智能蜜网模块</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一键探测：支持一键感知探针节点所在网络的资产信息，分析当前网络状态；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一键关联：基于探测结果和智能算法，支持蜜网一键化部署，将探针节点和无探针感知节点自动关联至对应沙箱，快速形成欺骗蜜网，简化布防操作；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restart"/>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溯源反制模块</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支持对黑客溯源功能，形成黑客溯源/黑客画像页面，溯源真人白名单标记，对溯源结果按照国内/国外/内网分类并展示，可提供对黑客备注功能；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支持分析黑客的身份信息和设备指纹信息，包括IP地址、社交网站真人身份、设备指纹、操作系统、浏览器等，支持不少于10种社交ID溯源能力；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黑客画像支持展示攻击者身份、备注、源IP、内网/公网IP、浏览器信息，黑客轨迹聚合该黑客所有攻击事件，支持攻击源探测，探测攻击源的服务与端口；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可基于现有的设备指纹进行设备指纹碰撞，反查攻击者的历史溯源信息，补充溯源信息；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具备攻击反制功能，可以反向控制攻击者设备，获取对方设备信息，进行交互式反制操作，支持交互shell、文件上传下载、电脑截屏、摄像头拍照等操作，支持获取qq、wechat、手机号、CS、iphone设备信息、xshell、navicat、Git、Email、域名及对应的用户名等应用的用户ID和关键信息，便于身份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获取精确设备指纹：可获取设备的操作系统、设备类型、主板信息、硬盘序列号、CPU类型、BIOS信息、GPU类型、显示器名称、IDE名称、声卡名称、内存条制造商及名称、硬盘名称、主机品牌、物理机接口、当前用户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restart"/>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行为记录模块</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对于Windows沙箱的远程RDP攻击，支持录制攻击过程的视频，可回放攻击过程；对于SSH沙箱的攻击，支持以视频的形式回放用户的命令行操作记录；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支持记录攻击者所有攻击行为，通过时间线展示，并可从攻击源、攻击手法、攻击资产、隔离沙箱、攻击类型、时间线等维度进行筛选查看；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支持基于ATTCK的攻击事件回放，并以时间轴的方式展示重点攻击手法及事件，支持从攻击时间、攻击资产、攻击手法、来源IP、事件类型等进行筛选；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支持记录各类Web应用与系统服务登录爆破，支持识别记录Web攻击类型，支持识别僵木蠕攻击、漏洞利用手法；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支持将不同攻击者对不同沙箱的攻击单独归并，分别展示为事件，可通过攻击事件回溯查看该事件所有攻击行为；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支持记录攻击者上传的任意文件，并分析其文件类型、MD5等判断其是否为恶意木马；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支持威胁情报数据通过在线或离线包的方式同步至本地化威胁情报中心；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支持记录攻击者所有行为，并能识别真人与扫描工具，至少能识别7种扫描工具；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restart"/>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可视化模块</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支持大盘展示受攻击资产、探测与入侵事件统计、受攻击沙箱等；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支持蜜网拓扑图，展示管理端与沙箱、探针节点等之间的拓扑关系，以及欺骗资产在当前网络的覆盖情况；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针对安全攻击事件支持多维度归并分析，包括但不限于攻击事件、攻击者、攻击时间维度等；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查看事件页面，能基于攻击者、攻击资产、隔离沙箱、风险等级、攻击起始时间等进行筛选，并能通过攻击源和过滤IP进行搜索；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jc w:val="center"/>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支持生成html、doc、pdf、excel等格式的分析报告；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restart"/>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管理要求</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账号权限分离，提供超级管理员、管理员、普通用户、审计员角色权限；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支持Radius认证登录；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支持将post攻击数据推送到指定的http服务器；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支持威胁事件的实时告警、并提供事件处理功能；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支持白名单配置，包含扫描白名单，系统访问白名单配置等操作；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Merge w:val="continue"/>
            <w:vAlign w:val="center"/>
          </w:tcPr>
          <w:p>
            <w:pPr>
              <w:adjustRightInd w:val="0"/>
              <w:snapToGrid w:val="0"/>
              <w:rPr>
                <w:rFonts w:hint="eastAsia" w:ascii="宋体" w:hAnsi="宋体" w:eastAsia="宋体" w:cs="宋体"/>
                <w:sz w:val="24"/>
                <w:szCs w:val="24"/>
                <w:highlight w:val="none"/>
              </w:rPr>
            </w:pP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支持扩展功能开关，包含post内容捕获、攻击源探测、逃逸检测、攻击反制、pcap包下载等操作；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6724"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三年免费质保。</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5、代码审计系统</w:t>
      </w:r>
    </w:p>
    <w:tbl>
      <w:tblPr>
        <w:tblStyle w:val="63"/>
        <w:tblW w:w="49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shd w:val="clear" w:color="auto" w:fill="FFFFFF" w:themeFill="background1"/>
            <w:vAlign w:val="center"/>
          </w:tcPr>
          <w:p>
            <w:pPr>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技术指标</w:t>
            </w:r>
          </w:p>
        </w:tc>
        <w:tc>
          <w:tcPr>
            <w:tcW w:w="4175" w:type="pct"/>
            <w:shd w:val="clear" w:color="auto" w:fill="FFFFFF" w:themeFill="background1"/>
            <w:vAlign w:val="center"/>
          </w:tcPr>
          <w:p>
            <w:pPr>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2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硬件规格</w:t>
            </w: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配置不少于2颗CPU，内存</w:t>
            </w:r>
            <w:r>
              <w:rPr>
                <w:rFonts w:hint="eastAsia" w:ascii="宋体" w:hAnsi="宋体" w:eastAsia="宋体" w:cs="宋体"/>
                <w:kern w:val="0"/>
                <w:sz w:val="24"/>
                <w:szCs w:val="24"/>
                <w:highlight w:val="none"/>
              </w:rPr>
              <w:t>≧</w:t>
            </w:r>
            <w:r>
              <w:rPr>
                <w:rFonts w:hint="eastAsia" w:ascii="宋体" w:hAnsi="宋体" w:eastAsia="宋体" w:cs="宋体"/>
                <w:kern w:val="2"/>
                <w:sz w:val="24"/>
                <w:szCs w:val="24"/>
                <w:highlight w:val="none"/>
              </w:rPr>
              <w:t>128G，存储</w:t>
            </w:r>
            <w:r>
              <w:rPr>
                <w:rFonts w:hint="eastAsia" w:ascii="宋体" w:hAnsi="宋体" w:eastAsia="宋体" w:cs="宋体"/>
                <w:kern w:val="0"/>
                <w:sz w:val="24"/>
                <w:szCs w:val="24"/>
                <w:highlight w:val="none"/>
              </w:rPr>
              <w:t>≧</w:t>
            </w:r>
            <w:r>
              <w:rPr>
                <w:rFonts w:hint="eastAsia" w:ascii="宋体" w:hAnsi="宋体" w:eastAsia="宋体" w:cs="宋体"/>
                <w:kern w:val="2"/>
                <w:sz w:val="24"/>
                <w:szCs w:val="24"/>
                <w:highlight w:val="none"/>
              </w:rPr>
              <w:t>4TB，</w:t>
            </w:r>
            <w:r>
              <w:rPr>
                <w:rFonts w:hint="eastAsia" w:ascii="宋体" w:hAnsi="宋体" w:eastAsia="宋体" w:cs="宋体"/>
                <w:kern w:val="0"/>
                <w:sz w:val="24"/>
                <w:szCs w:val="24"/>
                <w:highlight w:val="none"/>
              </w:rPr>
              <w:t>≧</w:t>
            </w:r>
            <w:r>
              <w:rPr>
                <w:rFonts w:hint="eastAsia" w:ascii="宋体" w:hAnsi="宋体" w:eastAsia="宋体" w:cs="宋体"/>
                <w:kern w:val="2"/>
                <w:sz w:val="24"/>
                <w:szCs w:val="24"/>
                <w:highlight w:val="none"/>
              </w:rPr>
              <w:t>2个千兆电口；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restar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源代码缺陷分析功能</w:t>
            </w: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支持C/C++、Objective-C、C#、Java、PHP、Swift、Go、Python、Cobol、Node.js、Kotlin、SQL等主流编程语言开发的软件源代码的缺陷检测；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支持代码注入、跨站脚本、输入验证、危险函数、代码质量、API误用、密码管理、异常处理等常见安全缺陷问题的检测，二级缺陷类型不低于1600个；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支持用户对源代码缺陷分析模板的灵活配置，具体到每一个缺陷类型；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支持函数白名单功能，检测过程中自动识别白名单函数进行路径裁剪，减少误报；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支持文件/文件夹白名单功能，可以对多个文件或文件夹进行过滤，不统计该文件和文件夹下检测的问题结果，提高系统检测精准性；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支持根据检测语言类型配置可信数据源，提高检测准确性。可信数据源包括命令行参数、web表单、json字符串等，界面可选可信源配置类型应不少于15种；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支持对检测失败的任务重新发起检测，无需重新上传代码；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支持通过产品界面下载单个检测任务的检测日志；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检测完成后，系统能够自动以邮件方式将检测结果通知到指定人员；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支持配置单个检测任务的回调地址，检测任务结束后，可以主动通知第三方系统检测任务状态和任务摘要信息；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restar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源代码缺陷审计功能</w:t>
            </w: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能够对源代码安全扫描结果进行汇总，并按照问题的严重性和可能性进行威胁级别的划分，如高、中、低等多个级别；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能够针对同种类型的安全问题成因路径进行统一展示，便于找到最佳修复节点；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能够迅速定位某一特定源代码安全问题所在源代码行，对问题产生的整个过程进行跟踪；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能够提供中文的源代码安全问题分类、问题描述及修复建议；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能够对当前问题进行审计，修改问题等级以及修改问题状态为是问题、不是问题、遗留问题；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能够记录结果的审计信息，包括人员、时间和审计信息等。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能够对检测结果按照缺陷类型、审计状态、文件名进行过滤查询；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支持按照安全缺陷、质量问题、错误编码分类对缺陷进行分类显示，能够对检测结果列表进行全文检索；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支持审计信息携带，能够将上一版本的人工审计信息携带到下一版本的检测结果中，无需重复审计，降低审计成本；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bookmarkStart w:id="34" w:name="OLE_LINK1"/>
            <w:r>
              <w:rPr>
                <w:rFonts w:hint="eastAsia" w:ascii="宋体" w:hAnsi="宋体" w:eastAsia="宋体" w:cs="宋体"/>
                <w:kern w:val="2"/>
                <w:sz w:val="24"/>
                <w:szCs w:val="24"/>
                <w:highlight w:val="none"/>
              </w:rPr>
              <w:t>能够根据任务名称、创建者、开发语言、检测状态、检测开始时间、问题数量等多种条件对源代码检测任务进行查询，针对每一个源代码检测任务能够展现相关信息，如任务名称、开发语言、检测开始时间、检测完成时间、检测状态、问题总数、等级分布以及创建者</w:t>
            </w:r>
            <w:bookmarkEnd w:id="34"/>
            <w:r>
              <w:rPr>
                <w:rFonts w:hint="eastAsia" w:ascii="宋体" w:hAnsi="宋体" w:eastAsia="宋体" w:cs="宋体"/>
                <w:kern w:val="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restar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统计分析功能</w:t>
            </w: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能够根据检测时间、检测方式、任务类型、缺陷等级选择一至多个检测任务进行统计，统计显示各部门任务数、总代码行数、缺陷总数、平均缺陷密度等信息；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支持部门维度的数据统计，展示部门的缺陷数量、平均缺陷密度统计信息；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支持缺陷类型维度的数据统计，能够展示出现次数最多的TOP10缺陷类型及数量；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支持配置缺陷类型集合作为统计分析模板，可以统计指定缺陷类型的检测结果；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restar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源代码缺陷分析报告功能</w:t>
            </w: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检测报告应能够根据用户角色分为概要报告和详细报告：</w:t>
            </w:r>
          </w:p>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概要报告主要包括问题等级及问题类型等基本统计信息；</w:t>
            </w:r>
          </w:p>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详细报告除了包括问题等级及问题类型等基本统计信息外，还应包括问题分类、问题描述、修复建议、风险点、问题跟踪信息、审计日志等详细信息；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0"/>
                <w:sz w:val="24"/>
                <w:szCs w:val="24"/>
                <w:highlight w:val="none"/>
              </w:rPr>
            </w:pPr>
          </w:p>
        </w:tc>
        <w:tc>
          <w:tcPr>
            <w:tcW w:w="4175" w:type="pct"/>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2"/>
                <w:sz w:val="24"/>
                <w:szCs w:val="24"/>
                <w:highlight w:val="none"/>
              </w:rPr>
              <w:t>报告内容可对问题等级、问题类型、修复建议、跟踪路径、审计日志根据需求进行定制；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restar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系统管理功能</w:t>
            </w: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系统为B/S架构，支持多用户同时使用浏览器访问，支持4个检测任务并发执行，检测任务并发数可通过产品界面配置；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支持自定义角色权限；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支持检测任务队列管理，可以通过界面对排队中的任务实行队列置顶、暂停操作，可以删除正在执行的任务；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能够提供系统操作日志，记录用户的关键操作；能够提供系统错误日志，记录关键的错误信息；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可支持通过系统界面下载系统日志和引擎日志；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能够实时查看系统运行状态，包括CPU、内存、硬盘、数据库等信息，引擎内存可通过产品界面配置；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支持配置统计分析模板，统计分析模板可设置访问权限，可以统计指定缺陷类型的检测结果；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提供自定义检测规则功能，自主添加检测规则用于源代码缺陷检测；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提供缺陷知识库在线查看，能够根据缺陷类型、关键词、威胁等级等条件进行搜索，分语言和类型显示该缺陷的等级、详细信息、修复建议和参考信息内容；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提供缺陷知识库维护功能，可上传文件导入检测规则知识库，实现知识库的在线更新。可对任意一条缺陷的威胁等级、详细信息、修复建议进行修改和重置，同时可以一键重置全部已修改的知识库；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提供系统级数据统计功能，可查看系统使用状况，可展示系统使用的部门数、用户数、激活用户数、月活跃用户数，源代码数；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提供系统级审计日志报告导出功能，可导出和下载指定时间段内的审计日志报告；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restar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第三方工具集成能力</w:t>
            </w: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系统支持本地直接发起检测任务，也可以从SVN、GIT、Azure DevOps 、StarTeam、ClearCase 等代码仓库获取代码发起检测任务，同时源代码来源支持FTP和共享目录；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支持构建工具集成，如Maven，Gradle，支持自动获取被测源代码的第三方依赖进行检测；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可以从Visual Studio、Eclipse、intelliJ直接发起检测任务并查看检测结果，对结果进行审计；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Merge w:val="continue"/>
            <w:vAlign w:val="center"/>
          </w:tcPr>
          <w:p>
            <w:pPr>
              <w:adjustRightInd w:val="0"/>
              <w:snapToGrid w:val="0"/>
              <w:rPr>
                <w:rFonts w:hint="eastAsia" w:ascii="宋体" w:hAnsi="宋体" w:eastAsia="宋体" w:cs="宋体"/>
                <w:kern w:val="2"/>
                <w:sz w:val="24"/>
                <w:szCs w:val="24"/>
                <w:highlight w:val="none"/>
              </w:rPr>
            </w:pPr>
          </w:p>
        </w:tc>
        <w:tc>
          <w:tcPr>
            <w:tcW w:w="4175" w:type="pct"/>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对外提供二次开发接口，支持外部系统添加用户、发起检测任务、获取任务结果和缺陷详情以及离线报告生成、查询、下载等功能；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pct"/>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服务要求</w:t>
            </w:r>
          </w:p>
        </w:tc>
        <w:tc>
          <w:tcPr>
            <w:tcW w:w="4175" w:type="pct"/>
            <w:vAlign w:val="center"/>
          </w:tcPr>
          <w:p>
            <w:pP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三年免费质保。</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6、数据加密系统</w:t>
      </w:r>
    </w:p>
    <w:tbl>
      <w:tblPr>
        <w:tblStyle w:val="62"/>
        <w:tblW w:w="4874"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3976"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24"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产品规格</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2U机架式，双交流电源，2GE板载管理口，4GE板载接口，1×接口板卡插槽；≧16GB内存，≧2TB硬盘，配置10个数据库(IP+Port)授权；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24"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部署方式</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支持旁路部署方式，实施时不需要改变业务系统及数据库系统的网络拓扑结构，实施后不会影响业务系统对数据库系统的访问；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数据库类型及平台</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支持Oracle、SQL Server、MySQL（包括Percona和Mariadb）、达梦、人大金仓、瀚高、神通、GBase 8s、GaussDB A等数据库；</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支持hdfs、Linux操作系统等文件系统加密；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支持Linux、Windows、AIX、中标麒麟、银河麒麟操作系统；</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支持x86、ARM等平台；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restar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存储加密能力</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支持以表空间为单位进行数据加密，加密的表空间的数据在数据库中以密文格式存储；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不限制加密数据的数据类型，支持数据库系统所有的内置数据类型；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提供图形化的数据加密配置；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restar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密钥管理</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多级密钥体系，至少有根密钥和数据加密密钥两级，使用根密钥对数据加密密钥加密，以保证密钥的安全性；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加密系统须保证提供数量足够的密钥，对不同的加密对象使用不同的密钥进行加密，以保证加密数据的安全性；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加密系统须提供密钥备份与恢复功能，备份的密钥可以由加密系统导出到安全介质进行存储，备份出的密钥可以恢复到新部署的加密系统且恢复后的加密系统可以正确地进行加密与解密操作；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restar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独立权控</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被保护数据表的权限控制应独立于数据库的权限控制，防止数据库用户的权限提升引起的数据泄密；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具备基于密文的增强访问控制，防止DBA及高权限的数据库用户对敏感数据进行越权访问；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授权用户对受保护数据的访问能够限定到指定的IP，只有在指定的IP上才可以访问受保护数据，实现更加精确的授权和访问控制；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能够屏蔽在数据库服务器本地登录到数据库系统访问保护表的非法访问行为；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加密算法要求</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支持AES128、AES256国际标准加密算法，支持国密SM4算法；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24" w:type="pct"/>
            <w:vMerge w:val="restar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透明性</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支持SQL、PL/SQL、JDBC、ODBC的透明性，应用系统、数据库内存储过程和自定义函数不需要改造；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支持Oracle的RAC、异常数据恢复、MVCC、分区等高端特性，数据库内定义的主外键约束不受影响，Check、Null等完整性约束不受影响；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加密后，对数据同步透明，原有的数据库实例间数据同步规则和过程不受影响；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支持数据库现有的管理工具和维护工具的透明性，数据库管理员依然可以使用现有工具实现数据库管理、备份恢复和数据库运行状态维护；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restar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容灾能力</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支持主、从互备，及异地灾备等多级容灾能力，防止主机故障、网络故障、程序故障引起的业务损失。同时各种容灾手段应能快速启用、自动切换，且切换期间能保证数据一致性，业务不受损失；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主、从服务之间的切换应能在3秒之内完成；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提供离线解密工具，当数据库不能正常启动时，通过离线工具对密文数据文件执行解密操作，还原数据，防止数据丢失；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产品具备应急机制，可以根据用户需要启用，能够在紧急情况下保证加密数据的安全性和业务的连续性；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状态监控</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提供安全服务运行状态监控与诊断机制，可监控安全服务的运行状况，并对异常情况进行处理，保证安全服务健康运行；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restar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系统管理</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支持三权分立，系统默认设定系统管理员、安全管理员、审计管理员三种角色，可以新建用户，可以为新建用户分配权限；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具有自身安全审计功能，可以对加密系统的所有用户操作进行审计记录；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vMerge w:val="continue"/>
            <w:shd w:val="clear" w:color="auto" w:fill="auto"/>
            <w:vAlign w:val="center"/>
          </w:tcPr>
          <w:p>
            <w:pPr>
              <w:rPr>
                <w:rFonts w:hint="eastAsia" w:ascii="宋体" w:hAnsi="宋体" w:eastAsia="宋体" w:cs="宋体"/>
                <w:sz w:val="24"/>
                <w:szCs w:val="24"/>
                <w:highlight w:val="none"/>
              </w:rPr>
            </w:pP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具有硬件网卡管理功能，可以实现管理口与业务口分离，且支持多个业务口同时工作；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397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三年免费质保。</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7、数据库权限管控系统</w:t>
      </w:r>
    </w:p>
    <w:tbl>
      <w:tblPr>
        <w:tblStyle w:val="62"/>
        <w:tblW w:w="4907"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17"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3983"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配置</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本次配置16个数据库实例；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硬件规格</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2U机架式，双电源，≧6个千兆电口，≧16G内存，≧128G SSD，≧2T存储空间；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数据库支持</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支持ORACLE、SQL SERVER、DB2、MySQL、PostgreSQL、ODPS、informix、达梦、impala、mongdb等主流数据库、国产化数据库、大数据平台、云数据库；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数据智能发现</w:t>
            </w:r>
          </w:p>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具备敏感数据探测能力，自动发现SCHEMA、表中的敏感资产，系统内置的敏感数据类型至少包括：</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个人敏感信息：包括中文姓名、身份证、银行卡、医师资格证书、医师执业证书、护照、军官证、中国护照、港澳通行证、永久居住证、大陆居民往来台湾通行证、韩文姓名、英文姓名、姓名拼音等个人信息；</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机构敏感信息：组织机构代码、组织机构名称、医疗机构登记号、营业执照、社会统一信用代码、税务登记证、开户许可证、证券名称、证券代码、基金名称、基金代码、英文公司名等与企业机构相关的信息；</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其它基础信息：电话、电子邮箱、地址、邮政编码、IP地址、日期、货币金额、json串、车牌号码等；</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以上功能投标时需提供截图证明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支持敏感发现结果列表展示，包括表名、列名、敏感类型、数据抽样示例等，支持对发现结果进行校正；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支持从表格、表格列、SCHEMA等维度归类敏感数据资产，形成敏感资产集合进行独立管理；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身份准入</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身份的多因素认证，至少应支持应用程序名、IP地址、主机名、操作系统账户、数据库用户、数字证书、身份敏感标签、日期、时间、时间域、身份类别、有效时间、应用用户名、终端IP等因素的任意组合，系统根据多维身份管理策略，自动判别登录主体的合法性，如不符合设定的身份管理策略，登录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支持识别真实应用及SQL管理工具的MD5值，防止假冒应用及假冒SQL管理工具违规访问数据库；</w:t>
            </w:r>
            <w:r>
              <w:rPr>
                <w:rFonts w:hint="eastAsia" w:ascii="宋体" w:hAnsi="宋体" w:eastAsia="宋体" w:cs="宋体"/>
                <w:b/>
                <w:bCs/>
                <w:sz w:val="24"/>
                <w:szCs w:val="24"/>
                <w:highlight w:val="none"/>
              </w:rPr>
              <w:t>（提供功能截图证明）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为敏感数据管理人员身份分发唯一的数字证书，每张数字证书只能载入一个唯一的U盾，以实现在数据库用户密码被泄露的情形下，仍能阻止非法用户登陆目标数据库，解决仅依靠密码认证带来的安全不足问题；</w:t>
            </w:r>
            <w:r>
              <w:rPr>
                <w:rFonts w:hint="eastAsia" w:ascii="宋体" w:hAnsi="宋体" w:eastAsia="宋体" w:cs="宋体"/>
                <w:b/>
                <w:bCs/>
                <w:sz w:val="24"/>
                <w:szCs w:val="24"/>
                <w:highlight w:val="none"/>
              </w:rPr>
              <w:t>（提供功能截图证明）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支持通过不删除账户的方式，在系统中回收资产授权权限；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shd w:val="clear" w:color="auto" w:fill="auto"/>
          </w:tcPr>
          <w:p>
            <w:pPr>
              <w:adjustRightInd w:val="0"/>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身份治理</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对登陆访问事件信息中的主体信息与身份信息进行比对，对未命中的主体身份，快速发现进行治理；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shd w:val="clear" w:color="auto" w:fill="auto"/>
            <w:vAlign w:val="center"/>
          </w:tcPr>
          <w:p>
            <w:pPr>
              <w:adjustRightInd w:val="0"/>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直连数据库</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★在反向代理模式下，通过在数据库服务器上安装安全代理插件，实现对于通过SQL管理工具或本地等直连数据库的违规连接行为进行准入控制，防止非法人员绕过安全系统，违规对数据库进行访问；</w:t>
            </w:r>
            <w:r>
              <w:rPr>
                <w:rFonts w:hint="eastAsia" w:ascii="宋体" w:hAnsi="宋体" w:eastAsia="宋体" w:cs="宋体"/>
                <w:b/>
                <w:bCs/>
                <w:sz w:val="24"/>
                <w:szCs w:val="24"/>
                <w:highlight w:val="none"/>
              </w:rPr>
              <w:t>（提供功能截图证明）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restart"/>
            <w:shd w:val="clear" w:color="auto" w:fill="auto"/>
            <w:vAlign w:val="center"/>
          </w:tcPr>
          <w:p>
            <w:pPr>
              <w:adjustRightInd w:val="0"/>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安全登陆</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★支持数据库运维工具免密登陆功能，当数据库管理人员通过Toad或SQL DEVELOPER等工具登陆运维数据库时，通过数据库账号与数字证书的绑定，数据库管理员在运维PC工具中无需输入数据库用户名密码即可登陆已授权访问的数据库，避免运维数据库用户和密码泄漏，保障账号安全；</w:t>
            </w:r>
            <w:r>
              <w:rPr>
                <w:rFonts w:hint="eastAsia" w:ascii="宋体" w:hAnsi="宋体" w:eastAsia="宋体" w:cs="宋体"/>
                <w:b/>
                <w:bCs/>
                <w:sz w:val="24"/>
                <w:szCs w:val="24"/>
                <w:highlight w:val="none"/>
              </w:rPr>
              <w:t>（提供功能截图证明）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通过账号托管功能，运维人员使用分配运维账号，运维用户与数据库用户及密码进行映射绑定，运维人员在不知道数据库真实密码的情况下，即可完成对数据库的运维和管理，全面保障数据库安全；</w:t>
            </w:r>
            <w:r>
              <w:rPr>
                <w:rFonts w:hint="eastAsia" w:ascii="宋体" w:hAnsi="宋体" w:eastAsia="宋体" w:cs="宋体"/>
                <w:b/>
                <w:bCs/>
                <w:sz w:val="24"/>
                <w:szCs w:val="24"/>
                <w:highlight w:val="none"/>
              </w:rPr>
              <w:t>（提供功能截图证明）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restart"/>
            <w:shd w:val="clear" w:color="auto" w:fill="auto"/>
            <w:vAlign w:val="center"/>
          </w:tcPr>
          <w:p>
            <w:pPr>
              <w:adjustRightInd w:val="0"/>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访问控制</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针对敏感数据集合的访问，任何账户（包括DBA\SYSDBA\Schema User\any权限等用户）都需要通过授权才可以访问，对不具备访问权限的操作，明确阻断拒绝，并提示“安全权限不足错误”， 实现用户权限分离管理；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支持拦截指定对象的ALTER TABLE、ALTER TABLESPACE、DROP DATABASE、DROP TABLE、DROP TABLESPACE、DROP USER、TRUNCATE等高危操作行为，支持数据库权限变更行为管控；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支持修改、删除等操作的行数控制，避免数据大量泄漏。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restart"/>
            <w:shd w:val="clear" w:color="auto" w:fill="auto"/>
            <w:vAlign w:val="center"/>
          </w:tcPr>
          <w:p>
            <w:pPr>
              <w:adjustRightInd w:val="0"/>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敏感数据脱敏</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支持基于列的业务类型，设置脱敏策略，实现相同的业务类型脱敏；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支持运维动态脱敏，实现脱敏的三层关联，针对不同用户返回对应的预授权结果，脱敏规则需要支持以下脱敏算法： </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1、放行：对于已授权用户，返回真实数据；</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2、返回空：对含有敏感表格或敏感列的数据结果返回为空值；</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3、遮盖：全遮盖：默认以遮盖符‘*’替换敏感列的值；</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4、部分遮盖：对敏感列的值进行分段，替换其中的一段或数段值；</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5、随机映射：对数值、字符或字符串进行随机映射处理；</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以上功能投标时需提供截图证明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restart"/>
            <w:shd w:val="clear" w:color="auto" w:fill="auto"/>
            <w:vAlign w:val="center"/>
          </w:tcPr>
          <w:p>
            <w:pPr>
              <w:adjustRightInd w:val="0"/>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工单管理</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采用基于WEB界面的工单管理模式，而非授权码方式，通过工作流的方式对敏感表格和敏感SQL访问授权，形成逐级审批机制，只有当访问申请被工作流中的所有审核者审批通过时，才可在合理权限内访问数据库中的敏感资产，无需访问者进行二次输入，避免授权码泄漏带来的非法访问；</w:t>
            </w:r>
            <w:r>
              <w:rPr>
                <w:rFonts w:hint="eastAsia" w:ascii="宋体" w:hAnsi="宋体" w:eastAsia="宋体" w:cs="宋体"/>
                <w:b/>
                <w:bCs/>
                <w:sz w:val="24"/>
                <w:szCs w:val="24"/>
                <w:highlight w:val="none"/>
              </w:rPr>
              <w:t>（提供功能截图证明）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支持以图形化形式直观展现工单审批流程；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工单申请支持按不同的库，走不同的审批人方式；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shd w:val="clear" w:color="auto" w:fill="auto"/>
            <w:vAlign w:val="center"/>
          </w:tcPr>
          <w:p>
            <w:pPr>
              <w:adjustRightInd w:val="0"/>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审计</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SQL命令（包括查询、新增、修改、删除等行为）的细粒度审计和分析，并详细记录管理用户的行为信息，包括事件ID、连接ID、规则名称、数据库主机、目标数据库名称、数据库实例名、客户端IP/端口、主机名、数据库用户名、物理地址、交换机端口、应用名称、应用用户、企业用户、命令类型、资产名称、执行时间、影响表数、错误号、审计级别、响应行为、风险级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数据库监控</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支持统计数据库请求数、会话数、流量信息；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报表管理</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支持日报、月报、周报等生成，导出格式支持PDF/word；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系统登录</w:t>
            </w:r>
          </w:p>
        </w:tc>
        <w:tc>
          <w:tcPr>
            <w:tcW w:w="398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支持与AD、LDAP系统联动登录系统；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平台安全</w:t>
            </w:r>
          </w:p>
        </w:tc>
        <w:tc>
          <w:tcPr>
            <w:tcW w:w="398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平台具有安全审计员、安全保密员、系统管理员三种角色，实现三权分立；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398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平台用户的密码复杂度（数据、大小写字母、特殊字符、密码长度等）、有效期、复杂度、密码错误锁定策略等进行限制，有效期过后提供登录重置密码或禁止登陆需联系管理员处理2种处理方式，以确保平台自身账户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restart"/>
            <w:shd w:val="clear" w:color="auto" w:fill="auto"/>
            <w:vAlign w:val="center"/>
          </w:tcPr>
          <w:p>
            <w:pPr>
              <w:adjustRightInd w:val="0"/>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告警</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支持以图形、列表等方式查看告警信息，以列表形式展现的告警信息应当包含告警时间、告警内容、告警等级、用户IP、数据库代理IP、事件等；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告警方式至少包括：邮件、页面、短信；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17" w:type="pct"/>
            <w:vMerge w:val="continue"/>
            <w:shd w:val="clear" w:color="auto" w:fill="auto"/>
          </w:tcPr>
          <w:p>
            <w:pPr>
              <w:adjustRightInd w:val="0"/>
              <w:snapToGrid w:val="0"/>
              <w:rPr>
                <w:rFonts w:hint="eastAsia" w:ascii="宋体" w:hAnsi="宋体" w:eastAsia="宋体" w:cs="宋体"/>
                <w:sz w:val="24"/>
                <w:szCs w:val="24"/>
                <w:highlight w:val="none"/>
              </w:rPr>
            </w:pP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安全告警支持基于任意组合订阅的模式，实现个性化告警订阅管理；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7"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日志外发</w:t>
            </w:r>
          </w:p>
        </w:tc>
        <w:tc>
          <w:tcPr>
            <w:tcW w:w="3983"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支持通过kafka的方式进行日志外发，支持审计、告警等日志外发；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国产化</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兼容</w:t>
            </w:r>
          </w:p>
        </w:tc>
        <w:tc>
          <w:tcPr>
            <w:tcW w:w="3983" w:type="pct"/>
            <w:shd w:val="clear" w:color="auto" w:fill="auto"/>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与达梦数据库兼容（提供兼容性证书）；</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与巨杉数据库兼容（提供兼容性证书）；</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与南大通用数据库兼容（提供兼容性证书）；</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与神舟数据库兼容（提供兼容性证书）；</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要求至少满足其中任意三项兼容性证明，</w:t>
            </w:r>
            <w:r>
              <w:rPr>
                <w:rFonts w:hint="eastAsia" w:ascii="宋体" w:hAnsi="宋体" w:eastAsia="宋体" w:cs="宋体"/>
                <w:b/>
                <w:bCs/>
                <w:sz w:val="24"/>
                <w:szCs w:val="24"/>
                <w:highlight w:val="none"/>
              </w:rPr>
              <w:t>投标时需提供以上相关证书复印件并加盖公章；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3983" w:type="pct"/>
            <w:shd w:val="clear" w:color="auto" w:fill="auto"/>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三年免费质保。</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8、数据库脱敏系统</w:t>
      </w:r>
    </w:p>
    <w:tbl>
      <w:tblPr>
        <w:tblStyle w:val="62"/>
        <w:tblW w:w="4874"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6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53"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4147"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敏感数据发现</w:t>
            </w: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数据源管理功能，主流数据源类型包括但不限于MySQL、Oracle、Db2、MSSQL、PostgreSQL、Greenplum、SybaseASE、Informix、Hive、ODPS、MariaDB、Clickhouse、Elasticsearch、MongoDB、MariaDB、达梦、GBase8A、Kingbase，同时支持新增本地文件【xls、xlsx、csv、txt】、SFTP\FTP数据源的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支持自动数据识别发现敏感项，包括敏感表和敏感列以及敏感项的动态变化；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提供数据目录，可以查看数据的分布情况，包含表级别分布和列级别分布；同时提供包括数据库梳理、敏感表数量、识别字段数、敏感列数和已经梳理占比情况等信息；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数据分级分类任务任务的管理功能，包括但不限于务名称、数据源名称、主机、发现结果、状态、次数、周期、创建时间、最新发现时间、操作。提供查看任务详情，可以查看以图表形式展示当前数据源分类分级的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敏感数据脱敏</w:t>
            </w: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支持主流字符集如gbk、gb2312、gb18030、utf8、utf8mb4等；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支持自定义脱敏算法模板库，用户可将若干脱算法略组合成为适用于该场景的脱敏算法模板库，脱敏模板库定后，可被重复利用；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支持脱敏任务的配置功能，提供数据库到数据库、数据库到文件、文件到数据库、文件到文件流程的脱敏任务新增功能，支持数据处理配置和脱敏算法的配置；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支持脱敏任务的展示功能，包括但不限于任务名称、脱敏流程、任务状态、执行次数、执行周期、新增时间、最近执行时间、执行耗时和操作等信息，同时支持任务的编辑、查询功能；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开启脱敏任务审批后，用户提交脱敏任务审批后，权限管理员可以进入该界面进行脱敏任务的审批，审批通过后方可执行脱敏任务；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可制定要脱敏的表，自由选择全量或增量抽取数据，可基于字段自由配置增量条件；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支持自动同步源数据表主键、索引、唯一约束至目的表；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7"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支持覆盖原表脱敏；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脱敏报表</w:t>
            </w: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支持指定时间段内的脱敏任务统计报表，包括并不限于脱敏任务名称、脱敏执行时间、数据库类型、任务概况、脱敏算法分布情况、脱敏数据量占比情况，同时可配置对比时间周期，从而获取脱敏的变化情况；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restar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脱敏算法</w:t>
            </w:r>
          </w:p>
        </w:tc>
        <w:tc>
          <w:tcPr>
            <w:tcW w:w="4147"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静态脱敏支持不低于20类，240种及以上的脱敏算法；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对类别属性的数据进行编码，去除字段内容含义，仅保留类别区分性。适用于机器学习等数据分析中需保留标签区分性的场景；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编码，根据所选参数指定的编码方式对数据进行编码。支持的编码方式有：UTF-8/GBK；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tcPr>
          <w:p>
            <w:pPr>
              <w:adjustRightInd w:val="0"/>
              <w:snapToGrid w:val="0"/>
              <w:rPr>
                <w:rFonts w:hint="eastAsia" w:ascii="宋体" w:hAnsi="宋体" w:eastAsia="宋体" w:cs="宋体"/>
                <w:sz w:val="24"/>
                <w:szCs w:val="24"/>
                <w:highlight w:val="none"/>
              </w:rPr>
            </w:pPr>
          </w:p>
        </w:tc>
        <w:tc>
          <w:tcPr>
            <w:tcW w:w="4147"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对数值类型的数据进行标准化缩放，使得数据均值归为0，方差归为1。本算法脱敏后的数据基本保留数据分布类型，可后续用于常见的分类、聚类等数据分析任务；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系统管理</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系统管理</w:t>
            </w:r>
          </w:p>
        </w:tc>
        <w:tc>
          <w:tcPr>
            <w:tcW w:w="4147"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用户管理功能，用户可以进入该界面新增自定义用户，并关联自定义角色。同时支持用户权限的管理功能，新增自定义用户后，权限管理员需要进行授权后，自定义用户方可登录，提供自定义角色的管理功能，每个角色可以关联不同的功能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7"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提供管理用户登录相关的安全配置；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7"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支持配置外部日志的存储以及脱敏任务是否需要审批的开关；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7" w:type="pct"/>
            <w:shd w:val="clear" w:color="auto" w:fill="auto"/>
            <w:vAlign w:val="bottom"/>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提供所有用户的相关操作日志的展示；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4147"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三年免费质保。</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9、数据水印系统</w:t>
      </w:r>
    </w:p>
    <w:tbl>
      <w:tblPr>
        <w:tblStyle w:val="63"/>
        <w:tblW w:w="8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6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shd w:val="clear" w:color="auto" w:fill="FFFFFF" w:themeFill="background1"/>
            <w:vAlign w:val="center"/>
          </w:tcPr>
          <w:p>
            <w:pPr>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技术指标</w:t>
            </w:r>
          </w:p>
        </w:tc>
        <w:tc>
          <w:tcPr>
            <w:tcW w:w="6846" w:type="dxa"/>
            <w:shd w:val="clear" w:color="auto" w:fill="FFFFFF" w:themeFill="background1"/>
            <w:vAlign w:val="center"/>
          </w:tcPr>
          <w:p>
            <w:pPr>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系统易用性</w:t>
            </w:r>
          </w:p>
        </w:tc>
        <w:tc>
          <w:tcPr>
            <w:tcW w:w="6846" w:type="dxa"/>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0"/>
                <w:sz w:val="24"/>
                <w:szCs w:val="24"/>
                <w:highlight w:val="none"/>
              </w:rPr>
              <w:t>系统基于B/S架构，采用HTTPS方式远程WEB安全管理，提供中文操作界面,无需安装管理客户端或者代理即可使用；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数据库支持</w:t>
            </w: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支持Oracle、SQLServer、Mysql、PostgreSQL、ODPS等主流数据库为源数据库和目标数据库；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文件支持</w:t>
            </w: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支持excel、csv、txt文件为源文件和目标文件，支持FTP和本地文件；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restart"/>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水印数据管理</w:t>
            </w: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内置常见的数据特征库用于自动发现，包括身份证、手机号、固定电话、银行卡、台湾居民来往大陆通行证、港澳通行证、护照号等；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continue"/>
            <w:vAlign w:val="center"/>
          </w:tcPr>
          <w:p>
            <w:pPr>
              <w:adjustRightInd w:val="0"/>
              <w:snapToGrid w:val="0"/>
              <w:rPr>
                <w:rFonts w:hint="eastAsia" w:ascii="宋体" w:hAnsi="宋体" w:eastAsia="宋体" w:cs="宋体"/>
                <w:kern w:val="0"/>
                <w:sz w:val="24"/>
                <w:szCs w:val="24"/>
                <w:highlight w:val="none"/>
              </w:rPr>
            </w:pP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内置常见数据类型特定的水印算法，可根据数据类型发现结果自动匹配水印算法；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restart"/>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水印方式</w:t>
            </w: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支持数据库到数据库，数据库到文件，文件到数据库，文件到文件的水印分发方式，满足各类水印分发需求场景；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continue"/>
            <w:vAlign w:val="center"/>
          </w:tcPr>
          <w:p>
            <w:pPr>
              <w:adjustRightInd w:val="0"/>
              <w:snapToGrid w:val="0"/>
              <w:rPr>
                <w:rFonts w:hint="eastAsia" w:ascii="宋体" w:hAnsi="宋体" w:eastAsia="宋体" w:cs="宋体"/>
                <w:kern w:val="0"/>
                <w:sz w:val="24"/>
                <w:szCs w:val="24"/>
                <w:highlight w:val="none"/>
              </w:rPr>
            </w:pP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水印过程数据不落地，减少中间过程数据泄漏风险；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restart"/>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水印算法</w:t>
            </w: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支持伪行、伪列、无痕三种水印算法；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continue"/>
            <w:vAlign w:val="center"/>
          </w:tcPr>
          <w:p>
            <w:pPr>
              <w:adjustRightInd w:val="0"/>
              <w:snapToGrid w:val="0"/>
              <w:rPr>
                <w:rFonts w:hint="eastAsia" w:ascii="宋体" w:hAnsi="宋体" w:eastAsia="宋体" w:cs="宋体"/>
                <w:kern w:val="0"/>
                <w:sz w:val="24"/>
                <w:szCs w:val="24"/>
                <w:highlight w:val="none"/>
              </w:rPr>
            </w:pP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支持手动干预调整数据水印算法，满足用户多样化的数据水印需求；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continue"/>
            <w:vAlign w:val="center"/>
          </w:tcPr>
          <w:p>
            <w:pPr>
              <w:adjustRightInd w:val="0"/>
              <w:snapToGrid w:val="0"/>
              <w:rPr>
                <w:rFonts w:hint="eastAsia" w:ascii="宋体" w:hAnsi="宋体" w:eastAsia="宋体" w:cs="宋体"/>
                <w:kern w:val="0"/>
                <w:sz w:val="24"/>
                <w:szCs w:val="24"/>
                <w:highlight w:val="none"/>
              </w:rPr>
            </w:pP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水印具备鲁棒性，水印算法具备密钥管理无法被篡改，数据部分遭到破坏后仍能进行有效溯源；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restart"/>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水印任务</w:t>
            </w: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支持任务调度执行，可立即执行，或者自定义任意启动时间，支持周期执行（按天/周/月）；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continue"/>
            <w:vAlign w:val="center"/>
          </w:tcPr>
          <w:p>
            <w:pPr>
              <w:adjustRightInd w:val="0"/>
              <w:snapToGrid w:val="0"/>
              <w:rPr>
                <w:rFonts w:hint="eastAsia" w:ascii="宋体" w:hAnsi="宋体" w:eastAsia="宋体" w:cs="宋体"/>
                <w:kern w:val="0"/>
                <w:sz w:val="24"/>
                <w:szCs w:val="24"/>
                <w:highlight w:val="none"/>
              </w:rPr>
            </w:pP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支持查看作业的执行结果，包括所用时长、起始时间、创建人等相关信息；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continue"/>
            <w:vAlign w:val="center"/>
          </w:tcPr>
          <w:p>
            <w:pPr>
              <w:adjustRightInd w:val="0"/>
              <w:snapToGrid w:val="0"/>
              <w:rPr>
                <w:rFonts w:hint="eastAsia" w:ascii="宋体" w:hAnsi="宋体" w:eastAsia="宋体" w:cs="宋体"/>
                <w:kern w:val="0"/>
                <w:sz w:val="24"/>
                <w:szCs w:val="24"/>
                <w:highlight w:val="none"/>
              </w:rPr>
            </w:pP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支持水印任务报告，可在任务界面直接查看水印失败日志等详细信息，提高业务效率；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continue"/>
            <w:vAlign w:val="center"/>
          </w:tcPr>
          <w:p>
            <w:pPr>
              <w:adjustRightInd w:val="0"/>
              <w:snapToGrid w:val="0"/>
              <w:rPr>
                <w:rFonts w:hint="eastAsia" w:ascii="宋体" w:hAnsi="宋体" w:eastAsia="宋体" w:cs="宋体"/>
                <w:kern w:val="0"/>
                <w:sz w:val="24"/>
                <w:szCs w:val="24"/>
                <w:highlight w:val="none"/>
              </w:rPr>
            </w:pP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支持水印任务启用/停止、水印任务结果下载等操作；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Merge w:val="continue"/>
            <w:vAlign w:val="center"/>
          </w:tcPr>
          <w:p>
            <w:pPr>
              <w:adjustRightInd w:val="0"/>
              <w:snapToGrid w:val="0"/>
              <w:rPr>
                <w:rFonts w:hint="eastAsia" w:ascii="宋体" w:hAnsi="宋体" w:eastAsia="宋体" w:cs="宋体"/>
                <w:kern w:val="0"/>
                <w:sz w:val="24"/>
                <w:szCs w:val="24"/>
                <w:highlight w:val="none"/>
              </w:rPr>
            </w:pP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系统支持水印信息管理，提高水印信息的可复用性；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数据库溯源</w:t>
            </w: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支持Oracle、SQL server、MySQL、PostgreSQL、ODPS等数据库水印溯源，溯源结果展示包括水印具体信息，数据源信息等，可快速定位泄漏源；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文件溯源</w:t>
            </w:r>
          </w:p>
        </w:tc>
        <w:tc>
          <w:tcPr>
            <w:tcW w:w="6846"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支持FTP、本地文件水印溯源，支持txt、csv、excel格式，溯源结果展示包括水印具体信息，数据源信息等，可快速定位泄漏源；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三权分立</w:t>
            </w:r>
          </w:p>
        </w:tc>
        <w:tc>
          <w:tcPr>
            <w:tcW w:w="6846" w:type="dxa"/>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提供系统管理员、安全管理员和审计管理员来管理水印设备，权责分离；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2"/>
                <w:sz w:val="24"/>
                <w:szCs w:val="24"/>
                <w:highlight w:val="none"/>
              </w:rPr>
              <w:t>安全审计</w:t>
            </w:r>
          </w:p>
        </w:tc>
        <w:tc>
          <w:tcPr>
            <w:tcW w:w="6846" w:type="dxa"/>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2"/>
                <w:sz w:val="24"/>
                <w:szCs w:val="24"/>
                <w:highlight w:val="none"/>
              </w:rPr>
              <w:t>系统针对水印产品操作人员的操作行为进行审计记录，可以由审计管理员进行查询，具有自身安全审计功能；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状态监控</w:t>
            </w:r>
          </w:p>
        </w:tc>
        <w:tc>
          <w:tcPr>
            <w:tcW w:w="6846" w:type="dxa"/>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CPU、内存、磁盘使用状态动态展示。内核、CPU、磁盘、网卡、磁盘IO实时诊断；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权限管理</w:t>
            </w:r>
          </w:p>
        </w:tc>
        <w:tc>
          <w:tcPr>
            <w:tcW w:w="6846" w:type="dxa"/>
            <w:vAlign w:val="center"/>
          </w:tcPr>
          <w:p>
            <w:pPr>
              <w:adjustRightInd w:val="0"/>
              <w:snapToGrid w:val="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具备完善、统一的权限管理体系，可以针对不同用户、不同角色、不同业务系统实现数据行级的权限控制，完成用户建立、用户分配、用户身份验证等管理功能，满足系统用户所有资源信息具备最小颗粒度的可配置、可分配的能力，保证针对具体的使用用户进行分配，每个用户仅能使用其分配的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2"/>
                <w:sz w:val="24"/>
                <w:szCs w:val="24"/>
                <w:highlight w:val="none"/>
              </w:rPr>
              <w:t>公共服务接口</w:t>
            </w:r>
          </w:p>
        </w:tc>
        <w:tc>
          <w:tcPr>
            <w:tcW w:w="6846" w:type="dxa"/>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2"/>
                <w:sz w:val="24"/>
                <w:szCs w:val="24"/>
                <w:highlight w:val="none"/>
              </w:rPr>
              <w:t>支持SYSLOG/SSH等接口设置；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服务要求</w:t>
            </w:r>
          </w:p>
        </w:tc>
        <w:tc>
          <w:tcPr>
            <w:tcW w:w="6846" w:type="dxa"/>
            <w:vAlign w:val="center"/>
          </w:tcPr>
          <w:p>
            <w:pPr>
              <w:adjustRightInd w:val="0"/>
              <w:snapToGrid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三年免费质保。</w:t>
            </w:r>
          </w:p>
        </w:tc>
      </w:tr>
    </w:tbl>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10、数据安全管控分析服务</w:t>
      </w:r>
    </w:p>
    <w:tbl>
      <w:tblPr>
        <w:tblStyle w:val="62"/>
        <w:tblW w:w="48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6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3"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4146"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53"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业务建模</w:t>
            </w:r>
          </w:p>
        </w:tc>
        <w:tc>
          <w:tcPr>
            <w:tcW w:w="4146" w:type="pct"/>
            <w:shd w:val="clear" w:color="auto" w:fill="auto"/>
            <w:vAlign w:val="center"/>
          </w:tcPr>
          <w:p>
            <w:pPr>
              <w:widowControl/>
              <w:spacing w:line="360" w:lineRule="exact"/>
              <w:jc w:val="left"/>
              <w:rPr>
                <w:rFonts w:hint="eastAsia" w:ascii="宋体" w:hAnsi="宋体" w:eastAsia="宋体" w:cs="宋体"/>
                <w:sz w:val="24"/>
                <w:szCs w:val="24"/>
                <w:highlight w:val="none"/>
              </w:rPr>
            </w:pPr>
            <w:r>
              <w:rPr>
                <w:rFonts w:hint="eastAsia" w:ascii="宋体" w:hAnsi="宋体" w:cs="宋体"/>
                <w:sz w:val="24"/>
                <w:highlight w:val="none"/>
              </w:rPr>
              <w:t>业务场景建模能力：面向多部门协同的业务场景或复杂的数据流转场景，根据数据的流向，利用数据流节点，采用简单的元件拖拽、连线的操作方式对其数据流转进行可视化的拓扑配置和统一管理，基于业务需求对其节点及节点之间的数据流转设置监控策略。基于业务的数据流转拓扑作为数据、业务和人员安全监控的参考基线，包括节点对象的访问量、访问流量、访问速率、请求延时、异常访问和敏感数据访问的监控，同时支持对特定数据的全网数据流转拓扑自动梳理；</w:t>
            </w:r>
            <w:r>
              <w:rPr>
                <w:rFonts w:hint="eastAsia" w:ascii="宋体" w:hAnsi="宋体" w:cs="宋体"/>
                <w:b/>
                <w:bCs/>
                <w:sz w:val="24"/>
                <w:highlight w:val="none"/>
              </w:rPr>
              <w:t>（需提供原型演示）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widowControl/>
              <w:spacing w:line="36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基于拓扑建模基础，生成业务大屏，对业务相关风险进行可视化展现，包括SQL注入、漏洞攻击、账号安全、数据泄露、违规操作、可疑通信等；</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规则管理</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★不少于20种数据安全预设场景模型，不依赖规则库包括数据泄露、敏感数据大量返回、敏感数据遍历、账户安全、接口异常、越权请求等各类数据安全事件；</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widowControl/>
              <w:spacing w:line="36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可以自由清晰定制场景规则，点选函数便可配置相关规则，避免规则语言手动写入的繁杂设置，通过简单的规则配置，通过匹配、抽取、统计、判断引擎从海量数据中设置数据安全事件规则；</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敏感数据安全监管</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敏感数据访问监控：支持基于异常操作分析模型，及时发现敏感数据的高危操作行为并告警，包括敏感数据的大量返回、敏感数据的异常访问、敏感数据遍历、敏感数据泄漏等；</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widowControl/>
              <w:spacing w:line="36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敏感数据流转监控：支持对归集、共享、交换的数据流转的流量分析，捕获数据的访问和流转，记录整个流转过程及数量，以关联形式存储和展现，形成整个数据流转链路，同时实时发现异常数据流转路径，并及时告警；</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widowControl/>
              <w:spacing w:line="36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对敏感库、敏感表、敏感字段的数量、分布关系、访问热度登进行罗列排序展示，同时对数据资源的元数据管理标签进行展示，统计各敏感等级的数据资产，关联各敏感数据资源的告警事件，实现对敏感数据数量、分布、关系、告警事件等多方位的安全监管；</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敏感接口安全监管</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接口安全监控：支持数据接口调用审计，建立数据接口安全基线，包括数据接口的调用频率、目的IP、时间等维度，对偏离安全基线的数据接口调用情况及时告警；支持长时间未调用的僵尸接口的发现和告警；支持数据接口健康状况的实时监测，及时发现数据接口的访问高延时、返回报错、404异常访问等安全报错并及时告警，以保障业务的连续性；</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shd w:val="clear" w:color="auto" w:fill="auto"/>
            <w:vAlign w:val="center"/>
          </w:tcPr>
          <w:p>
            <w:pPr>
              <w:snapToGrid w:val="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资产识别梳理能力</w:t>
            </w:r>
            <w:r>
              <w:rPr>
                <w:rFonts w:hint="eastAsia" w:ascii="宋体" w:hAnsi="宋体" w:cs="宋体"/>
                <w:b/>
                <w:bCs/>
                <w:sz w:val="24"/>
                <w:highlight w:val="none"/>
              </w:rPr>
              <w:t>（</w:t>
            </w:r>
            <w:r>
              <w:rPr>
                <w:rFonts w:hint="eastAsia" w:ascii="宋体" w:hAnsi="宋体" w:cs="宋体"/>
                <w:b/>
                <w:bCs/>
                <w:sz w:val="24"/>
                <w:highlight w:val="none"/>
                <w:lang w:eastAsia="zh-CN"/>
              </w:rPr>
              <w:t>需</w:t>
            </w:r>
            <w:r>
              <w:rPr>
                <w:rFonts w:hint="eastAsia" w:ascii="宋体" w:hAnsi="宋体" w:cs="宋体"/>
                <w:b/>
                <w:bCs/>
                <w:sz w:val="24"/>
                <w:highlight w:val="none"/>
              </w:rPr>
              <w:t>提供原型演示）</w:t>
            </w:r>
          </w:p>
        </w:tc>
        <w:tc>
          <w:tcPr>
            <w:tcW w:w="4146" w:type="pct"/>
            <w:shd w:val="clear" w:color="auto" w:fill="auto"/>
            <w:vAlign w:val="center"/>
          </w:tcPr>
          <w:p>
            <w:pPr>
              <w:snapToGrid w:val="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对安全资产的全面分析展示，支持采用自动发现、手工录入等方式对全网基础网络资产信息进行统一梳理和统计，通过对资产从部门、系统等多方位的类型划分，以图表形式帮助客户整体掌握当前组织结构下，资产总量、各单位的系统数量、系统所使用的资产数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shd w:val="clear" w:color="auto" w:fill="auto"/>
            <w:vAlign w:val="center"/>
          </w:tcPr>
          <w:p>
            <w:pPr>
              <w:snapToGrid w:val="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规则引擎分析能力</w:t>
            </w:r>
            <w:r>
              <w:rPr>
                <w:rFonts w:hint="eastAsia" w:ascii="宋体" w:hAnsi="宋体" w:cs="宋体"/>
                <w:b/>
                <w:bCs/>
                <w:sz w:val="24"/>
                <w:highlight w:val="none"/>
              </w:rPr>
              <w:t>（</w:t>
            </w:r>
            <w:r>
              <w:rPr>
                <w:rFonts w:hint="eastAsia" w:ascii="宋体" w:hAnsi="宋体" w:cs="宋体"/>
                <w:b/>
                <w:bCs/>
                <w:sz w:val="24"/>
                <w:highlight w:val="none"/>
                <w:lang w:eastAsia="zh-CN"/>
              </w:rPr>
              <w:t>需</w:t>
            </w:r>
            <w:r>
              <w:rPr>
                <w:rFonts w:hint="eastAsia" w:ascii="宋体" w:hAnsi="宋体" w:cs="宋体"/>
                <w:b/>
                <w:bCs/>
                <w:sz w:val="24"/>
                <w:highlight w:val="none"/>
              </w:rPr>
              <w:t>提供原型演示）</w:t>
            </w:r>
          </w:p>
        </w:tc>
        <w:tc>
          <w:tcPr>
            <w:tcW w:w="4146" w:type="pct"/>
            <w:shd w:val="clear" w:color="auto" w:fill="auto"/>
            <w:vAlign w:val="center"/>
          </w:tcPr>
          <w:p>
            <w:pPr>
              <w:snapToGrid w:val="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支持用户根据自身业务特性，通过【规则匹配】、【规则抽取】、【规则统计】、【规则判断】四大引擎编排内容，对来源、目标、标签等因子的自由定义组合成规则，再针对不同场景匹配不同规则组合形成对请求端信息、访问请求、行为特征，目标端所返回的数据量、数据敏感度等进行管控的针对性策略，灵活自定义数据安全场景规则，变动告警阈值和告警生效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智能检索</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支持对安全告警数据进行分类检索，从检索结果可关联资产信息并一键跳转；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widowControl/>
              <w:spacing w:line="36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支持不少于1000条检索结果导出，支持CSV格式；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widowControl/>
              <w:spacing w:line="36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★支持智能检索语句分析，支持检索语句的中英文、拼音智能联想，支持逻辑运算符与字段值的自动提示补全；检索语句支持快速保存，历史检索语句快速导入；</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3"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场景大屏</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对管控平台所覆盖到的监管范围内所有数据资产的安全态势进行整体感知，通过一张屏进行多维度数据安全态势展示；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罗列部门、主机、系统、接口、数据库、账号的资产数量；支持展示今日、本周、本月的告警总数、分类数量及告警趋势状况；支持展示数据来源及数据去向的数据接口流动情况；支持展示数据访问及接口访问的TOP排行及访问趋势；支持展示数据安全事件的工单数量及处理状态；</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3" w:type="pct"/>
            <w:vMerge w:val="restart"/>
            <w:shd w:val="clear" w:color="auto" w:fill="auto"/>
            <w:vAlign w:val="center"/>
          </w:tcPr>
          <w:p>
            <w:pPr>
              <w:adjustRightInd w:val="0"/>
              <w:snapToGrid w:val="0"/>
              <w:rPr>
                <w:rFonts w:hint="eastAsia" w:ascii="宋体" w:hAnsi="宋体" w:eastAsia="宋体" w:cs="宋体"/>
                <w:sz w:val="24"/>
                <w:szCs w:val="24"/>
                <w:highlight w:val="none"/>
              </w:rPr>
            </w:pPr>
            <w:bookmarkStart w:id="35" w:name="_Hlk109761938"/>
            <w:r>
              <w:rPr>
                <w:rFonts w:hint="eastAsia" w:ascii="宋体" w:hAnsi="宋体" w:eastAsia="宋体" w:cs="宋体"/>
                <w:sz w:val="24"/>
                <w:szCs w:val="24"/>
                <w:highlight w:val="none"/>
              </w:rPr>
              <w:t>共享与回流</w:t>
            </w:r>
            <w:bookmarkEnd w:id="35"/>
            <w:r>
              <w:rPr>
                <w:rFonts w:hint="eastAsia" w:ascii="宋体" w:hAnsi="宋体" w:eastAsia="宋体" w:cs="宋体"/>
                <w:sz w:val="24"/>
                <w:szCs w:val="24"/>
                <w:highlight w:val="none"/>
              </w:rPr>
              <w:t>防护</w:t>
            </w:r>
          </w:p>
        </w:tc>
        <w:tc>
          <w:tcPr>
            <w:tcW w:w="4146" w:type="pct"/>
            <w:shd w:val="clear" w:color="auto" w:fill="auto"/>
            <w:vAlign w:val="center"/>
          </w:tcPr>
          <w:p>
            <w:pPr>
              <w:adjustRightInd w:val="0"/>
              <w:snapToGrid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★数据调用管控：提供应用系统接入平台调用API接口和数据的身份认证和权限控制；</w:t>
            </w:r>
            <w:r>
              <w:rPr>
                <w:rFonts w:hint="eastAsia" w:ascii="宋体" w:hAnsi="宋体" w:cs="宋体"/>
                <w:b/>
                <w:bCs/>
                <w:sz w:val="24"/>
                <w:szCs w:val="24"/>
                <w:highlight w:val="none"/>
                <w:lang w:eastAsia="zh-CN"/>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3"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adjustRightInd w:val="0"/>
              <w:snapToGrid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支持批量数据共享、回流、导出监管，描绘数据回流路径，实现数据共享回流监管，发现违规回流项目空间、违规回流表、违规回流云账号等信息，对异常回流进行告警；</w:t>
            </w:r>
            <w:r>
              <w:rPr>
                <w:rFonts w:hint="eastAsia" w:ascii="宋体" w:hAnsi="宋体" w:cs="宋体"/>
                <w:b/>
                <w:bCs/>
                <w:sz w:val="24"/>
                <w:szCs w:val="24"/>
                <w:highlight w:val="none"/>
                <w:lang w:eastAsia="zh-CN"/>
              </w:rPr>
              <w:t>（需提供原型演示）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安全检查平台运营</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平台内置安全合规检查模板，支持自定义检查模板及快速下发，被检查单位按要求将检查项的证据材料上传，实现一站式的快速检查；</w:t>
            </w:r>
            <w:r>
              <w:rPr>
                <w:rFonts w:hint="eastAsia" w:ascii="宋体" w:hAnsi="宋体" w:eastAsia="宋体" w:cs="宋体"/>
                <w:b/>
                <w:bCs/>
                <w:sz w:val="24"/>
                <w:szCs w:val="24"/>
                <w:highlight w:val="none"/>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数据对接</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与杭州市数据管控平台进行对接，完成与市级平台的数据分类分级结果上报，风险共享，工单流转等内容，提供平台对接相关证明材料；（所有数据对接费用均由供应商提供</w:t>
            </w:r>
            <w:r>
              <w:rPr>
                <w:rFonts w:hint="eastAsia" w:ascii="宋体" w:hAnsi="宋体" w:cs="宋体"/>
                <w:sz w:val="24"/>
                <w:szCs w:val="24"/>
                <w:highlight w:val="none"/>
                <w:lang w:eastAsia="zh-CN"/>
              </w:rPr>
              <w:t>，</w:t>
            </w:r>
            <w:r>
              <w:rPr>
                <w:rFonts w:hint="eastAsia" w:ascii="宋体" w:hAnsi="宋体" w:cs="宋体"/>
                <w:b/>
                <w:bCs/>
                <w:sz w:val="24"/>
                <w:szCs w:val="24"/>
                <w:highlight w:val="none"/>
                <w:lang w:eastAsia="zh-CN"/>
              </w:rPr>
              <w:t>需提供原型演示</w:t>
            </w:r>
            <w:r>
              <w:rPr>
                <w:rFonts w:hint="eastAsia" w:ascii="宋体" w:hAnsi="宋体" w:cs="宋体"/>
                <w:b w:val="0"/>
                <w:bCs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3"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一年</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11、全链路安全监管升级服务</w:t>
      </w:r>
    </w:p>
    <w:tbl>
      <w:tblPr>
        <w:tblStyle w:val="62"/>
        <w:tblW w:w="48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727"/>
        <w:gridCol w:w="6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4128" w:type="pct"/>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基本要求</w:t>
            </w:r>
          </w:p>
        </w:tc>
        <w:tc>
          <w:tcPr>
            <w:tcW w:w="4128"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在现有数据管控平台基础上，增加云、网络及边界、应用、终端方面的安全监测能力，含资产管理升级服务、告警管理升级服务、通报处置升级服务、监督检查升级服务、知识库管理升级服务、考核评估升级服务、态势感知升级服务、事件案例升级服务，能与数据管控平台进行对接，</w:t>
            </w:r>
            <w:r>
              <w:rPr>
                <w:rFonts w:hint="eastAsia" w:ascii="宋体" w:hAnsi="宋体" w:eastAsia="宋体" w:cs="宋体"/>
                <w:b/>
                <w:bCs/>
                <w:sz w:val="24"/>
                <w:szCs w:val="24"/>
                <w:highlight w:val="none"/>
              </w:rPr>
              <w:t>提供服务升级和数据对接相关证明材料；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34"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资产管理升级服务</w:t>
            </w: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资产概况</w:t>
            </w: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支持资产总量及资产分类数量统计，支持待明确资产统计以及下级单位上报资产数量统计；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支持未知资产发现趋势统计，包括流量发现、下级单位上报；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支持按照单位、区域进行资产分布统计；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资产发现</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支持未知资产导出；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支持未知资产二次运营后形成本地资产库；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资产管理</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支持对单位信息按地区、统计和筛选；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支持按列表的方式统计展示单位信息，展示信息包括单位名称、单位简称、地区、网络数量、业务系统数量、IP数量、监管单位、主管单位、标签；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能够对单位资源按单位名称、单位简称、标签字段进行查询；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能够对单位资源进行添加、批量删除、导入、导出；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支持按软件资产、硬件资产、IP资产分类展示资产信息，支持资产数据的批量导入、导出；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支持资产自定分类；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434" w:type="pct"/>
            <w:vMerge w:val="continue"/>
            <w:tcBorders>
              <w:left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4"/>
                <w:szCs w:val="24"/>
                <w:highlight w:val="none"/>
              </w:rPr>
            </w:pP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一键搜索</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支持输入关键字对资产数据进行一键搜索，一次最多支持查询10个词组；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434" w:type="pct"/>
            <w:vMerge w:val="continue"/>
            <w:tcBorders>
              <w:left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4"/>
                <w:szCs w:val="24"/>
                <w:highlight w:val="none"/>
              </w:rPr>
            </w:pPr>
          </w:p>
        </w:tc>
        <w:tc>
          <w:tcPr>
            <w:tcW w:w="438" w:type="pct"/>
            <w:vMerge w:val="continue"/>
            <w:tcBorders>
              <w:left w:val="single" w:color="auto" w:sz="4" w:space="0"/>
              <w:right w:val="single" w:color="auto" w:sz="4" w:space="0"/>
            </w:tcBorders>
            <w:vAlign w:val="center"/>
          </w:tcPr>
          <w:p>
            <w:pPr>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支持显示历史检索条件；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434" w:type="pct"/>
            <w:vMerge w:val="continue"/>
            <w:tcBorders>
              <w:left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4"/>
                <w:szCs w:val="24"/>
                <w:highlight w:val="none"/>
              </w:rPr>
            </w:pPr>
          </w:p>
        </w:tc>
        <w:tc>
          <w:tcPr>
            <w:tcW w:w="438" w:type="pct"/>
            <w:vMerge w:val="continue"/>
            <w:tcBorders>
              <w:left w:val="single" w:color="auto" w:sz="4" w:space="0"/>
              <w:right w:val="single" w:color="auto" w:sz="4" w:space="0"/>
            </w:tcBorders>
            <w:vAlign w:val="center"/>
          </w:tcPr>
          <w:p>
            <w:pPr>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支持检索结果以资产实体的形式呈现；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434"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告警管理升级服务</w:t>
            </w:r>
          </w:p>
        </w:tc>
        <w:tc>
          <w:tcPr>
            <w:tcW w:w="438"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数据归一处理</w:t>
            </w: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能够接受数据接入的数据过滤计算任务，进行数据的过滤、归并；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分布式计算</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能够提供分布式计算资源，支持流式计算任务、批量计算任务，为数据分析提供支撑；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分布式存储</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能够提供分布式存储方式，能够快速建立数据索引，并能支持快速检索；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日志检索</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支持查询检索范围选择日志类型，类型包括：告警原始库、告警资源库、流量原始库、HIVE查询库、审计日志库；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选择索引后，点击搜索语句框会下拉展示通用字段、流量通用字段，以及该索引特有字段；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支持搜索条件提示字段编辑；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支持多值搜索，可连续选择多字段；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支持日志列表中字段的过滤或排除；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支持lucene语句搜索，定义语句进行英文搜索语句检索数据；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日志展示</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支持在字段区域可操作字段在“已选字段”、“可选字段”间变更、展开查看字段信息；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支持字段二次搜索，在原搜索基础上可以根据字段值二次搜索；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支持日志内容以“键/值”、“JSON”格式展示；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34"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通报对接</w:t>
            </w: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要求通报与浙政钉进行对接，通过浙政钉通知到具体责任人进行签收反馈整改处置；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872" w:type="pct"/>
            <w:gridSpan w:val="2"/>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通报处置升级服务</w:t>
            </w: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支持通报流程统计，可根据多维度查询展示通报信息；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通报详情支持显示多类通报相关信息，包括但不限于通报标题、通报标签、所属单位、发起单位、通报完整流程及当前所处流程、通报正文、举证信息、处理记录等；</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支持通过通报下发单位及业务系统的信息补全任务，通报接收单位补全信息返回后支持将已补全的信息直接入库；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支持通报举证信息一键查询，通报处置人员可以直接定位到通报关联的原始信息进行查看；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支持通过事件成果、风险成果携带相关信息辅助生成通报，支持自定义编辑通报信息内容；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支持通报流程可配置，各流程的对应的处置单位可自动生成，并支持自定义调整；</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通报支持进行超时设置，针对截止时间一天内的通报进行截止时间醒目提醒；针对已超时的通报进行超时显示，并显示具体超时时间；</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434"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监督检查升级服务</w:t>
            </w: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现场检查</w:t>
            </w: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现场检查任务至少包含待下发、任务签收、结果填报、结果签收、单位整改、整改审核和办结等状态；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现场检查中提供下发任务、签收任务、填报结果、整改上报、整改审核等操作功能；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支持在同一个现场检查任务下发时选择单位、系统等多个现场检查对象，同时支持针对每一个对象配置相关检查表单；</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支持在现场检查任务结果填写完毕提交时自动统计本次任务发现的各等级漏洞数量；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网络安全检查任务</w:t>
            </w: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单位自查至少包含待下发、任务签收、结果填报、结果审核和办结状态；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单位资产中提供下发任务、签收任务、填报结果、结果审核等操作功能以推进单位自查任务状态变化直至办结；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支持在同一个单位自查任务下发时选择单位、系统等多个自查对象，同时支持对每一个对象配置相关检查表单；</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支持单位自查相关的检查通知书、自查报告等文书通过流程各环节上传到相应的单位自查任务中进行留档；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434"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支持特殊情况下对现场检查的单条或多条任务进行一键直接办结；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34" w:type="pc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知识库管理升级服务</w:t>
            </w:r>
          </w:p>
        </w:tc>
        <w:tc>
          <w:tcPr>
            <w:tcW w:w="438"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安全知识库汇总</w:t>
            </w: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支持建立一个安全知识库，管理维护安全相关的标准、指导性文件，包括但不限于国家、省、市制定的各类标准制度规范、平台对接接口规范、标准解读等，支持上传、下载和在线阅读；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34" w:type="pct"/>
            <w:vMerge w:val="restart"/>
            <w:tcBorders>
              <w:top w:val="nil"/>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考核评估升级服务</w:t>
            </w:r>
          </w:p>
        </w:tc>
        <w:tc>
          <w:tcPr>
            <w:tcW w:w="438" w:type="pct"/>
            <w:vMerge w:val="restart"/>
            <w:tcBorders>
              <w:top w:val="nil"/>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考核统计分析</w:t>
            </w: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支持统计每个考核任务的考核概况统计，包括考核单位数、考核任务权重、考核指标数量、最高评分、最多评分、评分top5、单项指标最低评分top5；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支持按照单位过滤筛选考核任务统计页面；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nil"/>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考核任务管理</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支持通过任务时间、创建单位、任务状态、标签、关键字（任务名称、联络人）查询考评任务；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支持对考评任务排名，支持柱状图展示考评任务单位排名、饼状图展示各分数等级分布；支持展示单位排名总分列表，包括单位名称、所属区域、单位类型、单位联系人、联系方式、单位直属性质、得分等；</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nil"/>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考核评分管理</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支持对考核评分任务评分；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支持展示考核评分任务的任务名称、任务状态、任务时间、单位填报时间、创建单位、任务联络人及其联系方式、考评进度；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434" w:type="pct"/>
            <w:vMerge w:val="continue"/>
            <w:tcBorders>
              <w:left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支持通过任务时间、创建单位、任务状态、标签、关键字（任务名称、联络人）查询考评任务；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434" w:type="pct"/>
            <w:vMerge w:val="continue"/>
            <w:tcBorders>
              <w:left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支持展示考核评价任务的任务名称、任务状态、任务时间、单位填报时间、创建单位、任务联络人及其联系方式、考评进度、任务附件、任务说明等信息；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434" w:type="pct"/>
            <w:vMerge w:val="continue"/>
            <w:tcBorders>
              <w:left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支持通过单位名称、单位任务状态查询考评任务的单位，支持统计待评分、已评分单位数，支持展示考评任务各单位的单位名称、所属区域、单位责任人、单位联系人、联系方式、单位任务状态等信息；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34" w:type="pct"/>
            <w:vMerge w:val="continue"/>
            <w:tcBorders>
              <w:left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4"/>
                <w:szCs w:val="24"/>
                <w:highlight w:val="none"/>
              </w:rPr>
            </w:pPr>
          </w:p>
        </w:tc>
        <w:tc>
          <w:tcPr>
            <w:tcW w:w="438" w:type="pct"/>
            <w:vMerge w:val="restart"/>
            <w:tcBorders>
              <w:top w:val="nil"/>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考核指标</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支持对考核评分任务评分；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34" w:type="pct"/>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支持展示考核评分任务的任务名称、任务状态、任务时间、单位填报时间、创建单位、任务联络人及其联系方式、考评进度；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34"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态势感知升级服务</w:t>
            </w: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全链路网络安全监管平台</w:t>
            </w: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sz w:val="24"/>
                <w:szCs w:val="24"/>
                <w:highlight w:val="none"/>
              </w:rPr>
              <w:t>支持监测并展示不同类别资产安全情况，包括云、网络、数据、应用、终端等，并支持下钻；</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支持统计监管的单位、系统、终端、数据资产数量；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支持安全事件、风险隐患、网络攻击事件的展示，并支持下钻；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支持展示单位安全考核排名情况、检查督查、制度规范、人员保障情况等；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网络安全运营中心</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支持按照本日、本周、本月、本年、近7天、近30天维度进行统计；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支持政务云实例、骨干网设备、入网终端、应用系统、数据库的数据展示；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widowControl/>
              <w:adjustRightInd w:val="0"/>
              <w:snapToGrid w:val="0"/>
              <w:spacing w:line="36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支持展示制度规范，并支持预览；</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支持安全事件、风险隐患、网络攻击事件的展示；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支持地图形式展示各区域安全告警和待办工单数量；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全局安全态势</w:t>
            </w: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支持按照近七天、近一个月、近三个月、本周、本月、本年维度进行统计；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支持单位、系统、资产、云平台、大数据平台、物联网、工业控制、移动APP的数据展示；</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支持安全事件、风险隐患、网络攻击事件的统计展示；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支持安全区域和行业两个维度统计安全事件、风险隐患数量；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支持区域通报情况、单位通报情况、行业通报情况的数据汇聚；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支持预警中心、通报处置业务开展情况的数据统计；</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网络空间图谱</w:t>
            </w: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综合监管态势一张屏汇聚监管对象（如监管单位、关基设施、资产底数、驻点探针、分析流量、知识案例、威胁情报、安全大数据、联动城市）、监测成果（如安全事件、风险隐患、网络攻击）资产动态、黑客动态、实时通报、资产分布和网络攻击趋势等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支持在一张屏展示网络虚拟空间、单位地理空间、单位资产空间，直观反映三层之间的关联关系，支持将攻击行为从网络空间映射到地图空间，再到单位拓扑；</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sz w:val="24"/>
                <w:szCs w:val="24"/>
                <w:highlight w:val="none"/>
              </w:rPr>
              <w:t>支持在三维地图展示安全事件，支持与后台事件调查功能联动，一键进行事件调查；</w:t>
            </w:r>
            <w:r>
              <w:rPr>
                <w:rFonts w:hint="eastAsia" w:ascii="宋体" w:hAnsi="宋体" w:eastAsia="宋体" w:cs="宋体"/>
                <w:b/>
                <w:bCs/>
                <w:sz w:val="24"/>
                <w:szCs w:val="24"/>
                <w:highlight w:val="none"/>
              </w:rPr>
              <w:t>（提供功能截图证明材料）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支持大屏地图资产与后台信息发布一键联动，通过地图点击风险资产下发预警；（提供功能截图证明材料）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支持对综合监管态势大屏展示内容进行自定义，支持自定义的内容不少于40种；资产统计维度包括行业分布、地域分布、开发框架等；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Web攻击态势</w:t>
            </w: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支持通过统一的可视化界面，集中监控并展示web类应用系统的被访问/攻击的安全态势；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统计并展示当天网站集群的进出总流量、被访问/攻击总次数，在地图上进行动态可视化呈现；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以列表形式统计以下内容并进行可视化呈现：网站区域访问量排行top5、访问IP排行top5、被攻击网站排行top50、攻击来源IP排行top10、攻击类型排行top10；（提供功能截图证明材料）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实时刷新并滚动展示针对web业务的最新安全告警，包括攻击时间、地区/源IP、被攻击域名、被攻击URL、危险等级等信息；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可点击钻取查看针对单个网站业务系统的攻击/访问信息；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restart"/>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攻击者追踪溯源</w:t>
            </w: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支持通过独立的大屏界面，实现对攻击者的可视化溯源；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支持统计并展示包括但不限于攻击者基本信息、攻击行为分析、相似IP分析、攻击取证信息、日志量、攻击趋势、攻击手段，攻击告警分布等信息；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4"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支持任意攻击者信息查询，支持最近24小时、最近7天，最近30天、本日、本周、本月周期进行可视化溯源分析；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4" w:type="pct"/>
            <w:vMerge w:val="continue"/>
            <w:tcBorders>
              <w:left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支持生成详细的攻击者溯源报告并能够一键导出；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34" w:type="pct"/>
            <w:vMerge w:val="continue"/>
            <w:tcBorders>
              <w:left w:val="single" w:color="auto" w:sz="4" w:space="0"/>
              <w:right w:val="single" w:color="auto" w:sz="4" w:space="0"/>
            </w:tcBorders>
            <w:vAlign w:val="center"/>
          </w:tcPr>
          <w:p>
            <w:pPr>
              <w:rPr>
                <w:rFonts w:hint="eastAsia" w:ascii="宋体" w:hAnsi="宋体" w:eastAsia="宋体" w:cs="宋体"/>
                <w:sz w:val="24"/>
                <w:szCs w:val="24"/>
                <w:highlight w:val="none"/>
              </w:rPr>
            </w:pPr>
          </w:p>
        </w:tc>
        <w:tc>
          <w:tcPr>
            <w:tcW w:w="438" w:type="pct"/>
            <w:vMerge w:val="restart"/>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IP资产威胁溯源</w:t>
            </w: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支持通过独立的大屏界面，实现对资产被攻击状况的可视化溯源分析；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34" w:type="pct"/>
            <w:vMerge w:val="continue"/>
            <w:tcBorders>
              <w:left w:val="single" w:color="auto" w:sz="4" w:space="0"/>
              <w:right w:val="single" w:color="auto" w:sz="4" w:space="0"/>
            </w:tcBorders>
            <w:vAlign w:val="center"/>
          </w:tcPr>
          <w:p>
            <w:pPr>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支持统计并展示包括但不限于资产基本信息、被攻击行为分析、相似资产分析、攻击来源分析、资产弱点、攻击取证信息、被访问趋势、日志量、被攻击手段、攻击源TOP等信息；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34" w:type="pct"/>
            <w:vMerge w:val="continue"/>
            <w:tcBorders>
              <w:left w:val="single" w:color="auto" w:sz="4" w:space="0"/>
              <w:right w:val="single" w:color="auto" w:sz="4" w:space="0"/>
            </w:tcBorders>
            <w:vAlign w:val="center"/>
          </w:tcPr>
          <w:p>
            <w:pPr>
              <w:rPr>
                <w:rFonts w:hint="eastAsia" w:ascii="宋体" w:hAnsi="宋体" w:eastAsia="宋体" w:cs="宋体"/>
                <w:sz w:val="24"/>
                <w:szCs w:val="24"/>
                <w:highlight w:val="none"/>
              </w:rPr>
            </w:pPr>
          </w:p>
        </w:tc>
        <w:tc>
          <w:tcPr>
            <w:tcW w:w="438" w:type="pct"/>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left w:val="nil"/>
              <w:bottom w:val="single" w:color="auto" w:sz="4" w:space="0"/>
              <w:right w:val="single" w:color="auto" w:sz="4" w:space="0"/>
            </w:tcBorders>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支持最近24小时、最近7天，最近30天、本日、本周、本月周期选择进行可视化溯源分析，并支持任意资产被攻击信息查询；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72" w:type="pct"/>
            <w:gridSpan w:val="2"/>
            <w:vMerge w:val="restart"/>
            <w:tcBorders>
              <w:top w:val="single" w:color="auto" w:sz="4" w:space="0"/>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事件案例升级服务</w:t>
            </w:r>
          </w:p>
        </w:tc>
        <w:tc>
          <w:tcPr>
            <w:tcW w:w="4128" w:type="pct"/>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支持通过攻击描述、标题查询相应事件案例；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支持对不同类型的事件案例进行快速搜索；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支持通过收藏按钮快速搜索本账号已收藏的事件案例；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支持对已有的事件案例进行编辑；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支持对已有的事件案例进行打标和编写批注操作；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72" w:type="pct"/>
            <w:gridSpan w:val="2"/>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p>
        </w:tc>
        <w:tc>
          <w:tcPr>
            <w:tcW w:w="4128" w:type="pct"/>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支持手动录入已有的事件案例；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72" w:type="pct"/>
            <w:gridSpan w:val="2"/>
            <w:tcBorders>
              <w:left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数据对接</w:t>
            </w:r>
          </w:p>
        </w:tc>
        <w:tc>
          <w:tcPr>
            <w:tcW w:w="4128" w:type="pct"/>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★要与数据管控平台进行对接，提供平台对接相关证明材料</w:t>
            </w:r>
            <w:r>
              <w:rPr>
                <w:rFonts w:hint="eastAsia" w:ascii="宋体" w:hAnsi="宋体" w:eastAsia="宋体" w:cs="宋体"/>
                <w:b/>
                <w:bCs/>
                <w:sz w:val="24"/>
                <w:szCs w:val="24"/>
                <w:highlight w:val="none"/>
              </w:rPr>
              <w:t>；（所有数据对接费用均由供应商提供）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72" w:type="pct"/>
            <w:gridSpan w:val="2"/>
            <w:tcBorders>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4128" w:type="pct"/>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一年</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12、风险评估服务</w:t>
      </w:r>
    </w:p>
    <w:tbl>
      <w:tblPr>
        <w:tblStyle w:val="62"/>
        <w:tblW w:w="48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7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pct"/>
            <w:shd w:val="clear" w:color="auto" w:fill="FFFFFF" w:themeFill="background1"/>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4216" w:type="pct"/>
            <w:shd w:val="clear" w:color="auto" w:fill="FFFFFF" w:themeFill="background1"/>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总体要求</w:t>
            </w:r>
          </w:p>
        </w:tc>
        <w:tc>
          <w:tcPr>
            <w:tcW w:w="421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依据国家信息安全风险评估相关标准，结合信息安全整体需求及各系统具体应用特点，对信息系统定期开展信息安全风险评估；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8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评估范围</w:t>
            </w:r>
          </w:p>
        </w:tc>
        <w:tc>
          <w:tcPr>
            <w:tcW w:w="4216" w:type="pct"/>
            <w:shd w:val="clear" w:color="auto" w:fill="auto"/>
            <w:vAlign w:val="center"/>
          </w:tcPr>
          <w:p>
            <w:pPr>
              <w:pStyle w:val="837"/>
              <w:adjustRightInd w:val="0"/>
              <w:snapToGrid w:val="0"/>
              <w:ind w:left="0" w:leftChars="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10个信息系统；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测评标准</w:t>
            </w:r>
          </w:p>
        </w:tc>
        <w:tc>
          <w:tcPr>
            <w:tcW w:w="4216" w:type="pct"/>
            <w:shd w:val="clear" w:color="auto" w:fill="auto"/>
            <w:vAlign w:val="center"/>
          </w:tcPr>
          <w:p>
            <w:pPr>
              <w:pStyle w:val="837"/>
              <w:adjustRightInd w:val="0"/>
              <w:snapToGrid w:val="0"/>
              <w:ind w:left="0" w:leftChars="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委托的测评机构应具备 “检验机构”认可资质，且认可的能力范围包含上述信息安全风险评估标准；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服务内容</w:t>
            </w:r>
          </w:p>
        </w:tc>
        <w:tc>
          <w:tcPr>
            <w:tcW w:w="421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依据省、市数据安全检查的要求，对重要业务系统进行风险评估，包括漏洞扫描（每年4次）、安全基线检查（每年4次）、渗透测试（每年1次）；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输出物</w:t>
            </w:r>
          </w:p>
        </w:tc>
        <w:tc>
          <w:tcPr>
            <w:tcW w:w="421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出具《漏洞扫描报告》（4份）、《安全基线检查报告》（4份）、《渗透测试报告》（1份）、《风险评估报告》（1份）；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8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4216" w:type="pct"/>
            <w:shd w:val="clear" w:color="auto" w:fill="auto"/>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一年</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13、密码应用测评</w:t>
      </w:r>
    </w:p>
    <w:tbl>
      <w:tblPr>
        <w:tblStyle w:val="62"/>
        <w:tblW w:w="48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6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4146"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总体要求</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依据《密码法》、《信息系统密码应用要求》、《商用密码应用安全性评估管理办法（试行）》等相关文件及标准要求，对5个三级系统进行密码应用测评；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服务要求</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依据标准（包括但不限于）如下：</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《信息系统密码应用基本要求》</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《信息系统密码测评要求》</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《信息系统密码应用测评过程指南》</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《信息系统密码应用高风险判定指引》</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《商用密码应用安全性评估量化评估规则》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测评内容</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根据国家或行业相关标准，对信息系统完成商用密码应用安全性评估。信息系统商用密码应用安全性评估的内容（包括但不限于）：</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根据用户单位信息系统的保护等级，并依据《信息系统密码应用基本要求》中条款要求，全面分析应用系统的安全保护措施与等级保护相应级别之间的差距，进行合规性分析，为系统等级保护加固整改提供客观依据，配合委托方督促集成商根据安全改进建议进行适度加固整改，具体测评内容如下：</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安全通用要求（密码算法、密码产品、密码技术、密码服务）；</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安全技术要求（物理和环境安全、网络和通信安全、设备和计算安全、应用和数据安全）；</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密钥管理要求；</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安全管理要求（制度、人员、实施、运行和应急）；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服务成果</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提交包括且不仅仅包括以下成果：</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《信息系统安全整改规划》</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《商用密码应用安全性评估报告》</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14、攻防演练及应急处置服务</w:t>
      </w:r>
    </w:p>
    <w:tbl>
      <w:tblPr>
        <w:tblStyle w:val="62"/>
        <w:tblW w:w="48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6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4146"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期限及频率</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服务期内每年一次；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服务范围</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西湖区数据资源管理局系统；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服务内容</w:t>
            </w:r>
          </w:p>
        </w:tc>
        <w:tc>
          <w:tcPr>
            <w:tcW w:w="4146"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在服务期内，为应对信息系统遇到突发的安全问题如：发生网络入侵事件、大规模病毒爆发、遭受拒绝服务攻击等，无法及时对该事件进行处理或解决的情况，提前针对此类事件进行应急方案的编制和演练，当此类事件发生时以便进行快速应对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攻防演练服务要求</w:t>
            </w:r>
          </w:p>
        </w:tc>
        <w:tc>
          <w:tcPr>
            <w:tcW w:w="4146"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可选演练场景应包括但不限于：</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入侵系统攻击安全事件</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拒绝服务攻击安全事件</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病毒与木马攻击安全事件</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网站页面篡改安全事件</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数据库内部误操作</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可选演练内容应包括但不限于：</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信息篡改：模拟针对网站首页篡改事件的监控和处理（利用上传漏洞或者弱口令实施攻击）；</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拒绝服务：模拟从外部发起的针对网站的拒绝服务攻击事件的监控和处理（UD\CC等DDOS攻击工具）；</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恶意代码：模拟某恶意攻击者，利用系统的弱口令，利用windows共享管理服务（tcp/445），获得对服务器的控制权限；</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DNS劫持：模拟由于网站的域名解析管理账号存在弱口令，域名权威解析被篡改事件；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应急处置服务要求</w:t>
            </w:r>
          </w:p>
        </w:tc>
        <w:tc>
          <w:tcPr>
            <w:tcW w:w="4146" w:type="pct"/>
            <w:shd w:val="clear" w:color="auto" w:fill="auto"/>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当出现安全事件时，必须及时进行响应，具体要求包括：</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1、技术人员必须在2小时内到达现场；</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2、对入侵事件进行分析，查找原因；</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3、抑制入侵事件的进一步发展，将事故的损害降低到最小化；</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4、排除安全隐患，消除安全威胁，协助恢复系统正常运作；</w:t>
            </w:r>
          </w:p>
          <w:p>
            <w:pPr>
              <w:widowControl/>
              <w:adjustRightInd w:val="0"/>
              <w:snapToGrid w:val="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5、提交应急响应报告及系统安全改进方案；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服务成果</w:t>
            </w:r>
          </w:p>
        </w:tc>
        <w:tc>
          <w:tcPr>
            <w:tcW w:w="4146" w:type="pct"/>
            <w:shd w:val="clear" w:color="auto" w:fill="auto"/>
            <w:vAlign w:val="center"/>
          </w:tcPr>
          <w:p>
            <w:pPr>
              <w:widowControl/>
              <w:adjustRightInd w:val="0"/>
              <w:snapToGrid w:val="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《安全事件应急响应报告》、《攻防演练总结报告》；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服务能力要求</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★服务商需自备应急处置工具箱</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1、任务管理</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（1）支持从应急处置管理平台下发处置任务，也可以新建应急处置任务；</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（2）处置任务的内容应包括事件描述、事件类型、事件级别、事发时间、事发单位、单位联系人、单位联系人电话、系统名称、保护等级、处置人员、资产信息等。</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2、攻击发现</w:t>
            </w:r>
          </w:p>
          <w:p>
            <w:pPr>
              <w:adjustRightInd w:val="0"/>
              <w:snapToGrid w:val="0"/>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1）支持将漏洞验证工具检测结果与资产进行关联，并在工具箱上查看相应的扫描结果，提供界面截图；</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（2）支持数据库漏洞检测、系统漏洞检测、网站漏洞检测、病毒检测、木马检测；</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（3）支持自动导入功能，将验证工具集检测结果自动导入到工具箱，提供界面截图；</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3、处置对象</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（1）取证设备对象支持存储设备、边界设备、主机/服务器；</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（2）支持的日志文件类型包括IIS、Apache、Tomcat、Jboss、WebSphere、Weblogic；</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（3）支持添加对象事件线索，可以以手动填写、导入两种方式添加</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4、人工分析</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（1）支持以节点树的方式，对关键线索进行管理，并支持关键线索所有相关联IP及路径，提供界面截图；</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★（2）支持多条件对日志进行查询并显示，显示IP、IP地理信息、访问方法、访问时间、访问报文等，并支持从数据源、时间范围、后缀、IP等进行设置实现日志过滤，提供界面截图；</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（3）支持对日志进行不同颜色的标记，以标记关键日志；同时支持将日志添加入关键日志列表；</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（4）支持添加自定义线索；</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5、处置报告</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（1）资产安全漏洞应包含网站安全漏洞、网站恶意代码、操作系统及应用软件漏洞、数据库安全漏洞等安全风险；</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（2）应急处置情况应包含事件发生的过程、发生的原因及分析、事件如何处置及处置结果；</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★（3）报告应包含可疑IP及其物理地址；涉及可疑日志量及涉及关键日志量，提供界面截图；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服务期</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本次服务报价为一年服务费用，服务期为3年，合同按年签订，每年验收合格后续签合同。</w:t>
            </w:r>
          </w:p>
        </w:tc>
      </w:tr>
    </w:tbl>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15、人员驻场服务</w:t>
      </w:r>
    </w:p>
    <w:tbl>
      <w:tblPr>
        <w:tblStyle w:val="62"/>
        <w:tblW w:w="48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6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4146" w:type="pct"/>
            <w:shd w:val="clear" w:color="auto" w:fill="auto"/>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总体要求</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根据采购单位安排，针对西湖区电子政务网络安全、数据安全、PC终端外设等提供日常运维和技术保障服务，包括但不仅限于日常巡检、运行监控、故障处理等；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服务人员</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3名驻场服务人员，1人负责西湖区电子政务网络安全的运维工作；1人负责西湖区电子政务数据安全的运维工作；1人负责西湖区机关大院终端外设的运维工作；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54"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能力要求</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★网络安全人员应熟悉主流的网络安全设备及技术原理，熟悉信息安全标准规范，具备CISP认证证书。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54"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数据安全人员应具备数据安全相关工作能力，包括安全自查、部门安全检查、数据安全设施操作使用和日常维护等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854" w:type="pct"/>
            <w:vMerge w:val="continue"/>
            <w:shd w:val="clear" w:color="auto" w:fill="auto"/>
            <w:vAlign w:val="center"/>
          </w:tcPr>
          <w:p>
            <w:pPr>
              <w:adjustRightInd w:val="0"/>
              <w:snapToGrid w:val="0"/>
              <w:rPr>
                <w:rFonts w:hint="eastAsia" w:ascii="宋体" w:hAnsi="宋体" w:eastAsia="宋体" w:cs="宋体"/>
                <w:sz w:val="24"/>
                <w:szCs w:val="24"/>
                <w:highlight w:val="none"/>
              </w:rPr>
            </w:pP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终端外设运维人员应精通终端PC常见软硬件问题处理，熟悉终端故障排查，以及各类外设（打印机、复印件、扫描仪等设备）问题处置；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服务时间</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工作日5*8小时，人员按照驻地（区政府大院）日常工作时间管理，并服从用户安排；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854" w:type="pct"/>
            <w:vMerge w:val="restar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服务期限</w:t>
            </w: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本次运维服务报价为一年服务费用，服务期为3年，合同按年签订，每年验收合格后续签合同；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54" w:type="pct"/>
            <w:vMerge w:val="continue"/>
            <w:shd w:val="clear" w:color="auto" w:fill="auto"/>
            <w:vAlign w:val="center"/>
          </w:tcPr>
          <w:p>
            <w:pPr>
              <w:rPr>
                <w:rFonts w:hint="eastAsia" w:ascii="宋体" w:hAnsi="宋体" w:eastAsia="宋体" w:cs="宋体"/>
                <w:sz w:val="24"/>
                <w:szCs w:val="24"/>
                <w:highlight w:val="none"/>
              </w:rPr>
            </w:pPr>
          </w:p>
        </w:tc>
        <w:tc>
          <w:tcPr>
            <w:tcW w:w="4146" w:type="pct"/>
            <w:shd w:val="clear" w:color="auto" w:fill="auto"/>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驻场人员到位后试用一个月，通过用户认可后由用户出具确认书，服务时间从驻场人员到位之日开始计算。如驻场人员试用未通过，服务单位应更换人员，直至人员通过试用并由用户出具确认书，服务时间从最后接替人员到位之日开始计算；</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服务期内人员变更时，新驻场人员同样需试用一个月，通过用户认可后由用户出具确认书；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4" w:type="pct"/>
            <w:shd w:val="clear" w:color="auto" w:fill="auto"/>
            <w:vAlign w:val="center"/>
          </w:tcPr>
          <w:p>
            <w:pPr>
              <w:adjustRightInd w:val="0"/>
              <w:snapToGrid w:val="0"/>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服务期</w:t>
            </w:r>
          </w:p>
        </w:tc>
        <w:tc>
          <w:tcPr>
            <w:tcW w:w="4146" w:type="pct"/>
            <w:shd w:val="clear" w:color="auto" w:fill="auto"/>
            <w:vAlign w:val="center"/>
          </w:tcPr>
          <w:p>
            <w:pPr>
              <w:adjustRightInd w:val="0"/>
              <w:snapToGrid w:val="0"/>
              <w:rPr>
                <w:rFonts w:hint="default" w:ascii="宋体" w:hAnsi="宋体" w:eastAsia="宋体" w:cs="宋体"/>
                <w:sz w:val="24"/>
                <w:szCs w:val="24"/>
                <w:highlight w:val="none"/>
                <w:lang w:val="en-US" w:eastAsia="zh-CN"/>
              </w:rPr>
            </w:pPr>
            <w:r>
              <w:rPr>
                <w:rFonts w:hint="eastAsia" w:ascii="宋体" w:hAnsi="宋体" w:cs="宋体"/>
                <w:sz w:val="24"/>
                <w:szCs w:val="24"/>
                <w:highlight w:val="none"/>
                <w:lang w:eastAsia="zh-CN"/>
              </w:rPr>
              <w:t>本次服务报价为一次服务费用，服务期为</w:t>
            </w:r>
            <w:r>
              <w:rPr>
                <w:rFonts w:hint="default" w:ascii="宋体" w:hAnsi="宋体" w:cs="宋体"/>
                <w:sz w:val="24"/>
                <w:szCs w:val="24"/>
                <w:highlight w:val="none"/>
                <w:lang w:val="en-US" w:eastAsia="zh-CN"/>
              </w:rPr>
              <w:t>3</w:t>
            </w:r>
            <w:r>
              <w:rPr>
                <w:rFonts w:hint="eastAsia" w:ascii="宋体" w:hAnsi="宋体" w:cs="宋体"/>
                <w:sz w:val="24"/>
                <w:szCs w:val="24"/>
                <w:highlight w:val="none"/>
                <w:lang w:val="en-US" w:eastAsia="zh-CN"/>
              </w:rPr>
              <w:t>年，合同按年签订，每年验收合格后续签合同。</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16、重保支持服务</w:t>
      </w:r>
    </w:p>
    <w:tbl>
      <w:tblPr>
        <w:tblStyle w:val="62"/>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6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31" w:type="dxa"/>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6791" w:type="dxa"/>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31"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服务范围</w:t>
            </w:r>
          </w:p>
        </w:tc>
        <w:tc>
          <w:tcPr>
            <w:tcW w:w="6791"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重要会议、重大活动、重要事件期间，委派资深技术人员到场，为电子政务网络、安全、云计算平台等设备正常稳定运行提供保障，随时应急处理全区电子政务网络突发故障。人员须具备至少3年以上网络技术工作经验，服务时长：每年不少于27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31"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服务期</w:t>
            </w:r>
          </w:p>
        </w:tc>
        <w:tc>
          <w:tcPr>
            <w:tcW w:w="6791"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本次服务报价为一年服务费用，服务期为3年，合同按年签订，每年验收合格后续签合同；</w:t>
            </w:r>
          </w:p>
        </w:tc>
      </w:tr>
    </w:tbl>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17、设备维保服务</w:t>
      </w:r>
    </w:p>
    <w:tbl>
      <w:tblPr>
        <w:tblStyle w:val="62"/>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6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26" w:type="dxa"/>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技术指标</w:t>
            </w:r>
          </w:p>
        </w:tc>
        <w:tc>
          <w:tcPr>
            <w:tcW w:w="6896" w:type="dxa"/>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26"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维保范围</w:t>
            </w:r>
          </w:p>
        </w:tc>
        <w:tc>
          <w:tcPr>
            <w:tcW w:w="6896"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1台天融信TSC-71232-WVS漏洞扫描系统；</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1台安恒DAS-A1000数据库审计设备；</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1套深信服SIP-1000－A600态势感知平台；</w:t>
            </w:r>
          </w:p>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以上设备需购买原厂商1年维保服务。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26"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维保要求</w:t>
            </w:r>
          </w:p>
        </w:tc>
        <w:tc>
          <w:tcPr>
            <w:tcW w:w="6896"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保修期内提供7×24小时服务，在接到用户响应要求立即响应，4小时内到现场对故障进行处理，8小时内修复或解决；若硬件出现故障，要求中标单位及时免费修复或免费更换。服务内容包括故障处理、硬件维修、规则库升级（如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26"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其他</w:t>
            </w:r>
          </w:p>
        </w:tc>
        <w:tc>
          <w:tcPr>
            <w:tcW w:w="6896" w:type="dxa"/>
            <w:vAlign w:val="center"/>
          </w:tcPr>
          <w:p>
            <w:pPr>
              <w:adjustRightInd w:val="0"/>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★投标时提供原厂商针对上述3台设备售后服务承诺函</w:t>
            </w:r>
          </w:p>
        </w:tc>
      </w:tr>
    </w:tbl>
    <w:p>
      <w:pPr>
        <w:snapToGrid w:val="0"/>
        <w:spacing w:line="360" w:lineRule="auto"/>
        <w:rPr>
          <w:rFonts w:hint="eastAsia" w:ascii="宋体" w:hAnsi="宋体" w:eastAsia="宋体" w:cs="宋体"/>
          <w:b/>
          <w:snapToGrid w:val="0"/>
          <w:kern w:val="10"/>
          <w:sz w:val="24"/>
          <w:szCs w:val="24"/>
          <w:highlight w:val="none"/>
        </w:rPr>
      </w:pPr>
      <w:r>
        <w:rPr>
          <w:rFonts w:hint="eastAsia" w:ascii="宋体" w:hAnsi="宋体" w:eastAsia="宋体" w:cs="宋体"/>
          <w:b/>
          <w:snapToGrid w:val="0"/>
          <w:kern w:val="10"/>
          <w:sz w:val="24"/>
          <w:szCs w:val="24"/>
          <w:highlight w:val="none"/>
        </w:rPr>
        <w:t>备注：</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eastAsia="zh-CN"/>
        </w:rPr>
        <w:t>硬件部分，</w:t>
      </w:r>
      <w:r>
        <w:rPr>
          <w:rFonts w:hint="eastAsia" w:ascii="宋体" w:hAnsi="宋体" w:eastAsia="宋体" w:cs="宋体"/>
          <w:kern w:val="0"/>
          <w:sz w:val="24"/>
          <w:szCs w:val="24"/>
          <w:highlight w:val="none"/>
        </w:rPr>
        <w:t>投标人可参考</w:t>
      </w:r>
      <w:r>
        <w:rPr>
          <w:rFonts w:hint="eastAsia" w:ascii="宋体" w:hAnsi="宋体" w:eastAsia="宋体" w:cs="宋体"/>
          <w:kern w:val="0"/>
          <w:sz w:val="24"/>
          <w:szCs w:val="24"/>
          <w:highlight w:val="none"/>
          <w:lang w:eastAsia="zh-CN"/>
        </w:rPr>
        <w:t>上述表格提供的</w:t>
      </w:r>
      <w:r>
        <w:rPr>
          <w:rFonts w:hint="eastAsia" w:ascii="宋体" w:hAnsi="宋体" w:eastAsia="宋体" w:cs="宋体"/>
          <w:kern w:val="0"/>
          <w:sz w:val="24"/>
          <w:szCs w:val="24"/>
          <w:highlight w:val="none"/>
        </w:rPr>
        <w:t>设备技术参数及配置，也欢迎优于本项目技术需求且性能与所明确要求相当的产品参加投标。</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2、投标人应如实描述投标产品的主要指标偏离情况，若有偏离，只接受参数、性能优于招标要求的配置, 否则将被评标委员会技术扣分直至认定为投标无效。</w:t>
      </w:r>
    </w:p>
    <w:p>
      <w:pPr>
        <w:snapToGrid w:val="0"/>
        <w:spacing w:line="360" w:lineRule="auto"/>
        <w:rPr>
          <w:rFonts w:hint="eastAsia" w:ascii="宋体" w:hAnsi="宋体" w:eastAsia="宋体" w:cs="宋体"/>
          <w:b/>
          <w:snapToGrid w:val="0"/>
          <w:kern w:val="10"/>
          <w:sz w:val="24"/>
          <w:szCs w:val="24"/>
          <w:highlight w:val="none"/>
        </w:rPr>
      </w:pPr>
      <w:r>
        <w:rPr>
          <w:rFonts w:hint="eastAsia" w:ascii="宋体" w:hAnsi="宋体" w:eastAsia="宋体" w:cs="宋体"/>
          <w:b/>
          <w:snapToGrid w:val="0"/>
          <w:kern w:val="10"/>
          <w:sz w:val="24"/>
          <w:szCs w:val="24"/>
          <w:highlight w:val="none"/>
        </w:rPr>
        <w:t>特别说明：</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 投标方及厂商必须保证所有投标产品（如光模块等）均为中华人民共和国境内合法销售的产品，并保证所有投标参数真实可信，同时承担以非法产品或虚假参数应标所带来的一切法律风险。</w:t>
      </w:r>
      <w:r>
        <w:rPr>
          <w:rFonts w:hint="eastAsia" w:ascii="宋体" w:hAnsi="宋体" w:eastAsia="宋体" w:cs="宋体"/>
          <w:kern w:val="0"/>
          <w:sz w:val="24"/>
          <w:szCs w:val="24"/>
          <w:highlight w:val="none"/>
          <w:lang w:val="en-US" w:eastAsia="zh-CN"/>
        </w:rPr>
        <w:t>中标单位提供的产品和服务符合国家相关安全规定及《浙江省信息技术服务外包安全管理规范》要求，如与国家相关安全规定及《浙江省信息技术服务外包安全管理规范》不符，</w:t>
      </w:r>
      <w:r>
        <w:rPr>
          <w:rFonts w:hint="eastAsia" w:ascii="宋体" w:hAnsi="宋体" w:eastAsia="宋体" w:cs="宋体"/>
          <w:kern w:val="0"/>
          <w:sz w:val="24"/>
          <w:szCs w:val="24"/>
          <w:highlight w:val="none"/>
        </w:rPr>
        <w:t>，将做违约处理，并保留以诉诸相关法律进行处理的权利。</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2.采购方会根据招标文件技术要求对中标单位所供产品进行功能及性能指标测试，如投标书中技术指标关键项说明与测试结果不符，将做违约处理，并保留以诉诸相关法律进行处理的权利。</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 本项目用户方可以通过设备序列号在生产厂商官方网站或生产厂商400/800电话中进行验证，并可查询设备维保期限。</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 投标清单中必须明确主机型号及配置各组件详细清单规格型号，无详细主机型号和组件清单型号的，视为不满足招标要求。</w:t>
      </w:r>
    </w:p>
    <w:p>
      <w:pPr>
        <w:snapToGrid w:val="0"/>
        <w:spacing w:line="360" w:lineRule="auto"/>
        <w:ind w:firstLine="361" w:firstLineChars="150"/>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5.为确保安全运维工作的及时性和故障处置效率，结合用户现有的安全设备情况，投标人应与主要安全设备原厂深信服、天融信、安恒建立快速协同机制，日常设备运维操作分别取得原厂深信服、天融信、安恒三家厂商授权和技术支持，配合现场运维工程师在最短的时间内解决问题。投标时提供三家厂商原厂技术支持授权函。</w:t>
      </w:r>
    </w:p>
    <w:p>
      <w:pPr>
        <w:snapToGrid w:val="0"/>
        <w:spacing w:line="360" w:lineRule="auto"/>
        <w:ind w:firstLine="360" w:firstLineChars="150"/>
        <w:rPr>
          <w:rFonts w:hint="eastAsia" w:ascii="宋体" w:hAnsi="宋体" w:eastAsia="宋体" w:cs="宋体"/>
          <w:kern w:val="0"/>
          <w:sz w:val="24"/>
          <w:szCs w:val="24"/>
          <w:highlight w:val="none"/>
        </w:rPr>
      </w:pPr>
      <w:r>
        <w:rPr>
          <w:rFonts w:hint="default" w:ascii="宋体" w:hAnsi="宋体" w:cs="宋体"/>
          <w:kern w:val="0"/>
          <w:sz w:val="24"/>
          <w:szCs w:val="24"/>
          <w:highlight w:val="none"/>
          <w:lang w:val="en-US"/>
        </w:rPr>
        <w:t>6</w:t>
      </w:r>
      <w:r>
        <w:rPr>
          <w:rFonts w:hint="eastAsia" w:ascii="宋体" w:hAnsi="宋体" w:eastAsia="宋体" w:cs="宋体"/>
          <w:kern w:val="0"/>
          <w:sz w:val="24"/>
          <w:szCs w:val="24"/>
          <w:highlight w:val="none"/>
        </w:rPr>
        <w:t>.凡是要求原厂维保的设备需提供原厂商针对本项目的服务承诺函原件，如中标单位拒绝或者无法提供承诺函原件，甲方将有权不予授予合同。（在投标时须上传原厂商服务承诺函原件扫描件或提供承诺书承诺响应以上要求）。</w:t>
      </w:r>
    </w:p>
    <w:p>
      <w:pPr>
        <w:snapToGrid w:val="0"/>
        <w:spacing w:line="360" w:lineRule="auto"/>
        <w:rPr>
          <w:rFonts w:hint="eastAsia" w:ascii="宋体" w:hAnsi="宋体" w:eastAsia="宋体" w:cs="宋体"/>
          <w:b/>
          <w:snapToGrid w:val="0"/>
          <w:kern w:val="10"/>
          <w:sz w:val="24"/>
          <w:szCs w:val="24"/>
          <w:highlight w:val="none"/>
        </w:rPr>
      </w:pPr>
      <w:r>
        <w:rPr>
          <w:rFonts w:hint="eastAsia" w:ascii="宋体" w:hAnsi="宋体" w:eastAsia="宋体" w:cs="宋体"/>
          <w:b/>
          <w:snapToGrid w:val="0"/>
          <w:kern w:val="10"/>
          <w:sz w:val="24"/>
          <w:szCs w:val="24"/>
          <w:highlight w:val="none"/>
        </w:rPr>
        <w:t xml:space="preserve">五、项目实施要求  </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1、中标方应在合同签订后</w:t>
      </w:r>
      <w:r>
        <w:rPr>
          <w:rFonts w:hint="eastAsia" w:ascii="宋体" w:hAnsi="宋体" w:eastAsia="宋体" w:cs="宋体"/>
          <w:b/>
          <w:bCs/>
          <w:kern w:val="0"/>
          <w:sz w:val="24"/>
          <w:szCs w:val="24"/>
          <w:highlight w:val="none"/>
        </w:rPr>
        <w:t>3个月内</w:t>
      </w:r>
      <w:r>
        <w:rPr>
          <w:rFonts w:hint="eastAsia" w:ascii="宋体" w:hAnsi="宋体" w:eastAsia="宋体" w:cs="宋体"/>
          <w:kern w:val="0"/>
          <w:sz w:val="24"/>
          <w:szCs w:val="24"/>
          <w:highlight w:val="none"/>
        </w:rPr>
        <w:t>完成本项目，需提供项目详尽的实施方案和进度表。</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2、质量保证：</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（1）投标产品必须是符合国家技术规范和质量标准的合格产品，满足采购人的使用需求，并具有可靠的售后服务体系，质量可靠、使用安全。</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投标人保证其提供的产品中所有预装和为本项目安装的软件均为具有合法版权或使用权的正版软件且无质量瑕疵，所提供硬件产品包括相关附件为相应硬件厂家原装正品，符合国家有关规定。投标人须保证所提供产品具有合法的版权或使用权，本项目采购的产品，如在本项目范围内使用过程中出现版权或使用权纠纷，应由中标人负责，采购人不承担责任。</w:t>
      </w:r>
    </w:p>
    <w:p>
      <w:pPr>
        <w:snapToGrid w:val="0"/>
        <w:spacing w:line="360" w:lineRule="auto"/>
        <w:ind w:firstLine="360" w:firstLineChars="150"/>
        <w:rPr>
          <w:rFonts w:hint="eastAsia" w:eastAsia="宋体"/>
          <w:highlight w:val="none"/>
          <w:lang w:eastAsia="zh-CN"/>
        </w:rPr>
      </w:pP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lang w:eastAsia="zh-CN"/>
        </w:rPr>
        <w:t>）采购的开发软件也同时必须满足采购单位要求。</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en-US" w:eastAsia="zh-CN"/>
        </w:rPr>
        <w:t>4</w:t>
      </w:r>
      <w:r>
        <w:rPr>
          <w:rFonts w:hint="eastAsia" w:ascii="宋体" w:hAnsi="宋体" w:eastAsia="宋体" w:cs="宋体"/>
          <w:kern w:val="0"/>
          <w:sz w:val="24"/>
          <w:szCs w:val="24"/>
          <w:highlight w:val="none"/>
        </w:rPr>
        <w:t>）在质保期内，如遇软件产品升级、改版，应免费提供更新、升级服务。</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2、要求投标人提供的服务不得低于标准服务，即与投标产品制造厂商通过网站等对外公布的有效服务标准相一致（投标人不得另行制作网页）。在标准服务基础上，投标人还应达到以下标准：</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（1）当投标货物发生非人为因素严重故障时，供应商应当免费在七日内将补充或者更换的货物运抵发生故障的货物所在地，由此产生的一切相关费用由供应商负担。</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（2）质保期内所有因更换或修理设备或部件而导致设备停止运行的时间应从其质保期内扣除。</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（3）供应商在质保期内安装的任何产品，必须是其投标产品制造厂商原产的或是经其认可的。</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（4）所有的替代零配件必须是新的未使用和未经修复的，除非最终用户提供书面许可，否则不可使用此范围外的其他（非新的）配件。</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 供应商必须为维修和技术支持所未能解决的问题和故障提供正式的升级方案。</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（6）在质保期内，供应商有责任解决所提供的投标设备和软件系统的任何问题，在质保期满后，当需要时，供应商仍须对因投标设备本身的固有缺陷和瑕疵承担相应责任。</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3、对产品服务要求的有效响应将被视为投标人对其所投标产品的服务承诺，如果中标，须将服务承诺列入合同的产品服务条款。</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投标人应在系统实施方案中描述具体的实施团队的组成、工作的内容、投入人员、项目进程表及采购人的配合等内容。在所有工作开展之前，中标方的实施人员应制定一套完整科学可行的实施方案，作为项目实施的总体计划和步骤。</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5、培训要求</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培训是项目顺利进行的保证。在项目的不同阶段要求提供相关的培训课程，面向系统开发和管理员、各级领导、系统操作人员等不同群体提供系统化、定制化和有针对性的培训。</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6、售后服务要求</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（1）投标人应具有完善的质保期内及质保期外的售后服务方案。</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（2）硬件质保期</w:t>
      </w:r>
      <w:r>
        <w:rPr>
          <w:rFonts w:hint="eastAsia" w:ascii="宋体" w:hAnsi="宋体" w:eastAsia="宋体" w:cs="宋体"/>
          <w:kern w:val="0"/>
          <w:sz w:val="24"/>
          <w:szCs w:val="24"/>
          <w:highlight w:val="none"/>
          <w:lang w:eastAsia="zh-CN"/>
        </w:rPr>
        <w:t>不少于</w:t>
      </w:r>
      <w:r>
        <w:rPr>
          <w:rFonts w:hint="eastAsia" w:ascii="宋体" w:hAnsi="宋体" w:eastAsia="宋体" w:cs="宋体"/>
          <w:kern w:val="0"/>
          <w:sz w:val="24"/>
          <w:szCs w:val="24"/>
          <w:highlight w:val="none"/>
        </w:rPr>
        <w:t>3年，安全设备和机房设施维保服务</w:t>
      </w:r>
      <w:r>
        <w:rPr>
          <w:rFonts w:hint="eastAsia" w:ascii="宋体" w:hAnsi="宋体" w:eastAsia="宋体" w:cs="宋体"/>
          <w:kern w:val="0"/>
          <w:sz w:val="24"/>
          <w:szCs w:val="24"/>
          <w:highlight w:val="none"/>
          <w:lang w:eastAsia="zh-CN"/>
        </w:rPr>
        <w:t>不少于</w:t>
      </w:r>
      <w:r>
        <w:rPr>
          <w:rFonts w:hint="eastAsia" w:ascii="宋体" w:hAnsi="宋体" w:eastAsia="宋体" w:cs="宋体"/>
          <w:kern w:val="0"/>
          <w:sz w:val="24"/>
          <w:szCs w:val="24"/>
          <w:highlight w:val="none"/>
        </w:rPr>
        <w:t>1年，</w:t>
      </w:r>
      <w:r>
        <w:rPr>
          <w:rFonts w:hint="eastAsia" w:ascii="宋体" w:hAnsi="宋体" w:eastAsia="宋体" w:cs="宋体"/>
          <w:kern w:val="0"/>
          <w:sz w:val="24"/>
          <w:szCs w:val="24"/>
          <w:highlight w:val="none"/>
          <w:lang w:eastAsia="zh-CN"/>
        </w:rPr>
        <w:t>开发软件不少于</w:t>
      </w:r>
      <w:r>
        <w:rPr>
          <w:rFonts w:hint="eastAsia" w:ascii="宋体" w:hAnsi="宋体" w:eastAsia="宋体" w:cs="宋体"/>
          <w:kern w:val="0"/>
          <w:sz w:val="24"/>
          <w:szCs w:val="24"/>
          <w:highlight w:val="none"/>
          <w:lang w:val="en-US" w:eastAsia="zh-CN"/>
        </w:rPr>
        <w:t>1年</w:t>
      </w:r>
      <w:r>
        <w:rPr>
          <w:rFonts w:hint="eastAsia" w:ascii="宋体" w:hAnsi="宋体" w:eastAsia="宋体" w:cs="宋体"/>
          <w:kern w:val="0"/>
          <w:sz w:val="24"/>
          <w:szCs w:val="24"/>
          <w:highlight w:val="none"/>
        </w:rPr>
        <w:t>质保期内提供免费的售后服务。</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所提供的技术服务至少为7×24小时支持维护服务，包括邮件、电话、远程维护、现场服务等方式。对故障1小时响应，4小时以内到现场，8小时以内解决问题；若硬件出现故障，要求中标单位及时免费修复或免费更换。</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（4）投标人须具有本地化服务能力以及较强的专业技术队伍，在服务期内提供各方面服务，满足用户方所需的与应用软件相关的各类技术服务； </w:t>
      </w:r>
    </w:p>
    <w:p>
      <w:pPr>
        <w:snapToGrid w:val="0"/>
        <w:spacing w:line="360" w:lineRule="auto"/>
        <w:rPr>
          <w:rFonts w:hint="eastAsia" w:ascii="宋体" w:hAnsi="宋体" w:eastAsia="宋体" w:cs="宋体"/>
          <w:b/>
          <w:snapToGrid w:val="0"/>
          <w:kern w:val="10"/>
          <w:sz w:val="24"/>
          <w:szCs w:val="24"/>
          <w:highlight w:val="none"/>
        </w:rPr>
      </w:pPr>
      <w:r>
        <w:rPr>
          <w:rFonts w:hint="eastAsia" w:ascii="宋体" w:hAnsi="宋体" w:eastAsia="宋体" w:cs="宋体"/>
          <w:b/>
          <w:snapToGrid w:val="0"/>
          <w:kern w:val="10"/>
          <w:sz w:val="24"/>
          <w:szCs w:val="24"/>
          <w:highlight w:val="none"/>
        </w:rPr>
        <w:t>六、验收要求</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文档的提交应覆盖以下内容，电子文档是成果不可分割的部分。要求如下文档：</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1、项目实施前：需求分析报告；施工方案、项目实施计划；</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2、项目实施期间：项目实施工作单、故障诊断及排除记录、项目实施过程中衍生的其它相关资料；</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3、项目实施后：系统试运行和自测报告、故障诊断与排除手册、工作总结报告；</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4、培训期间：培训计划、用户使用手册、管理员使用手册；</w:t>
      </w:r>
    </w:p>
    <w:p>
      <w:pPr>
        <w:snapToGrid w:val="0"/>
        <w:spacing w:line="360" w:lineRule="auto"/>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5、其他需要提交的材料。</w:t>
      </w:r>
    </w:p>
    <w:p>
      <w:pPr>
        <w:pStyle w:val="2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pStyle w:val="24"/>
        <w:rPr>
          <w:rFonts w:hint="eastAsia" w:ascii="宋体" w:hAnsi="宋体" w:eastAsia="宋体" w:cs="宋体"/>
          <w:sz w:val="24"/>
          <w:szCs w:val="24"/>
          <w:highlight w:val="none"/>
          <w:lang w:eastAsia="zh-CN"/>
        </w:rPr>
      </w:pPr>
    </w:p>
    <w:p>
      <w:pPr>
        <w:snapToGrid w:val="0"/>
        <w:spacing w:line="360" w:lineRule="auto"/>
        <w:jc w:val="center"/>
        <w:rPr>
          <w:rFonts w:ascii="宋体" w:hAnsi="宋体" w:cs="宋体"/>
          <w:b/>
          <w:sz w:val="36"/>
          <w:szCs w:val="36"/>
          <w:highlight w:val="none"/>
        </w:rPr>
      </w:pPr>
      <w:r>
        <w:rPr>
          <w:rFonts w:hint="eastAsia" w:ascii="宋体" w:hAnsi="宋体" w:cs="宋体"/>
          <w:b/>
          <w:sz w:val="36"/>
          <w:szCs w:val="36"/>
          <w:highlight w:val="none"/>
        </w:rPr>
        <w:t xml:space="preserve">第四部分   </w:t>
      </w:r>
      <w:bookmarkStart w:id="36" w:name="_Toc184308081"/>
      <w:bookmarkEnd w:id="36"/>
      <w:bookmarkStart w:id="37" w:name="_Toc184308040"/>
      <w:bookmarkEnd w:id="37"/>
      <w:bookmarkStart w:id="38" w:name="_Toc184308064"/>
      <w:bookmarkEnd w:id="38"/>
      <w:bookmarkStart w:id="39" w:name="_Toc184312108"/>
      <w:bookmarkEnd w:id="39"/>
      <w:bookmarkStart w:id="40" w:name="_Toc184314439"/>
      <w:bookmarkEnd w:id="40"/>
      <w:bookmarkStart w:id="41" w:name="_Toc184308103"/>
      <w:bookmarkEnd w:id="41"/>
      <w:bookmarkStart w:id="42" w:name="_Toc184312121"/>
      <w:bookmarkEnd w:id="42"/>
      <w:bookmarkStart w:id="43" w:name="_Toc184312112"/>
      <w:bookmarkEnd w:id="43"/>
      <w:bookmarkStart w:id="44" w:name="_Toc184308090"/>
      <w:bookmarkEnd w:id="44"/>
      <w:bookmarkStart w:id="45" w:name="_Toc184312077"/>
      <w:bookmarkEnd w:id="45"/>
      <w:bookmarkStart w:id="46" w:name="_Toc184314468"/>
      <w:bookmarkEnd w:id="46"/>
      <w:bookmarkStart w:id="47" w:name="_Toc184312100"/>
      <w:bookmarkEnd w:id="47"/>
      <w:bookmarkStart w:id="48" w:name="_Toc184312089"/>
      <w:bookmarkEnd w:id="48"/>
      <w:bookmarkStart w:id="49" w:name="_Toc184314453"/>
      <w:bookmarkEnd w:id="49"/>
      <w:bookmarkStart w:id="50" w:name="_Toc184310272"/>
      <w:bookmarkEnd w:id="50"/>
      <w:bookmarkStart w:id="51" w:name="_Toc184312123"/>
      <w:bookmarkEnd w:id="51"/>
      <w:bookmarkStart w:id="52" w:name="_Toc184312074"/>
      <w:bookmarkEnd w:id="52"/>
      <w:bookmarkStart w:id="53" w:name="_Toc184308041"/>
      <w:bookmarkEnd w:id="53"/>
      <w:bookmarkStart w:id="54" w:name="_Toc184314463"/>
      <w:bookmarkEnd w:id="54"/>
      <w:bookmarkStart w:id="55" w:name="_Toc184312104"/>
      <w:bookmarkEnd w:id="55"/>
      <w:bookmarkStart w:id="56" w:name="_Toc184308105"/>
      <w:bookmarkEnd w:id="56"/>
      <w:bookmarkStart w:id="57" w:name="_Toc184310324"/>
      <w:bookmarkEnd w:id="57"/>
      <w:bookmarkStart w:id="58" w:name="_Toc184314462"/>
      <w:bookmarkEnd w:id="58"/>
      <w:bookmarkStart w:id="59" w:name="_Toc184308083"/>
      <w:bookmarkEnd w:id="59"/>
      <w:bookmarkStart w:id="60" w:name="_Toc184310303"/>
      <w:bookmarkEnd w:id="60"/>
      <w:bookmarkStart w:id="61" w:name="_Toc184314411"/>
      <w:bookmarkEnd w:id="61"/>
      <w:bookmarkStart w:id="62" w:name="_Toc184310287"/>
      <w:bookmarkEnd w:id="62"/>
      <w:bookmarkStart w:id="63" w:name="_Toc184310344"/>
      <w:bookmarkEnd w:id="63"/>
      <w:bookmarkStart w:id="64" w:name="_Toc184308106"/>
      <w:bookmarkEnd w:id="64"/>
      <w:bookmarkStart w:id="65" w:name="_Toc184312129"/>
      <w:bookmarkEnd w:id="65"/>
      <w:bookmarkStart w:id="66" w:name="_Toc184312078"/>
      <w:bookmarkEnd w:id="66"/>
      <w:bookmarkStart w:id="67" w:name="_Toc184310331"/>
      <w:bookmarkEnd w:id="67"/>
      <w:bookmarkStart w:id="68" w:name="_Toc184310317"/>
      <w:bookmarkEnd w:id="68"/>
      <w:bookmarkStart w:id="69" w:name="_Toc184308048"/>
      <w:bookmarkEnd w:id="69"/>
      <w:bookmarkStart w:id="70" w:name="_Toc184308087"/>
      <w:bookmarkEnd w:id="70"/>
      <w:bookmarkStart w:id="71" w:name="_Toc184312068"/>
      <w:bookmarkEnd w:id="71"/>
      <w:bookmarkStart w:id="72" w:name="_Toc184313300"/>
      <w:bookmarkEnd w:id="72"/>
      <w:bookmarkStart w:id="73" w:name="_Toc184314443"/>
      <w:bookmarkEnd w:id="73"/>
      <w:bookmarkStart w:id="74" w:name="_Toc184314419"/>
      <w:bookmarkEnd w:id="74"/>
      <w:bookmarkStart w:id="75" w:name="_Toc184314459"/>
      <w:bookmarkEnd w:id="75"/>
      <w:bookmarkStart w:id="76" w:name="_Toc184312076"/>
      <w:bookmarkEnd w:id="76"/>
      <w:bookmarkStart w:id="77" w:name="_Toc184314458"/>
      <w:bookmarkEnd w:id="77"/>
      <w:bookmarkStart w:id="78" w:name="_Toc184310275"/>
      <w:bookmarkEnd w:id="78"/>
      <w:bookmarkStart w:id="79" w:name="_Toc184308055"/>
      <w:bookmarkEnd w:id="79"/>
      <w:bookmarkStart w:id="80" w:name="_Toc184308061"/>
      <w:bookmarkEnd w:id="80"/>
      <w:bookmarkStart w:id="81" w:name="_Toc184314420"/>
      <w:bookmarkEnd w:id="81"/>
      <w:bookmarkStart w:id="82" w:name="_Toc184310318"/>
      <w:bookmarkEnd w:id="82"/>
      <w:bookmarkStart w:id="83" w:name="_Toc184314416"/>
      <w:bookmarkEnd w:id="83"/>
      <w:bookmarkStart w:id="84" w:name="_Toc184312086"/>
      <w:bookmarkEnd w:id="84"/>
      <w:bookmarkStart w:id="85" w:name="_Toc184308100"/>
      <w:bookmarkEnd w:id="85"/>
      <w:bookmarkStart w:id="86" w:name="_Toc184313260"/>
      <w:bookmarkEnd w:id="86"/>
      <w:bookmarkStart w:id="87" w:name="_Toc184310323"/>
      <w:bookmarkEnd w:id="87"/>
      <w:bookmarkStart w:id="88" w:name="_Toc184310276"/>
      <w:bookmarkEnd w:id="88"/>
      <w:bookmarkStart w:id="89" w:name="_Toc184313267"/>
      <w:bookmarkEnd w:id="89"/>
      <w:bookmarkStart w:id="90" w:name="_Toc184313257"/>
      <w:bookmarkEnd w:id="90"/>
      <w:bookmarkStart w:id="91" w:name="_Toc184312095"/>
      <w:bookmarkEnd w:id="91"/>
      <w:bookmarkStart w:id="92" w:name="_Toc184310312"/>
      <w:bookmarkEnd w:id="92"/>
      <w:bookmarkStart w:id="93" w:name="_Toc184314457"/>
      <w:bookmarkEnd w:id="93"/>
      <w:bookmarkStart w:id="94" w:name="_Toc184312092"/>
      <w:bookmarkEnd w:id="94"/>
      <w:bookmarkStart w:id="95" w:name="_Toc184312106"/>
      <w:bookmarkEnd w:id="95"/>
      <w:bookmarkStart w:id="96" w:name="_Toc184312071"/>
      <w:bookmarkEnd w:id="96"/>
      <w:bookmarkStart w:id="97" w:name="_Toc184314433"/>
      <w:bookmarkEnd w:id="97"/>
      <w:bookmarkStart w:id="98" w:name="_Toc184308091"/>
      <w:bookmarkEnd w:id="98"/>
      <w:bookmarkStart w:id="99" w:name="_Toc184314417"/>
      <w:bookmarkEnd w:id="99"/>
      <w:bookmarkStart w:id="100" w:name="_Toc184310342"/>
      <w:bookmarkEnd w:id="100"/>
      <w:bookmarkStart w:id="101" w:name="_Toc184314461"/>
      <w:bookmarkEnd w:id="101"/>
      <w:bookmarkStart w:id="102" w:name="_Toc184314467"/>
      <w:bookmarkEnd w:id="102"/>
      <w:bookmarkStart w:id="103" w:name="_Toc184310277"/>
      <w:bookmarkEnd w:id="103"/>
      <w:bookmarkStart w:id="104" w:name="_Toc184313308"/>
      <w:bookmarkEnd w:id="104"/>
      <w:bookmarkStart w:id="105" w:name="_Toc184308057"/>
      <w:bookmarkEnd w:id="105"/>
      <w:bookmarkStart w:id="106" w:name="_Toc184312099"/>
      <w:bookmarkEnd w:id="106"/>
      <w:bookmarkStart w:id="107" w:name="_Toc184313256"/>
      <w:bookmarkEnd w:id="107"/>
      <w:bookmarkStart w:id="108" w:name="_Toc184314415"/>
      <w:bookmarkEnd w:id="108"/>
      <w:bookmarkStart w:id="109" w:name="_Toc184310297"/>
      <w:bookmarkEnd w:id="109"/>
      <w:bookmarkStart w:id="110" w:name="_Toc184314434"/>
      <w:bookmarkEnd w:id="110"/>
      <w:bookmarkStart w:id="111" w:name="_Toc184313245"/>
      <w:bookmarkEnd w:id="111"/>
      <w:bookmarkStart w:id="112" w:name="_Toc184308059"/>
      <w:bookmarkEnd w:id="112"/>
      <w:bookmarkStart w:id="113" w:name="_Toc184313264"/>
      <w:bookmarkEnd w:id="113"/>
      <w:bookmarkStart w:id="114" w:name="_Toc184313259"/>
      <w:bookmarkEnd w:id="114"/>
      <w:bookmarkStart w:id="115" w:name="_Toc184308071"/>
      <w:bookmarkEnd w:id="115"/>
      <w:bookmarkStart w:id="116" w:name="_Toc184312127"/>
      <w:bookmarkEnd w:id="116"/>
      <w:bookmarkStart w:id="117" w:name="_Toc184314442"/>
      <w:bookmarkEnd w:id="117"/>
      <w:bookmarkStart w:id="118" w:name="_Toc184313239"/>
      <w:bookmarkEnd w:id="118"/>
      <w:bookmarkStart w:id="119" w:name="_Toc184314460"/>
      <w:bookmarkEnd w:id="119"/>
      <w:bookmarkStart w:id="120" w:name="_Toc184313266"/>
      <w:bookmarkEnd w:id="120"/>
      <w:bookmarkStart w:id="121" w:name="_Toc184312111"/>
      <w:bookmarkEnd w:id="121"/>
      <w:bookmarkStart w:id="122" w:name="_Toc184312073"/>
      <w:bookmarkEnd w:id="122"/>
      <w:bookmarkStart w:id="123" w:name="_Toc184314445"/>
      <w:bookmarkEnd w:id="123"/>
      <w:bookmarkStart w:id="124" w:name="_Toc184313272"/>
      <w:bookmarkEnd w:id="124"/>
      <w:bookmarkStart w:id="125" w:name="_Toc184308086"/>
      <w:bookmarkEnd w:id="125"/>
      <w:bookmarkStart w:id="126" w:name="_Toc184308042"/>
      <w:bookmarkEnd w:id="126"/>
      <w:bookmarkStart w:id="127" w:name="_Toc184308062"/>
      <w:bookmarkEnd w:id="127"/>
      <w:bookmarkStart w:id="128" w:name="_Toc184308044"/>
      <w:bookmarkEnd w:id="128"/>
      <w:bookmarkStart w:id="129" w:name="_Toc184308094"/>
      <w:bookmarkEnd w:id="129"/>
      <w:bookmarkStart w:id="130" w:name="_Toc184310319"/>
      <w:bookmarkEnd w:id="130"/>
      <w:bookmarkStart w:id="131" w:name="_Toc184312102"/>
      <w:bookmarkEnd w:id="131"/>
      <w:bookmarkStart w:id="132" w:name="_Toc184314425"/>
      <w:bookmarkEnd w:id="132"/>
      <w:bookmarkStart w:id="133" w:name="_Toc184310291"/>
      <w:bookmarkEnd w:id="133"/>
      <w:bookmarkStart w:id="134" w:name="_Toc184313299"/>
      <w:bookmarkEnd w:id="134"/>
      <w:bookmarkStart w:id="135" w:name="_Toc184312084"/>
      <w:bookmarkEnd w:id="135"/>
      <w:bookmarkStart w:id="136" w:name="_Toc184312120"/>
      <w:bookmarkEnd w:id="136"/>
      <w:bookmarkStart w:id="137" w:name="_Toc184308039"/>
      <w:bookmarkEnd w:id="137"/>
      <w:bookmarkStart w:id="138" w:name="_Toc184314478"/>
      <w:bookmarkEnd w:id="138"/>
      <w:bookmarkStart w:id="139" w:name="_Toc184310341"/>
      <w:bookmarkEnd w:id="139"/>
      <w:bookmarkStart w:id="140" w:name="_Toc184310328"/>
      <w:bookmarkEnd w:id="140"/>
      <w:bookmarkStart w:id="141" w:name="_Toc184314447"/>
      <w:bookmarkEnd w:id="141"/>
      <w:bookmarkStart w:id="142" w:name="_Toc184308108"/>
      <w:bookmarkEnd w:id="142"/>
      <w:bookmarkStart w:id="143" w:name="_Toc184312097"/>
      <w:bookmarkEnd w:id="143"/>
      <w:bookmarkStart w:id="144" w:name="_Toc184310274"/>
      <w:bookmarkEnd w:id="144"/>
      <w:bookmarkStart w:id="145" w:name="_Toc184308066"/>
      <w:bookmarkEnd w:id="145"/>
      <w:bookmarkStart w:id="146" w:name="_Toc184310284"/>
      <w:bookmarkEnd w:id="146"/>
      <w:bookmarkStart w:id="147" w:name="_Toc184314479"/>
      <w:bookmarkEnd w:id="147"/>
      <w:bookmarkStart w:id="148" w:name="_Toc184314474"/>
      <w:bookmarkEnd w:id="148"/>
      <w:bookmarkStart w:id="149" w:name="_Toc184313265"/>
      <w:bookmarkEnd w:id="149"/>
      <w:bookmarkStart w:id="150" w:name="_Toc184312093"/>
      <w:bookmarkEnd w:id="150"/>
      <w:bookmarkStart w:id="151" w:name="_Toc184310285"/>
      <w:bookmarkEnd w:id="151"/>
      <w:bookmarkStart w:id="152" w:name="_Toc184308067"/>
      <w:bookmarkEnd w:id="152"/>
      <w:bookmarkStart w:id="153" w:name="_Toc184313261"/>
      <w:bookmarkEnd w:id="153"/>
      <w:bookmarkStart w:id="154" w:name="_Toc184310339"/>
      <w:bookmarkEnd w:id="154"/>
      <w:bookmarkStart w:id="155" w:name="_Toc184308038"/>
      <w:bookmarkEnd w:id="155"/>
      <w:bookmarkStart w:id="156" w:name="_Toc184313301"/>
      <w:bookmarkEnd w:id="156"/>
      <w:bookmarkStart w:id="157" w:name="_Toc184314473"/>
      <w:bookmarkEnd w:id="157"/>
      <w:bookmarkStart w:id="158" w:name="_Toc184308075"/>
      <w:bookmarkEnd w:id="158"/>
      <w:bookmarkStart w:id="159" w:name="_Toc184314431"/>
      <w:bookmarkEnd w:id="159"/>
      <w:bookmarkStart w:id="160" w:name="_Toc184312075"/>
      <w:bookmarkEnd w:id="160"/>
      <w:bookmarkStart w:id="161" w:name="_Toc184310316"/>
      <w:bookmarkEnd w:id="161"/>
      <w:bookmarkStart w:id="162" w:name="_Toc184310279"/>
      <w:bookmarkEnd w:id="162"/>
      <w:bookmarkStart w:id="163" w:name="_Toc184308089"/>
      <w:bookmarkEnd w:id="163"/>
      <w:bookmarkStart w:id="164" w:name="_Toc184314477"/>
      <w:bookmarkEnd w:id="164"/>
      <w:bookmarkStart w:id="165" w:name="_Toc184310290"/>
      <w:bookmarkEnd w:id="165"/>
      <w:bookmarkStart w:id="166" w:name="_Toc184313243"/>
      <w:bookmarkEnd w:id="166"/>
      <w:bookmarkStart w:id="167" w:name="_Toc184312081"/>
      <w:bookmarkEnd w:id="167"/>
      <w:bookmarkStart w:id="168" w:name="_Toc184310326"/>
      <w:bookmarkEnd w:id="168"/>
      <w:bookmarkStart w:id="169" w:name="_Toc184313294"/>
      <w:bookmarkEnd w:id="169"/>
      <w:bookmarkStart w:id="170" w:name="_Toc184313246"/>
      <w:bookmarkEnd w:id="170"/>
      <w:bookmarkStart w:id="171" w:name="_Toc184314418"/>
      <w:bookmarkEnd w:id="171"/>
      <w:bookmarkStart w:id="172" w:name="_Toc184314470"/>
      <w:bookmarkEnd w:id="172"/>
      <w:bookmarkStart w:id="173" w:name="_Toc184313254"/>
      <w:bookmarkEnd w:id="173"/>
      <w:bookmarkStart w:id="174" w:name="_Toc184308079"/>
      <w:bookmarkEnd w:id="174"/>
      <w:bookmarkStart w:id="175" w:name="_Toc184310278"/>
      <w:bookmarkEnd w:id="175"/>
      <w:bookmarkStart w:id="176" w:name="_Toc184310337"/>
      <w:bookmarkEnd w:id="176"/>
      <w:bookmarkStart w:id="177" w:name="_Toc184310314"/>
      <w:bookmarkEnd w:id="177"/>
      <w:bookmarkStart w:id="178" w:name="_Toc184310301"/>
      <w:bookmarkEnd w:id="178"/>
      <w:bookmarkStart w:id="179" w:name="_Toc184310333"/>
      <w:bookmarkEnd w:id="179"/>
      <w:bookmarkStart w:id="180" w:name="_Toc184312072"/>
      <w:bookmarkEnd w:id="180"/>
      <w:bookmarkStart w:id="181" w:name="_Toc184314432"/>
      <w:bookmarkEnd w:id="181"/>
      <w:bookmarkStart w:id="182" w:name="_Toc184312082"/>
      <w:bookmarkEnd w:id="182"/>
      <w:bookmarkStart w:id="183" w:name="_Toc184313291"/>
      <w:bookmarkEnd w:id="183"/>
      <w:bookmarkStart w:id="184" w:name="_Toc184312124"/>
      <w:bookmarkEnd w:id="184"/>
      <w:bookmarkStart w:id="185" w:name="_Toc184308070"/>
      <w:bookmarkEnd w:id="185"/>
      <w:bookmarkStart w:id="186" w:name="_Toc184308069"/>
      <w:bookmarkEnd w:id="186"/>
      <w:bookmarkStart w:id="187" w:name="_Toc184310311"/>
      <w:bookmarkEnd w:id="187"/>
      <w:bookmarkStart w:id="188" w:name="_Toc184308060"/>
      <w:bookmarkEnd w:id="188"/>
      <w:bookmarkStart w:id="189" w:name="_Toc184310302"/>
      <w:bookmarkEnd w:id="189"/>
      <w:bookmarkStart w:id="190" w:name="_Toc184312122"/>
      <w:bookmarkEnd w:id="190"/>
      <w:bookmarkStart w:id="191" w:name="_Toc184313249"/>
      <w:bookmarkEnd w:id="191"/>
      <w:bookmarkStart w:id="192" w:name="_Toc184313240"/>
      <w:bookmarkEnd w:id="192"/>
      <w:bookmarkStart w:id="193" w:name="_Toc184314422"/>
      <w:bookmarkEnd w:id="193"/>
      <w:bookmarkStart w:id="194" w:name="_Toc184314455"/>
      <w:bookmarkEnd w:id="194"/>
      <w:bookmarkStart w:id="195" w:name="_Toc184314441"/>
      <w:bookmarkEnd w:id="195"/>
      <w:bookmarkStart w:id="196" w:name="_Toc184308072"/>
      <w:bookmarkEnd w:id="196"/>
      <w:bookmarkStart w:id="197" w:name="_Toc184314464"/>
      <w:bookmarkEnd w:id="197"/>
      <w:bookmarkStart w:id="198" w:name="_Toc184308065"/>
      <w:bookmarkEnd w:id="198"/>
      <w:bookmarkStart w:id="199" w:name="_Toc184310321"/>
      <w:bookmarkEnd w:id="199"/>
      <w:bookmarkStart w:id="200" w:name="_Toc184308073"/>
      <w:bookmarkEnd w:id="200"/>
      <w:bookmarkStart w:id="201" w:name="_Toc184313270"/>
      <w:bookmarkEnd w:id="201"/>
      <w:bookmarkStart w:id="202" w:name="_Toc184314410"/>
      <w:bookmarkEnd w:id="202"/>
      <w:bookmarkStart w:id="203" w:name="_Toc184308096"/>
      <w:bookmarkEnd w:id="203"/>
      <w:bookmarkStart w:id="204" w:name="_Toc184310329"/>
      <w:bookmarkEnd w:id="204"/>
      <w:bookmarkStart w:id="205" w:name="_Toc184312126"/>
      <w:bookmarkEnd w:id="205"/>
      <w:bookmarkStart w:id="206" w:name="_Toc184308098"/>
      <w:bookmarkEnd w:id="206"/>
      <w:bookmarkStart w:id="207" w:name="_Toc184314480"/>
      <w:bookmarkEnd w:id="207"/>
      <w:bookmarkStart w:id="208" w:name="_Toc184310315"/>
      <w:bookmarkEnd w:id="208"/>
      <w:bookmarkStart w:id="209" w:name="_Toc184314446"/>
      <w:bookmarkEnd w:id="209"/>
      <w:bookmarkStart w:id="210" w:name="_Toc184308077"/>
      <w:bookmarkEnd w:id="210"/>
      <w:bookmarkStart w:id="211" w:name="_Toc184308107"/>
      <w:bookmarkEnd w:id="211"/>
      <w:bookmarkStart w:id="212" w:name="_Toc184314481"/>
      <w:bookmarkEnd w:id="212"/>
      <w:bookmarkStart w:id="213" w:name="_Toc184313280"/>
      <w:bookmarkEnd w:id="213"/>
      <w:bookmarkStart w:id="214" w:name="_Toc184310309"/>
      <w:bookmarkEnd w:id="214"/>
      <w:bookmarkStart w:id="215" w:name="_Toc184310280"/>
      <w:bookmarkEnd w:id="215"/>
      <w:bookmarkStart w:id="216" w:name="_Toc184313253"/>
      <w:bookmarkEnd w:id="216"/>
      <w:bookmarkStart w:id="217" w:name="_Toc184314435"/>
      <w:bookmarkEnd w:id="217"/>
      <w:bookmarkStart w:id="218" w:name="_Toc184310338"/>
      <w:bookmarkEnd w:id="218"/>
      <w:bookmarkStart w:id="219" w:name="_Toc184310294"/>
      <w:bookmarkEnd w:id="219"/>
      <w:bookmarkStart w:id="220" w:name="_Toc184312131"/>
      <w:bookmarkEnd w:id="220"/>
      <w:bookmarkStart w:id="221" w:name="_Toc184313247"/>
      <w:bookmarkEnd w:id="221"/>
      <w:bookmarkStart w:id="222" w:name="_Toc184313290"/>
      <w:bookmarkEnd w:id="222"/>
      <w:bookmarkStart w:id="223" w:name="_Toc184308078"/>
      <w:bookmarkEnd w:id="223"/>
      <w:bookmarkStart w:id="224" w:name="_Toc184310307"/>
      <w:bookmarkEnd w:id="224"/>
      <w:bookmarkStart w:id="225" w:name="_Toc184312133"/>
      <w:bookmarkEnd w:id="225"/>
      <w:bookmarkStart w:id="226" w:name="_Toc184310330"/>
      <w:bookmarkEnd w:id="226"/>
      <w:bookmarkStart w:id="227" w:name="_Toc184312090"/>
      <w:bookmarkEnd w:id="227"/>
      <w:bookmarkStart w:id="228" w:name="_Toc184313279"/>
      <w:bookmarkEnd w:id="228"/>
      <w:bookmarkStart w:id="229" w:name="_Toc184312128"/>
      <w:bookmarkEnd w:id="229"/>
      <w:bookmarkStart w:id="230" w:name="_Toc184310306"/>
      <w:bookmarkEnd w:id="230"/>
      <w:bookmarkStart w:id="231" w:name="_Toc184308095"/>
      <w:bookmarkEnd w:id="231"/>
      <w:bookmarkStart w:id="232" w:name="_Toc184308076"/>
      <w:bookmarkEnd w:id="232"/>
      <w:bookmarkStart w:id="233" w:name="_Toc184308058"/>
      <w:bookmarkEnd w:id="233"/>
      <w:bookmarkStart w:id="234" w:name="_Toc184312118"/>
      <w:bookmarkEnd w:id="234"/>
      <w:bookmarkStart w:id="235" w:name="_Toc184308101"/>
      <w:bookmarkEnd w:id="235"/>
      <w:bookmarkStart w:id="236" w:name="_Toc184308047"/>
      <w:bookmarkEnd w:id="236"/>
      <w:bookmarkStart w:id="237" w:name="_Toc184314437"/>
      <w:bookmarkEnd w:id="237"/>
      <w:bookmarkStart w:id="238" w:name="_Toc184313250"/>
      <w:bookmarkEnd w:id="238"/>
      <w:bookmarkStart w:id="239" w:name="_Toc184308097"/>
      <w:bookmarkEnd w:id="239"/>
      <w:bookmarkStart w:id="240" w:name="_Toc184313302"/>
      <w:bookmarkEnd w:id="240"/>
      <w:bookmarkStart w:id="241" w:name="_Toc184313276"/>
      <w:bookmarkEnd w:id="241"/>
      <w:bookmarkStart w:id="242" w:name="_Toc184313305"/>
      <w:bookmarkEnd w:id="242"/>
      <w:bookmarkStart w:id="243" w:name="_Toc184310313"/>
      <w:bookmarkEnd w:id="243"/>
      <w:bookmarkStart w:id="244" w:name="_Toc184312137"/>
      <w:bookmarkEnd w:id="244"/>
      <w:bookmarkStart w:id="245" w:name="_Toc184313304"/>
      <w:bookmarkEnd w:id="245"/>
      <w:bookmarkStart w:id="246" w:name="_Toc184314448"/>
      <w:bookmarkEnd w:id="246"/>
      <w:bookmarkStart w:id="247" w:name="_Toc184314469"/>
      <w:bookmarkEnd w:id="247"/>
      <w:bookmarkStart w:id="248" w:name="_Toc184310300"/>
      <w:bookmarkEnd w:id="248"/>
      <w:bookmarkStart w:id="249" w:name="_Toc184310273"/>
      <w:bookmarkEnd w:id="249"/>
      <w:bookmarkStart w:id="250" w:name="_Toc184312109"/>
      <w:bookmarkEnd w:id="250"/>
      <w:bookmarkStart w:id="251" w:name="_Toc184308093"/>
      <w:bookmarkEnd w:id="251"/>
      <w:bookmarkStart w:id="252" w:name="_Toc184314430"/>
      <w:bookmarkEnd w:id="252"/>
      <w:bookmarkStart w:id="253" w:name="_Toc184308037"/>
      <w:bookmarkEnd w:id="253"/>
      <w:bookmarkStart w:id="254" w:name="_Toc184313310"/>
      <w:bookmarkEnd w:id="254"/>
      <w:bookmarkStart w:id="255" w:name="_Toc184308053"/>
      <w:bookmarkEnd w:id="255"/>
      <w:bookmarkStart w:id="256" w:name="_Toc184310320"/>
      <w:bookmarkEnd w:id="256"/>
      <w:bookmarkStart w:id="257" w:name="_Toc184314412"/>
      <w:bookmarkEnd w:id="257"/>
      <w:bookmarkStart w:id="258" w:name="_Toc184313241"/>
      <w:bookmarkEnd w:id="258"/>
      <w:bookmarkStart w:id="259" w:name="_Toc184313273"/>
      <w:bookmarkEnd w:id="259"/>
      <w:bookmarkStart w:id="260" w:name="_Toc184310281"/>
      <w:bookmarkEnd w:id="260"/>
      <w:bookmarkStart w:id="261" w:name="_Toc184308084"/>
      <w:bookmarkEnd w:id="261"/>
      <w:bookmarkStart w:id="262" w:name="_Toc184313309"/>
      <w:bookmarkEnd w:id="262"/>
      <w:bookmarkStart w:id="263" w:name="_Toc184312103"/>
      <w:bookmarkEnd w:id="263"/>
      <w:bookmarkStart w:id="264" w:name="_Toc184312114"/>
      <w:bookmarkEnd w:id="264"/>
      <w:bookmarkStart w:id="265" w:name="_Toc184308046"/>
      <w:bookmarkEnd w:id="265"/>
      <w:bookmarkStart w:id="266" w:name="_Toc184310293"/>
      <w:bookmarkEnd w:id="266"/>
      <w:bookmarkStart w:id="267" w:name="_Toc184312105"/>
      <w:bookmarkEnd w:id="267"/>
      <w:bookmarkStart w:id="268" w:name="_Toc184313255"/>
      <w:bookmarkEnd w:id="268"/>
      <w:bookmarkStart w:id="269" w:name="_Toc184310286"/>
      <w:bookmarkEnd w:id="269"/>
      <w:bookmarkStart w:id="270" w:name="_Toc184310332"/>
      <w:bookmarkEnd w:id="270"/>
      <w:bookmarkStart w:id="271" w:name="_Toc184314471"/>
      <w:bookmarkEnd w:id="271"/>
      <w:bookmarkStart w:id="272" w:name="_Toc184314426"/>
      <w:bookmarkEnd w:id="272"/>
      <w:bookmarkStart w:id="273" w:name="_Toc184308049"/>
      <w:bookmarkEnd w:id="273"/>
      <w:bookmarkStart w:id="274" w:name="_Toc184312134"/>
      <w:bookmarkEnd w:id="274"/>
      <w:bookmarkStart w:id="275" w:name="_Toc184312132"/>
      <w:bookmarkEnd w:id="275"/>
      <w:bookmarkStart w:id="276" w:name="_Toc184310295"/>
      <w:bookmarkEnd w:id="276"/>
      <w:bookmarkStart w:id="277" w:name="_Toc184310304"/>
      <w:bookmarkEnd w:id="277"/>
      <w:bookmarkStart w:id="278" w:name="_Toc184313268"/>
      <w:bookmarkEnd w:id="278"/>
      <w:bookmarkStart w:id="279" w:name="_Toc184314475"/>
      <w:bookmarkEnd w:id="279"/>
      <w:bookmarkStart w:id="280" w:name="_Toc184308052"/>
      <w:bookmarkEnd w:id="280"/>
      <w:bookmarkStart w:id="281" w:name="_Toc184314429"/>
      <w:bookmarkEnd w:id="281"/>
      <w:bookmarkStart w:id="282" w:name="_Toc184312070"/>
      <w:bookmarkEnd w:id="282"/>
      <w:bookmarkStart w:id="283" w:name="_Toc184314465"/>
      <w:bookmarkEnd w:id="283"/>
      <w:bookmarkStart w:id="284" w:name="_Toc184312117"/>
      <w:bookmarkEnd w:id="284"/>
      <w:bookmarkStart w:id="285" w:name="_Toc184310325"/>
      <w:bookmarkEnd w:id="285"/>
      <w:bookmarkStart w:id="286" w:name="_Toc184313269"/>
      <w:bookmarkEnd w:id="286"/>
      <w:bookmarkStart w:id="287" w:name="_Toc184308085"/>
      <w:bookmarkEnd w:id="287"/>
      <w:bookmarkStart w:id="288" w:name="_Toc184308050"/>
      <w:bookmarkEnd w:id="288"/>
      <w:bookmarkStart w:id="289" w:name="_Toc184312087"/>
      <w:bookmarkEnd w:id="289"/>
      <w:bookmarkStart w:id="290" w:name="_Toc184313283"/>
      <w:bookmarkEnd w:id="290"/>
      <w:bookmarkStart w:id="291" w:name="_Toc184312107"/>
      <w:bookmarkEnd w:id="291"/>
      <w:bookmarkStart w:id="292" w:name="_Toc184313271"/>
      <w:bookmarkEnd w:id="292"/>
      <w:bookmarkStart w:id="293" w:name="_Toc184312113"/>
      <w:bookmarkEnd w:id="293"/>
      <w:bookmarkStart w:id="294" w:name="_Toc184312116"/>
      <w:bookmarkEnd w:id="294"/>
      <w:bookmarkStart w:id="295" w:name="_Toc184308088"/>
      <w:bookmarkEnd w:id="295"/>
      <w:bookmarkStart w:id="296" w:name="_Toc184313252"/>
      <w:bookmarkEnd w:id="296"/>
      <w:bookmarkStart w:id="297" w:name="_Toc184312130"/>
      <w:bookmarkEnd w:id="297"/>
      <w:bookmarkStart w:id="298" w:name="_Toc184312101"/>
      <w:bookmarkEnd w:id="298"/>
      <w:bookmarkStart w:id="299" w:name="_Toc184314423"/>
      <w:bookmarkEnd w:id="299"/>
      <w:bookmarkStart w:id="300" w:name="_Toc184308102"/>
      <w:bookmarkEnd w:id="300"/>
      <w:bookmarkStart w:id="301" w:name="_Toc184313298"/>
      <w:bookmarkEnd w:id="301"/>
      <w:bookmarkStart w:id="302" w:name="_Toc184308082"/>
      <w:bookmarkEnd w:id="302"/>
      <w:bookmarkStart w:id="303" w:name="_Toc184312110"/>
      <w:bookmarkEnd w:id="303"/>
      <w:bookmarkStart w:id="304" w:name="_Toc184312088"/>
      <w:bookmarkEnd w:id="304"/>
      <w:bookmarkStart w:id="305" w:name="_Toc184310308"/>
      <w:bookmarkEnd w:id="305"/>
      <w:bookmarkStart w:id="306" w:name="_Toc184312096"/>
      <w:bookmarkEnd w:id="306"/>
      <w:bookmarkStart w:id="307" w:name="_Toc184313284"/>
      <w:bookmarkEnd w:id="307"/>
      <w:bookmarkStart w:id="308" w:name="_Toc184312094"/>
      <w:bookmarkEnd w:id="308"/>
      <w:bookmarkStart w:id="309" w:name="_Toc184308068"/>
      <w:bookmarkEnd w:id="309"/>
      <w:bookmarkStart w:id="310" w:name="_Toc184308063"/>
      <w:bookmarkEnd w:id="310"/>
      <w:bookmarkStart w:id="311" w:name="_Toc184308045"/>
      <w:bookmarkEnd w:id="311"/>
      <w:bookmarkStart w:id="312" w:name="_Toc184313292"/>
      <w:bookmarkEnd w:id="312"/>
      <w:bookmarkStart w:id="313" w:name="_Toc184312115"/>
      <w:bookmarkEnd w:id="313"/>
      <w:bookmarkStart w:id="314" w:name="_Toc184313287"/>
      <w:bookmarkEnd w:id="314"/>
      <w:bookmarkStart w:id="315" w:name="_Toc184313248"/>
      <w:bookmarkEnd w:id="315"/>
      <w:bookmarkStart w:id="316" w:name="_Toc184312119"/>
      <w:bookmarkEnd w:id="316"/>
      <w:bookmarkStart w:id="317" w:name="_Toc184313275"/>
      <w:bookmarkEnd w:id="317"/>
      <w:bookmarkStart w:id="318" w:name="_Toc184310343"/>
      <w:bookmarkEnd w:id="318"/>
      <w:bookmarkStart w:id="319" w:name="_Toc184314451"/>
      <w:bookmarkEnd w:id="319"/>
      <w:bookmarkStart w:id="320" w:name="_Toc184312135"/>
      <w:bookmarkEnd w:id="320"/>
      <w:bookmarkStart w:id="321" w:name="_Toc184314438"/>
      <w:bookmarkEnd w:id="321"/>
      <w:bookmarkStart w:id="322" w:name="_Toc184310292"/>
      <w:bookmarkEnd w:id="322"/>
      <w:bookmarkStart w:id="323" w:name="_Toc184310282"/>
      <w:bookmarkEnd w:id="323"/>
      <w:bookmarkStart w:id="324" w:name="_Toc184313281"/>
      <w:bookmarkEnd w:id="324"/>
      <w:bookmarkStart w:id="325" w:name="_Toc184308104"/>
      <w:bookmarkEnd w:id="325"/>
      <w:bookmarkStart w:id="326" w:name="_Toc184310305"/>
      <w:bookmarkEnd w:id="326"/>
      <w:bookmarkStart w:id="327" w:name="_Toc184308043"/>
      <w:bookmarkEnd w:id="327"/>
      <w:bookmarkStart w:id="328" w:name="_Toc184314466"/>
      <w:bookmarkEnd w:id="328"/>
      <w:bookmarkStart w:id="329" w:name="_Toc184314440"/>
      <w:bookmarkEnd w:id="329"/>
      <w:bookmarkStart w:id="330" w:name="_Toc184312091"/>
      <w:bookmarkEnd w:id="330"/>
      <w:bookmarkStart w:id="331" w:name="_Toc184314414"/>
      <w:bookmarkEnd w:id="331"/>
      <w:bookmarkStart w:id="332" w:name="_Toc184310335"/>
      <w:bookmarkEnd w:id="332"/>
      <w:bookmarkStart w:id="333" w:name="_Toc184314450"/>
      <w:bookmarkEnd w:id="333"/>
      <w:bookmarkStart w:id="334" w:name="_Toc184312083"/>
      <w:bookmarkEnd w:id="334"/>
      <w:bookmarkStart w:id="335" w:name="_Toc184314476"/>
      <w:bookmarkEnd w:id="335"/>
      <w:bookmarkStart w:id="336" w:name="_Toc184313288"/>
      <w:bookmarkEnd w:id="336"/>
      <w:bookmarkStart w:id="337" w:name="_Toc184314421"/>
      <w:bookmarkEnd w:id="337"/>
      <w:bookmarkStart w:id="338" w:name="_Toc184313242"/>
      <w:bookmarkEnd w:id="338"/>
      <w:bookmarkStart w:id="339" w:name="_Toc184310296"/>
      <w:bookmarkEnd w:id="339"/>
      <w:bookmarkStart w:id="340" w:name="_Toc184314413"/>
      <w:bookmarkEnd w:id="340"/>
      <w:bookmarkStart w:id="341" w:name="_Toc184314424"/>
      <w:bookmarkEnd w:id="341"/>
      <w:bookmarkStart w:id="342" w:name="_Toc184310334"/>
      <w:bookmarkEnd w:id="342"/>
      <w:bookmarkStart w:id="343" w:name="_Toc184314472"/>
      <w:bookmarkEnd w:id="343"/>
      <w:bookmarkStart w:id="344" w:name="_Toc184310299"/>
      <w:bookmarkEnd w:id="344"/>
      <w:bookmarkStart w:id="345" w:name="_Toc184310283"/>
      <w:bookmarkEnd w:id="345"/>
      <w:bookmarkStart w:id="346" w:name="_Toc184314428"/>
      <w:bookmarkEnd w:id="346"/>
      <w:bookmarkStart w:id="347" w:name="_Toc184313263"/>
      <w:bookmarkEnd w:id="347"/>
      <w:bookmarkStart w:id="348" w:name="_Toc184313303"/>
      <w:bookmarkEnd w:id="348"/>
      <w:bookmarkStart w:id="349" w:name="_Toc184313277"/>
      <w:bookmarkEnd w:id="349"/>
      <w:bookmarkStart w:id="350" w:name="_Toc184314436"/>
      <w:bookmarkEnd w:id="350"/>
      <w:bookmarkStart w:id="351" w:name="_Toc184314449"/>
      <w:bookmarkEnd w:id="351"/>
      <w:bookmarkStart w:id="352" w:name="_Toc184312139"/>
      <w:bookmarkEnd w:id="352"/>
      <w:bookmarkStart w:id="353" w:name="_Toc184312067"/>
      <w:bookmarkEnd w:id="353"/>
      <w:bookmarkStart w:id="354" w:name="_Toc184308099"/>
      <w:bookmarkEnd w:id="354"/>
      <w:bookmarkStart w:id="355" w:name="_Toc184313285"/>
      <w:bookmarkEnd w:id="355"/>
      <w:bookmarkStart w:id="356" w:name="_Toc184313251"/>
      <w:bookmarkEnd w:id="356"/>
      <w:bookmarkStart w:id="357" w:name="_Toc184313295"/>
      <w:bookmarkEnd w:id="357"/>
      <w:bookmarkStart w:id="358" w:name="_Toc184310288"/>
      <w:bookmarkEnd w:id="358"/>
      <w:bookmarkStart w:id="359" w:name="_Toc184310289"/>
      <w:bookmarkEnd w:id="359"/>
      <w:bookmarkStart w:id="360" w:name="_Toc184310340"/>
      <w:bookmarkEnd w:id="360"/>
      <w:bookmarkStart w:id="361" w:name="_Toc184313238"/>
      <w:bookmarkEnd w:id="361"/>
      <w:bookmarkStart w:id="362" w:name="_Toc184314444"/>
      <w:bookmarkEnd w:id="362"/>
      <w:bookmarkStart w:id="363" w:name="_Toc184312085"/>
      <w:bookmarkEnd w:id="363"/>
      <w:bookmarkStart w:id="364" w:name="_Toc184312125"/>
      <w:bookmarkEnd w:id="364"/>
      <w:bookmarkStart w:id="365" w:name="_Toc184312136"/>
      <w:bookmarkEnd w:id="365"/>
      <w:bookmarkStart w:id="366" w:name="_Toc184312069"/>
      <w:bookmarkEnd w:id="366"/>
      <w:bookmarkStart w:id="367" w:name="_Toc184312138"/>
      <w:bookmarkEnd w:id="367"/>
      <w:bookmarkStart w:id="368" w:name="_Toc184310322"/>
      <w:bookmarkEnd w:id="368"/>
      <w:bookmarkStart w:id="369" w:name="_Toc184313244"/>
      <w:bookmarkEnd w:id="369"/>
      <w:bookmarkStart w:id="370" w:name="_Toc184314452"/>
      <w:bookmarkEnd w:id="370"/>
      <w:bookmarkStart w:id="371" w:name="_Toc184313274"/>
      <w:bookmarkEnd w:id="371"/>
      <w:bookmarkStart w:id="372" w:name="_Toc184313262"/>
      <w:bookmarkEnd w:id="372"/>
      <w:bookmarkStart w:id="373" w:name="_Toc184313282"/>
      <w:bookmarkEnd w:id="373"/>
      <w:bookmarkStart w:id="374" w:name="_Toc184312098"/>
      <w:bookmarkEnd w:id="374"/>
      <w:bookmarkStart w:id="375" w:name="_Toc184308054"/>
      <w:bookmarkEnd w:id="375"/>
      <w:bookmarkStart w:id="376" w:name="_Toc184313258"/>
      <w:bookmarkEnd w:id="376"/>
      <w:bookmarkStart w:id="377" w:name="_Toc184314482"/>
      <w:bookmarkEnd w:id="377"/>
      <w:bookmarkStart w:id="378" w:name="_Toc184308051"/>
      <w:bookmarkEnd w:id="378"/>
      <w:bookmarkStart w:id="379" w:name="_Toc184313306"/>
      <w:bookmarkEnd w:id="379"/>
      <w:bookmarkStart w:id="380" w:name="_Toc184308056"/>
      <w:bookmarkEnd w:id="380"/>
      <w:bookmarkStart w:id="381" w:name="_Toc184312079"/>
      <w:bookmarkEnd w:id="381"/>
      <w:bookmarkStart w:id="382" w:name="_Toc184312080"/>
      <w:bookmarkEnd w:id="382"/>
      <w:bookmarkStart w:id="383" w:name="_Toc184314454"/>
      <w:bookmarkEnd w:id="383"/>
      <w:bookmarkStart w:id="384" w:name="_Toc184308074"/>
      <w:bookmarkEnd w:id="384"/>
      <w:bookmarkStart w:id="385" w:name="_Toc184308036"/>
      <w:bookmarkEnd w:id="385"/>
      <w:bookmarkStart w:id="386" w:name="_Toc184314427"/>
      <w:bookmarkEnd w:id="386"/>
      <w:bookmarkStart w:id="387" w:name="_Toc184310336"/>
      <w:bookmarkEnd w:id="387"/>
      <w:bookmarkStart w:id="388" w:name="_Toc184308080"/>
      <w:bookmarkEnd w:id="388"/>
      <w:bookmarkStart w:id="389" w:name="_Toc184313293"/>
      <w:bookmarkEnd w:id="389"/>
      <w:bookmarkStart w:id="390" w:name="_Toc184314456"/>
      <w:bookmarkEnd w:id="390"/>
      <w:bookmarkStart w:id="391" w:name="_Toc184313278"/>
      <w:bookmarkEnd w:id="391"/>
      <w:bookmarkStart w:id="392" w:name="_Toc184313307"/>
      <w:bookmarkEnd w:id="392"/>
      <w:bookmarkStart w:id="393" w:name="_Toc184313297"/>
      <w:bookmarkEnd w:id="393"/>
      <w:bookmarkStart w:id="394" w:name="_Toc184313286"/>
      <w:bookmarkEnd w:id="394"/>
      <w:bookmarkStart w:id="395" w:name="_Toc184313289"/>
      <w:bookmarkEnd w:id="395"/>
      <w:bookmarkStart w:id="396" w:name="_Toc184310298"/>
      <w:bookmarkEnd w:id="396"/>
      <w:bookmarkStart w:id="397" w:name="_Toc184313296"/>
      <w:bookmarkEnd w:id="397"/>
      <w:bookmarkStart w:id="398" w:name="_Toc184310327"/>
      <w:bookmarkEnd w:id="398"/>
      <w:bookmarkStart w:id="399" w:name="_Toc184308092"/>
      <w:bookmarkEnd w:id="399"/>
      <w:bookmarkStart w:id="400" w:name="_Toc184310310"/>
      <w:bookmarkEnd w:id="400"/>
      <w:r>
        <w:rPr>
          <w:rFonts w:hint="eastAsia" w:ascii="宋体" w:hAnsi="宋体" w:cs="宋体"/>
          <w:b/>
          <w:sz w:val="36"/>
          <w:szCs w:val="36"/>
          <w:highlight w:val="none"/>
        </w:rPr>
        <w:t>评标办法</w:t>
      </w:r>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评标办法前附表</w:t>
      </w:r>
    </w:p>
    <w:tbl>
      <w:tblPr>
        <w:tblStyle w:val="62"/>
        <w:tblW w:w="52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623"/>
        <w:gridCol w:w="3776"/>
        <w:gridCol w:w="727"/>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468" w:type="pct"/>
            <w:vAlign w:val="center"/>
          </w:tcPr>
          <w:p>
            <w:pPr>
              <w:spacing w:line="360" w:lineRule="auto"/>
              <w:jc w:val="center"/>
              <w:outlineLvl w:val="0"/>
              <w:rPr>
                <w:rFonts w:hint="eastAsia" w:ascii="宋体" w:hAnsi="宋体" w:eastAsia="宋体" w:cs="宋体"/>
                <w:bCs/>
                <w:sz w:val="24"/>
                <w:szCs w:val="24"/>
                <w:highlight w:val="none"/>
              </w:rPr>
            </w:pPr>
            <w:r>
              <w:rPr>
                <w:rFonts w:hint="eastAsia" w:ascii="宋体" w:hAnsi="宋体" w:eastAsia="宋体" w:cs="宋体"/>
                <w:bCs/>
                <w:sz w:val="24"/>
                <w:szCs w:val="24"/>
                <w:highlight w:val="none"/>
              </w:rPr>
              <w:t>序号</w:t>
            </w:r>
          </w:p>
        </w:tc>
        <w:tc>
          <w:tcPr>
            <w:tcW w:w="3028" w:type="pct"/>
            <w:gridSpan w:val="2"/>
            <w:vAlign w:val="center"/>
          </w:tcPr>
          <w:p>
            <w:pPr>
              <w:spacing w:line="360" w:lineRule="auto"/>
              <w:jc w:val="center"/>
              <w:outlineLvl w:val="0"/>
              <w:rPr>
                <w:rFonts w:hint="eastAsia" w:ascii="宋体" w:hAnsi="宋体" w:eastAsia="宋体" w:cs="宋体"/>
                <w:bCs/>
                <w:sz w:val="24"/>
                <w:szCs w:val="24"/>
                <w:highlight w:val="none"/>
              </w:rPr>
            </w:pPr>
            <w:r>
              <w:rPr>
                <w:rFonts w:hint="eastAsia" w:ascii="宋体" w:hAnsi="宋体" w:eastAsia="宋体" w:cs="宋体"/>
                <w:bCs/>
                <w:sz w:val="24"/>
                <w:szCs w:val="24"/>
                <w:highlight w:val="none"/>
              </w:rPr>
              <w:t>评标标准</w:t>
            </w:r>
          </w:p>
        </w:tc>
        <w:tc>
          <w:tcPr>
            <w:tcW w:w="407" w:type="pct"/>
            <w:vAlign w:val="center"/>
          </w:tcPr>
          <w:p>
            <w:pPr>
              <w:spacing w:line="360" w:lineRule="auto"/>
              <w:outlineLvl w:val="0"/>
              <w:rPr>
                <w:rFonts w:hint="eastAsia" w:ascii="宋体" w:hAnsi="宋体" w:eastAsia="宋体" w:cs="宋体"/>
                <w:bCs/>
                <w:sz w:val="24"/>
                <w:szCs w:val="24"/>
                <w:highlight w:val="none"/>
              </w:rPr>
            </w:pPr>
            <w:r>
              <w:rPr>
                <w:rFonts w:hint="eastAsia" w:ascii="宋体" w:hAnsi="宋体" w:eastAsia="宋体" w:cs="宋体"/>
                <w:bCs/>
                <w:sz w:val="24"/>
                <w:szCs w:val="24"/>
                <w:highlight w:val="none"/>
              </w:rPr>
              <w:t>权重</w:t>
            </w:r>
          </w:p>
        </w:tc>
        <w:tc>
          <w:tcPr>
            <w:tcW w:w="1095" w:type="pct"/>
          </w:tcPr>
          <w:p>
            <w:pPr>
              <w:spacing w:line="360" w:lineRule="auto"/>
              <w:outlineLvl w:val="0"/>
              <w:rPr>
                <w:rFonts w:hint="eastAsia" w:ascii="宋体" w:hAnsi="宋体" w:eastAsia="宋体" w:cs="宋体"/>
                <w:bCs/>
                <w:sz w:val="24"/>
                <w:szCs w:val="24"/>
                <w:highlight w:val="none"/>
              </w:rPr>
            </w:pPr>
            <w:r>
              <w:rPr>
                <w:rFonts w:hint="eastAsia" w:ascii="宋体" w:hAnsi="宋体" w:eastAsia="宋体" w:cs="宋体"/>
                <w:bCs/>
                <w:sz w:val="24"/>
                <w:szCs w:val="24"/>
                <w:highlight w:val="none"/>
              </w:rPr>
              <w:t>投标文件中评标标准相应的商务技术资料目录</w:t>
            </w:r>
            <w:r>
              <w:rPr>
                <w:rFonts w:hint="eastAsia" w:ascii="宋体" w:hAnsi="宋体" w:eastAsia="宋体" w:cs="宋体"/>
                <w:sz w:val="24"/>
                <w:szCs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68" w:type="pct"/>
            <w:vMerge w:val="restart"/>
            <w:vAlign w:val="center"/>
          </w:tcPr>
          <w:p>
            <w:pPr>
              <w:spacing w:line="360" w:lineRule="auto"/>
              <w:jc w:val="center"/>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3028" w:type="pct"/>
            <w:gridSpan w:val="2"/>
            <w:vAlign w:val="center"/>
          </w:tcPr>
          <w:p>
            <w:pPr>
              <w:spacing w:line="360" w:lineRule="auto"/>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投标总体方案的功能实现及设计方案配置合理性等方面与项目对应需求的满足程度等</w:t>
            </w:r>
          </w:p>
        </w:tc>
        <w:tc>
          <w:tcPr>
            <w:tcW w:w="407" w:type="pct"/>
            <w:vAlign w:val="center"/>
          </w:tcPr>
          <w:p>
            <w:pPr>
              <w:spacing w:line="360" w:lineRule="auto"/>
              <w:jc w:val="center"/>
              <w:outlineLvl w:val="0"/>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095" w:type="pct"/>
            <w:vMerge w:val="restart"/>
            <w:vAlign w:val="center"/>
          </w:tcPr>
          <w:p>
            <w:pPr>
              <w:spacing w:line="360" w:lineRule="auto"/>
              <w:jc w:val="center"/>
              <w:outlineLvl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（一）技术</w:t>
            </w:r>
            <w:r>
              <w:rPr>
                <w:rFonts w:hint="eastAsia" w:ascii="宋体" w:hAnsi="宋体" w:eastAsia="宋体" w:cs="宋体"/>
                <w:sz w:val="24"/>
                <w:szCs w:val="24"/>
                <w:highlight w:val="none"/>
                <w:lang w:eastAsia="zh-CN"/>
              </w:rPr>
              <w:t>总体</w:t>
            </w:r>
            <w:r>
              <w:rPr>
                <w:rFonts w:hint="eastAsia" w:ascii="宋体" w:hAnsi="宋体" w:eastAsia="宋体" w:cs="宋体"/>
                <w:sz w:val="24"/>
                <w:szCs w:val="24"/>
                <w:highlight w:val="none"/>
              </w:rPr>
              <w:t>方案</w:t>
            </w:r>
            <w:r>
              <w:rPr>
                <w:rFonts w:hint="eastAsia" w:ascii="宋体" w:hAnsi="宋体" w:eastAsia="宋体" w:cs="宋体"/>
                <w:sz w:val="24"/>
                <w:szCs w:val="24"/>
                <w:highlight w:val="none"/>
                <w:lang w:eastAsia="zh-CN"/>
              </w:rPr>
              <w:t>科学性和完整性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468" w:type="pct"/>
            <w:vMerge w:val="continue"/>
            <w:vAlign w:val="center"/>
          </w:tcPr>
          <w:p>
            <w:pPr>
              <w:spacing w:line="360" w:lineRule="auto"/>
              <w:outlineLvl w:val="0"/>
              <w:rPr>
                <w:highlight w:val="none"/>
              </w:rPr>
            </w:pPr>
          </w:p>
        </w:tc>
        <w:tc>
          <w:tcPr>
            <w:tcW w:w="3028" w:type="pct"/>
            <w:gridSpan w:val="2"/>
            <w:vAlign w:val="center"/>
          </w:tcPr>
          <w:p>
            <w:pPr>
              <w:spacing w:line="360" w:lineRule="auto"/>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对用户现有的政务网络和数据安全现状理解是否全面、详尽、理解，在投标方案中</w:t>
            </w:r>
            <w:r>
              <w:rPr>
                <w:rFonts w:hint="eastAsia" w:ascii="宋体" w:hAnsi="宋体" w:cs="宋体"/>
                <w:sz w:val="24"/>
                <w:szCs w:val="24"/>
                <w:highlight w:val="none"/>
                <w:lang w:eastAsia="zh-CN"/>
              </w:rPr>
              <w:t>对</w:t>
            </w:r>
            <w:r>
              <w:rPr>
                <w:rFonts w:hint="eastAsia" w:ascii="宋体" w:hAnsi="宋体" w:eastAsia="宋体" w:cs="宋体"/>
                <w:sz w:val="24"/>
                <w:szCs w:val="24"/>
                <w:highlight w:val="none"/>
              </w:rPr>
              <w:t>提供网络拓扑、网络设备和安全设备信息等情况介绍</w:t>
            </w:r>
          </w:p>
        </w:tc>
        <w:tc>
          <w:tcPr>
            <w:tcW w:w="407" w:type="pct"/>
            <w:vAlign w:val="center"/>
          </w:tcPr>
          <w:p>
            <w:pPr>
              <w:spacing w:line="360" w:lineRule="auto"/>
              <w:jc w:val="center"/>
              <w:outlineLvl w:val="0"/>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8</w:t>
            </w:r>
          </w:p>
        </w:tc>
        <w:tc>
          <w:tcPr>
            <w:tcW w:w="1095" w:type="pct"/>
            <w:vMerge w:val="continue"/>
            <w:vAlign w:val="center"/>
          </w:tcPr>
          <w:p>
            <w:pPr>
              <w:spacing w:line="360" w:lineRule="auto"/>
              <w:outlineLvl w:val="0"/>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468" w:type="pct"/>
            <w:vMerge w:val="continue"/>
            <w:vAlign w:val="center"/>
          </w:tcPr>
          <w:p>
            <w:pPr>
              <w:spacing w:line="360" w:lineRule="auto"/>
              <w:outlineLvl w:val="0"/>
              <w:rPr>
                <w:highlight w:val="none"/>
              </w:rPr>
            </w:pPr>
          </w:p>
        </w:tc>
        <w:tc>
          <w:tcPr>
            <w:tcW w:w="3028" w:type="pct"/>
            <w:gridSpan w:val="2"/>
            <w:vAlign w:val="center"/>
          </w:tcPr>
          <w:p>
            <w:pPr>
              <w:spacing w:line="360" w:lineRule="auto"/>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投标人对项目安全风险、安全需求的理解，结合用户方网络现状、资源分布、安全防护现状等进行阐述，是否完整、切实可行</w:t>
            </w:r>
          </w:p>
        </w:tc>
        <w:tc>
          <w:tcPr>
            <w:tcW w:w="407" w:type="pct"/>
            <w:vAlign w:val="center"/>
          </w:tcPr>
          <w:p>
            <w:pPr>
              <w:spacing w:line="360" w:lineRule="auto"/>
              <w:jc w:val="center"/>
              <w:outlineLvl w:val="0"/>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095" w:type="pct"/>
            <w:vMerge w:val="continue"/>
            <w:vAlign w:val="center"/>
          </w:tcPr>
          <w:p>
            <w:pPr>
              <w:spacing w:line="360" w:lineRule="auto"/>
              <w:outlineLvl w:val="0"/>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3" w:hRule="atLeast"/>
          <w:jc w:val="center"/>
        </w:trPr>
        <w:tc>
          <w:tcPr>
            <w:tcW w:w="468" w:type="pct"/>
            <w:vMerge w:val="restart"/>
            <w:vAlign w:val="center"/>
          </w:tcPr>
          <w:p>
            <w:pPr>
              <w:spacing w:line="360" w:lineRule="auto"/>
              <w:jc w:val="center"/>
              <w:outlineLvl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3028" w:type="pct"/>
            <w:gridSpan w:val="2"/>
            <w:vAlign w:val="center"/>
          </w:tcPr>
          <w:p>
            <w:pPr>
              <w:spacing w:line="360" w:lineRule="auto"/>
              <w:rPr>
                <w:rFonts w:ascii="宋体" w:hAnsi="宋体" w:cs="宋体"/>
                <w:sz w:val="24"/>
                <w:highlight w:val="none"/>
              </w:rPr>
            </w:pPr>
            <w:r>
              <w:rPr>
                <w:rFonts w:hint="eastAsia" w:ascii="宋体" w:hAnsi="宋体" w:cs="宋体"/>
                <w:sz w:val="24"/>
                <w:highlight w:val="none"/>
              </w:rPr>
              <w:t>投标人对招标文件采购需求</w:t>
            </w:r>
            <w:r>
              <w:rPr>
                <w:rFonts w:hint="eastAsia" w:ascii="宋体" w:hAnsi="宋体" w:cs="宋体"/>
                <w:sz w:val="24"/>
                <w:highlight w:val="none"/>
                <w:lang w:eastAsia="zh-CN"/>
              </w:rPr>
              <w:t>“四、采购内容及详细招标参数要求”第一至九项</w:t>
            </w:r>
            <w:r>
              <w:rPr>
                <w:rFonts w:hint="eastAsia" w:ascii="宋体" w:hAnsi="宋体" w:cs="宋体"/>
                <w:sz w:val="24"/>
                <w:highlight w:val="none"/>
              </w:rPr>
              <w:t>技术要求响应情况。</w:t>
            </w:r>
          </w:p>
          <w:p>
            <w:pPr>
              <w:spacing w:line="360" w:lineRule="auto"/>
              <w:rPr>
                <w:rFonts w:ascii="宋体" w:hAnsi="宋体" w:cs="宋体"/>
                <w:sz w:val="24"/>
                <w:highlight w:val="none"/>
              </w:rPr>
            </w:pPr>
            <w:r>
              <w:rPr>
                <w:rFonts w:hint="eastAsia" w:ascii="宋体" w:hAnsi="宋体" w:cs="宋体"/>
                <w:sz w:val="24"/>
                <w:highlight w:val="none"/>
              </w:rPr>
              <w:t>带“★”的重要参数每负偏离1项扣</w:t>
            </w:r>
            <w:r>
              <w:rPr>
                <w:rFonts w:hint="eastAsia" w:ascii="宋体" w:hAnsi="宋体" w:cs="宋体"/>
                <w:sz w:val="24"/>
                <w:highlight w:val="none"/>
                <w:lang w:val="en-US" w:eastAsia="zh-CN"/>
              </w:rPr>
              <w:t>1</w:t>
            </w:r>
            <w:r>
              <w:rPr>
                <w:rFonts w:hint="eastAsia" w:ascii="宋体" w:hAnsi="宋体" w:cs="宋体"/>
                <w:sz w:val="24"/>
                <w:highlight w:val="none"/>
              </w:rPr>
              <w:t>分；其他参数，每负偏离1项扣</w:t>
            </w:r>
            <w:r>
              <w:rPr>
                <w:rFonts w:hint="eastAsia" w:ascii="宋体" w:hAnsi="宋体" w:cs="宋体"/>
                <w:sz w:val="24"/>
                <w:highlight w:val="none"/>
                <w:lang w:val="en-US" w:eastAsia="zh-CN"/>
              </w:rPr>
              <w:t>0.5</w:t>
            </w:r>
            <w:r>
              <w:rPr>
                <w:rFonts w:hint="eastAsia" w:ascii="宋体" w:hAnsi="宋体" w:cs="宋体"/>
                <w:sz w:val="24"/>
                <w:highlight w:val="none"/>
              </w:rPr>
              <w:t>分，扣完为止。</w:t>
            </w:r>
          </w:p>
          <w:p>
            <w:pPr>
              <w:spacing w:line="360" w:lineRule="auto"/>
              <w:rPr>
                <w:rFonts w:hint="default"/>
                <w:highlight w:val="none"/>
                <w:lang w:val="en-US" w:eastAsia="zh-CN"/>
              </w:rPr>
            </w:pPr>
            <w:r>
              <w:rPr>
                <w:rFonts w:hint="eastAsia" w:ascii="宋体" w:hAnsi="宋体" w:cs="宋体"/>
                <w:sz w:val="24"/>
                <w:highlight w:val="none"/>
              </w:rPr>
              <w:t>注：①带“★”的重要参数均须提供相关的证明材料，</w:t>
            </w:r>
            <w:r>
              <w:rPr>
                <w:rFonts w:hint="eastAsia" w:ascii="宋体" w:hAnsi="宋体" w:cs="宋体"/>
                <w:sz w:val="24"/>
                <w:highlight w:val="none"/>
                <w:lang w:eastAsia="zh-CN"/>
              </w:rPr>
              <w:t>不提供的按负偏离扣分</w:t>
            </w:r>
            <w:r>
              <w:rPr>
                <w:rFonts w:hint="eastAsia" w:ascii="宋体" w:hAnsi="宋体" w:cs="宋体"/>
                <w:sz w:val="24"/>
                <w:highlight w:val="none"/>
              </w:rPr>
              <w:t>；②其他参数未按要求提供相关证明材料的，</w:t>
            </w:r>
            <w:r>
              <w:rPr>
                <w:rFonts w:hint="eastAsia" w:ascii="宋体" w:hAnsi="宋体" w:cs="宋体"/>
                <w:sz w:val="24"/>
                <w:highlight w:val="none"/>
                <w:lang w:eastAsia="zh-CN"/>
              </w:rPr>
              <w:t>不提供的按负偏离扣分</w:t>
            </w:r>
            <w:r>
              <w:rPr>
                <w:rFonts w:hint="eastAsia" w:ascii="宋体" w:hAnsi="宋体" w:cs="宋体"/>
                <w:sz w:val="24"/>
                <w:highlight w:val="none"/>
              </w:rPr>
              <w:t>。</w:t>
            </w:r>
          </w:p>
        </w:tc>
        <w:tc>
          <w:tcPr>
            <w:tcW w:w="407" w:type="pct"/>
            <w:vAlign w:val="center"/>
          </w:tcPr>
          <w:p>
            <w:pPr>
              <w:spacing w:line="360" w:lineRule="auto"/>
              <w:jc w:val="center"/>
              <w:outlineLvl w:val="0"/>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12</w:t>
            </w:r>
          </w:p>
        </w:tc>
        <w:tc>
          <w:tcPr>
            <w:tcW w:w="1095" w:type="pct"/>
            <w:vMerge w:val="restart"/>
            <w:vAlign w:val="center"/>
          </w:tcPr>
          <w:p>
            <w:pPr>
              <w:spacing w:line="360" w:lineRule="auto"/>
              <w:jc w:val="center"/>
              <w:outlineLvl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（二）</w:t>
            </w:r>
            <w:r>
              <w:rPr>
                <w:rFonts w:hint="eastAsia" w:ascii="宋体" w:hAnsi="宋体" w:cs="宋体"/>
                <w:sz w:val="24"/>
                <w:szCs w:val="24"/>
                <w:highlight w:val="none"/>
                <w:lang w:eastAsia="zh-CN"/>
              </w:rPr>
              <w:t>功能</w:t>
            </w:r>
            <w:r>
              <w:rPr>
                <w:rFonts w:hint="eastAsia" w:ascii="宋体" w:hAnsi="宋体" w:eastAsia="宋体" w:cs="宋体"/>
                <w:sz w:val="24"/>
                <w:szCs w:val="24"/>
                <w:highlight w:val="none"/>
                <w:lang w:eastAsia="zh-CN"/>
              </w:rPr>
              <w:t>需求的吻合程度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Merge w:val="continue"/>
            <w:vAlign w:val="center"/>
          </w:tcPr>
          <w:p>
            <w:pPr>
              <w:spacing w:line="360" w:lineRule="auto"/>
              <w:rPr>
                <w:highlight w:val="none"/>
              </w:rPr>
            </w:pPr>
          </w:p>
        </w:tc>
        <w:tc>
          <w:tcPr>
            <w:tcW w:w="3028" w:type="pct"/>
            <w:gridSpan w:val="2"/>
            <w:vAlign w:val="center"/>
          </w:tcPr>
          <w:p>
            <w:pPr>
              <w:spacing w:line="360" w:lineRule="auto"/>
              <w:rPr>
                <w:rFonts w:hint="eastAsia" w:ascii="宋体" w:hAnsi="宋体" w:cs="宋体"/>
                <w:sz w:val="24"/>
                <w:highlight w:val="none"/>
                <w:lang w:eastAsia="zh-CN"/>
              </w:rPr>
            </w:pPr>
            <w:r>
              <w:rPr>
                <w:rFonts w:hint="eastAsia" w:ascii="宋体" w:hAnsi="宋体" w:cs="宋体"/>
                <w:sz w:val="24"/>
                <w:highlight w:val="none"/>
                <w:lang w:eastAsia="zh-CN"/>
              </w:rPr>
              <w:t>投标人对招标文件采购需求“四、采购内容及详细招标参数要求”所提供的软件（“数据安全管控分析服务”、“全链路安全监管升级服务”、“风险评估服务”、“密码应用测评”、“攻防演练及应急处置服务”）投标方案是否包含以下内容，方案需最大限度满足系统需求，方案与需求的契合度，对各功能细项进行详细论述。</w:t>
            </w:r>
          </w:p>
          <w:p>
            <w:pPr>
              <w:spacing w:line="360" w:lineRule="auto"/>
              <w:rPr>
                <w:rFonts w:hint="eastAsia" w:ascii="宋体" w:hAnsi="宋体" w:cs="宋体"/>
                <w:sz w:val="24"/>
                <w:highlight w:val="none"/>
                <w:lang w:eastAsia="zh-CN"/>
              </w:rPr>
            </w:pPr>
            <w:r>
              <w:rPr>
                <w:rFonts w:hint="eastAsia" w:ascii="宋体" w:hAnsi="宋体" w:cs="宋体"/>
                <w:sz w:val="24"/>
                <w:highlight w:val="none"/>
                <w:lang w:val="en-US" w:eastAsia="zh-CN"/>
              </w:rPr>
              <w:t>●“数据安全管控分析服务”、“全链路安全监管升级服务”和“攻防演练及应急处置服务”中带</w:t>
            </w:r>
            <w:r>
              <w:rPr>
                <w:rFonts w:hint="eastAsia" w:ascii="宋体" w:hAnsi="宋体" w:cs="宋体"/>
                <w:sz w:val="24"/>
                <w:highlight w:val="none"/>
              </w:rPr>
              <w:t>“★”的</w:t>
            </w:r>
            <w:r>
              <w:rPr>
                <w:rFonts w:hint="eastAsia" w:ascii="宋体" w:hAnsi="宋体" w:cs="宋体"/>
                <w:sz w:val="24"/>
                <w:highlight w:val="none"/>
                <w:lang w:eastAsia="zh-CN"/>
              </w:rPr>
              <w:t>方案阐述是否合理、是否符合采购要求（</w:t>
            </w:r>
            <w:r>
              <w:rPr>
                <w:rFonts w:hint="eastAsia" w:ascii="宋体" w:hAnsi="宋体" w:cs="宋体"/>
                <w:sz w:val="24"/>
                <w:highlight w:val="none"/>
                <w:lang w:val="en-US" w:eastAsia="zh-CN"/>
              </w:rPr>
              <w:t>13分</w:t>
            </w:r>
            <w:r>
              <w:rPr>
                <w:rFonts w:hint="eastAsia" w:ascii="宋体" w:hAnsi="宋体" w:cs="宋体"/>
                <w:sz w:val="24"/>
                <w:highlight w:val="none"/>
                <w:lang w:eastAsia="zh-CN"/>
              </w:rPr>
              <w:t>）；</w:t>
            </w:r>
          </w:p>
          <w:p>
            <w:pPr>
              <w:spacing w:line="360" w:lineRule="auto"/>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“风险评估服务”、“密码应用测评”、“数据安全管控分析服务”、“全链路安全监管升级服务”和“攻防演练及应急处置服务”中其他</w:t>
            </w:r>
            <w:r>
              <w:rPr>
                <w:rFonts w:hint="eastAsia" w:ascii="宋体" w:hAnsi="宋体" w:cs="宋体"/>
                <w:sz w:val="24"/>
                <w:highlight w:val="none"/>
                <w:lang w:eastAsia="zh-CN"/>
              </w:rPr>
              <w:t>方案（指不带</w:t>
            </w:r>
            <w:r>
              <w:rPr>
                <w:rFonts w:hint="eastAsia" w:ascii="宋体" w:hAnsi="宋体" w:cs="宋体"/>
                <w:sz w:val="24"/>
                <w:highlight w:val="none"/>
              </w:rPr>
              <w:t>“★”</w:t>
            </w:r>
            <w:r>
              <w:rPr>
                <w:rFonts w:hint="eastAsia" w:ascii="宋体" w:hAnsi="宋体" w:cs="宋体"/>
                <w:sz w:val="24"/>
                <w:highlight w:val="none"/>
                <w:lang w:eastAsia="zh-CN"/>
              </w:rPr>
              <w:t>的方案）阐述是否合理、是否符合采购要求（</w:t>
            </w:r>
            <w:r>
              <w:rPr>
                <w:rFonts w:hint="eastAsia" w:ascii="宋体" w:hAnsi="宋体" w:cs="宋体"/>
                <w:sz w:val="24"/>
                <w:highlight w:val="none"/>
                <w:lang w:val="en-US" w:eastAsia="zh-CN"/>
              </w:rPr>
              <w:t>7分</w:t>
            </w:r>
            <w:r>
              <w:rPr>
                <w:rFonts w:hint="eastAsia" w:ascii="宋体" w:hAnsi="宋体" w:cs="宋体"/>
                <w:sz w:val="24"/>
                <w:highlight w:val="none"/>
                <w:lang w:eastAsia="zh-CN"/>
              </w:rPr>
              <w:t>）。</w:t>
            </w:r>
          </w:p>
          <w:p>
            <w:pPr>
              <w:spacing w:line="360" w:lineRule="auto"/>
              <w:rPr>
                <w:rFonts w:hint="eastAsia"/>
                <w:highlight w:val="none"/>
                <w:lang w:eastAsia="zh-CN"/>
              </w:rPr>
            </w:pPr>
            <w:r>
              <w:rPr>
                <w:rFonts w:hint="eastAsia" w:ascii="宋体" w:hAnsi="宋体" w:cs="宋体"/>
                <w:b/>
                <w:bCs/>
                <w:sz w:val="24"/>
                <w:szCs w:val="24"/>
                <w:highlight w:val="none"/>
                <w:lang w:val="en-US" w:eastAsia="zh-CN"/>
              </w:rPr>
              <w:t>注：不满足采购需求的或不提供投标方案论述的均不得分。</w:t>
            </w:r>
          </w:p>
        </w:tc>
        <w:tc>
          <w:tcPr>
            <w:tcW w:w="407" w:type="pct"/>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20</w:t>
            </w:r>
          </w:p>
        </w:tc>
        <w:tc>
          <w:tcPr>
            <w:tcW w:w="1095" w:type="pct"/>
            <w:vMerge w:val="continue"/>
            <w:vAlign w:val="center"/>
          </w:tcPr>
          <w:p>
            <w:pPr>
              <w:spacing w:line="360" w:lineRule="auto"/>
              <w:rPr>
                <w:rFonts w:hint="eastAsia" w:ascii="宋体" w:hAnsi="宋体" w:eastAsia="宋体" w:cs="宋体"/>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Merge w:val="restart"/>
            <w:vAlign w:val="center"/>
          </w:tcPr>
          <w:p>
            <w:pPr>
              <w:spacing w:line="360" w:lineRule="auto"/>
              <w:jc w:val="center"/>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3028" w:type="pct"/>
            <w:gridSpan w:val="2"/>
            <w:vAlign w:val="center"/>
          </w:tcPr>
          <w:p>
            <w:pPr>
              <w:tabs>
                <w:tab w:val="left" w:pos="0"/>
              </w:tabs>
              <w:spacing w:line="360" w:lineRule="auto"/>
              <w:jc w:val="left"/>
              <w:rPr>
                <w:rFonts w:hint="eastAsia" w:ascii="宋体" w:hAnsi="宋体" w:eastAsia="宋体" w:cs="宋体"/>
                <w:strike/>
                <w:dstrike w:val="0"/>
                <w:sz w:val="24"/>
                <w:szCs w:val="24"/>
                <w:highlight w:val="none"/>
                <w:lang w:eastAsia="zh-CN"/>
              </w:rPr>
            </w:pPr>
            <w:r>
              <w:rPr>
                <w:rFonts w:hint="eastAsia" w:ascii="宋体" w:hAnsi="宋体" w:eastAsia="宋体" w:cs="宋体"/>
                <w:sz w:val="24"/>
                <w:szCs w:val="24"/>
                <w:highlight w:val="none"/>
              </w:rPr>
              <w:t>● 拟担任本项目经理</w:t>
            </w:r>
            <w:r>
              <w:rPr>
                <w:rFonts w:hint="eastAsia" w:ascii="宋体" w:hAnsi="宋体" w:cs="宋体"/>
                <w:sz w:val="24"/>
                <w:szCs w:val="24"/>
                <w:highlight w:val="none"/>
                <w:lang w:eastAsia="zh-CN"/>
              </w:rPr>
              <w:t>和实施团队</w:t>
            </w:r>
            <w:r>
              <w:rPr>
                <w:rFonts w:hint="eastAsia" w:ascii="宋体" w:hAnsi="宋体" w:eastAsia="宋体" w:cs="宋体"/>
                <w:sz w:val="24"/>
                <w:szCs w:val="24"/>
                <w:highlight w:val="none"/>
              </w:rPr>
              <w:t>的专业素质、技术能力、经验等情况（</w:t>
            </w:r>
            <w:r>
              <w:rPr>
                <w:rFonts w:hint="eastAsia" w:ascii="宋体" w:hAnsi="宋体" w:cs="宋体"/>
                <w:sz w:val="24"/>
                <w:szCs w:val="24"/>
                <w:highlight w:val="none"/>
                <w:lang w:eastAsia="zh-CN"/>
              </w:rPr>
              <w:t>提供人员</w:t>
            </w:r>
            <w:r>
              <w:rPr>
                <w:rFonts w:hint="eastAsia" w:ascii="宋体" w:hAnsi="宋体" w:eastAsia="宋体" w:cs="宋体"/>
                <w:sz w:val="24"/>
                <w:szCs w:val="24"/>
                <w:highlight w:val="none"/>
              </w:rPr>
              <w:t>资质、工作履历、参保证明等）（</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分）；</w:t>
            </w:r>
          </w:p>
        </w:tc>
        <w:tc>
          <w:tcPr>
            <w:tcW w:w="407" w:type="pct"/>
            <w:vAlign w:val="center"/>
          </w:tcPr>
          <w:p>
            <w:pPr>
              <w:tabs>
                <w:tab w:val="left" w:pos="0"/>
              </w:tabs>
              <w:spacing w:line="360" w:lineRule="auto"/>
              <w:jc w:val="center"/>
              <w:rPr>
                <w:rFonts w:hint="eastAsia" w:ascii="宋体" w:hAnsi="宋体" w:eastAsia="宋体" w:cs="宋体"/>
                <w:strike/>
                <w:dstrike w:val="0"/>
                <w:sz w:val="24"/>
                <w:szCs w:val="24"/>
                <w:highlight w:val="none"/>
                <w:lang w:val="en-US" w:eastAsia="zh-CN"/>
              </w:rPr>
            </w:pPr>
            <w:r>
              <w:rPr>
                <w:rFonts w:hint="eastAsia" w:ascii="宋体" w:hAnsi="宋体" w:cs="宋体"/>
                <w:sz w:val="24"/>
                <w:szCs w:val="24"/>
                <w:highlight w:val="none"/>
                <w:lang w:val="en-US" w:eastAsia="zh-CN"/>
              </w:rPr>
              <w:t>2</w:t>
            </w:r>
          </w:p>
        </w:tc>
        <w:tc>
          <w:tcPr>
            <w:tcW w:w="1095" w:type="pct"/>
            <w:vMerge w:val="restart"/>
            <w:vAlign w:val="center"/>
          </w:tcPr>
          <w:p>
            <w:pPr>
              <w:spacing w:line="360" w:lineRule="auto"/>
              <w:jc w:val="center"/>
              <w:outlineLvl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（三）项目组人员素质情况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68" w:type="pct"/>
            <w:vMerge w:val="continue"/>
            <w:vAlign w:val="center"/>
          </w:tcPr>
          <w:p>
            <w:pPr>
              <w:tabs>
                <w:tab w:val="left" w:pos="0"/>
              </w:tabs>
              <w:spacing w:line="360" w:lineRule="auto"/>
              <w:jc w:val="left"/>
              <w:rPr>
                <w:rFonts w:hint="eastAsia" w:ascii="宋体" w:hAnsi="宋体" w:eastAsia="宋体" w:cs="宋体"/>
                <w:sz w:val="24"/>
                <w:szCs w:val="24"/>
                <w:highlight w:val="none"/>
              </w:rPr>
            </w:pPr>
          </w:p>
        </w:tc>
        <w:tc>
          <w:tcPr>
            <w:tcW w:w="3028" w:type="pct"/>
            <w:gridSpan w:val="2"/>
            <w:vAlign w:val="center"/>
          </w:tcPr>
          <w:p>
            <w:pPr>
              <w:tabs>
                <w:tab w:val="left" w:pos="0"/>
              </w:tabs>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kern w:val="0"/>
                <w:sz w:val="24"/>
                <w:szCs w:val="24"/>
                <w:highlight w:val="none"/>
              </w:rPr>
              <w:t>拟担任本项目</w:t>
            </w:r>
            <w:r>
              <w:rPr>
                <w:rFonts w:hint="eastAsia" w:ascii="宋体" w:hAnsi="宋体" w:cs="宋体"/>
                <w:kern w:val="0"/>
                <w:sz w:val="24"/>
                <w:szCs w:val="24"/>
                <w:highlight w:val="none"/>
                <w:lang w:eastAsia="zh-CN"/>
              </w:rPr>
              <w:t>驻场人员</w:t>
            </w:r>
            <w:r>
              <w:rPr>
                <w:rFonts w:hint="eastAsia" w:ascii="宋体" w:hAnsi="宋体" w:cs="宋体"/>
                <w:sz w:val="24"/>
                <w:szCs w:val="24"/>
                <w:highlight w:val="none"/>
                <w:lang w:eastAsia="zh-CN"/>
              </w:rPr>
              <w:t>①</w:t>
            </w:r>
            <w:r>
              <w:rPr>
                <w:rFonts w:hint="eastAsia" w:ascii="宋体" w:hAnsi="宋体" w:eastAsia="宋体" w:cs="宋体"/>
                <w:kern w:val="0"/>
                <w:sz w:val="24"/>
                <w:szCs w:val="24"/>
                <w:highlight w:val="none"/>
              </w:rPr>
              <w:t>人员</w:t>
            </w:r>
            <w:r>
              <w:rPr>
                <w:rFonts w:hint="eastAsia" w:ascii="宋体" w:hAnsi="宋体" w:cs="宋体"/>
                <w:kern w:val="0"/>
                <w:sz w:val="24"/>
                <w:szCs w:val="24"/>
                <w:highlight w:val="none"/>
                <w:lang w:eastAsia="zh-CN"/>
              </w:rPr>
              <w:t>数量是否满足招标文件要求</w:t>
            </w:r>
            <w:r>
              <w:rPr>
                <w:rFonts w:hint="eastAsia" w:ascii="宋体" w:hAnsi="宋体" w:cs="宋体"/>
                <w:kern w:val="0"/>
                <w:sz w:val="24"/>
                <w:szCs w:val="24"/>
                <w:highlight w:val="none"/>
                <w:lang w:val="en-US" w:eastAsia="zh-CN"/>
              </w:rPr>
              <w:t>3名驻场（</w:t>
            </w:r>
            <w:r>
              <w:rPr>
                <w:rFonts w:hint="default" w:ascii="宋体" w:hAnsi="宋体" w:cs="宋体"/>
                <w:kern w:val="0"/>
                <w:sz w:val="24"/>
                <w:szCs w:val="24"/>
                <w:highlight w:val="none"/>
                <w:lang w:val="en-US" w:eastAsia="zh-CN"/>
              </w:rPr>
              <w:t>1</w:t>
            </w:r>
            <w:r>
              <w:rPr>
                <w:rFonts w:hint="eastAsia" w:ascii="宋体" w:hAnsi="宋体" w:cs="宋体"/>
                <w:kern w:val="0"/>
                <w:sz w:val="24"/>
                <w:szCs w:val="24"/>
                <w:highlight w:val="none"/>
                <w:lang w:val="en-US" w:eastAsia="zh-CN"/>
              </w:rPr>
              <w:t>分）；</w:t>
            </w:r>
            <w:r>
              <w:rPr>
                <w:rFonts w:hint="eastAsia" w:ascii="宋体" w:hAnsi="宋体" w:cs="宋体"/>
                <w:sz w:val="24"/>
                <w:szCs w:val="24"/>
                <w:highlight w:val="none"/>
                <w:lang w:eastAsia="zh-CN"/>
              </w:rPr>
              <w:t>②拟担任网络安全人员是否具备在有效期内的CISP认证证书</w:t>
            </w:r>
            <w:r>
              <w:rPr>
                <w:rFonts w:hint="eastAsia" w:ascii="宋体" w:hAnsi="宋体" w:eastAsia="宋体" w:cs="宋体"/>
                <w:kern w:val="0"/>
                <w:sz w:val="24"/>
                <w:szCs w:val="24"/>
                <w:highlight w:val="none"/>
              </w:rPr>
              <w:t>（</w:t>
            </w:r>
            <w:r>
              <w:rPr>
                <w:rFonts w:hint="eastAsia" w:ascii="宋体" w:hAnsi="宋体" w:cs="宋体"/>
                <w:kern w:val="0"/>
                <w:sz w:val="24"/>
                <w:szCs w:val="24"/>
                <w:highlight w:val="none"/>
                <w:lang w:val="en-US" w:eastAsia="zh-CN"/>
              </w:rPr>
              <w:t>2</w:t>
            </w:r>
            <w:r>
              <w:rPr>
                <w:rFonts w:hint="eastAsia" w:ascii="宋体" w:hAnsi="宋体" w:eastAsia="宋体" w:cs="宋体"/>
                <w:kern w:val="0"/>
                <w:sz w:val="24"/>
                <w:szCs w:val="24"/>
                <w:highlight w:val="none"/>
              </w:rPr>
              <w:t>分）</w:t>
            </w:r>
            <w:r>
              <w:rPr>
                <w:rFonts w:hint="eastAsia" w:ascii="宋体" w:hAnsi="宋体" w:cs="宋体"/>
                <w:kern w:val="0"/>
                <w:sz w:val="24"/>
                <w:szCs w:val="24"/>
                <w:highlight w:val="none"/>
                <w:lang w:eastAsia="zh-CN"/>
              </w:rPr>
              <w:t>；</w:t>
            </w:r>
            <w:r>
              <w:rPr>
                <w:rFonts w:hint="eastAsia" w:ascii="宋体" w:hAnsi="宋体" w:eastAsia="宋体" w:cs="宋体"/>
                <w:kern w:val="0"/>
                <w:sz w:val="24"/>
                <w:szCs w:val="24"/>
                <w:highlight w:val="none"/>
                <w:lang w:eastAsia="zh-CN"/>
              </w:rPr>
              <w:t>③</w:t>
            </w:r>
            <w:r>
              <w:rPr>
                <w:rFonts w:hint="eastAsia" w:ascii="宋体" w:hAnsi="宋体" w:cs="宋体"/>
                <w:kern w:val="0"/>
                <w:sz w:val="24"/>
                <w:szCs w:val="24"/>
                <w:highlight w:val="none"/>
                <w:lang w:eastAsia="zh-CN"/>
              </w:rPr>
              <w:t>人员驻场服务是否</w:t>
            </w:r>
            <w:r>
              <w:rPr>
                <w:rFonts w:hint="eastAsia" w:ascii="宋体" w:hAnsi="宋体" w:eastAsia="宋体" w:cs="宋体"/>
                <w:kern w:val="0"/>
                <w:sz w:val="24"/>
                <w:szCs w:val="24"/>
                <w:highlight w:val="none"/>
                <w:lang w:eastAsia="zh-CN"/>
              </w:rPr>
              <w:t>取得原厂深信服、天融信、安恒授权</w:t>
            </w:r>
            <w:r>
              <w:rPr>
                <w:rFonts w:hint="eastAsia" w:ascii="宋体" w:hAnsi="宋体" w:cs="宋体"/>
                <w:kern w:val="0"/>
                <w:sz w:val="24"/>
                <w:szCs w:val="24"/>
                <w:highlight w:val="none"/>
                <w:lang w:eastAsia="zh-CN"/>
              </w:rPr>
              <w:t>的</w:t>
            </w:r>
            <w:r>
              <w:rPr>
                <w:rFonts w:hint="eastAsia" w:ascii="宋体" w:hAnsi="宋体" w:eastAsia="宋体" w:cs="宋体"/>
                <w:kern w:val="0"/>
                <w:sz w:val="24"/>
                <w:szCs w:val="24"/>
                <w:highlight w:val="none"/>
                <w:lang w:eastAsia="zh-CN"/>
              </w:rPr>
              <w:t>技术支持，投标时提供原厂技术支持授权函</w:t>
            </w:r>
            <w:r>
              <w:rPr>
                <w:rFonts w:hint="eastAsia" w:ascii="宋体" w:hAnsi="宋体" w:cs="宋体"/>
                <w:kern w:val="0"/>
                <w:sz w:val="24"/>
                <w:szCs w:val="24"/>
                <w:highlight w:val="none"/>
                <w:lang w:eastAsia="zh-CN"/>
              </w:rPr>
              <w:t>，不提供此项不得分（</w:t>
            </w:r>
            <w:r>
              <w:rPr>
                <w:rFonts w:hint="eastAsia" w:ascii="宋体" w:hAnsi="宋体" w:cs="宋体"/>
                <w:kern w:val="0"/>
                <w:sz w:val="24"/>
                <w:szCs w:val="24"/>
                <w:highlight w:val="none"/>
                <w:lang w:val="en-US" w:eastAsia="zh-CN"/>
              </w:rPr>
              <w:t>2分</w:t>
            </w:r>
            <w:r>
              <w:rPr>
                <w:rFonts w:hint="eastAsia" w:ascii="宋体" w:hAnsi="宋体" w:cs="宋体"/>
                <w:kern w:val="0"/>
                <w:sz w:val="24"/>
                <w:szCs w:val="24"/>
                <w:highlight w:val="none"/>
                <w:lang w:eastAsia="zh-CN"/>
              </w:rPr>
              <w:t>）</w:t>
            </w:r>
            <w:r>
              <w:rPr>
                <w:rFonts w:hint="eastAsia" w:ascii="宋体" w:hAnsi="宋体" w:eastAsia="宋体" w:cs="宋体"/>
                <w:kern w:val="0"/>
                <w:sz w:val="24"/>
                <w:szCs w:val="24"/>
                <w:highlight w:val="none"/>
                <w:lang w:eastAsia="zh-CN"/>
              </w:rPr>
              <w:t>。</w:t>
            </w:r>
          </w:p>
        </w:tc>
        <w:tc>
          <w:tcPr>
            <w:tcW w:w="407" w:type="pct"/>
            <w:vAlign w:val="center"/>
          </w:tcPr>
          <w:p>
            <w:pPr>
              <w:tabs>
                <w:tab w:val="left" w:pos="0"/>
              </w:tabs>
              <w:spacing w:line="360" w:lineRule="auto"/>
              <w:jc w:val="center"/>
              <w:rPr>
                <w:rFonts w:hint="eastAsia" w:eastAsia="宋体"/>
                <w:highlight w:val="none"/>
                <w:lang w:val="en-US" w:eastAsia="zh-CN"/>
              </w:rPr>
            </w:pPr>
            <w:r>
              <w:rPr>
                <w:rFonts w:hint="eastAsia"/>
                <w:highlight w:val="none"/>
                <w:lang w:val="en-US" w:eastAsia="zh-CN"/>
              </w:rPr>
              <w:t>5</w:t>
            </w:r>
          </w:p>
        </w:tc>
        <w:tc>
          <w:tcPr>
            <w:tcW w:w="1095" w:type="pct"/>
            <w:vMerge w:val="continue"/>
            <w:vAlign w:val="center"/>
          </w:tcPr>
          <w:p>
            <w:pPr>
              <w:tabs>
                <w:tab w:val="left" w:pos="0"/>
              </w:tabs>
              <w:spacing w:line="360" w:lineRule="auto"/>
              <w:jc w:val="lef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68" w:type="pct"/>
            <w:vMerge w:val="continue"/>
            <w:vAlign w:val="center"/>
          </w:tcPr>
          <w:p>
            <w:pPr>
              <w:tabs>
                <w:tab w:val="left" w:pos="0"/>
              </w:tabs>
              <w:spacing w:line="360" w:lineRule="auto"/>
              <w:jc w:val="left"/>
              <w:rPr>
                <w:highlight w:val="none"/>
              </w:rPr>
            </w:pPr>
          </w:p>
        </w:tc>
        <w:tc>
          <w:tcPr>
            <w:tcW w:w="3028" w:type="pct"/>
            <w:gridSpan w:val="2"/>
            <w:vAlign w:val="center"/>
          </w:tcPr>
          <w:p>
            <w:pPr>
              <w:tabs>
                <w:tab w:val="left" w:pos="0"/>
              </w:tabs>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cs="宋体"/>
                <w:sz w:val="24"/>
                <w:szCs w:val="24"/>
                <w:highlight w:val="none"/>
                <w:lang w:eastAsia="zh-CN"/>
              </w:rPr>
              <w:t>拟担任</w:t>
            </w:r>
            <w:r>
              <w:rPr>
                <w:rFonts w:hint="eastAsia" w:ascii="宋体" w:hAnsi="宋体" w:cs="宋体"/>
                <w:kern w:val="0"/>
                <w:sz w:val="24"/>
                <w:szCs w:val="24"/>
                <w:highlight w:val="none"/>
                <w:lang w:eastAsia="zh-CN"/>
              </w:rPr>
              <w:t>本项目重保支持服务人员</w:t>
            </w:r>
            <w:r>
              <w:rPr>
                <w:rFonts w:hint="eastAsia" w:ascii="宋体" w:hAnsi="宋体" w:cs="宋体"/>
                <w:sz w:val="24"/>
                <w:szCs w:val="24"/>
                <w:highlight w:val="none"/>
                <w:lang w:eastAsia="zh-CN"/>
              </w:rPr>
              <w:t>①</w:t>
            </w:r>
            <w:r>
              <w:rPr>
                <w:rFonts w:hint="eastAsia" w:ascii="宋体" w:hAnsi="宋体" w:cs="宋体"/>
                <w:kern w:val="0"/>
                <w:sz w:val="24"/>
                <w:szCs w:val="24"/>
                <w:highlight w:val="none"/>
                <w:lang w:eastAsia="zh-CN"/>
              </w:rPr>
              <w:t>是否具备至少3年以上网络技术工作经验（</w:t>
            </w:r>
            <w:r>
              <w:rPr>
                <w:rFonts w:hint="eastAsia" w:ascii="宋体" w:hAnsi="宋体" w:cs="宋体"/>
                <w:kern w:val="0"/>
                <w:sz w:val="24"/>
                <w:szCs w:val="24"/>
                <w:highlight w:val="none"/>
                <w:lang w:val="en-US" w:eastAsia="zh-CN"/>
              </w:rPr>
              <w:t>2分</w:t>
            </w:r>
            <w:r>
              <w:rPr>
                <w:rFonts w:hint="eastAsia" w:ascii="宋体" w:hAnsi="宋体" w:cs="宋体"/>
                <w:kern w:val="0"/>
                <w:sz w:val="24"/>
                <w:szCs w:val="24"/>
                <w:highlight w:val="none"/>
                <w:lang w:eastAsia="zh-CN"/>
              </w:rPr>
              <w:t>）；</w:t>
            </w:r>
            <w:r>
              <w:rPr>
                <w:rFonts w:hint="eastAsia" w:ascii="宋体" w:hAnsi="宋体" w:cs="宋体"/>
                <w:sz w:val="24"/>
                <w:szCs w:val="24"/>
                <w:highlight w:val="none"/>
                <w:lang w:eastAsia="zh-CN"/>
              </w:rPr>
              <w:t>②</w:t>
            </w:r>
            <w:r>
              <w:rPr>
                <w:rFonts w:hint="eastAsia" w:ascii="宋体" w:hAnsi="宋体" w:cs="宋体"/>
                <w:kern w:val="0"/>
                <w:sz w:val="24"/>
                <w:szCs w:val="24"/>
                <w:highlight w:val="none"/>
                <w:lang w:eastAsia="zh-CN"/>
              </w:rPr>
              <w:t>是否提供服务时长保证每年不少于27人天相关承诺（</w:t>
            </w:r>
            <w:r>
              <w:rPr>
                <w:rFonts w:hint="eastAsia" w:ascii="宋体" w:hAnsi="宋体" w:cs="宋体"/>
                <w:kern w:val="0"/>
                <w:sz w:val="24"/>
                <w:szCs w:val="24"/>
                <w:highlight w:val="none"/>
                <w:lang w:val="en-US" w:eastAsia="zh-CN"/>
              </w:rPr>
              <w:t>1分</w:t>
            </w:r>
            <w:r>
              <w:rPr>
                <w:rFonts w:hint="eastAsia" w:ascii="宋体" w:hAnsi="宋体" w:cs="宋体"/>
                <w:kern w:val="0"/>
                <w:sz w:val="24"/>
                <w:szCs w:val="24"/>
                <w:highlight w:val="none"/>
                <w:lang w:eastAsia="zh-CN"/>
              </w:rPr>
              <w:t>）；</w:t>
            </w:r>
          </w:p>
        </w:tc>
        <w:tc>
          <w:tcPr>
            <w:tcW w:w="407" w:type="pct"/>
            <w:vAlign w:val="center"/>
          </w:tcPr>
          <w:p>
            <w:pPr>
              <w:tabs>
                <w:tab w:val="left" w:pos="0"/>
              </w:tabs>
              <w:spacing w:line="360" w:lineRule="auto"/>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1095" w:type="pct"/>
            <w:vMerge w:val="continue"/>
            <w:vAlign w:val="center"/>
          </w:tcPr>
          <w:p>
            <w:pPr>
              <w:tabs>
                <w:tab w:val="left" w:pos="0"/>
              </w:tabs>
              <w:spacing w:line="360" w:lineRule="auto"/>
              <w:jc w:val="lef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468" w:type="pct"/>
            <w:vMerge w:val="restart"/>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3028" w:type="pct"/>
            <w:gridSpan w:val="2"/>
            <w:vAlign w:val="center"/>
          </w:tcPr>
          <w:p>
            <w:pPr>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GB"/>
              </w:rPr>
              <w:t>内容全面、措施有力，服务质量方面能够得到有效的保证，有明确的建设质量目标，质量保证措施</w:t>
            </w:r>
            <w:r>
              <w:rPr>
                <w:rFonts w:hint="eastAsia" w:ascii="宋体" w:hAnsi="宋体" w:eastAsia="宋体" w:cs="宋体"/>
                <w:sz w:val="24"/>
                <w:szCs w:val="24"/>
                <w:highlight w:val="none"/>
                <w:lang w:val="en-GB" w:eastAsia="zh-CN"/>
              </w:rPr>
              <w:t>，</w:t>
            </w:r>
            <w:r>
              <w:rPr>
                <w:rFonts w:hint="eastAsia" w:ascii="宋体" w:hAnsi="宋体" w:eastAsia="宋体" w:cs="宋体"/>
                <w:sz w:val="24"/>
                <w:szCs w:val="24"/>
                <w:highlight w:val="none"/>
                <w:lang w:val="en-GB"/>
              </w:rPr>
              <w:t>并具有详细可行的实施内容及工期保证</w:t>
            </w:r>
            <w:r>
              <w:rPr>
                <w:rFonts w:hint="eastAsia" w:ascii="宋体" w:hAnsi="宋体" w:cs="宋体"/>
                <w:sz w:val="24"/>
                <w:szCs w:val="24"/>
                <w:highlight w:val="none"/>
                <w:lang w:val="en-GB" w:eastAsia="zh-CN"/>
              </w:rPr>
              <w:t>和服务质保期保证</w:t>
            </w:r>
            <w:r>
              <w:rPr>
                <w:rFonts w:hint="eastAsia" w:ascii="宋体" w:hAnsi="宋体" w:eastAsia="宋体" w:cs="宋体"/>
                <w:sz w:val="24"/>
                <w:szCs w:val="24"/>
                <w:highlight w:val="none"/>
                <w:lang w:val="en-GB"/>
              </w:rPr>
              <w:t>等</w:t>
            </w:r>
            <w:r>
              <w:rPr>
                <w:rFonts w:hint="eastAsia" w:ascii="宋体" w:hAnsi="宋体" w:eastAsia="宋体" w:cs="宋体"/>
                <w:sz w:val="24"/>
                <w:szCs w:val="24"/>
                <w:highlight w:val="none"/>
              </w:rPr>
              <w:t xml:space="preserve">  </w:t>
            </w:r>
          </w:p>
        </w:tc>
        <w:tc>
          <w:tcPr>
            <w:tcW w:w="407" w:type="pct"/>
            <w:vAlign w:val="center"/>
          </w:tcPr>
          <w:p>
            <w:pPr>
              <w:spacing w:line="360" w:lineRule="auto"/>
              <w:jc w:val="center"/>
              <w:rPr>
                <w:rFonts w:hint="eastAsia" w:ascii="宋体" w:hAnsi="宋体" w:eastAsia="宋体" w:cs="宋体"/>
                <w:sz w:val="24"/>
                <w:szCs w:val="24"/>
                <w:highlight w:val="none"/>
                <w:lang w:val="en-US" w:eastAsia="zh-CN"/>
              </w:rPr>
            </w:pPr>
            <w:r>
              <w:rPr>
                <w:rFonts w:hint="default" w:ascii="宋体" w:hAnsi="宋体" w:cs="宋体"/>
                <w:sz w:val="24"/>
                <w:szCs w:val="24"/>
                <w:highlight w:val="none"/>
                <w:lang w:val="en-US" w:eastAsia="zh-CN"/>
              </w:rPr>
              <w:t>2</w:t>
            </w:r>
          </w:p>
        </w:tc>
        <w:tc>
          <w:tcPr>
            <w:tcW w:w="1095" w:type="pct"/>
            <w:vMerge w:val="restart"/>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（四）质量保证措施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468" w:type="pct"/>
            <w:vMerge w:val="continue"/>
            <w:vAlign w:val="center"/>
          </w:tcPr>
          <w:p>
            <w:pPr>
              <w:spacing w:line="360" w:lineRule="auto"/>
              <w:rPr>
                <w:highlight w:val="none"/>
              </w:rPr>
            </w:pPr>
          </w:p>
        </w:tc>
        <w:tc>
          <w:tcPr>
            <w:tcW w:w="3028" w:type="pct"/>
            <w:gridSpan w:val="2"/>
            <w:vAlign w:val="center"/>
          </w:tcPr>
          <w:p>
            <w:pPr>
              <w:spacing w:line="360" w:lineRule="auto"/>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rPr>
              <w:t>天融信TSC-71232-WVS漏洞扫描系统；安恒DAS-A1000数据库审计设备；深信服SIP-1000－A600态势感知平台；</w:t>
            </w:r>
          </w:p>
          <w:p>
            <w:pPr>
              <w:spacing w:line="360" w:lineRule="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GB" w:eastAsia="zh-CN"/>
              </w:rPr>
              <w:t>提供上述</w:t>
            </w:r>
            <w:r>
              <w:rPr>
                <w:rFonts w:hint="eastAsia" w:ascii="宋体" w:hAnsi="宋体" w:eastAsia="宋体" w:cs="宋体"/>
                <w:sz w:val="24"/>
                <w:szCs w:val="24"/>
                <w:highlight w:val="none"/>
                <w:lang w:val="en-GB"/>
              </w:rPr>
              <w:t>设备1年</w:t>
            </w:r>
            <w:r>
              <w:rPr>
                <w:rFonts w:hint="eastAsia" w:ascii="宋体" w:hAnsi="宋体" w:cs="宋体"/>
                <w:sz w:val="24"/>
                <w:szCs w:val="24"/>
                <w:highlight w:val="none"/>
                <w:lang w:val="en-GB" w:eastAsia="zh-CN"/>
              </w:rPr>
              <w:t>原厂商授权和技术支持的承诺函</w:t>
            </w:r>
            <w:r>
              <w:rPr>
                <w:rFonts w:hint="eastAsia" w:ascii="宋体" w:hAnsi="宋体" w:eastAsia="宋体" w:cs="宋体"/>
                <w:sz w:val="24"/>
                <w:szCs w:val="24"/>
                <w:highlight w:val="none"/>
                <w:lang w:val="en-GB"/>
              </w:rPr>
              <w:t>。</w:t>
            </w:r>
            <w:r>
              <w:rPr>
                <w:rFonts w:hint="eastAsia" w:ascii="宋体" w:hAnsi="宋体" w:cs="宋体"/>
                <w:sz w:val="24"/>
                <w:szCs w:val="24"/>
                <w:highlight w:val="none"/>
                <w:lang w:val="en-GB" w:eastAsia="zh-CN"/>
              </w:rPr>
              <w:t>每提供一个设备有效的售后维保承诺函得</w:t>
            </w:r>
            <w:r>
              <w:rPr>
                <w:rFonts w:hint="eastAsia" w:ascii="宋体" w:hAnsi="宋体" w:cs="宋体"/>
                <w:sz w:val="24"/>
                <w:szCs w:val="24"/>
                <w:highlight w:val="none"/>
                <w:lang w:val="en-US" w:eastAsia="zh-CN"/>
              </w:rPr>
              <w:t>1分，共3分。</w:t>
            </w:r>
          </w:p>
        </w:tc>
        <w:tc>
          <w:tcPr>
            <w:tcW w:w="407" w:type="pct"/>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1095" w:type="pct"/>
            <w:vMerge w:val="continue"/>
            <w:vAlign w:val="center"/>
          </w:tcPr>
          <w:p>
            <w:pPr>
              <w:spacing w:line="360" w:lineRule="auto"/>
              <w:rPr>
                <w:rFonts w:hint="eastAsia" w:ascii="宋体" w:hAnsi="宋体" w:eastAsia="宋体" w:cs="宋体"/>
                <w:sz w:val="24"/>
                <w:szCs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68" w:type="pct"/>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3028" w:type="pct"/>
            <w:gridSpan w:val="2"/>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投标人项目组织实施方案的科学性、合理性、规范性和可操作性，包括系统</w:t>
            </w:r>
            <w:r>
              <w:rPr>
                <w:rFonts w:hint="eastAsia" w:ascii="宋体" w:hAnsi="宋体" w:cs="宋体"/>
                <w:sz w:val="24"/>
                <w:szCs w:val="24"/>
                <w:highlight w:val="none"/>
                <w:lang w:eastAsia="zh-CN"/>
              </w:rPr>
              <w:t>集成</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软件开发、</w:t>
            </w:r>
            <w:r>
              <w:rPr>
                <w:rFonts w:hint="eastAsia" w:ascii="宋体" w:hAnsi="宋体" w:eastAsia="宋体" w:cs="宋体"/>
                <w:sz w:val="24"/>
                <w:szCs w:val="24"/>
                <w:highlight w:val="none"/>
              </w:rPr>
              <w:t>试运行、测试、调优、系统管理培训、系统运行维护培训等内容，以及组织机构、工作时间进度表、工作程序和步骤、管理和协调方法、关键步骤的思路和要点等</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 xml:space="preserve">       </w:t>
            </w:r>
          </w:p>
        </w:tc>
        <w:tc>
          <w:tcPr>
            <w:tcW w:w="407" w:type="pct"/>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w:t>
            </w:r>
          </w:p>
        </w:tc>
        <w:tc>
          <w:tcPr>
            <w:tcW w:w="1095" w:type="pct"/>
            <w:vAlign w:val="center"/>
          </w:tcPr>
          <w:p>
            <w:pPr>
              <w:spacing w:line="360" w:lineRule="auto"/>
              <w:jc w:val="center"/>
              <w:outlineLvl w:val="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（五）组织实施方案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68" w:type="pct"/>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3028" w:type="pct"/>
            <w:gridSpan w:val="2"/>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投标人提出合理可行的培训计划、功能测试方案和验收方案。</w:t>
            </w:r>
          </w:p>
          <w:p>
            <w:pPr>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 培训计划包括培训策略、培训方法、培训内容、培训时间地点、培训对象等（</w:t>
            </w:r>
            <w:r>
              <w:rPr>
                <w:rFonts w:hint="default" w:ascii="宋体" w:hAnsi="宋体" w:cs="宋体"/>
                <w:sz w:val="24"/>
                <w:szCs w:val="24"/>
                <w:highlight w:val="none"/>
                <w:lang w:val="en-US"/>
              </w:rPr>
              <w:t>2</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p>
          <w:p>
            <w:pPr>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 功能测试方案应包括测试工作准备、功能测试、性能测试的具体介绍（</w:t>
            </w:r>
            <w:r>
              <w:rPr>
                <w:rFonts w:hint="default" w:ascii="宋体" w:hAnsi="宋体" w:cs="宋体"/>
                <w:sz w:val="24"/>
                <w:szCs w:val="24"/>
                <w:highlight w:val="none"/>
                <w:lang w:val="en-US"/>
              </w:rPr>
              <w:t>2</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验收方案应包括验收组织、验收过程、验收成果物等关键描述（</w:t>
            </w:r>
            <w:r>
              <w:rPr>
                <w:rFonts w:hint="default" w:ascii="宋体" w:hAnsi="宋体" w:cs="宋体"/>
                <w:sz w:val="24"/>
                <w:szCs w:val="24"/>
                <w:highlight w:val="none"/>
                <w:lang w:val="en-US"/>
              </w:rPr>
              <w:t>2</w:t>
            </w:r>
            <w:r>
              <w:rPr>
                <w:rFonts w:hint="eastAsia" w:ascii="宋体" w:hAnsi="宋体" w:eastAsia="宋体" w:cs="宋体"/>
                <w:sz w:val="24"/>
                <w:szCs w:val="24"/>
                <w:highlight w:val="none"/>
              </w:rPr>
              <w:t xml:space="preserve">分）。      </w:t>
            </w:r>
          </w:p>
        </w:tc>
        <w:tc>
          <w:tcPr>
            <w:tcW w:w="407" w:type="pct"/>
            <w:vAlign w:val="center"/>
          </w:tcPr>
          <w:p>
            <w:pPr>
              <w:spacing w:line="360" w:lineRule="auto"/>
              <w:jc w:val="center"/>
              <w:rPr>
                <w:rFonts w:hint="eastAsia" w:ascii="宋体" w:hAnsi="宋体" w:eastAsia="宋体" w:cs="宋体"/>
                <w:sz w:val="24"/>
                <w:szCs w:val="24"/>
                <w:highlight w:val="none"/>
                <w:lang w:val="en-US" w:eastAsia="zh-CN"/>
              </w:rPr>
            </w:pPr>
            <w:r>
              <w:rPr>
                <w:rFonts w:hint="default" w:ascii="宋体" w:hAnsi="宋体" w:cs="宋体"/>
                <w:sz w:val="24"/>
                <w:szCs w:val="24"/>
                <w:highlight w:val="none"/>
                <w:lang w:val="en-US" w:eastAsia="zh-CN"/>
              </w:rPr>
              <w:t>6</w:t>
            </w:r>
          </w:p>
        </w:tc>
        <w:tc>
          <w:tcPr>
            <w:tcW w:w="1095" w:type="pct"/>
            <w:vAlign w:val="center"/>
          </w:tcPr>
          <w:p>
            <w:pPr>
              <w:spacing w:line="360" w:lineRule="auto"/>
              <w:jc w:val="center"/>
              <w:outlineLvl w:val="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（六）培训、测试、试运行和验收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68" w:type="pct"/>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3028" w:type="pct"/>
            <w:gridSpan w:val="2"/>
            <w:vAlign w:val="center"/>
          </w:tcPr>
          <w:p>
            <w:pPr>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 投标人提供的售后服务方案是否满足采购人的要求</w:t>
            </w:r>
            <w:r>
              <w:rPr>
                <w:rFonts w:hint="eastAsia" w:ascii="宋体" w:hAnsi="宋体" w:eastAsia="宋体" w:cs="宋体"/>
                <w:sz w:val="24"/>
                <w:szCs w:val="24"/>
                <w:highlight w:val="none"/>
                <w:lang w:eastAsia="zh-CN"/>
              </w:rPr>
              <w:t>（</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分</w:t>
            </w:r>
            <w:r>
              <w:rPr>
                <w:rFonts w:hint="eastAsia" w:ascii="宋体" w:hAnsi="宋体" w:eastAsia="宋体" w:cs="宋体"/>
                <w:sz w:val="24"/>
                <w:szCs w:val="24"/>
                <w:highlight w:val="none"/>
                <w:lang w:eastAsia="zh-CN"/>
              </w:rPr>
              <w:t>）；</w:t>
            </w:r>
          </w:p>
          <w:p>
            <w:pPr>
              <w:spacing w:line="360" w:lineRule="auto"/>
              <w:rPr>
                <w:rFonts w:hint="eastAsia"/>
                <w:highlight w:val="none"/>
                <w:lang w:eastAsia="zh-CN"/>
              </w:rPr>
            </w:pPr>
            <w:r>
              <w:rPr>
                <w:rFonts w:hint="eastAsia" w:ascii="宋体" w:hAnsi="宋体" w:eastAsia="宋体" w:cs="宋体"/>
                <w:sz w:val="24"/>
                <w:szCs w:val="24"/>
                <w:highlight w:val="none"/>
              </w:rPr>
              <w:t>● 投标人提供的①硬件②安全设备和机房设施维保服务③</w:t>
            </w:r>
            <w:r>
              <w:rPr>
                <w:rFonts w:hint="eastAsia" w:ascii="宋体" w:hAnsi="宋体" w:cs="宋体"/>
                <w:sz w:val="24"/>
                <w:szCs w:val="24"/>
                <w:highlight w:val="none"/>
                <w:lang w:eastAsia="zh-CN"/>
              </w:rPr>
              <w:t>软件</w:t>
            </w:r>
            <w:r>
              <w:rPr>
                <w:rFonts w:hint="eastAsia" w:ascii="宋体" w:hAnsi="宋体" w:eastAsia="宋体" w:cs="宋体"/>
                <w:sz w:val="24"/>
                <w:szCs w:val="24"/>
                <w:highlight w:val="none"/>
              </w:rPr>
              <w:t>质保期限是否满足采购人的要求</w:t>
            </w:r>
            <w:r>
              <w:rPr>
                <w:rFonts w:hint="eastAsia" w:ascii="宋体" w:hAnsi="宋体" w:eastAsia="宋体" w:cs="宋体"/>
                <w:sz w:val="24"/>
                <w:szCs w:val="24"/>
                <w:highlight w:val="none"/>
                <w:lang w:eastAsia="zh-CN"/>
              </w:rPr>
              <w:t>（</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分</w:t>
            </w:r>
            <w:r>
              <w:rPr>
                <w:rFonts w:hint="eastAsia" w:ascii="宋体" w:hAnsi="宋体" w:eastAsia="宋体" w:cs="宋体"/>
                <w:sz w:val="24"/>
                <w:szCs w:val="24"/>
                <w:highlight w:val="none"/>
                <w:lang w:eastAsia="zh-CN"/>
              </w:rPr>
              <w:t>）；</w:t>
            </w:r>
          </w:p>
          <w:p>
            <w:pPr>
              <w:spacing w:line="360" w:lineRule="auto"/>
              <w:rPr>
                <w:rFonts w:hint="eastAsia"/>
                <w:highlight w:val="none"/>
                <w:lang w:val="en-US" w:eastAsia="zh-CN"/>
              </w:rPr>
            </w:pPr>
            <w:r>
              <w:rPr>
                <w:rFonts w:hint="eastAsia" w:ascii="宋体" w:hAnsi="宋体" w:eastAsia="宋体" w:cs="宋体"/>
                <w:sz w:val="24"/>
                <w:szCs w:val="24"/>
                <w:highlight w:val="none"/>
              </w:rPr>
              <w:t>● 质保期限及服务承诺的可行性、完整性以及服务承诺落实的保障措施等</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系统出现问题后，供应商是否对故障1小时响应，4小时以内到现场，8小时以内解决问题（2分）。</w:t>
            </w:r>
          </w:p>
        </w:tc>
        <w:tc>
          <w:tcPr>
            <w:tcW w:w="407" w:type="pct"/>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6</w:t>
            </w:r>
          </w:p>
        </w:tc>
        <w:tc>
          <w:tcPr>
            <w:tcW w:w="1095" w:type="pct"/>
            <w:vAlign w:val="center"/>
          </w:tcPr>
          <w:p>
            <w:pPr>
              <w:spacing w:line="360" w:lineRule="auto"/>
              <w:jc w:val="center"/>
              <w:outlineLvl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七</w:t>
            </w:r>
            <w:r>
              <w:rPr>
                <w:rFonts w:hint="eastAsia" w:ascii="宋体" w:hAnsi="宋体" w:eastAsia="宋体" w:cs="宋体"/>
                <w:sz w:val="24"/>
                <w:szCs w:val="24"/>
                <w:highlight w:val="none"/>
                <w:lang w:eastAsia="zh-CN"/>
              </w:rPr>
              <w:t>）售后服务保障能力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68" w:type="pct"/>
            <w:vAlign w:val="center"/>
          </w:tcPr>
          <w:p>
            <w:pPr>
              <w:spacing w:line="360" w:lineRule="auto"/>
              <w:jc w:val="center"/>
              <w:rPr>
                <w:rFonts w:hint="default" w:ascii="宋体" w:hAnsi="宋体" w:eastAsia="宋体" w:cs="宋体"/>
                <w:kern w:val="2"/>
                <w:sz w:val="24"/>
                <w:szCs w:val="24"/>
                <w:highlight w:val="none"/>
                <w:lang w:val="en-US" w:eastAsia="zh-CN" w:bidi="ar-SA"/>
              </w:rPr>
            </w:pPr>
            <w:r>
              <w:rPr>
                <w:rFonts w:hint="default" w:ascii="宋体" w:hAnsi="宋体" w:cs="宋体"/>
                <w:sz w:val="24"/>
                <w:szCs w:val="24"/>
                <w:highlight w:val="none"/>
                <w:lang w:val="en-US" w:eastAsia="zh-CN"/>
              </w:rPr>
              <w:t>8</w:t>
            </w:r>
          </w:p>
        </w:tc>
        <w:tc>
          <w:tcPr>
            <w:tcW w:w="3028" w:type="pct"/>
            <w:gridSpan w:val="2"/>
            <w:vAlign w:val="center"/>
          </w:tcPr>
          <w:p>
            <w:pPr>
              <w:spacing w:line="360" w:lineRule="auto"/>
              <w:rPr>
                <w:rFonts w:hint="eastAsia" w:ascii="宋体" w:hAnsi="宋体" w:eastAsia="宋体" w:cs="宋体"/>
                <w:b/>
                <w:bCs/>
                <w:sz w:val="24"/>
                <w:szCs w:val="24"/>
                <w:highlight w:val="none"/>
                <w:lang w:eastAsia="zh-CN"/>
              </w:rPr>
            </w:pPr>
            <w:r>
              <w:rPr>
                <w:rFonts w:hint="eastAsia" w:ascii="宋体" w:hAnsi="宋体" w:eastAsia="宋体" w:cs="宋体"/>
                <w:sz w:val="24"/>
                <w:szCs w:val="24"/>
                <w:highlight w:val="none"/>
              </w:rPr>
              <w:t>截止投标时间近三年以来投标人承担类似软件建设项目情况，</w:t>
            </w:r>
            <w:r>
              <w:rPr>
                <w:rFonts w:hint="eastAsia" w:ascii="宋体" w:hAnsi="宋体" w:eastAsia="宋体" w:cs="宋体"/>
                <w:sz w:val="24"/>
                <w:szCs w:val="24"/>
                <w:highlight w:val="none"/>
                <w:lang w:val="zh-CN"/>
              </w:rPr>
              <w:t>结合</w:t>
            </w:r>
            <w:r>
              <w:rPr>
                <w:rFonts w:hint="eastAsia" w:ascii="宋体" w:hAnsi="宋体" w:eastAsia="宋体" w:cs="宋体"/>
                <w:bCs/>
                <w:sz w:val="24"/>
                <w:szCs w:val="24"/>
                <w:highlight w:val="none"/>
              </w:rPr>
              <w:t>已完工的案例和用户反应情况，</w:t>
            </w:r>
            <w:r>
              <w:rPr>
                <w:rFonts w:hint="eastAsia" w:ascii="宋体" w:hAnsi="宋体" w:eastAsia="宋体" w:cs="宋体"/>
                <w:b/>
                <w:snapToGrid w:val="0"/>
                <w:sz w:val="24"/>
                <w:szCs w:val="24"/>
                <w:highlight w:val="none"/>
              </w:rPr>
              <w:t>需提供合同复印件和付款凭证</w:t>
            </w:r>
            <w:r>
              <w:rPr>
                <w:rFonts w:hint="eastAsia" w:ascii="宋体" w:hAnsi="宋体" w:cs="宋体"/>
                <w:b/>
                <w:snapToGrid w:val="0"/>
                <w:sz w:val="24"/>
                <w:szCs w:val="24"/>
                <w:highlight w:val="none"/>
                <w:lang w:eastAsia="zh-CN"/>
              </w:rPr>
              <w:t>，每个有效案例得</w:t>
            </w:r>
            <w:r>
              <w:rPr>
                <w:rFonts w:hint="eastAsia" w:ascii="宋体" w:hAnsi="宋体" w:cs="宋体"/>
                <w:b/>
                <w:snapToGrid w:val="0"/>
                <w:sz w:val="24"/>
                <w:szCs w:val="24"/>
                <w:highlight w:val="none"/>
                <w:lang w:val="en-US" w:eastAsia="zh-CN"/>
              </w:rPr>
              <w:t>0.5分，共计1分</w:t>
            </w:r>
            <w:r>
              <w:rPr>
                <w:rFonts w:hint="eastAsia" w:ascii="宋体" w:hAnsi="宋体" w:eastAsia="宋体" w:cs="宋体"/>
                <w:b/>
                <w:bCs/>
                <w:sz w:val="24"/>
                <w:szCs w:val="24"/>
                <w:highlight w:val="none"/>
                <w:lang w:eastAsia="zh-CN"/>
              </w:rPr>
              <w:t>。</w:t>
            </w:r>
          </w:p>
          <w:p>
            <w:pPr>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b/>
                <w:bCs/>
                <w:sz w:val="24"/>
                <w:szCs w:val="24"/>
                <w:highlight w:val="none"/>
              </w:rPr>
              <w:t>（</w:t>
            </w:r>
            <w:r>
              <w:rPr>
                <w:rFonts w:hint="eastAsia" w:ascii="宋体" w:hAnsi="宋体" w:eastAsia="宋体" w:cs="宋体"/>
                <w:b/>
                <w:sz w:val="24"/>
                <w:szCs w:val="24"/>
                <w:highlight w:val="none"/>
              </w:rPr>
              <w:t>以签订时间为准，原件备查，采购机构在项目评审直至合同签订、履约期间，有权要求投标人出具投标文件中的</w:t>
            </w:r>
            <w:r>
              <w:rPr>
                <w:rFonts w:hint="eastAsia" w:ascii="宋体" w:hAnsi="宋体" w:eastAsia="宋体" w:cs="宋体"/>
                <w:b/>
                <w:kern w:val="0"/>
                <w:sz w:val="24"/>
                <w:szCs w:val="24"/>
                <w:highlight w:val="none"/>
                <w:lang w:val="zh-CN"/>
              </w:rPr>
              <w:t>主要业绩证明</w:t>
            </w:r>
            <w:r>
              <w:rPr>
                <w:rFonts w:hint="eastAsia" w:ascii="宋体" w:hAnsi="宋体" w:eastAsia="宋体" w:cs="宋体"/>
                <w:b/>
                <w:sz w:val="24"/>
                <w:szCs w:val="24"/>
                <w:highlight w:val="none"/>
              </w:rPr>
              <w:t>原件</w:t>
            </w:r>
            <w:r>
              <w:rPr>
                <w:rFonts w:hint="eastAsia" w:ascii="宋体" w:hAnsi="宋体" w:eastAsia="宋体" w:cs="宋体"/>
                <w:b/>
                <w:kern w:val="0"/>
                <w:sz w:val="24"/>
                <w:szCs w:val="24"/>
                <w:highlight w:val="none"/>
                <w:lang w:val="zh-CN"/>
              </w:rPr>
              <w:t>：如</w:t>
            </w:r>
            <w:r>
              <w:rPr>
                <w:rFonts w:hint="eastAsia" w:ascii="宋体" w:hAnsi="宋体" w:eastAsia="宋体" w:cs="宋体"/>
                <w:b/>
                <w:sz w:val="24"/>
                <w:szCs w:val="24"/>
                <w:highlight w:val="none"/>
              </w:rPr>
              <w:t>合同或用户验收报告</w:t>
            </w:r>
            <w:r>
              <w:rPr>
                <w:rFonts w:hint="eastAsia" w:ascii="宋体" w:hAnsi="宋体" w:eastAsia="宋体" w:cs="宋体"/>
                <w:b/>
                <w:sz w:val="24"/>
                <w:szCs w:val="24"/>
                <w:highlight w:val="none"/>
                <w:lang w:val="zh-CN"/>
              </w:rPr>
              <w:t>等</w:t>
            </w:r>
            <w:r>
              <w:rPr>
                <w:rFonts w:hint="eastAsia" w:ascii="宋体" w:hAnsi="宋体" w:eastAsia="宋体" w:cs="宋体"/>
                <w:b/>
                <w:sz w:val="24"/>
                <w:szCs w:val="24"/>
                <w:highlight w:val="none"/>
              </w:rPr>
              <w:t>，予以确认其的真实性和有效性，如出现与事实不符等情况，将按照《中华人民共和国政府采购法》上报相关部门予以处罚</w:t>
            </w:r>
            <w:r>
              <w:rPr>
                <w:rFonts w:hint="eastAsia" w:ascii="宋体" w:hAnsi="宋体" w:eastAsia="宋体" w:cs="宋体"/>
                <w:sz w:val="24"/>
                <w:szCs w:val="24"/>
                <w:highlight w:val="none"/>
              </w:rPr>
              <w:t>），是否有良好的工作业绩和履约记录</w:t>
            </w:r>
            <w:r>
              <w:rPr>
                <w:rFonts w:hint="eastAsia" w:ascii="宋体" w:hAnsi="宋体" w:eastAsia="宋体" w:cs="宋体"/>
                <w:sz w:val="24"/>
                <w:szCs w:val="24"/>
                <w:highlight w:val="none"/>
                <w:lang w:val="zh-CN"/>
              </w:rPr>
              <w:t>等情况</w:t>
            </w:r>
            <w:r>
              <w:rPr>
                <w:rFonts w:hint="eastAsia" w:ascii="宋体" w:hAnsi="宋体" w:eastAsia="宋体" w:cs="宋体"/>
                <w:sz w:val="24"/>
                <w:szCs w:val="24"/>
                <w:highlight w:val="none"/>
              </w:rPr>
              <w:t>；</w:t>
            </w:r>
            <w:r>
              <w:rPr>
                <w:rFonts w:hint="eastAsia" w:ascii="宋体" w:hAnsi="宋体" w:eastAsia="宋体" w:cs="宋体"/>
                <w:b/>
                <w:sz w:val="24"/>
                <w:szCs w:val="24"/>
                <w:highlight w:val="none"/>
              </w:rPr>
              <w:t>如投标人提供的合同复印件等实施项目证明材料与投标主体无关或违规转包分包的，评标委员会将进行扣分直至认定投标无效</w:t>
            </w:r>
            <w:r>
              <w:rPr>
                <w:rFonts w:hint="eastAsia" w:ascii="宋体" w:hAnsi="宋体" w:eastAsia="宋体" w:cs="宋体"/>
                <w:sz w:val="24"/>
                <w:szCs w:val="24"/>
                <w:highlight w:val="none"/>
                <w:lang w:val="zh-CN"/>
              </w:rPr>
              <w:t>。</w:t>
            </w:r>
          </w:p>
        </w:tc>
        <w:tc>
          <w:tcPr>
            <w:tcW w:w="407" w:type="pct"/>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w:t>
            </w:r>
          </w:p>
        </w:tc>
        <w:tc>
          <w:tcPr>
            <w:tcW w:w="1095" w:type="pct"/>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w:t>
            </w:r>
            <w:r>
              <w:rPr>
                <w:rFonts w:hint="eastAsia" w:ascii="宋体" w:hAnsi="宋体" w:cs="宋体"/>
                <w:sz w:val="24"/>
                <w:szCs w:val="24"/>
                <w:highlight w:val="none"/>
                <w:lang w:eastAsia="zh-CN"/>
              </w:rPr>
              <w:t>十</w:t>
            </w:r>
            <w:r>
              <w:rPr>
                <w:rFonts w:hint="eastAsia" w:ascii="宋体" w:hAnsi="宋体" w:eastAsia="宋体" w:cs="宋体"/>
                <w:sz w:val="24"/>
                <w:szCs w:val="24"/>
                <w:highlight w:val="none"/>
                <w:lang w:eastAsia="zh-CN"/>
              </w:rPr>
              <w:t>）类似项目建设的成功经验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9" w:hRule="atLeast"/>
          <w:jc w:val="center"/>
        </w:trPr>
        <w:tc>
          <w:tcPr>
            <w:tcW w:w="468" w:type="pct"/>
            <w:vAlign w:val="center"/>
          </w:tcPr>
          <w:p>
            <w:pPr>
              <w:spacing w:line="360" w:lineRule="auto"/>
              <w:jc w:val="center"/>
              <w:rPr>
                <w:rFonts w:hint="default" w:ascii="宋体" w:hAnsi="宋体" w:eastAsia="宋体" w:cs="宋体"/>
                <w:sz w:val="24"/>
                <w:szCs w:val="24"/>
                <w:highlight w:val="none"/>
                <w:lang w:val="en-US" w:eastAsia="zh-CN"/>
              </w:rPr>
            </w:pPr>
            <w:r>
              <w:rPr>
                <w:rFonts w:hint="default" w:ascii="宋体" w:hAnsi="宋体" w:cs="宋体"/>
                <w:sz w:val="24"/>
                <w:szCs w:val="24"/>
                <w:highlight w:val="none"/>
                <w:lang w:val="en-US" w:eastAsia="zh-CN"/>
              </w:rPr>
              <w:t>10</w:t>
            </w:r>
          </w:p>
        </w:tc>
        <w:tc>
          <w:tcPr>
            <w:tcW w:w="910" w:type="pct"/>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系统演示及讲解（</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rPr>
              <w:t>分）：</w:t>
            </w:r>
            <w:r>
              <w:rPr>
                <w:rFonts w:hint="eastAsia" w:ascii="宋体" w:hAnsi="宋体" w:cs="宋体"/>
                <w:sz w:val="24"/>
                <w:szCs w:val="24"/>
                <w:highlight w:val="none"/>
                <w:lang w:eastAsia="zh-CN"/>
              </w:rPr>
              <w:t>要求提供原型演示。不</w:t>
            </w:r>
            <w:r>
              <w:rPr>
                <w:rFonts w:hint="eastAsia" w:ascii="宋体" w:hAnsi="宋体" w:eastAsia="宋体" w:cs="宋体"/>
                <w:sz w:val="24"/>
                <w:szCs w:val="24"/>
                <w:highlight w:val="none"/>
              </w:rPr>
              <w:t>接受图片、PPT、Axure等高保真演示</w:t>
            </w:r>
            <w:r>
              <w:rPr>
                <w:rFonts w:hint="eastAsia" w:ascii="宋体" w:hAnsi="宋体" w:cs="宋体"/>
                <w:sz w:val="24"/>
                <w:szCs w:val="24"/>
                <w:highlight w:val="none"/>
                <w:lang w:eastAsia="zh-CN"/>
              </w:rPr>
              <w:t>，否则</w:t>
            </w:r>
            <w:r>
              <w:rPr>
                <w:rFonts w:hint="eastAsia" w:ascii="宋体" w:hAnsi="宋体" w:eastAsia="宋体" w:cs="宋体"/>
                <w:sz w:val="24"/>
                <w:szCs w:val="24"/>
                <w:highlight w:val="none"/>
              </w:rPr>
              <w:t>演示不得分</w:t>
            </w:r>
          </w:p>
        </w:tc>
        <w:tc>
          <w:tcPr>
            <w:tcW w:w="2117" w:type="pct"/>
            <w:vAlign w:val="center"/>
          </w:tcPr>
          <w:p>
            <w:pPr>
              <w:rPr>
                <w:rFonts w:hint="eastAsia" w:ascii="宋体" w:hAnsi="宋体" w:cs="宋体"/>
                <w:b/>
                <w:bCs/>
                <w:sz w:val="24"/>
                <w:highlight w:val="none"/>
                <w:lang w:eastAsia="zh-CN"/>
              </w:rPr>
            </w:pPr>
            <w:r>
              <w:rPr>
                <w:rFonts w:hint="eastAsia" w:ascii="宋体" w:hAnsi="宋体" w:cs="宋体"/>
                <w:b/>
                <w:bCs/>
                <w:sz w:val="24"/>
                <w:highlight w:val="none"/>
                <w:lang w:eastAsia="zh-CN"/>
              </w:rPr>
              <w:t>针对</w:t>
            </w:r>
            <w:r>
              <w:rPr>
                <w:rFonts w:hint="eastAsia" w:ascii="宋体" w:hAnsi="宋体" w:cs="宋体"/>
                <w:b/>
                <w:bCs/>
                <w:sz w:val="24"/>
                <w:highlight w:val="none"/>
              </w:rPr>
              <w:t>数据安全管控分析服务</w:t>
            </w:r>
            <w:r>
              <w:rPr>
                <w:rFonts w:hint="eastAsia" w:ascii="宋体" w:hAnsi="宋体" w:cs="宋体"/>
                <w:b/>
                <w:bCs/>
                <w:sz w:val="24"/>
                <w:highlight w:val="none"/>
                <w:lang w:eastAsia="zh-CN"/>
              </w:rPr>
              <w:t>的部分功能演示：</w:t>
            </w:r>
          </w:p>
          <w:p>
            <w:pPr>
              <w:rPr>
                <w:rFonts w:hint="eastAsia" w:ascii="宋体" w:hAnsi="宋体" w:eastAsia="宋体" w:cs="宋体"/>
                <w:b w:val="0"/>
                <w:bCs w:val="0"/>
                <w:sz w:val="24"/>
                <w:highlight w:val="none"/>
                <w:lang w:eastAsia="zh-CN"/>
              </w:rPr>
            </w:pPr>
            <w:r>
              <w:rPr>
                <w:rFonts w:hint="eastAsia" w:ascii="宋体" w:hAnsi="宋体" w:eastAsia="宋体" w:cs="宋体"/>
                <w:b/>
                <w:bCs/>
                <w:sz w:val="24"/>
                <w:highlight w:val="none"/>
                <w:lang w:eastAsia="zh-CN"/>
              </w:rPr>
              <w:t>●共享与回流防护：</w:t>
            </w:r>
            <w:r>
              <w:rPr>
                <w:rFonts w:hint="eastAsia" w:ascii="宋体" w:hAnsi="宋体" w:eastAsia="宋体" w:cs="宋体"/>
                <w:b w:val="0"/>
                <w:bCs w:val="0"/>
                <w:sz w:val="24"/>
                <w:highlight w:val="none"/>
                <w:lang w:eastAsia="zh-CN"/>
              </w:rPr>
              <w:t>批量数据共享、回流、导出监管，发现违规回流项目空间、违规回流表、违规回流云账号等信息；异常回流告警（</w:t>
            </w:r>
            <w:r>
              <w:rPr>
                <w:rFonts w:hint="default" w:ascii="宋体" w:hAnsi="宋体" w:eastAsia="宋体" w:cs="宋体"/>
                <w:b w:val="0"/>
                <w:bCs w:val="0"/>
                <w:sz w:val="24"/>
                <w:highlight w:val="none"/>
                <w:lang w:val="en-US" w:eastAsia="zh-CN"/>
              </w:rPr>
              <w:t>2</w:t>
            </w:r>
            <w:r>
              <w:rPr>
                <w:rFonts w:hint="eastAsia" w:ascii="宋体" w:hAnsi="宋体" w:eastAsia="宋体" w:cs="宋体"/>
                <w:b w:val="0"/>
                <w:bCs w:val="0"/>
                <w:sz w:val="24"/>
                <w:highlight w:val="none"/>
                <w:lang w:val="en-US" w:eastAsia="zh-CN"/>
              </w:rPr>
              <w:t>分</w:t>
            </w:r>
            <w:r>
              <w:rPr>
                <w:rFonts w:hint="eastAsia" w:ascii="宋体" w:hAnsi="宋体" w:eastAsia="宋体" w:cs="宋体"/>
                <w:b w:val="0"/>
                <w:bCs w:val="0"/>
                <w:sz w:val="24"/>
                <w:highlight w:val="none"/>
                <w:lang w:eastAsia="zh-CN"/>
              </w:rPr>
              <w:t>）；</w:t>
            </w:r>
          </w:p>
          <w:p>
            <w:pPr>
              <w:rPr>
                <w:rFonts w:hint="eastAsia" w:ascii="宋体" w:hAnsi="宋体" w:eastAsia="宋体" w:cs="宋体"/>
                <w:b w:val="0"/>
                <w:bCs w:val="0"/>
                <w:sz w:val="24"/>
                <w:highlight w:val="none"/>
                <w:lang w:eastAsia="zh-CN"/>
              </w:rPr>
            </w:pPr>
            <w:r>
              <w:rPr>
                <w:rFonts w:hint="eastAsia" w:ascii="宋体" w:hAnsi="宋体" w:eastAsia="宋体" w:cs="宋体"/>
                <w:b/>
                <w:bCs/>
                <w:sz w:val="24"/>
                <w:highlight w:val="none"/>
                <w:lang w:eastAsia="zh-CN"/>
              </w:rPr>
              <w:t>●数据对接：</w:t>
            </w:r>
            <w:r>
              <w:rPr>
                <w:rFonts w:hint="eastAsia" w:ascii="宋体" w:hAnsi="宋体" w:eastAsia="宋体" w:cs="宋体"/>
                <w:b w:val="0"/>
                <w:bCs w:val="0"/>
                <w:sz w:val="24"/>
                <w:highlight w:val="none"/>
                <w:lang w:eastAsia="zh-CN"/>
              </w:rPr>
              <w:t>与杭州市数据管控平台对接，演示数据分类分级结果上报，工单流转（</w:t>
            </w:r>
            <w:r>
              <w:rPr>
                <w:rFonts w:hint="default" w:ascii="宋体" w:hAnsi="宋体" w:eastAsia="宋体" w:cs="宋体"/>
                <w:b w:val="0"/>
                <w:bCs w:val="0"/>
                <w:sz w:val="24"/>
                <w:highlight w:val="none"/>
                <w:lang w:val="en-US" w:eastAsia="zh-CN"/>
              </w:rPr>
              <w:t>2</w:t>
            </w:r>
            <w:r>
              <w:rPr>
                <w:rFonts w:hint="eastAsia" w:ascii="宋体" w:hAnsi="宋体" w:eastAsia="宋体" w:cs="宋体"/>
                <w:b w:val="0"/>
                <w:bCs w:val="0"/>
                <w:sz w:val="24"/>
                <w:highlight w:val="none"/>
                <w:lang w:val="en-US" w:eastAsia="zh-CN"/>
              </w:rPr>
              <w:t>分</w:t>
            </w:r>
            <w:r>
              <w:rPr>
                <w:rFonts w:hint="eastAsia" w:ascii="宋体" w:hAnsi="宋体" w:eastAsia="宋体" w:cs="宋体"/>
                <w:b w:val="0"/>
                <w:bCs w:val="0"/>
                <w:sz w:val="24"/>
                <w:highlight w:val="none"/>
                <w:lang w:eastAsia="zh-CN"/>
              </w:rPr>
              <w:t>）；</w:t>
            </w:r>
          </w:p>
          <w:p>
            <w:pPr>
              <w:rPr>
                <w:rFonts w:hint="eastAsia" w:ascii="宋体" w:hAnsi="宋体" w:eastAsia="宋体" w:cs="宋体"/>
                <w:b w:val="0"/>
                <w:bCs w:val="0"/>
                <w:sz w:val="24"/>
                <w:highlight w:val="none"/>
                <w:lang w:eastAsia="zh-CN"/>
              </w:rPr>
            </w:pPr>
            <w:r>
              <w:rPr>
                <w:rFonts w:hint="eastAsia" w:ascii="宋体" w:hAnsi="宋体" w:eastAsia="宋体" w:cs="宋体"/>
                <w:b/>
                <w:bCs/>
                <w:sz w:val="24"/>
                <w:highlight w:val="none"/>
                <w:lang w:eastAsia="zh-CN"/>
              </w:rPr>
              <w:t>●业务场景建模能力：</w:t>
            </w:r>
            <w:r>
              <w:rPr>
                <w:rFonts w:hint="eastAsia" w:ascii="宋体" w:hAnsi="宋体" w:eastAsia="宋体" w:cs="宋体"/>
                <w:b w:val="0"/>
                <w:bCs w:val="0"/>
                <w:sz w:val="24"/>
                <w:highlight w:val="none"/>
                <w:lang w:eastAsia="zh-CN"/>
              </w:rPr>
              <w:t>节点简单拖拽、连线对数据流转进行可视化拓扑配置；节点间的数据流转设置监控策略；基于数据流转拓扑进行监控，包括节点的访问量、流量、速率、延时、异常访问，及敏感数据访问监控；特定数据的全网流转拓扑自动梳理（</w:t>
            </w:r>
            <w:r>
              <w:rPr>
                <w:rFonts w:hint="default" w:ascii="宋体" w:hAnsi="宋体" w:eastAsia="宋体" w:cs="宋体"/>
                <w:b w:val="0"/>
                <w:bCs w:val="0"/>
                <w:sz w:val="24"/>
                <w:highlight w:val="none"/>
                <w:lang w:val="en-US" w:eastAsia="zh-CN"/>
              </w:rPr>
              <w:t>2</w:t>
            </w:r>
            <w:r>
              <w:rPr>
                <w:rFonts w:hint="eastAsia" w:ascii="宋体" w:hAnsi="宋体" w:eastAsia="宋体" w:cs="宋体"/>
                <w:b w:val="0"/>
                <w:bCs w:val="0"/>
                <w:sz w:val="24"/>
                <w:highlight w:val="none"/>
                <w:lang w:val="en-US" w:eastAsia="zh-CN"/>
              </w:rPr>
              <w:t>分</w:t>
            </w:r>
            <w:r>
              <w:rPr>
                <w:rFonts w:hint="eastAsia" w:ascii="宋体" w:hAnsi="宋体" w:eastAsia="宋体" w:cs="宋体"/>
                <w:b w:val="0"/>
                <w:bCs w:val="0"/>
                <w:sz w:val="24"/>
                <w:highlight w:val="none"/>
                <w:lang w:eastAsia="zh-CN"/>
              </w:rPr>
              <w:t>）；</w:t>
            </w:r>
          </w:p>
          <w:p>
            <w:pPr>
              <w:rPr>
                <w:rFonts w:hint="eastAsia" w:ascii="宋体" w:hAnsi="宋体" w:eastAsia="宋体" w:cs="宋体"/>
                <w:b w:val="0"/>
                <w:bCs w:val="0"/>
                <w:sz w:val="24"/>
                <w:highlight w:val="none"/>
                <w:lang w:eastAsia="zh-CN"/>
              </w:rPr>
            </w:pPr>
            <w:r>
              <w:rPr>
                <w:rFonts w:hint="eastAsia" w:ascii="宋体" w:hAnsi="宋体" w:eastAsia="宋体" w:cs="宋体"/>
                <w:b/>
                <w:bCs/>
                <w:sz w:val="24"/>
                <w:highlight w:val="none"/>
                <w:lang w:eastAsia="zh-CN"/>
              </w:rPr>
              <w:t>●资产识别梳理能力：</w:t>
            </w:r>
            <w:r>
              <w:rPr>
                <w:rFonts w:hint="eastAsia" w:ascii="宋体" w:hAnsi="宋体" w:eastAsia="宋体" w:cs="宋体"/>
                <w:b w:val="0"/>
                <w:bCs w:val="0"/>
                <w:sz w:val="24"/>
                <w:highlight w:val="none"/>
                <w:lang w:eastAsia="zh-CN"/>
              </w:rPr>
              <w:t>资产识别梳理能力：支持自动发现、手工录入方式梳理资产；以图表形式展示资产总量、各单位系统数量、系统所用资产数量等信息（</w:t>
            </w:r>
            <w:r>
              <w:rPr>
                <w:rFonts w:hint="default" w:ascii="宋体" w:hAnsi="宋体" w:eastAsia="宋体" w:cs="宋体"/>
                <w:b w:val="0"/>
                <w:bCs w:val="0"/>
                <w:sz w:val="24"/>
                <w:highlight w:val="none"/>
                <w:lang w:val="en-US" w:eastAsia="zh-CN"/>
              </w:rPr>
              <w:t>2</w:t>
            </w:r>
            <w:r>
              <w:rPr>
                <w:rFonts w:hint="eastAsia" w:ascii="宋体" w:hAnsi="宋体" w:eastAsia="宋体" w:cs="宋体"/>
                <w:b w:val="0"/>
                <w:bCs w:val="0"/>
                <w:sz w:val="24"/>
                <w:highlight w:val="none"/>
                <w:lang w:val="en-US" w:eastAsia="zh-CN"/>
              </w:rPr>
              <w:t>分</w:t>
            </w:r>
            <w:r>
              <w:rPr>
                <w:rFonts w:hint="eastAsia" w:ascii="宋体" w:hAnsi="宋体" w:eastAsia="宋体" w:cs="宋体"/>
                <w:b w:val="0"/>
                <w:bCs w:val="0"/>
                <w:sz w:val="24"/>
                <w:highlight w:val="none"/>
                <w:lang w:eastAsia="zh-CN"/>
              </w:rPr>
              <w:t xml:space="preserve">）； </w:t>
            </w:r>
          </w:p>
          <w:p>
            <w:pPr>
              <w:rPr>
                <w:rFonts w:hint="eastAsia" w:ascii="宋体" w:hAnsi="宋体" w:eastAsia="宋体" w:cs="宋体"/>
                <w:sz w:val="24"/>
                <w:szCs w:val="24"/>
                <w:highlight w:val="none"/>
              </w:rPr>
            </w:pPr>
            <w:r>
              <w:rPr>
                <w:rFonts w:hint="eastAsia" w:ascii="宋体" w:hAnsi="宋体" w:eastAsia="宋体" w:cs="宋体"/>
                <w:b/>
                <w:bCs/>
                <w:sz w:val="24"/>
                <w:highlight w:val="none"/>
                <w:lang w:eastAsia="zh-CN"/>
              </w:rPr>
              <w:t>●规则引擎分析能力：</w:t>
            </w:r>
            <w:r>
              <w:rPr>
                <w:rFonts w:hint="eastAsia" w:ascii="宋体" w:hAnsi="宋体" w:eastAsia="宋体" w:cs="宋体"/>
                <w:b w:val="0"/>
                <w:bCs w:val="0"/>
                <w:sz w:val="24"/>
                <w:highlight w:val="none"/>
                <w:lang w:eastAsia="zh-CN"/>
              </w:rPr>
              <w:t>通过规则匹配等四大引擎编排内容，将来源、目标、标签等因子定义组合成规则；通过规则组合形成个性策略，对请求端信息及目标端返回的数据量、敏感度进行管控；数据安全场景规则自定义；变动告警阈值和告警生效节点演示（</w:t>
            </w:r>
            <w:r>
              <w:rPr>
                <w:rFonts w:hint="default" w:ascii="宋体" w:hAnsi="宋体" w:eastAsia="宋体" w:cs="宋体"/>
                <w:b w:val="0"/>
                <w:bCs w:val="0"/>
                <w:sz w:val="24"/>
                <w:highlight w:val="none"/>
                <w:lang w:val="en-US" w:eastAsia="zh-CN"/>
              </w:rPr>
              <w:t>2</w:t>
            </w:r>
            <w:r>
              <w:rPr>
                <w:rFonts w:hint="eastAsia" w:ascii="宋体" w:hAnsi="宋体" w:eastAsia="宋体" w:cs="宋体"/>
                <w:b w:val="0"/>
                <w:bCs w:val="0"/>
                <w:sz w:val="24"/>
                <w:highlight w:val="none"/>
                <w:lang w:val="en-US" w:eastAsia="zh-CN"/>
              </w:rPr>
              <w:t>分</w:t>
            </w:r>
            <w:r>
              <w:rPr>
                <w:rFonts w:hint="eastAsia" w:ascii="宋体" w:hAnsi="宋体" w:eastAsia="宋体" w:cs="宋体"/>
                <w:b w:val="0"/>
                <w:bCs w:val="0"/>
                <w:sz w:val="24"/>
                <w:highlight w:val="none"/>
                <w:lang w:eastAsia="zh-CN"/>
              </w:rPr>
              <w:t>）。</w:t>
            </w:r>
          </w:p>
        </w:tc>
        <w:tc>
          <w:tcPr>
            <w:tcW w:w="407" w:type="pc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宋体" w:hAnsi="宋体" w:eastAsia="宋体" w:cs="宋体"/>
                <w:sz w:val="24"/>
                <w:szCs w:val="24"/>
                <w:highlight w:val="none"/>
                <w:lang w:val="en-US" w:eastAsia="zh-CN"/>
              </w:rPr>
            </w:pPr>
            <w:r>
              <w:rPr>
                <w:rFonts w:hint="default" w:ascii="宋体" w:hAnsi="宋体" w:cs="宋体"/>
                <w:sz w:val="24"/>
                <w:szCs w:val="24"/>
                <w:highlight w:val="none"/>
                <w:lang w:val="en-US" w:eastAsia="zh-CN"/>
              </w:rPr>
              <w:t>10</w:t>
            </w:r>
          </w:p>
        </w:tc>
        <w:tc>
          <w:tcPr>
            <w:tcW w:w="1095" w:type="pct"/>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68" w:type="pct"/>
            <w:vAlign w:val="center"/>
          </w:tcPr>
          <w:p>
            <w:pPr>
              <w:spacing w:line="360" w:lineRule="auto"/>
              <w:ind w:firstLine="240" w:firstLineChars="100"/>
              <w:outlineLvl w:val="0"/>
              <w:rPr>
                <w:rFonts w:hint="eastAsia" w:ascii="宋体" w:hAnsi="宋体" w:eastAsia="宋体" w:cs="宋体"/>
                <w:sz w:val="24"/>
                <w:szCs w:val="24"/>
                <w:highlight w:val="none"/>
              </w:rPr>
            </w:pPr>
            <w:r>
              <w:rPr>
                <w:rFonts w:hint="default" w:ascii="宋体" w:hAnsi="宋体" w:cs="宋体"/>
                <w:sz w:val="24"/>
                <w:szCs w:val="24"/>
                <w:highlight w:val="none"/>
                <w:lang w:val="en-US" w:eastAsia="zh-CN"/>
              </w:rPr>
              <w:t>11</w:t>
            </w:r>
          </w:p>
        </w:tc>
        <w:tc>
          <w:tcPr>
            <w:tcW w:w="3028" w:type="pct"/>
            <w:gridSpan w:val="2"/>
          </w:tcPr>
          <w:p>
            <w:pPr>
              <w:spacing w:line="360" w:lineRule="auto"/>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有效投标报价的最低价作为评标基准价，其最低报价为满分；按［投标报价得分=（评标基准价/投标报价）*</w:t>
            </w:r>
            <w:r>
              <w:rPr>
                <w:rFonts w:hint="default" w:ascii="宋体" w:hAnsi="宋体" w:cs="宋体"/>
                <w:sz w:val="24"/>
                <w:szCs w:val="24"/>
                <w:highlight w:val="none"/>
                <w:lang w:val="en-US" w:eastAsia="zh-CN"/>
              </w:rPr>
              <w:t>1</w:t>
            </w:r>
            <w:r>
              <w:rPr>
                <w:rFonts w:hint="eastAsia" w:ascii="宋体" w:hAnsi="宋体" w:eastAsia="宋体" w:cs="宋体"/>
                <w:sz w:val="24"/>
                <w:szCs w:val="24"/>
                <w:highlight w:val="none"/>
              </w:rPr>
              <w:t>0］的计算公式计算。</w:t>
            </w:r>
          </w:p>
          <w:p>
            <w:pPr>
              <w:widowControl/>
              <w:shd w:val="clear" w:color="auto" w:fill="FFFFFF"/>
              <w:adjustRightInd/>
              <w:spacing w:after="225" w:line="360" w:lineRule="auto"/>
              <w:ind w:firstLine="42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评标过程中，不得去掉报价中的最高报价和最低报价。</w:t>
            </w:r>
          </w:p>
          <w:p>
            <w:pPr>
              <w:widowControl/>
              <w:shd w:val="clear" w:color="auto" w:fill="FFFFFF"/>
              <w:adjustRightInd/>
              <w:spacing w:after="225" w:line="360" w:lineRule="auto"/>
              <w:ind w:firstLine="42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因落实政府采购政策需要进行价格调整的，以调整后的价格计算评标基准价和投标报价。</w:t>
            </w:r>
          </w:p>
        </w:tc>
        <w:tc>
          <w:tcPr>
            <w:tcW w:w="407" w:type="pct"/>
            <w:vAlign w:val="center"/>
          </w:tcPr>
          <w:p>
            <w:pPr>
              <w:spacing w:line="360" w:lineRule="auto"/>
              <w:ind w:firstLine="120" w:firstLineChars="50"/>
              <w:jc w:val="both"/>
              <w:outlineLvl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1095" w:type="pct"/>
            <w:vAlign w:val="center"/>
          </w:tcPr>
          <w:p>
            <w:pPr>
              <w:spacing w:line="360" w:lineRule="auto"/>
              <w:jc w:val="center"/>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r>
    </w:tbl>
    <w:p>
      <w:pPr>
        <w:snapToGrid w:val="0"/>
        <w:spacing w:line="360" w:lineRule="auto"/>
        <w:rPr>
          <w:rFonts w:ascii="宋体" w:hAnsi="宋体" w:cs="宋体"/>
          <w:b/>
          <w:sz w:val="24"/>
          <w:highlight w:val="none"/>
        </w:rPr>
      </w:pPr>
      <w:r>
        <w:rPr>
          <w:rFonts w:hint="eastAsia" w:ascii="宋体" w:hAnsi="宋体" w:cs="宋体"/>
          <w:sz w:val="20"/>
          <w:szCs w:val="20"/>
          <w:highlight w:val="none"/>
          <w:shd w:val="clear" w:color="auto" w:fill="FFFFFF"/>
        </w:rPr>
        <w:t> *</w:t>
      </w:r>
      <w:r>
        <w:rPr>
          <w:rFonts w:hint="eastAsia" w:ascii="宋体" w:hAnsi="宋体" w:cs="宋体"/>
          <w:b/>
          <w:sz w:val="24"/>
          <w:highlight w:val="none"/>
        </w:rPr>
        <w:t>备注：</w:t>
      </w:r>
      <w:r>
        <w:rPr>
          <w:rFonts w:hint="eastAsia" w:ascii="宋体" w:hAnsi="宋体" w:cs="宋体"/>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highlight w:val="none"/>
        </w:rPr>
      </w:pPr>
      <w:r>
        <w:rPr>
          <w:rFonts w:hint="eastAsia" w:ascii="宋体" w:hAnsi="宋体" w:cs="宋体"/>
          <w:b/>
          <w:sz w:val="32"/>
          <w:highlight w:val="none"/>
        </w:rPr>
        <w:t>一、评标方法</w:t>
      </w:r>
    </w:p>
    <w:p>
      <w:pPr>
        <w:adjustRightInd/>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1.本项目采用综合评分法。</w:t>
      </w:r>
      <w:r>
        <w:rPr>
          <w:rFonts w:hint="eastAsia" w:ascii="宋体" w:hAnsi="宋体" w:cs="宋体"/>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highlight w:val="none"/>
        </w:rPr>
      </w:pPr>
      <w:r>
        <w:rPr>
          <w:rFonts w:hint="eastAsia" w:ascii="宋体" w:hAnsi="宋体" w:cs="宋体"/>
          <w:b/>
          <w:sz w:val="32"/>
          <w:highlight w:val="none"/>
        </w:rPr>
        <w:t>二、评标标准</w:t>
      </w:r>
    </w:p>
    <w:p>
      <w:pPr>
        <w:spacing w:line="360" w:lineRule="auto"/>
        <w:ind w:firstLine="472" w:firstLineChars="196"/>
        <w:rPr>
          <w:rFonts w:ascii="宋体" w:hAnsi="宋体" w:cs="宋体"/>
          <w:b/>
          <w:sz w:val="24"/>
          <w:highlight w:val="none"/>
        </w:rPr>
      </w:pPr>
      <w:r>
        <w:rPr>
          <w:rFonts w:hint="eastAsia" w:ascii="宋体" w:hAnsi="宋体" w:cs="宋体"/>
          <w:b/>
          <w:sz w:val="24"/>
          <w:highlight w:val="none"/>
        </w:rPr>
        <w:t>2.</w:t>
      </w:r>
      <w:r>
        <w:rPr>
          <w:rFonts w:hint="eastAsia" w:ascii="宋体" w:hAnsi="宋体" w:cs="宋体"/>
          <w:highlight w:val="none"/>
        </w:rPr>
        <w:t xml:space="preserve"> </w:t>
      </w:r>
      <w:r>
        <w:rPr>
          <w:rFonts w:hint="eastAsia" w:ascii="宋体" w:hAnsi="宋体" w:cs="宋体"/>
          <w:b/>
          <w:sz w:val="24"/>
          <w:highlight w:val="none"/>
        </w:rPr>
        <w:t>评标标准：</w:t>
      </w:r>
      <w:r>
        <w:rPr>
          <w:rFonts w:hint="eastAsia" w:ascii="宋体" w:hAnsi="宋体" w:cs="宋体"/>
          <w:kern w:val="0"/>
          <w:sz w:val="24"/>
          <w:highlight w:val="none"/>
        </w:rPr>
        <w:t>见评标办法前附表。</w:t>
      </w:r>
    </w:p>
    <w:p>
      <w:pPr>
        <w:spacing w:line="360" w:lineRule="auto"/>
        <w:outlineLvl w:val="0"/>
        <w:rPr>
          <w:rFonts w:ascii="宋体" w:hAnsi="宋体" w:cs="宋体"/>
          <w:b/>
          <w:sz w:val="36"/>
          <w:szCs w:val="36"/>
          <w:highlight w:val="none"/>
        </w:rPr>
      </w:pPr>
      <w:r>
        <w:rPr>
          <w:rFonts w:hint="eastAsia" w:ascii="宋体" w:hAnsi="宋体" w:cs="宋体"/>
          <w:b/>
          <w:sz w:val="36"/>
          <w:szCs w:val="36"/>
          <w:highlight w:val="none"/>
        </w:rPr>
        <w:t>三、评标程序</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3.1符合性审查。</w:t>
      </w:r>
      <w:r>
        <w:rPr>
          <w:rFonts w:hint="eastAsia" w:ascii="宋体" w:hAnsi="宋体" w:cs="宋体"/>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3.2 比较与评价。</w:t>
      </w:r>
      <w:r>
        <w:rPr>
          <w:rFonts w:hint="eastAsia" w:ascii="宋体" w:hAnsi="宋体" w:cs="宋体"/>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3.3汇总商务技术得分。</w:t>
      </w:r>
      <w:r>
        <w:rPr>
          <w:rFonts w:hint="eastAsia" w:ascii="宋体" w:hAnsi="宋体" w:cs="宋体"/>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highlight w:val="none"/>
        </w:rPr>
      </w:pPr>
      <w:r>
        <w:rPr>
          <w:rFonts w:hint="eastAsia" w:ascii="宋体" w:hAnsi="宋体" w:cs="宋体"/>
          <w:b/>
          <w:kern w:val="0"/>
          <w:sz w:val="24"/>
          <w:highlight w:val="none"/>
        </w:rPr>
        <w:t>3.4报价评审。</w:t>
      </w:r>
    </w:p>
    <w:p>
      <w:pPr>
        <w:pStyle w:val="128"/>
        <w:spacing w:before="0"/>
        <w:ind w:firstLine="508" w:firstLineChars="212"/>
        <w:rPr>
          <w:rFonts w:ascii="宋体" w:hAnsi="宋体" w:cs="宋体"/>
          <w:kern w:val="0"/>
          <w:highlight w:val="none"/>
        </w:rPr>
      </w:pPr>
      <w:r>
        <w:rPr>
          <w:rFonts w:hint="eastAsia" w:ascii="宋体" w:hAnsi="宋体" w:cs="宋体"/>
          <w:kern w:val="0"/>
          <w:highlight w:val="none"/>
        </w:rPr>
        <w:t>3.4.1投标文件报价出现前后不一致的，按照下列规定修正：</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3.4.1.1投标文件中开标一览表(报价表)内容与投标文件中相应内容不一致的，以开标一览表(报价表)为准;</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3.4.1.2大写金额和小写金额不一致的，以大写金额为准;</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3.4.1.3单价金额小数点或者百分比有明显错位的，以开标一览表的总价为准，并修改单价;</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3.4.1.4总价金额与按单价汇总金额不一致的，以单价金额计算结果为准。</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3.4.3投标报价超过招标文件中规定的预算金额或者最高限价的，投标无效。</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3.4.5对于未预留份额专门面向中小企业的政府采购服务项目，以及预留份额政府采购服务项目中的非预留部分标项，对小型和微型企业的投标报价给予</w:t>
      </w:r>
      <w:r>
        <w:rPr>
          <w:rFonts w:hint="default" w:ascii="宋体" w:hAnsi="宋体" w:cs="宋体"/>
          <w:kern w:val="0"/>
          <w:szCs w:val="24"/>
          <w:highlight w:val="none"/>
          <w:lang w:val="en-US"/>
        </w:rPr>
        <w:t>20</w:t>
      </w:r>
      <w:r>
        <w:rPr>
          <w:rFonts w:hint="eastAsia" w:ascii="宋体" w:hAnsi="宋体" w:cs="宋体"/>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default" w:ascii="宋体" w:hAnsi="宋体" w:cs="宋体"/>
          <w:kern w:val="0"/>
          <w:szCs w:val="24"/>
          <w:highlight w:val="none"/>
          <w:lang w:val="en-US"/>
        </w:rPr>
        <w:t>6</w:t>
      </w:r>
      <w:r>
        <w:rPr>
          <w:rFonts w:hint="eastAsia" w:ascii="宋体" w:hAnsi="宋体" w:cs="宋体"/>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highlight w:val="none"/>
        </w:rPr>
      </w:pPr>
      <w:r>
        <w:rPr>
          <w:rFonts w:hint="eastAsia" w:ascii="宋体" w:hAnsi="宋体" w:cs="宋体"/>
          <w:b/>
          <w:kern w:val="0"/>
          <w:sz w:val="24"/>
          <w:highlight w:val="none"/>
        </w:rPr>
        <w:t>3.5排序与推荐。</w:t>
      </w:r>
      <w:r>
        <w:rPr>
          <w:rFonts w:hint="eastAsia" w:ascii="宋体" w:hAnsi="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highlight w:val="none"/>
        </w:rPr>
      </w:pPr>
      <w:r>
        <w:rPr>
          <w:rFonts w:hint="eastAsia" w:ascii="宋体" w:hAnsi="宋体" w:cs="宋体"/>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3.6编写评标报告。</w:t>
      </w:r>
      <w:r>
        <w:rPr>
          <w:rFonts w:hint="eastAsia" w:ascii="宋体" w:hAnsi="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highlight w:val="none"/>
        </w:rPr>
      </w:pPr>
      <w:r>
        <w:rPr>
          <w:rFonts w:hint="eastAsia" w:ascii="宋体" w:hAnsi="宋体" w:cs="宋体"/>
          <w:b/>
          <w:sz w:val="32"/>
          <w:highlight w:val="none"/>
        </w:rPr>
        <w:t>四、评标中的其他事项</w:t>
      </w:r>
    </w:p>
    <w:p>
      <w:pPr>
        <w:pStyle w:val="128"/>
        <w:spacing w:before="0"/>
        <w:ind w:firstLine="472" w:firstLineChars="196"/>
        <w:rPr>
          <w:rFonts w:ascii="宋体" w:hAnsi="宋体" w:cs="宋体"/>
          <w:kern w:val="0"/>
          <w:szCs w:val="24"/>
          <w:highlight w:val="none"/>
        </w:rPr>
      </w:pPr>
      <w:r>
        <w:rPr>
          <w:rFonts w:hint="eastAsia" w:ascii="宋体" w:hAnsi="宋体" w:cs="宋体"/>
          <w:b/>
          <w:kern w:val="0"/>
          <w:szCs w:val="24"/>
          <w:highlight w:val="none"/>
        </w:rPr>
        <w:t>4.1投标人澄清、说明或者补正。</w:t>
      </w:r>
      <w:r>
        <w:rPr>
          <w:rFonts w:hint="eastAsia" w:ascii="宋体" w:hAnsi="宋体"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highlight w:val="none"/>
        </w:rPr>
      </w:pPr>
      <w:r>
        <w:rPr>
          <w:rFonts w:hint="eastAsia" w:cs="宋体"/>
          <w:b/>
          <w:kern w:val="0"/>
          <w:highlight w:val="none"/>
        </w:rPr>
        <w:t>4.2投标无效。</w:t>
      </w:r>
      <w:r>
        <w:rPr>
          <w:rFonts w:hint="eastAsia" w:cs="宋体"/>
          <w:szCs w:val="21"/>
          <w:highlight w:val="none"/>
        </w:rPr>
        <w:t>有下列情形之一的，投标无效：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4.2.2投标文件未按照招标文件要求签署、盖章的；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4.2.4投标文件含有采购人不能接受的附加条件的；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highlight w:val="none"/>
        </w:rPr>
      </w:pPr>
      <w:r>
        <w:rPr>
          <w:rFonts w:hint="eastAsia" w:ascii="宋体" w:hAnsi="宋体" w:cs="宋体"/>
          <w:kern w:val="0"/>
          <w:sz w:val="24"/>
          <w:highlight w:val="none"/>
        </w:rPr>
        <w:t xml:space="preserve">   4.2.6投标文件出现不是唯一的、有选择性投标报价的;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4.2.7投标报价超过招标文件中规定的预算金额或者最高限价的;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4.2.9投标人对根据修正原则修正后的报价不确认的；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4.2.10投标人提供虚假材料投标的；</w:t>
      </w:r>
    </w:p>
    <w:p>
      <w:pPr>
        <w:spacing w:line="360" w:lineRule="auto"/>
        <w:ind w:firstLine="240" w:firstLineChars="100"/>
        <w:rPr>
          <w:rFonts w:ascii="宋体" w:hAnsi="宋体" w:cs="宋体"/>
          <w:kern w:val="0"/>
          <w:sz w:val="24"/>
          <w:highlight w:val="none"/>
        </w:rPr>
      </w:pPr>
      <w:r>
        <w:rPr>
          <w:rFonts w:hint="eastAsia" w:ascii="宋体" w:hAnsi="宋体" w:cs="宋体"/>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4.2.12投标人仅提交备份投标文件，未在电子交易平台传输递交投标文件的，投标无效；</w:t>
      </w:r>
    </w:p>
    <w:p>
      <w:pPr>
        <w:pStyle w:val="3"/>
        <w:ind w:left="862" w:leftChars="205"/>
        <w:rPr>
          <w:rFonts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cs="宋体"/>
          <w:highlight w:val="none"/>
        </w:rPr>
      </w:pPr>
      <w:r>
        <w:rPr>
          <w:rFonts w:hint="eastAsia" w:cs="宋体"/>
          <w:b/>
          <w:highlight w:val="none"/>
        </w:rPr>
        <w:t>5.废标。</w:t>
      </w:r>
      <w:r>
        <w:rPr>
          <w:rFonts w:hint="eastAsia" w:cs="宋体"/>
          <w:highlight w:val="none"/>
        </w:rPr>
        <w:t>根据《中华人民共和国政府采购法》第三十六条之规定，在采购中，出现下列情形之一的，应予废标：</w:t>
      </w:r>
    </w:p>
    <w:p>
      <w:pPr>
        <w:pStyle w:val="25"/>
        <w:snapToGrid w:val="0"/>
        <w:spacing w:line="360" w:lineRule="auto"/>
        <w:rPr>
          <w:rFonts w:cs="宋体"/>
          <w:highlight w:val="none"/>
        </w:rPr>
      </w:pPr>
      <w:r>
        <w:rPr>
          <w:rFonts w:hint="eastAsia" w:cs="宋体"/>
          <w:highlight w:val="none"/>
        </w:rPr>
        <w:t>5.1符合专业条件的供应商或者对招标文件作实质响应的供应商不足3家的；</w:t>
      </w:r>
    </w:p>
    <w:p>
      <w:pPr>
        <w:pStyle w:val="25"/>
        <w:snapToGrid w:val="0"/>
        <w:spacing w:line="360" w:lineRule="auto"/>
        <w:rPr>
          <w:rFonts w:cs="宋体"/>
          <w:highlight w:val="none"/>
        </w:rPr>
      </w:pPr>
      <w:r>
        <w:rPr>
          <w:rFonts w:hint="eastAsia" w:cs="宋体"/>
          <w:highlight w:val="none"/>
        </w:rPr>
        <w:t>5.2出现影响采购公正的违法、违规行为的；</w:t>
      </w:r>
    </w:p>
    <w:p>
      <w:pPr>
        <w:pStyle w:val="25"/>
        <w:snapToGrid w:val="0"/>
        <w:spacing w:line="360" w:lineRule="auto"/>
        <w:rPr>
          <w:rFonts w:cs="宋体"/>
          <w:highlight w:val="none"/>
        </w:rPr>
      </w:pPr>
      <w:r>
        <w:rPr>
          <w:rFonts w:hint="eastAsia" w:cs="宋体"/>
          <w:highlight w:val="none"/>
        </w:rPr>
        <w:t>5.3投标人的报价均超过了采购预算，采购人不能支付的；</w:t>
      </w:r>
    </w:p>
    <w:p>
      <w:pPr>
        <w:pStyle w:val="25"/>
        <w:snapToGrid w:val="0"/>
        <w:spacing w:line="360" w:lineRule="auto"/>
        <w:rPr>
          <w:rFonts w:cs="宋体"/>
          <w:highlight w:val="none"/>
        </w:rPr>
      </w:pPr>
      <w:r>
        <w:rPr>
          <w:rFonts w:hint="eastAsia" w:cs="宋体"/>
          <w:highlight w:val="none"/>
        </w:rPr>
        <w:t>5.4因重大变故，采购任务取消的。</w:t>
      </w:r>
    </w:p>
    <w:p>
      <w:pPr>
        <w:pStyle w:val="25"/>
        <w:snapToGrid w:val="0"/>
        <w:spacing w:line="360" w:lineRule="auto"/>
        <w:rPr>
          <w:rFonts w:cs="宋体"/>
          <w:highlight w:val="none"/>
        </w:rPr>
      </w:pPr>
      <w:r>
        <w:rPr>
          <w:rFonts w:hint="eastAsia" w:cs="宋体"/>
          <w:highlight w:val="none"/>
        </w:rPr>
        <w:t>废标后，采购机构应当将废标理由通知所有投标人。</w:t>
      </w:r>
    </w:p>
    <w:p>
      <w:pPr>
        <w:pStyle w:val="25"/>
        <w:snapToGrid w:val="0"/>
        <w:spacing w:line="360" w:lineRule="auto"/>
        <w:ind w:firstLine="590" w:firstLineChars="245"/>
        <w:rPr>
          <w:rFonts w:cs="宋体"/>
          <w:highlight w:val="none"/>
        </w:rPr>
      </w:pPr>
      <w:r>
        <w:rPr>
          <w:rFonts w:hint="eastAsia" w:cs="宋体"/>
          <w:b/>
          <w:highlight w:val="none"/>
        </w:rPr>
        <w:t>6.修改招标文件，重新组织采购活动。</w:t>
      </w:r>
      <w:r>
        <w:rPr>
          <w:rFonts w:hint="eastAsia" w:cs="宋体"/>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cs="宋体"/>
          <w:highlight w:val="none"/>
        </w:rPr>
      </w:pPr>
      <w:r>
        <w:rPr>
          <w:rFonts w:hint="eastAsia" w:cs="宋体"/>
          <w:b/>
          <w:kern w:val="0"/>
          <w:highlight w:val="none"/>
        </w:rPr>
        <w:t>7.重新开展采购。</w:t>
      </w:r>
      <w:r>
        <w:rPr>
          <w:rFonts w:hint="eastAsia" w:cs="宋体"/>
          <w:highlight w:val="none"/>
        </w:rPr>
        <w:t>有政府采购法第七十一条、第七十二条规定的违法行为之一，影响或者可能影响中标结果的，依照下列规定处理：</w:t>
      </w:r>
    </w:p>
    <w:p>
      <w:pPr>
        <w:pStyle w:val="25"/>
        <w:snapToGrid w:val="0"/>
        <w:spacing w:line="360" w:lineRule="auto"/>
        <w:rPr>
          <w:rFonts w:cs="宋体"/>
          <w:highlight w:val="none"/>
        </w:rPr>
      </w:pPr>
      <w:r>
        <w:rPr>
          <w:rFonts w:hint="eastAsia" w:cs="宋体"/>
          <w:highlight w:val="none"/>
        </w:rPr>
        <w:t>7.1未确定中标供应商的，终止本次政府采购活动，重新开展政府采购活动。</w:t>
      </w:r>
    </w:p>
    <w:p>
      <w:pPr>
        <w:pStyle w:val="25"/>
        <w:snapToGrid w:val="0"/>
        <w:spacing w:line="360" w:lineRule="auto"/>
        <w:rPr>
          <w:rFonts w:cs="宋体"/>
          <w:highlight w:val="none"/>
        </w:rPr>
      </w:pPr>
      <w:r>
        <w:rPr>
          <w:rFonts w:hint="eastAsia" w:cs="宋体"/>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highlight w:val="none"/>
        </w:rPr>
      </w:pPr>
      <w:r>
        <w:rPr>
          <w:rFonts w:hint="eastAsia" w:cs="宋体"/>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highlight w:val="none"/>
        </w:rPr>
      </w:pPr>
      <w:r>
        <w:rPr>
          <w:rFonts w:hint="eastAsia" w:cs="宋体"/>
          <w:highlight w:val="none"/>
        </w:rPr>
        <w:t>7.4政府采购合同已经履行，给采购人、供应商造成损失的，由责任人承担赔偿责任。</w:t>
      </w:r>
    </w:p>
    <w:p>
      <w:pPr>
        <w:pStyle w:val="25"/>
        <w:snapToGrid w:val="0"/>
        <w:spacing w:line="360" w:lineRule="auto"/>
        <w:rPr>
          <w:rFonts w:cs="宋体"/>
          <w:highlight w:val="none"/>
        </w:rPr>
      </w:pPr>
      <w:r>
        <w:rPr>
          <w:rFonts w:hint="eastAsia" w:cs="宋体"/>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highlight w:val="none"/>
        </w:rPr>
      </w:pPr>
    </w:p>
    <w:bookmarkEnd w:id="27"/>
    <w:p>
      <w:pPr>
        <w:spacing w:line="360" w:lineRule="auto"/>
        <w:ind w:left="720" w:leftChars="343" w:firstLine="1084" w:firstLineChars="300"/>
        <w:outlineLvl w:val="0"/>
        <w:rPr>
          <w:rFonts w:ascii="宋体" w:hAnsi="宋体" w:cs="宋体"/>
          <w:b/>
          <w:sz w:val="36"/>
          <w:szCs w:val="36"/>
          <w:highlight w:val="none"/>
        </w:rPr>
      </w:pPr>
      <w:bookmarkStart w:id="401" w:name="第五部分"/>
      <w:bookmarkStart w:id="402" w:name="_Toc86217003"/>
      <w:r>
        <w:rPr>
          <w:rFonts w:hint="eastAsia" w:ascii="宋体" w:hAnsi="宋体" w:cs="宋体"/>
          <w:b/>
          <w:sz w:val="36"/>
          <w:szCs w:val="36"/>
          <w:highlight w:val="none"/>
        </w:rPr>
        <w:t>第五部分 拟签订的合同文本</w:t>
      </w:r>
    </w:p>
    <w:p>
      <w:pPr>
        <w:rPr>
          <w:rFonts w:ascii="宋体" w:hAnsi="宋体" w:cs="宋体"/>
          <w:sz w:val="24"/>
          <w:highlight w:val="none"/>
          <w:u w:val="single"/>
        </w:rPr>
      </w:pPr>
      <w:r>
        <w:rPr>
          <w:rFonts w:hint="eastAsia" w:ascii="宋体" w:hAnsi="宋体" w:cs="宋体"/>
          <w:sz w:val="24"/>
          <w:highlight w:val="none"/>
        </w:rPr>
        <w:t>合同编号：</w:t>
      </w:r>
      <w:r>
        <w:rPr>
          <w:rFonts w:hint="eastAsia" w:ascii="宋体" w:hAnsi="宋体" w:cs="宋体"/>
          <w:sz w:val="24"/>
          <w:highlight w:val="none"/>
          <w:u w:val="single"/>
        </w:rPr>
        <w:t xml:space="preserve">           </w:t>
      </w:r>
    </w:p>
    <w:p>
      <w:pPr>
        <w:spacing w:line="480" w:lineRule="auto"/>
        <w:jc w:val="center"/>
        <w:rPr>
          <w:rFonts w:ascii="宋体" w:hAnsi="宋体" w:cs="宋体"/>
          <w:b/>
          <w:sz w:val="28"/>
          <w:szCs w:val="28"/>
          <w:highlight w:val="none"/>
        </w:rPr>
      </w:pPr>
    </w:p>
    <w:p>
      <w:pPr>
        <w:spacing w:line="480" w:lineRule="auto"/>
        <w:jc w:val="center"/>
        <w:rPr>
          <w:rFonts w:ascii="宋体" w:hAnsi="宋体" w:cs="宋体"/>
          <w:b/>
          <w:sz w:val="24"/>
          <w:highlight w:val="none"/>
        </w:rPr>
      </w:pPr>
    </w:p>
    <w:p>
      <w:pPr>
        <w:spacing w:line="480" w:lineRule="auto"/>
        <w:jc w:val="center"/>
        <w:rPr>
          <w:rFonts w:ascii="宋体" w:hAnsi="宋体" w:cs="宋体"/>
          <w:b/>
          <w:sz w:val="24"/>
          <w:highlight w:val="none"/>
        </w:rPr>
      </w:pP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政府采购合同参考范本</w:t>
      </w: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（服务类）</w:t>
      </w:r>
    </w:p>
    <w:p>
      <w:pPr>
        <w:pStyle w:val="699"/>
        <w:ind w:firstLine="2843" w:firstLineChars="1180"/>
        <w:rPr>
          <w:rFonts w:ascii="宋体" w:hAnsi="宋体" w:cs="宋体"/>
          <w:b/>
          <w:szCs w:val="24"/>
          <w:highlight w:val="none"/>
        </w:rPr>
      </w:pPr>
      <w:r>
        <w:rPr>
          <w:rFonts w:hint="eastAsia" w:ascii="宋体" w:hAnsi="宋体" w:cs="宋体"/>
          <w:b/>
          <w:szCs w:val="24"/>
          <w:highlight w:val="none"/>
        </w:rPr>
        <w:t>第一部分 合同书</w:t>
      </w:r>
    </w:p>
    <w:p>
      <w:pPr>
        <w:spacing w:before="120" w:line="22" w:lineRule="atLeast"/>
        <w:rPr>
          <w:rFonts w:ascii="宋体" w:hAnsi="宋体" w:cs="宋体"/>
          <w:sz w:val="24"/>
          <w:highlight w:val="none"/>
        </w:rPr>
      </w:pPr>
    </w:p>
    <w:p>
      <w:pPr>
        <w:pStyle w:val="3"/>
        <w:spacing w:before="120" w:line="22" w:lineRule="atLeast"/>
        <w:rPr>
          <w:rFonts w:ascii="宋体" w:hAnsi="宋体" w:cs="宋体"/>
          <w:sz w:val="24"/>
          <w:highlight w:val="none"/>
        </w:rPr>
      </w:pPr>
    </w:p>
    <w:p>
      <w:pPr>
        <w:spacing w:before="120" w:line="22" w:lineRule="atLeast"/>
        <w:ind w:left="960"/>
        <w:rPr>
          <w:rFonts w:ascii="宋体" w:hAnsi="宋体" w:cs="宋体"/>
          <w:sz w:val="24"/>
          <w:highlight w:val="none"/>
        </w:rPr>
      </w:pPr>
      <w:r>
        <w:rPr>
          <w:rFonts w:hint="eastAsia" w:ascii="宋体" w:hAnsi="宋体" w:cs="宋体"/>
          <w:sz w:val="24"/>
          <w:highlight w:val="none"/>
        </w:rPr>
        <w:t>项目名称：</w:t>
      </w:r>
      <w:r>
        <w:rPr>
          <w:rFonts w:hint="eastAsia" w:ascii="宋体" w:hAnsi="宋体" w:cs="宋体"/>
          <w:sz w:val="24"/>
          <w:highlight w:val="none"/>
          <w:u w:val="single"/>
        </w:rPr>
        <w:t xml:space="preserve">                                   </w:t>
      </w:r>
    </w:p>
    <w:p>
      <w:pPr>
        <w:pStyle w:val="596"/>
        <w:spacing w:before="120" w:line="22" w:lineRule="atLeast"/>
        <w:rPr>
          <w:rFonts w:ascii="宋体" w:hAnsi="宋体" w:eastAsia="宋体" w:cs="宋体"/>
          <w:szCs w:val="24"/>
          <w:highlight w:val="none"/>
        </w:rPr>
      </w:pPr>
    </w:p>
    <w:p>
      <w:pPr>
        <w:pStyle w:val="596"/>
        <w:spacing w:before="120" w:line="22" w:lineRule="atLeast"/>
        <w:rPr>
          <w:rFonts w:ascii="宋体" w:hAnsi="宋体" w:eastAsia="宋体" w:cs="宋体"/>
          <w:szCs w:val="24"/>
          <w:highlight w:val="none"/>
        </w:rPr>
      </w:pPr>
    </w:p>
    <w:p>
      <w:pPr>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甲方：</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乙方：</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sz w:val="24"/>
          <w:highlight w:val="none"/>
          <w:u w:val="single"/>
        </w:rPr>
      </w:pPr>
      <w:r>
        <w:rPr>
          <w:rFonts w:hint="eastAsia" w:ascii="宋体" w:hAnsi="宋体" w:cs="宋体"/>
          <w:sz w:val="24"/>
          <w:highlight w:val="none"/>
        </w:rPr>
        <w:t>签订地：</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sz w:val="24"/>
          <w:highlight w:val="none"/>
          <w:u w:val="single"/>
        </w:rPr>
      </w:pPr>
      <w:r>
        <w:rPr>
          <w:rFonts w:hint="eastAsia" w:ascii="宋体" w:hAnsi="宋体" w:cs="宋体"/>
          <w:sz w:val="24"/>
          <w:highlight w:val="none"/>
        </w:rPr>
        <w:t>签订日期：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widowControl/>
        <w:jc w:val="left"/>
        <w:rPr>
          <w:rFonts w:ascii="宋体" w:hAnsi="宋体" w:cs="宋体"/>
          <w:kern w:val="0"/>
          <w:sz w:val="24"/>
          <w:highlight w:val="none"/>
        </w:rPr>
        <w:sectPr>
          <w:pgSz w:w="11907" w:h="16840"/>
          <w:pgMar w:top="1474" w:right="1814" w:bottom="1474" w:left="1814" w:header="851" w:footer="851" w:gutter="0"/>
          <w:cols w:space="720" w:num="1"/>
        </w:sectPr>
      </w:pPr>
    </w:p>
    <w:p>
      <w:pPr>
        <w:spacing w:line="360" w:lineRule="auto"/>
        <w:ind w:firstLine="480" w:firstLineChars="200"/>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根据《中华人民共和国政府采购法》和《中华人民共和国民法典》、地方有关法律、法规和政策，在平等、自愿、协商一致的基础上，就甲方（</w:t>
      </w:r>
      <w:r>
        <w:rPr>
          <w:rFonts w:hint="eastAsia" w:ascii="宋体" w:hAnsi="宋体" w:eastAsia="宋体" w:cs="宋体"/>
          <w:color w:val="000000"/>
          <w:sz w:val="24"/>
          <w:highlight w:val="none"/>
          <w:lang w:eastAsia="zh-CN"/>
        </w:rPr>
        <w:t>中共杭州市西湖</w:t>
      </w:r>
      <w:r>
        <w:rPr>
          <w:rFonts w:hint="eastAsia" w:ascii="宋体" w:hAnsi="宋体" w:eastAsia="宋体" w:cs="宋体"/>
          <w:color w:val="000000"/>
          <w:kern w:val="28"/>
          <w:sz w:val="24"/>
          <w:highlight w:val="none"/>
          <w:lang w:val="en-US" w:eastAsia="zh-Hans"/>
        </w:rPr>
        <w:t>人大常委会</w:t>
      </w:r>
      <w:r>
        <w:rPr>
          <w:rFonts w:hint="eastAsia" w:ascii="宋体" w:hAnsi="宋体" w:eastAsia="宋体" w:cs="宋体"/>
          <w:color w:val="000000"/>
          <w:sz w:val="24"/>
          <w:highlight w:val="none"/>
        </w:rPr>
        <w:t>）委托乙方（</w:t>
      </w:r>
      <w:r>
        <w:rPr>
          <w:rFonts w:hint="eastAsia" w:ascii="宋体" w:hAnsi="宋体" w:eastAsia="宋体" w:cs="宋体"/>
          <w:color w:val="000000"/>
          <w:kern w:val="0"/>
          <w:sz w:val="24"/>
          <w:highlight w:val="none"/>
          <w:lang w:val="zh-CN"/>
        </w:rPr>
        <w:t>经评审最终确定的</w:t>
      </w:r>
      <w:r>
        <w:rPr>
          <w:rFonts w:hint="eastAsia" w:ascii="宋体" w:hAnsi="宋体" w:eastAsia="宋体" w:cs="宋体"/>
          <w:color w:val="000000"/>
          <w:sz w:val="24"/>
          <w:highlight w:val="none"/>
        </w:rPr>
        <w:t>成交供应商）对</w:t>
      </w:r>
      <w:r>
        <w:rPr>
          <w:rFonts w:hint="eastAsia" w:ascii="宋体" w:hAnsi="宋体" w:cs="宋体"/>
          <w:color w:val="000000"/>
          <w:sz w:val="24"/>
          <w:highlight w:val="none"/>
          <w:lang w:eastAsia="zh-CN"/>
        </w:rPr>
        <w:t>杭州市西湖区电子政务整体安全体系改造提升（2022）项目</w:t>
      </w:r>
      <w:r>
        <w:rPr>
          <w:rFonts w:hint="eastAsia" w:ascii="宋体" w:hAnsi="宋体" w:eastAsia="宋体" w:cs="宋体"/>
          <w:color w:val="000000"/>
          <w:sz w:val="24"/>
          <w:highlight w:val="none"/>
        </w:rPr>
        <w:t>订立本合同。</w:t>
      </w: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1、 定义</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 “</w:t>
      </w:r>
      <w:r>
        <w:rPr>
          <w:rFonts w:hint="eastAsia" w:ascii="宋体" w:hAnsi="宋体" w:eastAsia="宋体" w:cs="宋体"/>
          <w:color w:val="000000"/>
          <w:kern w:val="0"/>
          <w:sz w:val="24"/>
          <w:highlight w:val="none"/>
          <w:lang w:val="zh-CN"/>
        </w:rPr>
        <w:t>合同”</w:t>
      </w:r>
      <w:r>
        <w:rPr>
          <w:rFonts w:hint="eastAsia" w:ascii="宋体" w:hAnsi="宋体" w:eastAsia="宋体" w:cs="宋体"/>
          <w:color w:val="000000"/>
          <w:sz w:val="24"/>
          <w:highlight w:val="none"/>
        </w:rPr>
        <w:t>即由</w:t>
      </w:r>
      <w:r>
        <w:rPr>
          <w:rFonts w:hint="eastAsia" w:ascii="宋体" w:hAnsi="宋体" w:eastAsia="宋体" w:cs="宋体"/>
          <w:color w:val="000000"/>
          <w:kern w:val="0"/>
          <w:sz w:val="24"/>
          <w:highlight w:val="none"/>
          <w:lang w:val="zh-CN"/>
        </w:rPr>
        <w:t>甲乙方</w:t>
      </w:r>
      <w:r>
        <w:rPr>
          <w:rFonts w:hint="eastAsia" w:ascii="宋体" w:hAnsi="宋体" w:eastAsia="宋体" w:cs="宋体"/>
          <w:color w:val="000000"/>
          <w:sz w:val="24"/>
          <w:highlight w:val="none"/>
        </w:rPr>
        <w:t>双方签订的合同格式中的文件，包括所有的附件、附录和组成合同部分的所有其他文件。</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合同将由</w:t>
      </w:r>
      <w:r>
        <w:rPr>
          <w:rFonts w:hint="eastAsia" w:ascii="宋体" w:hAnsi="宋体" w:cs="宋体"/>
          <w:color w:val="000000"/>
          <w:sz w:val="24"/>
          <w:highlight w:val="none"/>
          <w:lang w:eastAsia="zh-CN"/>
        </w:rPr>
        <w:t>杭州市西湖区数据资源管理局</w:t>
      </w:r>
      <w:r>
        <w:rPr>
          <w:rFonts w:hint="eastAsia" w:ascii="宋体" w:hAnsi="宋体" w:eastAsia="宋体" w:cs="宋体"/>
          <w:color w:val="000000"/>
          <w:sz w:val="24"/>
          <w:highlight w:val="none"/>
        </w:rPr>
        <w:t>（以下简称甲方）与经评审最终确定的成交供应商（以下简称乙方）结合本项目具体情况协商后签订</w:t>
      </w:r>
      <w:r>
        <w:rPr>
          <w:rFonts w:hint="eastAsia" w:ascii="宋体" w:hAnsi="宋体" w:eastAsia="宋体" w:cs="宋体"/>
          <w:color w:val="000000"/>
          <w:kern w:val="0"/>
          <w:sz w:val="24"/>
          <w:highlight w:val="none"/>
          <w:lang w:val="zh-CN"/>
        </w:rPr>
        <w:t>。以下为采购单位提出涉及乙方的主要条款，投标人在投标文件中应对其进行确认或拒绝。如投标人在其投标文件中未做拒绝或提出修改要求的，采购单位将视作认同</w:t>
      </w:r>
      <w:r>
        <w:rPr>
          <w:rFonts w:hint="eastAsia" w:ascii="宋体" w:hAnsi="宋体" w:eastAsia="宋体" w:cs="宋体"/>
          <w:color w:val="000000"/>
          <w:sz w:val="24"/>
          <w:highlight w:val="none"/>
        </w:rPr>
        <w:t>。</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 “合同价格”系指根据合同规定，在供应商全面正确地履行合同义务时，采购单位应支付给供应商的款项。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w:t>
      </w:r>
      <w:r>
        <w:rPr>
          <w:rFonts w:hint="eastAsia" w:ascii="宋体" w:hAnsi="宋体" w:eastAsia="宋体" w:cs="宋体"/>
          <w:color w:val="000000"/>
          <w:sz w:val="24"/>
          <w:highlight w:val="none"/>
        </w:rPr>
        <w:t>.</w:t>
      </w:r>
      <w:r>
        <w:rPr>
          <w:rFonts w:hint="eastAsia" w:ascii="宋体" w:hAnsi="宋体" w:eastAsia="宋体" w:cs="宋体"/>
          <w:sz w:val="24"/>
          <w:highlight w:val="none"/>
        </w:rPr>
        <w:t>“服务”系指招标文件规定供应商须承担的安装、调试、技术协助、校准、培训以及其它类似的义务。</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 “甲方”系指通过采购接受合同及服务的</w:t>
      </w:r>
      <w:r>
        <w:rPr>
          <w:rFonts w:hint="eastAsia" w:ascii="宋体" w:hAnsi="宋体" w:cs="宋体"/>
          <w:color w:val="000000"/>
          <w:sz w:val="24"/>
          <w:highlight w:val="none"/>
          <w:lang w:eastAsia="zh-CN"/>
        </w:rPr>
        <w:t>杭州市西湖区数据资源管理局</w:t>
      </w:r>
      <w:r>
        <w:rPr>
          <w:rFonts w:hint="eastAsia" w:ascii="宋体" w:hAnsi="宋体" w:eastAsia="宋体" w:cs="宋体"/>
          <w:color w:val="000000"/>
          <w:sz w:val="24"/>
          <w:highlight w:val="none"/>
        </w:rPr>
        <w:t>。</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5. “乙方”系指</w:t>
      </w:r>
      <w:r>
        <w:rPr>
          <w:rFonts w:hint="eastAsia" w:ascii="宋体" w:hAnsi="宋体" w:eastAsia="宋体" w:cs="宋体"/>
          <w:color w:val="000000"/>
          <w:kern w:val="0"/>
          <w:sz w:val="24"/>
          <w:highlight w:val="none"/>
          <w:lang w:val="zh-CN"/>
        </w:rPr>
        <w:t>经评审最终确定的</w:t>
      </w:r>
      <w:r>
        <w:rPr>
          <w:rFonts w:hint="eastAsia" w:ascii="宋体" w:hAnsi="宋体" w:eastAsia="宋体" w:cs="宋体"/>
          <w:color w:val="000000"/>
          <w:sz w:val="24"/>
          <w:highlight w:val="none"/>
        </w:rPr>
        <w:t>成交供应商。</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6. “现场”系指将要进行系统安装和运转的地点。</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7. “验收”系指采购人依据国家有关规定接受合同所依据的程序和条件。</w:t>
      </w: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 适用范围</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本合同条款适用与本次采购活动。项目实施范围详见附件——投标文件和投标文件及补充文件、承诺书等。</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3．项目开发与要求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3.1乙方必须在合同签订后</w:t>
      </w:r>
      <w:r>
        <w:rPr>
          <w:rFonts w:hint="eastAsia" w:ascii="宋体" w:hAnsi="宋体" w:cs="宋体"/>
          <w:sz w:val="24"/>
          <w:highlight w:val="none"/>
          <w:lang w:val="en-US" w:eastAsia="zh-CN"/>
        </w:rPr>
        <w:t>10</w:t>
      </w:r>
      <w:r>
        <w:rPr>
          <w:rFonts w:hint="eastAsia" w:ascii="宋体" w:hAnsi="宋体" w:eastAsia="宋体" w:cs="宋体"/>
          <w:sz w:val="24"/>
          <w:highlight w:val="none"/>
        </w:rPr>
        <w:t>天内进一步优化需求分析、概要设计、详细设计，并细化系统建设计划、目标任务书和测试验收方案，向采购人提供上述文档并需经采购人审查通过。</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3.2合同签订后</w:t>
      </w:r>
      <w:r>
        <w:rPr>
          <w:rFonts w:hint="eastAsia" w:ascii="宋体" w:hAnsi="宋体" w:cs="宋体"/>
          <w:sz w:val="24"/>
          <w:highlight w:val="none"/>
          <w:lang w:val="en-US" w:eastAsia="zh-CN"/>
        </w:rPr>
        <w:t>3</w:t>
      </w:r>
      <w:r>
        <w:rPr>
          <w:rFonts w:hint="eastAsia" w:ascii="宋体" w:hAnsi="宋体" w:eastAsia="宋体" w:cs="宋体"/>
          <w:sz w:val="24"/>
          <w:highlight w:val="none"/>
        </w:rPr>
        <w:t>个月内完成项目的全部建设并通过初步验收</w:t>
      </w:r>
      <w:r>
        <w:rPr>
          <w:rFonts w:hint="eastAsia" w:ascii="宋体" w:hAnsi="宋体" w:eastAsia="宋体" w:cs="宋体"/>
          <w:sz w:val="24"/>
          <w:highlight w:val="none"/>
          <w:lang w:eastAsia="zh-CN"/>
        </w:rPr>
        <w:t>，进入试运行（试运行1个月）</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3.3试运行内完成培训及相关的修改，建立完善的系统运维体系，经</w:t>
      </w:r>
      <w:r>
        <w:rPr>
          <w:rFonts w:hint="eastAsia" w:ascii="宋体" w:hAnsi="宋体" w:eastAsia="宋体" w:cs="宋体"/>
          <w:sz w:val="24"/>
          <w:highlight w:val="none"/>
          <w:lang w:val="en-US" w:eastAsia="zh-CN"/>
        </w:rPr>
        <w:t>终验</w:t>
      </w:r>
      <w:r>
        <w:rPr>
          <w:rFonts w:hint="eastAsia" w:ascii="宋体" w:hAnsi="宋体" w:eastAsia="宋体" w:cs="宋体"/>
          <w:sz w:val="24"/>
          <w:highlight w:val="none"/>
        </w:rPr>
        <w:t>合格，正式交付使用，进入维保服务。</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sz w:val="24"/>
          <w:highlight w:val="none"/>
        </w:rPr>
        <w:t>3.4</w:t>
      </w:r>
      <w:r>
        <w:rPr>
          <w:rFonts w:hint="eastAsia" w:ascii="宋体" w:hAnsi="宋体" w:eastAsia="宋体" w:cs="宋体"/>
          <w:kern w:val="0"/>
          <w:sz w:val="24"/>
          <w:highlight w:val="none"/>
          <w:lang w:val="zh-CN"/>
        </w:rPr>
        <w:t>乙方</w:t>
      </w:r>
      <w:r>
        <w:rPr>
          <w:rFonts w:hint="eastAsia" w:ascii="宋体" w:hAnsi="宋体" w:eastAsia="宋体" w:cs="宋体"/>
          <w:sz w:val="24"/>
          <w:szCs w:val="21"/>
          <w:highlight w:val="none"/>
        </w:rPr>
        <w:t>对所提供的开发产品、技术开发和服务等拥有</w:t>
      </w:r>
      <w:r>
        <w:rPr>
          <w:rFonts w:hint="eastAsia" w:ascii="宋体" w:hAnsi="宋体" w:eastAsia="宋体" w:cs="宋体"/>
          <w:sz w:val="24"/>
          <w:highlight w:val="none"/>
        </w:rPr>
        <w:t>合法的占有和处置权，并对涉及项目的</w:t>
      </w:r>
      <w:r>
        <w:rPr>
          <w:rFonts w:hint="eastAsia" w:ascii="宋体" w:hAnsi="宋体" w:eastAsia="宋体" w:cs="宋体"/>
          <w:sz w:val="24"/>
          <w:szCs w:val="21"/>
          <w:highlight w:val="none"/>
        </w:rPr>
        <w:t>所有内容可能侵权行为指控负责，保证不伤害</w:t>
      </w:r>
      <w:r>
        <w:rPr>
          <w:rFonts w:hint="eastAsia" w:ascii="宋体" w:hAnsi="宋体" w:eastAsia="宋体" w:cs="宋体"/>
          <w:sz w:val="24"/>
          <w:highlight w:val="none"/>
        </w:rPr>
        <w:t>甲方</w:t>
      </w:r>
      <w:r>
        <w:rPr>
          <w:rFonts w:hint="eastAsia" w:ascii="宋体" w:hAnsi="宋体" w:eastAsia="宋体" w:cs="宋体"/>
          <w:sz w:val="24"/>
          <w:szCs w:val="21"/>
          <w:highlight w:val="none"/>
        </w:rPr>
        <w:t>的利益。在法律范围内，如果出现文字、图片、商标和技术等侵权行为而造成的纠纷和产生的一切费用，</w:t>
      </w:r>
      <w:r>
        <w:rPr>
          <w:rFonts w:hint="eastAsia" w:ascii="宋体" w:hAnsi="宋体" w:eastAsia="宋体" w:cs="宋体"/>
          <w:sz w:val="24"/>
          <w:highlight w:val="none"/>
        </w:rPr>
        <w:t>甲方</w:t>
      </w:r>
      <w:r>
        <w:rPr>
          <w:rFonts w:hint="eastAsia" w:ascii="宋体" w:hAnsi="宋体" w:eastAsia="宋体" w:cs="宋体"/>
          <w:sz w:val="24"/>
          <w:szCs w:val="21"/>
          <w:highlight w:val="none"/>
        </w:rPr>
        <w:t>概不负责，由此给</w:t>
      </w:r>
      <w:r>
        <w:rPr>
          <w:rFonts w:hint="eastAsia" w:ascii="宋体" w:hAnsi="宋体" w:eastAsia="宋体" w:cs="宋体"/>
          <w:sz w:val="24"/>
          <w:highlight w:val="none"/>
        </w:rPr>
        <w:t>甲方</w:t>
      </w:r>
      <w:r>
        <w:rPr>
          <w:rFonts w:hint="eastAsia" w:ascii="宋体" w:hAnsi="宋体" w:eastAsia="宋体" w:cs="宋体"/>
          <w:sz w:val="24"/>
          <w:szCs w:val="21"/>
          <w:highlight w:val="none"/>
        </w:rPr>
        <w:t>造成损失的，</w:t>
      </w:r>
      <w:r>
        <w:rPr>
          <w:rFonts w:hint="eastAsia" w:ascii="宋体" w:hAnsi="宋体" w:eastAsia="宋体" w:cs="宋体"/>
          <w:kern w:val="0"/>
          <w:sz w:val="24"/>
          <w:highlight w:val="none"/>
          <w:lang w:val="zh-CN"/>
        </w:rPr>
        <w:t>乙方</w:t>
      </w:r>
      <w:r>
        <w:rPr>
          <w:rFonts w:hint="eastAsia" w:ascii="宋体" w:hAnsi="宋体" w:eastAsia="宋体" w:cs="宋体"/>
          <w:sz w:val="24"/>
          <w:highlight w:val="none"/>
        </w:rPr>
        <w:t>要承担相应后果，</w:t>
      </w:r>
      <w:r>
        <w:rPr>
          <w:rFonts w:hint="eastAsia" w:ascii="宋体" w:hAnsi="宋体" w:eastAsia="宋体" w:cs="宋体"/>
          <w:kern w:val="0"/>
          <w:sz w:val="24"/>
          <w:highlight w:val="none"/>
          <w:lang w:val="zh-CN"/>
        </w:rPr>
        <w:t>并负责赔偿。乙方</w:t>
      </w:r>
      <w:r>
        <w:rPr>
          <w:rFonts w:hint="eastAsia" w:ascii="宋体" w:hAnsi="宋体" w:eastAsia="宋体" w:cs="宋体"/>
          <w:sz w:val="24"/>
          <w:highlight w:val="none"/>
        </w:rPr>
        <w:t>为执行本项目合同而提供的技术资料等归甲方所有。</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3.5乙方在投标文件中所列的开发产品等应与实际安装实施的产品完全一致，并提供相关证明。如发现产品与投标报价书等资料不符，甲方有权更换，其一切后果及费用由乙方承担。如发现不符合功能性能要求、质量要求等情况由乙方负责重新开发或补足，并不得影响建设开发工期。</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3.6乙方必须按照本项目进度推进实施，按照项目需求、</w:t>
      </w:r>
      <w:r>
        <w:rPr>
          <w:rFonts w:hint="eastAsia" w:ascii="宋体" w:hAnsi="宋体" w:eastAsia="宋体" w:cs="宋体"/>
          <w:sz w:val="24"/>
          <w:szCs w:val="28"/>
          <w:highlight w:val="none"/>
        </w:rPr>
        <w:t>国家技术规范和质量标准实施项目开发和系统集成</w:t>
      </w:r>
      <w:r>
        <w:rPr>
          <w:rFonts w:hint="eastAsia" w:ascii="宋体" w:hAnsi="宋体" w:eastAsia="宋体" w:cs="宋体"/>
          <w:sz w:val="24"/>
          <w:highlight w:val="none"/>
        </w:rPr>
        <w:t>。</w:t>
      </w:r>
    </w:p>
    <w:p>
      <w:pPr>
        <w:adjustRightInd w:val="0"/>
        <w:snapToGrid w:val="0"/>
        <w:spacing w:line="360" w:lineRule="auto"/>
        <w:ind w:firstLine="540" w:firstLineChars="225"/>
        <w:rPr>
          <w:rFonts w:hint="eastAsia" w:ascii="宋体" w:hAnsi="宋体" w:eastAsia="宋体" w:cs="宋体"/>
          <w:sz w:val="24"/>
          <w:highlight w:val="none"/>
        </w:rPr>
      </w:pPr>
      <w:r>
        <w:rPr>
          <w:rFonts w:hint="eastAsia" w:ascii="宋体" w:hAnsi="宋体" w:eastAsia="宋体" w:cs="宋体"/>
          <w:sz w:val="24"/>
          <w:highlight w:val="none"/>
        </w:rPr>
        <w:t>3.7该项目的应用软件成果由甲方与乙方共同所有。但乙方对甲方提供的业务资料、技术资料应严格保密，不得扩散。</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4．项目实施</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4.1甲方提供项目所需的数据信息支持和必要场地。</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4.2乙方项目实施人员须服从甲方管理人员管理。乙方项目实施人员必须遵守现场的各项规章制度。</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4.3乙方应根据项目情况提供</w:t>
      </w:r>
      <w:r>
        <w:rPr>
          <w:rFonts w:hint="eastAsia" w:ascii="宋体" w:hAnsi="宋体" w:cs="宋体"/>
          <w:sz w:val="24"/>
          <w:highlight w:val="none"/>
          <w:lang w:eastAsia="zh-CN"/>
        </w:rPr>
        <w:t>硬件送货安装、系统集成、</w:t>
      </w:r>
      <w:r>
        <w:rPr>
          <w:rFonts w:hint="eastAsia" w:ascii="宋体" w:hAnsi="宋体" w:eastAsia="宋体" w:cs="宋体"/>
          <w:sz w:val="24"/>
          <w:highlight w:val="none"/>
        </w:rPr>
        <w:t xml:space="preserve">软件开发、安装调试计划，项目实施进度计划，经甲、乙双方共同确定后作为双方共同执行的合同条款，乙方应按计划完工交付验收，若超过计划完工日15天以上的按超期处罚。 </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5．</w:t>
      </w:r>
      <w:r>
        <w:rPr>
          <w:rFonts w:hint="eastAsia" w:ascii="宋体" w:hAnsi="宋体" w:eastAsia="宋体" w:cs="宋体"/>
          <w:b/>
          <w:bCs/>
          <w:kern w:val="0"/>
          <w:sz w:val="24"/>
          <w:highlight w:val="none"/>
          <w:lang w:val="zh-CN"/>
        </w:rPr>
        <w:t>系统维护与保修</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 乙方对甲方提供操作维护、管理等培训。</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5.2 乙方</w:t>
      </w:r>
      <w:r>
        <w:rPr>
          <w:rFonts w:hint="eastAsia" w:ascii="宋体" w:hAnsi="宋体" w:eastAsia="宋体" w:cs="宋体"/>
          <w:bCs/>
          <w:sz w:val="24"/>
          <w:highlight w:val="none"/>
        </w:rPr>
        <w:t>提</w:t>
      </w:r>
      <w:r>
        <w:rPr>
          <w:rFonts w:hint="eastAsia" w:ascii="宋体" w:hAnsi="宋体" w:eastAsia="宋体" w:cs="宋体"/>
          <w:sz w:val="24"/>
          <w:highlight w:val="none"/>
        </w:rPr>
        <w:t>供 7×24小时售后技术支持服务</w:t>
      </w:r>
      <w:r>
        <w:rPr>
          <w:rFonts w:hint="default" w:ascii="宋体" w:hAnsi="宋体" w:cs="宋体"/>
          <w:b/>
          <w:bCs/>
          <w:sz w:val="24"/>
          <w:highlight w:val="none"/>
          <w:lang w:val="en-US"/>
        </w:rPr>
        <w:t>（软硬件产品质保期3年，安全设备维保1年，其它按照招标需求执行</w:t>
      </w:r>
      <w:r>
        <w:rPr>
          <w:rFonts w:hint="eastAsia" w:ascii="宋体" w:hAnsi="宋体" w:eastAsia="宋体" w:cs="宋体"/>
          <w:b/>
          <w:bCs/>
          <w:sz w:val="24"/>
          <w:highlight w:val="none"/>
        </w:rPr>
        <w:t>)</w:t>
      </w:r>
      <w:r>
        <w:rPr>
          <w:rFonts w:hint="eastAsia" w:ascii="宋体" w:hAnsi="宋体" w:eastAsia="宋体" w:cs="宋体"/>
          <w:sz w:val="24"/>
          <w:highlight w:val="none"/>
        </w:rPr>
        <w:t>，从验收合格之日起计算。</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5.3 维护期内，乙方须根据系统运行情况进行不定期的检测与调优，每半年对系统进行一次总体检测。</w:t>
      </w:r>
    </w:p>
    <w:p>
      <w:pPr>
        <w:tabs>
          <w:tab w:val="left" w:pos="900"/>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5.4 乙方在每次服务完成后，须向用户提交相关文档，内容包括起因、响应、过程、结果、今后注意事项等各部分。</w:t>
      </w:r>
    </w:p>
    <w:p>
      <w:pPr>
        <w:spacing w:line="360" w:lineRule="auto"/>
        <w:rPr>
          <w:rFonts w:hint="eastAsia" w:ascii="宋体" w:hAnsi="宋体" w:eastAsia="宋体" w:cs="宋体"/>
          <w:sz w:val="24"/>
          <w:highlight w:val="none"/>
        </w:rPr>
      </w:pPr>
      <w:r>
        <w:rPr>
          <w:rFonts w:hint="eastAsia" w:ascii="宋体" w:hAnsi="宋体" w:eastAsia="宋体" w:cs="宋体"/>
          <w:b/>
          <w:sz w:val="24"/>
          <w:highlight w:val="none"/>
        </w:rPr>
        <w:t>6．验收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甲方对所供系统进行最终验收。甲方将组织有关专家对系统进行验收。如果发现与合同中要求不符，乙方须承担由此发生的一切损失和费用，并接受相应的处罚。验收合格后，甲乙双方共同签署验收报告，一式二份，一份交甲方留存，一份由乙方用作结算凭证。项目验收有关费用由中标单位承担。</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7、</w:t>
      </w:r>
      <w:r>
        <w:rPr>
          <w:rFonts w:hint="eastAsia" w:ascii="宋体" w:hAnsi="宋体" w:eastAsia="宋体" w:cs="宋体"/>
          <w:b/>
          <w:sz w:val="24"/>
          <w:highlight w:val="none"/>
          <w:lang w:val="en-US" w:eastAsia="zh-CN"/>
        </w:rPr>
        <w:t>项目</w:t>
      </w:r>
      <w:r>
        <w:rPr>
          <w:rFonts w:hint="eastAsia" w:ascii="宋体" w:hAnsi="宋体" w:eastAsia="宋体" w:cs="宋体"/>
          <w:b/>
          <w:sz w:val="24"/>
          <w:highlight w:val="none"/>
        </w:rPr>
        <w:t>价款及调整</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本招标项目采取固定总价承包，未经甲方认可，不得以任何理由予以变更，除以下列明的价款调整和计算方法之外，所有费用包干，不予调整。乙方应按甲方提供的要求报价，缺项、漏项和产品偏离视作报价已包含在其它子项中，不予以调整。允许乙方对招标文件提供的技术方案在投标价格不增加且能扩大使用功能的前提下，可提出合理化建议或优化方案，做出其优越性、先进性等详细说明。</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8．支付</w:t>
      </w:r>
    </w:p>
    <w:p>
      <w:pPr>
        <w:autoSpaceDE w:val="0"/>
        <w:autoSpaceDN w:val="0"/>
        <w:adjustRightInd w:val="0"/>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本次项目合同总价为人民币</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lang w:val="zh-CN"/>
        </w:rPr>
        <w:t>元），采用分期付款方式</w:t>
      </w:r>
      <w:r>
        <w:rPr>
          <w:rFonts w:hint="eastAsia" w:ascii="宋体" w:hAnsi="宋体" w:eastAsia="宋体" w:cs="宋体"/>
          <w:kern w:val="0"/>
          <w:sz w:val="24"/>
          <w:highlight w:val="none"/>
        </w:rPr>
        <w:t>：</w:t>
      </w:r>
    </w:p>
    <w:tbl>
      <w:tblPr>
        <w:tblStyle w:val="6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008"/>
        <w:gridCol w:w="1215"/>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付款期数</w:t>
            </w:r>
          </w:p>
        </w:tc>
        <w:tc>
          <w:tcPr>
            <w:tcW w:w="1008"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付款大写金额（元）</w:t>
            </w:r>
          </w:p>
        </w:tc>
        <w:tc>
          <w:tcPr>
            <w:tcW w:w="1215"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付款小写金额（元）</w:t>
            </w:r>
          </w:p>
        </w:tc>
        <w:tc>
          <w:tcPr>
            <w:tcW w:w="5999"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w:t>
            </w:r>
          </w:p>
        </w:tc>
        <w:tc>
          <w:tcPr>
            <w:tcW w:w="1008"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p>
        </w:tc>
        <w:tc>
          <w:tcPr>
            <w:tcW w:w="1215"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p>
        </w:tc>
        <w:tc>
          <w:tcPr>
            <w:tcW w:w="5999" w:type="dxa"/>
            <w:vAlign w:val="center"/>
          </w:tcPr>
          <w:p>
            <w:pPr>
              <w:autoSpaceDE w:val="0"/>
              <w:autoSpaceDN w:val="0"/>
              <w:adjustRightInd w:val="0"/>
              <w:spacing w:line="360" w:lineRule="auto"/>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合同签订后</w:t>
            </w:r>
            <w:r>
              <w:rPr>
                <w:rFonts w:hint="eastAsia" w:ascii="宋体" w:hAnsi="宋体" w:cs="宋体"/>
                <w:sz w:val="24"/>
                <w:highlight w:val="none"/>
                <w:lang w:val="en-US" w:eastAsia="zh-CN"/>
              </w:rPr>
              <w:t>10</w:t>
            </w:r>
            <w:r>
              <w:rPr>
                <w:rFonts w:hint="eastAsia" w:ascii="宋体" w:hAnsi="宋体" w:eastAsia="宋体" w:cs="宋体"/>
                <w:sz w:val="24"/>
                <w:highlight w:val="none"/>
                <w:lang w:val="zh-CN"/>
              </w:rPr>
              <w:t>个工作日内，进行详细的需求调研，进一步优化概要设计、详细设计，并细化系统建设计划、目标任务书和测试验收方案，向甲方提供上述文档并需经甲方审查通过。</w:t>
            </w:r>
            <w:r>
              <w:rPr>
                <w:rFonts w:hint="eastAsia" w:ascii="宋体" w:hAnsi="宋体" w:eastAsia="宋体" w:cs="宋体"/>
                <w:sz w:val="24"/>
                <w:highlight w:val="none"/>
              </w:rPr>
              <w:t>乙方凭甲方签字盖章的支付通知书向甲方办理合同总价</w:t>
            </w:r>
            <w:r>
              <w:rPr>
                <w:rFonts w:hint="default" w:ascii="宋体" w:hAnsi="宋体" w:cs="宋体"/>
                <w:sz w:val="24"/>
                <w:highlight w:val="none"/>
                <w:lang w:val="en-US"/>
              </w:rPr>
              <w:t>4</w:t>
            </w:r>
            <w:r>
              <w:rPr>
                <w:rFonts w:hint="eastAsia" w:ascii="宋体" w:hAnsi="宋体" w:eastAsia="宋体" w:cs="宋体"/>
                <w:sz w:val="24"/>
                <w:highlight w:val="none"/>
              </w:rPr>
              <w:t>0%的款项支付手续。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w:t>
            </w:r>
          </w:p>
        </w:tc>
        <w:tc>
          <w:tcPr>
            <w:tcW w:w="1008"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p>
        </w:tc>
        <w:tc>
          <w:tcPr>
            <w:tcW w:w="1215"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p>
        </w:tc>
        <w:tc>
          <w:tcPr>
            <w:tcW w:w="5999" w:type="dxa"/>
            <w:vAlign w:val="center"/>
          </w:tcPr>
          <w:p>
            <w:pPr>
              <w:autoSpaceDE w:val="0"/>
              <w:autoSpaceDN w:val="0"/>
              <w:adjustRightInd w:val="0"/>
              <w:spacing w:line="360" w:lineRule="auto"/>
              <w:jc w:val="left"/>
              <w:rPr>
                <w:rFonts w:hint="eastAsia" w:ascii="宋体" w:hAnsi="宋体" w:eastAsia="宋体" w:cs="宋体"/>
                <w:kern w:val="0"/>
                <w:sz w:val="24"/>
                <w:highlight w:val="none"/>
                <w:lang w:val="zh-CN"/>
              </w:rPr>
            </w:pPr>
            <w:r>
              <w:rPr>
                <w:rFonts w:hint="eastAsia" w:ascii="宋体" w:hAnsi="宋体" w:eastAsia="宋体" w:cs="宋体"/>
                <w:sz w:val="24"/>
                <w:highlight w:val="none"/>
              </w:rPr>
              <w:t>合同签订后</w:t>
            </w:r>
            <w:r>
              <w:rPr>
                <w:rFonts w:hint="eastAsia" w:ascii="宋体" w:hAnsi="宋体" w:cs="宋体"/>
                <w:b/>
                <w:bCs/>
                <w:sz w:val="24"/>
                <w:highlight w:val="none"/>
                <w:lang w:val="en-US" w:eastAsia="zh-CN"/>
              </w:rPr>
              <w:t>3</w:t>
            </w:r>
            <w:r>
              <w:rPr>
                <w:rFonts w:hint="eastAsia" w:ascii="宋体" w:hAnsi="宋体" w:eastAsia="宋体" w:cs="宋体"/>
                <w:b/>
                <w:bCs/>
                <w:sz w:val="24"/>
                <w:highlight w:val="none"/>
              </w:rPr>
              <w:t>个月</w:t>
            </w:r>
            <w:r>
              <w:rPr>
                <w:rFonts w:hint="eastAsia" w:ascii="宋体" w:hAnsi="宋体" w:eastAsia="宋体" w:cs="宋体"/>
                <w:sz w:val="24"/>
                <w:highlight w:val="none"/>
                <w:lang w:val="zh-CN"/>
              </w:rPr>
              <w:t>内完成所有设备、材料的到货、安装调试、系统集成、</w:t>
            </w:r>
            <w:r>
              <w:rPr>
                <w:rFonts w:hint="eastAsia" w:ascii="宋体" w:hAnsi="宋体" w:cs="宋体"/>
                <w:sz w:val="24"/>
                <w:highlight w:val="none"/>
                <w:lang w:val="zh-CN"/>
              </w:rPr>
              <w:t>软件开发、</w:t>
            </w:r>
            <w:r>
              <w:rPr>
                <w:rFonts w:hint="eastAsia" w:ascii="宋体" w:hAnsi="宋体" w:eastAsia="宋体" w:cs="宋体"/>
                <w:sz w:val="24"/>
                <w:highlight w:val="none"/>
                <w:lang w:val="zh-CN"/>
              </w:rPr>
              <w:t>培训测试等，初验合格后进入试运行后10个工作日内，乙方凭甲方签字盖章的支付通知书、初验报告向甲方办理合同总价</w:t>
            </w:r>
            <w:r>
              <w:rPr>
                <w:rFonts w:hint="default" w:ascii="宋体" w:hAnsi="宋体" w:cs="宋体"/>
                <w:sz w:val="24"/>
                <w:highlight w:val="none"/>
                <w:lang w:val="en-US"/>
              </w:rPr>
              <w:t>40</w:t>
            </w:r>
            <w:r>
              <w:rPr>
                <w:rFonts w:hint="eastAsia" w:ascii="宋体" w:hAnsi="宋体" w:eastAsia="宋体" w:cs="宋体"/>
                <w:sz w:val="24"/>
                <w:highlight w:val="none"/>
                <w:lang w:val="zh-CN"/>
              </w:rPr>
              <w:t>%的款项支付手续。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w:t>
            </w:r>
          </w:p>
        </w:tc>
        <w:tc>
          <w:tcPr>
            <w:tcW w:w="1008"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p>
        </w:tc>
        <w:tc>
          <w:tcPr>
            <w:tcW w:w="1215" w:type="dxa"/>
            <w:vAlign w:val="center"/>
          </w:tcPr>
          <w:p>
            <w:pPr>
              <w:autoSpaceDE w:val="0"/>
              <w:autoSpaceDN w:val="0"/>
              <w:adjustRightInd w:val="0"/>
              <w:spacing w:line="360" w:lineRule="auto"/>
              <w:jc w:val="center"/>
              <w:rPr>
                <w:rFonts w:hint="eastAsia" w:ascii="宋体" w:hAnsi="宋体" w:eastAsia="宋体" w:cs="宋体"/>
                <w:kern w:val="0"/>
                <w:sz w:val="24"/>
                <w:highlight w:val="none"/>
                <w:lang w:val="zh-CN"/>
              </w:rPr>
            </w:pPr>
          </w:p>
        </w:tc>
        <w:tc>
          <w:tcPr>
            <w:tcW w:w="5999" w:type="dxa"/>
            <w:vAlign w:val="center"/>
          </w:tcPr>
          <w:p>
            <w:pPr>
              <w:autoSpaceDE w:val="0"/>
              <w:autoSpaceDN w:val="0"/>
              <w:adjustRightInd w:val="0"/>
              <w:spacing w:line="360" w:lineRule="auto"/>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系统正常运转</w:t>
            </w:r>
            <w:r>
              <w:rPr>
                <w:rFonts w:hint="eastAsia" w:ascii="宋体" w:hAnsi="宋体" w:eastAsia="宋体" w:cs="宋体"/>
                <w:b/>
                <w:bCs/>
                <w:kern w:val="0"/>
                <w:sz w:val="24"/>
                <w:highlight w:val="none"/>
              </w:rPr>
              <w:t>1</w:t>
            </w:r>
            <w:r>
              <w:rPr>
                <w:rFonts w:hint="eastAsia" w:ascii="宋体" w:hAnsi="宋体" w:eastAsia="宋体" w:cs="宋体"/>
                <w:b/>
                <w:bCs/>
                <w:kern w:val="0"/>
                <w:sz w:val="24"/>
                <w:highlight w:val="none"/>
                <w:lang w:val="zh-CN"/>
              </w:rPr>
              <w:t>个月</w:t>
            </w:r>
            <w:r>
              <w:rPr>
                <w:rFonts w:hint="eastAsia" w:ascii="宋体" w:hAnsi="宋体" w:eastAsia="宋体" w:cs="宋体"/>
                <w:kern w:val="0"/>
                <w:sz w:val="24"/>
                <w:highlight w:val="none"/>
                <w:lang w:val="zh-CN"/>
              </w:rPr>
              <w:t>后</w:t>
            </w:r>
            <w:r>
              <w:rPr>
                <w:rFonts w:hint="eastAsia" w:ascii="宋体" w:hAnsi="宋体" w:eastAsia="宋体" w:cs="宋体"/>
                <w:kern w:val="0"/>
                <w:sz w:val="24"/>
                <w:highlight w:val="none"/>
              </w:rPr>
              <w:t>（试运行1个月）</w:t>
            </w:r>
            <w:r>
              <w:rPr>
                <w:rFonts w:hint="eastAsia" w:ascii="宋体" w:hAnsi="宋体" w:eastAsia="宋体" w:cs="宋体"/>
                <w:kern w:val="0"/>
                <w:sz w:val="24"/>
                <w:highlight w:val="none"/>
                <w:lang w:val="zh-CN"/>
              </w:rPr>
              <w:t>，提交全部报告材料，并通过最终验收，出具项目终验报告。</w:t>
            </w:r>
            <w:r>
              <w:rPr>
                <w:rFonts w:hint="eastAsia" w:ascii="宋体" w:hAnsi="宋体" w:eastAsia="宋体" w:cs="宋体"/>
                <w:sz w:val="24"/>
                <w:highlight w:val="none"/>
              </w:rPr>
              <w:t>乙方凭甲方签字盖章的支付通知书、发票复印件、终验报告向甲方办理合同总价</w:t>
            </w:r>
            <w:r>
              <w:rPr>
                <w:rFonts w:hint="default" w:ascii="宋体" w:hAnsi="宋体" w:cs="宋体"/>
                <w:sz w:val="24"/>
                <w:highlight w:val="none"/>
                <w:lang w:val="en-US"/>
              </w:rPr>
              <w:t>2</w:t>
            </w:r>
            <w:r>
              <w:rPr>
                <w:rFonts w:hint="eastAsia" w:ascii="宋体" w:hAnsi="宋体" w:eastAsia="宋体" w:cs="宋体"/>
                <w:sz w:val="24"/>
                <w:highlight w:val="none"/>
              </w:rPr>
              <w:t>0%的货款结算手续。</w:t>
            </w:r>
          </w:p>
        </w:tc>
      </w:tr>
    </w:tbl>
    <w:p>
      <w:pPr>
        <w:pStyle w:val="34"/>
        <w:spacing w:line="360" w:lineRule="auto"/>
        <w:rPr>
          <w:rFonts w:hint="eastAsia" w:ascii="宋体" w:hAnsi="宋体" w:eastAsia="宋体" w:cs="宋体"/>
          <w:b/>
          <w:sz w:val="24"/>
          <w:highlight w:val="none"/>
          <w:lang w:val="zh-CN"/>
        </w:rPr>
      </w:pPr>
      <w:r>
        <w:rPr>
          <w:rFonts w:hint="eastAsia" w:ascii="宋体" w:hAnsi="宋体" w:eastAsia="宋体" w:cs="宋体"/>
          <w:b/>
          <w:sz w:val="24"/>
          <w:highlight w:val="none"/>
        </w:rPr>
        <w:t>9</w:t>
      </w:r>
      <w:r>
        <w:rPr>
          <w:rFonts w:hint="eastAsia" w:ascii="宋体" w:hAnsi="宋体" w:eastAsia="宋体" w:cs="宋体"/>
          <w:sz w:val="24"/>
          <w:highlight w:val="none"/>
        </w:rPr>
        <w:t xml:space="preserve">. </w:t>
      </w:r>
      <w:r>
        <w:rPr>
          <w:rFonts w:hint="eastAsia" w:ascii="宋体" w:hAnsi="宋体" w:eastAsia="宋体" w:cs="宋体"/>
          <w:b/>
          <w:sz w:val="24"/>
          <w:highlight w:val="none"/>
          <w:lang w:val="zh-CN"/>
        </w:rPr>
        <w:t>履约保证金缴纳及退付</w:t>
      </w:r>
    </w:p>
    <w:p>
      <w:pPr>
        <w:pStyle w:val="128"/>
        <w:adjustRightInd w:val="0"/>
        <w:snapToGrid w:val="0"/>
        <w:spacing w:before="0"/>
        <w:ind w:firstLine="480"/>
        <w:rPr>
          <w:rFonts w:hint="eastAsia" w:ascii="宋体" w:hAnsi="宋体" w:eastAsia="宋体" w:cs="宋体"/>
          <w:kern w:val="0"/>
          <w:highlight w:val="none"/>
          <w:lang w:val="zh-CN"/>
        </w:rPr>
      </w:pPr>
      <w:r>
        <w:rPr>
          <w:rFonts w:hint="eastAsia" w:ascii="宋体" w:hAnsi="宋体" w:eastAsia="宋体" w:cs="宋体"/>
          <w:kern w:val="0"/>
          <w:highlight w:val="none"/>
          <w:lang w:val="zh-CN"/>
        </w:rPr>
        <w:t>9.1 签订合同后3个工作日内，中标人</w:t>
      </w:r>
      <w:r>
        <w:rPr>
          <w:rFonts w:hint="eastAsia" w:ascii="宋体" w:hAnsi="宋体" w:cs="宋体"/>
          <w:kern w:val="0"/>
          <w:highlight w:val="none"/>
          <w:lang w:val="zh-CN"/>
        </w:rPr>
        <w:t>（乙方）</w:t>
      </w:r>
      <w:r>
        <w:rPr>
          <w:rFonts w:hint="eastAsia" w:ascii="宋体" w:hAnsi="宋体" w:eastAsia="宋体" w:cs="宋体"/>
          <w:kern w:val="0"/>
          <w:highlight w:val="none"/>
          <w:lang w:val="zh-CN"/>
        </w:rPr>
        <w:t>须向采购人</w:t>
      </w:r>
      <w:r>
        <w:rPr>
          <w:rFonts w:hint="eastAsia" w:ascii="宋体" w:hAnsi="宋体" w:cs="宋体"/>
          <w:kern w:val="0"/>
          <w:highlight w:val="none"/>
          <w:lang w:val="zh-CN"/>
        </w:rPr>
        <w:t>（甲方）</w:t>
      </w:r>
      <w:r>
        <w:rPr>
          <w:rFonts w:hint="eastAsia" w:ascii="宋体" w:hAnsi="宋体" w:eastAsia="宋体" w:cs="宋体"/>
          <w:kern w:val="0"/>
          <w:highlight w:val="none"/>
          <w:lang w:val="zh-CN"/>
        </w:rPr>
        <w:t>缴纳不超过政府采购合同总额</w:t>
      </w:r>
      <w:r>
        <w:rPr>
          <w:rFonts w:hint="default" w:ascii="宋体" w:hAnsi="宋体" w:cs="宋体"/>
          <w:kern w:val="0"/>
          <w:highlight w:val="none"/>
          <w:lang w:val="en-US"/>
        </w:rPr>
        <w:t>1</w:t>
      </w:r>
      <w:r>
        <w:rPr>
          <w:rFonts w:hint="eastAsia" w:ascii="宋体" w:hAnsi="宋体" w:eastAsia="宋体" w:cs="宋体"/>
          <w:kern w:val="0"/>
          <w:highlight w:val="none"/>
          <w:lang w:val="zh-CN"/>
        </w:rPr>
        <w:t xml:space="preserve">％的履约保证金，缴纳金额: </w:t>
      </w:r>
      <w:r>
        <w:rPr>
          <w:rFonts w:hint="eastAsia" w:ascii="宋体" w:hAnsi="宋体" w:eastAsia="宋体" w:cs="宋体"/>
          <w:kern w:val="0"/>
          <w:highlight w:val="none"/>
          <w:u w:val="single"/>
          <w:lang w:val="zh-CN"/>
        </w:rPr>
        <w:t xml:space="preserve">      </w:t>
      </w:r>
      <w:r>
        <w:rPr>
          <w:rFonts w:hint="eastAsia" w:ascii="宋体" w:hAnsi="宋体" w:eastAsia="宋体" w:cs="宋体"/>
          <w:kern w:val="0"/>
          <w:highlight w:val="none"/>
          <w:lang w:val="zh-CN"/>
        </w:rPr>
        <w:t>（￥元）。</w:t>
      </w:r>
      <w:r>
        <w:rPr>
          <w:rFonts w:hint="eastAsia" w:ascii="宋体" w:hAnsi="宋体" w:eastAsia="宋体" w:cs="宋体"/>
          <w:color w:val="000000"/>
          <w:highlight w:val="none"/>
        </w:rPr>
        <w:t>采购人在项目验收合格后，若无质量和服务等问题，在5个工作日内将履约保证金原额（无息）归还中标人</w:t>
      </w:r>
      <w:r>
        <w:rPr>
          <w:rFonts w:hint="eastAsia" w:ascii="宋体" w:hAnsi="宋体" w:eastAsia="宋体" w:cs="宋体"/>
          <w:kern w:val="0"/>
          <w:highlight w:val="none"/>
          <w:lang w:val="zh-CN"/>
        </w:rPr>
        <w:t>；</w:t>
      </w:r>
    </w:p>
    <w:p>
      <w:pPr>
        <w:pStyle w:val="128"/>
        <w:adjustRightInd w:val="0"/>
        <w:snapToGrid w:val="0"/>
        <w:spacing w:before="0" w:line="360" w:lineRule="auto"/>
        <w:ind w:firstLine="480"/>
        <w:rPr>
          <w:rFonts w:hint="default" w:ascii="宋体" w:hAnsi="宋体" w:cs="宋体"/>
          <w:b/>
          <w:bCs/>
          <w:highlight w:val="none"/>
          <w:lang w:val="en-US"/>
        </w:rPr>
      </w:pPr>
      <w:r>
        <w:rPr>
          <w:rFonts w:hint="default" w:ascii="宋体" w:hAnsi="宋体" w:cs="宋体"/>
          <w:b/>
          <w:bCs/>
          <w:highlight w:val="none"/>
          <w:lang w:val="en-US"/>
        </w:rPr>
        <w:t xml:space="preserve">9.2 </w:t>
      </w:r>
      <w:r>
        <w:rPr>
          <w:rFonts w:hint="eastAsia" w:ascii="宋体" w:hAnsi="宋体" w:cs="宋体"/>
          <w:b/>
          <w:bCs/>
          <w:highlight w:val="none"/>
          <w:lang w:val="en-US" w:eastAsia="zh-CN"/>
        </w:rPr>
        <w:t>甲方</w:t>
      </w:r>
      <w:r>
        <w:rPr>
          <w:rFonts w:hint="default" w:ascii="宋体" w:hAnsi="宋体" w:cs="宋体"/>
          <w:b/>
          <w:bCs/>
          <w:highlight w:val="none"/>
          <w:lang w:val="en-US"/>
        </w:rPr>
        <w:t>根据杭州市政府采购网公布的供应商履约评价情况减免履约保证金。</w:t>
      </w:r>
      <w:r>
        <w:rPr>
          <w:rFonts w:hint="eastAsia" w:ascii="宋体" w:hAnsi="宋体" w:cs="宋体"/>
          <w:b/>
          <w:bCs/>
          <w:highlight w:val="none"/>
          <w:lang w:val="en-US" w:eastAsia="zh-CN"/>
        </w:rPr>
        <w:t>乙方</w:t>
      </w:r>
      <w:r>
        <w:rPr>
          <w:rFonts w:hint="default" w:ascii="宋体" w:hAnsi="宋体" w:cs="宋体"/>
          <w:b/>
          <w:bCs/>
          <w:highlight w:val="none"/>
          <w:lang w:val="en-US"/>
        </w:rPr>
        <w:t>履约验收评价总分为100分的，甲方免收履约保证金。</w:t>
      </w:r>
    </w:p>
    <w:p>
      <w:pPr>
        <w:pStyle w:val="128"/>
        <w:adjustRightInd w:val="0"/>
        <w:snapToGrid w:val="0"/>
        <w:spacing w:before="0"/>
        <w:ind w:firstLine="480"/>
        <w:rPr>
          <w:rFonts w:hint="eastAsia" w:ascii="宋体" w:hAnsi="宋体" w:eastAsia="宋体" w:cs="宋体"/>
          <w:kern w:val="0"/>
          <w:highlight w:val="none"/>
          <w:lang w:val="zh-CN"/>
        </w:rPr>
      </w:pPr>
      <w:r>
        <w:rPr>
          <w:rFonts w:hint="eastAsia" w:ascii="宋体" w:hAnsi="宋体" w:eastAsia="宋体" w:cs="宋体"/>
          <w:kern w:val="0"/>
          <w:highlight w:val="none"/>
          <w:lang w:val="zh-CN"/>
        </w:rPr>
        <w:t>9.</w:t>
      </w:r>
      <w:r>
        <w:rPr>
          <w:rFonts w:hint="default" w:ascii="宋体" w:hAnsi="宋体" w:cs="宋体"/>
          <w:kern w:val="0"/>
          <w:highlight w:val="none"/>
          <w:lang w:val="en-US"/>
        </w:rPr>
        <w:t>3</w:t>
      </w:r>
      <w:r>
        <w:rPr>
          <w:rFonts w:hint="eastAsia" w:ascii="宋体" w:hAnsi="宋体" w:eastAsia="宋体" w:cs="宋体"/>
          <w:kern w:val="0"/>
          <w:highlight w:val="none"/>
          <w:lang w:val="zh-CN"/>
        </w:rPr>
        <w:t>履约保证金可以用支票、汇票、本票或者银行、保险公司出具的保函等非现金形式交纳。</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10．延期交付与核定损失额</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如果</w:t>
      </w:r>
      <w:r>
        <w:rPr>
          <w:rFonts w:hint="eastAsia" w:ascii="宋体" w:hAnsi="宋体" w:eastAsia="宋体" w:cs="宋体"/>
          <w:kern w:val="0"/>
          <w:sz w:val="24"/>
          <w:highlight w:val="none"/>
          <w:lang w:val="zh-CN"/>
        </w:rPr>
        <w:t>乙方</w:t>
      </w:r>
      <w:r>
        <w:rPr>
          <w:rFonts w:hint="eastAsia" w:ascii="宋体" w:hAnsi="宋体" w:eastAsia="宋体" w:cs="宋体"/>
          <w:sz w:val="24"/>
          <w:highlight w:val="none"/>
        </w:rPr>
        <w:t>在正常情况下未能按合同规定的时间按期交付使用或未能按合同规定履行其义务，</w:t>
      </w:r>
      <w:r>
        <w:rPr>
          <w:rFonts w:hint="eastAsia" w:ascii="宋体" w:hAnsi="宋体" w:eastAsia="宋体" w:cs="宋体"/>
          <w:kern w:val="0"/>
          <w:sz w:val="24"/>
          <w:highlight w:val="none"/>
          <w:lang w:val="zh-CN"/>
        </w:rPr>
        <w:t>乙方</w:t>
      </w:r>
      <w:r>
        <w:rPr>
          <w:rFonts w:hint="eastAsia" w:ascii="宋体" w:hAnsi="宋体" w:eastAsia="宋体" w:cs="宋体"/>
          <w:sz w:val="24"/>
          <w:highlight w:val="none"/>
        </w:rPr>
        <w:t>将承担相应后果，甲方有权从履约</w:t>
      </w:r>
      <w:r>
        <w:rPr>
          <w:rFonts w:hint="eastAsia" w:ascii="宋体" w:hAnsi="宋体" w:eastAsia="宋体" w:cs="宋体"/>
          <w:kern w:val="0"/>
          <w:sz w:val="24"/>
          <w:highlight w:val="none"/>
          <w:lang w:val="zh-CN"/>
        </w:rPr>
        <w:t>保证金中取得补偿。</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11．不可抗力</w:t>
      </w:r>
    </w:p>
    <w:p>
      <w:pPr>
        <w:autoSpaceDE w:val="0"/>
        <w:autoSpaceDN w:val="0"/>
        <w:adjustRightInd w:val="0"/>
        <w:spacing w:line="360" w:lineRule="auto"/>
        <w:ind w:firstLine="480" w:firstLineChars="200"/>
        <w:jc w:val="left"/>
        <w:rPr>
          <w:rFonts w:hint="eastAsia" w:ascii="宋体" w:hAnsi="宋体" w:eastAsia="宋体" w:cs="宋体"/>
          <w:b/>
          <w:bCs/>
          <w:kern w:val="0"/>
          <w:sz w:val="24"/>
          <w:highlight w:val="none"/>
          <w:lang w:val="zh-CN"/>
        </w:rPr>
      </w:pPr>
      <w:r>
        <w:rPr>
          <w:rFonts w:hint="eastAsia" w:ascii="宋体" w:hAnsi="宋体" w:eastAsia="宋体" w:cs="宋体"/>
          <w:sz w:val="24"/>
          <w:highlight w:val="none"/>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12. 乙方的责任与义务</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12.1 根据投标文件的承诺向甲方委派</w:t>
      </w:r>
      <w:r>
        <w:rPr>
          <w:rFonts w:hint="eastAsia" w:ascii="宋体" w:hAnsi="宋体" w:eastAsia="宋体" w:cs="宋体"/>
          <w:sz w:val="24"/>
          <w:highlight w:val="none"/>
        </w:rPr>
        <w:t>项目负责人、技术负责人</w:t>
      </w:r>
      <w:r>
        <w:rPr>
          <w:rFonts w:hint="eastAsia" w:ascii="宋体" w:hAnsi="宋体" w:eastAsia="宋体" w:cs="宋体"/>
          <w:kern w:val="0"/>
          <w:sz w:val="24"/>
          <w:highlight w:val="none"/>
          <w:lang w:val="zh-CN"/>
        </w:rPr>
        <w:t>和专业技术人员。</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12.2 在履行本合同义务的期间，应运用合理的技能，认真、勤奋工作。</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12.3 在本合同期内或合同终止后，未征得有关方同意，不得泄</w:t>
      </w:r>
      <w:r>
        <w:rPr>
          <w:rFonts w:hint="eastAsia" w:ascii="宋体" w:hAnsi="宋体" w:eastAsia="宋体" w:cs="宋体"/>
          <w:kern w:val="0"/>
          <w:sz w:val="24"/>
          <w:highlight w:val="none"/>
          <w:lang w:val="en-US" w:eastAsia="zh-CN"/>
        </w:rPr>
        <w:t>露</w:t>
      </w:r>
      <w:r>
        <w:rPr>
          <w:rFonts w:hint="eastAsia" w:ascii="宋体" w:hAnsi="宋体" w:eastAsia="宋体" w:cs="宋体"/>
          <w:kern w:val="0"/>
          <w:sz w:val="24"/>
          <w:highlight w:val="none"/>
          <w:lang w:val="zh-CN"/>
        </w:rPr>
        <w:t>与本项目、本合同有关的技术、资料等，不得以任何形式侵害甲方的知识产权。</w:t>
      </w:r>
    </w:p>
    <w:p>
      <w:pPr>
        <w:autoSpaceDE w:val="0"/>
        <w:autoSpaceDN w:val="0"/>
        <w:adjustRightInd w:val="0"/>
        <w:spacing w:line="360" w:lineRule="auto"/>
        <w:ind w:firstLine="480"/>
        <w:rPr>
          <w:rFonts w:hint="eastAsia" w:ascii="宋体" w:hAnsi="宋体" w:eastAsia="宋体" w:cs="宋体"/>
          <w:sz w:val="24"/>
          <w:highlight w:val="none"/>
        </w:rPr>
      </w:pPr>
      <w:r>
        <w:rPr>
          <w:rFonts w:hint="eastAsia" w:ascii="宋体" w:hAnsi="宋体" w:eastAsia="宋体" w:cs="宋体"/>
          <w:kern w:val="0"/>
          <w:sz w:val="24"/>
          <w:highlight w:val="none"/>
          <w:lang w:val="zh-CN"/>
        </w:rPr>
        <w:t xml:space="preserve">12.4 </w:t>
      </w:r>
      <w:r>
        <w:rPr>
          <w:rFonts w:hint="eastAsia" w:ascii="宋体" w:hAnsi="宋体" w:eastAsia="宋体" w:cs="宋体"/>
          <w:sz w:val="24"/>
          <w:highlight w:val="none"/>
        </w:rPr>
        <w:t>负责本系统项目建设及整体联动，负责处理好与其他项目实施单位的协调。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12.5 项目建设有关事项包括：项目规划、设计标准、规范和使用功能要求，向甲方的建议权；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12.6 项目设计中的技术问题，按照安全和优化的原则，提出建议，并向甲方提出书面报告。如果由于拟提出的建议会提高项目造价，或延长工期，应当事先取的甲方的同意；</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12.7 项目实施组织设计和技术方案，按照保质量、保工期和降低成本的原则，向甲方提出书面报告。如果由于拟提出的建议会提高项目造价，或延长工期，应当事先取得甲方的同意。</w:t>
      </w:r>
    </w:p>
    <w:p>
      <w:pPr>
        <w:adjustRightInd w:val="0"/>
        <w:spacing w:line="360" w:lineRule="auto"/>
        <w:ind w:firstLine="420"/>
        <w:rPr>
          <w:rFonts w:hint="eastAsia" w:ascii="宋体" w:hAnsi="宋体" w:eastAsia="宋体" w:cs="宋体"/>
          <w:sz w:val="24"/>
          <w:highlight w:val="none"/>
        </w:rPr>
      </w:pPr>
      <w:r>
        <w:rPr>
          <w:rFonts w:hint="eastAsia" w:ascii="宋体" w:hAnsi="宋体" w:eastAsia="宋体" w:cs="宋体"/>
          <w:kern w:val="0"/>
          <w:sz w:val="24"/>
          <w:highlight w:val="none"/>
          <w:lang w:val="zh-CN"/>
        </w:rPr>
        <w:t>12.8</w:t>
      </w:r>
      <w:r>
        <w:rPr>
          <w:rFonts w:hint="eastAsia" w:ascii="宋体" w:hAnsi="宋体" w:eastAsia="宋体" w:cs="宋体"/>
          <w:sz w:val="24"/>
          <w:highlight w:val="none"/>
        </w:rPr>
        <w:t>乙方须保证所提供软件系统是拥有合法版权的产品，符合国家有关规定。能提供技术及备件支持。乙方须保证所提供产品具有合法的版权或使用权，如在本项目范围内使用过程中出现版权或使用权纠纷，应由乙方负责，甲方不承担责任。</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13. 甲方的责任与义务</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13.1 甲方应当主要负责项目建设的所有外部关系的联系与协调，为乙方工作提供良好的外部条件。</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13.2 甲方应当按合同条款双方约定的内容和时间，向乙方提供与项目建设有关的项目资料等。</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13.3 甲方应当按合同条款约定的时间就乙方书面提交并要求做出决定的一切事宜做出书面决定。逾期应视为甲方同意。</w:t>
      </w:r>
    </w:p>
    <w:p>
      <w:pPr>
        <w:autoSpaceDE w:val="0"/>
        <w:autoSpaceDN w:val="0"/>
        <w:adjustRightInd w:val="0"/>
        <w:spacing w:line="360" w:lineRule="auto"/>
        <w:ind w:firstLine="48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13.4 甲方应授权一名熟悉本项目情况、能迅速做出决定的项目代表，负责与乙方联系。更换代表，要提前通知乙方。</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13.5 甲方有与乙方订立补充合同的签订权。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13.6 甲方有对项目规模、设计标准、规范和设计使用功能要求的认定权，以及对项目建设、设计变更的审批权。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13.7 甲方有权要求乙方提交工作月度报告及专项报告等。</w:t>
      </w:r>
    </w:p>
    <w:p>
      <w:pPr>
        <w:adjustRightInd w:val="0"/>
        <w:snapToGrid w:val="0"/>
        <w:spacing w:line="360" w:lineRule="auto"/>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14. 合同生效、变更和终止</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 xml:space="preserve">14.1 </w:t>
      </w:r>
      <w:r>
        <w:rPr>
          <w:rFonts w:hint="eastAsia" w:ascii="宋体" w:hAnsi="宋体" w:eastAsia="宋体" w:cs="宋体"/>
          <w:sz w:val="24"/>
          <w:highlight w:val="none"/>
        </w:rPr>
        <w:t>本合同经甲乙双方法定代表人或其委托人签字盖章，并且乙方向甲方缴纳合同约定金额的履约保证金或建议免收履约保证金，合同在政采云平台备案后生效。</w:t>
      </w:r>
      <w:r>
        <w:rPr>
          <w:rFonts w:hint="eastAsia" w:ascii="宋体" w:hAnsi="宋体" w:eastAsia="宋体" w:cs="宋体"/>
          <w:kern w:val="0"/>
          <w:sz w:val="24"/>
          <w:highlight w:val="none"/>
          <w:lang w:val="zh-CN"/>
        </w:rPr>
        <w:t>至合同期止</w:t>
      </w:r>
      <w:r>
        <w:rPr>
          <w:rFonts w:hint="eastAsia" w:ascii="宋体" w:hAnsi="宋体" w:eastAsia="宋体" w:cs="宋体"/>
          <w:sz w:val="24"/>
          <w:highlight w:val="none"/>
        </w:rPr>
        <w:t>。</w:t>
      </w:r>
    </w:p>
    <w:p>
      <w:pPr>
        <w:pStyle w:val="23"/>
        <w:spacing w:line="360" w:lineRule="auto"/>
        <w:ind w:firstLine="482" w:firstLineChars="200"/>
        <w:rPr>
          <w:rFonts w:hint="eastAsia" w:ascii="宋体" w:hAnsi="宋体" w:eastAsia="宋体" w:cs="宋体"/>
          <w:highlight w:val="none"/>
          <w:lang w:val="zh-CN"/>
        </w:rPr>
      </w:pPr>
      <w:r>
        <w:rPr>
          <w:rFonts w:hint="eastAsia" w:ascii="宋体" w:hAnsi="宋体" w:eastAsia="宋体" w:cs="宋体"/>
          <w:b/>
          <w:bCs/>
          <w:color w:val="000000"/>
          <w:kern w:val="2"/>
          <w:sz w:val="24"/>
          <w:szCs w:val="24"/>
          <w:highlight w:val="none"/>
          <w:lang w:val="en-US" w:eastAsia="zh-CN" w:bidi="ar-SA"/>
        </w:rPr>
        <w:t>14.2.合同转让和分包:本项目不允许分包。</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14.</w:t>
      </w:r>
      <w:r>
        <w:rPr>
          <w:rFonts w:hint="eastAsia" w:ascii="宋体" w:hAnsi="宋体" w:eastAsia="宋体" w:cs="宋体"/>
          <w:kern w:val="0"/>
          <w:sz w:val="24"/>
          <w:highlight w:val="none"/>
          <w:lang w:val="en-US"/>
        </w:rPr>
        <w:t>3</w:t>
      </w:r>
      <w:r>
        <w:rPr>
          <w:rFonts w:hint="eastAsia" w:ascii="宋体" w:hAnsi="宋体" w:eastAsia="宋体" w:cs="宋体"/>
          <w:kern w:val="0"/>
          <w:sz w:val="24"/>
          <w:highlight w:val="none"/>
          <w:lang w:val="zh-CN"/>
        </w:rPr>
        <w:t xml:space="preserve"> 在乙方的责任期即合同的有效期内，如因</w:t>
      </w:r>
      <w:r>
        <w:rPr>
          <w:rFonts w:hint="eastAsia" w:ascii="宋体" w:hAnsi="宋体" w:eastAsia="宋体" w:cs="宋体"/>
          <w:sz w:val="24"/>
          <w:highlight w:val="none"/>
        </w:rPr>
        <w:t>甲方</w:t>
      </w:r>
      <w:r>
        <w:rPr>
          <w:rFonts w:hint="eastAsia" w:ascii="宋体" w:hAnsi="宋体" w:eastAsia="宋体" w:cs="宋体"/>
          <w:kern w:val="0"/>
          <w:sz w:val="24"/>
          <w:highlight w:val="none"/>
          <w:lang w:val="zh-CN"/>
        </w:rPr>
        <w:t>的原因，导致项目建设进度的推迟或延误而超过约定的日期，</w:t>
      </w:r>
      <w:r>
        <w:rPr>
          <w:rFonts w:hint="eastAsia" w:ascii="宋体" w:hAnsi="宋体" w:eastAsia="宋体" w:cs="宋体"/>
          <w:sz w:val="24"/>
          <w:highlight w:val="none"/>
        </w:rPr>
        <w:t>甲乙</w:t>
      </w:r>
      <w:r>
        <w:rPr>
          <w:rFonts w:hint="eastAsia" w:ascii="宋体" w:hAnsi="宋体" w:eastAsia="宋体" w:cs="宋体"/>
          <w:kern w:val="0"/>
          <w:sz w:val="24"/>
          <w:highlight w:val="none"/>
          <w:lang w:val="zh-CN"/>
        </w:rPr>
        <w:t>双方应协商，重新约定相应延长的合同期。因乙方的责任，导致项目建设进度的推迟或延误而超过约定的日期</w:t>
      </w:r>
      <w:r>
        <w:rPr>
          <w:rFonts w:hint="eastAsia" w:ascii="宋体" w:hAnsi="宋体" w:eastAsia="宋体" w:cs="宋体"/>
          <w:sz w:val="24"/>
          <w:highlight w:val="none"/>
          <w:lang w:val="zh-CN"/>
        </w:rPr>
        <w:t>按</w:t>
      </w:r>
      <w:r>
        <w:rPr>
          <w:rFonts w:hint="eastAsia" w:ascii="宋体" w:hAnsi="宋体" w:eastAsia="宋体" w:cs="宋体"/>
          <w:bCs/>
          <w:kern w:val="0"/>
          <w:sz w:val="24"/>
          <w:highlight w:val="none"/>
          <w:lang w:val="zh-CN"/>
        </w:rPr>
        <w:t>违约责任处罚。</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14.</w:t>
      </w:r>
      <w:r>
        <w:rPr>
          <w:rFonts w:hint="eastAsia" w:ascii="宋体" w:hAnsi="宋体" w:eastAsia="宋体" w:cs="宋体"/>
          <w:kern w:val="0"/>
          <w:sz w:val="24"/>
          <w:highlight w:val="none"/>
          <w:lang w:val="en-US"/>
        </w:rPr>
        <w:t>4</w:t>
      </w:r>
      <w:r>
        <w:rPr>
          <w:rFonts w:hint="eastAsia" w:ascii="宋体" w:hAnsi="宋体" w:eastAsia="宋体" w:cs="宋体"/>
          <w:kern w:val="0"/>
          <w:sz w:val="24"/>
          <w:highlight w:val="none"/>
          <w:lang w:val="zh-CN"/>
        </w:rPr>
        <w:t xml:space="preserve"> 在合同签订后，实际情况发生变化，使得乙方不能全部或部分执行项目时，乙方应当立即通知甲方。该项目的完成时间应延长。当恢复执行项目时，是否需增加时间用于恢复执行，由双方协商确定。</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14.</w:t>
      </w:r>
      <w:r>
        <w:rPr>
          <w:rFonts w:hint="eastAsia" w:ascii="宋体" w:hAnsi="宋体" w:eastAsia="宋体" w:cs="宋体"/>
          <w:kern w:val="0"/>
          <w:sz w:val="24"/>
          <w:highlight w:val="none"/>
          <w:lang w:val="en-US"/>
        </w:rPr>
        <w:t xml:space="preserve">5 </w:t>
      </w:r>
      <w:r>
        <w:rPr>
          <w:rFonts w:hint="eastAsia" w:ascii="宋体" w:hAnsi="宋体" w:eastAsia="宋体" w:cs="宋体"/>
          <w:kern w:val="0"/>
          <w:sz w:val="24"/>
          <w:highlight w:val="none"/>
          <w:lang w:val="zh-CN"/>
        </w:rPr>
        <w:t>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15. 违约责任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lang w:val="zh-CN"/>
        </w:rPr>
        <w:t>15.1</w:t>
      </w:r>
      <w:r>
        <w:rPr>
          <w:rFonts w:hint="eastAsia" w:ascii="宋体" w:hAnsi="宋体" w:eastAsia="宋体" w:cs="宋体"/>
          <w:sz w:val="24"/>
          <w:highlight w:val="none"/>
        </w:rPr>
        <w:t>乙方必须在整个项目安装调试开通全部完成后约定时间内，会同甲方及有关部门共同按有关规范验收，如因产品质量和项目实施质量问题，不能按期验收或验收不合格，乙方应负责返工所造成的经济损失。由此而造成推迟交货的时间按超期天数计算，每超过一天乙方按本项目总价款的2‰赔偿甲方的经济损失。如因甲方原因造成不能按期完工，工期相应顺延。</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sz w:val="24"/>
          <w:highlight w:val="none"/>
        </w:rPr>
        <w:t>15.2 如</w:t>
      </w:r>
      <w:r>
        <w:rPr>
          <w:rFonts w:hint="eastAsia" w:ascii="宋体" w:hAnsi="宋体" w:eastAsia="宋体" w:cs="宋体"/>
          <w:kern w:val="0"/>
          <w:sz w:val="24"/>
          <w:highlight w:val="none"/>
          <w:lang w:val="zh-CN"/>
        </w:rPr>
        <w:t>在合同规定的工期内，达不到项目规定的技术指标，乙方应当承担违约责任。承担方式和违约金额如下：超期30天内，每天扣合同金额的0.5‰；累计超期30天，甲方有权终止执行合同，并没收履约保证金。</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15.3 如因乙方原因达不到合格等级的，则必须无条件返工至合格，并全额没收履约保证金。</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15.4因乙方原因造成采购单位其他系统不能正常运行，酿成重大事故（正常工作日系统中断一天或一天以上）的，将承担全部法律责任，并赔偿经济损失，赔偿金额最高为项目总价的50%。</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sz w:val="24"/>
          <w:highlight w:val="none"/>
        </w:rPr>
        <w:t xml:space="preserve">15.5 </w:t>
      </w:r>
      <w:r>
        <w:rPr>
          <w:rFonts w:hint="eastAsia" w:ascii="宋体" w:hAnsi="宋体" w:eastAsia="宋体" w:cs="宋体"/>
          <w:kern w:val="0"/>
          <w:sz w:val="24"/>
          <w:highlight w:val="none"/>
          <w:lang w:val="zh-CN"/>
        </w:rPr>
        <w:t>履行本合同的过程中，确因在现有水平和条件下难以克服的技术困难，导致部分或全部失败所造成的损失，风险责任由乙方全部承担。</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sz w:val="24"/>
          <w:highlight w:val="none"/>
        </w:rPr>
        <w:t xml:space="preserve">15.6 </w:t>
      </w:r>
      <w:r>
        <w:rPr>
          <w:rFonts w:hint="eastAsia" w:ascii="宋体" w:hAnsi="宋体" w:eastAsia="宋体" w:cs="宋体"/>
          <w:kern w:val="0"/>
          <w:sz w:val="24"/>
          <w:highlight w:val="none"/>
          <w:lang w:val="zh-CN"/>
        </w:rPr>
        <w:t>因不可抗力导致合同不能全部或部分履行，</w:t>
      </w:r>
      <w:r>
        <w:rPr>
          <w:rFonts w:hint="eastAsia" w:ascii="宋体" w:hAnsi="宋体" w:eastAsia="宋体" w:cs="宋体"/>
          <w:sz w:val="24"/>
          <w:highlight w:val="none"/>
        </w:rPr>
        <w:t>甲、</w:t>
      </w:r>
      <w:r>
        <w:rPr>
          <w:rFonts w:hint="eastAsia" w:ascii="宋体" w:hAnsi="宋体" w:eastAsia="宋体" w:cs="宋体"/>
          <w:kern w:val="0"/>
          <w:sz w:val="24"/>
          <w:highlight w:val="none"/>
          <w:lang w:val="zh-CN"/>
        </w:rPr>
        <w:t>乙双方协商解决。</w:t>
      </w:r>
    </w:p>
    <w:p>
      <w:pPr>
        <w:autoSpaceDE w:val="0"/>
        <w:autoSpaceDN w:val="0"/>
        <w:spacing w:line="360" w:lineRule="auto"/>
        <w:jc w:val="left"/>
        <w:rPr>
          <w:rFonts w:hint="eastAsia" w:ascii="宋体" w:hAnsi="宋体" w:cs="宋体"/>
          <w:b/>
          <w:kern w:val="0"/>
          <w:sz w:val="24"/>
          <w:highlight w:val="none"/>
          <w:lang w:val="zh-CN"/>
        </w:rPr>
      </w:pPr>
      <w:r>
        <w:rPr>
          <w:rFonts w:hint="eastAsia" w:ascii="宋体" w:hAnsi="宋体" w:cs="宋体"/>
          <w:b/>
          <w:kern w:val="0"/>
          <w:sz w:val="24"/>
          <w:highlight w:val="none"/>
          <w:lang w:val="zh-CN"/>
        </w:rPr>
        <w:t>16.安全责任与处罚</w:t>
      </w:r>
    </w:p>
    <w:p>
      <w:pPr>
        <w:spacing w:line="360" w:lineRule="auto"/>
        <w:ind w:firstLine="480" w:firstLineChars="200"/>
        <w:rPr>
          <w:sz w:val="24"/>
          <w:highlight w:val="none"/>
          <w:lang w:val="zh-CN"/>
        </w:rPr>
      </w:pPr>
      <w:r>
        <w:rPr>
          <w:rFonts w:hint="eastAsia" w:ascii="宋体" w:hAnsi="宋体" w:cs="宋体"/>
          <w:kern w:val="0"/>
          <w:sz w:val="24"/>
          <w:highlight w:val="none"/>
          <w:lang w:val="zh-CN"/>
        </w:rPr>
        <w:t>16.1</w:t>
      </w:r>
      <w:r>
        <w:rPr>
          <w:b/>
          <w:bCs/>
          <w:sz w:val="24"/>
          <w:highlight w:val="none"/>
        </w:rPr>
        <w:t>网络数据安全责任</w:t>
      </w:r>
      <w:r>
        <w:rPr>
          <w:sz w:val="24"/>
          <w:highlight w:val="none"/>
        </w:rPr>
        <w:t>。</w:t>
      </w:r>
      <w:r>
        <w:rPr>
          <w:sz w:val="24"/>
          <w:highlight w:val="none"/>
          <w:lang w:val="zh-CN"/>
        </w:rPr>
        <w:t>乙方应按照《网络安全法》、《数据安全法》、《</w:t>
      </w:r>
      <w:r>
        <w:rPr>
          <w:sz w:val="24"/>
          <w:highlight w:val="none"/>
        </w:rPr>
        <w:t>个人信息保护法</w:t>
      </w:r>
      <w:r>
        <w:rPr>
          <w:sz w:val="24"/>
          <w:highlight w:val="none"/>
          <w:lang w:val="zh-CN"/>
        </w:rPr>
        <w:t>》的要求，履行网络和数据安全</w:t>
      </w:r>
      <w:r>
        <w:rPr>
          <w:sz w:val="24"/>
          <w:highlight w:val="none"/>
        </w:rPr>
        <w:t>相关责任和</w:t>
      </w:r>
      <w:r>
        <w:rPr>
          <w:sz w:val="24"/>
          <w:highlight w:val="none"/>
          <w:lang w:val="zh-CN"/>
        </w:rPr>
        <w:t>义务，项目涉及人员需签订《保密承诺书》，</w:t>
      </w:r>
      <w:r>
        <w:rPr>
          <w:sz w:val="24"/>
          <w:highlight w:val="none"/>
        </w:rPr>
        <w:t>对驻场服务</w:t>
      </w:r>
      <w:r>
        <w:rPr>
          <w:sz w:val="24"/>
          <w:highlight w:val="none"/>
          <w:lang w:val="zh-CN"/>
        </w:rPr>
        <w:t>人员进行背景审查。乙方应当采取技术措施和其他必要措施，确保网络和数据安全，防止信息泄露、毁损、丢失。在发生或者可能发生信息泄露、毁损、丢失的情况时，应当立即采取补救措施，并在第一时间告知甲方。未经甲方允许，乙方不得对建设、运营、运维的信息系统、应用、数据库等</w:t>
      </w:r>
      <w:r>
        <w:rPr>
          <w:sz w:val="24"/>
          <w:highlight w:val="none"/>
        </w:rPr>
        <w:t>私开账户、</w:t>
      </w:r>
      <w:r>
        <w:rPr>
          <w:sz w:val="24"/>
          <w:highlight w:val="none"/>
          <w:lang w:val="zh-CN"/>
        </w:rPr>
        <w:t>擅自更改权限等</w:t>
      </w:r>
      <w:r>
        <w:rPr>
          <w:sz w:val="24"/>
          <w:highlight w:val="none"/>
        </w:rPr>
        <w:t>操作</w:t>
      </w:r>
      <w:r>
        <w:rPr>
          <w:sz w:val="24"/>
          <w:highlight w:val="none"/>
          <w:lang w:val="zh-CN"/>
        </w:rPr>
        <w:t>，严禁乙方多名工作人员共用账号，</w:t>
      </w:r>
      <w:r>
        <w:rPr>
          <w:sz w:val="24"/>
          <w:highlight w:val="none"/>
        </w:rPr>
        <w:t>严禁使用弱密码</w:t>
      </w:r>
      <w:r>
        <w:rPr>
          <w:sz w:val="24"/>
          <w:highlight w:val="none"/>
          <w:lang w:val="zh-CN"/>
        </w:rPr>
        <w:t>。乙方应加强网络安全风险监测，制定应急预案，完善应急机制。确保第一时间检测发现，第一时间应急处置，第一时间向甲方报告。</w:t>
      </w:r>
    </w:p>
    <w:p>
      <w:pPr>
        <w:autoSpaceDE/>
        <w:autoSpaceDN/>
        <w:spacing w:line="360" w:lineRule="auto"/>
        <w:ind w:firstLine="480" w:firstLineChars="200"/>
        <w:jc w:val="both"/>
        <w:rPr>
          <w:rFonts w:hint="eastAsia" w:ascii="Times New Roman" w:hAnsi="Times New Roman" w:cs="Times New Roman"/>
          <w:b/>
          <w:bCs/>
          <w:kern w:val="2"/>
          <w:sz w:val="24"/>
          <w:highlight w:val="none"/>
          <w:lang w:val="en-US"/>
        </w:rPr>
      </w:pPr>
      <w:r>
        <w:rPr>
          <w:rFonts w:hint="eastAsia" w:ascii="宋体" w:hAnsi="宋体" w:cs="宋体"/>
          <w:kern w:val="0"/>
          <w:sz w:val="24"/>
          <w:highlight w:val="none"/>
          <w:lang w:val="zh-CN"/>
        </w:rPr>
        <w:t>16.2</w:t>
      </w:r>
      <w:r>
        <w:rPr>
          <w:b/>
          <w:bCs/>
          <w:sz w:val="24"/>
          <w:highlight w:val="none"/>
        </w:rPr>
        <w:t>网络数据安全处罚</w:t>
      </w:r>
      <w:r>
        <w:rPr>
          <w:sz w:val="24"/>
          <w:highlight w:val="none"/>
        </w:rPr>
        <w:t>。</w:t>
      </w:r>
      <w:r>
        <w:rPr>
          <w:sz w:val="24"/>
          <w:highlight w:val="none"/>
          <w:lang w:val="zh-CN"/>
        </w:rPr>
        <w:t>由于乙方原因，受到国家级、</w:t>
      </w:r>
      <w:r>
        <w:rPr>
          <w:sz w:val="24"/>
          <w:highlight w:val="none"/>
        </w:rPr>
        <w:t>省级、市级</w:t>
      </w:r>
      <w:r>
        <w:rPr>
          <w:sz w:val="24"/>
          <w:highlight w:val="none"/>
          <w:lang w:val="zh-CN"/>
        </w:rPr>
        <w:t>安全问题通报或造成特别重大事故的，每次扣除</w:t>
      </w:r>
      <w:r>
        <w:rPr>
          <w:sz w:val="24"/>
          <w:highlight w:val="none"/>
        </w:rPr>
        <w:t>合同款5万元、3万元、1万元，</w:t>
      </w:r>
      <w:r>
        <w:rPr>
          <w:sz w:val="24"/>
          <w:highlight w:val="none"/>
          <w:lang w:val="zh-CN"/>
        </w:rPr>
        <w:t>乙方不及时处置安全事件、隐患的</w:t>
      </w:r>
      <w:bookmarkStart w:id="403" w:name="_Hlk105856030"/>
      <w:r>
        <w:rPr>
          <w:sz w:val="24"/>
          <w:highlight w:val="none"/>
        </w:rPr>
        <w:t>,</w:t>
      </w:r>
      <w:r>
        <w:rPr>
          <w:sz w:val="24"/>
          <w:highlight w:val="none"/>
          <w:lang w:val="zh-CN"/>
        </w:rPr>
        <w:t>每次扣除</w:t>
      </w:r>
      <w:r>
        <w:rPr>
          <w:sz w:val="24"/>
          <w:highlight w:val="none"/>
        </w:rPr>
        <w:t>合同款1万元</w:t>
      </w:r>
      <w:r>
        <w:rPr>
          <w:sz w:val="24"/>
          <w:highlight w:val="none"/>
          <w:lang w:val="zh-CN"/>
        </w:rPr>
        <w:t>。乙方派驻的驻场人员</w:t>
      </w:r>
      <w:bookmarkEnd w:id="403"/>
      <w:r>
        <w:rPr>
          <w:sz w:val="24"/>
          <w:highlight w:val="none"/>
          <w:lang w:val="zh-CN"/>
        </w:rPr>
        <w:t>未按照甲方工作要求进行出勤的，每出现1人次扣除500元。</w:t>
      </w:r>
      <w:r>
        <w:rPr>
          <w:sz w:val="24"/>
          <w:highlight w:val="none"/>
        </w:rPr>
        <w:t>收到国家、省、市</w:t>
      </w:r>
      <w:r>
        <w:rPr>
          <w:sz w:val="24"/>
          <w:highlight w:val="none"/>
          <w:lang w:val="zh-CN"/>
        </w:rPr>
        <w:t>通报后，乙方应及时解决并递交书面整改报告</w:t>
      </w:r>
      <w:r>
        <w:rPr>
          <w:sz w:val="24"/>
          <w:highlight w:val="none"/>
        </w:rPr>
        <w:t>给甲方</w:t>
      </w:r>
      <w:r>
        <w:rPr>
          <w:sz w:val="24"/>
          <w:highlight w:val="none"/>
          <w:lang w:val="zh-CN"/>
        </w:rPr>
        <w:t>，若乙方未根据整改报告按期整改的，</w:t>
      </w:r>
      <w:r>
        <w:rPr>
          <w:sz w:val="24"/>
          <w:highlight w:val="none"/>
        </w:rPr>
        <w:t>每次扣除合同款1万元</w:t>
      </w:r>
      <w:r>
        <w:rPr>
          <w:sz w:val="24"/>
          <w:highlight w:val="none"/>
          <w:lang w:val="zh-CN"/>
        </w:rPr>
        <w:t>。</w:t>
      </w:r>
      <w:r>
        <w:rPr>
          <w:sz w:val="24"/>
          <w:highlight w:val="none"/>
        </w:rPr>
        <w:t>以上扣除总额不超过合同的20%。</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7</w:t>
      </w:r>
      <w:r>
        <w:rPr>
          <w:rFonts w:hint="eastAsia" w:ascii="宋体" w:hAnsi="宋体" w:eastAsia="宋体" w:cs="宋体"/>
          <w:b/>
          <w:kern w:val="0"/>
          <w:sz w:val="24"/>
          <w:highlight w:val="none"/>
          <w:lang w:val="zh-CN"/>
        </w:rPr>
        <w:t>.项目质量</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7</w:t>
      </w:r>
      <w:r>
        <w:rPr>
          <w:rFonts w:hint="eastAsia" w:ascii="宋体" w:hAnsi="宋体" w:eastAsia="宋体" w:cs="宋体"/>
          <w:kern w:val="0"/>
          <w:sz w:val="24"/>
          <w:highlight w:val="none"/>
          <w:lang w:val="zh-CN"/>
        </w:rPr>
        <w:t>.1 乙方保证按ISO9000系列标准或相应的质量管理和质量保证体系，对项目安装、调试、检验等各个环节进行严格的质量和质量控制。</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7</w:t>
      </w:r>
      <w:r>
        <w:rPr>
          <w:rFonts w:hint="eastAsia" w:ascii="宋体" w:hAnsi="宋体" w:eastAsia="宋体" w:cs="宋体"/>
          <w:kern w:val="0"/>
          <w:sz w:val="24"/>
          <w:highlight w:val="none"/>
          <w:lang w:val="zh-CN"/>
        </w:rPr>
        <w:t>.2 乙方须严格按设计方案和国家现行项目实施验收规范有关规定，精心组织安装、调试、记录、检验。</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7</w:t>
      </w:r>
      <w:r>
        <w:rPr>
          <w:rFonts w:hint="eastAsia" w:ascii="宋体" w:hAnsi="宋体" w:eastAsia="宋体" w:cs="宋体"/>
          <w:kern w:val="0"/>
          <w:sz w:val="24"/>
          <w:highlight w:val="none"/>
          <w:lang w:val="zh-CN"/>
        </w:rPr>
        <w:t>.3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7</w:t>
      </w:r>
      <w:r>
        <w:rPr>
          <w:rFonts w:hint="eastAsia" w:ascii="宋体" w:hAnsi="宋体" w:eastAsia="宋体" w:cs="宋体"/>
          <w:kern w:val="0"/>
          <w:sz w:val="24"/>
          <w:highlight w:val="none"/>
          <w:lang w:val="zh-CN"/>
        </w:rPr>
        <w:t>.4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7</w:t>
      </w:r>
      <w:r>
        <w:rPr>
          <w:rFonts w:hint="eastAsia" w:ascii="宋体" w:hAnsi="宋体" w:eastAsia="宋体" w:cs="宋体"/>
          <w:kern w:val="0"/>
          <w:sz w:val="24"/>
          <w:highlight w:val="none"/>
          <w:lang w:val="zh-CN"/>
        </w:rPr>
        <w:t>.5 项目实施过程中应严格做好安全防范措施，如乙方项目实施人员在施工中违反操作规定造成人员伤亡事故或施工现场防范措施设置不明造成人员伤害事故，一切责任均有乙方负责。</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8</w:t>
      </w:r>
      <w:r>
        <w:rPr>
          <w:rFonts w:hint="eastAsia" w:ascii="宋体" w:hAnsi="宋体" w:eastAsia="宋体" w:cs="宋体"/>
          <w:b/>
          <w:kern w:val="0"/>
          <w:sz w:val="24"/>
          <w:highlight w:val="none"/>
          <w:lang w:val="zh-CN"/>
        </w:rPr>
        <w:t>. 争议处理</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.1 合同在履行过程中发生争议时，甲方与乙方及时协商解决。协商不成时，</w:t>
      </w:r>
      <w:r>
        <w:rPr>
          <w:rFonts w:hint="eastAsia" w:ascii="宋体" w:hAnsi="宋体" w:eastAsia="宋体" w:cs="宋体"/>
          <w:sz w:val="24"/>
          <w:highlight w:val="none"/>
        </w:rPr>
        <w:t>依法向人民法院起诉。</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.2 对于因违反或终止合同而引起的损失、损害的赔偿，由甲方与乙方友好协商解决，经协商仍未能达成一致的，依法向人民法院起诉。</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9</w:t>
      </w:r>
      <w:r>
        <w:rPr>
          <w:rFonts w:hint="eastAsia" w:ascii="宋体" w:hAnsi="宋体" w:eastAsia="宋体" w:cs="宋体"/>
          <w:b/>
          <w:kern w:val="0"/>
          <w:sz w:val="24"/>
          <w:highlight w:val="none"/>
          <w:lang w:val="zh-CN"/>
        </w:rPr>
        <w:t>. 其他</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.1 本合同（□是  □否）为可融资合同（若为可融资合同，则甲方必须将采购资金支付到合同中指定的融资银行及收款账号，开户银行：     账号：        ）。关于中小企业信用融资事项可登</w:t>
      </w:r>
      <w:r>
        <w:rPr>
          <w:rFonts w:hint="eastAsia" w:ascii="宋体" w:hAnsi="宋体" w:eastAsia="宋体" w:cs="宋体"/>
          <w:kern w:val="0"/>
          <w:sz w:val="24"/>
          <w:highlight w:val="none"/>
          <w:lang w:val="en-US" w:eastAsia="zh-CN"/>
        </w:rPr>
        <w:t>录</w:t>
      </w:r>
      <w:r>
        <w:rPr>
          <w:rFonts w:hint="eastAsia" w:ascii="宋体" w:hAnsi="宋体" w:eastAsia="宋体" w:cs="宋体"/>
          <w:kern w:val="0"/>
          <w:sz w:val="24"/>
          <w:highlight w:val="none"/>
          <w:lang w:val="zh-CN"/>
        </w:rPr>
        <w:t>杭州市政府采购网 “中小企业融资系统”专栏进行查询。</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.2 未经过甲方的书面同意，乙方不得转让其应履行的合同项下的义务，和将部分合同项下的义务分包给其他单位完成。</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.3 乙方不得参与可能与合同规定的与甲方的利益相冲突的任何活动。</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.4 乙方人员在甲方场地工作时，应遵守甲方相关规章、制度。</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 xml:space="preserve">.5 </w:t>
      </w:r>
      <w:r>
        <w:rPr>
          <w:rFonts w:hint="eastAsia" w:ascii="宋体" w:hAnsi="宋体" w:eastAsia="宋体" w:cs="宋体"/>
          <w:sz w:val="24"/>
          <w:highlight w:val="none"/>
        </w:rPr>
        <w:t>本合同任何一方给另一方的通知，都应以书面或电传/传真/电报的形式发送，而另一方应以书面形式确认并发送到对方明确的地址。</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 xml:space="preserve">.6 </w:t>
      </w:r>
      <w:r>
        <w:rPr>
          <w:rFonts w:hint="eastAsia" w:ascii="宋体" w:hAnsi="宋体" w:eastAsia="宋体" w:cs="宋体"/>
          <w:sz w:val="24"/>
          <w:highlight w:val="none"/>
        </w:rPr>
        <w:t>合同履行期内甲乙双方均不得随意变更或解除合同。合同若有未尽事宜，需经双方共同协商，订立补充协议，补充协议与本合同有同等法律效力。</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 xml:space="preserve">.7 </w:t>
      </w:r>
      <w:r>
        <w:rPr>
          <w:rFonts w:hint="eastAsia" w:ascii="宋体" w:hAnsi="宋体" w:eastAsia="宋体" w:cs="宋体"/>
          <w:sz w:val="24"/>
          <w:highlight w:val="none"/>
        </w:rPr>
        <w:t>招标文件[编号：</w:t>
      </w:r>
      <w:r>
        <w:rPr>
          <w:rFonts w:hint="eastAsia" w:ascii="宋体" w:hAnsi="宋体" w:cs="宋体"/>
          <w:sz w:val="24"/>
          <w:highlight w:val="none"/>
        </w:rPr>
        <w:t>XHZFCG-2022-G-42</w:t>
      </w:r>
      <w:r>
        <w:rPr>
          <w:rFonts w:hint="eastAsia" w:ascii="宋体" w:hAnsi="宋体" w:eastAsia="宋体" w:cs="宋体"/>
          <w:sz w:val="24"/>
          <w:highlight w:val="none"/>
        </w:rPr>
        <w:t>]、投标文件及评标过程中形成的文字资料、询标纪要均作为本合同的组成部分，具有同等效力。</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 xml:space="preserve">.8 </w:t>
      </w:r>
      <w:r>
        <w:rPr>
          <w:rFonts w:hint="eastAsia" w:ascii="宋体" w:hAnsi="宋体" w:eastAsia="宋体" w:cs="宋体"/>
          <w:sz w:val="24"/>
          <w:highlight w:val="none"/>
        </w:rPr>
        <w:t>本合同经甲乙双方法定代表人或其委托人签字盖章，并且乙方向甲方缴纳合同约定金额的履约保证金或建议免收履约保证金，合同在政采云平台备案后生效。</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 xml:space="preserve">.9 </w:t>
      </w:r>
      <w:r>
        <w:rPr>
          <w:rFonts w:hint="eastAsia" w:ascii="宋体" w:hAnsi="宋体" w:eastAsia="宋体" w:cs="宋体"/>
          <w:sz w:val="24"/>
          <w:highlight w:val="none"/>
        </w:rPr>
        <w:t>本合同一式伍份，甲方、乙方各执贰份，采购机构执壹份。</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sz w:val="24"/>
          <w:highlight w:val="none"/>
        </w:rPr>
        <w:t>.10 适用法律：本合同应按照中华人民共和国的法律进行解释。</w:t>
      </w:r>
    </w:p>
    <w:p>
      <w:pPr>
        <w:autoSpaceDE w:val="0"/>
        <w:autoSpaceDN w:val="0"/>
        <w:adjustRightInd w:val="0"/>
        <w:spacing w:line="360" w:lineRule="auto"/>
        <w:ind w:firstLine="360" w:firstLineChars="150"/>
        <w:jc w:val="left"/>
        <w:rPr>
          <w:rFonts w:hint="eastAsia" w:ascii="宋体" w:hAnsi="宋体" w:eastAsia="宋体" w:cs="宋体"/>
          <w:sz w:val="24"/>
          <w:highlight w:val="none"/>
        </w:rPr>
      </w:pPr>
      <w:r>
        <w:rPr>
          <w:rFonts w:hint="eastAsia" w:ascii="宋体" w:hAnsi="宋体" w:eastAsia="宋体" w:cs="宋体"/>
          <w:sz w:val="24"/>
          <w:highlight w:val="none"/>
        </w:rPr>
        <w:t xml:space="preserve"> 1</w:t>
      </w:r>
      <w:r>
        <w:rPr>
          <w:rFonts w:hint="default" w:ascii="宋体" w:hAnsi="宋体" w:cs="宋体"/>
          <w:sz w:val="24"/>
          <w:highlight w:val="none"/>
          <w:lang w:val="en-US"/>
        </w:rPr>
        <w:t>9</w:t>
      </w:r>
      <w:r>
        <w:rPr>
          <w:rFonts w:hint="eastAsia" w:ascii="宋体" w:hAnsi="宋体" w:eastAsia="宋体" w:cs="宋体"/>
          <w:sz w:val="24"/>
          <w:highlight w:val="none"/>
        </w:rPr>
        <w:t xml:space="preserve">.11 以上是合同的主要条款，合同条款包括但不止于以上条款（如安全生产责任状以及廉政合同等）。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甲方（盖章）：                             乙方（盖章）：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法定代表人：                              法定代表人：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或受委托人（签字）：                       或受委托人（签字）：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联系人：                                  联系人：</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地址：                                    地址：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电话：                                    电话：</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传真：                                    传真：</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开户银行：                                开户银行：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帐号：                                    帐号：</w:t>
      </w:r>
    </w:p>
    <w:p>
      <w:pPr>
        <w:spacing w:line="360" w:lineRule="auto"/>
        <w:rPr>
          <w:rFonts w:hint="eastAsia" w:ascii="宋体" w:hAnsi="宋体" w:eastAsia="宋体" w:cs="宋体"/>
          <w:sz w:val="24"/>
          <w:highlight w:val="none"/>
        </w:rPr>
      </w:pPr>
    </w:p>
    <w:p>
      <w:pPr>
        <w:spacing w:line="360" w:lineRule="auto"/>
        <w:ind w:firstLine="5280" w:firstLineChars="2200"/>
        <w:rPr>
          <w:rFonts w:hint="eastAsia" w:ascii="宋体" w:hAnsi="宋体" w:eastAsia="宋体" w:cs="宋体"/>
          <w:sz w:val="24"/>
          <w:highlight w:val="none"/>
        </w:rPr>
      </w:pPr>
      <w:r>
        <w:rPr>
          <w:rFonts w:hint="eastAsia" w:ascii="宋体" w:hAnsi="宋体" w:eastAsia="宋体" w:cs="宋体"/>
          <w:sz w:val="24"/>
          <w:highlight w:val="none"/>
        </w:rPr>
        <w:t>签 约 地：</w:t>
      </w:r>
    </w:p>
    <w:p>
      <w:pPr>
        <w:adjustRightInd w:val="0"/>
        <w:snapToGrid w:val="0"/>
        <w:spacing w:line="360" w:lineRule="auto"/>
        <w:rPr>
          <w:rFonts w:hint="eastAsia" w:ascii="宋体" w:hAnsi="宋体" w:eastAsia="宋体" w:cs="宋体"/>
          <w:b/>
          <w:sz w:val="36"/>
          <w:highlight w:val="none"/>
        </w:rPr>
      </w:pPr>
      <w:r>
        <w:rPr>
          <w:rFonts w:hint="eastAsia" w:ascii="宋体" w:hAnsi="宋体" w:eastAsia="宋体" w:cs="宋体"/>
          <w:sz w:val="24"/>
          <w:highlight w:val="none"/>
        </w:rPr>
        <w:t xml:space="preserve">                                            签约日期：   年   月    日</w:t>
      </w: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rPr>
          <w:rFonts w:ascii="宋体" w:hAnsi="宋体" w:cs="宋体"/>
          <w:sz w:val="24"/>
          <w:highlight w:val="none"/>
        </w:rPr>
      </w:pPr>
    </w:p>
    <w:p>
      <w:pPr>
        <w:spacing w:line="360" w:lineRule="auto"/>
        <w:ind w:left="-420" w:leftChars="-200" w:right="-420" w:rightChars="-200" w:firstLine="480" w:firstLineChars="200"/>
        <w:jc w:val="center"/>
        <w:outlineLvl w:val="0"/>
        <w:rPr>
          <w:rFonts w:ascii="宋体" w:hAnsi="宋体" w:cs="宋体"/>
          <w:sz w:val="24"/>
          <w:highlight w:val="none"/>
        </w:rPr>
      </w:pPr>
    </w:p>
    <w:p>
      <w:pPr>
        <w:spacing w:line="360" w:lineRule="auto"/>
        <w:ind w:left="-420" w:leftChars="-200" w:right="-420" w:rightChars="-200" w:firstLine="480" w:firstLineChars="200"/>
        <w:jc w:val="center"/>
        <w:outlineLvl w:val="0"/>
        <w:rPr>
          <w:rFonts w:ascii="宋体" w:hAnsi="宋体" w:cs="宋体"/>
          <w:sz w:val="24"/>
          <w:highlight w:val="none"/>
        </w:rPr>
      </w:pPr>
    </w:p>
    <w:p>
      <w:pPr>
        <w:spacing w:line="360" w:lineRule="auto"/>
        <w:ind w:left="720" w:firstLine="723" w:firstLineChars="200"/>
        <w:outlineLvl w:val="0"/>
        <w:rPr>
          <w:rFonts w:ascii="宋体" w:hAnsi="宋体" w:cs="宋体"/>
          <w:b/>
          <w:sz w:val="36"/>
          <w:szCs w:val="20"/>
          <w:highlight w:val="none"/>
        </w:rPr>
      </w:pPr>
      <w:r>
        <w:rPr>
          <w:rFonts w:hint="eastAsia" w:ascii="宋体" w:hAnsi="宋体" w:cs="宋体"/>
          <w:b/>
          <w:sz w:val="36"/>
          <w:szCs w:val="20"/>
          <w:highlight w:val="none"/>
        </w:rPr>
        <w:t>第六部分</w:t>
      </w:r>
      <w:bookmarkEnd w:id="401"/>
      <w:r>
        <w:rPr>
          <w:rFonts w:hint="eastAsia" w:ascii="宋体" w:hAnsi="宋体" w:cs="宋体"/>
          <w:b/>
          <w:sz w:val="36"/>
          <w:szCs w:val="20"/>
          <w:highlight w:val="none"/>
        </w:rPr>
        <w:t xml:space="preserve"> </w:t>
      </w:r>
      <w:bookmarkEnd w:id="402"/>
      <w:r>
        <w:rPr>
          <w:rFonts w:hint="eastAsia" w:ascii="宋体" w:hAnsi="宋体" w:cs="宋体"/>
          <w:b/>
          <w:sz w:val="36"/>
          <w:szCs w:val="20"/>
          <w:highlight w:val="none"/>
        </w:rPr>
        <w:t>应提交的有关格式范例</w:t>
      </w:r>
    </w:p>
    <w:p>
      <w:pPr>
        <w:spacing w:line="360" w:lineRule="auto"/>
        <w:jc w:val="center"/>
        <w:outlineLvl w:val="0"/>
        <w:rPr>
          <w:rFonts w:ascii="宋体" w:hAnsi="宋体" w:cs="宋体"/>
          <w:b/>
          <w:kern w:val="0"/>
          <w:sz w:val="36"/>
          <w:szCs w:val="36"/>
          <w:highlight w:val="none"/>
        </w:r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资格文件部分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（1）符合参加政府采购活动应当具备的一般条件的承诺函……………（页码）</w:t>
      </w:r>
    </w:p>
    <w:p>
      <w:pPr>
        <w:snapToGrid w:val="0"/>
        <w:spacing w:line="360" w:lineRule="auto"/>
        <w:rPr>
          <w:rFonts w:ascii="宋体" w:hAnsi="宋体" w:cs="宋体"/>
          <w:sz w:val="24"/>
          <w:highlight w:val="none"/>
        </w:rPr>
      </w:pPr>
      <w:r>
        <w:rPr>
          <w:rFonts w:hint="eastAsia" w:ascii="宋体" w:hAnsi="宋体" w:cs="宋体"/>
          <w:snapToGrid w:val="0"/>
          <w:kern w:val="28"/>
          <w:sz w:val="24"/>
          <w:szCs w:val="20"/>
          <w:highlight w:val="none"/>
        </w:rPr>
        <w:t>（2）联合协议</w:t>
      </w:r>
      <w:r>
        <w:rPr>
          <w:rFonts w:hint="eastAsia" w:ascii="宋体" w:hAnsi="宋体" w:cs="宋体"/>
          <w:sz w:val="24"/>
          <w:highlight w:val="none"/>
        </w:rPr>
        <w:t>………………………………………………………………（页码）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）落实政府采购政策需满足的资格要求………………………………（页码）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）本项目的特定资格要求………………………………………………（页码）</w:t>
      </w:r>
    </w:p>
    <w:p>
      <w:pPr>
        <w:snapToGrid w:val="0"/>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kern w:val="0"/>
          <w:sz w:val="24"/>
          <w:highlight w:val="none"/>
        </w:rPr>
        <w:br w:type="page"/>
      </w:r>
      <w:r>
        <w:rPr>
          <w:rFonts w:hint="eastAsia" w:ascii="宋体" w:hAnsi="宋体" w:cs="宋体"/>
          <w:b/>
          <w:kern w:val="0"/>
          <w:sz w:val="32"/>
          <w:szCs w:val="32"/>
          <w:highlight w:val="none"/>
        </w:rPr>
        <w:t xml:space="preserve">  一、 符合参加政府采购活动应当具备的一般条件的承诺函</w:t>
      </w:r>
    </w:p>
    <w:p>
      <w:pPr>
        <w:snapToGrid w:val="0"/>
        <w:spacing w:line="360" w:lineRule="auto"/>
        <w:rPr>
          <w:rFonts w:ascii="宋体" w:hAnsi="宋体" w:cs="宋体"/>
          <w:sz w:val="24"/>
          <w:highlight w:val="none"/>
        </w:rPr>
      </w:pPr>
      <w:r>
        <w:rPr>
          <w:rFonts w:hint="eastAsia" w:ascii="宋体" w:hAnsi="宋体" w:cs="宋体"/>
          <w:sz w:val="24"/>
          <w:highlight w:val="none"/>
          <w:lang w:eastAsia="zh-CN"/>
        </w:rPr>
        <w:t>杭州市西湖区数据资源管理局</w:t>
      </w:r>
      <w:r>
        <w:rPr>
          <w:rFonts w:hint="eastAsia" w:ascii="宋体" w:hAnsi="宋体" w:cs="宋体"/>
          <w:sz w:val="24"/>
          <w:highlight w:val="none"/>
        </w:rPr>
        <w:t>、</w:t>
      </w:r>
      <w:r>
        <w:rPr>
          <w:rFonts w:hint="eastAsia" w:ascii="宋体" w:hAnsi="宋体" w:cs="宋体"/>
          <w:sz w:val="24"/>
          <w:highlight w:val="none"/>
          <w:lang w:eastAsia="zh-CN"/>
        </w:rPr>
        <w:t>杭州市西湖区政府采购中心</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我方参与</w:t>
      </w:r>
      <w:r>
        <w:rPr>
          <w:rFonts w:hint="eastAsia" w:ascii="宋体" w:hAnsi="宋体" w:cs="宋体"/>
          <w:sz w:val="24"/>
          <w:highlight w:val="none"/>
          <w:lang w:eastAsia="zh-CN"/>
        </w:rPr>
        <w:t>杭州市西湖区电子政务整体安全体系改造提升（2022）项目</w:t>
      </w:r>
      <w:r>
        <w:rPr>
          <w:rFonts w:hint="eastAsia" w:ascii="宋体" w:hAnsi="宋体" w:cs="宋体"/>
          <w:sz w:val="24"/>
          <w:highlight w:val="none"/>
        </w:rPr>
        <w:t>【招标编号：XHZFCG-2022-G-42】政府采购活动，郑重承诺：</w:t>
      </w:r>
    </w:p>
    <w:p>
      <w:pPr>
        <w:snapToGrid w:val="0"/>
        <w:spacing w:line="360" w:lineRule="auto"/>
        <w:ind w:firstLine="360" w:firstLineChars="150"/>
        <w:rPr>
          <w:rFonts w:ascii="宋体" w:hAnsi="宋体" w:cs="宋体"/>
          <w:sz w:val="24"/>
          <w:highlight w:val="none"/>
        </w:rPr>
      </w:pPr>
      <w:r>
        <w:rPr>
          <w:rFonts w:hint="eastAsia" w:ascii="宋体" w:hAnsi="宋体" w:cs="宋体"/>
          <w:sz w:val="24"/>
          <w:highlight w:val="none"/>
        </w:rPr>
        <w:t>（一）具备《中华人民共和国政府采购法》第二十二条第一款规定的条件：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1、具有独立承担民事责任的能力；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2、具有良好的商业信誉和健全的财务会计制度；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3、具有履行合同所必需的设备和专业技术能力；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4、有依法缴纳税收和社会保障资金的良好记录；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5、参加政府采购活动前三年内，在经营活动中没有重大违法记录；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6、具有法律、行政法规规定的其他条件。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（三）不存在以下情况：</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highlight w:val="none"/>
        </w:rPr>
      </w:pPr>
      <w:r>
        <w:rPr>
          <w:rFonts w:hint="eastAsia" w:ascii="宋体" w:hAnsi="宋体" w:cs="宋体"/>
          <w:kern w:val="0"/>
          <w:sz w:val="24"/>
          <w:highlight w:val="none"/>
          <w:lang w:val="zh-CN"/>
        </w:rPr>
        <w:t>投标人名称(电子签名)：</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widowControl/>
        <w:spacing w:line="360" w:lineRule="auto"/>
        <w:ind w:firstLine="643" w:firstLineChars="200"/>
        <w:jc w:val="center"/>
        <w:rPr>
          <w:rFonts w:ascii="宋体" w:hAnsi="宋体" w:cs="宋体"/>
          <w:b/>
          <w:kern w:val="0"/>
          <w:sz w:val="32"/>
          <w:szCs w:val="32"/>
          <w:highlight w:val="none"/>
        </w:rPr>
      </w:pPr>
      <w:r>
        <w:rPr>
          <w:rFonts w:hint="eastAsia" w:ascii="宋体" w:hAnsi="宋体" w:cs="宋体"/>
          <w:b/>
          <w:kern w:val="0"/>
          <w:sz w:val="32"/>
          <w:szCs w:val="32"/>
          <w:highlight w:val="none"/>
        </w:rPr>
        <w:t>二、联合协议（如果有）</w:t>
      </w:r>
    </w:p>
    <w:p>
      <w:pPr>
        <w:widowControl/>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3"/>
        <w:rPr>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b/>
          <w:kern w:val="0"/>
          <w:sz w:val="32"/>
          <w:szCs w:val="32"/>
          <w:highlight w:val="none"/>
        </w:rPr>
        <w:t>三、落实政府采购政策需满足的资格要求</w:t>
      </w:r>
    </w:p>
    <w:p>
      <w:pPr>
        <w:spacing w:line="360" w:lineRule="auto"/>
        <w:rPr>
          <w:rFonts w:ascii="宋体" w:hAnsi="宋体" w:cs="宋体"/>
          <w:sz w:val="24"/>
          <w:highlight w:val="none"/>
        </w:rPr>
      </w:pPr>
      <w:r>
        <w:rPr>
          <w:rFonts w:hint="eastAsia" w:ascii="宋体" w:hAnsi="宋体" w:cs="宋体"/>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highlight w:val="none"/>
        </w:rPr>
      </w:pPr>
      <w:r>
        <w:rPr>
          <w:rFonts w:hint="eastAsia" w:ascii="宋体" w:hAnsi="宋体" w:cs="宋体"/>
          <w:b/>
          <w:sz w:val="24"/>
          <w:highlight w:val="none"/>
        </w:rPr>
        <w:t>A</w:t>
      </w:r>
      <w:r>
        <w:rPr>
          <w:rFonts w:hint="eastAsia" w:ascii="宋体" w:hAnsi="宋体" w:cs="宋体"/>
          <w:sz w:val="24"/>
          <w:highlight w:val="none"/>
        </w:rPr>
        <w:t>.专门面向中小企业，服务全部由符合政策要求的中小企业（或小微企业）承接的，提供相应的中小企业声明函（附件</w:t>
      </w:r>
      <w:r>
        <w:rPr>
          <w:rFonts w:ascii="宋体" w:hAnsi="宋体" w:cs="宋体"/>
          <w:sz w:val="24"/>
          <w:highlight w:val="none"/>
        </w:rPr>
        <w:t>7</w:t>
      </w:r>
      <w:r>
        <w:rPr>
          <w:rFonts w:hint="eastAsia" w:ascii="宋体" w:hAnsi="宋体" w:cs="宋体"/>
          <w:sz w:val="24"/>
          <w:highlight w:val="none"/>
        </w:rPr>
        <w:t xml:space="preserve">）。 </w:t>
      </w:r>
    </w:p>
    <w:p>
      <w:pPr>
        <w:widowControl/>
        <w:spacing w:line="360" w:lineRule="auto"/>
        <w:ind w:left="150"/>
        <w:jc w:val="center"/>
        <w:rPr>
          <w:rFonts w:hint="eastAsia" w:ascii="宋体" w:hAnsi="宋体" w:cs="宋体"/>
          <w:b/>
          <w:kern w:val="0"/>
          <w:sz w:val="32"/>
          <w:szCs w:val="32"/>
          <w:highlight w:val="none"/>
        </w:rPr>
      </w:pPr>
    </w:p>
    <w:p>
      <w:pPr>
        <w:widowControl/>
        <w:spacing w:line="360" w:lineRule="auto"/>
        <w:ind w:left="150"/>
        <w:jc w:val="center"/>
        <w:rPr>
          <w:rFonts w:ascii="宋体" w:hAnsi="宋体" w:cs="宋体"/>
          <w:b/>
          <w:kern w:val="0"/>
          <w:sz w:val="32"/>
          <w:szCs w:val="32"/>
          <w:highlight w:val="none"/>
        </w:rPr>
      </w:pPr>
      <w:r>
        <w:rPr>
          <w:rFonts w:hint="eastAsia" w:ascii="宋体" w:hAnsi="宋体" w:cs="宋体"/>
          <w:b/>
          <w:kern w:val="0"/>
          <w:sz w:val="32"/>
          <w:szCs w:val="32"/>
          <w:highlight w:val="none"/>
        </w:rPr>
        <w:t>四、本项目的特定资格要求</w:t>
      </w:r>
    </w:p>
    <w:p>
      <w:pPr>
        <w:spacing w:line="360" w:lineRule="auto"/>
        <w:jc w:val="center"/>
        <w:rPr>
          <w:rFonts w:ascii="宋体" w:hAnsi="宋体" w:cs="宋体"/>
          <w:sz w:val="24"/>
          <w:highlight w:val="none"/>
        </w:rPr>
      </w:pPr>
      <w:r>
        <w:rPr>
          <w:rFonts w:hint="eastAsia" w:ascii="宋体" w:hAnsi="宋体" w:cs="宋体"/>
          <w:sz w:val="24"/>
          <w:highlight w:val="none"/>
        </w:rPr>
        <w:t>（根据招标公告本项目的特定资格要求提供相应的材料；未要求的，无需提供）</w:t>
      </w: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3"/>
        <w:snapToGrid w:val="0"/>
        <w:spacing w:line="360" w:lineRule="auto"/>
        <w:ind w:right="480"/>
        <w:jc w:val="center"/>
        <w:rPr>
          <w:rFonts w:hint="eastAsia" w:ascii="宋体" w:hAnsi="宋体" w:cs="宋体"/>
          <w:b/>
          <w:kern w:val="0"/>
          <w:sz w:val="32"/>
          <w:szCs w:val="32"/>
          <w:highlight w:val="none"/>
          <w:lang w:val="en-US"/>
        </w:rPr>
      </w:pPr>
    </w:p>
    <w:p>
      <w:pPr>
        <w:snapToGrid w:val="0"/>
        <w:spacing w:line="360" w:lineRule="auto"/>
        <w:ind w:right="480"/>
        <w:jc w:val="center"/>
        <w:rPr>
          <w:rFonts w:ascii="宋体" w:hAnsi="宋体" w:cs="宋体"/>
          <w:b/>
          <w:kern w:val="0"/>
          <w:sz w:val="32"/>
          <w:szCs w:val="32"/>
          <w:highlight w:val="none"/>
        </w:rPr>
      </w:pPr>
    </w:p>
    <w:p>
      <w:pPr>
        <w:spacing w:line="360" w:lineRule="auto"/>
        <w:ind w:right="420" w:firstLine="3614" w:firstLineChars="1000"/>
        <w:rPr>
          <w:rFonts w:ascii="宋体" w:hAnsi="宋体" w:cs="宋体"/>
          <w:b/>
          <w:kern w:val="0"/>
          <w:sz w:val="36"/>
          <w:szCs w:val="36"/>
          <w:highlight w:val="none"/>
        </w:rPr>
      </w:pPr>
      <w:r>
        <w:rPr>
          <w:rFonts w:hint="eastAsia" w:ascii="宋体" w:hAnsi="宋体" w:cs="宋体"/>
          <w:b/>
          <w:kern w:val="0"/>
          <w:sz w:val="36"/>
          <w:szCs w:val="36"/>
          <w:highlight w:val="none"/>
        </w:rPr>
        <w:t>商务技术文件部分</w:t>
      </w:r>
    </w:p>
    <w:p>
      <w:pPr>
        <w:spacing w:line="360" w:lineRule="auto"/>
        <w:jc w:val="center"/>
        <w:outlineLvl w:val="0"/>
        <w:rPr>
          <w:rFonts w:ascii="宋体" w:hAnsi="宋体" w:cs="宋体"/>
          <w:b/>
          <w:kern w:val="0"/>
          <w:sz w:val="24"/>
          <w:highlight w:val="none"/>
        </w:rPr>
      </w:pPr>
    </w:p>
    <w:p>
      <w:pPr>
        <w:spacing w:line="360" w:lineRule="auto"/>
        <w:jc w:val="center"/>
        <w:outlineLvl w:val="0"/>
        <w:rPr>
          <w:rFonts w:ascii="宋体" w:hAnsi="宋体" w:cs="宋体"/>
          <w:b/>
          <w:kern w:val="0"/>
          <w:sz w:val="28"/>
          <w:szCs w:val="28"/>
          <w:highlight w:val="none"/>
        </w:rPr>
      </w:pPr>
      <w:r>
        <w:rPr>
          <w:rFonts w:hint="eastAsia" w:ascii="宋体" w:hAnsi="宋体" w:cs="宋体"/>
          <w:b/>
          <w:kern w:val="0"/>
          <w:sz w:val="28"/>
          <w:szCs w:val="28"/>
          <w:highlight w:val="none"/>
        </w:rPr>
        <w:t>目录</w:t>
      </w:r>
    </w:p>
    <w:p>
      <w:pPr>
        <w:snapToGrid w:val="0"/>
        <w:spacing w:line="360" w:lineRule="auto"/>
        <w:ind w:left="479" w:leftChars="228"/>
        <w:rPr>
          <w:rFonts w:ascii="宋体" w:hAnsi="宋体" w:cs="宋体"/>
          <w:highlight w:val="none"/>
        </w:rPr>
      </w:pPr>
      <w:r>
        <w:rPr>
          <w:rFonts w:hint="eastAsia" w:ascii="宋体" w:hAnsi="宋体" w:cs="宋体"/>
          <w:sz w:val="24"/>
          <w:highlight w:val="none"/>
        </w:rPr>
        <w:t>（1）投标函</w:t>
      </w:r>
      <w:r>
        <w:rPr>
          <w:rFonts w:hint="eastAsia" w:ascii="宋体" w:hAnsi="宋体" w:cs="宋体"/>
          <w:highlight w:val="none"/>
        </w:rPr>
        <w:t>…………………………………………………………………………………（页码）</w:t>
      </w:r>
      <w:r>
        <w:rPr>
          <w:rFonts w:hint="eastAsia" w:ascii="宋体" w:hAnsi="宋体" w:cs="宋体"/>
          <w:sz w:val="24"/>
          <w:highlight w:val="none"/>
        </w:rPr>
        <w:t>（2）授权委托书或法定代表人（单位负责人、自然人本人）身份证明</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）分包意向协议</w:t>
      </w:r>
      <w:r>
        <w:rPr>
          <w:rFonts w:hint="eastAsia" w:ascii="宋体" w:hAnsi="宋体" w:cs="宋体"/>
          <w:highlight w:val="none"/>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）符合性审查资料</w:t>
      </w:r>
      <w:r>
        <w:rPr>
          <w:rFonts w:hint="eastAsia" w:ascii="宋体" w:hAnsi="宋体" w:cs="宋体"/>
          <w:highlight w:val="none"/>
        </w:rPr>
        <w:t>………………………………………………………………………（页码）</w:t>
      </w:r>
    </w:p>
    <w:p>
      <w:pPr>
        <w:snapToGrid w:val="0"/>
        <w:spacing w:line="360" w:lineRule="auto"/>
        <w:ind w:left="479" w:leftChars="228"/>
        <w:rPr>
          <w:rFonts w:hint="eastAsia" w:ascii="宋体" w:hAnsi="宋体" w:cs="宋体"/>
          <w:highlight w:val="none"/>
        </w:rPr>
      </w:pPr>
      <w:r>
        <w:rPr>
          <w:rFonts w:hint="eastAsia" w:ascii="宋体" w:hAnsi="宋体" w:cs="宋体"/>
          <w:sz w:val="24"/>
          <w:highlight w:val="none"/>
        </w:rPr>
        <w:t>（</w:t>
      </w:r>
      <w:r>
        <w:rPr>
          <w:rFonts w:ascii="宋体" w:hAnsi="宋体" w:cs="宋体"/>
          <w:sz w:val="24"/>
          <w:highlight w:val="none"/>
        </w:rPr>
        <w:t>5</w:t>
      </w:r>
      <w:r>
        <w:rPr>
          <w:rFonts w:hint="eastAsia" w:ascii="宋体" w:hAnsi="宋体" w:cs="宋体"/>
          <w:sz w:val="24"/>
          <w:highlight w:val="none"/>
        </w:rPr>
        <w:t>）评标标准相应的商务技术资料</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hint="default" w:ascii="宋体" w:hAnsi="宋体" w:cs="宋体"/>
          <w:sz w:val="24"/>
          <w:highlight w:val="none"/>
          <w:lang w:val="en-US"/>
        </w:rPr>
        <w:t>6</w:t>
      </w:r>
      <w:r>
        <w:rPr>
          <w:rFonts w:hint="eastAsia" w:ascii="宋体" w:hAnsi="宋体" w:cs="宋体"/>
          <w:sz w:val="24"/>
          <w:highlight w:val="none"/>
        </w:rPr>
        <w:t>）</w:t>
      </w:r>
      <w:r>
        <w:rPr>
          <w:rFonts w:hint="eastAsia" w:ascii="宋体" w:hAnsi="宋体" w:cs="宋体"/>
          <w:sz w:val="24"/>
          <w:highlight w:val="none"/>
          <w:lang w:eastAsia="zh-CN"/>
        </w:rPr>
        <w:t>投标标的清单</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hint="default" w:ascii="宋体" w:hAnsi="宋体" w:cs="宋体"/>
          <w:sz w:val="24"/>
          <w:highlight w:val="none"/>
          <w:lang w:val="en-US"/>
        </w:rPr>
        <w:t>7</w:t>
      </w:r>
      <w:r>
        <w:rPr>
          <w:rFonts w:hint="eastAsia" w:ascii="宋体" w:hAnsi="宋体" w:cs="宋体"/>
          <w:sz w:val="24"/>
          <w:highlight w:val="none"/>
        </w:rPr>
        <w:t>）商务技术偏离表</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hint="default" w:ascii="宋体" w:hAnsi="宋体" w:cs="宋体"/>
          <w:sz w:val="24"/>
          <w:highlight w:val="none"/>
          <w:lang w:val="en-US"/>
        </w:rPr>
        <w:t>8</w:t>
      </w:r>
      <w:r>
        <w:rPr>
          <w:rFonts w:hint="eastAsia" w:ascii="宋体" w:hAnsi="宋体" w:cs="宋体"/>
          <w:sz w:val="24"/>
          <w:highlight w:val="none"/>
          <w:lang w:val="zh-CN"/>
        </w:rPr>
        <w:t>）政府采购供应商廉洁自律承诺书</w:t>
      </w:r>
      <w:r>
        <w:rPr>
          <w:rFonts w:hint="eastAsia" w:ascii="宋体" w:hAnsi="宋体" w:cs="宋体"/>
          <w:highlight w:val="none"/>
        </w:rPr>
        <w:t>…………………………………………………（页码）</w:t>
      </w:r>
    </w:p>
    <w:p>
      <w:pPr>
        <w:snapToGrid w:val="0"/>
        <w:spacing w:line="360" w:lineRule="auto"/>
        <w:jc w:val="center"/>
        <w:outlineLvl w:val="0"/>
        <w:rPr>
          <w:rFonts w:hint="eastAsia" w:ascii="宋体" w:hAnsi="宋体" w:cs="宋体"/>
          <w:b/>
          <w:kern w:val="0"/>
          <w:sz w:val="32"/>
          <w:szCs w:val="32"/>
          <w:highlight w:val="none"/>
        </w:rPr>
      </w:pPr>
    </w:p>
    <w:p>
      <w:pPr>
        <w:snapToGrid w:val="0"/>
        <w:spacing w:line="360" w:lineRule="auto"/>
        <w:jc w:val="center"/>
        <w:outlineLvl w:val="0"/>
        <w:rPr>
          <w:rFonts w:ascii="宋体" w:hAnsi="宋体" w:cs="宋体"/>
          <w:b/>
          <w:sz w:val="32"/>
          <w:szCs w:val="32"/>
          <w:highlight w:val="none"/>
        </w:rPr>
      </w:pPr>
      <w:r>
        <w:rPr>
          <w:rFonts w:hint="eastAsia" w:ascii="宋体" w:hAnsi="宋体" w:cs="宋体"/>
          <w:b/>
          <w:kern w:val="0"/>
          <w:sz w:val="32"/>
          <w:szCs w:val="32"/>
          <w:highlight w:val="none"/>
        </w:rPr>
        <w:t>一、投标</w:t>
      </w:r>
      <w:r>
        <w:rPr>
          <w:rFonts w:hint="eastAsia" w:ascii="宋体" w:hAnsi="宋体" w:cs="宋体"/>
          <w:b/>
          <w:sz w:val="32"/>
          <w:szCs w:val="32"/>
          <w:highlight w:val="none"/>
        </w:rPr>
        <w:t>函</w:t>
      </w:r>
    </w:p>
    <w:p>
      <w:pPr>
        <w:snapToGrid w:val="0"/>
        <w:spacing w:line="360" w:lineRule="auto"/>
        <w:rPr>
          <w:rFonts w:ascii="宋体" w:hAnsi="宋体" w:cs="宋体"/>
          <w:sz w:val="24"/>
          <w:highlight w:val="none"/>
        </w:rPr>
      </w:pPr>
      <w:r>
        <w:rPr>
          <w:rFonts w:hint="eastAsia" w:ascii="宋体" w:hAnsi="宋体" w:cs="宋体"/>
          <w:sz w:val="24"/>
          <w:highlight w:val="none"/>
          <w:lang w:eastAsia="zh-CN"/>
        </w:rPr>
        <w:t>杭州市西湖区数据资源管理局</w:t>
      </w:r>
      <w:r>
        <w:rPr>
          <w:rFonts w:hint="eastAsia" w:ascii="宋体" w:hAnsi="宋体" w:cs="宋体"/>
          <w:sz w:val="24"/>
          <w:highlight w:val="none"/>
        </w:rPr>
        <w:t>、</w:t>
      </w:r>
      <w:r>
        <w:rPr>
          <w:rFonts w:hint="eastAsia" w:ascii="宋体" w:hAnsi="宋体" w:cs="宋体"/>
          <w:sz w:val="24"/>
          <w:highlight w:val="none"/>
          <w:lang w:eastAsia="zh-CN"/>
        </w:rPr>
        <w:t>杭州市西湖区政府采购中心</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我方参加你方组织的</w:t>
      </w:r>
      <w:r>
        <w:rPr>
          <w:rFonts w:hint="eastAsia" w:ascii="宋体" w:hAnsi="宋体" w:cs="宋体"/>
          <w:sz w:val="24"/>
          <w:highlight w:val="none"/>
          <w:lang w:eastAsia="zh-CN"/>
        </w:rPr>
        <w:t>杭州市西湖区电子政务整体安全体系改造提升（2022）项目</w:t>
      </w:r>
      <w:r>
        <w:rPr>
          <w:rFonts w:hint="eastAsia" w:ascii="宋体" w:hAnsi="宋体" w:cs="宋体"/>
          <w:sz w:val="24"/>
          <w:highlight w:val="none"/>
        </w:rPr>
        <w:t>【招标编号：XHZFCG-2022-G-42】招标的有关活动，并对此项目进行投标。为此：</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1、我方承诺投标有效期从提交投标文件的截止之日起</w:t>
      </w:r>
      <w:r>
        <w:rPr>
          <w:rFonts w:hint="eastAsia" w:ascii="宋体" w:hAnsi="宋体" w:cs="宋体"/>
          <w:sz w:val="24"/>
          <w:highlight w:val="none"/>
          <w:u w:val="single"/>
        </w:rPr>
        <w:t xml:space="preserve">     </w:t>
      </w:r>
      <w:r>
        <w:rPr>
          <w:rFonts w:hint="eastAsia" w:ascii="宋体" w:hAnsi="宋体" w:cs="宋体"/>
          <w:sz w:val="24"/>
          <w:highlight w:val="none"/>
        </w:rPr>
        <w:t>天（不少于90天）</w:t>
      </w:r>
      <w:r>
        <w:rPr>
          <w:rFonts w:hint="eastAsia" w:ascii="宋体" w:hAnsi="宋体" w:cs="宋体"/>
          <w:highlight w:val="none"/>
        </w:rPr>
        <w:t>，</w:t>
      </w:r>
      <w:r>
        <w:rPr>
          <w:rFonts w:hint="eastAsia" w:ascii="宋体" w:hAnsi="宋体" w:cs="宋体"/>
          <w:sz w:val="24"/>
          <w:highlight w:val="none"/>
        </w:rPr>
        <w:t>本投标文件在投标有效期满之前均具有约束力。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2、我方的投标文件包括以下内容：</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2.1资格文件：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2.1.1承诺函；</w:t>
      </w:r>
    </w:p>
    <w:p>
      <w:pPr>
        <w:snapToGrid w:val="0"/>
        <w:spacing w:line="360" w:lineRule="auto"/>
        <w:ind w:left="420" w:leftChars="200" w:firstLine="480" w:firstLineChars="200"/>
        <w:rPr>
          <w:rFonts w:hint="eastAsia" w:ascii="宋体" w:hAnsi="宋体" w:eastAsia="宋体" w:cs="宋体"/>
          <w:sz w:val="24"/>
          <w:highlight w:val="none"/>
          <w:lang w:eastAsia="zh-CN"/>
        </w:rPr>
      </w:pPr>
      <w:r>
        <w:rPr>
          <w:rFonts w:hint="eastAsia" w:ascii="宋体" w:hAnsi="宋体" w:cs="宋体"/>
          <w:sz w:val="24"/>
          <w:highlight w:val="none"/>
        </w:rPr>
        <w:t>2.1.2</w:t>
      </w:r>
      <w:r>
        <w:rPr>
          <w:rFonts w:hint="eastAsia" w:ascii="宋体" w:hAnsi="宋体" w:cs="宋体"/>
          <w:snapToGrid w:val="0"/>
          <w:kern w:val="28"/>
          <w:sz w:val="24"/>
          <w:szCs w:val="20"/>
          <w:highlight w:val="none"/>
        </w:rPr>
        <w:t>联合协议</w:t>
      </w:r>
      <w:bookmarkStart w:id="404" w:name="_Hlk101257010"/>
      <w:r>
        <w:rPr>
          <w:rFonts w:hint="eastAsia" w:ascii="宋体" w:hAnsi="宋体" w:cs="宋体"/>
          <w:snapToGrid w:val="0"/>
          <w:kern w:val="28"/>
          <w:sz w:val="24"/>
          <w:szCs w:val="20"/>
          <w:highlight w:val="none"/>
        </w:rPr>
        <w:t>（如果有)</w:t>
      </w:r>
      <w:bookmarkEnd w:id="404"/>
      <w:r>
        <w:rPr>
          <w:rFonts w:hint="eastAsia" w:ascii="宋体" w:hAnsi="宋体" w:cs="宋体"/>
          <w:snapToGrid w:val="0"/>
          <w:kern w:val="28"/>
          <w:sz w:val="24"/>
          <w:szCs w:val="20"/>
          <w:highlight w:val="none"/>
          <w:lang w:eastAsia="zh-CN"/>
        </w:rPr>
        <w:t>；</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.1.3</w:t>
      </w:r>
      <w:r>
        <w:rPr>
          <w:rFonts w:hint="eastAsia" w:ascii="宋体" w:hAnsi="宋体" w:cs="宋体"/>
          <w:sz w:val="24"/>
          <w:highlight w:val="none"/>
        </w:rPr>
        <w:t>落实政府采购政策需满足的资格要求</w:t>
      </w:r>
      <w:r>
        <w:rPr>
          <w:rFonts w:hint="eastAsia" w:ascii="宋体" w:hAnsi="宋体" w:cs="宋体"/>
          <w:sz w:val="24"/>
          <w:highlight w:val="none"/>
          <w:lang w:eastAsia="zh-CN"/>
        </w:rPr>
        <w:t>（如果有）</w:t>
      </w:r>
      <w:r>
        <w:rPr>
          <w:rFonts w:hint="eastAsia" w:ascii="宋体" w:hAnsi="宋体" w:cs="宋体"/>
          <w:sz w:val="24"/>
          <w:highlight w:val="none"/>
        </w:rPr>
        <w:t>；</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w:t>
      </w:r>
      <w:r>
        <w:rPr>
          <w:rFonts w:ascii="宋体" w:hAnsi="宋体" w:cs="宋体"/>
          <w:sz w:val="24"/>
          <w:highlight w:val="none"/>
        </w:rPr>
        <w:t>4</w:t>
      </w:r>
      <w:r>
        <w:rPr>
          <w:rFonts w:hint="eastAsia" w:ascii="宋体" w:hAnsi="宋体" w:cs="宋体"/>
          <w:sz w:val="24"/>
          <w:highlight w:val="none"/>
        </w:rPr>
        <w:t>本项目的特定资格要求（如果有）。</w:t>
      </w:r>
    </w:p>
    <w:p>
      <w:pPr>
        <w:snapToGrid w:val="0"/>
        <w:spacing w:line="360" w:lineRule="auto"/>
        <w:ind w:left="210" w:leftChars="1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 xml:space="preserve"> </w:t>
      </w:r>
      <w:r>
        <w:rPr>
          <w:rFonts w:hint="eastAsia" w:ascii="宋体" w:hAnsi="宋体" w:cs="宋体"/>
          <w:sz w:val="24"/>
          <w:highlight w:val="none"/>
        </w:rPr>
        <w:t>商务技术</w:t>
      </w:r>
      <w:r>
        <w:rPr>
          <w:rFonts w:hint="eastAsia" w:ascii="宋体" w:hAnsi="宋体" w:cs="宋体"/>
          <w:sz w:val="24"/>
          <w:highlight w:val="none"/>
          <w:lang w:val="zh-CN"/>
        </w:rPr>
        <w:t>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2.2.1投标函；</w:t>
      </w:r>
      <w:r>
        <w:rPr>
          <w:rFonts w:hint="eastAsia" w:ascii="宋体" w:hAnsi="宋体" w:cs="宋体"/>
          <w:sz w:val="24"/>
          <w:highlight w:val="none"/>
          <w:lang w:val="zh-CN"/>
        </w:rPr>
        <w:t xml:space="preserve"> </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3</w:t>
      </w:r>
      <w:r>
        <w:rPr>
          <w:rFonts w:hint="eastAsia" w:ascii="宋体" w:hAnsi="宋体" w:cs="宋体"/>
          <w:sz w:val="24"/>
          <w:highlight w:val="none"/>
        </w:rPr>
        <w:t>分包意向协议（如果有）；</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4</w:t>
      </w:r>
      <w:r>
        <w:rPr>
          <w:rFonts w:hint="eastAsia" w:ascii="宋体" w:hAnsi="宋体" w:cs="宋体"/>
          <w:sz w:val="24"/>
          <w:highlight w:val="none"/>
        </w:rPr>
        <w:t>符合性审查资料；</w:t>
      </w:r>
    </w:p>
    <w:p>
      <w:pPr>
        <w:snapToGrid w:val="0"/>
        <w:spacing w:line="360" w:lineRule="auto"/>
        <w:ind w:left="420" w:leftChars="200" w:firstLine="480" w:firstLineChars="200"/>
        <w:rPr>
          <w:rFonts w:hint="eastAsia"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5</w:t>
      </w:r>
      <w:r>
        <w:rPr>
          <w:rFonts w:hint="eastAsia" w:ascii="宋体" w:hAnsi="宋体" w:cs="宋体"/>
          <w:sz w:val="24"/>
          <w:highlight w:val="none"/>
        </w:rPr>
        <w:t>评标标准相应的商务技术资料；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hint="default" w:ascii="宋体" w:hAnsi="宋体" w:cs="宋体"/>
          <w:sz w:val="24"/>
          <w:highlight w:val="none"/>
          <w:lang w:val="en-US"/>
        </w:rPr>
        <w:t>6</w:t>
      </w:r>
      <w:r>
        <w:rPr>
          <w:rFonts w:hint="eastAsia" w:ascii="宋体" w:hAnsi="宋体" w:cs="宋体"/>
          <w:sz w:val="24"/>
          <w:highlight w:val="none"/>
        </w:rPr>
        <w:t>商务技术偏离表；</w:t>
      </w:r>
    </w:p>
    <w:p>
      <w:pPr>
        <w:snapToGrid w:val="0"/>
        <w:spacing w:line="360" w:lineRule="auto"/>
        <w:ind w:left="420" w:leftChars="2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w:t>
      </w:r>
      <w:r>
        <w:rPr>
          <w:rFonts w:hint="default" w:ascii="宋体" w:hAnsi="宋体" w:cs="宋体"/>
          <w:sz w:val="24"/>
          <w:highlight w:val="none"/>
          <w:lang w:val="en-US"/>
        </w:rPr>
        <w:t>7</w:t>
      </w:r>
      <w:r>
        <w:rPr>
          <w:rFonts w:hint="eastAsia" w:ascii="宋体" w:hAnsi="宋体" w:cs="宋体"/>
          <w:sz w:val="24"/>
          <w:highlight w:val="none"/>
          <w:lang w:val="zh-CN"/>
        </w:rPr>
        <w:t>政府采购供应商廉洁自律承诺书；</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3报价文件</w:t>
      </w:r>
    </w:p>
    <w:p>
      <w:pPr>
        <w:snapToGrid w:val="0"/>
        <w:spacing w:line="360" w:lineRule="auto"/>
        <w:ind w:left="420" w:leftChars="200" w:firstLine="480" w:firstLineChars="200"/>
        <w:rPr>
          <w:rFonts w:hint="eastAsia" w:ascii="宋体" w:hAnsi="宋体" w:eastAsia="宋体" w:cs="宋体"/>
          <w:sz w:val="24"/>
          <w:highlight w:val="none"/>
          <w:lang w:eastAsia="zh-CN"/>
        </w:rPr>
      </w:pPr>
      <w:r>
        <w:rPr>
          <w:rFonts w:hint="eastAsia" w:ascii="宋体" w:hAnsi="宋体" w:cs="宋体"/>
          <w:sz w:val="24"/>
          <w:highlight w:val="none"/>
        </w:rPr>
        <w:t>2.3.1开标一览表（报价表）</w:t>
      </w:r>
      <w:r>
        <w:rPr>
          <w:rFonts w:hint="eastAsia" w:ascii="宋体" w:hAnsi="宋体" w:cs="宋体"/>
          <w:sz w:val="24"/>
          <w:highlight w:val="none"/>
          <w:lang w:eastAsia="zh-CN"/>
        </w:rPr>
        <w:t>。</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4、如我方中标，我方承诺：</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5、其他补充说明:</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360" w:lineRule="auto"/>
        <w:ind w:firstLine="3600" w:firstLineChars="1500"/>
        <w:rPr>
          <w:rFonts w:ascii="宋体" w:hAnsi="宋体" w:cs="宋体"/>
          <w:sz w:val="24"/>
          <w:highlight w:val="none"/>
        </w:rPr>
      </w:pPr>
      <w:r>
        <w:rPr>
          <w:rFonts w:hint="eastAsia" w:ascii="宋体" w:hAnsi="宋体" w:cs="宋体"/>
          <w:sz w:val="24"/>
          <w:highlight w:val="none"/>
        </w:rPr>
        <w:t xml:space="preserve">投标人名称（电子签名）：                          </w:t>
      </w:r>
    </w:p>
    <w:p>
      <w:pPr>
        <w:spacing w:line="360" w:lineRule="auto"/>
        <w:jc w:val="center"/>
        <w:rPr>
          <w:rFonts w:ascii="宋体" w:hAnsi="宋体" w:cs="宋体"/>
          <w:sz w:val="24"/>
          <w:highlight w:val="none"/>
        </w:rPr>
      </w:pPr>
      <w:r>
        <w:rPr>
          <w:rFonts w:hint="eastAsia" w:ascii="宋体" w:hAnsi="宋体" w:cs="宋体"/>
          <w:sz w:val="24"/>
          <w:highlight w:val="none"/>
        </w:rPr>
        <w:t xml:space="preserve">     日期：  年   月   日</w:t>
      </w:r>
    </w:p>
    <w:p>
      <w:pPr>
        <w:snapToGrid w:val="0"/>
        <w:spacing w:line="360" w:lineRule="auto"/>
        <w:ind w:left="420" w:leftChars="200" w:firstLine="4200" w:firstLineChars="1750"/>
        <w:rPr>
          <w:rFonts w:ascii="宋体" w:hAnsi="宋体" w:cs="宋体"/>
          <w:kern w:val="0"/>
          <w:sz w:val="24"/>
          <w:highlight w:val="none"/>
          <w:u w:val="singl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napToGrid w:val="0"/>
        <w:spacing w:line="360" w:lineRule="auto"/>
        <w:jc w:val="center"/>
        <w:rPr>
          <w:rFonts w:ascii="宋体" w:hAnsi="宋体" w:cs="宋体"/>
          <w:b/>
          <w:kern w:val="0"/>
          <w:sz w:val="32"/>
          <w:szCs w:val="32"/>
          <w:highlight w:val="none"/>
        </w:rPr>
      </w:pP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lang w:val="en-US"/>
        </w:rPr>
      </w:pPr>
    </w:p>
    <w:p>
      <w:pPr>
        <w:jc w:val="center"/>
        <w:rPr>
          <w:rFonts w:hint="eastAsia" w:ascii="宋体" w:hAnsi="宋体" w:cs="宋体"/>
          <w:b/>
          <w:kern w:val="0"/>
          <w:sz w:val="32"/>
          <w:szCs w:val="32"/>
          <w:highlight w:val="none"/>
          <w:lang w:val="zh-CN"/>
        </w:rPr>
      </w:pPr>
    </w:p>
    <w:p>
      <w:pPr>
        <w:jc w:val="center"/>
        <w:rPr>
          <w:rFonts w:hint="eastAsia"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r>
        <w:rPr>
          <w:rFonts w:hint="eastAsia" w:ascii="宋体" w:hAnsi="宋体" w:cs="宋体"/>
          <w:b/>
          <w:kern w:val="0"/>
          <w:sz w:val="32"/>
          <w:szCs w:val="32"/>
          <w:highlight w:val="none"/>
          <w:lang w:val="zh-CN"/>
        </w:rPr>
        <w:t>二、授权委托书或法定代表人（单位负责人、自然人本人）身份证明</w:t>
      </w:r>
    </w:p>
    <w:p>
      <w:pPr>
        <w:snapToGrid w:val="0"/>
        <w:spacing w:line="360" w:lineRule="auto"/>
        <w:rPr>
          <w:rFonts w:ascii="宋体" w:hAnsi="宋体" w:cs="宋体"/>
          <w:sz w:val="24"/>
          <w:highlight w:val="none"/>
        </w:rPr>
      </w:pPr>
      <w:r>
        <w:rPr>
          <w:rFonts w:hint="eastAsia" w:ascii="宋体" w:hAnsi="宋体" w:cs="宋体"/>
          <w:sz w:val="24"/>
          <w:highlight w:val="none"/>
        </w:rPr>
        <w:t xml:space="preserve">                                </w:t>
      </w:r>
    </w:p>
    <w:p>
      <w:pPr>
        <w:snapToGrid w:val="0"/>
        <w:spacing w:line="360" w:lineRule="auto"/>
        <w:ind w:firstLine="2872" w:firstLineChars="894"/>
        <w:rPr>
          <w:rFonts w:ascii="宋体" w:hAnsi="宋体" w:cs="宋体"/>
          <w:highlight w:val="none"/>
        </w:rPr>
      </w:pPr>
      <w:r>
        <w:rPr>
          <w:rFonts w:hint="eastAsia" w:ascii="宋体" w:hAnsi="宋体" w:cs="宋体"/>
          <w:b/>
          <w:kern w:val="0"/>
          <w:sz w:val="32"/>
          <w:szCs w:val="32"/>
          <w:highlight w:val="none"/>
          <w:lang w:val="zh-CN"/>
        </w:rPr>
        <w:t>授权委托书（适用于非联合体投标）</w:t>
      </w:r>
      <w:r>
        <w:rPr>
          <w:rFonts w:hint="eastAsia" w:ascii="宋体" w:hAnsi="宋体" w:cs="宋体"/>
          <w:highlight w:val="none"/>
        </w:rPr>
        <w:t xml:space="preserve">                               </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杭州市西湖区数据资源管理局</w:t>
      </w:r>
      <w:r>
        <w:rPr>
          <w:rFonts w:hint="eastAsia" w:ascii="宋体" w:hAnsi="宋体" w:cs="宋体"/>
          <w:sz w:val="24"/>
          <w:highlight w:val="none"/>
        </w:rPr>
        <w:t>、</w:t>
      </w:r>
      <w:r>
        <w:rPr>
          <w:rFonts w:hint="eastAsia" w:ascii="宋体" w:hAnsi="宋体" w:cs="宋体"/>
          <w:sz w:val="24"/>
          <w:highlight w:val="none"/>
          <w:lang w:eastAsia="zh-CN"/>
        </w:rPr>
        <w:t>杭州市西湖区政府采购中心</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），以我方名义处理</w:t>
      </w:r>
      <w:r>
        <w:rPr>
          <w:rFonts w:hint="eastAsia" w:ascii="宋体" w:hAnsi="宋体" w:cs="宋体"/>
          <w:sz w:val="24"/>
          <w:highlight w:val="none"/>
          <w:lang w:eastAsia="zh-CN"/>
        </w:rPr>
        <w:t>杭州市西湖区电子政务整体安全体系改造提升（2022）项目</w:t>
      </w:r>
      <w:r>
        <w:rPr>
          <w:rFonts w:hint="eastAsia" w:ascii="宋体" w:hAnsi="宋体" w:cs="宋体"/>
          <w:sz w:val="24"/>
          <w:highlight w:val="none"/>
        </w:rPr>
        <w:t>【招标编号：XHZFCG-2022-G-42】</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投标人名称(电子签名)：</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签发日期：  年  月   日</w:t>
      </w: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lang w:val="zh-CN"/>
        </w:rPr>
        <w:t xml:space="preserve">      </w:t>
      </w:r>
      <w:r>
        <w:rPr>
          <w:rFonts w:hint="eastAsia" w:ascii="宋体" w:hAnsi="宋体" w:cs="宋体"/>
          <w:b/>
          <w:kern w:val="0"/>
          <w:sz w:val="32"/>
          <w:szCs w:val="32"/>
          <w:highlight w:val="none"/>
        </w:rPr>
        <w:t xml:space="preserve"> </w:t>
      </w:r>
      <w:r>
        <w:rPr>
          <w:rFonts w:hint="eastAsia" w:ascii="宋体" w:hAnsi="宋体" w:cs="宋体"/>
          <w:b/>
          <w:kern w:val="0"/>
          <w:sz w:val="32"/>
          <w:szCs w:val="32"/>
          <w:highlight w:val="none"/>
          <w:lang w:val="zh-CN"/>
        </w:rPr>
        <w:t>授权委托书（适用于联合体投标）</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杭州市西湖区数据资源管理局</w:t>
      </w:r>
      <w:r>
        <w:rPr>
          <w:rFonts w:hint="eastAsia" w:ascii="宋体" w:hAnsi="宋体" w:cs="宋体"/>
          <w:sz w:val="24"/>
          <w:highlight w:val="none"/>
        </w:rPr>
        <w:t>、</w:t>
      </w:r>
      <w:r>
        <w:rPr>
          <w:rFonts w:hint="eastAsia" w:ascii="宋体" w:hAnsi="宋体" w:cs="宋体"/>
          <w:sz w:val="24"/>
          <w:highlight w:val="none"/>
          <w:lang w:eastAsia="zh-CN"/>
        </w:rPr>
        <w:t>杭州市西湖区政府采购中心</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），以我方名义处理</w:t>
      </w:r>
      <w:r>
        <w:rPr>
          <w:rFonts w:hint="eastAsia" w:ascii="宋体" w:hAnsi="宋体" w:cs="宋体"/>
          <w:sz w:val="24"/>
          <w:highlight w:val="none"/>
          <w:lang w:eastAsia="zh-CN"/>
        </w:rPr>
        <w:t>杭州市西湖区电子政务整体安全体系改造提升（2022）项目</w:t>
      </w:r>
      <w:r>
        <w:rPr>
          <w:rFonts w:hint="eastAsia" w:ascii="宋体" w:hAnsi="宋体" w:cs="宋体"/>
          <w:sz w:val="24"/>
          <w:highlight w:val="none"/>
        </w:rPr>
        <w:t>【招标编号：XHZFCG-2022-G-42】</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jc w:val="center"/>
        <w:rPr>
          <w:rFonts w:ascii="宋体" w:hAnsi="宋体" w:cs="宋体"/>
          <w:b/>
          <w:kern w:val="0"/>
          <w:sz w:val="32"/>
          <w:szCs w:val="32"/>
          <w:highlight w:val="none"/>
        </w:rPr>
      </w:pPr>
    </w:p>
    <w:p>
      <w:pPr>
        <w:rPr>
          <w:rFonts w:ascii="宋体" w:hAnsi="宋体" w:cs="宋体"/>
          <w:highlight w:val="none"/>
        </w:rPr>
      </w:pP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autoSpaceDE w:val="0"/>
        <w:autoSpaceDN w:val="0"/>
        <w:spacing w:line="360" w:lineRule="auto"/>
        <w:jc w:val="center"/>
        <w:rPr>
          <w:rFonts w:ascii="宋体" w:hAnsi="宋体" w:cs="宋体"/>
          <w:b/>
          <w:kern w:val="0"/>
          <w:sz w:val="32"/>
          <w:szCs w:val="32"/>
          <w:highlight w:val="none"/>
          <w:lang w:val="zh-CN"/>
        </w:rPr>
      </w:pPr>
    </w:p>
    <w:p>
      <w:pPr>
        <w:autoSpaceDE w:val="0"/>
        <w:autoSpaceDN w:val="0"/>
        <w:spacing w:line="360" w:lineRule="auto"/>
        <w:jc w:val="center"/>
        <w:rPr>
          <w:rFonts w:ascii="宋体" w:hAnsi="宋体" w:cs="宋体"/>
          <w:b/>
          <w:kern w:val="0"/>
          <w:sz w:val="32"/>
          <w:szCs w:val="32"/>
          <w:highlight w:val="none"/>
          <w:lang w:val="zh-CN"/>
        </w:rPr>
      </w:pPr>
    </w:p>
    <w:p>
      <w:pPr>
        <w:autoSpaceDE w:val="0"/>
        <w:autoSpaceDN w:val="0"/>
        <w:spacing w:line="360" w:lineRule="auto"/>
        <w:jc w:val="center"/>
        <w:rPr>
          <w:rFonts w:ascii="宋体" w:hAnsi="宋体" w:cs="宋体"/>
          <w:b/>
          <w:sz w:val="24"/>
          <w:highlight w:val="none"/>
        </w:rPr>
      </w:pPr>
      <w:r>
        <w:rPr>
          <w:rFonts w:hint="eastAsia" w:ascii="宋体" w:hAnsi="宋体" w:cs="宋体"/>
          <w:b/>
          <w:kern w:val="0"/>
          <w:sz w:val="32"/>
          <w:szCs w:val="32"/>
          <w:highlight w:val="none"/>
          <w:lang w:val="zh-CN"/>
        </w:rPr>
        <w:t>法定代表人、单位负责人或自然人本人</w:t>
      </w:r>
      <w:r>
        <w:rPr>
          <w:rFonts w:hint="eastAsia" w:ascii="宋体" w:hAnsi="宋体" w:cs="宋体"/>
          <w:b/>
          <w:sz w:val="30"/>
          <w:szCs w:val="30"/>
          <w:highlight w:val="none"/>
        </w:rPr>
        <w:t>的身份证明（适用于法定代表人、单位负责人或者自然人本人代表投标人参加投标）</w:t>
      </w:r>
    </w:p>
    <w:p>
      <w:pPr>
        <w:pStyle w:val="146"/>
        <w:spacing w:line="360" w:lineRule="auto"/>
        <w:rPr>
          <w:rFonts w:hAnsi="宋体" w:cs="宋体"/>
          <w:bCs/>
          <w:sz w:val="24"/>
          <w:highlight w:val="none"/>
        </w:rPr>
      </w:pPr>
      <w:r>
        <w:rPr>
          <w:rFonts w:hint="eastAsia" w:hAnsi="宋体" w:cs="宋体"/>
          <w:bCs/>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highlight w:val="none"/>
              </w:rPr>
            </w:pPr>
            <w:r>
              <w:rPr>
                <w:rFonts w:hint="eastAsia" w:hAnsi="宋体" w:cs="宋体"/>
                <w:bCs/>
                <w:sz w:val="24"/>
                <w:highlight w:val="none"/>
              </w:rPr>
              <w:t>正面：                                 反面：</w:t>
            </w:r>
          </w:p>
          <w:p>
            <w:pPr>
              <w:pStyle w:val="146"/>
              <w:adjustRightInd w:val="0"/>
              <w:spacing w:line="360" w:lineRule="auto"/>
              <w:rPr>
                <w:rFonts w:hAnsi="宋体" w:cs="宋体"/>
                <w:bCs/>
                <w:sz w:val="24"/>
                <w:highlight w:val="none"/>
              </w:rPr>
            </w:pPr>
          </w:p>
        </w:tc>
      </w:tr>
    </w:tbl>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投标人名称(电子签名)：                              </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snapToGrid w:val="0"/>
        <w:spacing w:line="360" w:lineRule="auto"/>
        <w:ind w:right="480"/>
        <w:rPr>
          <w:rFonts w:ascii="宋体" w:hAnsi="宋体" w:cs="宋体"/>
          <w:b/>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highlight w:val="none"/>
        </w:rPr>
      </w:pPr>
      <w:r>
        <w:rPr>
          <w:rFonts w:hint="eastAsia" w:ascii="宋体" w:hAnsi="宋体" w:cs="宋体"/>
          <w:b/>
          <w:kern w:val="0"/>
          <w:sz w:val="32"/>
          <w:szCs w:val="32"/>
          <w:highlight w:val="none"/>
        </w:rPr>
        <w:t>三、分包意向协议</w:t>
      </w:r>
    </w:p>
    <w:p>
      <w:pPr>
        <w:widowControl/>
        <w:spacing w:line="360" w:lineRule="auto"/>
        <w:ind w:firstLine="120" w:firstLineChars="50"/>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中标后以分包方式履行合同的，提供分包意向协议(附件6</w:t>
      </w:r>
      <w:r>
        <w:rPr>
          <w:rFonts w:ascii="宋体" w:hAnsi="宋体" w:cs="宋体"/>
          <w:b/>
          <w:sz w:val="24"/>
          <w:highlight w:val="none"/>
        </w:rPr>
        <w:t>)</w:t>
      </w:r>
      <w:r>
        <w:rPr>
          <w:rFonts w:hint="eastAsia" w:ascii="宋体" w:hAnsi="宋体" w:cs="宋体"/>
          <w:b/>
          <w:sz w:val="24"/>
          <w:highlight w:val="none"/>
        </w:rPr>
        <w:t>；采购人不同意分包或者投标人中标后不以分包方式履行合同的，则不需要提供。</w:t>
      </w:r>
      <w:r>
        <w:rPr>
          <w:rFonts w:hint="eastAsia" w:ascii="宋体" w:hAnsi="宋体" w:cs="宋体"/>
          <w:sz w:val="24"/>
          <w:highlight w:val="none"/>
        </w:rPr>
        <w:t>]</w:t>
      </w:r>
    </w:p>
    <w:p>
      <w:pPr>
        <w:snapToGrid w:val="0"/>
        <w:spacing w:line="360" w:lineRule="auto"/>
        <w:rPr>
          <w:rFonts w:ascii="宋体" w:hAnsi="宋体" w:cs="宋体"/>
          <w:kern w:val="0"/>
          <w:sz w:val="24"/>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四、符合性审查资料</w:t>
      </w:r>
    </w:p>
    <w:p>
      <w:pPr>
        <w:jc w:val="center"/>
        <w:rPr>
          <w:rFonts w:ascii="宋体" w:hAnsi="宋体" w:cs="宋体"/>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序号</w:t>
            </w:r>
          </w:p>
        </w:tc>
        <w:tc>
          <w:tcPr>
            <w:tcW w:w="499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实质性要求</w:t>
            </w:r>
          </w:p>
        </w:tc>
        <w:tc>
          <w:tcPr>
            <w:tcW w:w="255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需要提供的符合性审查资料</w:t>
            </w:r>
          </w:p>
        </w:tc>
        <w:tc>
          <w:tcPr>
            <w:tcW w:w="1418"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投标文件中的</w:t>
            </w:r>
          </w:p>
          <w:p>
            <w:pPr>
              <w:snapToGrid w:val="0"/>
              <w:spacing w:line="240" w:lineRule="atLeast"/>
              <w:jc w:val="center"/>
              <w:rPr>
                <w:rFonts w:ascii="宋体" w:hAnsi="宋体" w:cs="宋体"/>
                <w:b/>
                <w:sz w:val="24"/>
                <w:highlight w:val="none"/>
              </w:rPr>
            </w:pPr>
            <w:r>
              <w:rPr>
                <w:rFonts w:hint="eastAsia" w:ascii="宋体" w:hAnsi="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1</w:t>
            </w:r>
          </w:p>
        </w:tc>
        <w:tc>
          <w:tcPr>
            <w:tcW w:w="4991"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投标文件按照招标文件要求签署、盖章。</w:t>
            </w:r>
          </w:p>
        </w:tc>
        <w:tc>
          <w:tcPr>
            <w:tcW w:w="2551" w:type="dxa"/>
            <w:vAlign w:val="center"/>
          </w:tcPr>
          <w:p>
            <w:pPr>
              <w:rPr>
                <w:rFonts w:ascii="宋体" w:hAnsi="宋体" w:cs="宋体"/>
                <w:sz w:val="24"/>
                <w:highlight w:val="none"/>
              </w:rPr>
            </w:pPr>
            <w:r>
              <w:rPr>
                <w:rFonts w:hint="eastAsia" w:ascii="宋体" w:hAnsi="宋体" w:cs="宋体"/>
                <w:sz w:val="24"/>
                <w:highlight w:val="none"/>
              </w:rPr>
              <w:t>需要使用电子签名或者签字盖章的投标文件的组成部分</w:t>
            </w:r>
          </w:p>
        </w:tc>
        <w:tc>
          <w:tcPr>
            <w:tcW w:w="1418" w:type="dxa"/>
            <w:vAlign w:val="center"/>
          </w:tcPr>
          <w:p>
            <w:pPr>
              <w:jc w:val="center"/>
              <w:rPr>
                <w:rFonts w:ascii="宋体" w:hAnsi="宋体" w:cs="宋体"/>
                <w:sz w:val="24"/>
                <w:highlight w:val="none"/>
              </w:rPr>
            </w:pPr>
            <w:r>
              <w:rPr>
                <w:rFonts w:hint="eastAsia" w:ascii="宋体" w:hAnsi="宋体" w:cs="宋体"/>
                <w:sz w:val="24"/>
                <w:highlight w:val="none"/>
              </w:rPr>
              <w:t>见投标文件</w:t>
            </w:r>
          </w:p>
          <w:p>
            <w:pPr>
              <w:jc w:val="center"/>
              <w:rPr>
                <w:rFonts w:ascii="宋体" w:hAnsi="宋体" w:cs="宋体"/>
                <w:highlight w:val="none"/>
              </w:rPr>
            </w:pPr>
            <w:r>
              <w:rPr>
                <w:rFonts w:hint="eastAsia" w:ascii="宋体" w:hAnsi="宋体" w:cs="宋体"/>
                <w:sz w:val="24"/>
                <w:highlight w:val="none"/>
              </w:rPr>
              <w:t>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4991" w:type="dxa"/>
          </w:tcPr>
          <w:p>
            <w:pPr>
              <w:spacing w:line="360" w:lineRule="auto"/>
              <w:rPr>
                <w:rFonts w:ascii="宋体" w:hAnsi="宋体" w:cs="宋体"/>
                <w:sz w:val="24"/>
                <w:highlight w:val="none"/>
              </w:rPr>
            </w:pPr>
            <w:r>
              <w:rPr>
                <w:rFonts w:hint="eastAsia" w:ascii="宋体" w:hAnsi="宋体" w:cs="宋体"/>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sz w:val="24"/>
                <w:highlight w:val="none"/>
              </w:rPr>
            </w:pPr>
            <w:r>
              <w:rPr>
                <w:rFonts w:hint="eastAsia" w:ascii="宋体" w:hAnsi="宋体" w:cs="宋体"/>
                <w:sz w:val="24"/>
                <w:highlight w:val="none"/>
              </w:rPr>
              <w:t>节能产品认证证书</w:t>
            </w:r>
            <w:r>
              <w:rPr>
                <w:rFonts w:hint="eastAsia" w:ascii="宋体" w:hAnsi="宋体" w:cs="宋体"/>
                <w:b/>
                <w:bCs/>
                <w:sz w:val="24"/>
                <w:highlight w:val="none"/>
              </w:rPr>
              <w:t>（本项目拟采购的产品不属于政府强制采购的节能产品品目清单范围的，无需提供）</w:t>
            </w:r>
          </w:p>
        </w:tc>
        <w:tc>
          <w:tcPr>
            <w:tcW w:w="1418" w:type="dxa"/>
            <w:vAlign w:val="center"/>
          </w:tcPr>
          <w:p>
            <w:pPr>
              <w:jc w:val="center"/>
              <w:rPr>
                <w:rFonts w:ascii="宋体" w:hAnsi="宋体" w:cs="宋体"/>
                <w:sz w:val="24"/>
                <w:highlight w:val="none"/>
              </w:rPr>
            </w:pPr>
          </w:p>
          <w:p>
            <w:pPr>
              <w:jc w:val="center"/>
              <w:rPr>
                <w:rFonts w:ascii="宋体" w:hAnsi="宋体" w:cs="宋体"/>
                <w:sz w:val="24"/>
                <w:highlight w:val="none"/>
              </w:rPr>
            </w:pPr>
            <w:r>
              <w:rPr>
                <w:rFonts w:hint="eastAsia" w:ascii="宋体" w:hAnsi="宋体" w:cs="宋体"/>
                <w:sz w:val="24"/>
                <w:highlight w:val="none"/>
              </w:rPr>
              <w:t>见投标文件</w:t>
            </w:r>
          </w:p>
          <w:p>
            <w:pPr>
              <w:pStyle w:val="3"/>
              <w:jc w:val="center"/>
              <w:rPr>
                <w:rFonts w:ascii="宋体" w:hAnsi="宋体" w:eastAsia="宋体" w:cs="宋体"/>
                <w:highlight w:val="none"/>
                <w:lang w:val="en-US"/>
              </w:rPr>
            </w:pPr>
            <w:r>
              <w:rPr>
                <w:rFonts w:hint="eastAsia" w:ascii="宋体" w:hAnsi="宋体" w:eastAsia="宋体" w:cs="宋体"/>
                <w:b w:val="0"/>
                <w:bCs w:val="0"/>
                <w:sz w:val="24"/>
                <w:szCs w:val="24"/>
                <w:highlight w:val="none"/>
                <w:lang w:val="en-US"/>
              </w:rPr>
              <w:t>第</w:t>
            </w:r>
            <w:r>
              <w:rPr>
                <w:rFonts w:hint="eastAsia" w:ascii="宋体" w:hAnsi="宋体" w:eastAsia="宋体" w:cs="宋体"/>
                <w:b w:val="0"/>
                <w:bCs w:val="0"/>
                <w:sz w:val="24"/>
                <w:szCs w:val="24"/>
                <w:highlight w:val="none"/>
                <w:u w:val="single"/>
                <w:lang w:val="en-US"/>
              </w:rPr>
              <w:t xml:space="preserve">  </w:t>
            </w:r>
            <w:r>
              <w:rPr>
                <w:rFonts w:hint="eastAsia" w:ascii="宋体" w:hAnsi="宋体" w:eastAsia="宋体" w:cs="宋体"/>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3</w:t>
            </w:r>
          </w:p>
        </w:tc>
        <w:tc>
          <w:tcPr>
            <w:tcW w:w="4991" w:type="dxa"/>
          </w:tcPr>
          <w:p>
            <w:pPr>
              <w:spacing w:line="360" w:lineRule="auto"/>
              <w:rPr>
                <w:rFonts w:ascii="宋体" w:hAnsi="宋体" w:cs="宋体"/>
                <w:sz w:val="24"/>
                <w:highlight w:val="none"/>
              </w:rPr>
            </w:pPr>
            <w:r>
              <w:rPr>
                <w:rFonts w:hint="eastAsia" w:ascii="宋体" w:hAnsi="宋体" w:cs="宋体"/>
                <w:sz w:val="24"/>
                <w:highlight w:val="none"/>
              </w:rPr>
              <w:t>投标文件中承诺的投标有效期不少于招标文件中载明的投标有效期。</w:t>
            </w:r>
          </w:p>
        </w:tc>
        <w:tc>
          <w:tcPr>
            <w:tcW w:w="2551" w:type="dxa"/>
            <w:vAlign w:val="center"/>
          </w:tcPr>
          <w:p>
            <w:pPr>
              <w:rPr>
                <w:rFonts w:ascii="宋体" w:hAnsi="宋体" w:cs="宋体"/>
                <w:sz w:val="24"/>
                <w:highlight w:val="none"/>
              </w:rPr>
            </w:pPr>
            <w:r>
              <w:rPr>
                <w:rFonts w:hint="eastAsia" w:ascii="宋体" w:hAnsi="宋体" w:cs="宋体"/>
                <w:sz w:val="24"/>
                <w:highlight w:val="none"/>
              </w:rPr>
              <w:t>投标函</w:t>
            </w:r>
          </w:p>
        </w:tc>
        <w:tc>
          <w:tcPr>
            <w:tcW w:w="1418" w:type="dxa"/>
            <w:vAlign w:val="center"/>
          </w:tcPr>
          <w:p>
            <w:pPr>
              <w:jc w:val="cente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4</w:t>
            </w:r>
          </w:p>
        </w:tc>
        <w:tc>
          <w:tcPr>
            <w:tcW w:w="4991"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投标文件满足招标文件的其它实质性要求。</w:t>
            </w:r>
          </w:p>
        </w:tc>
        <w:tc>
          <w:tcPr>
            <w:tcW w:w="2551" w:type="dxa"/>
            <w:vAlign w:val="center"/>
          </w:tcPr>
          <w:p>
            <w:pPr>
              <w:rPr>
                <w:rFonts w:ascii="宋体" w:hAnsi="宋体" w:cs="宋体"/>
                <w:sz w:val="24"/>
                <w:highlight w:val="none"/>
              </w:rPr>
            </w:pPr>
            <w:r>
              <w:rPr>
                <w:rFonts w:hint="eastAsia" w:ascii="宋体" w:hAnsi="宋体" w:cs="宋体"/>
                <w:kern w:val="0"/>
                <w:sz w:val="24"/>
                <w:highlight w:val="none"/>
              </w:rPr>
              <w:t>招标文件其它实质性要求相应的材料（</w:t>
            </w:r>
            <w:r>
              <w:rPr>
                <w:rFonts w:hint="eastAsia" w:ascii="宋体" w:hAnsi="宋体" w:cs="宋体"/>
                <w:b/>
                <w:bCs/>
                <w:kern w:val="0"/>
                <w:sz w:val="24"/>
                <w:highlight w:val="none"/>
              </w:rPr>
              <w:t>“▲” 系指实质性要求条款，招标文件无其它实质性要求的，无需提供</w:t>
            </w:r>
            <w:r>
              <w:rPr>
                <w:rFonts w:hint="eastAsia" w:ascii="宋体" w:hAnsi="宋体" w:cs="宋体"/>
                <w:kern w:val="0"/>
                <w:sz w:val="24"/>
                <w:highlight w:val="none"/>
              </w:rPr>
              <w:t>）</w:t>
            </w:r>
          </w:p>
        </w:tc>
        <w:tc>
          <w:tcPr>
            <w:tcW w:w="1418" w:type="dxa"/>
            <w:vAlign w:val="center"/>
          </w:tcPr>
          <w:p>
            <w:pPr>
              <w:jc w:val="cente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 xml:space="preserve">            </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highlight w:val="none"/>
        </w:rPr>
      </w:pPr>
      <w:r>
        <w:rPr>
          <w:rFonts w:hint="eastAsia" w:ascii="宋体" w:hAnsi="宋体" w:cs="宋体"/>
          <w:b/>
          <w:kern w:val="0"/>
          <w:sz w:val="32"/>
          <w:szCs w:val="32"/>
          <w:highlight w:val="none"/>
        </w:rPr>
        <w:t>五、评标标准相应的商务技术资料</w:t>
      </w:r>
    </w:p>
    <w:p>
      <w:pPr>
        <w:snapToGrid w:val="0"/>
        <w:spacing w:line="360" w:lineRule="auto"/>
        <w:jc w:val="left"/>
        <w:rPr>
          <w:rFonts w:ascii="宋体" w:hAnsi="宋体" w:cs="宋体"/>
          <w:b/>
          <w:sz w:val="24"/>
          <w:highlight w:val="none"/>
        </w:rPr>
      </w:pPr>
      <w:r>
        <w:rPr>
          <w:rFonts w:hint="eastAsia" w:ascii="宋体" w:hAnsi="宋体" w:cs="宋体"/>
          <w:b/>
          <w:sz w:val="24"/>
          <w:highlight w:val="none"/>
        </w:rPr>
        <w:t>（按招标文件第四部分评标办法前附表中“投标文件中评标标准相应的商务技术资料目录”提供资料。）</w:t>
      </w:r>
    </w:p>
    <w:p>
      <w:pPr>
        <w:jc w:val="center"/>
        <w:rPr>
          <w:rFonts w:ascii="宋体" w:hAnsi="宋体" w:cs="宋体"/>
          <w:b/>
          <w:kern w:val="0"/>
          <w:sz w:val="32"/>
          <w:szCs w:val="32"/>
          <w:highlight w:val="none"/>
        </w:rPr>
      </w:pPr>
    </w:p>
    <w:p>
      <w:pPr>
        <w:pStyle w:val="2"/>
        <w:rPr>
          <w:highlight w:val="none"/>
        </w:rPr>
      </w:pPr>
    </w:p>
    <w:p>
      <w:pPr>
        <w:jc w:val="center"/>
        <w:rPr>
          <w:rFonts w:hint="eastAsia" w:ascii="宋体" w:hAnsi="宋体" w:eastAsia="宋体" w:cs="宋体"/>
          <w:b/>
          <w:kern w:val="0"/>
          <w:sz w:val="32"/>
          <w:szCs w:val="32"/>
          <w:highlight w:val="none"/>
          <w:lang w:eastAsia="zh-CN"/>
        </w:rPr>
      </w:pPr>
      <w:r>
        <w:rPr>
          <w:rFonts w:hint="eastAsia" w:ascii="宋体" w:hAnsi="宋体" w:cs="宋体"/>
          <w:b/>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highlight w:val="none"/>
              </w:rPr>
            </w:pPr>
          </w:p>
          <w:p>
            <w:pPr>
              <w:spacing w:line="360" w:lineRule="auto"/>
              <w:jc w:val="center"/>
              <w:rPr>
                <w:rFonts w:hint="eastAsia" w:ascii="宋体" w:hAnsi="宋体" w:eastAsia="宋体" w:cs="宋体"/>
                <w:b/>
                <w:sz w:val="24"/>
                <w:highlight w:val="none"/>
                <w:lang w:eastAsia="zh-CN"/>
              </w:rPr>
            </w:pPr>
            <w:r>
              <w:rPr>
                <w:rFonts w:hint="eastAsia" w:ascii="宋体" w:hAnsi="宋体" w:cs="宋体"/>
                <w:b/>
                <w:sz w:val="24"/>
                <w:highlight w:val="none"/>
              </w:rPr>
              <w:t>服务范围</w:t>
            </w:r>
            <w:r>
              <w:rPr>
                <w:rFonts w:hint="eastAsia" w:ascii="宋体" w:hAnsi="宋体" w:cs="宋体"/>
                <w:b/>
                <w:sz w:val="24"/>
                <w:highlight w:val="none"/>
                <w:lang w:eastAsia="zh-CN"/>
              </w:rPr>
              <w:t>（品牌）</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highlight w:val="none"/>
                <w:lang w:eastAsia="zh-CN"/>
              </w:rPr>
            </w:pPr>
            <w:r>
              <w:rPr>
                <w:rFonts w:hint="eastAsia" w:ascii="宋体" w:hAnsi="宋体" w:cs="宋体"/>
                <w:b/>
                <w:sz w:val="24"/>
                <w:highlight w:val="none"/>
              </w:rPr>
              <w:t>服务要求</w:t>
            </w:r>
            <w:r>
              <w:rPr>
                <w:rFonts w:hint="eastAsia" w:ascii="宋体" w:hAnsi="宋体" w:cs="宋体"/>
                <w:b/>
                <w:sz w:val="24"/>
                <w:highlight w:val="none"/>
                <w:lang w:eastAsia="zh-CN"/>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highlight w:val="none"/>
                <w:lang w:eastAsia="zh-CN"/>
              </w:rPr>
            </w:pPr>
            <w:r>
              <w:rPr>
                <w:rFonts w:hint="eastAsia" w:ascii="宋体" w:hAnsi="宋体" w:cs="宋体"/>
                <w:b/>
                <w:sz w:val="24"/>
                <w:highlight w:val="none"/>
              </w:rPr>
              <w:t>服务时间</w:t>
            </w:r>
            <w:r>
              <w:rPr>
                <w:rFonts w:hint="eastAsia" w:ascii="宋体" w:hAnsi="宋体" w:cs="宋体"/>
                <w:b/>
                <w:sz w:val="24"/>
                <w:highlight w:val="none"/>
                <w:lang w:eastAsia="zh-CN"/>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备注（如果有）</w:t>
            </w:r>
          </w:p>
          <w:p>
            <w:pPr>
              <w:spacing w:line="360" w:lineRule="auto"/>
              <w:jc w:val="center"/>
              <w:rPr>
                <w:rFonts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bl>
    <w:p>
      <w:pPr>
        <w:spacing w:line="360" w:lineRule="auto"/>
        <w:ind w:right="420"/>
        <w:rPr>
          <w:rFonts w:ascii="宋体" w:hAnsi="宋体" w:cs="宋体"/>
          <w:b/>
          <w:bCs/>
          <w:sz w:val="24"/>
          <w:highlight w:val="none"/>
        </w:rPr>
      </w:pPr>
      <w:r>
        <w:rPr>
          <w:rFonts w:hint="eastAsia" w:ascii="宋体" w:hAnsi="宋体" w:cs="宋体"/>
          <w:b/>
          <w:bCs/>
          <w:sz w:val="24"/>
          <w:highlight w:val="none"/>
        </w:rPr>
        <w:t>注：按本格式和要求提供</w:t>
      </w:r>
      <w:r>
        <w:rPr>
          <w:rFonts w:hint="eastAsia" w:ascii="宋体" w:hAnsi="宋体" w:cs="宋体"/>
          <w:b/>
          <w:bCs/>
          <w:sz w:val="24"/>
          <w:highlight w:val="none"/>
          <w:lang w:eastAsia="zh-CN"/>
        </w:rPr>
        <w:t>。</w:t>
      </w:r>
    </w:p>
    <w:p>
      <w:pPr>
        <w:pStyle w:val="3"/>
        <w:rPr>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lang w:eastAsia="zh-CN"/>
        </w:rPr>
        <w:t>七</w:t>
      </w:r>
      <w:r>
        <w:rPr>
          <w:rFonts w:hint="eastAsia" w:ascii="宋体" w:hAnsi="宋体" w:cs="宋体"/>
          <w:b/>
          <w:kern w:val="0"/>
          <w:sz w:val="32"/>
          <w:szCs w:val="32"/>
          <w:highlight w:val="none"/>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highlight w:val="none"/>
              </w:rPr>
            </w:pPr>
            <w:r>
              <w:rPr>
                <w:rFonts w:hint="eastAsia" w:ascii="宋体" w:hAnsi="宋体" w:cs="宋体"/>
                <w:b/>
                <w:bCs/>
                <w:sz w:val="24"/>
                <w:highlight w:val="none"/>
              </w:rPr>
              <w:t>序号</w:t>
            </w:r>
          </w:p>
        </w:tc>
        <w:tc>
          <w:tcPr>
            <w:tcW w:w="3683" w:type="dxa"/>
          </w:tcPr>
          <w:p>
            <w:pPr>
              <w:jc w:val="center"/>
              <w:rPr>
                <w:rFonts w:ascii="宋体" w:hAnsi="宋体" w:cs="宋体"/>
                <w:b/>
                <w:bCs/>
                <w:sz w:val="24"/>
                <w:highlight w:val="none"/>
              </w:rPr>
            </w:pPr>
            <w:r>
              <w:rPr>
                <w:rFonts w:hint="eastAsia" w:ascii="宋体" w:hAnsi="宋体" w:cs="宋体"/>
                <w:b/>
                <w:bCs/>
                <w:sz w:val="24"/>
                <w:highlight w:val="none"/>
              </w:rPr>
              <w:t>招标文件章节及具体内容</w:t>
            </w:r>
          </w:p>
        </w:tc>
        <w:tc>
          <w:tcPr>
            <w:tcW w:w="3546" w:type="dxa"/>
          </w:tcPr>
          <w:p>
            <w:pPr>
              <w:jc w:val="center"/>
              <w:rPr>
                <w:rFonts w:ascii="宋体" w:hAnsi="宋体" w:cs="宋体"/>
                <w:b/>
                <w:bCs/>
                <w:sz w:val="24"/>
                <w:highlight w:val="none"/>
              </w:rPr>
            </w:pPr>
            <w:r>
              <w:rPr>
                <w:rFonts w:hint="eastAsia" w:ascii="宋体" w:hAnsi="宋体" w:cs="宋体"/>
                <w:b/>
                <w:bCs/>
                <w:sz w:val="24"/>
                <w:highlight w:val="none"/>
              </w:rPr>
              <w:t>投标文件章节及具体内容</w:t>
            </w:r>
          </w:p>
        </w:tc>
        <w:tc>
          <w:tcPr>
            <w:tcW w:w="1276" w:type="dxa"/>
          </w:tcPr>
          <w:p>
            <w:pPr>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1</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2</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bl>
    <w:p>
      <w:pPr>
        <w:jc w:val="left"/>
        <w:rPr>
          <w:rFonts w:ascii="宋体" w:hAnsi="宋体" w:cs="宋体"/>
          <w:kern w:val="0"/>
          <w:sz w:val="24"/>
          <w:highlight w:val="none"/>
        </w:rPr>
      </w:pPr>
      <w:r>
        <w:rPr>
          <w:rFonts w:hint="eastAsia" w:ascii="宋体" w:hAnsi="宋体" w:cs="宋体"/>
          <w:kern w:val="0"/>
          <w:sz w:val="24"/>
          <w:highlight w:val="none"/>
        </w:rPr>
        <w:t>投标人保证：除商务技术偏离表列出的偏离外，投标人响应招标文件的全部要求</w:t>
      </w:r>
    </w:p>
    <w:p>
      <w:pPr>
        <w:jc w:val="center"/>
        <w:rPr>
          <w:rFonts w:ascii="宋体" w:hAnsi="宋体" w:cs="宋体"/>
          <w:b/>
          <w:kern w:val="0"/>
          <w:sz w:val="32"/>
          <w:szCs w:val="32"/>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ind w:firstLine="1911" w:firstLineChars="595"/>
        <w:rPr>
          <w:rFonts w:ascii="宋体" w:hAnsi="宋体" w:cs="宋体"/>
          <w:b/>
          <w:bCs/>
          <w:sz w:val="32"/>
          <w:szCs w:val="32"/>
          <w:highlight w:val="none"/>
        </w:rPr>
      </w:pPr>
    </w:p>
    <w:p>
      <w:pPr>
        <w:ind w:firstLine="1911" w:firstLineChars="595"/>
        <w:rPr>
          <w:rFonts w:ascii="宋体" w:hAnsi="宋体" w:cs="宋体"/>
          <w:b/>
          <w:bCs/>
          <w:sz w:val="32"/>
          <w:szCs w:val="32"/>
          <w:highlight w:val="none"/>
        </w:rPr>
      </w:pPr>
    </w:p>
    <w:p>
      <w:pPr>
        <w:ind w:firstLine="1911" w:firstLineChars="595"/>
        <w:rPr>
          <w:rFonts w:ascii="宋体" w:hAnsi="宋体" w:cs="宋体"/>
          <w:b/>
          <w:kern w:val="0"/>
          <w:sz w:val="32"/>
          <w:szCs w:val="32"/>
          <w:highlight w:val="none"/>
        </w:rPr>
      </w:pPr>
      <w:r>
        <w:rPr>
          <w:rFonts w:hint="eastAsia" w:ascii="宋体" w:hAnsi="宋体" w:cs="宋体"/>
          <w:b/>
          <w:bCs/>
          <w:sz w:val="32"/>
          <w:szCs w:val="32"/>
          <w:highlight w:val="none"/>
          <w:lang w:eastAsia="zh-CN"/>
        </w:rPr>
        <w:t>八</w:t>
      </w:r>
      <w:r>
        <w:rPr>
          <w:rFonts w:hint="eastAsia" w:ascii="宋体" w:hAnsi="宋体" w:cs="宋体"/>
          <w:b/>
          <w:kern w:val="0"/>
          <w:sz w:val="32"/>
          <w:szCs w:val="32"/>
          <w:highlight w:val="none"/>
        </w:rPr>
        <w:t>、</w:t>
      </w:r>
      <w:r>
        <w:rPr>
          <w:rFonts w:hint="eastAsia" w:ascii="宋体" w:hAnsi="宋体" w:cs="宋体"/>
          <w:b/>
          <w:kern w:val="0"/>
          <w:sz w:val="32"/>
          <w:szCs w:val="32"/>
          <w:highlight w:val="none"/>
          <w:lang w:val="zh-CN"/>
        </w:rPr>
        <w:t>政府采购供应商廉洁自律承诺书</w:t>
      </w:r>
    </w:p>
    <w:p>
      <w:pPr>
        <w:snapToGrid w:val="0"/>
        <w:spacing w:line="360" w:lineRule="auto"/>
        <w:rPr>
          <w:rFonts w:ascii="宋体" w:hAnsi="宋体" w:cs="宋体"/>
          <w:sz w:val="24"/>
          <w:highlight w:val="none"/>
        </w:rPr>
      </w:pP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杭州市西湖区数据资源管理局</w:t>
      </w:r>
      <w:r>
        <w:rPr>
          <w:rFonts w:hint="eastAsia" w:ascii="宋体" w:hAnsi="宋体" w:cs="宋体"/>
          <w:sz w:val="24"/>
          <w:highlight w:val="none"/>
        </w:rPr>
        <w:t>、</w:t>
      </w:r>
      <w:r>
        <w:rPr>
          <w:rFonts w:hint="eastAsia" w:ascii="宋体" w:hAnsi="宋体" w:cs="宋体"/>
          <w:sz w:val="24"/>
          <w:highlight w:val="none"/>
          <w:lang w:eastAsia="zh-CN"/>
        </w:rPr>
        <w:t>杭州市西湖区政府采购中心</w:t>
      </w:r>
      <w:r>
        <w:rPr>
          <w:rFonts w:hint="eastAsia" w:ascii="宋体" w:hAnsi="宋体" w:cs="宋体"/>
          <w:kern w:val="0"/>
          <w:sz w:val="24"/>
          <w:highlight w:val="none"/>
          <w:lang w:val="zh-CN"/>
        </w:rPr>
        <w:t>：</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我单位响应你</w:t>
      </w:r>
      <w:r>
        <w:rPr>
          <w:rFonts w:hint="eastAsia" w:ascii="宋体" w:hAnsi="宋体" w:cs="宋体"/>
          <w:sz w:val="24"/>
          <w:highlight w:val="none"/>
        </w:rPr>
        <w:t>单位</w:t>
      </w:r>
      <w:r>
        <w:rPr>
          <w:rFonts w:hint="eastAsia" w:ascii="宋体" w:hAnsi="宋体" w:cs="宋体"/>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好处；</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六、严格遵守《</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政府采购法》《</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招标投标</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法》</w:t>
      </w:r>
      <w:r>
        <w:rPr>
          <w:rFonts w:hint="eastAsia" w:ascii="宋体" w:hAnsi="宋体" w:cs="宋体"/>
          <w:sz w:val="24"/>
          <w:highlight w:val="none"/>
          <w:lang w:val="zh-CN"/>
        </w:rPr>
        <w:t>《中华人民共和国民法典》</w:t>
      </w:r>
      <w:r>
        <w:rPr>
          <w:rFonts w:hint="eastAsia" w:ascii="宋体" w:hAnsi="宋体" w:cs="宋体"/>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如违反上述承诺，你</w:t>
      </w:r>
      <w:r>
        <w:rPr>
          <w:rFonts w:hint="eastAsia" w:ascii="宋体" w:hAnsi="宋体" w:cs="宋体"/>
          <w:sz w:val="24"/>
          <w:highlight w:val="none"/>
        </w:rPr>
        <w:t>单位</w:t>
      </w:r>
      <w:r>
        <w:rPr>
          <w:rFonts w:hint="eastAsia" w:ascii="宋体" w:hAnsi="宋体" w:cs="宋体"/>
          <w:kern w:val="0"/>
          <w:sz w:val="24"/>
          <w:highlight w:val="none"/>
          <w:lang w:val="zh-CN"/>
        </w:rPr>
        <w:t>有权立即取消我单位投标、中标或在建项目的建设资格，有权拒绝我单位在一定时期内进入你</w:t>
      </w:r>
      <w:r>
        <w:rPr>
          <w:rFonts w:hint="eastAsia" w:ascii="宋体" w:hAnsi="宋体" w:cs="宋体"/>
          <w:sz w:val="24"/>
          <w:highlight w:val="none"/>
        </w:rPr>
        <w:t>单位</w:t>
      </w:r>
      <w:r>
        <w:rPr>
          <w:rFonts w:hint="eastAsia" w:ascii="宋体" w:hAnsi="宋体"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kern w:val="0"/>
          <w:sz w:val="24"/>
          <w:highlight w:val="none"/>
          <w:lang w:val="zh-CN"/>
        </w:rPr>
      </w:pPr>
      <w:r>
        <w:rPr>
          <w:rFonts w:hint="eastAsia" w:ascii="宋体" w:hAnsi="宋体" w:cs="宋体"/>
          <w:kern w:val="0"/>
          <w:sz w:val="24"/>
          <w:highlight w:val="none"/>
          <w:lang w:val="zh-CN"/>
        </w:rPr>
        <w:t>投标人名称（</w:t>
      </w:r>
      <w:r>
        <w:rPr>
          <w:rFonts w:hint="eastAsia" w:ascii="宋体" w:hAnsi="宋体" w:cs="宋体"/>
          <w:sz w:val="24"/>
          <w:highlight w:val="none"/>
        </w:rPr>
        <w:t>电子签名</w:t>
      </w:r>
      <w:r>
        <w:rPr>
          <w:rFonts w:hint="eastAsia" w:ascii="宋体" w:hAnsi="宋体" w:cs="宋体"/>
          <w:kern w:val="0"/>
          <w:sz w:val="24"/>
          <w:highlight w:val="none"/>
          <w:lang w:val="zh-CN"/>
        </w:rPr>
        <w:t xml:space="preserve">）：                                                                                                                                                                                                               </w:t>
      </w:r>
    </w:p>
    <w:p>
      <w:pPr>
        <w:spacing w:line="360" w:lineRule="auto"/>
        <w:ind w:left="4620" w:leftChars="2200"/>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spacing w:line="360" w:lineRule="auto"/>
        <w:jc w:val="center"/>
        <w:rPr>
          <w:rFonts w:ascii="宋体" w:hAnsi="宋体" w:cs="宋体"/>
          <w:b/>
          <w:bCs/>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pacing w:line="360" w:lineRule="auto"/>
        <w:jc w:val="center"/>
        <w:rPr>
          <w:rFonts w:ascii="宋体" w:hAnsi="宋体" w:cs="宋体"/>
          <w:b/>
          <w:bCs/>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报价文件部分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（1）开标一览表（报价表）………………………………………………………（页码）</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pPr>
      <w:r>
        <w:rPr>
          <w:rFonts w:hint="eastAsia" w:ascii="宋体" w:hAnsi="宋体" w:eastAsia="宋体" w:cs="宋体"/>
          <w:kern w:val="2"/>
          <w:sz w:val="32"/>
          <w:szCs w:val="32"/>
          <w:highlight w:val="none"/>
        </w:rPr>
        <w:t>一、开标一览表（报价表）</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杭州市西湖区数据资源管理局</w:t>
      </w:r>
      <w:r>
        <w:rPr>
          <w:rFonts w:hint="eastAsia" w:ascii="宋体" w:hAnsi="宋体" w:cs="宋体"/>
          <w:sz w:val="24"/>
          <w:highlight w:val="none"/>
        </w:rPr>
        <w:t>、</w:t>
      </w:r>
      <w:r>
        <w:rPr>
          <w:rFonts w:hint="eastAsia" w:ascii="宋体" w:hAnsi="宋体" w:cs="宋体"/>
          <w:sz w:val="24"/>
          <w:highlight w:val="none"/>
          <w:lang w:eastAsia="zh-CN"/>
        </w:rPr>
        <w:t>杭州市西湖区政府采购中心</w:t>
      </w:r>
      <w:r>
        <w:rPr>
          <w:rFonts w:hint="eastAsia" w:ascii="宋体" w:hAnsi="宋体" w:cs="宋体"/>
          <w:kern w:val="0"/>
          <w:sz w:val="24"/>
          <w:highlight w:val="none"/>
          <w:lang w:val="zh-CN"/>
        </w:rPr>
        <w:t>：</w:t>
      </w:r>
    </w:p>
    <w:p>
      <w:pPr>
        <w:snapToGrid w:val="0"/>
        <w:spacing w:line="360" w:lineRule="auto"/>
        <w:ind w:firstLine="482"/>
        <w:rPr>
          <w:rFonts w:ascii="宋体" w:hAnsi="宋体" w:cs="宋体"/>
          <w:kern w:val="0"/>
          <w:sz w:val="24"/>
          <w:highlight w:val="none"/>
          <w:lang w:val="zh-CN"/>
        </w:rPr>
      </w:pPr>
      <w:r>
        <w:rPr>
          <w:rFonts w:hint="eastAsia" w:ascii="宋体" w:hAnsi="宋体" w:cs="宋体"/>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highlight w:val="none"/>
          <w:lang w:eastAsia="zh-CN"/>
        </w:rPr>
        <w:t>杭州市西湖区电子政务整体安全体系改造提升（2022）项目</w:t>
      </w:r>
      <w:r>
        <w:rPr>
          <w:rFonts w:hint="eastAsia" w:ascii="宋体" w:hAnsi="宋体" w:cs="宋体"/>
          <w:kern w:val="0"/>
          <w:sz w:val="24"/>
          <w:highlight w:val="none"/>
          <w:lang w:val="zh-CN"/>
        </w:rPr>
        <w:t>【招标编号：</w:t>
      </w:r>
      <w:r>
        <w:rPr>
          <w:rFonts w:hint="eastAsia" w:ascii="宋体" w:hAnsi="宋体" w:cs="宋体"/>
          <w:sz w:val="24"/>
          <w:highlight w:val="none"/>
        </w:rPr>
        <w:t>XHZFCG-2022-G-42】的实施</w:t>
      </w:r>
      <w:r>
        <w:rPr>
          <w:rFonts w:hint="eastAsia" w:ascii="宋体" w:hAnsi="宋体" w:cs="宋体"/>
          <w:kern w:val="0"/>
          <w:sz w:val="24"/>
          <w:highlight w:val="none"/>
          <w:lang w:val="zh-CN"/>
        </w:rPr>
        <w:t>。</w:t>
      </w: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4"/>
        <w:gridCol w:w="1374"/>
        <w:gridCol w:w="2365"/>
        <w:gridCol w:w="1374"/>
        <w:gridCol w:w="2827"/>
        <w:gridCol w:w="2827"/>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pct"/>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473" w:type="pct"/>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名称</w:t>
            </w:r>
          </w:p>
        </w:tc>
        <w:tc>
          <w:tcPr>
            <w:tcW w:w="813" w:type="pct"/>
            <w:vAlign w:val="center"/>
          </w:tcPr>
          <w:p>
            <w:pPr>
              <w:spacing w:line="360" w:lineRule="auto"/>
              <w:jc w:val="center"/>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具体服务</w:t>
            </w:r>
            <w:r>
              <w:rPr>
                <w:rFonts w:hint="eastAsia" w:ascii="宋体" w:hAnsi="宋体" w:cs="宋体"/>
                <w:b/>
                <w:color w:val="auto"/>
                <w:sz w:val="24"/>
                <w:szCs w:val="24"/>
                <w:highlight w:val="none"/>
                <w:lang w:eastAsia="zh-CN"/>
              </w:rPr>
              <w:t>（品牌规格型号）</w:t>
            </w:r>
          </w:p>
        </w:tc>
        <w:tc>
          <w:tcPr>
            <w:tcW w:w="473" w:type="pct"/>
            <w:vAlign w:val="center"/>
          </w:tcPr>
          <w:p>
            <w:pPr>
              <w:spacing w:line="360" w:lineRule="auto"/>
              <w:jc w:val="center"/>
              <w:rPr>
                <w:rFonts w:hint="eastAsia" w:ascii="宋体" w:hAnsi="宋体" w:eastAsia="宋体" w:cs="宋体"/>
                <w:b/>
                <w:color w:val="auto"/>
                <w:sz w:val="24"/>
                <w:szCs w:val="24"/>
                <w:highlight w:val="none"/>
              </w:rPr>
            </w:pPr>
            <w:r>
              <w:rPr>
                <w:rFonts w:hint="eastAsia" w:asciiTheme="minorEastAsia" w:hAnsiTheme="minorEastAsia" w:eastAsiaTheme="minorEastAsia"/>
                <w:b/>
                <w:sz w:val="24"/>
                <w:highlight w:val="none"/>
              </w:rPr>
              <w:t>数量（单位：项）</w:t>
            </w:r>
          </w:p>
        </w:tc>
        <w:tc>
          <w:tcPr>
            <w:tcW w:w="973" w:type="pct"/>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单价（元）</w:t>
            </w:r>
          </w:p>
        </w:tc>
        <w:tc>
          <w:tcPr>
            <w:tcW w:w="973" w:type="pct"/>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总价（元）</w:t>
            </w:r>
          </w:p>
        </w:tc>
        <w:tc>
          <w:tcPr>
            <w:tcW w:w="818" w:type="pct"/>
            <w:vAlign w:val="center"/>
          </w:tcPr>
          <w:p>
            <w:pPr>
              <w:spacing w:line="360" w:lineRule="auto"/>
              <w:jc w:val="center"/>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服务</w:t>
            </w:r>
            <w:r>
              <w:rPr>
                <w:rFonts w:hint="eastAsia" w:ascii="宋体" w:hAnsi="宋体" w:eastAsia="宋体" w:cs="宋体"/>
                <w:b/>
                <w:color w:val="auto"/>
                <w:sz w:val="24"/>
                <w:szCs w:val="24"/>
                <w:highlight w:val="none"/>
                <w:lang w:eastAsia="zh-CN"/>
              </w:rPr>
              <w:t>年限</w:t>
            </w:r>
            <w:r>
              <w:rPr>
                <w:rFonts w:hint="eastAsia" w:ascii="宋体" w:hAnsi="宋体" w:cs="宋体"/>
                <w:b/>
                <w:color w:val="auto"/>
                <w:sz w:val="24"/>
                <w:szCs w:val="24"/>
                <w:highlight w:val="none"/>
                <w:lang w:eastAsia="zh-CN"/>
              </w:rPr>
              <w:t>（质保年限）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81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81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81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81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81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widowControl/>
              <w:spacing w:line="360" w:lineRule="auto"/>
              <w:jc w:val="center"/>
              <w:rPr>
                <w:rFonts w:hint="eastAsia" w:ascii="宋体" w:hAnsi="宋体" w:eastAsia="宋体" w:cs="宋体"/>
                <w:color w:val="auto"/>
                <w:kern w:val="0"/>
                <w:sz w:val="24"/>
                <w:szCs w:val="24"/>
                <w:highlight w:val="none"/>
                <w:lang w:bidi="hi-IN"/>
              </w:rPr>
            </w:pPr>
          </w:p>
        </w:tc>
        <w:tc>
          <w:tcPr>
            <w:tcW w:w="81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81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81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760" w:type="pct"/>
            <w:gridSpan w:val="3"/>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eastAsia="zh-CN"/>
              </w:rPr>
              <w:t>投标</w:t>
            </w:r>
            <w:r>
              <w:rPr>
                <w:rFonts w:hint="eastAsia" w:ascii="宋体" w:hAnsi="宋体" w:eastAsia="宋体" w:cs="宋体"/>
                <w:b/>
                <w:color w:val="auto"/>
                <w:sz w:val="24"/>
                <w:szCs w:val="24"/>
                <w:highlight w:val="none"/>
              </w:rPr>
              <w:t>报价（小写）</w:t>
            </w:r>
          </w:p>
        </w:tc>
        <w:tc>
          <w:tcPr>
            <w:tcW w:w="3239" w:type="pct"/>
            <w:gridSpan w:val="4"/>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760" w:type="pct"/>
            <w:gridSpan w:val="3"/>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eastAsia="zh-CN"/>
              </w:rPr>
              <w:t>投标</w:t>
            </w:r>
            <w:r>
              <w:rPr>
                <w:rFonts w:hint="eastAsia" w:ascii="宋体" w:hAnsi="宋体" w:eastAsia="宋体" w:cs="宋体"/>
                <w:b/>
                <w:color w:val="auto"/>
                <w:sz w:val="24"/>
                <w:szCs w:val="24"/>
                <w:highlight w:val="none"/>
              </w:rPr>
              <w:t>报价（大写）</w:t>
            </w:r>
          </w:p>
        </w:tc>
        <w:tc>
          <w:tcPr>
            <w:tcW w:w="3239" w:type="pct"/>
            <w:gridSpan w:val="4"/>
            <w:vAlign w:val="center"/>
          </w:tcPr>
          <w:p>
            <w:pPr>
              <w:spacing w:line="360" w:lineRule="auto"/>
              <w:jc w:val="center"/>
              <w:rPr>
                <w:rFonts w:hint="eastAsia" w:ascii="宋体" w:hAnsi="宋体" w:eastAsia="宋体" w:cs="宋体"/>
                <w:color w:val="auto"/>
                <w:sz w:val="24"/>
                <w:szCs w:val="24"/>
                <w:highlight w:val="none"/>
              </w:rPr>
            </w:pPr>
          </w:p>
        </w:tc>
      </w:tr>
    </w:tbl>
    <w:p>
      <w:pPr>
        <w:snapToGrid w:val="0"/>
        <w:spacing w:line="360" w:lineRule="auto"/>
        <w:ind w:left="480"/>
        <w:rPr>
          <w:rFonts w:ascii="宋体" w:hAnsi="宋体" w:cs="宋体"/>
          <w:b/>
          <w:kern w:val="0"/>
          <w:sz w:val="24"/>
          <w:highlight w:val="none"/>
          <w:lang w:val="zh-CN"/>
        </w:rPr>
      </w:pPr>
      <w:r>
        <w:rPr>
          <w:rFonts w:hint="eastAsia" w:ascii="宋体" w:hAnsi="宋体" w:cs="宋体"/>
          <w:b/>
          <w:kern w:val="0"/>
          <w:sz w:val="24"/>
          <w:highlight w:val="none"/>
          <w:lang w:val="zh-CN"/>
        </w:rPr>
        <w:t>注：</w:t>
      </w:r>
    </w:p>
    <w:p>
      <w:pPr>
        <w:pStyle w:val="5"/>
        <w:numPr>
          <w:ilvl w:val="0"/>
          <w:numId w:val="0"/>
        </w:numPr>
        <w:spacing w:line="360" w:lineRule="auto"/>
        <w:ind w:firstLine="480" w:firstLineChars="200"/>
        <w:rPr>
          <w:rFonts w:hint="eastAsia" w:hAnsi="宋体" w:cs="宋体"/>
          <w:bCs/>
          <w:snapToGrid/>
          <w:color w:val="auto"/>
          <w:kern w:val="2"/>
          <w:sz w:val="24"/>
          <w:szCs w:val="24"/>
          <w:highlight w:val="none"/>
          <w:lang w:val="en-US" w:eastAsia="zh-CN"/>
        </w:rPr>
      </w:pPr>
      <w:r>
        <w:rPr>
          <w:rFonts w:hint="eastAsia" w:ascii="宋体" w:hAnsi="宋体" w:cs="宋体"/>
          <w:sz w:val="24"/>
          <w:highlight w:val="none"/>
        </w:rPr>
        <w:t>▲</w:t>
      </w:r>
      <w:r>
        <w:rPr>
          <w:rFonts w:hint="default" w:ascii="宋体" w:hAnsi="宋体" w:cs="宋体"/>
          <w:b/>
          <w:color w:val="auto"/>
          <w:kern w:val="0"/>
          <w:sz w:val="24"/>
          <w:highlight w:val="none"/>
          <w:lang w:val="en-US"/>
        </w:rPr>
        <w:t>1</w:t>
      </w:r>
      <w:r>
        <w:rPr>
          <w:rFonts w:hint="eastAsia" w:ascii="宋体" w:hAnsi="宋体" w:cs="宋体"/>
          <w:b/>
          <w:color w:val="auto"/>
          <w:kern w:val="0"/>
          <w:sz w:val="24"/>
          <w:highlight w:val="none"/>
          <w:lang w:val="en-US" w:eastAsia="zh-CN"/>
        </w:rPr>
        <w:t>、更新网络边界、网络通信、计算环境等基础设施，搭建公共数据平台安全技术体系，升级迭代现有数据管控平台，实现全链路监管体系的报价不得超过</w:t>
      </w:r>
      <w:r>
        <w:rPr>
          <w:rFonts w:hint="default" w:hAnsi="宋体" w:cs="宋体"/>
          <w:b/>
          <w:color w:val="auto"/>
          <w:kern w:val="0"/>
          <w:sz w:val="24"/>
          <w:highlight w:val="none"/>
          <w:lang w:val="en-US" w:eastAsia="zh-CN"/>
        </w:rPr>
        <w:t>546.6</w:t>
      </w:r>
      <w:r>
        <w:rPr>
          <w:rFonts w:hint="eastAsia" w:ascii="宋体" w:hAnsi="宋体" w:cs="宋体"/>
          <w:b/>
          <w:color w:val="auto"/>
          <w:kern w:val="0"/>
          <w:sz w:val="24"/>
          <w:highlight w:val="none"/>
          <w:lang w:val="en-US" w:eastAsia="zh-CN"/>
        </w:rPr>
        <w:t>万元整；攻防演练及应急处置服务的报价不得超过</w:t>
      </w:r>
      <w:r>
        <w:rPr>
          <w:rFonts w:hint="default" w:hAnsi="宋体" w:cs="宋体"/>
          <w:b/>
          <w:color w:val="auto"/>
          <w:kern w:val="0"/>
          <w:sz w:val="24"/>
          <w:highlight w:val="none"/>
          <w:lang w:val="en-US" w:eastAsia="zh-CN"/>
        </w:rPr>
        <w:t>3</w:t>
      </w:r>
      <w:r>
        <w:rPr>
          <w:rFonts w:hint="eastAsia" w:ascii="宋体" w:hAnsi="宋体" w:cs="宋体"/>
          <w:b/>
          <w:color w:val="auto"/>
          <w:kern w:val="0"/>
          <w:sz w:val="24"/>
          <w:highlight w:val="none"/>
          <w:lang w:val="en-US" w:eastAsia="zh-CN"/>
        </w:rPr>
        <w:t>万元整/年，服务期3年；3名人员驻场服务的报价不得超过</w:t>
      </w:r>
      <w:r>
        <w:rPr>
          <w:rFonts w:hint="default" w:hAnsi="宋体" w:cs="宋体"/>
          <w:b/>
          <w:color w:val="auto"/>
          <w:kern w:val="0"/>
          <w:sz w:val="24"/>
          <w:highlight w:val="none"/>
          <w:lang w:val="en-US" w:eastAsia="zh-CN"/>
        </w:rPr>
        <w:t>45</w:t>
      </w:r>
      <w:r>
        <w:rPr>
          <w:rFonts w:hint="eastAsia" w:ascii="宋体" w:hAnsi="宋体" w:cs="宋体"/>
          <w:b/>
          <w:color w:val="auto"/>
          <w:kern w:val="0"/>
          <w:sz w:val="24"/>
          <w:highlight w:val="none"/>
          <w:lang w:val="en-US" w:eastAsia="zh-CN"/>
        </w:rPr>
        <w:t>万元整/年，服务期3年；网络重保支持服务的报价不得超过</w:t>
      </w:r>
      <w:r>
        <w:rPr>
          <w:rFonts w:hint="default" w:hAnsi="宋体" w:cs="宋体"/>
          <w:b/>
          <w:color w:val="auto"/>
          <w:kern w:val="0"/>
          <w:sz w:val="24"/>
          <w:highlight w:val="none"/>
          <w:lang w:val="en-US" w:eastAsia="zh-CN"/>
        </w:rPr>
        <w:t>5</w:t>
      </w:r>
      <w:r>
        <w:rPr>
          <w:rFonts w:hint="eastAsia" w:ascii="宋体" w:hAnsi="宋体" w:cs="宋体"/>
          <w:b/>
          <w:color w:val="auto"/>
          <w:kern w:val="0"/>
          <w:sz w:val="24"/>
          <w:highlight w:val="none"/>
          <w:lang w:val="en-US" w:eastAsia="zh-CN"/>
        </w:rPr>
        <w:t>万元整/年，服务期3年；</w:t>
      </w:r>
    </w:p>
    <w:p>
      <w:pPr>
        <w:spacing w:line="360" w:lineRule="auto"/>
        <w:ind w:firstLine="482" w:firstLineChars="200"/>
        <w:rPr>
          <w:rFonts w:hint="default" w:ascii="宋体" w:hAnsi="宋体" w:cs="宋体"/>
          <w:b/>
          <w:color w:val="auto"/>
          <w:kern w:val="0"/>
          <w:sz w:val="24"/>
          <w:highlight w:val="none"/>
          <w:lang w:val="en-US" w:eastAsia="zh-CN"/>
        </w:rPr>
      </w:pPr>
      <w:r>
        <w:rPr>
          <w:rFonts w:hint="default" w:ascii="宋体" w:hAnsi="宋体" w:cs="宋体"/>
          <w:b/>
          <w:color w:val="auto"/>
          <w:kern w:val="0"/>
          <w:sz w:val="24"/>
          <w:highlight w:val="none"/>
          <w:lang w:val="en-US" w:eastAsia="zh-CN"/>
        </w:rPr>
        <w:t>攻防演练及应急处置服务、人员驻场服务及网络重保支持服务的服务期均为3年，合同按年签定，每年验收合格后续签合同。</w:t>
      </w:r>
    </w:p>
    <w:p>
      <w:pPr>
        <w:spacing w:line="360" w:lineRule="auto"/>
        <w:ind w:firstLine="482" w:firstLineChars="200"/>
        <w:rPr>
          <w:rFonts w:hint="default" w:ascii="宋体" w:hAnsi="宋体" w:cs="宋体"/>
          <w:b/>
          <w:color w:val="auto"/>
          <w:kern w:val="0"/>
          <w:sz w:val="24"/>
          <w:highlight w:val="none"/>
          <w:lang w:val="en-US" w:eastAsia="zh-CN"/>
        </w:rPr>
      </w:pPr>
      <w:r>
        <w:rPr>
          <w:rFonts w:hint="eastAsia" w:ascii="宋体" w:hAnsi="宋体" w:cs="宋体"/>
          <w:b/>
          <w:color w:val="auto"/>
          <w:kern w:val="0"/>
          <w:sz w:val="24"/>
          <w:highlight w:val="none"/>
          <w:lang w:val="en-US" w:eastAsia="zh-CN"/>
        </w:rPr>
        <w:t>注：其中硬件质保期不少于3年，安全设备和机房设施维保服务不得少于1年，软件不少于1年（含）7×24小时免费售后技术服务。</w:t>
      </w:r>
    </w:p>
    <w:p>
      <w:pPr>
        <w:spacing w:line="360" w:lineRule="auto"/>
        <w:ind w:firstLine="482" w:firstLineChars="200"/>
        <w:rPr>
          <w:rFonts w:hint="eastAsia" w:ascii="宋体" w:hAnsi="宋体" w:cs="宋体"/>
          <w:b/>
          <w:color w:val="auto"/>
          <w:kern w:val="0"/>
          <w:sz w:val="24"/>
          <w:highlight w:val="none"/>
          <w:lang w:val="zh-CN"/>
        </w:rPr>
      </w:pPr>
      <w:r>
        <w:rPr>
          <w:rFonts w:hint="default" w:ascii="宋体" w:hAnsi="宋体" w:cs="宋体"/>
          <w:b/>
          <w:color w:val="auto"/>
          <w:kern w:val="0"/>
          <w:sz w:val="24"/>
          <w:highlight w:val="none"/>
          <w:lang w:val="en-US"/>
        </w:rPr>
        <w:t>2</w:t>
      </w:r>
      <w:r>
        <w:rPr>
          <w:rFonts w:hint="eastAsia" w:ascii="宋体" w:hAnsi="宋体" w:cs="宋体"/>
          <w:b/>
          <w:color w:val="auto"/>
          <w:kern w:val="0"/>
          <w:sz w:val="24"/>
          <w:highlight w:val="none"/>
          <w:lang w:val="zh-CN"/>
        </w:rPr>
        <w:t>、投标人需按本表格式填写，否则视为投标文件含有采购人不能接</w:t>
      </w:r>
      <w:bookmarkStart w:id="415" w:name="_GoBack"/>
      <w:bookmarkEnd w:id="415"/>
      <w:r>
        <w:rPr>
          <w:rFonts w:hint="eastAsia" w:ascii="宋体" w:hAnsi="宋体" w:cs="宋体"/>
          <w:b/>
          <w:color w:val="auto"/>
          <w:kern w:val="0"/>
          <w:sz w:val="24"/>
          <w:highlight w:val="none"/>
          <w:lang w:val="zh-CN"/>
        </w:rPr>
        <w:t>受的附加条件，投标无效；</w:t>
      </w:r>
    </w:p>
    <w:p>
      <w:pPr>
        <w:spacing w:line="360" w:lineRule="auto"/>
        <w:ind w:firstLine="480" w:firstLineChars="200"/>
        <w:rPr>
          <w:rFonts w:ascii="宋体" w:hAnsi="宋体" w:cs="宋体"/>
          <w:color w:val="FF0000"/>
          <w:kern w:val="0"/>
          <w:sz w:val="24"/>
          <w:highlight w:val="none"/>
        </w:rPr>
      </w:pPr>
      <w:r>
        <w:rPr>
          <w:rFonts w:hint="default" w:ascii="宋体" w:hAnsi="宋体" w:cs="宋体"/>
          <w:color w:val="auto"/>
          <w:kern w:val="0"/>
          <w:sz w:val="24"/>
          <w:highlight w:val="none"/>
          <w:lang w:val="en-US"/>
        </w:rPr>
        <w:t>3</w:t>
      </w:r>
      <w:r>
        <w:rPr>
          <w:rFonts w:hint="eastAsia" w:ascii="宋体" w:hAnsi="宋体" w:cs="宋体"/>
          <w:color w:val="auto"/>
          <w:kern w:val="0"/>
          <w:sz w:val="24"/>
          <w:highlight w:val="none"/>
          <w:lang w:val="zh-CN"/>
        </w:rPr>
        <w:t>、有关本项目实施所涉及的一切费用均计入报价。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kern w:val="0"/>
          <w:sz w:val="24"/>
          <w:highlight w:val="none"/>
          <w:lang w:val="zh-CN"/>
        </w:rPr>
      </w:pPr>
      <w:r>
        <w:rPr>
          <w:rFonts w:hint="default" w:ascii="宋体" w:hAnsi="宋体" w:cs="宋体"/>
          <w:kern w:val="0"/>
          <w:sz w:val="24"/>
          <w:highlight w:val="none"/>
          <w:lang w:val="en-US"/>
        </w:rPr>
        <w:t>4</w:t>
      </w:r>
      <w:r>
        <w:rPr>
          <w:rFonts w:hint="eastAsia" w:ascii="宋体" w:hAnsi="宋体" w:cs="宋体"/>
          <w:kern w:val="0"/>
          <w:sz w:val="24"/>
          <w:highlight w:val="none"/>
          <w:lang w:val="zh-CN"/>
        </w:rPr>
        <w:t>、特别提示：采购机构将对项目名称和项目编号，中标供应商名称、地址和中标金额，主要中标标的名称、服务范围、服务要求、服务时间、服务标准等予以公示。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highlight w:val="none"/>
          <w:lang w:val="zh-CN"/>
        </w:rPr>
      </w:pPr>
      <w:r>
        <w:rPr>
          <w:rFonts w:hint="default" w:ascii="宋体" w:hAnsi="宋体" w:cs="宋体"/>
          <w:kern w:val="0"/>
          <w:sz w:val="24"/>
          <w:szCs w:val="22"/>
          <w:highlight w:val="none"/>
          <w:lang w:val="en-US"/>
        </w:rPr>
        <w:t>5</w:t>
      </w:r>
      <w:r>
        <w:rPr>
          <w:rFonts w:hint="eastAsia" w:ascii="宋体" w:hAnsi="宋体" w:cs="宋体"/>
          <w:kern w:val="0"/>
          <w:sz w:val="24"/>
          <w:szCs w:val="22"/>
          <w:highlight w:val="none"/>
          <w:lang w:val="zh-CN"/>
        </w:rPr>
        <w:t>、</w:t>
      </w:r>
      <w:r>
        <w:rPr>
          <w:rFonts w:hint="eastAsia" w:ascii="宋体" w:hAnsi="宋体" w:cs="宋体"/>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pPr>
    </w:p>
    <w:p>
      <w:pPr>
        <w:spacing w:line="360" w:lineRule="auto"/>
        <w:ind w:right="-874" w:rightChars="-416"/>
        <w:jc w:val="right"/>
        <w:rPr>
          <w:rFonts w:hint="eastAsia" w:ascii="宋体" w:hAnsi="宋体" w:eastAsia="宋体" w:cs="宋体"/>
          <w:color w:val="auto"/>
          <w:sz w:val="24"/>
          <w:szCs w:val="24"/>
          <w:highlight w:val="none"/>
        </w:rPr>
      </w:pPr>
    </w:p>
    <w:p>
      <w:pPr>
        <w:spacing w:line="360" w:lineRule="auto"/>
        <w:ind w:right="-874" w:rightChars="-416"/>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供应商名称（电子签名）：</w:t>
      </w:r>
    </w:p>
    <w:p>
      <w:pPr>
        <w:autoSpaceDE w:val="0"/>
        <w:autoSpaceDN w:val="0"/>
        <w:spacing w:line="360" w:lineRule="auto"/>
        <w:jc w:val="center"/>
        <w:rPr>
          <w:rFonts w:ascii="宋体" w:hAnsi="宋体" w:eastAsia="宋体" w:cs="宋体"/>
          <w:kern w:val="2"/>
          <w:sz w:val="32"/>
          <w:szCs w:val="32"/>
          <w:highlight w:val="none"/>
        </w:rPr>
        <w:sectPr>
          <w:pgSz w:w="16838" w:h="11906" w:orient="landscape"/>
          <w:pgMar w:top="1418" w:right="1247" w:bottom="1418" w:left="1276" w:header="851" w:footer="992" w:gutter="0"/>
          <w:cols w:space="720" w:num="1"/>
          <w:titlePg/>
          <w:docGrid w:linePitch="312" w:charSpace="0"/>
        </w:sectPr>
      </w:pPr>
      <w:r>
        <w:rPr>
          <w:rFonts w:hint="default" w:ascii="宋体" w:hAnsi="宋体" w:cs="宋体"/>
          <w:color w:val="auto"/>
          <w:kern w:val="0"/>
          <w:sz w:val="24"/>
          <w:szCs w:val="24"/>
          <w:highlight w:val="none"/>
          <w:lang w:val="en-US"/>
        </w:rPr>
        <w:t xml:space="preserve">     </w:t>
      </w:r>
      <w:r>
        <w:rPr>
          <w:rFonts w:hint="eastAsia" w:ascii="宋体" w:hAnsi="宋体" w:eastAsia="宋体" w:cs="宋体"/>
          <w:color w:val="auto"/>
          <w:kern w:val="0"/>
          <w:sz w:val="24"/>
          <w:szCs w:val="24"/>
          <w:highlight w:val="none"/>
          <w:lang w:val="zh-CN"/>
        </w:rPr>
        <w:t xml:space="preserve">日期：    年  月  </w:t>
      </w:r>
    </w:p>
    <w:p>
      <w:pPr>
        <w:tabs>
          <w:tab w:val="left" w:pos="8085"/>
        </w:tabs>
        <w:spacing w:line="360" w:lineRule="auto"/>
        <w:ind w:firstLine="1285" w:firstLineChars="400"/>
        <w:jc w:val="left"/>
        <w:rPr>
          <w:rFonts w:ascii="宋体" w:hAnsi="宋体" w:cs="宋体"/>
          <w:b/>
          <w:sz w:val="32"/>
          <w:szCs w:val="32"/>
          <w:highlight w:val="none"/>
        </w:rPr>
      </w:pPr>
      <w:r>
        <w:rPr>
          <w:rFonts w:hint="eastAsia" w:ascii="宋体" w:hAnsi="宋体" w:cs="宋体"/>
          <w:b/>
          <w:sz w:val="32"/>
          <w:szCs w:val="32"/>
          <w:highlight w:val="none"/>
        </w:rPr>
        <w:t>政府采购支持中小企业信用融资相关事项通知</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一、适用对象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二、相关信息获取方式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三、　政府采购信用融资操作流程：</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（一）线上融资模式：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1.供应商根据合作银行提供的方案，自行选择金融产品，并办理开户等手续；</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2.供应商中标后，可通过杭州市政府采购网或“浙里办”测算授信额度；</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3.采购合同签订后，供应商在杭州市政府采购网或“浙里办”向合作银行发出融资申请；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4.审批通过后，在线办理放贷手续。</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（二）线下融资模式：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1.供应商根据合作银行提供的方案，自行选择金融产品，向合作银行提出信用资格预审，并办理开户等手续；</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2.采购合同签订后，供应商在杭州市政府采购网或“浙里办”向合作银行发出融资申请；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4.审批通过后，合作银行应按照合作备忘录中约定的审批放款期限和优惠利率及时予以放款。</w:t>
      </w:r>
    </w:p>
    <w:p>
      <w:pPr>
        <w:pStyle w:val="3"/>
        <w:numPr>
          <w:ilvl w:val="255"/>
          <w:numId w:val="0"/>
        </w:numPr>
        <w:ind w:firstLine="960" w:firstLineChars="400"/>
        <w:rPr>
          <w:rFonts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（三）杭州e融平台申请融资</w:t>
      </w:r>
    </w:p>
    <w:p>
      <w:pPr>
        <w:pStyle w:val="3"/>
        <w:numPr>
          <w:ilvl w:val="255"/>
          <w:numId w:val="0"/>
        </w:numPr>
        <w:ind w:firstLine="960" w:firstLineChars="400"/>
        <w:rPr>
          <w:rFonts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供应商通过杭州e融平台政采贷专区，自行选择金融产品，按规定手续办理贷款流程。</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四、注意事项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kern w:val="0"/>
          <w:sz w:val="24"/>
          <w:highlight w:val="none"/>
        </w:r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highlight w:val="none"/>
        </w:rPr>
      </w:pPr>
      <w:bookmarkStart w:id="405" w:name="_Toc465665161"/>
      <w:r>
        <w:rPr>
          <w:rFonts w:hint="eastAsia" w:ascii="宋体" w:hAnsi="宋体" w:cs="宋体"/>
          <w:highlight w:val="none"/>
        </w:rPr>
        <w:t>附件</w:t>
      </w:r>
      <w:bookmarkEnd w:id="405"/>
    </w:p>
    <w:p>
      <w:pPr>
        <w:spacing w:line="360" w:lineRule="auto"/>
        <w:rPr>
          <w:rFonts w:ascii="宋体" w:hAnsi="宋体" w:cs="宋体"/>
          <w:b/>
          <w:spacing w:val="6"/>
          <w:sz w:val="32"/>
          <w:szCs w:val="32"/>
          <w:highlight w:val="none"/>
        </w:rPr>
      </w:pPr>
      <w:r>
        <w:rPr>
          <w:rFonts w:hint="eastAsia" w:ascii="宋体" w:hAnsi="宋体" w:cs="宋体"/>
          <w:b/>
          <w:spacing w:val="6"/>
          <w:sz w:val="32"/>
          <w:szCs w:val="32"/>
          <w:highlight w:val="none"/>
        </w:rPr>
        <w:t>附件1：</w:t>
      </w:r>
    </w:p>
    <w:p>
      <w:pPr>
        <w:spacing w:line="360" w:lineRule="auto"/>
        <w:jc w:val="center"/>
        <w:rPr>
          <w:rFonts w:ascii="宋体" w:hAnsi="宋体" w:cs="宋体"/>
          <w:b/>
          <w:spacing w:val="6"/>
          <w:sz w:val="32"/>
          <w:szCs w:val="32"/>
          <w:highlight w:val="none"/>
        </w:rPr>
      </w:pPr>
      <w:bookmarkStart w:id="406" w:name="OLE_LINK13"/>
      <w:bookmarkStart w:id="407" w:name="OLE_LINK14"/>
      <w:r>
        <w:rPr>
          <w:rFonts w:hint="eastAsia" w:ascii="宋体" w:hAnsi="宋体" w:cs="宋体"/>
          <w:b/>
          <w:spacing w:val="6"/>
          <w:sz w:val="32"/>
          <w:szCs w:val="32"/>
          <w:highlight w:val="none"/>
        </w:rPr>
        <w:t>残疾人福利性单位声明函</w:t>
      </w:r>
    </w:p>
    <w:bookmarkEnd w:id="406"/>
    <w:bookmarkEnd w:id="407"/>
    <w:p>
      <w:pPr>
        <w:spacing w:line="360" w:lineRule="auto"/>
        <w:rPr>
          <w:rFonts w:ascii="宋体" w:hAnsi="宋体" w:cs="宋体"/>
          <w:b/>
          <w:spacing w:val="6"/>
          <w:sz w:val="30"/>
          <w:szCs w:val="30"/>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本单位对上述声明的真实性负责。如有虚假，将依法承担相应责任。</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kern w:val="0"/>
          <w:sz w:val="24"/>
          <w:highlight w:val="none"/>
          <w:lang w:val="zh-CN"/>
        </w:rPr>
        <w:t>投标人名称（电子签名）</w:t>
      </w:r>
      <w:r>
        <w:rPr>
          <w:rFonts w:hint="eastAsia" w:ascii="宋体" w:hAnsi="宋体" w:cs="宋体"/>
          <w:sz w:val="24"/>
          <w:highlight w:val="none"/>
        </w:rPr>
        <w:t>：</w:t>
      </w: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日  期：</w:t>
      </w:r>
    </w:p>
    <w:p>
      <w:pPr>
        <w:spacing w:line="360" w:lineRule="auto"/>
        <w:ind w:firstLine="480" w:firstLineChars="200"/>
        <w:rPr>
          <w:rFonts w:ascii="宋体" w:hAnsi="宋体" w:cs="宋体"/>
          <w:sz w:val="24"/>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附件2：质疑函范本及制作说明</w:t>
      </w: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质疑函范本</w:t>
      </w:r>
    </w:p>
    <w:p>
      <w:pPr>
        <w:snapToGrid w:val="0"/>
        <w:spacing w:before="240" w:beforeLines="100" w:line="360" w:lineRule="auto"/>
        <w:rPr>
          <w:rFonts w:ascii="宋体" w:hAnsi="宋体" w:cs="宋体"/>
          <w:bCs/>
          <w:sz w:val="24"/>
          <w:highlight w:val="none"/>
        </w:rPr>
      </w:pPr>
      <w:r>
        <w:rPr>
          <w:rFonts w:hint="eastAsia" w:ascii="宋体" w:hAnsi="宋体" w:cs="宋体"/>
          <w:bCs/>
          <w:sz w:val="24"/>
          <w:highlight w:val="none"/>
        </w:rPr>
        <w:t>一、质疑供应商基本信息</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质疑供应商：</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地址：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 xml:space="preserve">地址： </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二、质疑项目基本情况</w:t>
      </w:r>
    </w:p>
    <w:p>
      <w:pPr>
        <w:snapToGrid w:val="0"/>
        <w:spacing w:line="360" w:lineRule="auto"/>
        <w:rPr>
          <w:rFonts w:ascii="宋体" w:hAnsi="宋体" w:cs="宋体"/>
          <w:sz w:val="24"/>
          <w:highlight w:val="none"/>
        </w:rPr>
      </w:pPr>
      <w:r>
        <w:rPr>
          <w:rFonts w:hint="eastAsia" w:ascii="宋体" w:hAnsi="宋体" w:cs="宋体"/>
          <w:sz w:val="24"/>
          <w:highlight w:val="none"/>
        </w:rPr>
        <w:t>质疑项目的名称：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质疑项目的编号：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采购人名称：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采购文件获取日期：</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三、质疑事项具体内容</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质疑事项1：</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质疑事项2</w:t>
      </w:r>
    </w:p>
    <w:p>
      <w:pPr>
        <w:snapToGrid w:val="0"/>
        <w:spacing w:line="360" w:lineRule="auto"/>
        <w:rPr>
          <w:rFonts w:ascii="宋体" w:hAnsi="宋体" w:cs="宋体"/>
          <w:sz w:val="24"/>
          <w:highlight w:val="none"/>
        </w:rPr>
      </w:pPr>
      <w:r>
        <w:rPr>
          <w:rFonts w:hint="eastAsia" w:ascii="宋体" w:hAnsi="宋体" w:cs="宋体"/>
          <w:sz w:val="24"/>
          <w:highlight w:val="none"/>
        </w:rPr>
        <w:t>……</w:t>
      </w:r>
    </w:p>
    <w:p>
      <w:pPr>
        <w:snapToGrid w:val="0"/>
        <w:spacing w:line="360" w:lineRule="auto"/>
        <w:rPr>
          <w:rFonts w:ascii="宋体" w:hAnsi="宋体" w:cs="宋体"/>
          <w:bCs/>
          <w:sz w:val="24"/>
          <w:highlight w:val="none"/>
        </w:rPr>
      </w:pPr>
      <w:r>
        <w:rPr>
          <w:rFonts w:hint="eastAsia" w:ascii="宋体" w:hAnsi="宋体" w:cs="宋体"/>
          <w:bCs/>
          <w:sz w:val="24"/>
          <w:highlight w:val="none"/>
        </w:rPr>
        <w:t>四、与质疑事项相关的质疑请求</w:t>
      </w:r>
    </w:p>
    <w:p>
      <w:pPr>
        <w:snapToGrid w:val="0"/>
        <w:spacing w:line="360" w:lineRule="auto"/>
        <w:rPr>
          <w:rFonts w:ascii="宋体" w:hAnsi="宋体" w:cs="宋体"/>
          <w:sz w:val="24"/>
          <w:highlight w:val="none"/>
          <w:u w:val="dotted"/>
        </w:rPr>
      </w:pPr>
      <w:r>
        <w:rPr>
          <w:rFonts w:hint="eastAsia" w:ascii="宋体" w:hAnsi="宋体" w:cs="宋体"/>
          <w:sz w:val="24"/>
          <w:highlight w:val="none"/>
        </w:rPr>
        <w:t>请求：</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jc w:val="center"/>
        <w:rPr>
          <w:rFonts w:ascii="宋体" w:hAnsi="宋体" w:cs="宋体"/>
          <w:b/>
          <w:bCs/>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质疑函制作说明：</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1.供应商提出质疑时，应提交质疑函和必要的证明材料。</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2.质疑供应商若委托代理人进行质疑的，质疑函应按要求列明“授权代表”的有关内容，并在附件中提交由质疑</w:t>
      </w:r>
      <w:r>
        <w:rPr>
          <w:rFonts w:hint="eastAsia" w:ascii="宋体" w:hAnsi="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5.质疑函的质疑请求应与质疑事项相关。</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附件3：投诉书范本及制作说明</w:t>
      </w:r>
    </w:p>
    <w:p>
      <w:pPr>
        <w:spacing w:line="360" w:lineRule="auto"/>
        <w:jc w:val="center"/>
        <w:rPr>
          <w:rFonts w:ascii="宋体" w:hAnsi="宋体" w:cs="宋体"/>
          <w:b/>
          <w:sz w:val="24"/>
          <w:highlight w:val="none"/>
        </w:rPr>
      </w:pP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投诉书范本</w:t>
      </w:r>
    </w:p>
    <w:p>
      <w:pPr>
        <w:spacing w:line="360" w:lineRule="auto"/>
        <w:rPr>
          <w:rFonts w:ascii="宋体" w:hAnsi="宋体" w:cs="宋体"/>
          <w:sz w:val="24"/>
          <w:highlight w:val="none"/>
        </w:rPr>
      </w:pPr>
      <w:r>
        <w:rPr>
          <w:rFonts w:hint="eastAsia" w:ascii="宋体" w:hAnsi="宋体" w:cs="宋体"/>
          <w:sz w:val="24"/>
          <w:highlight w:val="none"/>
        </w:rPr>
        <w:t>一、投诉相关主体基本情况</w:t>
      </w:r>
    </w:p>
    <w:p>
      <w:pPr>
        <w:spacing w:line="360" w:lineRule="auto"/>
        <w:rPr>
          <w:rFonts w:ascii="宋体" w:hAnsi="宋体" w:cs="宋体"/>
          <w:sz w:val="24"/>
          <w:highlight w:val="none"/>
          <w:u w:val="dotted"/>
        </w:rPr>
      </w:pPr>
      <w:r>
        <w:rPr>
          <w:rFonts w:hint="eastAsia" w:ascii="宋体" w:hAnsi="宋体" w:cs="宋体"/>
          <w:sz w:val="24"/>
          <w:highlight w:val="none"/>
        </w:rPr>
        <w:t>投诉人：</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tabs>
          <w:tab w:val="left" w:pos="6510"/>
        </w:tabs>
        <w:spacing w:line="360" w:lineRule="auto"/>
        <w:jc w:val="left"/>
        <w:rPr>
          <w:rFonts w:ascii="宋体" w:hAnsi="宋体" w:cs="宋体"/>
          <w:sz w:val="24"/>
          <w:highlight w:val="none"/>
        </w:rPr>
      </w:pPr>
      <w:r>
        <w:rPr>
          <w:rFonts w:hint="eastAsia" w:ascii="宋体" w:hAnsi="宋体" w:cs="宋体"/>
          <w:sz w:val="24"/>
          <w:highlight w:val="none"/>
        </w:rPr>
        <w:t>法定代表人/主要负责人：</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tabs>
          <w:tab w:val="left" w:pos="6510"/>
        </w:tabs>
        <w:spacing w:line="360" w:lineRule="auto"/>
        <w:rPr>
          <w:rFonts w:ascii="宋体" w:hAnsi="宋体" w:cs="宋体"/>
          <w:sz w:val="24"/>
          <w:highlight w:val="none"/>
          <w:u w:val="dotted"/>
        </w:rPr>
      </w:pP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被投诉人1：</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被投诉人2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u w:val="single"/>
        </w:rPr>
      </w:pPr>
      <w:r>
        <w:rPr>
          <w:rFonts w:hint="eastAsia" w:ascii="宋体" w:hAnsi="宋体" w:cs="宋体"/>
          <w:sz w:val="24"/>
          <w:highlight w:val="none"/>
        </w:rPr>
        <w:t>相关供应商：</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二、投诉项目基本情况</w:t>
      </w:r>
    </w:p>
    <w:p>
      <w:pPr>
        <w:spacing w:line="360" w:lineRule="auto"/>
        <w:rPr>
          <w:rFonts w:ascii="宋体" w:hAnsi="宋体" w:cs="宋体"/>
          <w:sz w:val="24"/>
          <w:highlight w:val="none"/>
          <w:u w:val="dotted"/>
        </w:rPr>
      </w:pPr>
      <w:r>
        <w:rPr>
          <w:rFonts w:hint="eastAsia" w:ascii="宋体" w:hAnsi="宋体" w:cs="宋体"/>
          <w:sz w:val="24"/>
          <w:highlight w:val="none"/>
        </w:rPr>
        <w:t>采购项目名称：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采购项目编号：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采购人名称：</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代理机构名称：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采购文件公告: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采购结果公告: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三、质疑基本情况</w:t>
      </w:r>
    </w:p>
    <w:p>
      <w:pPr>
        <w:spacing w:line="360" w:lineRule="auto"/>
        <w:ind w:firstLine="480" w:firstLineChars="200"/>
        <w:rPr>
          <w:rFonts w:ascii="宋体" w:hAnsi="宋体" w:cs="宋体"/>
          <w:sz w:val="24"/>
          <w:highlight w:val="none"/>
          <w:u w:val="dotted"/>
        </w:rPr>
      </w:pPr>
      <w:r>
        <w:rPr>
          <w:rFonts w:hint="eastAsia" w:ascii="宋体" w:hAnsi="宋体" w:cs="宋体"/>
          <w:sz w:val="24"/>
          <w:highlight w:val="none"/>
        </w:rPr>
        <w:t>投诉人于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日,向</w:t>
      </w:r>
      <w:r>
        <w:rPr>
          <w:rFonts w:hint="eastAsia" w:ascii="宋体" w:hAnsi="宋体" w:cs="宋体"/>
          <w:sz w:val="24"/>
          <w:highlight w:val="none"/>
          <w:u w:val="dotted"/>
        </w:rPr>
        <w:t xml:space="preserve">                   </w:t>
      </w:r>
      <w:r>
        <w:rPr>
          <w:rFonts w:hint="eastAsia" w:ascii="宋体" w:hAnsi="宋体" w:cs="宋体"/>
          <w:sz w:val="24"/>
          <w:highlight w:val="none"/>
        </w:rPr>
        <w:t>提出质疑，质疑事项为：</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ind w:firstLine="360" w:firstLineChars="150"/>
        <w:rPr>
          <w:rFonts w:ascii="宋体" w:hAnsi="宋体" w:cs="宋体"/>
          <w:sz w:val="24"/>
          <w:highlight w:val="none"/>
        </w:rPr>
      </w:pPr>
      <w:r>
        <w:rPr>
          <w:rFonts w:hint="eastAsia" w:ascii="宋体" w:hAnsi="宋体" w:cs="宋体"/>
          <w:sz w:val="24"/>
          <w:highlight w:val="none"/>
          <w:u w:val="dotted"/>
        </w:rPr>
        <w:t>采购人/代理机构</w:t>
      </w:r>
      <w:r>
        <w:rPr>
          <w:rFonts w:hint="eastAsia" w:ascii="宋体" w:hAnsi="宋体" w:cs="宋体"/>
          <w:sz w:val="24"/>
          <w:highlight w:val="none"/>
        </w:rPr>
        <w:t>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日,就质疑事项作出了答复/没有在法定期限内作出答复。</w:t>
      </w:r>
    </w:p>
    <w:p>
      <w:pPr>
        <w:spacing w:line="360" w:lineRule="auto"/>
        <w:rPr>
          <w:rFonts w:ascii="宋体" w:hAnsi="宋体" w:cs="宋体"/>
          <w:sz w:val="24"/>
          <w:highlight w:val="none"/>
        </w:rPr>
      </w:pPr>
      <w:r>
        <w:rPr>
          <w:rFonts w:hint="eastAsia" w:ascii="宋体" w:hAnsi="宋体" w:cs="宋体"/>
          <w:sz w:val="24"/>
          <w:highlight w:val="none"/>
        </w:rPr>
        <w:t>四、投诉事项具体内容</w:t>
      </w:r>
    </w:p>
    <w:p>
      <w:pPr>
        <w:spacing w:line="360" w:lineRule="auto"/>
        <w:rPr>
          <w:rFonts w:ascii="宋体" w:hAnsi="宋体" w:cs="宋体"/>
          <w:sz w:val="24"/>
          <w:highlight w:val="none"/>
          <w:u w:val="single"/>
        </w:rPr>
      </w:pPr>
      <w:r>
        <w:rPr>
          <w:rFonts w:hint="eastAsia" w:ascii="宋体" w:hAnsi="宋体" w:cs="宋体"/>
          <w:sz w:val="24"/>
          <w:highlight w:val="none"/>
        </w:rPr>
        <w:t>投诉事项 1：</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投诉事项2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rPr>
      </w:pPr>
      <w:r>
        <w:rPr>
          <w:rFonts w:hint="eastAsia" w:ascii="宋体" w:hAnsi="宋体" w:cs="宋体"/>
          <w:sz w:val="24"/>
          <w:highlight w:val="none"/>
        </w:rPr>
        <w:t>五、与投诉事项相关的投诉请求</w:t>
      </w:r>
    </w:p>
    <w:p>
      <w:pPr>
        <w:spacing w:line="360" w:lineRule="auto"/>
        <w:rPr>
          <w:rFonts w:ascii="宋体" w:hAnsi="宋体" w:cs="宋体"/>
          <w:sz w:val="24"/>
          <w:highlight w:val="none"/>
        </w:rPr>
      </w:pPr>
      <w:r>
        <w:rPr>
          <w:rFonts w:hint="eastAsia" w:ascii="宋体" w:hAnsi="宋体" w:cs="宋体"/>
          <w:sz w:val="24"/>
          <w:highlight w:val="none"/>
        </w:rPr>
        <w:t>请求：</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投诉书制作说明：</w:t>
      </w:r>
    </w:p>
    <w:p>
      <w:pPr>
        <w:widowControl/>
        <w:spacing w:line="360" w:lineRule="auto"/>
        <w:ind w:firstLine="480" w:firstLineChars="200"/>
        <w:rPr>
          <w:rFonts w:ascii="宋体" w:hAnsi="宋体" w:cs="宋体"/>
          <w:kern w:val="0"/>
          <w:sz w:val="24"/>
          <w:highlight w:val="none"/>
        </w:rPr>
      </w:pPr>
      <w:r>
        <w:rPr>
          <w:rFonts w:hint="eastAsia" w:ascii="宋体" w:hAnsi="宋体"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2.投诉人若委托代理人进行投诉的，投诉书应按照要求列明“授权代表”的有关内容，并在附件中提交由</w:t>
      </w:r>
      <w:r>
        <w:rPr>
          <w:rFonts w:hint="eastAsia" w:ascii="宋体" w:hAnsi="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6.投诉书的投诉请求应与投诉事项相关。</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附件4：</w:t>
      </w:r>
      <w:r>
        <w:rPr>
          <w:rFonts w:hint="eastAsia" w:ascii="宋体" w:hAnsi="宋体" w:cs="宋体"/>
          <w:b/>
          <w:bCs/>
          <w:sz w:val="32"/>
          <w:szCs w:val="32"/>
          <w:highlight w:val="none"/>
        </w:rPr>
        <w:t>业务专用章使用说明函</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u w:val="single"/>
          <w:lang w:eastAsia="zh-CN"/>
        </w:rPr>
        <w:t>杭州市西湖区数据资源管理局</w:t>
      </w:r>
      <w:r>
        <w:rPr>
          <w:rFonts w:hint="eastAsia" w:ascii="宋体" w:hAnsi="宋体" w:cs="宋体"/>
          <w:sz w:val="24"/>
          <w:highlight w:val="none"/>
          <w:u w:val="single"/>
        </w:rPr>
        <w:t>、</w:t>
      </w:r>
      <w:r>
        <w:rPr>
          <w:rFonts w:hint="eastAsia" w:ascii="宋体" w:hAnsi="宋体" w:cs="宋体"/>
          <w:sz w:val="24"/>
          <w:highlight w:val="none"/>
          <w:u w:val="single"/>
          <w:lang w:eastAsia="zh-CN"/>
        </w:rPr>
        <w:t>杭州市西湖区政府采购中心</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lang w:val="zh-CN"/>
        </w:rPr>
        <w:t>我方</w:t>
      </w:r>
      <w:r>
        <w:rPr>
          <w:rFonts w:hint="eastAsia" w:ascii="宋体" w:hAnsi="宋体" w:cs="宋体"/>
          <w:kern w:val="0"/>
          <w:sz w:val="24"/>
          <w:highlight w:val="none"/>
          <w:u w:val="single"/>
          <w:lang w:val="zh-CN"/>
        </w:rPr>
        <w:t xml:space="preserve">                         </w:t>
      </w:r>
      <w:r>
        <w:rPr>
          <w:rFonts w:hint="eastAsia" w:ascii="宋体" w:hAnsi="宋体" w:cs="宋体"/>
          <w:sz w:val="24"/>
          <w:highlight w:val="none"/>
        </w:rPr>
        <w:t>(投标人全称)是中华人民共和国依法登记注册的合法企业，</w:t>
      </w:r>
      <w:r>
        <w:rPr>
          <w:rFonts w:hint="eastAsia" w:ascii="宋体" w:hAnsi="宋体" w:cs="宋体"/>
          <w:bCs/>
          <w:sz w:val="24"/>
          <w:highlight w:val="none"/>
        </w:rPr>
        <w:t>在参加</w:t>
      </w:r>
      <w:r>
        <w:rPr>
          <w:rFonts w:hint="eastAsia" w:ascii="宋体" w:hAnsi="宋体" w:cs="宋体"/>
          <w:sz w:val="24"/>
          <w:highlight w:val="none"/>
        </w:rPr>
        <w:t>你方组织的</w:t>
      </w:r>
      <w:r>
        <w:rPr>
          <w:rFonts w:hint="eastAsia" w:ascii="宋体" w:hAnsi="宋体" w:cs="宋体"/>
          <w:sz w:val="24"/>
          <w:highlight w:val="none"/>
          <w:lang w:eastAsia="zh-CN"/>
        </w:rPr>
        <w:t>杭州市西湖区电子政务整体安全体系改造提升（2022）项目</w:t>
      </w:r>
      <w:r>
        <w:rPr>
          <w:rFonts w:hint="eastAsia" w:ascii="宋体" w:hAnsi="宋体" w:cs="宋体"/>
          <w:sz w:val="24"/>
          <w:highlight w:val="none"/>
        </w:rPr>
        <w:t>项目【招标编号：XHZFCG-2022-G-42】</w:t>
      </w:r>
      <w:r>
        <w:rPr>
          <w:rFonts w:hint="eastAsia" w:ascii="宋体" w:hAnsi="宋体" w:cs="宋体"/>
          <w:bCs/>
          <w:sz w:val="24"/>
          <w:highlight w:val="none"/>
        </w:rPr>
        <w:t>投标活动中作如下说明：</w:t>
      </w:r>
      <w:r>
        <w:rPr>
          <w:rFonts w:hint="eastAsia" w:ascii="宋体" w:hAnsi="宋体" w:cs="宋体"/>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特此说明。</w:t>
      </w: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right="480" w:firstLine="4080" w:firstLineChars="1700"/>
        <w:rPr>
          <w:rFonts w:ascii="宋体" w:hAnsi="宋体" w:cs="宋体"/>
          <w:sz w:val="24"/>
          <w:highlight w:val="none"/>
        </w:rPr>
      </w:pPr>
      <w:r>
        <w:rPr>
          <w:rFonts w:hint="eastAsia" w:ascii="宋体" w:hAnsi="宋体" w:cs="宋体"/>
          <w:sz w:val="24"/>
          <w:highlight w:val="none"/>
        </w:rPr>
        <w:t>投标单位（法定名称章）：</w:t>
      </w:r>
    </w:p>
    <w:p>
      <w:pPr>
        <w:ind w:right="1440" w:firstLine="494"/>
        <w:jc w:val="center"/>
        <w:rPr>
          <w:rFonts w:ascii="宋体" w:hAnsi="宋体" w:cs="宋体"/>
          <w:sz w:val="24"/>
          <w:highlight w:val="none"/>
        </w:rPr>
      </w:pPr>
      <w:r>
        <w:rPr>
          <w:rFonts w:hint="eastAsia" w:ascii="宋体" w:hAnsi="宋体" w:cs="宋体"/>
          <w:sz w:val="24"/>
          <w:highlight w:val="none"/>
        </w:rPr>
        <w:t xml:space="preserve">                              日期：       年     月     日</w:t>
      </w:r>
    </w:p>
    <w:p>
      <w:pPr>
        <w:rPr>
          <w:rFonts w:ascii="宋体" w:hAnsi="宋体" w:cs="宋体"/>
          <w:sz w:val="24"/>
          <w:highlight w:val="none"/>
        </w:rPr>
      </w:pPr>
      <w:r>
        <w:rPr>
          <w:rFonts w:hint="eastAsia" w:ascii="宋体" w:hAnsi="宋体" w:cs="宋体"/>
          <w:b/>
          <w:bCs/>
          <w:sz w:val="24"/>
          <w:highlight w:val="none"/>
        </w:rPr>
        <w:t>附：</w:t>
      </w:r>
    </w:p>
    <w:p>
      <w:pPr>
        <w:spacing w:line="360" w:lineRule="auto"/>
        <w:rPr>
          <w:rFonts w:ascii="宋体" w:hAnsi="宋体" w:cs="宋体"/>
          <w:bCs/>
          <w:sz w:val="24"/>
          <w:highlight w:val="none"/>
        </w:rPr>
      </w:pPr>
      <w:r>
        <w:rPr>
          <w:rFonts w:hint="eastAsia" w:ascii="宋体" w:hAnsi="宋体" w:cs="宋体"/>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highlight w:val="none"/>
        </w:rPr>
        <w:t>投标单位法定名称章（印模）                投标单位“XX专用章”（印模）</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kern w:val="0"/>
          <w:sz w:val="32"/>
          <w:szCs w:val="32"/>
          <w:highlight w:val="none"/>
          <w:lang w:val="zh-CN"/>
        </w:rPr>
      </w:pPr>
      <w:r>
        <w:rPr>
          <w:rFonts w:hint="eastAsia" w:ascii="宋体" w:hAnsi="宋体" w:cs="宋体"/>
          <w:b/>
          <w:spacing w:val="6"/>
          <w:sz w:val="32"/>
          <w:szCs w:val="32"/>
          <w:highlight w:val="none"/>
        </w:rPr>
        <w:t>附件</w:t>
      </w:r>
      <w:r>
        <w:rPr>
          <w:rFonts w:ascii="宋体" w:hAnsi="宋体" w:cs="宋体"/>
          <w:b/>
          <w:spacing w:val="6"/>
          <w:sz w:val="32"/>
          <w:szCs w:val="32"/>
          <w:highlight w:val="none"/>
        </w:rPr>
        <w:t>5</w:t>
      </w:r>
      <w:r>
        <w:rPr>
          <w:rFonts w:hint="eastAsia" w:ascii="宋体" w:hAnsi="宋体" w:cs="宋体"/>
          <w:b/>
          <w:spacing w:val="6"/>
          <w:sz w:val="32"/>
          <w:szCs w:val="32"/>
          <w:highlight w:val="none"/>
        </w:rPr>
        <w:t>：</w:t>
      </w:r>
      <w:r>
        <w:rPr>
          <w:rFonts w:hint="eastAsia" w:ascii="宋体" w:hAnsi="宋体" w:cs="宋体"/>
          <w:b/>
          <w:kern w:val="0"/>
          <w:sz w:val="32"/>
          <w:szCs w:val="32"/>
          <w:highlight w:val="none"/>
          <w:lang w:val="zh-CN"/>
        </w:rPr>
        <w:t>联合协议</w:t>
      </w:r>
    </w:p>
    <w:p>
      <w:pPr>
        <w:widowControl/>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（联合体所有成员名称）</w:t>
      </w:r>
      <w:r>
        <w:rPr>
          <w:rFonts w:hint="eastAsia" w:ascii="宋体" w:hAnsi="宋体" w:cs="宋体"/>
          <w:kern w:val="0"/>
          <w:sz w:val="24"/>
          <w:highlight w:val="none"/>
        </w:rPr>
        <w:t>自愿</w:t>
      </w:r>
      <w:r>
        <w:rPr>
          <w:rFonts w:hint="eastAsia" w:ascii="宋体" w:hAnsi="宋体" w:cs="宋体"/>
          <w:kern w:val="0"/>
          <w:sz w:val="24"/>
          <w:highlight w:val="none"/>
          <w:lang w:val="zh-CN"/>
        </w:rPr>
        <w:t>组成一个联合体，以一个投标人的身份</w:t>
      </w:r>
      <w:r>
        <w:rPr>
          <w:rFonts w:hint="eastAsia" w:ascii="宋体" w:hAnsi="宋体" w:cs="宋体"/>
          <w:kern w:val="0"/>
          <w:sz w:val="24"/>
          <w:highlight w:val="none"/>
        </w:rPr>
        <w:t>参加</w:t>
      </w:r>
      <w:r>
        <w:rPr>
          <w:rFonts w:hint="eastAsia" w:ascii="宋体" w:hAnsi="宋体" w:cs="宋体"/>
          <w:sz w:val="24"/>
          <w:highlight w:val="none"/>
          <w:lang w:eastAsia="zh-CN"/>
        </w:rPr>
        <w:t>杭州市西湖区电子政务整体安全体系改造提升（2022）项目</w:t>
      </w:r>
      <w:r>
        <w:rPr>
          <w:rFonts w:hint="eastAsia" w:ascii="宋体" w:hAnsi="宋体" w:cs="宋体"/>
          <w:sz w:val="24"/>
          <w:highlight w:val="none"/>
        </w:rPr>
        <w:t>【招标编号：XHZFCG-2022-G-42】</w:t>
      </w:r>
      <w:r>
        <w:rPr>
          <w:rFonts w:hint="eastAsia" w:ascii="宋体" w:hAnsi="宋体" w:cs="宋体"/>
          <w:kern w:val="0"/>
          <w:sz w:val="24"/>
          <w:highlight w:val="none"/>
          <w:lang w:val="zh-CN"/>
        </w:rPr>
        <w:t xml:space="preserve">投标。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一、各方一致决定，</w:t>
      </w:r>
      <w:r>
        <w:rPr>
          <w:rFonts w:hint="eastAsia" w:ascii="宋体" w:hAnsi="宋体" w:cs="宋体"/>
          <w:kern w:val="0"/>
          <w:sz w:val="24"/>
          <w:highlight w:val="none"/>
          <w:u w:val="single"/>
        </w:rPr>
        <w:t>（某联合体成员名称）</w:t>
      </w:r>
      <w:r>
        <w:rPr>
          <w:rFonts w:hint="eastAsia" w:ascii="宋体" w:hAnsi="宋体" w:cs="宋体"/>
          <w:kern w:val="0"/>
          <w:sz w:val="24"/>
          <w:highlight w:val="none"/>
        </w:rPr>
        <w:t>为联合体</w:t>
      </w:r>
      <w:r>
        <w:rPr>
          <w:rFonts w:hint="eastAsia" w:ascii="宋体" w:hAnsi="宋体" w:cs="宋体"/>
          <w:kern w:val="0"/>
          <w:sz w:val="24"/>
          <w:highlight w:val="none"/>
          <w:lang w:val="zh-CN"/>
        </w:rPr>
        <w:t>牵头人</w:t>
      </w:r>
      <w:r>
        <w:rPr>
          <w:rFonts w:hint="eastAsia" w:ascii="宋体" w:hAnsi="宋体" w:cs="宋体"/>
          <w:sz w:val="24"/>
          <w:highlight w:val="none"/>
        </w:rPr>
        <w:t>，代表所有联合体成员负责投标和合同实施阶段的主办、协调工作</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w:t>
      </w:r>
      <w:r>
        <w:rPr>
          <w:rFonts w:hint="eastAsia" w:ascii="宋体" w:hAnsi="宋体" w:cs="宋体"/>
          <w:sz w:val="24"/>
          <w:highlight w:val="none"/>
        </w:rPr>
        <w:t>所有联合体成员各方签署授权书，授权书载明的</w:t>
      </w:r>
      <w:r>
        <w:rPr>
          <w:rFonts w:hint="eastAsia" w:ascii="宋体" w:hAnsi="宋体" w:cs="宋体"/>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三、本次联合投标中，分工如下：</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（联合体成员1）</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（联合体成员</w:t>
      </w:r>
      <w:r>
        <w:rPr>
          <w:rFonts w:ascii="宋体" w:hAnsi="宋体" w:cs="宋体"/>
          <w:kern w:val="0"/>
          <w:sz w:val="24"/>
          <w:highlight w:val="none"/>
          <w:u w:val="single"/>
        </w:rPr>
        <w:t>2</w:t>
      </w:r>
      <w:r>
        <w:rPr>
          <w:rFonts w:hint="eastAsia" w:ascii="宋体" w:hAnsi="宋体" w:cs="宋体"/>
          <w:kern w:val="0"/>
          <w:sz w:val="24"/>
          <w:highlight w:val="none"/>
          <w:u w:val="single"/>
        </w:rPr>
        <w:t>）</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四、联合体成员中小企业合同份额。</w:t>
      </w:r>
    </w:p>
    <w:p>
      <w:pPr>
        <w:snapToGrid w:val="0"/>
        <w:spacing w:line="360" w:lineRule="auto"/>
        <w:ind w:firstLine="576"/>
        <w:rPr>
          <w:rFonts w:ascii="宋体" w:hAnsi="宋体" w:cs="宋体"/>
          <w:b/>
          <w:kern w:val="0"/>
          <w:sz w:val="24"/>
          <w:highlight w:val="none"/>
          <w:lang w:val="zh-CN"/>
        </w:rPr>
      </w:pPr>
      <w:r>
        <w:rPr>
          <w:rFonts w:hint="eastAsia" w:ascii="宋体" w:hAnsi="宋体" w:cs="宋体"/>
          <w:kern w:val="0"/>
          <w:sz w:val="24"/>
          <w:highlight w:val="none"/>
          <w:lang w:val="zh-CN"/>
        </w:rPr>
        <w:t>1、</w:t>
      </w:r>
      <w:r>
        <w:rPr>
          <w:rFonts w:hint="eastAsia" w:ascii="宋体" w:hAnsi="宋体" w:cs="宋体"/>
          <w:kern w:val="0"/>
          <w:sz w:val="24"/>
          <w:highlight w:val="none"/>
          <w:u w:val="single"/>
        </w:rPr>
        <w:t>（</w:t>
      </w:r>
      <w:bookmarkStart w:id="408" w:name="_Hlk101131882"/>
      <w:r>
        <w:rPr>
          <w:rFonts w:hint="eastAsia" w:ascii="宋体" w:hAnsi="宋体" w:cs="宋体"/>
          <w:kern w:val="0"/>
          <w:sz w:val="24"/>
          <w:highlight w:val="none"/>
          <w:u w:val="single"/>
        </w:rPr>
        <w:t>联合体成员X</w:t>
      </w:r>
      <w:r>
        <w:rPr>
          <w:rFonts w:ascii="宋体" w:hAnsi="宋体" w:cs="宋体"/>
          <w:kern w:val="0"/>
          <w:sz w:val="24"/>
          <w:highlight w:val="none"/>
          <w:u w:val="single"/>
        </w:rPr>
        <w:t>,</w:t>
      </w:r>
      <w:r>
        <w:rPr>
          <w:rFonts w:hint="eastAsia" w:ascii="宋体" w:hAnsi="宋体" w:cs="宋体"/>
          <w:kern w:val="0"/>
          <w:sz w:val="24"/>
          <w:highlight w:val="none"/>
          <w:u w:val="single"/>
        </w:rPr>
        <w:t>……</w:t>
      </w:r>
      <w:bookmarkEnd w:id="408"/>
      <w:r>
        <w:rPr>
          <w:rFonts w:hint="eastAsia" w:ascii="宋体" w:hAnsi="宋体" w:cs="宋体"/>
          <w:kern w:val="0"/>
          <w:sz w:val="24"/>
          <w:highlight w:val="none"/>
          <w:u w:val="single"/>
        </w:rPr>
        <w:t>）</w:t>
      </w:r>
      <w:r>
        <w:rPr>
          <w:rFonts w:hint="eastAsia" w:ascii="宋体" w:hAnsi="宋体" w:cs="宋体"/>
          <w:kern w:val="0"/>
          <w:sz w:val="24"/>
          <w:highlight w:val="none"/>
        </w:rPr>
        <w:t>提供的服务由小微企业承接，其合同份额占到合同总金额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kern w:val="0"/>
          <w:sz w:val="24"/>
          <w:highlight w:val="none"/>
          <w:lang w:val="zh-CN"/>
        </w:rPr>
        <w:t>。</w:t>
      </w:r>
      <w:r>
        <w:rPr>
          <w:rFonts w:hint="eastAsia" w:ascii="宋体" w:hAnsi="宋体" w:cs="宋体"/>
          <w:b/>
          <w:kern w:val="0"/>
          <w:sz w:val="24"/>
          <w:highlight w:val="none"/>
          <w:lang w:val="zh-CN"/>
        </w:rPr>
        <w:t>（</w:t>
      </w:r>
      <w:bookmarkStart w:id="409" w:name="_Hlk101133598"/>
      <w:r>
        <w:rPr>
          <w:rFonts w:hint="eastAsia" w:ascii="宋体" w:hAnsi="宋体" w:cs="宋体"/>
          <w:b/>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未预留份额专门面向中小企业采购的采购项目，以及预留份额中的非预留部分采购包，接受联合体投标的，联合协议约定小微企业的合同份额占到合同总金额30%以上的，对联合体报价给予</w:t>
      </w:r>
      <w:r>
        <w:rPr>
          <w:rFonts w:hint="default" w:ascii="宋体" w:hAnsi="宋体" w:cs="宋体"/>
          <w:b/>
          <w:kern w:val="0"/>
          <w:sz w:val="24"/>
          <w:highlight w:val="none"/>
          <w:lang w:val="en-US"/>
        </w:rPr>
        <w:t>6</w:t>
      </w:r>
      <w:r>
        <w:rPr>
          <w:rFonts w:hint="eastAsia" w:ascii="宋体" w:hAnsi="宋体" w:cs="宋体"/>
          <w:b/>
          <w:kern w:val="0"/>
          <w:sz w:val="24"/>
          <w:highlight w:val="none"/>
          <w:lang w:val="zh-CN"/>
        </w:rPr>
        <w:t>%的扣除。供应商</w:t>
      </w:r>
      <w:r>
        <w:rPr>
          <w:rFonts w:hint="eastAsia" w:ascii="宋体" w:hAnsi="宋体" w:cs="宋体"/>
          <w:b/>
          <w:sz w:val="24"/>
          <w:highlight w:val="none"/>
        </w:rPr>
        <w:t>拟享受以上价格扣除政策的，填写有关内容。</w:t>
      </w:r>
      <w:bookmarkEnd w:id="409"/>
      <w:r>
        <w:rPr>
          <w:rFonts w:hint="eastAsia" w:ascii="宋体" w:hAnsi="宋体" w:cs="宋体"/>
          <w:b/>
          <w:kern w:val="0"/>
          <w:sz w:val="24"/>
          <w:highlight w:val="none"/>
          <w:lang w:val="zh-CN"/>
        </w:rPr>
        <w:t>）</w:t>
      </w:r>
    </w:p>
    <w:p>
      <w:pPr>
        <w:snapToGrid/>
        <w:spacing w:line="360" w:lineRule="auto"/>
        <w:ind w:firstLine="480" w:firstLineChars="200"/>
        <w:rPr>
          <w:rFonts w:ascii="宋体" w:hAnsi="宋体" w:cs="宋体"/>
          <w:b/>
          <w:bCs/>
          <w:kern w:val="0"/>
          <w:sz w:val="24"/>
          <w:highlight w:val="none"/>
          <w:lang w:val="zh-CN"/>
        </w:rPr>
      </w:pPr>
      <w:r>
        <w:rPr>
          <w:rFonts w:hint="eastAsia" w:ascii="宋体" w:hAnsi="宋体" w:cs="宋体"/>
          <w:sz w:val="24"/>
          <w:highlight w:val="none"/>
        </w:rPr>
        <w:t>2、</w:t>
      </w:r>
      <w:bookmarkStart w:id="410" w:name="_Hlk101133173"/>
      <w:r>
        <w:rPr>
          <w:rFonts w:hint="eastAsia" w:ascii="宋体" w:hAnsi="宋体" w:cs="宋体"/>
          <w:sz w:val="24"/>
          <w:highlight w:val="none"/>
        </w:rPr>
        <w:t>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highlight w:val="none"/>
          <w:lang w:val="zh-CN"/>
        </w:rPr>
        <w:t>）</w:t>
      </w:r>
      <w:bookmarkEnd w:id="410"/>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五、如果中标，</w:t>
      </w:r>
      <w:r>
        <w:rPr>
          <w:rFonts w:hint="eastAsia" w:ascii="宋体" w:hAnsi="宋体" w:cs="宋体"/>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六、有关本次联合投标的其他事宜：</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snapToGrid w:val="0"/>
        <w:spacing w:line="360" w:lineRule="auto"/>
        <w:ind w:firstLine="3666" w:firstLineChars="1100"/>
        <w:rPr>
          <w:rFonts w:ascii="宋体" w:hAnsi="宋体" w:cs="宋体"/>
          <w:b/>
          <w:kern w:val="0"/>
          <w:sz w:val="32"/>
          <w:szCs w:val="32"/>
          <w:highlight w:val="none"/>
        </w:rPr>
      </w:pPr>
      <w:r>
        <w:rPr>
          <w:rFonts w:hint="eastAsia" w:ascii="宋体" w:hAnsi="宋体" w:cs="宋体"/>
          <w:b/>
          <w:spacing w:val="6"/>
          <w:sz w:val="32"/>
          <w:szCs w:val="32"/>
          <w:highlight w:val="none"/>
        </w:rPr>
        <w:t>附件</w:t>
      </w:r>
      <w:r>
        <w:rPr>
          <w:rFonts w:ascii="宋体" w:hAnsi="宋体" w:cs="宋体"/>
          <w:b/>
          <w:spacing w:val="6"/>
          <w:sz w:val="32"/>
          <w:szCs w:val="32"/>
          <w:highlight w:val="none"/>
        </w:rPr>
        <w:t>6</w:t>
      </w:r>
      <w:r>
        <w:rPr>
          <w:rFonts w:hint="eastAsia" w:ascii="宋体" w:hAnsi="宋体" w:cs="宋体"/>
          <w:b/>
          <w:spacing w:val="6"/>
          <w:sz w:val="32"/>
          <w:szCs w:val="32"/>
          <w:highlight w:val="none"/>
        </w:rPr>
        <w:t>：</w:t>
      </w:r>
      <w:r>
        <w:rPr>
          <w:rFonts w:hint="eastAsia" w:ascii="宋体" w:hAnsi="宋体" w:cs="宋体"/>
          <w:b/>
          <w:kern w:val="0"/>
          <w:sz w:val="32"/>
          <w:szCs w:val="32"/>
          <w:highlight w:val="none"/>
        </w:rPr>
        <w:t>分包意向协议</w:t>
      </w:r>
    </w:p>
    <w:p>
      <w:pPr>
        <w:widowControl/>
        <w:spacing w:line="360" w:lineRule="auto"/>
        <w:ind w:firstLine="120" w:firstLineChars="50"/>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cs="宋体"/>
          <w:sz w:val="24"/>
          <w:highlight w:val="none"/>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若成为</w:t>
      </w:r>
      <w:r>
        <w:rPr>
          <w:rFonts w:hint="eastAsia" w:ascii="宋体" w:hAnsi="宋体" w:cs="宋体"/>
          <w:sz w:val="24"/>
          <w:highlight w:val="none"/>
          <w:lang w:eastAsia="zh-CN"/>
        </w:rPr>
        <w:t>杭州市西湖区电子政务整体安全体系改造提升（2022）项目</w:t>
      </w:r>
      <w:r>
        <w:rPr>
          <w:rFonts w:hint="eastAsia" w:ascii="宋体" w:hAnsi="宋体" w:cs="宋体"/>
          <w:sz w:val="24"/>
          <w:highlight w:val="none"/>
        </w:rPr>
        <w:t>【招标编号：XHZFCG-2022-G-42】</w:t>
      </w:r>
      <w:r>
        <w:rPr>
          <w:rFonts w:hint="eastAsia" w:ascii="宋体" w:hAnsi="宋体" w:cs="宋体"/>
          <w:kern w:val="0"/>
          <w:sz w:val="24"/>
          <w:highlight w:val="none"/>
          <w:lang w:val="zh-CN"/>
        </w:rPr>
        <w:t>的中标供应商，将依法采取分包方式履行合同。</w:t>
      </w:r>
      <w:r>
        <w:rPr>
          <w:rFonts w:hint="eastAsia" w:ascii="宋体" w:hAnsi="宋体" w:cs="宋体"/>
          <w:kern w:val="0"/>
          <w:sz w:val="24"/>
          <w:highlight w:val="none"/>
          <w:u w:val="single"/>
        </w:rPr>
        <w:t>（投标人名称）</w:t>
      </w:r>
      <w:r>
        <w:rPr>
          <w:rFonts w:hint="eastAsia" w:ascii="宋体" w:hAnsi="宋体" w:cs="宋体"/>
          <w:kern w:val="0"/>
          <w:sz w:val="24"/>
          <w:highlight w:val="none"/>
        </w:rPr>
        <w:t>与</w:t>
      </w:r>
      <w:r>
        <w:rPr>
          <w:rFonts w:hint="eastAsia" w:ascii="宋体" w:hAnsi="宋体" w:cs="宋体"/>
          <w:kern w:val="0"/>
          <w:sz w:val="24"/>
          <w:highlight w:val="none"/>
          <w:u w:val="single"/>
        </w:rPr>
        <w:t>（所有分包供应商名称）</w:t>
      </w:r>
      <w:r>
        <w:rPr>
          <w:rFonts w:hint="eastAsia" w:ascii="宋体" w:hAnsi="宋体" w:cs="宋体"/>
          <w:kern w:val="0"/>
          <w:sz w:val="24"/>
          <w:highlight w:val="none"/>
        </w:rPr>
        <w:t>达成分包意向协议</w:t>
      </w:r>
      <w:r>
        <w:rPr>
          <w:rFonts w:hint="eastAsia" w:ascii="宋体" w:hAnsi="宋体" w:cs="宋体"/>
          <w:kern w:val="0"/>
          <w:sz w:val="24"/>
          <w:highlight w:val="none"/>
          <w:lang w:val="zh-CN"/>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一、分包标的及数量</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将</w:t>
      </w:r>
      <w:r>
        <w:rPr>
          <w:rFonts w:hint="eastAsia" w:ascii="宋体" w:hAnsi="宋体" w:cs="宋体"/>
          <w:highlight w:val="none"/>
          <w:u w:val="single"/>
        </w:rPr>
        <w:t xml:space="preserve">  </w:t>
      </w:r>
      <w:r>
        <w:rPr>
          <w:rFonts w:ascii="宋体" w:hAnsi="宋体" w:cs="宋体"/>
          <w:kern w:val="0"/>
          <w:sz w:val="24"/>
          <w:highlight w:val="none"/>
          <w:u w:val="single"/>
        </w:rPr>
        <w:t xml:space="preserve"> XX工作内容   </w:t>
      </w:r>
      <w:r>
        <w:rPr>
          <w:rFonts w:hint="eastAsia" w:ascii="宋体" w:hAnsi="宋体" w:cs="宋体"/>
          <w:sz w:val="24"/>
          <w:highlight w:val="none"/>
        </w:rPr>
        <w:t>分包给</w:t>
      </w:r>
      <w:r>
        <w:rPr>
          <w:rFonts w:hint="eastAsia" w:ascii="宋体" w:hAnsi="宋体" w:cs="宋体"/>
          <w:kern w:val="0"/>
          <w:sz w:val="24"/>
          <w:highlight w:val="none"/>
          <w:u w:val="single"/>
        </w:rPr>
        <w:t>（分包供应商1名称）</w:t>
      </w:r>
      <w:r>
        <w:rPr>
          <w:rFonts w:hint="eastAsia" w:ascii="宋体" w:hAnsi="宋体" w:cs="宋体"/>
          <w:kern w:val="0"/>
          <w:sz w:val="24"/>
          <w:highlight w:val="none"/>
          <w:lang w:val="zh-CN"/>
        </w:rPr>
        <w:t>，</w:t>
      </w:r>
      <w:r>
        <w:rPr>
          <w:rFonts w:hint="eastAsia" w:ascii="宋体" w:hAnsi="宋体" w:cs="宋体"/>
          <w:kern w:val="0"/>
          <w:sz w:val="24"/>
          <w:highlight w:val="none"/>
          <w:u w:val="single"/>
        </w:rPr>
        <w:t>（分包供应商2名称），</w:t>
      </w:r>
      <w:r>
        <w:rPr>
          <w:rFonts w:hint="eastAsia" w:ascii="宋体" w:hAnsi="宋体" w:cs="宋体"/>
          <w:kern w:val="0"/>
          <w:sz w:val="24"/>
          <w:highlight w:val="none"/>
          <w:lang w:val="zh-CN"/>
        </w:rPr>
        <w:t>具备承</w:t>
      </w:r>
      <w:r>
        <w:rPr>
          <w:rFonts w:hint="eastAsia" w:ascii="宋体" w:hAnsi="宋体" w:cs="宋体"/>
          <w:kern w:val="0"/>
          <w:sz w:val="24"/>
          <w:highlight w:val="none"/>
        </w:rPr>
        <w:t>担</w:t>
      </w:r>
      <w:r>
        <w:rPr>
          <w:rFonts w:hint="eastAsia" w:ascii="宋体" w:hAnsi="宋体" w:cs="宋体"/>
          <w:kern w:val="0"/>
          <w:sz w:val="24"/>
          <w:highlight w:val="none"/>
          <w:u w:val="single"/>
          <w:lang w:val="zh-CN"/>
        </w:rPr>
        <w:t>XX工作内容</w:t>
      </w:r>
      <w:r>
        <w:rPr>
          <w:rFonts w:hint="eastAsia" w:ascii="宋体" w:hAnsi="宋体" w:cs="宋体"/>
          <w:kern w:val="0"/>
          <w:sz w:val="24"/>
          <w:highlight w:val="none"/>
          <w:lang w:val="zh-CN"/>
        </w:rPr>
        <w:t>相应资质条件且不得再次分包；</w:t>
      </w:r>
    </w:p>
    <w:p>
      <w:pPr>
        <w:pStyle w:val="3"/>
        <w:ind w:left="664" w:leftChars="316" w:firstLine="229" w:firstLineChars="95"/>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p>
    <w:p>
      <w:pPr>
        <w:ind w:left="664" w:leftChars="316" w:firstLine="199" w:firstLineChars="95"/>
        <w:rPr>
          <w:rFonts w:ascii="宋体" w:hAnsi="宋体" w:eastAsia="宋体" w:cs="宋体"/>
          <w:highlight w:val="none"/>
        </w:rPr>
      </w:pPr>
      <w:r>
        <w:rPr>
          <w:rFonts w:hint="eastAsia"/>
          <w:highlight w:val="none"/>
          <w:lang w:val="zh-CN"/>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二、分包供应商中小企业合同份额</w:t>
      </w:r>
    </w:p>
    <w:p>
      <w:pPr>
        <w:snapToGrid w:val="0"/>
        <w:spacing w:line="360" w:lineRule="auto"/>
        <w:ind w:firstLine="576"/>
        <w:rPr>
          <w:rFonts w:ascii="宋体" w:hAnsi="宋体" w:cs="宋体"/>
          <w:b/>
          <w:kern w:val="0"/>
          <w:sz w:val="24"/>
          <w:highlight w:val="none"/>
          <w:lang w:val="zh-CN"/>
        </w:rPr>
      </w:pPr>
      <w:r>
        <w:rPr>
          <w:rFonts w:ascii="宋体" w:hAnsi="宋体" w:cs="宋体"/>
          <w:kern w:val="0"/>
          <w:sz w:val="24"/>
          <w:highlight w:val="none"/>
        </w:rPr>
        <w:t>1、</w:t>
      </w:r>
      <w:r>
        <w:rPr>
          <w:rFonts w:hint="eastAsia" w:ascii="宋体" w:hAnsi="宋体" w:cs="宋体"/>
          <w:kern w:val="0"/>
          <w:sz w:val="24"/>
          <w:highlight w:val="none"/>
          <w:u w:val="single"/>
        </w:rPr>
        <w:t>（分包供应商X</w:t>
      </w:r>
      <w:r>
        <w:rPr>
          <w:rFonts w:ascii="宋体" w:hAnsi="宋体" w:cs="宋体"/>
          <w:kern w:val="0"/>
          <w:sz w:val="24"/>
          <w:highlight w:val="none"/>
          <w:u w:val="single"/>
        </w:rPr>
        <w:t>,</w:t>
      </w:r>
      <w:r>
        <w:rPr>
          <w:rFonts w:hint="eastAsia" w:ascii="宋体" w:hAnsi="宋体" w:cs="宋体"/>
          <w:kern w:val="0"/>
          <w:sz w:val="24"/>
          <w:highlight w:val="none"/>
          <w:u w:val="single"/>
        </w:rPr>
        <w:t>……）提供的服务全部由小微企业承接，</w:t>
      </w:r>
      <w:r>
        <w:rPr>
          <w:rFonts w:hint="eastAsia" w:ascii="宋体" w:hAnsi="宋体" w:cs="宋体"/>
          <w:kern w:val="0"/>
          <w:sz w:val="24"/>
          <w:highlight w:val="none"/>
        </w:rPr>
        <w:t>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highlight w:val="none"/>
        </w:rPr>
        <w:t>。</w:t>
      </w:r>
      <w:r>
        <w:rPr>
          <w:rFonts w:hint="eastAsia" w:ascii="宋体" w:hAnsi="宋体" w:cs="宋体"/>
          <w:b/>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（未预留份额专门面向中小企业采购的采购项目，以及预留份额中的非预留部分采购包，允许分包的，分包意向协议约定小微企业的合同份额占到合同总金额30%以上的，对大中型企业的报价给予</w:t>
      </w:r>
      <w:r>
        <w:rPr>
          <w:rFonts w:hint="default" w:ascii="宋体" w:hAnsi="宋体" w:cs="宋体"/>
          <w:b/>
          <w:kern w:val="0"/>
          <w:sz w:val="24"/>
          <w:highlight w:val="none"/>
          <w:lang w:val="en-US"/>
        </w:rPr>
        <w:t>6</w:t>
      </w:r>
      <w:r>
        <w:rPr>
          <w:rFonts w:hint="eastAsia" w:ascii="宋体" w:hAnsi="宋体" w:cs="宋体"/>
          <w:b/>
          <w:kern w:val="0"/>
          <w:sz w:val="24"/>
          <w:highlight w:val="none"/>
          <w:lang w:val="zh-CN"/>
        </w:rPr>
        <w:t>%的扣除。供应商</w:t>
      </w:r>
      <w:r>
        <w:rPr>
          <w:rFonts w:hint="eastAsia" w:ascii="宋体" w:hAnsi="宋体" w:cs="宋体"/>
          <w:b/>
          <w:sz w:val="24"/>
          <w:highlight w:val="none"/>
        </w:rPr>
        <w:t>拟享受以上价格扣除政策的，填写有关内容。</w:t>
      </w:r>
      <w:r>
        <w:rPr>
          <w:rFonts w:hint="eastAsia" w:ascii="宋体" w:hAnsi="宋体" w:cs="宋体"/>
          <w:b/>
          <w:kern w:val="0"/>
          <w:sz w:val="24"/>
          <w:highlight w:val="none"/>
          <w:lang w:val="zh-CN"/>
        </w:rPr>
        <w:t>）</w:t>
      </w:r>
    </w:p>
    <w:p>
      <w:pPr>
        <w:spacing w:line="360" w:lineRule="auto"/>
        <w:ind w:firstLine="480" w:firstLineChars="200"/>
        <w:rPr>
          <w:rFonts w:ascii="宋体" w:hAnsi="宋体" w:cs="宋体"/>
          <w:b/>
          <w:bCs/>
          <w:kern w:val="0"/>
          <w:sz w:val="24"/>
          <w:highlight w:val="none"/>
          <w:lang w:val="zh-CN"/>
        </w:rPr>
      </w:pPr>
      <w:r>
        <w:rPr>
          <w:rFonts w:hint="eastAsia" w:ascii="宋体" w:hAnsi="宋体" w:cs="宋体"/>
          <w:sz w:val="24"/>
          <w:highlight w:val="none"/>
        </w:rPr>
        <w:t>2、中小企业合同金额达到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要求合同分包形式参加的项目或采购包，供应商按招标文件第一部分招标公告申请人的资格要求中规定的</w:t>
      </w:r>
      <w:r>
        <w:rPr>
          <w:rFonts w:hint="eastAsia" w:ascii="宋体" w:hAnsi="宋体" w:cs="宋体"/>
          <w:b/>
          <w:kern w:val="0"/>
          <w:sz w:val="24"/>
          <w:highlight w:val="none"/>
          <w:lang w:val="zh-CN"/>
        </w:rPr>
        <w:t>分包意向协议</w:t>
      </w:r>
      <w:r>
        <w:rPr>
          <w:rFonts w:hint="eastAsia" w:ascii="宋体" w:hAnsi="宋体" w:cs="宋体"/>
          <w:b/>
          <w:bCs/>
          <w:sz w:val="24"/>
          <w:highlight w:val="none"/>
        </w:rPr>
        <w:t>中中小企业、小微企业合同金额应当达到的比例要求填写。</w:t>
      </w:r>
      <w:r>
        <w:rPr>
          <w:rFonts w:hint="eastAsia" w:ascii="宋体" w:hAnsi="宋体" w:cs="宋体"/>
          <w:b/>
          <w:bCs/>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三、分包工作履行期限、地点、方式</w:t>
      </w:r>
    </w:p>
    <w:p>
      <w:pPr>
        <w:snapToGrid w:val="0"/>
        <w:spacing w:line="360" w:lineRule="auto"/>
        <w:ind w:firstLine="576"/>
        <w:rPr>
          <w:rFonts w:ascii="宋体" w:hAnsi="宋体" w:cs="宋体"/>
          <w:highlight w:val="none"/>
          <w:u w:val="single"/>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四、质量</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五、价款或者报酬</w:t>
      </w:r>
    </w:p>
    <w:p>
      <w:pPr>
        <w:snapToGrid w:val="0"/>
        <w:spacing w:line="360" w:lineRule="auto"/>
        <w:ind w:left="573" w:leftChars="273"/>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left="573" w:leftChars="273"/>
        <w:rPr>
          <w:rFonts w:ascii="宋体" w:hAnsi="宋体" w:cs="宋体"/>
          <w:kern w:val="0"/>
          <w:sz w:val="24"/>
          <w:highlight w:val="none"/>
          <w:lang w:val="zh-CN"/>
        </w:rPr>
      </w:pPr>
      <w:r>
        <w:rPr>
          <w:rFonts w:hint="eastAsia" w:ascii="宋体" w:hAnsi="宋体" w:cs="宋体"/>
          <w:kern w:val="0"/>
          <w:sz w:val="24"/>
          <w:highlight w:val="none"/>
          <w:lang w:val="zh-CN"/>
        </w:rPr>
        <w:t>六、违约责任</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七、争议解决的办法</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八、其他</w:t>
      </w:r>
    </w:p>
    <w:p>
      <w:pPr>
        <w:snapToGrid w:val="0"/>
        <w:spacing w:line="360" w:lineRule="auto"/>
        <w:ind w:left="5758" w:leftChars="342" w:hanging="5040" w:hangingChars="2100"/>
        <w:rPr>
          <w:rFonts w:ascii="宋体" w:hAnsi="宋体" w:cs="宋体"/>
          <w:kern w:val="0"/>
          <w:sz w:val="24"/>
          <w:highlight w:val="none"/>
          <w:lang w:val="zh-CN"/>
        </w:rPr>
      </w:pPr>
      <w:r>
        <w:rPr>
          <w:rFonts w:hint="eastAsia" w:ascii="宋体" w:hAnsi="宋体" w:cs="宋体"/>
          <w:sz w:val="24"/>
          <w:highlight w:val="none"/>
        </w:rPr>
        <w:t>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 xml:space="preserve">  。                                           投标人名称(电子签名)：</w:t>
      </w:r>
    </w:p>
    <w:p>
      <w:pPr>
        <w:snapToGrid w:val="0"/>
        <w:spacing w:line="360" w:lineRule="auto"/>
        <w:ind w:firstLine="5640" w:firstLineChars="2350"/>
        <w:rPr>
          <w:rFonts w:ascii="宋体" w:hAnsi="宋体" w:cs="宋体"/>
          <w:kern w:val="0"/>
          <w:sz w:val="24"/>
          <w:highlight w:val="none"/>
          <w:lang w:val="zh-CN"/>
        </w:rPr>
      </w:pPr>
      <w:r>
        <w:rPr>
          <w:rFonts w:hint="eastAsia" w:ascii="宋体" w:hAnsi="宋体" w:cs="宋体"/>
          <w:kern w:val="0"/>
          <w:sz w:val="24"/>
          <w:highlight w:val="none"/>
          <w:lang w:val="zh-CN"/>
        </w:rPr>
        <w:t>分包供应商名称：</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w:t>
      </w:r>
      <w:r>
        <w:rPr>
          <w:rFonts w:ascii="宋体" w:hAnsi="宋体" w:cs="宋体"/>
          <w:b/>
          <w:spacing w:val="6"/>
          <w:sz w:val="32"/>
          <w:szCs w:val="32"/>
          <w:highlight w:val="none"/>
        </w:rPr>
        <w:t>7</w:t>
      </w:r>
      <w:r>
        <w:rPr>
          <w:rFonts w:hint="eastAsia" w:ascii="宋体" w:hAnsi="宋体" w:cs="宋体"/>
          <w:b/>
          <w:spacing w:val="6"/>
          <w:sz w:val="32"/>
          <w:szCs w:val="32"/>
          <w:highlight w:val="none"/>
        </w:rPr>
        <w:t>：</w:t>
      </w:r>
      <w:r>
        <w:rPr>
          <w:rFonts w:hint="eastAsia" w:ascii="宋体" w:hAnsi="宋体" w:cs="宋体"/>
          <w:b/>
          <w:sz w:val="32"/>
          <w:szCs w:val="32"/>
          <w:highlight w:val="none"/>
        </w:rPr>
        <w:t>中小企业声明函</w:t>
      </w:r>
    </w:p>
    <w:p>
      <w:pPr>
        <w:spacing w:line="360" w:lineRule="auto"/>
        <w:jc w:val="center"/>
        <w:rPr>
          <w:rFonts w:ascii="宋体" w:hAnsi="宋体" w:cs="宋体"/>
          <w:sz w:val="24"/>
          <w:highlight w:val="none"/>
          <w:u w:val="singl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中小企业声明函（服务）</w:t>
      </w:r>
    </w:p>
    <w:p>
      <w:pPr>
        <w:spacing w:line="360" w:lineRule="auto"/>
        <w:ind w:firstLine="360" w:firstLineChars="150"/>
        <w:jc w:val="left"/>
        <w:rPr>
          <w:rFonts w:ascii="宋体" w:hAnsi="宋体" w:cs="宋体"/>
          <w:sz w:val="24"/>
          <w:highlight w:val="none"/>
        </w:rPr>
      </w:pPr>
      <w:r>
        <w:rPr>
          <w:rFonts w:hint="eastAsia" w:ascii="宋体" w:hAnsi="宋体" w:cs="宋体"/>
          <w:sz w:val="24"/>
          <w:highlight w:val="none"/>
        </w:rPr>
        <w:t>本公司（</w:t>
      </w:r>
      <w:r>
        <w:rPr>
          <w:rFonts w:hint="eastAsia" w:ascii="宋体" w:hAnsi="宋体" w:cs="宋体"/>
          <w:sz w:val="24"/>
          <w:highlight w:val="none"/>
          <w:u w:val="single"/>
        </w:rPr>
        <w:t>联合体</w:t>
      </w:r>
      <w:r>
        <w:rPr>
          <w:rFonts w:hint="eastAsia" w:ascii="宋体" w:hAnsi="宋体" w:cs="宋体"/>
          <w:sz w:val="24"/>
          <w:highlight w:val="none"/>
        </w:rPr>
        <w:t>）郑重声明，根据《政府采购促进中小企业发展管理办法》（财库﹝2020﹞46 号）的规定，本公司（</w:t>
      </w:r>
      <w:r>
        <w:rPr>
          <w:rFonts w:hint="eastAsia" w:ascii="宋体" w:hAnsi="宋体" w:cs="宋体"/>
          <w:sz w:val="24"/>
          <w:highlight w:val="none"/>
          <w:u w:val="single"/>
        </w:rPr>
        <w:t>联合体</w:t>
      </w:r>
      <w:r>
        <w:rPr>
          <w:rFonts w:hint="eastAsia" w:ascii="宋体" w:hAnsi="宋体" w:cs="宋体"/>
          <w:sz w:val="24"/>
          <w:highlight w:val="none"/>
        </w:rPr>
        <w:t xml:space="preserve">）参加 </w:t>
      </w:r>
      <w:r>
        <w:rPr>
          <w:rFonts w:hint="eastAsia" w:ascii="宋体" w:hAnsi="宋体" w:cs="宋体"/>
          <w:sz w:val="24"/>
          <w:highlight w:val="none"/>
          <w:u w:val="single"/>
          <w:lang w:eastAsia="zh-CN"/>
        </w:rPr>
        <w:t>杭州市西湖区数据资源管理局</w:t>
      </w:r>
      <w:r>
        <w:rPr>
          <w:rFonts w:hint="eastAsia" w:ascii="宋体" w:hAnsi="宋体" w:cs="宋体"/>
          <w:sz w:val="24"/>
          <w:highlight w:val="none"/>
          <w:u w:val="single"/>
        </w:rPr>
        <w:t xml:space="preserve"> </w:t>
      </w:r>
      <w:r>
        <w:rPr>
          <w:rFonts w:hint="eastAsia" w:ascii="宋体" w:hAnsi="宋体" w:cs="宋体"/>
          <w:sz w:val="24"/>
          <w:highlight w:val="none"/>
        </w:rPr>
        <w:t>的</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杭州市西湖区电子政务整体安全体系改造提升（2022）项目</w:t>
      </w:r>
      <w:r>
        <w:rPr>
          <w:rFonts w:hint="eastAsia" w:ascii="宋体" w:hAnsi="宋体" w:cs="宋体"/>
          <w:sz w:val="24"/>
          <w:highlight w:val="none"/>
          <w:u w:val="single"/>
        </w:rPr>
        <w:t xml:space="preserve"> </w:t>
      </w:r>
      <w:r>
        <w:rPr>
          <w:rFonts w:hint="eastAsia" w:ascii="宋体" w:hAnsi="宋体" w:cs="宋体"/>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w:t>
      </w:r>
      <w:r>
        <w:rPr>
          <w:rFonts w:hint="eastAsia" w:ascii="宋体" w:hAnsi="宋体" w:cs="宋体"/>
          <w:highlight w:val="none"/>
        </w:rPr>
        <w:t xml:space="preserve"> </w:t>
      </w:r>
      <w:r>
        <w:rPr>
          <w:rFonts w:hint="eastAsia" w:ascii="宋体" w:hAnsi="宋体" w:cs="宋体"/>
          <w:sz w:val="24"/>
          <w:highlight w:val="none"/>
          <w:u w:val="single"/>
        </w:rPr>
        <w:t>（标的名称）</w:t>
      </w:r>
      <w:r>
        <w:rPr>
          <w:rFonts w:hint="eastAsia" w:ascii="宋体" w:hAnsi="宋体" w:cs="宋体"/>
          <w:sz w:val="24"/>
          <w:highlight w:val="none"/>
        </w:rPr>
        <w:t xml:space="preserve">，属于 </w:t>
      </w:r>
      <w:r>
        <w:rPr>
          <w:rFonts w:hint="eastAsia" w:ascii="宋体" w:hAnsi="宋体" w:cs="宋体"/>
          <w:sz w:val="24"/>
          <w:highlight w:val="none"/>
          <w:u w:val="single"/>
        </w:rPr>
        <w:t>（采购文件中明确的所属行业）</w:t>
      </w:r>
      <w:r>
        <w:rPr>
          <w:rFonts w:hint="eastAsia" w:ascii="宋体" w:hAnsi="宋体" w:cs="宋体"/>
          <w:sz w:val="24"/>
          <w:highlight w:val="none"/>
        </w:rPr>
        <w:t xml:space="preserve"> ；承建（承接）企业为 </w:t>
      </w:r>
      <w:r>
        <w:rPr>
          <w:rFonts w:hint="eastAsia" w:ascii="宋体" w:hAnsi="宋体" w:cs="宋体"/>
          <w:sz w:val="24"/>
          <w:highlight w:val="none"/>
          <w:u w:val="single"/>
        </w:rPr>
        <w:t>（企业名称）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 </w:t>
      </w: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spacing w:line="360" w:lineRule="auto"/>
        <w:ind w:right="1760"/>
        <w:jc w:val="right"/>
        <w:rPr>
          <w:rFonts w:ascii="宋体" w:hAnsi="宋体" w:cs="宋体"/>
          <w:sz w:val="24"/>
          <w:highlight w:val="none"/>
        </w:rPr>
      </w:pPr>
      <w:r>
        <w:rPr>
          <w:rFonts w:hint="eastAsia" w:ascii="宋体" w:hAnsi="宋体" w:cs="宋体"/>
          <w:sz w:val="24"/>
          <w:highlight w:val="none"/>
        </w:rPr>
        <w:t>投标人名称（电子签名）：</w:t>
      </w:r>
    </w:p>
    <w:p>
      <w:pPr>
        <w:spacing w:line="360" w:lineRule="auto"/>
        <w:ind w:right="1120" w:firstLine="4680" w:firstLineChars="1950"/>
        <w:rPr>
          <w:rFonts w:ascii="宋体" w:hAnsi="宋体" w:cs="宋体"/>
          <w:sz w:val="24"/>
          <w:highlight w:val="none"/>
        </w:rPr>
      </w:pPr>
      <w:r>
        <w:rPr>
          <w:rFonts w:hint="eastAsia" w:ascii="宋体" w:hAnsi="宋体" w:cs="宋体"/>
          <w:sz w:val="24"/>
          <w:highlight w:val="none"/>
        </w:rPr>
        <w:t>日 期：</w:t>
      </w:r>
    </w:p>
    <w:p>
      <w:pPr>
        <w:spacing w:line="360" w:lineRule="auto"/>
        <w:ind w:firstLine="310" w:firstLineChars="147"/>
        <w:jc w:val="left"/>
        <w:rPr>
          <w:rFonts w:ascii="宋体" w:hAnsi="宋体" w:cs="宋体"/>
          <w:b/>
          <w:szCs w:val="21"/>
          <w:highlight w:val="none"/>
        </w:rPr>
      </w:pPr>
      <w:r>
        <w:rPr>
          <w:rFonts w:hint="eastAsia" w:ascii="宋体" w:hAnsi="宋体" w:cs="宋体"/>
          <w:b/>
          <w:szCs w:val="21"/>
          <w:highlight w:val="none"/>
        </w:rPr>
        <w:t>从业人员、营业收入、资产总额填报上一年度数据，无上一年度数据的新成立企业可不填报。</w:t>
      </w:r>
    </w:p>
    <w:p>
      <w:pPr>
        <w:spacing w:line="360" w:lineRule="auto"/>
        <w:ind w:right="420"/>
        <w:rPr>
          <w:rFonts w:ascii="宋体" w:hAnsi="宋体" w:cs="宋体"/>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w:t>
      </w:r>
      <w:r>
        <w:rPr>
          <w:rFonts w:hint="eastAsia" w:ascii="宋体" w:hAnsi="宋体" w:cs="宋体"/>
          <w:b/>
          <w:bCs/>
          <w:color w:val="auto"/>
          <w:sz w:val="24"/>
          <w:highlight w:val="none"/>
        </w:rPr>
        <w:t>逐一填写，不得缺漏</w:t>
      </w:r>
      <w:r>
        <w:rPr>
          <w:rFonts w:hint="eastAsia" w:ascii="宋体" w:hAnsi="宋体" w:cs="宋体"/>
          <w:color w:val="auto"/>
          <w:sz w:val="24"/>
          <w:highlight w:val="none"/>
        </w:rPr>
        <w:t>；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highlight w:val="none"/>
        </w:rPr>
      </w:pPr>
      <w:r>
        <w:rPr>
          <w:rFonts w:hint="eastAsia" w:ascii="宋体" w:hAnsi="宋体" w:cs="宋体"/>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宋体" w:hAnsi="宋体" w:eastAsia="宋体" w:cs="宋体"/>
          <w:highlight w:val="none"/>
          <w:lang w:val="en-US"/>
        </w:rPr>
      </w:pPr>
    </w:p>
    <w:p>
      <w:pPr>
        <w:spacing w:line="360" w:lineRule="auto"/>
        <w:ind w:right="420"/>
        <w:rPr>
          <w:rFonts w:ascii="宋体" w:hAnsi="宋体" w:cs="宋体"/>
          <w:highlight w:val="none"/>
        </w:rPr>
      </w:pPr>
    </w:p>
    <w:p>
      <w:pPr>
        <w:spacing w:line="360" w:lineRule="auto"/>
        <w:rPr>
          <w:rFonts w:ascii="宋体" w:hAnsi="宋体" w:cs="宋体"/>
          <w:bCs/>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411" w:name="_Toc36110187"/>
    <w:bookmarkStart w:id="412" w:name="_Toc91899912"/>
    <w:bookmarkStart w:id="413" w:name="_Toc164085800"/>
    <w:bookmarkStart w:id="414" w:name="_Toc131845147"/>
    <w:r>
      <w:rPr>
        <w:rFonts w:hint="eastAsia" w:ascii="仿宋_GB2312" w:eastAsia="仿宋_GB2312"/>
        <w:kern w:val="0"/>
        <w:szCs w:val="21"/>
      </w:rPr>
      <w:t xml:space="preserve"> 页</w:t>
    </w:r>
    <w:bookmarkEnd w:id="411"/>
    <w:bookmarkEnd w:id="412"/>
    <w:bookmarkEnd w:id="413"/>
    <w:bookmarkEnd w:id="4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rPr>
        <w:rFonts w:hint="eastAsia" w:eastAsia="宋体"/>
        <w:lang w:eastAsia="zh-CN"/>
      </w:rPr>
    </w:pPr>
    <w:r>
      <w:t></w:t>
    </w:r>
    <w:r>
      <w:rPr>
        <w:rFonts w:hint="eastAsia"/>
      </w:rPr>
      <w:t xml:space="preserve">       </w:t>
    </w:r>
    <w:r>
      <w:rPr>
        <w:rFonts w:hint="eastAsia"/>
        <w:lang w:eastAsia="zh-CN"/>
      </w:rPr>
      <w:t>杭州市西湖区政府采购公开招标文件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t></w:t>
    </w:r>
    <w:r>
      <w:rPr>
        <w:rFonts w:hint="eastAsia"/>
      </w:rPr>
      <w:t xml:space="preserve">                         </w:t>
    </w:r>
    <w:r>
      <w:rPr>
        <w:rFonts w:hint="eastAsia"/>
        <w:lang w:eastAsia="zh-CN"/>
      </w:rPr>
      <w:t>杭州市西湖区政府采购公开招标文件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杭州市西湖区政府采购公开招标文件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ascii="仿宋_GB2312" w:eastAsia="宋体"/>
        <w:b/>
        <w:i/>
        <w:u w:val="single"/>
        <w:lang w:eastAsia="zh-CN"/>
      </w:rPr>
    </w:pPr>
    <w:r>
      <w:t></w:t>
    </w:r>
    <w:r>
      <w:rPr>
        <w:rFonts w:hint="eastAsia"/>
      </w:rPr>
      <w:t xml:space="preserve">                                                </w:t>
    </w:r>
    <w:r>
      <w:rPr>
        <w:rFonts w:hint="eastAsia"/>
        <w:lang w:val="en-US" w:eastAsia="zh-CN"/>
      </w:rPr>
      <w:t xml:space="preserve">              </w:t>
    </w:r>
    <w:r>
      <w:rPr>
        <w:rFonts w:hint="eastAsia"/>
        <w:lang w:eastAsia="zh-CN"/>
      </w:rPr>
      <w:t>杭州市西湖区政府采购公开招标文件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eastAsia="宋体"/>
        <w:lang w:eastAsia="zh-CN"/>
      </w:rPr>
    </w:pPr>
    <w:r>
      <w:rPr>
        <w:rFonts w:hint="eastAsia"/>
        <w:lang w:val="en-US" w:eastAsia="zh-CN"/>
      </w:rPr>
      <w:t xml:space="preserve">                                                                </w:t>
    </w:r>
    <w:r>
      <w:rPr>
        <w:rFonts w:hint="eastAsia"/>
      </w:rPr>
      <w:t xml:space="preserve"> </w:t>
    </w:r>
    <w:r>
      <w:rPr>
        <w:rFonts w:hint="eastAsia"/>
        <w:lang w:eastAsia="zh-CN"/>
      </w:rPr>
      <w:t>杭州市西湖区政府采购公开招标文件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rPr>
        <w:rFonts w:hint="eastAsia" w:ascii="仿宋_GB2312" w:eastAsia="宋体"/>
        <w:b/>
        <w:i/>
        <w:u w:val="single"/>
        <w:lang w:eastAsia="zh-CN"/>
      </w:rPr>
    </w:pPr>
    <w:r>
      <w:t></w:t>
    </w:r>
    <w:r>
      <w:rPr>
        <w:rFonts w:hint="eastAsia"/>
      </w:rPr>
      <w:t xml:space="preserve">                          </w:t>
    </w:r>
    <w:r>
      <w:rPr>
        <w:rFonts w:hint="eastAsia"/>
        <w:lang w:eastAsia="zh-CN"/>
      </w:rPr>
      <w:t>杭州市西湖区政府采购公开招标文件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eastAsia="宋体"/>
        <w:lang w:eastAsia="zh-CN"/>
      </w:rPr>
    </w:pPr>
    <w:r>
      <w:t></w:t>
    </w:r>
    <w:r>
      <w:rPr>
        <w:rFonts w:hint="eastAsia"/>
      </w:rPr>
      <w:t xml:space="preserve">       </w:t>
    </w:r>
    <w:r>
      <w:t xml:space="preserve">                                </w:t>
    </w:r>
    <w:r>
      <w:rPr>
        <w:rFonts w:hint="eastAsia"/>
      </w:rPr>
      <w:t xml:space="preserve">        </w:t>
    </w:r>
    <w:r>
      <w:rPr>
        <w:rFonts w:hint="eastAsia"/>
        <w:lang w:val="en-US" w:eastAsia="zh-CN"/>
      </w:rPr>
      <w:t xml:space="preserve">                </w:t>
    </w:r>
    <w:r>
      <w:rPr>
        <w:rFonts w:hint="eastAsia"/>
        <w:lang w:eastAsia="zh-CN"/>
      </w:rPr>
      <w:t>杭州市西湖区政府采购公开招标文件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_GB2312" w:eastAsia="宋体"/>
        <w:b/>
        <w:i/>
        <w:u w:val="single"/>
        <w:lang w:eastAsia="zh-CN"/>
      </w:rPr>
    </w:pPr>
    <w:r>
      <w:rPr>
        <w:rFonts w:hint="eastAsia"/>
      </w:rPr>
      <w:t xml:space="preserve">                                  </w:t>
    </w:r>
    <w:r>
      <w:rPr>
        <w:rFonts w:hint="eastAsia"/>
        <w:lang w:eastAsia="zh-CN"/>
      </w:rPr>
      <w:t>杭州市西湖区政府采购公开招标文件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rPr>
        <w:rFonts w:hint="eastAsia"/>
      </w:rPr>
      <w:t xml:space="preserve">     </w:t>
    </w:r>
    <w:r>
      <w:rPr>
        <w:rFonts w:hint="eastAsia"/>
        <w:lang w:val="en-US" w:eastAsia="zh-CN"/>
      </w:rPr>
      <w:t xml:space="preserve">                                                              </w:t>
    </w:r>
    <w:r>
      <w:rPr>
        <w:rFonts w:hint="eastAsia"/>
      </w:rPr>
      <w:t xml:space="preserve"> </w:t>
    </w:r>
    <w:r>
      <w:rPr>
        <w:rFonts w:hint="eastAsia"/>
        <w:lang w:eastAsia="zh-CN"/>
      </w:rPr>
      <w:t>杭州市西湖区政府采购公开招标文件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_GB2312" w:eastAsia="宋体"/>
        <w:b/>
        <w:i/>
        <w:iCs/>
        <w:u w:val="single"/>
        <w:lang w:eastAsia="zh-CN"/>
      </w:rPr>
    </w:pPr>
    <w:r>
      <w:t></w:t>
    </w:r>
    <w:r>
      <w:rPr>
        <w:rFonts w:hint="eastAsia"/>
        <w:lang w:eastAsia="zh-CN"/>
      </w:rPr>
      <w:t>杭州市西湖区政府采购公开招标文件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OGY0OTAyMWVjYjdhMDA4ZjM1NTI1Y2FiMzYzZj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E68F0"/>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5C92080"/>
    <w:rsid w:val="060E5941"/>
    <w:rsid w:val="06110FAF"/>
    <w:rsid w:val="06493CA7"/>
    <w:rsid w:val="065A6178"/>
    <w:rsid w:val="066F1CF3"/>
    <w:rsid w:val="06930BB8"/>
    <w:rsid w:val="07245D42"/>
    <w:rsid w:val="07264C62"/>
    <w:rsid w:val="0779354C"/>
    <w:rsid w:val="08061376"/>
    <w:rsid w:val="08452D77"/>
    <w:rsid w:val="086401F8"/>
    <w:rsid w:val="08751CAA"/>
    <w:rsid w:val="087E4C40"/>
    <w:rsid w:val="08800031"/>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7347CD"/>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092C83"/>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373542"/>
    <w:rsid w:val="10646583"/>
    <w:rsid w:val="107D4B15"/>
    <w:rsid w:val="108A3C80"/>
    <w:rsid w:val="10C26171"/>
    <w:rsid w:val="10F33360"/>
    <w:rsid w:val="10FC16EA"/>
    <w:rsid w:val="110F1D40"/>
    <w:rsid w:val="11266F33"/>
    <w:rsid w:val="118963A1"/>
    <w:rsid w:val="119277D1"/>
    <w:rsid w:val="11C6522A"/>
    <w:rsid w:val="11E104CC"/>
    <w:rsid w:val="11E20309"/>
    <w:rsid w:val="12083425"/>
    <w:rsid w:val="12255233"/>
    <w:rsid w:val="1229392E"/>
    <w:rsid w:val="12530213"/>
    <w:rsid w:val="127723A9"/>
    <w:rsid w:val="12862074"/>
    <w:rsid w:val="12883966"/>
    <w:rsid w:val="128F1B60"/>
    <w:rsid w:val="129E45B4"/>
    <w:rsid w:val="12D81596"/>
    <w:rsid w:val="13072A44"/>
    <w:rsid w:val="135F4BE2"/>
    <w:rsid w:val="136F6164"/>
    <w:rsid w:val="139B1A0A"/>
    <w:rsid w:val="139D25C7"/>
    <w:rsid w:val="13BF3CE4"/>
    <w:rsid w:val="141008D8"/>
    <w:rsid w:val="14124ABF"/>
    <w:rsid w:val="14125FE6"/>
    <w:rsid w:val="146D271E"/>
    <w:rsid w:val="14982588"/>
    <w:rsid w:val="149A5AD9"/>
    <w:rsid w:val="14A7619D"/>
    <w:rsid w:val="150536C3"/>
    <w:rsid w:val="150C1963"/>
    <w:rsid w:val="151447A0"/>
    <w:rsid w:val="154A6454"/>
    <w:rsid w:val="15762120"/>
    <w:rsid w:val="163C40C7"/>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B22835"/>
    <w:rsid w:val="1FE868A9"/>
    <w:rsid w:val="20034907"/>
    <w:rsid w:val="20173E4B"/>
    <w:rsid w:val="204E48BC"/>
    <w:rsid w:val="208921B3"/>
    <w:rsid w:val="20973DEB"/>
    <w:rsid w:val="20B26522"/>
    <w:rsid w:val="20B44310"/>
    <w:rsid w:val="20D73C18"/>
    <w:rsid w:val="211116EB"/>
    <w:rsid w:val="216133FC"/>
    <w:rsid w:val="21912524"/>
    <w:rsid w:val="21D56769"/>
    <w:rsid w:val="21E52EF3"/>
    <w:rsid w:val="21FB5D7B"/>
    <w:rsid w:val="22015E94"/>
    <w:rsid w:val="220B1C3D"/>
    <w:rsid w:val="221D1D20"/>
    <w:rsid w:val="22334A87"/>
    <w:rsid w:val="22BE6801"/>
    <w:rsid w:val="23045B0C"/>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477D2E"/>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822C0"/>
    <w:rsid w:val="34AF62C9"/>
    <w:rsid w:val="34CB4388"/>
    <w:rsid w:val="34FA6E12"/>
    <w:rsid w:val="352C3611"/>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AE73652"/>
    <w:rsid w:val="3B2349B7"/>
    <w:rsid w:val="3B616CFF"/>
    <w:rsid w:val="3B6259F6"/>
    <w:rsid w:val="3B7958D0"/>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07E4E"/>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B7084"/>
    <w:rsid w:val="42FE58DD"/>
    <w:rsid w:val="43174B3D"/>
    <w:rsid w:val="434B790E"/>
    <w:rsid w:val="4360274F"/>
    <w:rsid w:val="43977AB6"/>
    <w:rsid w:val="43A3342B"/>
    <w:rsid w:val="43A95FB2"/>
    <w:rsid w:val="43C77C27"/>
    <w:rsid w:val="43CC211F"/>
    <w:rsid w:val="43DE09EE"/>
    <w:rsid w:val="44002FAD"/>
    <w:rsid w:val="440B31F2"/>
    <w:rsid w:val="449101DD"/>
    <w:rsid w:val="44B2171A"/>
    <w:rsid w:val="44DE1391"/>
    <w:rsid w:val="451B225C"/>
    <w:rsid w:val="452410C9"/>
    <w:rsid w:val="45317DFB"/>
    <w:rsid w:val="456D3CE4"/>
    <w:rsid w:val="4579042C"/>
    <w:rsid w:val="457F0571"/>
    <w:rsid w:val="45851176"/>
    <w:rsid w:val="45C63B94"/>
    <w:rsid w:val="460342C5"/>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24528A"/>
    <w:rsid w:val="495F5B3E"/>
    <w:rsid w:val="496F77D7"/>
    <w:rsid w:val="497654FD"/>
    <w:rsid w:val="49AF0690"/>
    <w:rsid w:val="49B64211"/>
    <w:rsid w:val="49F6167F"/>
    <w:rsid w:val="49F6760F"/>
    <w:rsid w:val="4A064FA0"/>
    <w:rsid w:val="4A16615C"/>
    <w:rsid w:val="4A4424D7"/>
    <w:rsid w:val="4AB82D0F"/>
    <w:rsid w:val="4AE75728"/>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370AC0"/>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39932E3"/>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501BF8"/>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979C5"/>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702467"/>
    <w:rsid w:val="5F8D0B82"/>
    <w:rsid w:val="5FC60053"/>
    <w:rsid w:val="5FCC5339"/>
    <w:rsid w:val="5FE34A5B"/>
    <w:rsid w:val="5FFE1E36"/>
    <w:rsid w:val="60232584"/>
    <w:rsid w:val="607330CE"/>
    <w:rsid w:val="60825176"/>
    <w:rsid w:val="60931D4C"/>
    <w:rsid w:val="609F2AC4"/>
    <w:rsid w:val="60FA2EE8"/>
    <w:rsid w:val="61054A27"/>
    <w:rsid w:val="610A52BC"/>
    <w:rsid w:val="611D2366"/>
    <w:rsid w:val="61421856"/>
    <w:rsid w:val="615227C4"/>
    <w:rsid w:val="61654E3F"/>
    <w:rsid w:val="6182292A"/>
    <w:rsid w:val="619F7F92"/>
    <w:rsid w:val="61F94C26"/>
    <w:rsid w:val="62000E56"/>
    <w:rsid w:val="62364204"/>
    <w:rsid w:val="624F3E49"/>
    <w:rsid w:val="62632286"/>
    <w:rsid w:val="62885958"/>
    <w:rsid w:val="62AA4C0D"/>
    <w:rsid w:val="62F40B65"/>
    <w:rsid w:val="62FC2CFE"/>
    <w:rsid w:val="63024505"/>
    <w:rsid w:val="635600A5"/>
    <w:rsid w:val="635B1DB5"/>
    <w:rsid w:val="63711FED"/>
    <w:rsid w:val="63880DDC"/>
    <w:rsid w:val="638D750D"/>
    <w:rsid w:val="63AC6CC0"/>
    <w:rsid w:val="64055776"/>
    <w:rsid w:val="64240056"/>
    <w:rsid w:val="643E143A"/>
    <w:rsid w:val="64491666"/>
    <w:rsid w:val="648B6EEF"/>
    <w:rsid w:val="64A66274"/>
    <w:rsid w:val="64C158BF"/>
    <w:rsid w:val="64CE2EAA"/>
    <w:rsid w:val="64EB5714"/>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5629B"/>
    <w:rsid w:val="693E15D3"/>
    <w:rsid w:val="6957023B"/>
    <w:rsid w:val="69627681"/>
    <w:rsid w:val="6977531D"/>
    <w:rsid w:val="69CC2BFF"/>
    <w:rsid w:val="69FD55B8"/>
    <w:rsid w:val="6A0B1C62"/>
    <w:rsid w:val="6A1B444A"/>
    <w:rsid w:val="6A2406C8"/>
    <w:rsid w:val="6A2825D4"/>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4B1D6B"/>
    <w:rsid w:val="6D9078AF"/>
    <w:rsid w:val="6DAA3FEF"/>
    <w:rsid w:val="6DC0172B"/>
    <w:rsid w:val="6DCB690C"/>
    <w:rsid w:val="6DD41A5B"/>
    <w:rsid w:val="6DF43C2E"/>
    <w:rsid w:val="6DF51CA3"/>
    <w:rsid w:val="6E8335BD"/>
    <w:rsid w:val="6E8E12EF"/>
    <w:rsid w:val="6E972936"/>
    <w:rsid w:val="6ED446C5"/>
    <w:rsid w:val="6F285251"/>
    <w:rsid w:val="6F2A7D94"/>
    <w:rsid w:val="6F8331F1"/>
    <w:rsid w:val="6FAE1A09"/>
    <w:rsid w:val="6FD75BF8"/>
    <w:rsid w:val="707723D0"/>
    <w:rsid w:val="709D571E"/>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8B5216"/>
    <w:rsid w:val="749C4185"/>
    <w:rsid w:val="75067759"/>
    <w:rsid w:val="752E6DCD"/>
    <w:rsid w:val="7551380D"/>
    <w:rsid w:val="75600BE5"/>
    <w:rsid w:val="75613F17"/>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14880"/>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41F0D"/>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3354"/>
    <w:rsid w:val="7CE27788"/>
    <w:rsid w:val="7D0C32F1"/>
    <w:rsid w:val="7D0F408D"/>
    <w:rsid w:val="7D491C6C"/>
    <w:rsid w:val="7D5429C0"/>
    <w:rsid w:val="7D6E6D43"/>
    <w:rsid w:val="7DB57A34"/>
    <w:rsid w:val="7DE60973"/>
    <w:rsid w:val="7DEF0916"/>
    <w:rsid w:val="7E1E5218"/>
    <w:rsid w:val="7E9A4E1F"/>
    <w:rsid w:val="7EA7723A"/>
    <w:rsid w:val="7EF56FBB"/>
    <w:rsid w:val="7F0768EB"/>
    <w:rsid w:val="7F0B1CEE"/>
    <w:rsid w:val="7F143BEC"/>
    <w:rsid w:val="7F715AF2"/>
    <w:rsid w:val="7F8374FF"/>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18"/>
    <w:qFormat/>
    <w:uiPriority w:val="0"/>
    <w:pPr>
      <w:ind w:firstLine="420"/>
    </w:pPr>
    <w:rPr>
      <w:rFonts w:hAnsi="Calibri" w:cs="Times New Roman"/>
      <w:snapToGrid/>
      <w:szCs w:val="20"/>
    </w:rPr>
  </w:style>
  <w:style w:type="paragraph" w:styleId="25">
    <w:name w:val="Body Text Indent"/>
    <w:basedOn w:val="1"/>
    <w:next w:val="26"/>
    <w:link w:val="262"/>
    <w:qFormat/>
    <w:uiPriority w:val="0"/>
    <w:pPr>
      <w:spacing w:line="480" w:lineRule="exact"/>
      <w:ind w:firstLine="480" w:firstLineChars="200"/>
    </w:pPr>
    <w:rPr>
      <w:rFonts w:ascii="宋体" w:hAnsi="宋体"/>
      <w:sz w:val="24"/>
    </w:rPr>
  </w:style>
  <w:style w:type="paragraph" w:styleId="26">
    <w:name w:val="Body Text First Indent 2"/>
    <w:basedOn w:val="25"/>
    <w:link w:val="118"/>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5"/>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26"/>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8"/>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3"/>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7"/>
    <w:qFormat/>
    <w:uiPriority w:val="0"/>
    <w:rPr>
      <w:rFonts w:ascii="宋体"/>
      <w:kern w:val="2"/>
      <w:sz w:val="24"/>
      <w:szCs w:val="21"/>
      <w:lang w:val="zh-CN"/>
    </w:rPr>
  </w:style>
  <w:style w:type="character" w:customStyle="1" w:styleId="179">
    <w:name w:val="标题 9 字符"/>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40"/>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2"/>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8"/>
    <w:qFormat/>
    <w:uiPriority w:val="0"/>
    <w:rPr>
      <w:rFonts w:ascii="黑体" w:hAnsi="Courier New" w:eastAsia="黑体"/>
    </w:rPr>
  </w:style>
  <w:style w:type="character" w:customStyle="1" w:styleId="299">
    <w:name w:val="正文文本 2 字符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9"/>
    <w:qFormat/>
    <w:uiPriority w:val="0"/>
    <w:rPr>
      <w:b/>
      <w:bCs/>
      <w:kern w:val="2"/>
      <w:sz w:val="24"/>
      <w:szCs w:val="24"/>
    </w:rPr>
  </w:style>
  <w:style w:type="character" w:customStyle="1" w:styleId="305">
    <w:name w:val="正文文本缩进 2 字符"/>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文本首行缩进 字符"/>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19"/>
    <w:qFormat/>
    <w:uiPriority w:val="0"/>
    <w:rPr>
      <w:kern w:val="2"/>
      <w:sz w:val="21"/>
      <w:szCs w:val="24"/>
    </w:rPr>
  </w:style>
  <w:style w:type="character" w:customStyle="1" w:styleId="342">
    <w:name w:val="签名 字符"/>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3"/>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2"/>
    <w:qFormat/>
    <w:uiPriority w:val="0"/>
    <w:pPr>
      <w:tabs>
        <w:tab w:val="left" w:pos="840"/>
      </w:tabs>
      <w:adjustRightInd/>
      <w:ind w:left="840" w:hanging="420"/>
    </w:pPr>
  </w:style>
  <w:style w:type="paragraph" w:customStyle="1" w:styleId="623">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2"/>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9"/>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99</Pages>
  <Words>61724</Words>
  <Characters>65693</Characters>
  <Lines>354</Lines>
  <Paragraphs>99</Paragraphs>
  <TotalTime>5</TotalTime>
  <ScaleCrop>false</ScaleCrop>
  <LinksUpToDate>false</LinksUpToDate>
  <CharactersWithSpaces>70860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杳</cp:lastModifiedBy>
  <cp:lastPrinted>2021-12-27T03:06:00Z</cp:lastPrinted>
  <dcterms:modified xsi:type="dcterms:W3CDTF">2022-08-23T07:07:01Z</dcterms:modified>
  <dc:title>杭州市市民卡扩大发卡工程</dc:title>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904946E793CF4456B992E209505C88FB</vt:lpwstr>
  </property>
</Properties>
</file>