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color w:val="auto"/>
          <w:sz w:val="24"/>
          <w:highlight w:val="none"/>
        </w:rPr>
      </w:pPr>
    </w:p>
    <w:p>
      <w:pPr>
        <w:spacing w:line="360" w:lineRule="auto"/>
        <w:jc w:val="center"/>
        <w:rPr>
          <w:rFonts w:hint="eastAsia" w:ascii="仿宋_GB2312" w:hAnsi="仿宋_GB2312" w:eastAsia="仿宋_GB2312" w:cs="仿宋_GB2312"/>
          <w:b/>
          <w:color w:val="auto"/>
          <w:sz w:val="24"/>
          <w:highlight w:val="none"/>
        </w:rPr>
      </w:pPr>
    </w:p>
    <w:p>
      <w:pPr>
        <w:adjustRightInd/>
        <w:spacing w:line="360" w:lineRule="auto"/>
        <w:jc w:val="center"/>
        <w:rPr>
          <w:rFonts w:hint="eastAsia" w:ascii="仿宋_GB2312" w:hAnsi="仿宋_GB2312" w:eastAsia="仿宋_GB2312" w:cs="仿宋_GB2312"/>
          <w:b/>
          <w:color w:val="auto"/>
          <w:sz w:val="48"/>
          <w:szCs w:val="48"/>
          <w:highlight w:val="none"/>
          <w:lang w:eastAsia="zh-CN"/>
        </w:rPr>
      </w:pPr>
      <w:r>
        <w:rPr>
          <w:rFonts w:hint="eastAsia" w:ascii="仿宋_GB2312" w:hAnsi="仿宋_GB2312" w:eastAsia="仿宋_GB2312" w:cs="仿宋_GB2312"/>
          <w:b/>
          <w:color w:val="auto"/>
          <w:sz w:val="48"/>
          <w:szCs w:val="48"/>
          <w:highlight w:val="none"/>
          <w:lang w:eastAsia="zh-CN"/>
        </w:rPr>
        <w:t>数字城管信息采集服务外包项目</w:t>
      </w:r>
    </w:p>
    <w:p>
      <w:pPr>
        <w:adjustRightInd/>
        <w:spacing w:line="360" w:lineRule="auto"/>
        <w:jc w:val="center"/>
        <w:rPr>
          <w:rFonts w:hint="eastAsia"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rPr>
        <w:t>招标文件（试行）</w:t>
      </w:r>
    </w:p>
    <w:p>
      <w:pPr>
        <w:adjustRightInd/>
        <w:spacing w:line="36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 xml:space="preserve"> （电子招投标）</w:t>
      </w:r>
    </w:p>
    <w:p>
      <w:pPr>
        <w:snapToGrid w:val="0"/>
        <w:spacing w:line="360" w:lineRule="auto"/>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编号: （</w:t>
      </w:r>
      <w:r>
        <w:rPr>
          <w:rFonts w:hint="eastAsia" w:ascii="仿宋_GB2312" w:hAnsi="仿宋_GB2312" w:eastAsia="仿宋_GB2312" w:cs="仿宋_GB2312"/>
          <w:color w:val="auto"/>
          <w:sz w:val="30"/>
          <w:szCs w:val="30"/>
          <w:highlight w:val="none"/>
          <w:lang w:eastAsia="zh-CN"/>
        </w:rPr>
        <w:t>HX2022025</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w:t>
      </w:r>
    </w:p>
    <w:p>
      <w:pPr>
        <w:adjustRightInd/>
        <w:spacing w:line="360" w:lineRule="auto"/>
        <w:jc w:val="center"/>
        <w:rPr>
          <w:rFonts w:hint="eastAsia" w:ascii="仿宋_GB2312" w:hAnsi="仿宋_GB2312" w:eastAsia="仿宋_GB2312" w:cs="仿宋_GB2312"/>
          <w:color w:val="auto"/>
          <w:sz w:val="28"/>
          <w:szCs w:val="20"/>
          <w:highlight w:val="none"/>
          <w:lang w:val="en-US" w:eastAsia="zh-CN"/>
        </w:rPr>
      </w:pPr>
      <w:r>
        <w:rPr>
          <w:rFonts w:hint="eastAsia" w:ascii="仿宋_GB2312" w:hAnsi="仿宋_GB2312" w:eastAsia="仿宋_GB2312" w:cs="仿宋_GB2312"/>
          <w:color w:val="auto"/>
          <w:sz w:val="28"/>
          <w:szCs w:val="20"/>
          <w:highlight w:val="none"/>
          <w:lang w:val="en-US" w:eastAsia="zh-CN"/>
        </w:rPr>
        <w:t xml:space="preserve">  </w:t>
      </w:r>
    </w:p>
    <w:p>
      <w:pPr>
        <w:pStyle w:val="4"/>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4"/>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4"/>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4"/>
        <w:rPr>
          <w:rFonts w:hint="eastAsia" w:ascii="仿宋_GB2312" w:hAnsi="仿宋_GB2312" w:eastAsia="仿宋_GB2312" w:cs="仿宋_GB2312"/>
          <w:color w:val="auto"/>
          <w:sz w:val="28"/>
          <w:szCs w:val="20"/>
          <w:highlight w:val="none"/>
          <w:lang w:val="en-US" w:eastAsia="zh-CN"/>
        </w:rPr>
      </w:pPr>
    </w:p>
    <w:p>
      <w:pPr>
        <w:rPr>
          <w:rFonts w:hint="eastAsia" w:ascii="仿宋_GB2312" w:hAnsi="仿宋_GB2312" w:eastAsia="仿宋_GB2312" w:cs="仿宋_GB2312"/>
          <w:color w:val="auto"/>
          <w:sz w:val="28"/>
          <w:szCs w:val="20"/>
          <w:highlight w:val="none"/>
          <w:lang w:val="en-US" w:eastAsia="zh-CN"/>
        </w:rPr>
      </w:pPr>
    </w:p>
    <w:p>
      <w:pPr>
        <w:pStyle w:val="4"/>
        <w:rPr>
          <w:rFonts w:hint="default"/>
          <w:color w:val="auto"/>
          <w:highlight w:val="none"/>
          <w:lang w:val="en-US" w:eastAsia="zh-CN"/>
        </w:rPr>
      </w:pPr>
    </w:p>
    <w:p>
      <w:pPr>
        <w:spacing w:line="360" w:lineRule="auto"/>
        <w:jc w:val="center"/>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32"/>
          <w:szCs w:val="32"/>
          <w:highlight w:val="none"/>
        </w:rPr>
      </w:pPr>
    </w:p>
    <w:p>
      <w:pPr>
        <w:snapToGrid w:val="0"/>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采购人：</w:t>
      </w:r>
      <w:r>
        <w:rPr>
          <w:rFonts w:hint="eastAsia" w:ascii="仿宋_GB2312" w:hAnsi="仿宋_GB2312" w:eastAsia="仿宋_GB2312" w:cs="仿宋_GB2312"/>
          <w:color w:val="auto"/>
          <w:sz w:val="32"/>
          <w:szCs w:val="32"/>
          <w:highlight w:val="none"/>
          <w:lang w:eastAsia="zh-CN"/>
        </w:rPr>
        <w:t>杭州市余杭区综合行政执法局</w:t>
      </w:r>
      <w:r>
        <w:rPr>
          <w:rFonts w:hint="eastAsia" w:ascii="仿宋_GB2312" w:hAnsi="仿宋_GB2312" w:eastAsia="仿宋_GB2312" w:cs="仿宋_GB2312"/>
          <w:color w:val="auto"/>
          <w:sz w:val="32"/>
          <w:szCs w:val="32"/>
          <w:highlight w:val="none"/>
        </w:rPr>
        <w:t xml:space="preserve"> </w:t>
      </w:r>
    </w:p>
    <w:p>
      <w:pPr>
        <w:snapToGrid w:val="0"/>
        <w:spacing w:line="360" w:lineRule="auto"/>
        <w:jc w:val="center"/>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采购代理机构：</w:t>
      </w:r>
      <w:r>
        <w:rPr>
          <w:rFonts w:hint="eastAsia" w:ascii="仿宋_GB2312" w:hAnsi="仿宋_GB2312" w:eastAsia="仿宋_GB2312" w:cs="仿宋_GB2312"/>
          <w:bCs/>
          <w:color w:val="auto"/>
          <w:sz w:val="32"/>
          <w:szCs w:val="32"/>
          <w:highlight w:val="none"/>
          <w:lang w:eastAsia="zh-CN"/>
        </w:rPr>
        <w:t>浙江华夏工程管理有限公司</w:t>
      </w:r>
    </w:p>
    <w:p>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二〇二二年</w:t>
      </w:r>
      <w:r>
        <w:rPr>
          <w:rFonts w:hint="eastAsia" w:ascii="仿宋_GB2312" w:hAnsi="仿宋_GB2312" w:eastAsia="仿宋_GB2312" w:cs="仿宋_GB2312"/>
          <w:bCs/>
          <w:color w:val="auto"/>
          <w:sz w:val="32"/>
          <w:szCs w:val="32"/>
          <w:highlight w:val="none"/>
          <w:lang w:val="en-US" w:eastAsia="zh-CN"/>
        </w:rPr>
        <w:t>九</w:t>
      </w:r>
      <w:r>
        <w:rPr>
          <w:rFonts w:hint="eastAsia" w:ascii="仿宋_GB2312" w:hAnsi="仿宋_GB2312" w:eastAsia="仿宋_GB2312" w:cs="仿宋_GB2312"/>
          <w:bCs/>
          <w:color w:val="auto"/>
          <w:sz w:val="32"/>
          <w:szCs w:val="32"/>
          <w:highlight w:val="none"/>
        </w:rPr>
        <w:t>月</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bookmarkStart w:id="0" w:name="_Hlt67893495"/>
      <w:bookmarkEnd w:id="0"/>
    </w:p>
    <w:p>
      <w:pPr>
        <w:spacing w:line="360" w:lineRule="auto"/>
        <w:jc w:val="center"/>
        <w:rPr>
          <w:rFonts w:hint="eastAsia" w:ascii="仿宋_GB2312" w:hAnsi="仿宋_GB2312" w:eastAsia="仿宋_GB2312" w:cs="仿宋_GB2312"/>
          <w:color w:val="auto"/>
          <w:sz w:val="24"/>
          <w:highlight w:val="none"/>
        </w:rPr>
      </w:pPr>
    </w:p>
    <w:p>
      <w:pPr>
        <w:spacing w:line="360" w:lineRule="auto"/>
        <w:jc w:val="center"/>
        <w:rPr>
          <w:rFonts w:hint="eastAsia"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目录</w:t>
      </w:r>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第一部分招标公告</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第二部分投标人须知</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第三部分采购需求</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第四部分评标办法</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第五部分拟签订的合同文本</w:t>
      </w:r>
    </w:p>
    <w:p>
      <w:pPr>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第六部分应提交的有关格式范例</w:t>
      </w:r>
    </w:p>
    <w:p>
      <w:pPr>
        <w:spacing w:line="360" w:lineRule="auto"/>
        <w:ind w:firstLine="549" w:firstLineChars="229"/>
        <w:rPr>
          <w:rFonts w:hint="eastAsia" w:ascii="仿宋_GB2312" w:hAnsi="仿宋_GB2312" w:eastAsia="仿宋_GB2312" w:cs="仿宋_GB2312"/>
          <w:color w:val="auto"/>
          <w:sz w:val="24"/>
          <w:highlight w:val="none"/>
        </w:rPr>
      </w:pPr>
      <w:bookmarkStart w:id="1" w:name="_Hlt91233176"/>
      <w:bookmarkEnd w:id="1"/>
      <w:bookmarkStart w:id="2" w:name="_Toc91899869"/>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ind w:firstLine="549" w:firstLineChars="229"/>
        <w:rPr>
          <w:rFonts w:hint="eastAsia" w:ascii="仿宋_GB2312" w:hAnsi="仿宋_GB2312" w:eastAsia="仿宋_GB2312" w:cs="仿宋_GB2312"/>
          <w:color w:val="auto"/>
          <w:sz w:val="24"/>
          <w:highlight w:val="none"/>
        </w:rPr>
      </w:pPr>
    </w:p>
    <w:p>
      <w:pPr>
        <w:spacing w:line="360" w:lineRule="auto"/>
        <w:rPr>
          <w:rFonts w:hint="eastAsia" w:ascii="仿宋_GB2312" w:hAnsi="仿宋_GB2312" w:eastAsia="仿宋_GB2312" w:cs="仿宋_GB2312"/>
          <w:color w:val="auto"/>
          <w:sz w:val="24"/>
          <w:highlight w:val="none"/>
        </w:rPr>
      </w:pPr>
    </w:p>
    <w:p>
      <w:pPr>
        <w:adjustRightInd/>
        <w:spacing w:line="360" w:lineRule="auto"/>
        <w:jc w:val="center"/>
        <w:outlineLvl w:val="0"/>
        <w:rPr>
          <w:rFonts w:hint="eastAsia" w:ascii="仿宋_GB2312" w:hAnsi="仿宋_GB2312" w:eastAsia="仿宋_GB2312" w:cs="仿宋_GB2312"/>
          <w:b/>
          <w:color w:val="auto"/>
          <w:sz w:val="36"/>
          <w:szCs w:val="20"/>
          <w:highlight w:val="none"/>
        </w:rPr>
      </w:pPr>
      <w:bookmarkStart w:id="3" w:name="第一部分"/>
      <w:r>
        <w:rPr>
          <w:rFonts w:hint="eastAsia" w:ascii="仿宋_GB2312" w:hAnsi="仿宋_GB2312" w:eastAsia="仿宋_GB2312"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_GB2312" w:hAnsi="仿宋_GB2312" w:eastAsia="仿宋_GB2312" w:cs="仿宋_GB2312"/>
          <w:b/>
          <w:color w:val="auto"/>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数字城管信息采集服务外包项目</w:t>
      </w:r>
      <w:r>
        <w:rPr>
          <w:rFonts w:hint="eastAsia" w:ascii="仿宋_GB2312" w:hAnsi="仿宋_GB2312" w:eastAsia="仿宋_GB2312" w:cs="仿宋_GB2312"/>
          <w:color w:val="auto"/>
          <w:sz w:val="24"/>
          <w:highlight w:val="none"/>
        </w:rPr>
        <w:t>招标项目的潜在投标人应在政采云平台（</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"https://www.zcygov.cn/）获取（下载）招标文件，并于2021年" </w:instrText>
      </w:r>
      <w:r>
        <w:rPr>
          <w:rFonts w:hint="eastAsia" w:ascii="仿宋_GB2312" w:hAnsi="仿宋_GB2312" w:eastAsia="仿宋_GB2312" w:cs="仿宋_GB2312"/>
          <w:color w:val="auto"/>
          <w:highlight w:val="none"/>
        </w:rPr>
        <w:fldChar w:fldCharType="separate"/>
      </w:r>
      <w:r>
        <w:rPr>
          <w:rStyle w:val="78"/>
          <w:rFonts w:hint="eastAsia" w:ascii="仿宋_GB2312" w:hAnsi="仿宋_GB2312" w:eastAsia="仿宋_GB2312" w:cs="仿宋_GB2312"/>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2</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11</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 xml:space="preserve"> 10</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u w:val="single"/>
          <w:lang w:val="en-US" w:eastAsia="zh-CN"/>
        </w:rPr>
        <w:t>10</w:t>
      </w:r>
      <w:r>
        <w:rPr>
          <w:rFonts w:hint="eastAsia" w:ascii="仿宋_GB2312" w:hAnsi="仿宋_GB2312" w:eastAsia="仿宋_GB2312" w:cs="仿宋_GB2312"/>
          <w:color w:val="auto"/>
          <w:sz w:val="24"/>
          <w:highlight w:val="none"/>
          <w:u w:val="single"/>
        </w:rPr>
        <w:t>点</w:t>
      </w:r>
      <w:r>
        <w:rPr>
          <w:rFonts w:hint="eastAsia" w:ascii="仿宋_GB2312" w:hAnsi="仿宋_GB2312" w:eastAsia="仿宋_GB2312" w:cs="仿宋_GB2312"/>
          <w:color w:val="auto"/>
          <w:sz w:val="24"/>
          <w:highlight w:val="none"/>
          <w:u w:val="single"/>
          <w:lang w:val="en-US" w:eastAsia="zh-CN"/>
        </w:rPr>
        <w:t>00</w:t>
      </w:r>
      <w:r>
        <w:rPr>
          <w:rFonts w:hint="eastAsia" w:ascii="仿宋_GB2312" w:hAnsi="仿宋_GB2312" w:eastAsia="仿宋_GB2312" w:cs="仿宋_GB2312"/>
          <w:color w:val="auto"/>
          <w:sz w:val="24"/>
          <w:highlight w:val="none"/>
          <w:u w:val="single"/>
        </w:rPr>
        <w:t>分</w:t>
      </w:r>
      <w:r>
        <w:rPr>
          <w:rFonts w:hint="eastAsia" w:ascii="仿宋_GB2312" w:hAnsi="仿宋_GB2312" w:eastAsia="仿宋_GB2312" w:cs="仿宋_GB2312"/>
          <w:bCs/>
          <w:color w:val="auto"/>
          <w:sz w:val="24"/>
          <w:highlight w:val="none"/>
          <w:u w:val="single"/>
        </w:rPr>
        <w:t>00秒</w:t>
      </w:r>
      <w:r>
        <w:rPr>
          <w:rFonts w:hint="eastAsia" w:ascii="仿宋_GB2312" w:hAnsi="仿宋_GB2312" w:eastAsia="仿宋_GB2312" w:cs="仿宋_GB2312"/>
          <w:bCs/>
          <w:color w:val="auto"/>
          <w:sz w:val="24"/>
          <w:highlight w:val="none"/>
          <w:u w:val="single"/>
        </w:rPr>
        <w:fldChar w:fldCharType="end"/>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一、项目基本情况</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color w:val="auto"/>
          <w:sz w:val="24"/>
          <w:highlight w:val="none"/>
        </w:rPr>
        <w:t>项目编号：</w:t>
      </w:r>
      <w:r>
        <w:rPr>
          <w:rFonts w:hint="eastAsia" w:ascii="仿宋_GB2312" w:hAnsi="仿宋_GB2312" w:eastAsia="仿宋_GB2312" w:cs="仿宋_GB2312"/>
          <w:color w:val="auto"/>
          <w:sz w:val="24"/>
          <w:highlight w:val="none"/>
          <w:lang w:eastAsia="zh-CN"/>
        </w:rPr>
        <w:t>HX2022025</w:t>
      </w:r>
      <w:r>
        <w:rPr>
          <w:rFonts w:hint="eastAsia" w:ascii="仿宋_GB2312" w:hAnsi="仿宋_GB2312" w:eastAsia="仿宋_GB2312" w:cs="仿宋_GB2312"/>
          <w:color w:val="auto"/>
          <w:sz w:val="24"/>
          <w:highlight w:val="none"/>
          <w:lang w:val="en-US" w:eastAsia="zh-CN"/>
        </w:rPr>
        <w:t>-1</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color w:val="auto"/>
          <w:sz w:val="24"/>
          <w:highlight w:val="none"/>
        </w:rPr>
        <w:t xml:space="preserve"> 项目名称：</w:t>
      </w:r>
      <w:r>
        <w:rPr>
          <w:rFonts w:hint="eastAsia" w:ascii="仿宋_GB2312" w:hAnsi="仿宋_GB2312" w:eastAsia="仿宋_GB2312" w:cs="仿宋_GB2312"/>
          <w:color w:val="auto"/>
          <w:sz w:val="24"/>
          <w:highlight w:val="none"/>
          <w:lang w:eastAsia="zh-CN"/>
        </w:rPr>
        <w:t>数字城管信息采集服务外包项目</w:t>
      </w:r>
    </w:p>
    <w:p>
      <w:pPr>
        <w:spacing w:line="360" w:lineRule="auto"/>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b/>
          <w:color w:val="auto"/>
          <w:sz w:val="24"/>
          <w:highlight w:val="none"/>
        </w:rPr>
        <w:t xml:space="preserve"> 预算金额（元）：</w:t>
      </w:r>
      <w:r>
        <w:rPr>
          <w:rFonts w:hint="eastAsia" w:ascii="仿宋_GB2312" w:hAnsi="仿宋_GB2312" w:eastAsia="仿宋_GB2312" w:cs="仿宋_GB2312"/>
          <w:b/>
          <w:color w:val="auto"/>
          <w:sz w:val="24"/>
          <w:highlight w:val="none"/>
          <w:lang w:val="en-US" w:eastAsia="zh-CN"/>
        </w:rPr>
        <w:t>6380000</w:t>
      </w:r>
    </w:p>
    <w:p>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最高限价（元）：</w:t>
      </w:r>
      <w:r>
        <w:rPr>
          <w:rFonts w:hint="eastAsia" w:ascii="仿宋_GB2312" w:hAnsi="仿宋_GB2312" w:eastAsia="仿宋_GB2312" w:cs="仿宋_GB2312"/>
          <w:b/>
          <w:color w:val="auto"/>
          <w:sz w:val="24"/>
          <w:highlight w:val="none"/>
          <w:lang w:val="en-US" w:eastAsia="zh-CN"/>
        </w:rPr>
        <w:t>6380000</w:t>
      </w:r>
    </w:p>
    <w:p>
      <w:pPr>
        <w:pStyle w:val="6"/>
        <w:spacing w:line="360" w:lineRule="auto"/>
        <w:ind w:firstLine="480"/>
        <w:rPr>
          <w:rFonts w:hint="eastAsia"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
          <w:color w:val="auto"/>
          <w:sz w:val="24"/>
          <w:highlight w:val="none"/>
        </w:rPr>
        <w:t>采购需求：</w:t>
      </w:r>
      <w:r>
        <w:rPr>
          <w:rFonts w:hint="eastAsia" w:ascii="仿宋_GB2312" w:hAnsi="仿宋_GB2312" w:eastAsia="仿宋_GB2312" w:cs="仿宋_GB2312"/>
          <w:color w:val="auto"/>
          <w:sz w:val="24"/>
          <w:highlight w:val="none"/>
          <w:lang w:eastAsia="zh-CN"/>
        </w:rPr>
        <w:t>数字城管信息采集服务外包项目</w:t>
      </w:r>
      <w:r>
        <w:rPr>
          <w:rFonts w:hint="eastAsia" w:ascii="仿宋_GB2312" w:hAnsi="仿宋_GB2312" w:eastAsia="仿宋_GB2312" w:cs="仿宋_GB2312"/>
          <w:bCs/>
          <w:color w:val="auto"/>
          <w:kern w:val="2"/>
          <w:sz w:val="24"/>
          <w:szCs w:val="24"/>
          <w:highlight w:val="none"/>
        </w:rPr>
        <w:t>主要内容：详见招标文件第三部分采购需求。</w:t>
      </w:r>
    </w:p>
    <w:p>
      <w:pPr>
        <w:wordWrap/>
        <w:spacing w:line="400" w:lineRule="exact"/>
        <w:ind w:firstLine="480" w:firstLineChars="200"/>
        <w:textAlignment w:val="auto"/>
        <w:rPr>
          <w:color w:val="auto"/>
          <w:sz w:val="24"/>
          <w:highlight w:val="none"/>
        </w:rPr>
      </w:pPr>
      <w:r>
        <w:rPr>
          <w:color w:val="auto"/>
          <w:sz w:val="24"/>
          <w:highlight w:val="none"/>
        </w:rPr>
        <w:t>标项</w:t>
      </w:r>
      <w:r>
        <w:rPr>
          <w:rFonts w:hint="eastAsia"/>
          <w:color w:val="auto"/>
          <w:sz w:val="24"/>
          <w:highlight w:val="none"/>
          <w:lang w:val="en-US" w:eastAsia="zh-CN"/>
        </w:rPr>
        <w:t>一</w:t>
      </w:r>
      <w:r>
        <w:rPr>
          <w:color w:val="auto"/>
          <w:sz w:val="24"/>
          <w:highlight w:val="none"/>
        </w:rPr>
        <w:t>:</w:t>
      </w:r>
    </w:p>
    <w:p>
      <w:pPr>
        <w:wordWrap/>
        <w:spacing w:line="400" w:lineRule="exact"/>
        <w:textAlignment w:val="auto"/>
        <w:rPr>
          <w:rFonts w:hint="eastAsia" w:eastAsia="宋体"/>
          <w:color w:val="auto"/>
          <w:sz w:val="24"/>
          <w:highlight w:val="none"/>
          <w:lang w:eastAsia="zh-CN"/>
        </w:rPr>
      </w:pPr>
      <w:r>
        <w:rPr>
          <w:color w:val="auto"/>
          <w:sz w:val="24"/>
          <w:highlight w:val="none"/>
        </w:rPr>
        <w:t xml:space="preserve">标项名称: </w:t>
      </w:r>
      <w:r>
        <w:rPr>
          <w:rFonts w:hint="eastAsia" w:ascii="宋体" w:hAnsi="宋体"/>
          <w:color w:val="auto"/>
          <w:sz w:val="24"/>
          <w:highlight w:val="none"/>
          <w:lang w:eastAsia="zh-CN"/>
        </w:rPr>
        <w:t>数字城管信息采集服务外包项目</w:t>
      </w:r>
      <w:r>
        <w:rPr>
          <w:color w:val="auto"/>
          <w:sz w:val="24"/>
          <w:highlight w:val="none"/>
        </w:rPr>
        <w:t>标项</w:t>
      </w:r>
      <w:r>
        <w:rPr>
          <w:rFonts w:hint="eastAsia"/>
          <w:color w:val="auto"/>
          <w:sz w:val="24"/>
          <w:highlight w:val="none"/>
          <w:lang w:val="en-US" w:eastAsia="zh-CN"/>
        </w:rPr>
        <w:t>一</w:t>
      </w:r>
    </w:p>
    <w:p>
      <w:pPr>
        <w:wordWrap/>
        <w:spacing w:line="400" w:lineRule="exact"/>
        <w:textAlignment w:val="auto"/>
        <w:rPr>
          <w:color w:val="auto"/>
          <w:sz w:val="24"/>
          <w:highlight w:val="none"/>
        </w:rPr>
      </w:pPr>
      <w:r>
        <w:rPr>
          <w:color w:val="auto"/>
          <w:sz w:val="24"/>
          <w:highlight w:val="none"/>
        </w:rPr>
        <w:t xml:space="preserve">    数量: 1  </w:t>
      </w:r>
    </w:p>
    <w:p>
      <w:pPr>
        <w:wordWrap/>
        <w:spacing w:line="400" w:lineRule="exact"/>
        <w:textAlignment w:val="auto"/>
        <w:rPr>
          <w:rFonts w:hint="default"/>
          <w:color w:val="auto"/>
          <w:sz w:val="24"/>
          <w:highlight w:val="none"/>
          <w:lang w:val="en-US"/>
        </w:rPr>
      </w:pPr>
      <w:r>
        <w:rPr>
          <w:color w:val="auto"/>
          <w:sz w:val="24"/>
          <w:highlight w:val="none"/>
        </w:rPr>
        <w:t xml:space="preserve">    预算金额（元）: </w:t>
      </w:r>
      <w:r>
        <w:rPr>
          <w:rFonts w:hint="eastAsia"/>
          <w:color w:val="auto"/>
          <w:sz w:val="24"/>
          <w:highlight w:val="none"/>
          <w:lang w:val="en-US" w:eastAsia="zh-CN"/>
        </w:rPr>
        <w:t>3480000</w:t>
      </w:r>
    </w:p>
    <w:p>
      <w:pPr>
        <w:wordWrap/>
        <w:spacing w:line="400" w:lineRule="exact"/>
        <w:textAlignment w:val="auto"/>
        <w:rPr>
          <w:color w:val="auto"/>
          <w:sz w:val="24"/>
          <w:highlight w:val="none"/>
        </w:rPr>
      </w:pPr>
      <w:r>
        <w:rPr>
          <w:color w:val="auto"/>
          <w:sz w:val="24"/>
          <w:highlight w:val="none"/>
        </w:rPr>
        <w:t xml:space="preserve">    简要规格描述或项目基本概况介绍、用途：</w:t>
      </w:r>
      <w:r>
        <w:rPr>
          <w:rFonts w:hint="eastAsia" w:ascii="宋体" w:hAnsi="宋体"/>
          <w:color w:val="auto"/>
          <w:sz w:val="24"/>
          <w:highlight w:val="none"/>
          <w:lang w:val="en-US" w:eastAsia="zh-CN"/>
        </w:rPr>
        <w:t>良渚街道、仁和街道</w:t>
      </w:r>
      <w:r>
        <w:rPr>
          <w:rFonts w:hint="eastAsia" w:ascii="宋体" w:hAnsi="宋体"/>
          <w:color w:val="auto"/>
          <w:sz w:val="24"/>
          <w:highlight w:val="none"/>
          <w:lang w:eastAsia="zh-CN"/>
        </w:rPr>
        <w:t>信息采集</w:t>
      </w:r>
      <w:r>
        <w:rPr>
          <w:rFonts w:hint="eastAsia"/>
          <w:color w:val="auto"/>
          <w:sz w:val="24"/>
          <w:highlight w:val="none"/>
        </w:rPr>
        <w:t>，具体</w:t>
      </w:r>
      <w:r>
        <w:rPr>
          <w:color w:val="auto"/>
          <w:sz w:val="24"/>
          <w:highlight w:val="none"/>
        </w:rPr>
        <w:t xml:space="preserve">详见采购文件 </w:t>
      </w:r>
    </w:p>
    <w:p>
      <w:pPr>
        <w:wordWrap/>
        <w:spacing w:line="400" w:lineRule="exact"/>
        <w:textAlignment w:val="auto"/>
        <w:rPr>
          <w:rFonts w:hint="eastAsia"/>
          <w:color w:val="auto"/>
          <w:sz w:val="24"/>
          <w:highlight w:val="none"/>
          <w:lang w:val="en-US" w:eastAsia="zh-CN"/>
        </w:rPr>
      </w:pPr>
      <w:r>
        <w:rPr>
          <w:color w:val="auto"/>
          <w:sz w:val="24"/>
          <w:highlight w:val="none"/>
        </w:rPr>
        <w:t xml:space="preserve"> </w:t>
      </w:r>
      <w:r>
        <w:rPr>
          <w:rFonts w:hint="eastAsia"/>
          <w:color w:val="auto"/>
          <w:sz w:val="24"/>
          <w:highlight w:val="none"/>
          <w:lang w:val="en-US" w:eastAsia="zh-CN"/>
        </w:rPr>
        <w:t xml:space="preserve">   </w:t>
      </w:r>
    </w:p>
    <w:p>
      <w:pPr>
        <w:wordWrap/>
        <w:spacing w:line="400" w:lineRule="exact"/>
        <w:ind w:firstLine="480" w:firstLineChars="200"/>
        <w:textAlignment w:val="auto"/>
        <w:rPr>
          <w:color w:val="auto"/>
          <w:sz w:val="24"/>
          <w:highlight w:val="none"/>
        </w:rPr>
      </w:pPr>
      <w:r>
        <w:rPr>
          <w:color w:val="auto"/>
          <w:sz w:val="24"/>
          <w:highlight w:val="none"/>
        </w:rPr>
        <w:t>标项</w:t>
      </w:r>
      <w:r>
        <w:rPr>
          <w:rFonts w:hint="eastAsia"/>
          <w:color w:val="auto"/>
          <w:sz w:val="24"/>
          <w:highlight w:val="none"/>
          <w:lang w:val="en-US" w:eastAsia="zh-CN"/>
        </w:rPr>
        <w:t>二</w:t>
      </w:r>
      <w:r>
        <w:rPr>
          <w:color w:val="auto"/>
          <w:sz w:val="24"/>
          <w:highlight w:val="none"/>
        </w:rPr>
        <w:t>:</w:t>
      </w:r>
    </w:p>
    <w:p>
      <w:pPr>
        <w:wordWrap/>
        <w:spacing w:line="400" w:lineRule="exact"/>
        <w:textAlignment w:val="auto"/>
        <w:rPr>
          <w:rFonts w:hint="eastAsia" w:eastAsia="宋体"/>
          <w:color w:val="auto"/>
          <w:sz w:val="24"/>
          <w:highlight w:val="none"/>
          <w:lang w:eastAsia="zh-CN"/>
        </w:rPr>
      </w:pPr>
      <w:r>
        <w:rPr>
          <w:color w:val="auto"/>
          <w:sz w:val="24"/>
          <w:highlight w:val="none"/>
        </w:rPr>
        <w:t xml:space="preserve">标项名称: </w:t>
      </w:r>
      <w:r>
        <w:rPr>
          <w:rFonts w:hint="eastAsia" w:ascii="宋体" w:hAnsi="宋体"/>
          <w:color w:val="auto"/>
          <w:sz w:val="24"/>
          <w:highlight w:val="none"/>
          <w:lang w:eastAsia="zh-CN"/>
        </w:rPr>
        <w:t>数字城管信息采集服务外包项目</w:t>
      </w:r>
      <w:r>
        <w:rPr>
          <w:color w:val="auto"/>
          <w:sz w:val="24"/>
          <w:highlight w:val="none"/>
        </w:rPr>
        <w:t>标项</w:t>
      </w:r>
      <w:r>
        <w:rPr>
          <w:rFonts w:hint="eastAsia"/>
          <w:color w:val="auto"/>
          <w:sz w:val="24"/>
          <w:highlight w:val="none"/>
          <w:lang w:val="en-US" w:eastAsia="zh-CN"/>
        </w:rPr>
        <w:t>二</w:t>
      </w:r>
    </w:p>
    <w:p>
      <w:pPr>
        <w:wordWrap/>
        <w:spacing w:line="400" w:lineRule="exact"/>
        <w:textAlignment w:val="auto"/>
        <w:rPr>
          <w:color w:val="auto"/>
          <w:sz w:val="24"/>
          <w:highlight w:val="none"/>
        </w:rPr>
      </w:pPr>
      <w:r>
        <w:rPr>
          <w:color w:val="auto"/>
          <w:sz w:val="24"/>
          <w:highlight w:val="none"/>
        </w:rPr>
        <w:t xml:space="preserve">    数量: 1  </w:t>
      </w:r>
    </w:p>
    <w:p>
      <w:pPr>
        <w:wordWrap/>
        <w:spacing w:line="400" w:lineRule="exact"/>
        <w:textAlignment w:val="auto"/>
        <w:rPr>
          <w:rFonts w:hint="default"/>
          <w:color w:val="auto"/>
          <w:sz w:val="24"/>
          <w:highlight w:val="none"/>
          <w:lang w:val="en-US"/>
        </w:rPr>
      </w:pPr>
      <w:r>
        <w:rPr>
          <w:color w:val="auto"/>
          <w:sz w:val="24"/>
          <w:highlight w:val="none"/>
        </w:rPr>
        <w:t xml:space="preserve">    预算金额（元）:</w:t>
      </w:r>
      <w:r>
        <w:rPr>
          <w:rFonts w:hint="eastAsia"/>
          <w:color w:val="auto"/>
          <w:sz w:val="24"/>
          <w:highlight w:val="none"/>
          <w:lang w:val="en-US" w:eastAsia="zh-CN"/>
        </w:rPr>
        <w:t>2900000</w:t>
      </w:r>
    </w:p>
    <w:p>
      <w:pPr>
        <w:wordWrap/>
        <w:spacing w:line="400" w:lineRule="exact"/>
        <w:textAlignment w:val="auto"/>
        <w:rPr>
          <w:color w:val="auto"/>
          <w:sz w:val="24"/>
          <w:highlight w:val="none"/>
        </w:rPr>
      </w:pPr>
      <w:r>
        <w:rPr>
          <w:color w:val="auto"/>
          <w:sz w:val="24"/>
          <w:highlight w:val="none"/>
        </w:rPr>
        <w:t xml:space="preserve">    简要规格描述或项目基本概况介绍、用途：</w:t>
      </w:r>
      <w:r>
        <w:rPr>
          <w:rFonts w:hint="eastAsia" w:ascii="宋体" w:hAnsi="宋体"/>
          <w:color w:val="auto"/>
          <w:sz w:val="24"/>
          <w:highlight w:val="none"/>
          <w:lang w:val="en-US" w:eastAsia="zh-CN"/>
        </w:rPr>
        <w:t>仓前</w:t>
      </w:r>
      <w:r>
        <w:rPr>
          <w:rFonts w:ascii="宋体" w:hAnsi="宋体" w:eastAsia="宋体"/>
          <w:color w:val="auto"/>
          <w:sz w:val="24"/>
          <w:highlight w:val="none"/>
        </w:rPr>
        <w:t>街道</w:t>
      </w:r>
      <w:r>
        <w:rPr>
          <w:rFonts w:hint="eastAsia" w:ascii="宋体" w:hAnsi="宋体"/>
          <w:color w:val="auto"/>
          <w:sz w:val="24"/>
          <w:highlight w:val="none"/>
          <w:lang w:eastAsia="zh-CN"/>
        </w:rPr>
        <w:t>信息采集</w:t>
      </w:r>
      <w:r>
        <w:rPr>
          <w:rFonts w:hint="eastAsia"/>
          <w:color w:val="auto"/>
          <w:sz w:val="24"/>
          <w:highlight w:val="none"/>
        </w:rPr>
        <w:t>，具体</w:t>
      </w:r>
      <w:r>
        <w:rPr>
          <w:color w:val="auto"/>
          <w:sz w:val="24"/>
          <w:highlight w:val="none"/>
        </w:rPr>
        <w:t xml:space="preserve">详见采购文件 </w:t>
      </w:r>
    </w:p>
    <w:p/>
    <w:p>
      <w:pPr>
        <w:numPr>
          <w:ilvl w:val="0"/>
          <w:numId w:val="0"/>
        </w:numPr>
        <w:spacing w:line="360" w:lineRule="auto"/>
        <w:jc w:val="left"/>
        <w:rPr>
          <w:color w:val="auto"/>
          <w:sz w:val="24"/>
          <w:highlight w:val="none"/>
        </w:rPr>
      </w:pPr>
      <w:r>
        <w:rPr>
          <w:color w:val="auto"/>
          <w:sz w:val="24"/>
          <w:highlight w:val="none"/>
        </w:rPr>
        <w:t xml:space="preserve">备注： </w:t>
      </w:r>
      <w:r>
        <w:rPr>
          <w:rFonts w:hint="eastAsia"/>
          <w:color w:val="auto"/>
          <w:sz w:val="24"/>
          <w:highlight w:val="none"/>
          <w:lang w:val="en-US" w:eastAsia="zh-CN"/>
        </w:rPr>
        <w:t>服务期限一年</w:t>
      </w:r>
      <w:r>
        <w:rPr>
          <w:rFonts w:hint="eastAsia" w:ascii="宋体" w:hAnsi="宋体" w:cs="仿宋_GB2312"/>
          <w:color w:val="auto"/>
          <w:sz w:val="24"/>
          <w:highlight w:val="none"/>
          <w:u w:val="none"/>
          <w:lang w:val="en-US" w:eastAsia="zh-CN"/>
        </w:rPr>
        <w:t xml:space="preserve"> </w:t>
      </w:r>
      <w:r>
        <w:rPr>
          <w:color w:val="auto"/>
          <w:sz w:val="24"/>
          <w:highlight w:val="none"/>
        </w:rPr>
        <w:t>。</w:t>
      </w:r>
    </w:p>
    <w:p>
      <w:pPr>
        <w:adjustRightInd w:val="0"/>
        <w:snapToGrid w:val="0"/>
        <w:spacing w:line="336" w:lineRule="auto"/>
        <w:ind w:firstLine="482" w:firstLineChars="200"/>
        <w:rPr>
          <w:color w:val="auto"/>
          <w:highlight w:val="none"/>
        </w:rPr>
      </w:pPr>
      <w:r>
        <w:rPr>
          <w:rFonts w:hint="eastAsia" w:ascii="宋体" w:hAnsi="宋体"/>
          <w:b/>
          <w:bCs/>
          <w:color w:val="auto"/>
          <w:sz w:val="24"/>
          <w:highlight w:val="none"/>
        </w:rPr>
        <w:t>本招标采购文件内如未明确为哪个标项要求，即为所有标项的共同要求和内容，如已明示为哪个标项的具体要求，即按相关要求执行。</w:t>
      </w:r>
    </w:p>
    <w:p>
      <w:pPr>
        <w:pStyle w:val="6"/>
        <w:spacing w:line="360" w:lineRule="auto"/>
        <w:ind w:firstLine="48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本项目接受联合体投标：</w:t>
      </w: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b/>
          <w:color w:val="auto"/>
          <w:sz w:val="24"/>
          <w:highlight w:val="none"/>
        </w:rPr>
        <w:t>是，</w:t>
      </w: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b/>
          <w:color w:val="auto"/>
          <w:sz w:val="24"/>
          <w:highlight w:val="none"/>
        </w:rPr>
        <w:t>否</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二、申请人的资格要求：</w:t>
      </w:r>
    </w:p>
    <w:p>
      <w:pPr>
        <w:spacing w:line="360" w:lineRule="auto"/>
        <w:ind w:firstLine="480"/>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sz w:val="24"/>
          <w:highlight w:val="none"/>
        </w:rPr>
        <w:t>无；</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pPr>
        <w:spacing w:line="360" w:lineRule="auto"/>
        <w:ind w:firstLine="897" w:firstLineChars="374"/>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sz w:val="24"/>
          <w:highlight w:val="none"/>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FE"/>
      </w:r>
      <w:r>
        <w:rPr>
          <w:rFonts w:hint="eastAsia" w:ascii="仿宋_GB2312" w:hAnsi="仿宋_GB2312" w:eastAsia="仿宋_GB2312" w:cs="仿宋_GB2312"/>
          <w:color w:val="auto"/>
          <w:sz w:val="24"/>
          <w:highlight w:val="none"/>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00A8"/>
      </w:r>
      <w:r>
        <w:rPr>
          <w:rFonts w:hint="eastAsia" w:ascii="仿宋_GB2312" w:hAnsi="仿宋_GB2312" w:eastAsia="仿宋_GB2312" w:cs="仿宋_GB2312"/>
          <w:color w:val="auto"/>
          <w:sz w:val="24"/>
          <w:highlight w:val="none"/>
        </w:rPr>
        <w:t>服务全部由符合政策要求的小微企业承接，提供中小企业声明函；</w:t>
      </w:r>
    </w:p>
    <w:p>
      <w:pPr>
        <w:rPr>
          <w:rFonts w:hint="eastAsia" w:ascii="仿宋_GB2312" w:hAnsi="仿宋_GB2312" w:eastAsia="仿宋_GB2312" w:cs="仿宋_GB2312"/>
          <w:color w:val="auto"/>
          <w:highlight w:val="none"/>
        </w:rPr>
      </w:pP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 ，小微企业合同金额应当达到% ;</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highlight w:val="none"/>
        </w:rPr>
        <w:t>；</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三、获取招标文件</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rPr>
        <w:t>/至</w:t>
      </w:r>
      <w:r>
        <w:rPr>
          <w:rFonts w:hint="eastAsia" w:ascii="仿宋_GB2312" w:hAnsi="仿宋_GB2312" w:eastAsia="仿宋_GB2312" w:cs="仿宋_GB2312"/>
          <w:color w:val="auto"/>
          <w:sz w:val="24"/>
          <w:highlight w:val="none"/>
          <w:u w:val="single"/>
          <w:lang w:val="en-US" w:eastAsia="zh-CN"/>
        </w:rPr>
        <w:t>2022年11月10 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 xml:space="preserve">0 </w:t>
      </w:r>
      <w:r>
        <w:rPr>
          <w:rFonts w:hint="eastAsia" w:ascii="仿宋_GB2312" w:hAnsi="仿宋_GB2312" w:eastAsia="仿宋_GB2312" w:cs="仿宋_GB2312"/>
          <w:color w:val="auto"/>
          <w:sz w:val="24"/>
          <w:highlight w:val="none"/>
        </w:rPr>
        <w:tab/>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四、提交投标文件截止时间、开标时间和地点</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auto"/>
          <w:sz w:val="24"/>
          <w:highlight w:val="none"/>
          <w:u w:val="single"/>
          <w:lang w:val="en-US" w:eastAsia="zh-CN"/>
        </w:rPr>
        <w:t>2022年11月10日10点00分</w:t>
      </w:r>
      <w:r>
        <w:rPr>
          <w:rFonts w:hint="eastAsia" w:ascii="仿宋_GB2312" w:hAnsi="仿宋_GB2312" w:eastAsia="仿宋_GB2312" w:cs="仿宋_GB2312"/>
          <w:color w:val="auto"/>
          <w:sz w:val="24"/>
          <w:highlight w:val="none"/>
        </w:rPr>
        <w:t>（北京时间）</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政采云平台（https://www.zcygov.cn/） </w:t>
      </w:r>
    </w:p>
    <w:p>
      <w:pPr>
        <w:spacing w:line="360" w:lineRule="auto"/>
        <w:ind w:firstLine="482" w:firstLineChars="200"/>
        <w:rPr>
          <w:rFonts w:hint="eastAsia"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auto"/>
          <w:sz w:val="24"/>
          <w:highlight w:val="none"/>
          <w:u w:val="single"/>
          <w:lang w:val="en-US" w:eastAsia="zh-CN"/>
        </w:rPr>
        <w:t>2022年 11月10日10</w:t>
      </w:r>
      <w:bookmarkStart w:id="409" w:name="_GoBack"/>
      <w:bookmarkEnd w:id="409"/>
      <w:r>
        <w:rPr>
          <w:rFonts w:hint="eastAsia" w:ascii="仿宋_GB2312" w:hAnsi="仿宋_GB2312" w:eastAsia="仿宋_GB2312" w:cs="仿宋_GB2312"/>
          <w:color w:val="auto"/>
          <w:sz w:val="24"/>
          <w:highlight w:val="none"/>
          <w:u w:val="single"/>
          <w:lang w:val="en-US" w:eastAsia="zh-CN"/>
        </w:rPr>
        <w:t>点00分</w:t>
      </w: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开标地点（网址）：</w:t>
      </w:r>
      <w:r>
        <w:rPr>
          <w:rFonts w:hint="eastAsia" w:ascii="仿宋_GB2312" w:hAnsi="仿宋_GB2312" w:eastAsia="仿宋_GB2312" w:cs="仿宋_GB2312"/>
          <w:b w:val="0"/>
          <w:bCs/>
          <w:color w:val="auto"/>
          <w:sz w:val="24"/>
          <w:highlight w:val="none"/>
        </w:rPr>
        <w:t>政采云平台（https://www.zcygov.cn/）</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五、公告期限</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0" w:firstLineChars="0"/>
        <w:rPr>
          <w:rFonts w:hint="eastAsia" w:ascii="仿宋_GB2312" w:hAnsi="仿宋_GB2312" w:eastAsia="仿宋_GB2312" w:cs="仿宋_GB2312"/>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rPr>
        <w:t>1.采购人信息</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杭州市余杭区综合行政执法局</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地    址：</w:t>
      </w:r>
      <w:r>
        <w:rPr>
          <w:rFonts w:hint="eastAsia" w:ascii="仿宋" w:hAnsi="仿宋" w:eastAsia="仿宋" w:cs="仿宋"/>
          <w:i w:val="0"/>
          <w:iCs w:val="0"/>
          <w:caps w:val="0"/>
          <w:color w:val="auto"/>
          <w:spacing w:val="0"/>
          <w:sz w:val="27"/>
          <w:szCs w:val="27"/>
          <w:highlight w:val="none"/>
          <w:lang w:val="en-US" w:eastAsia="zh-CN"/>
        </w:rPr>
        <w:t xml:space="preserve"> 浙财科创中心C座209室</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 w:hAnsi="仿宋" w:eastAsia="仿宋" w:cs="仿宋"/>
          <w:i w:val="0"/>
          <w:iCs w:val="0"/>
          <w:caps w:val="0"/>
          <w:color w:val="auto"/>
          <w:spacing w:val="0"/>
          <w:sz w:val="27"/>
          <w:szCs w:val="27"/>
          <w:highlight w:val="none"/>
          <w:lang w:val="en-US" w:eastAsia="zh-CN"/>
        </w:rPr>
        <w:t xml:space="preserve"> 金建平</w:t>
      </w:r>
      <w:r>
        <w:rPr>
          <w:rFonts w:hint="eastAsia" w:ascii="仿宋_GB2312" w:hAnsi="仿宋" w:eastAsia="仿宋_GB2312"/>
          <w:color w:val="auto"/>
          <w:sz w:val="24"/>
          <w:highlight w:val="none"/>
          <w:lang w:val="en-US" w:eastAsia="zh-CN"/>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项目联系方式（询问）：</w:t>
      </w:r>
      <w:r>
        <w:rPr>
          <w:rFonts w:hint="eastAsia" w:ascii="仿宋" w:hAnsi="仿宋" w:eastAsia="仿宋" w:cs="仿宋"/>
          <w:i w:val="0"/>
          <w:iCs w:val="0"/>
          <w:caps w:val="0"/>
          <w:color w:val="auto"/>
          <w:spacing w:val="0"/>
          <w:sz w:val="27"/>
          <w:szCs w:val="27"/>
          <w:highlight w:val="none"/>
          <w:lang w:val="en-US" w:eastAsia="zh-CN"/>
        </w:rPr>
        <w:t xml:space="preserve"> 0571-88729396  </w:t>
      </w:r>
    </w:p>
    <w:p>
      <w:pPr>
        <w:spacing w:line="360" w:lineRule="auto"/>
        <w:rPr>
          <w:rFonts w:hint="eastAsia" w:ascii="仿宋_GB2312" w:hAnsi="仿宋_GB2312" w:eastAsia="仿宋_GB2312" w:cs="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_GB2312" w:eastAsia="仿宋_GB2312" w:cs="仿宋_GB2312"/>
          <w:color w:val="auto"/>
          <w:sz w:val="24"/>
          <w:highlight w:val="none"/>
        </w:rPr>
        <w:t>质疑联系人：</w:t>
      </w:r>
      <w:r>
        <w:rPr>
          <w:rFonts w:hint="eastAsia" w:ascii="仿宋" w:hAnsi="仿宋" w:eastAsia="仿宋" w:cs="仿宋"/>
          <w:i w:val="0"/>
          <w:iCs w:val="0"/>
          <w:caps w:val="0"/>
          <w:color w:val="auto"/>
          <w:spacing w:val="0"/>
          <w:sz w:val="27"/>
          <w:szCs w:val="27"/>
          <w:highlight w:val="none"/>
          <w:lang w:val="en-US" w:eastAsia="zh-CN"/>
        </w:rPr>
        <w:t xml:space="preserve"> 董宏高</w:t>
      </w:r>
      <w:r>
        <w:rPr>
          <w:rFonts w:hint="eastAsia" w:ascii="仿宋_GB2312" w:hAnsi="仿宋_GB2312" w:eastAsia="仿宋_GB2312" w:cs="仿宋_GB2312"/>
          <w:color w:val="auto"/>
          <w:sz w:val="24"/>
          <w:highlight w:val="none"/>
          <w:lang w:val="en-US" w:eastAsia="zh-CN"/>
        </w:rPr>
        <w:t xml:space="preserve"> </w:t>
      </w:r>
    </w:p>
    <w:p>
      <w:pPr>
        <w:spacing w:line="360" w:lineRule="auto"/>
        <w:rPr>
          <w:rFonts w:hint="eastAsia" w:ascii="仿宋_GB2312" w:hAnsi="仿宋" w:eastAsia="仿宋_GB2312"/>
          <w:color w:val="auto"/>
          <w:sz w:val="24"/>
          <w:highlight w:val="none"/>
          <w:lang w:eastAsia="zh-CN"/>
        </w:rPr>
      </w:pPr>
      <w:r>
        <w:rPr>
          <w:rFonts w:hint="eastAsia" w:ascii="仿宋_GB2312" w:hAnsi="仿宋_GB2312" w:eastAsia="仿宋_GB2312" w:cs="仿宋_GB2312"/>
          <w:color w:val="auto"/>
          <w:sz w:val="24"/>
          <w:highlight w:val="none"/>
        </w:rPr>
        <w:t xml:space="preserve">    质疑联系方式：0571-88729719 </w:t>
      </w:r>
      <w:r>
        <w:rPr>
          <w:rFonts w:hint="eastAsia" w:ascii="仿宋" w:hAnsi="仿宋" w:eastAsia="仿宋" w:cs="仿宋"/>
          <w:i w:val="0"/>
          <w:iCs w:val="0"/>
          <w:caps w:val="0"/>
          <w:color w:val="auto"/>
          <w:spacing w:val="0"/>
          <w:sz w:val="27"/>
          <w:szCs w:val="27"/>
          <w:highlight w:val="none"/>
          <w:lang w:val="en-US" w:eastAsia="zh-CN"/>
        </w:rPr>
        <w:t xml:space="preserve">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2.采购代理机构信息            </w:t>
      </w:r>
    </w:p>
    <w:p>
      <w:pPr>
        <w:spacing w:line="36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eastAsia="zh-CN"/>
        </w:rPr>
        <w:t>浙江华夏工程管理有限公司</w:t>
      </w:r>
    </w:p>
    <w:p>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lang w:eastAsia="zh-CN"/>
        </w:rPr>
        <w:t>杭州市临平区星桥街道星源路368号元星大厦</w:t>
      </w: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lang w:eastAsia="zh-CN"/>
        </w:rPr>
        <w:t>楼</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项目联系人（询问）：</w:t>
      </w:r>
      <w:r>
        <w:rPr>
          <w:rFonts w:hint="eastAsia" w:ascii="仿宋_GB2312" w:hAnsi="仿宋_GB2312" w:eastAsia="仿宋_GB2312" w:cs="仿宋_GB2312"/>
          <w:color w:val="auto"/>
          <w:sz w:val="24"/>
          <w:highlight w:val="none"/>
          <w:lang w:val="en-US" w:eastAsia="zh-CN"/>
        </w:rPr>
        <w:t>王恬</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项目联系方式（询问）：</w:t>
      </w:r>
      <w:r>
        <w:rPr>
          <w:rFonts w:hint="eastAsia" w:ascii="仿宋_GB2312" w:hAnsi="仿宋_GB2312" w:eastAsia="仿宋_GB2312" w:cs="仿宋_GB2312"/>
          <w:color w:val="auto"/>
          <w:sz w:val="24"/>
          <w:highlight w:val="none"/>
          <w:lang w:val="en-US" w:eastAsia="zh-CN"/>
        </w:rPr>
        <w:t>0571-86158803</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xml:space="preserve">    质疑联系人：</w:t>
      </w:r>
      <w:r>
        <w:rPr>
          <w:rFonts w:hint="eastAsia" w:ascii="仿宋_GB2312" w:hAnsi="仿宋_GB2312" w:eastAsia="仿宋_GB2312" w:cs="仿宋_GB2312"/>
          <w:color w:val="auto"/>
          <w:sz w:val="24"/>
          <w:highlight w:val="none"/>
          <w:lang w:val="en-US" w:eastAsia="zh-CN"/>
        </w:rPr>
        <w:t>戚建中</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 xml:space="preserve">    质疑联系方式：</w:t>
      </w:r>
      <w:r>
        <w:rPr>
          <w:rFonts w:hint="eastAsia" w:ascii="仿宋_GB2312" w:hAnsi="仿宋_GB2312" w:eastAsia="仿宋_GB2312" w:cs="仿宋_GB2312"/>
          <w:color w:val="auto"/>
          <w:sz w:val="24"/>
          <w:highlight w:val="none"/>
          <w:lang w:val="en-US" w:eastAsia="zh-CN"/>
        </w:rPr>
        <w:t>13588728251</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3.同级政府采购监督管理部门</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名    称：杭州市</w:t>
      </w:r>
      <w:r>
        <w:rPr>
          <w:rFonts w:hint="eastAsia" w:ascii="仿宋_GB2312" w:hAnsi="仿宋_GB2312" w:eastAsia="仿宋_GB2312" w:cs="仿宋_GB2312"/>
          <w:color w:val="auto"/>
          <w:sz w:val="24"/>
          <w:highlight w:val="none"/>
          <w:lang w:val="en-US" w:eastAsia="zh-CN"/>
        </w:rPr>
        <w:t>余杭</w:t>
      </w:r>
      <w:r>
        <w:rPr>
          <w:rFonts w:hint="eastAsia" w:ascii="仿宋_GB2312" w:hAnsi="仿宋_GB2312" w:eastAsia="仿宋_GB2312" w:cs="仿宋_GB2312"/>
          <w:color w:val="auto"/>
          <w:sz w:val="24"/>
          <w:highlight w:val="none"/>
        </w:rPr>
        <w:t>区财政局 </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    联系人 ：</w:t>
      </w:r>
      <w:r>
        <w:rPr>
          <w:rFonts w:hint="eastAsia" w:ascii="仿宋_GB2312" w:hAnsi="仿宋_GB2312" w:eastAsia="仿宋_GB2312" w:cs="仿宋_GB2312"/>
          <w:color w:val="auto"/>
          <w:sz w:val="24"/>
          <w:highlight w:val="none"/>
          <w:lang w:val="en-US" w:eastAsia="zh-CN"/>
        </w:rPr>
        <w:t>杜国强</w:t>
      </w:r>
    </w:p>
    <w:p>
      <w:pPr>
        <w:spacing w:line="360" w:lineRule="auto"/>
        <w:rPr>
          <w:rFonts w:hint="eastAsia" w:ascii="仿宋" w:hAnsi="仿宋" w:eastAsia="仿宋" w:cs="仿宋"/>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 w:hAnsi="仿宋" w:eastAsia="仿宋" w:cs="仿宋"/>
          <w:color w:val="auto"/>
          <w:sz w:val="24"/>
          <w:highlight w:val="none"/>
        </w:rPr>
        <w:t>监督投诉电话：0571-88728858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lang w:val="en-US" w:eastAsia="zh-CN"/>
        </w:rPr>
        <w:t>杭</w:t>
      </w:r>
      <w:r>
        <w:rPr>
          <w:rFonts w:hint="eastAsia" w:ascii="仿宋_GB2312" w:hAnsi="仿宋" w:eastAsia="仿宋_GB2312"/>
          <w:sz w:val="24"/>
        </w:rPr>
        <w:t>州市余杭区文一西路1500号8号楼1201室</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p>
    <w:p>
      <w:pPr>
        <w:pStyle w:val="35"/>
        <w:spacing w:line="360" w:lineRule="auto"/>
        <w:ind w:firstLine="480" w:firstLineChars="200"/>
        <w:rPr>
          <w:rFonts w:hint="eastAsia" w:ascii="仿宋_GB2312" w:hAnsi="仿宋_GB2312" w:eastAsia="仿宋_GB2312" w:cs="仿宋_GB2312"/>
          <w:color w:val="auto"/>
          <w:sz w:val="24"/>
          <w:szCs w:val="24"/>
          <w:highlight w:val="none"/>
        </w:rPr>
      </w:pPr>
    </w:p>
    <w:p>
      <w:pPr>
        <w:adjustRightInd/>
        <w:spacing w:line="360" w:lineRule="auto"/>
        <w:jc w:val="center"/>
        <w:outlineLvl w:val="0"/>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br w:type="page"/>
      </w:r>
      <w:r>
        <w:rPr>
          <w:rFonts w:hint="eastAsia" w:ascii="仿宋_GB2312" w:hAnsi="仿宋_GB2312" w:eastAsia="仿宋_GB2312" w:cs="仿宋_GB2312"/>
          <w:b/>
          <w:color w:val="auto"/>
          <w:sz w:val="36"/>
          <w:szCs w:val="20"/>
          <w:highlight w:val="none"/>
        </w:rPr>
        <w:t>第二部分</w:t>
      </w:r>
      <w:bookmarkEnd w:id="8"/>
      <w:r>
        <w:rPr>
          <w:rFonts w:hint="eastAsia" w:ascii="仿宋_GB2312" w:hAnsi="仿宋_GB2312" w:eastAsia="仿宋_GB2312" w:cs="仿宋_GB2312"/>
          <w:b/>
          <w:color w:val="auto"/>
          <w:sz w:val="36"/>
          <w:szCs w:val="20"/>
          <w:highlight w:val="none"/>
        </w:rPr>
        <w:t xml:space="preserve"> 投标人须知</w:t>
      </w:r>
      <w:bookmarkEnd w:id="9"/>
    </w:p>
    <w:p>
      <w:pPr>
        <w:snapToGrid w:val="0"/>
        <w:spacing w:line="360" w:lineRule="auto"/>
        <w:jc w:val="center"/>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w:t>
            </w:r>
            <w:r>
              <w:rPr>
                <w:rFonts w:hint="eastAsia" w:ascii="仿宋_GB2312" w:hAnsi="仿宋_GB2312" w:eastAsia="仿宋_GB2312" w:cs="仿宋_GB2312"/>
                <w:color w:val="auto"/>
                <w:sz w:val="24"/>
                <w:highlight w:val="none"/>
              </w:rPr>
              <w:t>开标一览表（报价表）是报价的唯一载体</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_GB2312"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pPr>
              <w:spacing w:line="360" w:lineRule="auto"/>
              <w:ind w:firstLine="241"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 A</w:t>
            </w:r>
            <w:r>
              <w:rPr>
                <w:rFonts w:hint="eastAsia" w:ascii="仿宋_GB2312" w:hAnsi="仿宋_GB2312" w:eastAsia="仿宋_GB2312" w:cs="仿宋_GB2312"/>
                <w:color w:val="auto"/>
                <w:sz w:val="24"/>
                <w:highlight w:val="none"/>
              </w:rPr>
              <w:t>同意将非主体、非关键性的工作分包。</w:t>
            </w: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 xml:space="preserve"> B</w:t>
            </w:r>
            <w:r>
              <w:rPr>
                <w:rFonts w:hint="eastAsia" w:ascii="仿宋_GB2312" w:hAnsi="仿宋_GB2312" w:eastAsia="仿宋_GB2312" w:cs="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pPr>
              <w:spacing w:line="360" w:lineRule="auto"/>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pPr>
              <w:spacing w:line="360" w:lineRule="auto"/>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时间：,地点：，联系人：，联系方式：</w:t>
            </w:r>
            <w:r>
              <w:rPr>
                <w:rFonts w:hint="eastAsia" w:ascii="仿宋_GB2312" w:hAnsi="仿宋_GB2312" w:eastAsia="仿宋_GB2312" w:cs="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☐B要求提供，</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snapToGrid w:val="0"/>
                <w:color w:val="auto"/>
                <w:kern w:val="28"/>
                <w:sz w:val="24"/>
                <w:highlight w:val="none"/>
              </w:rPr>
              <w:t>样品：</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（3）样品的评审方法以及评审标准</w:t>
            </w:r>
            <w:r>
              <w:rPr>
                <w:rFonts w:hint="eastAsia" w:ascii="仿宋_GB2312" w:hAnsi="仿宋_GB2312" w:eastAsia="仿宋_GB2312" w:cs="仿宋_GB2312"/>
                <w:snapToGrid w:val="0"/>
                <w:color w:val="auto"/>
                <w:kern w:val="28"/>
                <w:sz w:val="24"/>
                <w:highlight w:val="none"/>
              </w:rPr>
              <w:t>：详见</w:t>
            </w:r>
            <w:r>
              <w:rPr>
                <w:rFonts w:hint="eastAsia" w:ascii="仿宋_GB2312" w:hAnsi="仿宋_GB2312" w:eastAsia="仿宋_GB2312" w:cs="仿宋_GB2312"/>
                <w:color w:val="auto"/>
                <w:sz w:val="24"/>
                <w:highlight w:val="none"/>
                <w:u w:val="single"/>
              </w:rPr>
              <w:t>评标办法</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否；☐是，检测机构的要求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kern w:val="0"/>
                <w:sz w:val="24"/>
                <w:highlight w:val="none"/>
              </w:rPr>
              <w:t>；地点：；联系人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5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☐B组织。</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（2）方案讲解演示可选择以下其中一种方式：</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本项目不允许采购进口产品。</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货物类，单一产品或</w:t>
            </w:r>
            <w:r>
              <w:rPr>
                <w:rFonts w:hint="eastAsia" w:ascii="仿宋_GB2312" w:hAnsi="仿宋_GB2312" w:eastAsia="仿宋_GB2312" w:cs="仿宋_GB2312"/>
                <w:color w:val="auto"/>
                <w:kern w:val="0"/>
                <w:sz w:val="24"/>
                <w:highlight w:val="none"/>
              </w:rPr>
              <w:t>核心产品为：</w:t>
            </w: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sym w:font="Wingdings" w:char="F0FE"/>
            </w:r>
            <w:r>
              <w:rPr>
                <w:rFonts w:hint="eastAsia" w:ascii="仿宋_GB2312" w:hAnsi="仿宋_GB2312" w:eastAsia="仿宋_GB2312" w:cs="仿宋_GB2312"/>
                <w:color w:val="auto"/>
                <w:kern w:val="0"/>
                <w:sz w:val="24"/>
                <w:highlight w:val="none"/>
              </w:rPr>
              <w:t>B</w:t>
            </w:r>
            <w:r>
              <w:rPr>
                <w:rFonts w:hint="eastAsia" w:ascii="仿宋_GB2312" w:hAnsi="仿宋_GB2312" w:eastAsia="仿宋_GB2312" w:cs="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采购标的：</w:t>
            </w:r>
            <w:r>
              <w:rPr>
                <w:rFonts w:hint="eastAsia" w:ascii="仿宋_GB2312" w:hAnsi="仿宋_GB2312" w:eastAsia="仿宋_GB2312" w:cs="仿宋_GB2312"/>
                <w:color w:val="auto"/>
                <w:kern w:val="0"/>
                <w:sz w:val="24"/>
                <w:highlight w:val="none"/>
                <w:lang w:val="en-US" w:eastAsia="zh-CN"/>
              </w:rPr>
              <w:t>信息采集服务</w:t>
            </w:r>
            <w:r>
              <w:rPr>
                <w:rFonts w:hint="eastAsia" w:ascii="仿宋_GB2312" w:hAnsi="仿宋_GB2312" w:eastAsia="仿宋_GB2312" w:cs="仿宋_GB2312"/>
                <w:color w:val="auto"/>
                <w:kern w:val="0"/>
                <w:sz w:val="24"/>
                <w:highlight w:val="none"/>
              </w:rPr>
              <w:t>；所属行业：其他未列明行业。</w:t>
            </w:r>
          </w:p>
          <w:p>
            <w:pPr>
              <w:pStyle w:val="4"/>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_GB2312" w:hAnsi="仿宋_GB2312" w:eastAsia="仿宋_GB2312" w:cs="仿宋_GB2312"/>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_GB2312" w:hAnsi="仿宋_GB2312" w:eastAsia="仿宋_GB2312" w:cs="仿宋_GB2312"/>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_GB2312" w:hAnsi="仿宋_GB2312" w:eastAsia="仿宋_GB2312" w:cs="仿宋_GB2312"/>
                <w:color w:val="auto"/>
                <w:kern w:val="28"/>
                <w:sz w:val="24"/>
                <w:highlight w:val="none"/>
              </w:rPr>
            </w:pPr>
            <w:r>
              <w:rPr>
                <w:rFonts w:hint="eastAsia" w:ascii="仿宋_GB2312" w:hAnsi="仿宋_GB2312" w:eastAsia="仿宋_GB2312" w:cs="仿宋_GB2312"/>
                <w:color w:val="auto"/>
                <w:kern w:val="28"/>
                <w:sz w:val="24"/>
                <w:szCs w:val="24"/>
                <w:highlight w:val="none"/>
              </w:rPr>
              <w:t>备份投标文件送达地点：</w:t>
            </w:r>
            <w:r>
              <w:rPr>
                <w:rFonts w:hint="eastAsia" w:ascii="仿宋_GB2312" w:hAnsi="仿宋_GB2312" w:eastAsia="仿宋_GB2312" w:cs="仿宋_GB2312"/>
                <w:color w:val="auto"/>
                <w:kern w:val="28"/>
                <w:sz w:val="24"/>
                <w:szCs w:val="24"/>
                <w:highlight w:val="none"/>
                <w:lang w:eastAsia="zh-CN"/>
              </w:rPr>
              <w:t>杭州市临平区星桥街道星源路368号元星大厦1</w:t>
            </w:r>
            <w:r>
              <w:rPr>
                <w:rFonts w:hint="eastAsia" w:ascii="仿宋_GB2312" w:hAnsi="仿宋_GB2312" w:eastAsia="仿宋_GB2312" w:cs="仿宋_GB2312"/>
                <w:color w:val="auto"/>
                <w:kern w:val="28"/>
                <w:sz w:val="24"/>
                <w:szCs w:val="24"/>
                <w:highlight w:val="none"/>
                <w:lang w:val="en-US" w:eastAsia="zh-CN"/>
              </w:rPr>
              <w:t>2</w:t>
            </w:r>
            <w:r>
              <w:rPr>
                <w:rFonts w:hint="eastAsia" w:ascii="仿宋_GB2312" w:hAnsi="仿宋_GB2312" w:eastAsia="仿宋_GB2312" w:cs="仿宋_GB2312"/>
                <w:color w:val="auto"/>
                <w:kern w:val="28"/>
                <w:sz w:val="24"/>
                <w:szCs w:val="24"/>
                <w:highlight w:val="none"/>
                <w:lang w:eastAsia="zh-CN"/>
              </w:rPr>
              <w:t>楼</w:t>
            </w:r>
            <w:r>
              <w:rPr>
                <w:rFonts w:hint="eastAsia" w:ascii="仿宋_GB2312" w:hAnsi="仿宋_GB2312" w:eastAsia="仿宋_GB2312" w:cs="仿宋_GB2312"/>
                <w:color w:val="auto"/>
                <w:kern w:val="28"/>
                <w:sz w:val="24"/>
                <w:szCs w:val="24"/>
                <w:highlight w:val="none"/>
              </w:rPr>
              <w:t>；备份投标文件签收人员联系电话：</w:t>
            </w:r>
            <w:r>
              <w:rPr>
                <w:rFonts w:hint="eastAsia" w:ascii="仿宋_GB2312" w:hAnsi="仿宋_GB2312" w:eastAsia="仿宋_GB2312" w:cs="仿宋_GB2312"/>
                <w:color w:val="auto"/>
                <w:kern w:val="28"/>
                <w:sz w:val="24"/>
                <w:szCs w:val="24"/>
                <w:highlight w:val="none"/>
                <w:lang w:val="en-US" w:eastAsia="zh-CN"/>
              </w:rPr>
              <w:t>13251003888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leftChars="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szCs w:val="20"/>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szCs w:val="20"/>
                <w:highlight w:val="none"/>
              </w:rPr>
              <w:t>☐</w:t>
            </w:r>
            <w:r>
              <w:rPr>
                <w:rFonts w:hint="eastAsia" w:ascii="仿宋" w:hAnsi="仿宋" w:eastAsia="仿宋" w:cs="仿宋"/>
                <w:snapToGrid w:val="0"/>
                <w:color w:val="auto"/>
                <w:kern w:val="28"/>
                <w:sz w:val="24"/>
                <w:szCs w:val="20"/>
                <w:highlight w:val="none"/>
              </w:rPr>
              <w:t>联合体投标的，联合体各方均需按招标文件第四部分评标标准要求提供资信证明文件，否则视为不符合要求。</w:t>
            </w:r>
          </w:p>
          <w:p>
            <w:pPr>
              <w:spacing w:before="0" w:beforeAutospacing="0" w:after="0" w:afterAutospacing="0" w:line="360" w:lineRule="auto"/>
              <w:ind w:left="0" w:leftChars="0" w:right="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snapToGrid w:val="0"/>
                <w:color w:val="auto"/>
                <w:kern w:val="28"/>
                <w:sz w:val="24"/>
                <w:szCs w:val="20"/>
                <w:highlight w:val="none"/>
              </w:rPr>
              <w:t>联合体投标的，联合体中有一方或者联合体成员根据分工按招标文件第四部分评标标准要求提供资信证明文件，</w:t>
            </w:r>
            <w:r>
              <w:rPr>
                <w:rFonts w:hint="eastAsia" w:ascii="仿宋" w:hAnsi="仿宋" w:eastAsia="仿宋" w:cs="仿宋"/>
                <w:snapToGrid w:val="0"/>
                <w:color w:val="auto"/>
                <w:kern w:val="28"/>
                <w:sz w:val="24"/>
                <w:szCs w:val="20"/>
                <w:highlight w:val="none"/>
                <w:lang w:val="en-US" w:eastAsia="zh-CN"/>
              </w:rPr>
              <w:t>否则</w:t>
            </w:r>
            <w:r>
              <w:rPr>
                <w:rFonts w:hint="eastAsia" w:ascii="仿宋" w:hAnsi="仿宋" w:eastAsia="仿宋" w:cs="仿宋"/>
                <w:snapToGrid w:val="0"/>
                <w:color w:val="auto"/>
                <w:kern w:val="28"/>
                <w:sz w:val="24"/>
                <w:szCs w:val="20"/>
                <w:highlight w:val="none"/>
              </w:rPr>
              <w:t>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highlight w:val="none"/>
                <w:lang w:eastAsia="zh-CN"/>
              </w:rPr>
            </w:pPr>
            <w:r>
              <w:rPr>
                <w:rFonts w:hint="eastAsia" w:ascii="仿宋_GB2312" w:hAnsi="仿宋_GB2312" w:eastAsia="仿宋_GB2312" w:cs="仿宋_GB2312"/>
                <w:snapToGrid w:val="0"/>
                <w:color w:val="auto"/>
                <w:kern w:val="28"/>
                <w:sz w:val="24"/>
                <w:highlight w:val="none"/>
                <w:lang w:val="en-US" w:eastAsia="zh-CN"/>
              </w:rPr>
              <w:t>各标项</w:t>
            </w:r>
            <w:r>
              <w:rPr>
                <w:rFonts w:hint="eastAsia" w:ascii="仿宋_GB2312" w:hAnsi="仿宋_GB2312" w:eastAsia="仿宋_GB2312" w:cs="仿宋_GB2312"/>
                <w:snapToGrid w:val="0"/>
                <w:color w:val="auto"/>
                <w:kern w:val="28"/>
                <w:sz w:val="24"/>
                <w:highlight w:val="none"/>
              </w:rPr>
              <w:t>中标人在领取中标通知书时需</w:t>
            </w:r>
            <w:r>
              <w:rPr>
                <w:rFonts w:hint="eastAsia" w:ascii="仿宋_GB2312" w:hAnsi="仿宋_GB2312" w:eastAsia="仿宋_GB2312" w:cs="仿宋_GB2312"/>
                <w:snapToGrid w:val="0"/>
                <w:color w:val="auto"/>
                <w:kern w:val="28"/>
                <w:sz w:val="24"/>
                <w:highlight w:val="none"/>
                <w:lang w:val="en-US" w:eastAsia="zh-CN"/>
              </w:rPr>
              <w:t>按余财政【2018】24号文件服务类计取</w:t>
            </w:r>
            <w:r>
              <w:rPr>
                <w:rFonts w:hint="eastAsia" w:ascii="仿宋_GB2312" w:hAnsi="仿宋_GB2312" w:eastAsia="仿宋_GB2312" w:cs="仿宋_GB2312"/>
                <w:snapToGrid w:val="0"/>
                <w:color w:val="auto"/>
                <w:kern w:val="28"/>
                <w:sz w:val="24"/>
                <w:highlight w:val="none"/>
              </w:rPr>
              <w:t>向招标代理机构支付招标代理服务费，费用包含在总报价中，不单独列项报价。</w:t>
            </w:r>
          </w:p>
          <w:p>
            <w:pPr>
              <w:spacing w:line="360" w:lineRule="auto"/>
              <w:rPr>
                <w:rFonts w:hint="eastAsia" w:ascii="仿宋_GB2312" w:hAnsi="仿宋_GB2312" w:eastAsia="仿宋_GB2312" w:cs="仿宋_GB2312"/>
                <w:snapToGrid w:val="0"/>
                <w:color w:val="auto"/>
                <w:kern w:val="28"/>
                <w:sz w:val="24"/>
                <w:highlight w:val="none"/>
                <w:lang w:eastAsia="zh-CN"/>
              </w:rPr>
            </w:pPr>
            <w:r>
              <w:rPr>
                <w:rFonts w:hint="eastAsia" w:ascii="仿宋_GB2312" w:hAnsi="仿宋_GB2312" w:eastAsia="仿宋_GB2312" w:cs="仿宋_GB2312"/>
                <w:snapToGrid w:val="0"/>
                <w:color w:val="auto"/>
                <w:kern w:val="28"/>
                <w:sz w:val="24"/>
                <w:highlight w:val="none"/>
              </w:rPr>
              <w:t>中标服务费的交纳方式：以转帐或支票的形式支付</w:t>
            </w:r>
            <w:r>
              <w:rPr>
                <w:rFonts w:hint="eastAsia" w:ascii="仿宋_GB2312" w:hAnsi="仿宋_GB2312" w:eastAsia="仿宋_GB2312" w:cs="仿宋_GB2312"/>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snapToGrid w:val="0"/>
                <w:color w:val="auto"/>
                <w:kern w:val="28"/>
                <w:sz w:val="24"/>
                <w:highlight w:val="none"/>
                <w:lang w:val="en-US" w:eastAsia="zh-CN"/>
              </w:rPr>
            </w:pPr>
            <w:r>
              <w:rPr>
                <w:rFonts w:hint="eastAsia" w:ascii="仿宋_GB2312" w:hAnsi="仿宋_GB2312" w:eastAsia="仿宋_GB2312" w:cs="仿宋_GB2312"/>
                <w:snapToGrid w:val="0"/>
                <w:color w:val="auto"/>
                <w:kern w:val="28"/>
                <w:sz w:val="24"/>
                <w:highlight w:val="none"/>
                <w:lang w:val="en-US" w:eastAsia="zh-CN"/>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auto"/>
                <w:kern w:val="28"/>
                <w:sz w:val="24"/>
                <w:highlight w:val="none"/>
              </w:rPr>
            </w:pPr>
            <w:r>
              <w:rPr>
                <w:rFonts w:hint="eastAsia"/>
                <w:b/>
                <w:bCs/>
                <w:color w:val="auto"/>
                <w:sz w:val="24"/>
                <w:szCs w:val="24"/>
                <w:highlight w:val="none"/>
                <w:lang w:val="en-US" w:eastAsia="zh-CN"/>
              </w:rPr>
              <w:t>本次招标共有七个标项；供应商可自行选择标项响应投标，但供应商中标只能中一个标项，中标次序按开标时间的先后顺序确定（各标项按标项一、二的顺序依次进行开评标，如投标人中先开标项的项目，则后面标项不再推荐为中标候选人，注，标项三、四、五、六、七中标单位不再推荐为中标候选人）。</w:t>
            </w:r>
          </w:p>
        </w:tc>
      </w:tr>
    </w:tbl>
    <w:p>
      <w:pPr>
        <w:snapToGrid w:val="0"/>
        <w:spacing w:line="360" w:lineRule="auto"/>
        <w:jc w:val="center"/>
        <w:rPr>
          <w:rFonts w:hint="eastAsia" w:ascii="仿宋_GB2312" w:hAnsi="仿宋_GB2312" w:eastAsia="仿宋_GB2312" w:cs="仿宋_GB2312"/>
          <w:b/>
          <w:color w:val="auto"/>
          <w:sz w:val="32"/>
          <w:szCs w:val="20"/>
          <w:highlight w:val="none"/>
        </w:rPr>
      </w:pPr>
    </w:p>
    <w:p>
      <w:pPr>
        <w:pStyle w:val="4"/>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4"/>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4"/>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4"/>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p>
      <w:pPr>
        <w:pStyle w:val="4"/>
        <w:rPr>
          <w:rFonts w:hint="eastAsia" w:ascii="仿宋_GB2312" w:hAnsi="仿宋_GB2312" w:eastAsia="仿宋_GB2312" w:cs="仿宋_GB2312"/>
          <w:b/>
          <w:color w:val="auto"/>
          <w:sz w:val="32"/>
          <w:szCs w:val="20"/>
          <w:highlight w:val="none"/>
        </w:rPr>
      </w:pPr>
    </w:p>
    <w:p>
      <w:pPr>
        <w:rPr>
          <w:rFonts w:hint="eastAsia"/>
        </w:rPr>
      </w:pPr>
    </w:p>
    <w:p>
      <w:pPr>
        <w:rPr>
          <w:rFonts w:hint="eastAsia" w:ascii="仿宋_GB2312" w:hAnsi="仿宋_GB2312" w:eastAsia="仿宋_GB2312" w:cs="仿宋_GB2312"/>
          <w:b/>
          <w:color w:val="auto"/>
          <w:sz w:val="32"/>
          <w:szCs w:val="20"/>
          <w:highlight w:val="none"/>
        </w:rPr>
      </w:pPr>
    </w:p>
    <w:p>
      <w:pPr>
        <w:pStyle w:val="4"/>
        <w:rPr>
          <w:rFonts w:hint="eastAsia" w:ascii="仿宋_GB2312" w:hAnsi="仿宋_GB2312" w:eastAsia="仿宋_GB2312" w:cs="仿宋_GB2312"/>
          <w:b/>
          <w:color w:val="auto"/>
          <w:sz w:val="32"/>
          <w:szCs w:val="20"/>
          <w:highlight w:val="none"/>
        </w:rPr>
      </w:pPr>
    </w:p>
    <w:p>
      <w:pPr>
        <w:rPr>
          <w:rFonts w:hint="eastAsia" w:ascii="仿宋_GB2312" w:hAnsi="仿宋_GB2312" w:eastAsia="仿宋_GB2312" w:cs="仿宋_GB2312"/>
          <w:b/>
          <w:color w:val="auto"/>
          <w:sz w:val="32"/>
          <w:szCs w:val="20"/>
          <w:highlight w:val="none"/>
        </w:rPr>
      </w:pPr>
    </w:p>
    <w:bookmarkEnd w:id="10"/>
    <w:p>
      <w:pPr>
        <w:adjustRightInd/>
        <w:spacing w:line="360" w:lineRule="auto"/>
        <w:ind w:firstLine="3845" w:firstLineChars="1197"/>
        <w:outlineLvl w:val="0"/>
        <w:rPr>
          <w:rFonts w:hint="eastAsia" w:ascii="仿宋_GB2312" w:hAnsi="仿宋_GB2312" w:eastAsia="仿宋_GB2312" w:cs="仿宋_GB2312"/>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一、总则</w:t>
      </w:r>
    </w:p>
    <w:p>
      <w:pPr>
        <w:snapToGrid w:val="0"/>
        <w:spacing w:line="360" w:lineRule="auto"/>
        <w:ind w:firstLine="361" w:firstLineChars="150"/>
        <w:jc w:val="left"/>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适用范围</w:t>
      </w:r>
    </w:p>
    <w:p>
      <w:pPr>
        <w:snapToGrid w:val="0"/>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2.定义</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“采购人”系指招标公告中载明的本项目的采购人。</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“采购机构”系指招标公告中载明的本项目的采购机构。</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 “▲”系指实质性要求条款，“★”系产品采购项目中单一产品或核心产品，“</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”系指适用本项目的要求，“</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sz w:val="24"/>
          <w:highlight w:val="none"/>
        </w:rPr>
        <w:t>”系指不适用本项目的要求。</w:t>
      </w:r>
    </w:p>
    <w:p>
      <w:pPr>
        <w:spacing w:line="360" w:lineRule="auto"/>
        <w:ind w:firstLine="241" w:firstLineChars="1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3.采购项目需要落实的政府采购政策</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支持绿色发展</w:t>
      </w:r>
    </w:p>
    <w:p>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 询问、质疑、投诉</w:t>
      </w:r>
    </w:p>
    <w:p>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4.2供应商质疑</w:t>
      </w:r>
    </w:p>
    <w:p>
      <w:pPr>
        <w:pStyle w:val="35"/>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4.2</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4.2</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_GB2312" w:hAnsi="仿宋_GB2312" w:eastAsia="仿宋_GB2312" w:cs="仿宋_GB2312"/>
          <w:color w:val="auto"/>
          <w:kern w:val="2"/>
          <w:sz w:val="24"/>
          <w:highlight w:val="none"/>
        </w:rPr>
      </w:pPr>
      <w:r>
        <w:rPr>
          <w:rFonts w:hint="eastAsia" w:ascii="仿宋_GB2312" w:hAnsi="仿宋_GB2312" w:eastAsia="仿宋_GB2312" w:cs="仿宋_GB2312"/>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4.2.3.2质疑项目的名称、编号；</w:t>
      </w:r>
    </w:p>
    <w:p>
      <w:pPr>
        <w:pStyle w:val="35"/>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4.2.3.4事实依据；</w:t>
      </w:r>
    </w:p>
    <w:p>
      <w:pPr>
        <w:pStyle w:val="35"/>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4.2.3.5必要的法律依据；</w:t>
      </w:r>
    </w:p>
    <w:p>
      <w:pPr>
        <w:pStyle w:val="35"/>
        <w:spacing w:line="360" w:lineRule="auto"/>
        <w:ind w:firstLine="960" w:firstLineChars="4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4.2.3.6提出质疑的日期。</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4.2</w:t>
      </w:r>
      <w:r>
        <w:rPr>
          <w:rFonts w:hint="eastAsia" w:ascii="仿宋_GB2312" w:hAnsi="仿宋_GB2312" w:eastAsia="仿宋_GB2312" w:cs="仿宋_GB2312"/>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4.2</w:t>
      </w:r>
      <w:r>
        <w:rPr>
          <w:rFonts w:hint="eastAsia" w:ascii="仿宋_GB2312" w:hAnsi="仿宋_GB2312" w:eastAsia="仿宋_GB2312" w:cs="仿宋_GB2312"/>
          <w:color w:val="auto"/>
          <w:highlight w:val="none"/>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4.3供应商投诉</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w:t>
      </w:r>
      <w:r>
        <w:rPr>
          <w:rFonts w:hint="eastAsia" w:ascii="仿宋_GB2312" w:hAnsi="仿宋_GB2312" w:eastAsia="仿宋_GB2312" w:cs="仿宋_GB2312"/>
          <w:color w:val="auto"/>
          <w:highlight w:val="none"/>
          <w:lang w:val="zh-CN"/>
        </w:rPr>
        <w:t>2</w:t>
      </w:r>
      <w:r>
        <w:rPr>
          <w:rFonts w:hint="eastAsia" w:ascii="仿宋_GB2312" w:hAnsi="仿宋_GB2312" w:eastAsia="仿宋_GB2312" w:cs="仿宋_GB2312"/>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4.3.5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投诉书范本及制作说明详见附件3。</w:t>
      </w:r>
    </w:p>
    <w:p>
      <w:pPr>
        <w:pStyle w:val="88"/>
        <w:snapToGrid w:val="0"/>
        <w:spacing w:before="0"/>
        <w:ind w:firstLine="360"/>
        <w:rPr>
          <w:rFonts w:hint="eastAsia" w:ascii="仿宋_GB2312" w:hAnsi="仿宋_GB2312" w:eastAsia="仿宋_GB2312" w:cs="仿宋_GB2312"/>
          <w:color w:val="auto"/>
          <w:sz w:val="18"/>
          <w:szCs w:val="18"/>
          <w:highlight w:val="none"/>
        </w:rPr>
      </w:pPr>
    </w:p>
    <w:p>
      <w:pPr>
        <w:adjustRightInd/>
        <w:spacing w:line="360" w:lineRule="auto"/>
        <w:jc w:val="center"/>
        <w:outlineLvl w:val="0"/>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 xml:space="preserve">      二、招标文件的构成、澄清、修改</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5．招标文件的构成</w:t>
      </w:r>
    </w:p>
    <w:p>
      <w:pPr>
        <w:pStyle w:val="35"/>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pPr>
        <w:pStyle w:val="35"/>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pPr>
        <w:pStyle w:val="35"/>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pPr>
        <w:pStyle w:val="35"/>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pPr>
        <w:pStyle w:val="35"/>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pPr>
        <w:pStyle w:val="35"/>
        <w:tabs>
          <w:tab w:val="left" w:pos="840"/>
        </w:tabs>
        <w:spacing w:line="360" w:lineRule="auto"/>
        <w:ind w:firstLine="960" w:firstLineChars="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招标文件的澄清、修改</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6.1已获取招标文件的潜在投标人，若有问题需要澄清，应于投标截止时间前，以书面形式向采购机构提出。</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_GB2312" w:hAnsi="仿宋_GB2312" w:eastAsia="仿宋_GB2312" w:cs="仿宋_GB2312"/>
          <w:color w:val="auto"/>
          <w:sz w:val="18"/>
          <w:szCs w:val="18"/>
          <w:highlight w:val="none"/>
          <w:lang w:val="en-US"/>
        </w:rPr>
      </w:pPr>
    </w:p>
    <w:p>
      <w:pPr>
        <w:adjustRightInd/>
        <w:spacing w:line="360" w:lineRule="auto"/>
        <w:jc w:val="center"/>
        <w:outlineLvl w:val="0"/>
        <w:rPr>
          <w:rFonts w:hint="eastAsia" w:ascii="仿宋_GB2312" w:hAnsi="仿宋_GB2312" w:eastAsia="仿宋_GB2312" w:cs="仿宋_GB2312"/>
          <w:b/>
          <w:color w:val="auto"/>
          <w:sz w:val="30"/>
          <w:szCs w:val="20"/>
          <w:highlight w:val="none"/>
        </w:rPr>
      </w:pPr>
      <w:r>
        <w:rPr>
          <w:rFonts w:hint="eastAsia" w:ascii="仿宋_GB2312" w:hAnsi="仿宋_GB2312" w:eastAsia="仿宋_GB2312" w:cs="仿宋_GB2312"/>
          <w:b/>
          <w:color w:val="auto"/>
          <w:sz w:val="30"/>
          <w:szCs w:val="20"/>
          <w:highlight w:val="none"/>
        </w:rPr>
        <w:t>三、投标</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招标文件的获取</w:t>
      </w:r>
    </w:p>
    <w:p>
      <w:pPr>
        <w:spacing w:line="360" w:lineRule="auto"/>
        <w:ind w:firstLine="480" w:firstLineChars="20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8.开标前答疑会或现场考察</w:t>
      </w:r>
    </w:p>
    <w:p>
      <w:pPr>
        <w:pStyle w:val="35"/>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pPr>
        <w:pStyle w:val="6"/>
        <w:spacing w:line="360" w:lineRule="auto"/>
        <w:ind w:firstLine="470" w:firstLineChars="19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 投标文件的语言</w:t>
      </w:r>
    </w:p>
    <w:p>
      <w:pPr>
        <w:autoSpaceDE w:val="0"/>
        <w:autoSpaceDN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 投标文件的组成</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11.1.2落实政府采购政策需满足的资格要求；</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11.1.3本项目的特定资格要求。</w:t>
      </w:r>
    </w:p>
    <w:p>
      <w:pPr>
        <w:snapToGrid w:val="0"/>
        <w:spacing w:line="360" w:lineRule="auto"/>
        <w:ind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2商务技术</w:t>
      </w:r>
      <w:r>
        <w:rPr>
          <w:rFonts w:hint="eastAsia" w:ascii="仿宋_GB2312" w:hAnsi="仿宋_GB2312" w:eastAsia="仿宋_GB2312" w:cs="仿宋_GB2312"/>
          <w:color w:val="auto"/>
          <w:sz w:val="24"/>
          <w:highlight w:val="none"/>
          <w:lang w:val="zh-CN"/>
        </w:rPr>
        <w:t>文件：</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11.2.1投标函；</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11.2.3联合协议；</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11.2.4分包意向协议；</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11.2.5符合性审查资料；</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11.2.6评标标准相应的商务技术资料；</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11.2.7商务技术偏离表；</w:t>
      </w:r>
    </w:p>
    <w:p>
      <w:pPr>
        <w:snapToGrid w:val="0"/>
        <w:spacing w:line="360" w:lineRule="auto"/>
        <w:ind w:firstLine="960" w:firstLineChars="4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pPr>
        <w:pStyle w:val="4"/>
        <w:ind w:left="664" w:leftChars="316" w:firstLine="228" w:firstLineChars="95"/>
        <w:rPr>
          <w:rFonts w:hint="eastAsia"/>
          <w:color w:val="auto"/>
          <w:highlight w:val="none"/>
          <w:lang w:val="zh-CN"/>
        </w:rPr>
      </w:pPr>
      <w:r>
        <w:rPr>
          <w:rFonts w:hint="default" w:ascii="仿宋_GB2312" w:hAnsi="仿宋_GB2312" w:eastAsia="仿宋_GB2312" w:cs="仿宋_GB2312"/>
          <w:b w:val="0"/>
          <w:bCs w:val="0"/>
          <w:color w:val="auto"/>
          <w:kern w:val="2"/>
          <w:sz w:val="24"/>
          <w:szCs w:val="24"/>
          <w:highlight w:val="none"/>
          <w:lang w:val="zh-CN" w:eastAsia="zh-CN" w:bidi="ar-SA"/>
        </w:rPr>
        <w:t>11.2.</w:t>
      </w:r>
      <w:r>
        <w:rPr>
          <w:rFonts w:hint="eastAsia" w:hAnsi="仿宋_GB2312" w:cs="仿宋_GB2312"/>
          <w:b w:val="0"/>
          <w:bCs w:val="0"/>
          <w:color w:val="auto"/>
          <w:kern w:val="2"/>
          <w:sz w:val="24"/>
          <w:szCs w:val="24"/>
          <w:highlight w:val="none"/>
          <w:lang w:val="en-US" w:eastAsia="zh-CN" w:bidi="ar-SA"/>
        </w:rPr>
        <w:t>9</w:t>
      </w:r>
      <w:r>
        <w:rPr>
          <w:rFonts w:hint="default" w:ascii="仿宋_GB2312" w:hAnsi="仿宋_GB2312" w:eastAsia="仿宋_GB2312" w:cs="仿宋_GB2312"/>
          <w:b w:val="0"/>
          <w:bCs w:val="0"/>
          <w:color w:val="auto"/>
          <w:kern w:val="2"/>
          <w:sz w:val="24"/>
          <w:szCs w:val="24"/>
          <w:highlight w:val="none"/>
          <w:lang w:val="zh-CN" w:eastAsia="zh-CN" w:bidi="ar-SA"/>
        </w:rPr>
        <w:t>投标</w:t>
      </w:r>
      <w:r>
        <w:rPr>
          <w:rFonts w:hint="default" w:ascii="仿宋_GB2312" w:hAnsi="仿宋_GB2312" w:eastAsia="仿宋_GB2312" w:cs="仿宋_GB2312"/>
          <w:b w:val="0"/>
          <w:bCs w:val="0"/>
          <w:color w:val="auto"/>
          <w:kern w:val="2"/>
          <w:sz w:val="24"/>
          <w:szCs w:val="24"/>
          <w:highlight w:val="none"/>
          <w:lang w:val="en-US" w:eastAsia="zh-CN" w:bidi="ar-SA"/>
        </w:rPr>
        <w:t>人</w:t>
      </w:r>
      <w:r>
        <w:rPr>
          <w:rFonts w:hint="default" w:ascii="仿宋_GB2312" w:hAnsi="仿宋_GB2312" w:eastAsia="仿宋_GB2312" w:cs="仿宋_GB2312"/>
          <w:b w:val="0"/>
          <w:bCs w:val="0"/>
          <w:color w:val="auto"/>
          <w:kern w:val="2"/>
          <w:sz w:val="24"/>
          <w:szCs w:val="24"/>
          <w:highlight w:val="none"/>
          <w:lang w:val="zh-CN" w:eastAsia="zh-CN" w:bidi="ar-SA"/>
        </w:rPr>
        <w:t>认为需要的其他文件资料</w:t>
      </w:r>
      <w:r>
        <w:rPr>
          <w:rFonts w:hint="default" w:ascii="仿宋_GB2312" w:hAnsi="仿宋" w:eastAsia="仿宋_GB2312" w:cs="仿宋_GB2312"/>
          <w:color w:val="auto"/>
          <w:sz w:val="24"/>
          <w:szCs w:val="20"/>
          <w:highlight w:val="none"/>
          <w:lang w:val="zh-CN" w:eastAsia="zh-CN"/>
        </w:rPr>
        <w:t>（如有）</w:t>
      </w:r>
      <w:r>
        <w:rPr>
          <w:rFonts w:hint="eastAsia" w:cs="仿宋_GB2312"/>
          <w:color w:val="auto"/>
          <w:sz w:val="24"/>
          <w:szCs w:val="20"/>
          <w:highlight w:val="none"/>
          <w:lang w:val="zh-CN" w:eastAsia="zh-CN"/>
        </w:rPr>
        <w:t>。</w:t>
      </w:r>
    </w:p>
    <w:p>
      <w:pPr>
        <w:snapToGrid w:val="0"/>
        <w:spacing w:line="360" w:lineRule="auto"/>
        <w:ind w:firstLine="480" w:firstLineChars="200"/>
        <w:rPr>
          <w:rFonts w:hint="eastAsia"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11.3.1开标一览表（报价表）；</w:t>
      </w:r>
    </w:p>
    <w:p>
      <w:pPr>
        <w:snapToGrid w:val="0"/>
        <w:spacing w:line="360" w:lineRule="auto"/>
        <w:ind w:firstLine="960" w:firstLineChars="4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11.3.</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中小企业声明函</w:t>
      </w:r>
      <w:r>
        <w:rPr>
          <w:rFonts w:hint="eastAsia" w:ascii="仿宋_GB2312" w:hAnsi="仿宋_GB2312" w:eastAsia="仿宋_GB2312" w:cs="仿宋_GB2312"/>
          <w:color w:val="auto"/>
          <w:sz w:val="24"/>
          <w:highlight w:val="none"/>
          <w:lang w:eastAsia="zh-CN"/>
        </w:rPr>
        <w:t>；</w:t>
      </w:r>
    </w:p>
    <w:p>
      <w:pPr>
        <w:snapToGrid w:val="0"/>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11.3.3</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_GB2312" w:eastAsia="仿宋_GB2312" w:cs="仿宋_GB2312"/>
          <w:color w:val="auto"/>
          <w:sz w:val="24"/>
          <w:highlight w:val="none"/>
        </w:rPr>
        <w:t>。</w:t>
      </w:r>
    </w:p>
    <w:p>
      <w:pPr>
        <w:spacing w:line="360" w:lineRule="auto"/>
        <w:ind w:firstLine="723" w:firstLineChars="3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投标文件含有采购人不能接受的附加条件的，投标无效；</w:t>
      </w:r>
    </w:p>
    <w:p>
      <w:pPr>
        <w:spacing w:line="360" w:lineRule="auto"/>
        <w:ind w:firstLine="723" w:firstLineChars="3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highlight w:val="none"/>
        </w:rPr>
        <w:t>投标人提供虚假材料投标的，投标无效。</w:t>
      </w:r>
    </w:p>
    <w:p>
      <w:pPr>
        <w:pStyle w:val="88"/>
        <w:snapToGrid w:val="0"/>
        <w:spacing w:before="0"/>
        <w:ind w:firstLine="0" w:firstLineChars="0"/>
        <w:outlineLvl w:val="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 xml:space="preserve">. </w:t>
      </w:r>
      <w:r>
        <w:rPr>
          <w:rFonts w:hint="eastAsia" w:ascii="仿宋_GB2312" w:hAnsi="仿宋_GB2312" w:eastAsia="仿宋_GB2312" w:cs="仿宋_GB2312"/>
          <w:b/>
          <w:color w:val="auto"/>
          <w:szCs w:val="24"/>
          <w:highlight w:val="none"/>
        </w:rPr>
        <w:t>投标文件的编制</w:t>
      </w:r>
    </w:p>
    <w:p>
      <w:pPr>
        <w:spacing w:line="360" w:lineRule="auto"/>
        <w:ind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13.投标文件的签署、盖章</w:t>
      </w:r>
    </w:p>
    <w:p>
      <w:pPr>
        <w:pStyle w:val="88"/>
        <w:snapToGrid w:val="0"/>
        <w:spacing w:before="0"/>
        <w:ind w:firstLine="48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pPr>
        <w:pStyle w:val="88"/>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 投标文件的提交、补充、修改、撤回</w:t>
      </w:r>
    </w:p>
    <w:p>
      <w:pPr>
        <w:pStyle w:val="88"/>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15.备份投标文件</w:t>
      </w:r>
    </w:p>
    <w:p>
      <w:pPr>
        <w:pStyle w:val="35"/>
        <w:spacing w:line="360" w:lineRule="auto"/>
        <w:ind w:firstLine="360" w:firstLineChars="15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15.2备份投标文件须在“政采云投标客户端”制作生成，并储存在</w:t>
      </w:r>
      <w:r>
        <w:rPr>
          <w:rFonts w:hint="eastAsia" w:ascii="仿宋_GB2312" w:hAnsi="仿宋_GB2312" w:eastAsia="仿宋_GB2312" w:cs="仿宋_GB2312"/>
          <w:color w:val="auto"/>
          <w:sz w:val="24"/>
          <w:highlight w:val="none"/>
        </w:rPr>
        <w:t>DVD光盘或U【】盘</w:t>
      </w:r>
      <w:r>
        <w:rPr>
          <w:rFonts w:hint="eastAsia" w:ascii="仿宋_GB2312" w:hAnsi="仿宋_GB2312" w:eastAsia="仿宋_GB2312" w:cs="仿宋_GB2312"/>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color w:val="auto"/>
          <w:sz w:val="24"/>
          <w:highlight w:val="none"/>
        </w:rPr>
        <w:t>不符合上述制作、</w:t>
      </w:r>
      <w:r>
        <w:rPr>
          <w:rFonts w:hint="eastAsia" w:ascii="仿宋_GB2312" w:hAnsi="仿宋_GB2312" w:eastAsia="仿宋_GB2312" w:cs="仿宋_GB2312"/>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15.3直接提交备份投标文件的，投标人应于投标截止时间前在第二部分投标人须知前附表规定的备份投标文件送达地点将备份投标文件提交给采购机构，采购机构将拒绝接受逾期送达的备份投标文件。</w:t>
      </w:r>
    </w:p>
    <w:p>
      <w:pPr>
        <w:pStyle w:val="35"/>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15.5投标人仅提交备份投标文件，没有在电子交易平台传输递交投标文件的，投标无效。</w:t>
      </w:r>
    </w:p>
    <w:p>
      <w:pPr>
        <w:pStyle w:val="88"/>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16.投标文件的无效处理</w:t>
      </w:r>
    </w:p>
    <w:p>
      <w:pPr>
        <w:pStyle w:val="26"/>
        <w:spacing w:line="360" w:lineRule="auto"/>
        <w:ind w:firstLine="360"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第13项规定</w:t>
      </w:r>
      <w:r>
        <w:rPr>
          <w:rFonts w:hint="eastAsia" w:ascii="仿宋_GB2312" w:hAnsi="仿宋_GB2312" w:eastAsia="仿宋_GB2312" w:cs="仿宋_GB2312"/>
          <w:color w:val="auto"/>
          <w:szCs w:val="21"/>
          <w:highlight w:val="none"/>
        </w:rPr>
        <w:t>的情形之一的，投标无效：</w:t>
      </w:r>
    </w:p>
    <w:p>
      <w:pPr>
        <w:pStyle w:val="88"/>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17.投标有效期</w:t>
      </w:r>
    </w:p>
    <w:p>
      <w:pPr>
        <w:spacing w:line="360" w:lineRule="auto"/>
        <w:ind w:firstLine="480" w:firstLineChars="200"/>
        <w:rPr>
          <w:rFonts w:hint="eastAsia"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17.1投标有效期为从提交投标文件的截止之日起90天。▲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pPr>
        <w:pStyle w:val="88"/>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17.2投标文件合格投递后，自投标截止日期起，在投标有效期内有效。</w:t>
      </w:r>
    </w:p>
    <w:p>
      <w:pPr>
        <w:pStyle w:val="88"/>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hint="eastAsia" w:ascii="仿宋_GB2312" w:hAnsi="仿宋_GB2312" w:eastAsia="仿宋_GB2312" w:cs="仿宋_GB2312"/>
          <w:b/>
          <w:color w:val="auto"/>
          <w:sz w:val="32"/>
          <w:highlight w:val="none"/>
        </w:rPr>
      </w:pPr>
    </w:p>
    <w:p>
      <w:pPr>
        <w:pStyle w:val="88"/>
        <w:spacing w:before="0"/>
        <w:ind w:firstLine="1928" w:firstLineChars="600"/>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四、开标、资格审查与信用信息查询</w:t>
      </w:r>
    </w:p>
    <w:p>
      <w:pPr>
        <w:pStyle w:val="242"/>
        <w:spacing w:before="0" w:line="360" w:lineRule="auto"/>
        <w:ind w:left="0" w:firstLine="241" w:firstLineChars="1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szCs w:val="24"/>
          <w:highlight w:val="none"/>
        </w:rPr>
        <w:t>18.开标</w:t>
      </w:r>
    </w:p>
    <w:p>
      <w:pPr>
        <w:pStyle w:val="242"/>
        <w:spacing w:before="0" w:line="360" w:lineRule="auto"/>
        <w:ind w:left="0" w:firstLine="480" w:firstLineChars="2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　18.3</w:t>
      </w:r>
      <w:r>
        <w:rPr>
          <w:rFonts w:hint="eastAsia" w:ascii="仿宋_GB2312" w:hAnsi="仿宋_GB2312"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color w:val="auto"/>
          <w:sz w:val="24"/>
          <w:szCs w:val="20"/>
          <w:highlight w:val="none"/>
        </w:rPr>
      </w:pPr>
      <w:r>
        <w:rPr>
          <w:rFonts w:hint="eastAsia" w:ascii="仿宋_GB2312" w:hAnsi="仿宋_GB2312" w:eastAsia="仿宋_GB2312" w:cs="仿宋_GB2312"/>
          <w:b/>
          <w:color w:val="auto"/>
          <w:sz w:val="24"/>
          <w:szCs w:val="20"/>
          <w:highlight w:val="none"/>
        </w:rPr>
        <w:t>　19、资格审查</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19.2</w:t>
      </w:r>
      <w:r>
        <w:rPr>
          <w:rFonts w:hint="eastAsia" w:ascii="仿宋_GB2312" w:hAnsi="仿宋_GB2312" w:eastAsia="仿宋_GB2312" w:cs="仿宋_GB2312"/>
          <w:color w:val="auto"/>
          <w:sz w:val="24"/>
          <w:highlight w:val="none"/>
        </w:rPr>
        <w:t>采购人或采购机构依据法律法规和招标文件的规定，对投标人的基本资格条件、特定资格条件进行审查。</w:t>
      </w:r>
    </w:p>
    <w:p>
      <w:pPr>
        <w:pStyle w:val="88"/>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19.3投标人未按照招标文件要求提供与</w:t>
      </w:r>
      <w:r>
        <w:rPr>
          <w:rFonts w:hint="eastAsia" w:ascii="仿宋_GB2312" w:hAnsi="仿宋_GB2312" w:eastAsia="仿宋_GB2312" w:cs="仿宋_GB2312"/>
          <w:color w:val="auto"/>
          <w:highlight w:val="none"/>
        </w:rPr>
        <w:t>基本资格条件、特定资格条件相应的</w:t>
      </w:r>
      <w:r>
        <w:rPr>
          <w:rFonts w:hint="eastAsia" w:ascii="仿宋_GB2312" w:hAnsi="仿宋_GB2312" w:eastAsia="仿宋_GB2312" w:cs="仿宋_GB2312"/>
          <w:color w:val="auto"/>
          <w:kern w:val="0"/>
          <w:szCs w:val="24"/>
          <w:highlight w:val="none"/>
        </w:rPr>
        <w:t>有效资格证明材料的，视为</w:t>
      </w:r>
      <w:r>
        <w:rPr>
          <w:rFonts w:hint="eastAsia" w:ascii="仿宋_GB2312" w:hAnsi="仿宋_GB2312" w:eastAsia="仿宋_GB2312" w:cs="仿宋_GB2312"/>
          <w:color w:val="auto"/>
          <w:highlight w:val="none"/>
        </w:rPr>
        <w:t>投标人不具备招标文件中规定的资格要求，其投标无效。</w:t>
      </w:r>
    </w:p>
    <w:p>
      <w:pPr>
        <w:pStyle w:val="88"/>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w:t>
      </w:r>
      <w:r>
        <w:rPr>
          <w:rFonts w:hint="eastAsia" w:ascii="仿宋_GB2312" w:hAnsi="仿宋_GB2312" w:eastAsia="仿宋_GB2312" w:cs="仿宋_GB2312"/>
          <w:color w:val="auto"/>
          <w:highlight w:val="none"/>
        </w:rPr>
        <w:t>4对未通过资格审查的投标人，采购人或采购机构告知其未通过的原因。</w:t>
      </w:r>
    </w:p>
    <w:p>
      <w:pPr>
        <w:pStyle w:val="88"/>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19.</w:t>
      </w:r>
      <w:r>
        <w:rPr>
          <w:rFonts w:hint="eastAsia" w:ascii="仿宋_GB2312" w:hAnsi="仿宋_GB2312" w:eastAsia="仿宋_GB2312" w:cs="仿宋_GB2312"/>
          <w:color w:val="auto"/>
          <w:highlight w:val="none"/>
        </w:rPr>
        <w:t>5合格投标人不足3家的，不再评标。</w:t>
      </w:r>
    </w:p>
    <w:p>
      <w:pPr>
        <w:pStyle w:val="88"/>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20、信用信息查询</w:t>
      </w:r>
    </w:p>
    <w:p>
      <w:pPr>
        <w:pStyle w:val="88"/>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highlight w:val="none"/>
        </w:rPr>
        <w:t>。</w:t>
      </w:r>
    </w:p>
    <w:p>
      <w:pPr>
        <w:pStyle w:val="88"/>
        <w:spacing w:before="0"/>
        <w:ind w:firstLine="0" w:firstLineChars="0"/>
        <w:rPr>
          <w:rFonts w:hint="eastAsia" w:ascii="仿宋_GB2312" w:hAnsi="仿宋_GB2312" w:eastAsia="仿宋_GB2312" w:cs="仿宋_GB2312"/>
          <w:color w:val="auto"/>
          <w:kern w:val="0"/>
          <w:szCs w:val="24"/>
          <w:highlight w:val="none"/>
        </w:rPr>
      </w:pPr>
    </w:p>
    <w:p>
      <w:pPr>
        <w:snapToGrid w:val="0"/>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五、评标</w:t>
      </w:r>
    </w:p>
    <w:p>
      <w:pPr>
        <w:spacing w:line="360" w:lineRule="auto"/>
        <w:rPr>
          <w:rFonts w:hint="eastAsia" w:ascii="仿宋_GB2312" w:hAnsi="仿宋_GB2312" w:eastAsia="仿宋_GB2312" w:cs="仿宋_GB2312"/>
          <w:b/>
          <w:color w:val="auto"/>
          <w:sz w:val="24"/>
          <w:highlight w:val="none"/>
        </w:rPr>
      </w:pPr>
      <w:bookmarkStart w:id="13" w:name="_Toc91899903"/>
      <w:r>
        <w:rPr>
          <w:rFonts w:hint="eastAsia" w:ascii="仿宋_GB2312" w:hAnsi="仿宋_GB2312" w:eastAsia="仿宋_GB2312" w:cs="仿宋_GB2312"/>
          <w:b/>
          <w:color w:val="auto"/>
          <w:sz w:val="24"/>
          <w:highlight w:val="none"/>
        </w:rPr>
        <w:t>21.</w:t>
      </w:r>
      <w:r>
        <w:rPr>
          <w:rFonts w:hint="eastAsia" w:ascii="仿宋_GB2312" w:hAnsi="仿宋_GB2312"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pPr>
        <w:spacing w:line="360" w:lineRule="auto"/>
        <w:rPr>
          <w:rFonts w:hint="eastAsia" w:ascii="仿宋_GB2312" w:hAnsi="仿宋_GB2312" w:eastAsia="仿宋_GB2312" w:cs="仿宋_GB2312"/>
          <w:b/>
          <w:color w:val="auto"/>
          <w:sz w:val="24"/>
          <w:highlight w:val="none"/>
        </w:rPr>
      </w:pPr>
    </w:p>
    <w:p>
      <w:pPr>
        <w:snapToGrid w:val="0"/>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六、定标</w:t>
      </w:r>
    </w:p>
    <w:p>
      <w:pPr>
        <w:pStyle w:val="2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22. 确定中标供应商</w:t>
      </w:r>
    </w:p>
    <w:p>
      <w:pPr>
        <w:pStyle w:val="88"/>
        <w:snapToGrid w:val="0"/>
        <w:spacing w:before="0"/>
        <w:ind w:firstLine="480"/>
        <w:rPr>
          <w:rFonts w:hint="eastAsia" w:ascii="仿宋_GB2312" w:hAnsi="仿宋_GB2312" w:eastAsia="仿宋_GB2312" w:cs="仿宋_GB2312"/>
          <w:b/>
          <w:color w:val="auto"/>
          <w:szCs w:val="24"/>
          <w:highlight w:val="none"/>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_GB2312" w:eastAsia="仿宋_GB2312" w:cs="仿宋_GB2312"/>
          <w:color w:val="auto"/>
          <w:szCs w:val="24"/>
          <w:highlight w:val="none"/>
        </w:rPr>
        <w:t>。</w:t>
      </w:r>
    </w:p>
    <w:p>
      <w:pPr>
        <w:pStyle w:val="88"/>
        <w:snapToGrid w:val="0"/>
        <w:spacing w:before="0"/>
        <w:ind w:firstLine="0" w:firstLineChars="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23. 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_GB2312" w:hAnsi="仿宋_GB2312" w:eastAsia="仿宋_GB2312" w:cs="仿宋_GB2312"/>
          <w:color w:val="auto"/>
          <w:sz w:val="24"/>
          <w:highlight w:val="none"/>
        </w:rPr>
      </w:pPr>
      <w:r>
        <w:rPr>
          <w:rFonts w:ascii="仿宋_GB2312" w:hAnsi="仿宋" w:eastAsia="仿宋_GB2312" w:cs="仿宋_GB2312"/>
          <w:color w:val="auto"/>
          <w:sz w:val="24"/>
          <w:highlight w:val="none"/>
        </w:rPr>
        <w:t>23.3公告期限为1个工作日</w:t>
      </w:r>
      <w:r>
        <w:rPr>
          <w:rFonts w:hint="eastAsia" w:ascii="仿宋_GB2312" w:hAnsi="仿宋_GB2312" w:eastAsia="仿宋_GB2312" w:cs="仿宋_GB2312"/>
          <w:color w:val="auto"/>
          <w:sz w:val="24"/>
          <w:highlight w:val="none"/>
        </w:rPr>
        <w:t>。</w:t>
      </w:r>
    </w:p>
    <w:p>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p>
    <w:p>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pPr>
        <w:pStyle w:val="2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24. </w:t>
      </w:r>
      <w:r>
        <w:rPr>
          <w:rFonts w:hint="eastAsia" w:ascii="仿宋_GB2312" w:hAnsi="仿宋_GB2312" w:eastAsia="仿宋_GB2312" w:cs="仿宋_GB2312"/>
          <w:color w:val="auto"/>
          <w:highlight w:val="none"/>
        </w:rPr>
        <w:t>合同主要条款详见第五部分拟签订的合同文本。</w:t>
      </w:r>
    </w:p>
    <w:p>
      <w:pPr>
        <w:pStyle w:val="2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25. 合同的签订</w:t>
      </w:r>
    </w:p>
    <w:p>
      <w:pPr>
        <w:widowControl/>
        <w:shd w:val="clear" w:color="auto" w:fill="FFFFFF"/>
        <w:spacing w:line="360" w:lineRule="auto"/>
        <w:ind w:firstLine="48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25.1</w:t>
      </w:r>
      <w:r>
        <w:rPr>
          <w:rFonts w:hint="eastAsia" w:ascii="仿宋_GB2312" w:hAnsi="仿宋_GB2312" w:eastAsia="仿宋_GB2312" w:cs="仿宋_GB2312"/>
          <w:color w:val="auto"/>
          <w:kern w:val="0"/>
          <w:sz w:val="24"/>
          <w:highlight w:val="none"/>
        </w:rPr>
        <w:t xml:space="preserve"> </w:t>
      </w:r>
      <w:r>
        <w:rPr>
          <w:rFonts w:ascii="仿宋_GB2312" w:hAnsi="仿宋" w:eastAsia="仿宋_GB2312" w:cs="Arial"/>
          <w:color w:val="auto"/>
          <w:kern w:val="0"/>
          <w:sz w:val="24"/>
          <w:highlight w:val="none"/>
        </w:rPr>
        <w:t>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88"/>
        <w:snapToGrid w:val="0"/>
        <w:spacing w:before="0"/>
        <w:ind w:firstLine="48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26. 履约保证金</w:t>
      </w:r>
    </w:p>
    <w:p>
      <w:pPr>
        <w:tabs>
          <w:tab w:val="left" w:pos="0"/>
        </w:tabs>
        <w:spacing w:line="360" w:lineRule="auto"/>
        <w:ind w:firstLine="482"/>
        <w:rPr>
          <w:rFonts w:hint="eastAsia" w:ascii="仿宋_GB2312" w:hAnsi="仿宋_GB2312" w:eastAsia="仿宋_GB2312" w:cs="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r>
        <w:rPr>
          <w:rFonts w:hint="eastAsia" w:ascii="仿宋_GB2312" w:hAnsi="仿宋_GB2312" w:eastAsia="仿宋_GB2312" w:cs="仿宋_GB2312"/>
          <w:b/>
          <w:color w:val="auto"/>
          <w:sz w:val="24"/>
          <w:highlight w:val="none"/>
        </w:rPr>
        <w:t>。</w:t>
      </w:r>
    </w:p>
    <w:p>
      <w:pPr>
        <w:pStyle w:val="4"/>
        <w:ind w:left="0" w:firstLine="480" w:firstLineChars="200"/>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snapToGrid w:val="0"/>
          <w:color w:val="auto"/>
          <w:kern w:val="28"/>
          <w:sz w:val="24"/>
          <w:highlight w:val="none"/>
        </w:rPr>
        <w:t>供应商</w:t>
      </w:r>
      <w:r>
        <w:rPr>
          <w:rFonts w:hint="eastAsia" w:ascii="仿宋_GB2312" w:hAnsi="仿宋_GB2312" w:eastAsia="仿宋_GB2312" w:cs="仿宋_GB2312"/>
          <w:b w:val="0"/>
          <w:bCs w:val="0"/>
          <w:snapToGrid w:val="0"/>
          <w:color w:val="auto"/>
          <w:kern w:val="28"/>
          <w:sz w:val="24"/>
          <w:highlight w:val="none"/>
          <w:lang w:val="en-US"/>
        </w:rPr>
        <w:t>可</w:t>
      </w:r>
      <w:r>
        <w:rPr>
          <w:rFonts w:hint="eastAsia" w:ascii="仿宋_GB2312" w:hAnsi="仿宋_GB2312" w:eastAsia="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color w:val="auto"/>
          <w:sz w:val="32"/>
          <w:highlight w:val="none"/>
        </w:rPr>
      </w:pPr>
    </w:p>
    <w:p>
      <w:pPr>
        <w:snapToGrid w:val="0"/>
        <w:spacing w:line="360" w:lineRule="auto"/>
        <w:ind w:firstLine="3357" w:firstLineChars="1045"/>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pPr>
        <w:pStyle w:val="88"/>
        <w:snapToGrid w:val="0"/>
        <w:spacing w:before="0"/>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b/>
          <w:color w:val="auto"/>
          <w:szCs w:val="24"/>
          <w:highlight w:val="none"/>
        </w:rPr>
        <w:t>7. 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27.1电子交易平台发生故障而无法登录访问的； </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27.2电子交易平台应用或数据库出现错误，不能进行正常操作的；</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27.3电子交易平台发现严重安全漏洞，有潜在泄密危险的；</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27.4病毒发作导致不能进行正常操作的； </w:t>
      </w:r>
    </w:p>
    <w:p>
      <w:pPr>
        <w:pStyle w:val="88"/>
        <w:snapToGrid w:val="0"/>
        <w:spacing w:before="0"/>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27.5其他无法保证电子交易的公平、公正和安全的情况。</w:t>
      </w:r>
    </w:p>
    <w:p>
      <w:pPr>
        <w:pStyle w:val="88"/>
        <w:snapToGrid w:val="0"/>
        <w:spacing w:before="0"/>
        <w:ind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九、验收</w:t>
      </w:r>
    </w:p>
    <w:p>
      <w:pPr>
        <w:pStyle w:val="26"/>
        <w:spacing w:line="360" w:lineRule="auto"/>
        <w:ind w:firstLine="0" w:firstLineChars="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29.验收</w:t>
      </w:r>
    </w:p>
    <w:p>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_GB2312" w:hAnsi="仿宋_GB2312" w:eastAsia="仿宋_GB2312" w:cs="仿宋_GB2312"/>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57669"/>
      <w:bookmarkEnd w:id="15"/>
      <w:bookmarkStart w:id="16" w:name="_Hlt74707468"/>
      <w:bookmarkEnd w:id="16"/>
      <w:bookmarkStart w:id="17" w:name="_Hlt74730295"/>
      <w:bookmarkEnd w:id="17"/>
      <w:bookmarkStart w:id="18" w:name="_Hlt75236101"/>
      <w:bookmarkEnd w:id="18"/>
      <w:bookmarkStart w:id="19" w:name="_Hlt74714665"/>
      <w:bookmarkEnd w:id="19"/>
      <w:bookmarkStart w:id="20" w:name="_Hlt75236290"/>
      <w:bookmarkEnd w:id="20"/>
      <w:bookmarkStart w:id="21" w:name="_Hlt68072998"/>
      <w:bookmarkEnd w:id="21"/>
      <w:bookmarkStart w:id="22" w:name="_Hlt68403820"/>
      <w:bookmarkEnd w:id="22"/>
      <w:bookmarkStart w:id="23" w:name="_Hlt68072990"/>
      <w:bookmarkEnd w:id="23"/>
      <w:bookmarkStart w:id="24" w:name="_Hlt68073093"/>
      <w:bookmarkEnd w:id="24"/>
      <w:bookmarkStart w:id="25" w:name="_Hlt75236011"/>
      <w:bookmarkEnd w:id="25"/>
    </w:p>
    <w:bookmarkEnd w:id="11"/>
    <w:bookmarkEnd w:id="12"/>
    <w:p>
      <w:pPr>
        <w:spacing w:line="360" w:lineRule="auto"/>
        <w:jc w:val="center"/>
        <w:outlineLvl w:val="0"/>
        <w:rPr>
          <w:rFonts w:hint="eastAsia" w:ascii="仿宋_GB2312" w:hAnsi="仿宋_GB2312" w:eastAsia="仿宋_GB2312" w:cs="仿宋_GB2312"/>
          <w:b/>
          <w:color w:val="auto"/>
          <w:sz w:val="36"/>
          <w:szCs w:val="36"/>
          <w:highlight w:val="none"/>
        </w:rPr>
      </w:pPr>
      <w:bookmarkStart w:id="26" w:name="第四部分"/>
      <w:r>
        <w:rPr>
          <w:rFonts w:hint="eastAsia" w:ascii="仿宋_GB2312" w:hAnsi="仿宋_GB2312" w:eastAsia="仿宋_GB2312" w:cs="仿宋_GB2312"/>
          <w:b/>
          <w:color w:val="auto"/>
          <w:sz w:val="36"/>
          <w:szCs w:val="36"/>
          <w:highlight w:val="none"/>
        </w:rPr>
        <w:t>第三部分采购需求</w:t>
      </w:r>
    </w:p>
    <w:p>
      <w:pPr>
        <w:pStyle w:val="3"/>
        <w:spacing w:before="120" w:after="120"/>
        <w:ind w:left="0" w:leftChars="0" w:firstLine="0" w:firstLineChars="0"/>
        <w:jc w:val="both"/>
        <w:rPr>
          <w:rFonts w:hint="eastAsia" w:ascii="宋体" w:hAnsi="宋体" w:eastAsia="宋体"/>
          <w:b w:val="0"/>
          <w:color w:val="auto"/>
          <w:sz w:val="24"/>
          <w:highlight w:val="none"/>
          <w:lang w:eastAsia="zh-CN"/>
        </w:rPr>
      </w:pPr>
    </w:p>
    <w:p>
      <w:pPr>
        <w:tabs>
          <w:tab w:val="left" w:pos="3172"/>
        </w:tabs>
        <w:adjustRightInd w:val="0"/>
        <w:snapToGrid w:val="0"/>
        <w:spacing w:line="360" w:lineRule="auto"/>
        <w:rPr>
          <w:rFonts w:hint="eastAsia" w:ascii="宋体" w:hAnsi="宋体" w:eastAsia="宋体"/>
          <w:b/>
          <w:color w:val="000000"/>
          <w:sz w:val="24"/>
          <w:lang w:eastAsia="zh-CN"/>
        </w:rPr>
      </w:pPr>
      <w:r>
        <w:rPr>
          <w:rFonts w:ascii="宋体" w:hAnsi="宋体"/>
          <w:b/>
          <w:bCs/>
          <w:color w:val="000000"/>
          <w:sz w:val="24"/>
        </w:rPr>
        <w:t>一、</w:t>
      </w:r>
      <w:r>
        <w:rPr>
          <w:rFonts w:ascii="宋体" w:hAnsi="宋体"/>
          <w:b/>
          <w:color w:val="000000"/>
          <w:sz w:val="24"/>
        </w:rPr>
        <w:t>项目概述</w:t>
      </w:r>
      <w:r>
        <w:rPr>
          <w:rFonts w:hint="eastAsia" w:ascii="宋体" w:hAnsi="宋体"/>
          <w:b/>
          <w:color w:val="000000"/>
          <w:sz w:val="24"/>
          <w:lang w:eastAsia="zh-CN"/>
        </w:rPr>
        <w:tab/>
      </w:r>
    </w:p>
    <w:p>
      <w:pPr>
        <w:pStyle w:val="387"/>
        <w:tabs>
          <w:tab w:val="left" w:pos="6300"/>
        </w:tabs>
        <w:spacing w:after="0"/>
        <w:ind w:left="0" w:leftChars="0" w:firstLine="434" w:firstLineChars="181"/>
        <w:rPr>
          <w:rFonts w:ascii="宋体" w:hAnsi="宋体"/>
          <w:color w:val="000000"/>
        </w:rPr>
      </w:pPr>
      <w:r>
        <w:rPr>
          <w:rFonts w:ascii="宋体" w:hAnsi="宋体"/>
          <w:color w:val="000000"/>
        </w:rPr>
        <w:t>总体概述：数字城管信息采集是本着 “群专结合”和“政府花钱买服务”、“养事不养人”的原则，将数字城管覆盖范围内的城市事、部件委托具有信息采集能力、劳动和社会保障事务代理服务、劳动合作交流、职业培训等人力资源项目的管理和服务能力的公司或事业法人单位，按照城市事、部件管理标准、巡查监管要求，并以社区为基本工作区域，进行定时、全面、公正、及时的监管和有效信息数据采集（立案）、准确传输以及核查、核实等，保证问题的及时发现和全面处置。为体现采集数据的公正，有属地管理职责的公司或事业法人单位，不得在当地实施采集工作。</w:t>
      </w:r>
    </w:p>
    <w:p>
      <w:pPr>
        <w:pStyle w:val="387"/>
        <w:tabs>
          <w:tab w:val="left" w:pos="6300"/>
        </w:tabs>
        <w:spacing w:after="0"/>
        <w:ind w:left="0" w:leftChars="0"/>
        <w:rPr>
          <w:rFonts w:ascii="宋体" w:hAnsi="宋体"/>
        </w:rPr>
      </w:pPr>
      <w:r>
        <w:rPr>
          <w:rFonts w:hint="eastAsia" w:ascii="宋体" w:hAnsi="宋体"/>
          <w:b/>
          <w:bCs/>
          <w:lang w:val="en-US" w:eastAsia="zh-CN"/>
        </w:rPr>
        <w:t>1、</w:t>
      </w:r>
      <w:r>
        <w:rPr>
          <w:rFonts w:ascii="宋体" w:hAnsi="宋体"/>
          <w:b/>
          <w:bCs/>
        </w:rPr>
        <w:t>项目实施时间：</w:t>
      </w:r>
      <w:r>
        <w:rPr>
          <w:rFonts w:ascii="宋体" w:hAnsi="宋体"/>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812"/>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noWrap w:val="0"/>
            <w:vAlign w:val="center"/>
          </w:tcPr>
          <w:p>
            <w:pPr>
              <w:pStyle w:val="35"/>
              <w:spacing w:line="360" w:lineRule="auto"/>
              <w:jc w:val="center"/>
              <w:rPr>
                <w:rFonts w:ascii="宋体" w:hAnsi="宋体" w:eastAsia="宋体"/>
                <w:color w:val="auto"/>
                <w:sz w:val="24"/>
              </w:rPr>
            </w:pPr>
            <w:r>
              <w:rPr>
                <w:rFonts w:ascii="宋体" w:hAnsi="宋体" w:eastAsia="宋体"/>
                <w:color w:val="auto"/>
                <w:sz w:val="24"/>
              </w:rPr>
              <w:t>标项</w:t>
            </w:r>
          </w:p>
        </w:tc>
        <w:tc>
          <w:tcPr>
            <w:tcW w:w="3812" w:type="dxa"/>
            <w:noWrap w:val="0"/>
            <w:vAlign w:val="center"/>
          </w:tcPr>
          <w:p>
            <w:pPr>
              <w:pStyle w:val="35"/>
              <w:spacing w:line="360" w:lineRule="auto"/>
              <w:jc w:val="center"/>
              <w:rPr>
                <w:rFonts w:ascii="宋体" w:hAnsi="宋体" w:eastAsia="宋体"/>
                <w:color w:val="auto"/>
                <w:sz w:val="24"/>
              </w:rPr>
            </w:pPr>
            <w:r>
              <w:rPr>
                <w:rFonts w:ascii="宋体" w:hAnsi="宋体" w:eastAsia="宋体"/>
                <w:color w:val="auto"/>
                <w:sz w:val="24"/>
              </w:rPr>
              <w:t>街道</w:t>
            </w:r>
          </w:p>
        </w:tc>
        <w:tc>
          <w:tcPr>
            <w:tcW w:w="4050" w:type="dxa"/>
            <w:noWrap w:val="0"/>
            <w:vAlign w:val="center"/>
          </w:tcPr>
          <w:p>
            <w:pPr>
              <w:pStyle w:val="35"/>
              <w:spacing w:line="360" w:lineRule="auto"/>
              <w:jc w:val="center"/>
              <w:rPr>
                <w:rFonts w:ascii="宋体" w:hAnsi="宋体" w:eastAsia="宋体"/>
                <w:color w:val="auto"/>
                <w:sz w:val="24"/>
              </w:rPr>
            </w:pPr>
            <w:r>
              <w:rPr>
                <w:rFonts w:ascii="宋体" w:hAnsi="宋体" w:eastAsia="宋体"/>
                <w:color w:val="auto"/>
                <w:sz w:val="24"/>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260" w:type="dxa"/>
            <w:noWrap w:val="0"/>
            <w:vAlign w:val="center"/>
          </w:tcPr>
          <w:p>
            <w:pPr>
              <w:pStyle w:val="35"/>
              <w:spacing w:line="360" w:lineRule="auto"/>
              <w:jc w:val="center"/>
              <w:rPr>
                <w:rFonts w:ascii="宋体" w:hAnsi="宋体" w:eastAsia="宋体"/>
                <w:color w:val="auto"/>
                <w:sz w:val="24"/>
              </w:rPr>
            </w:pPr>
            <w:r>
              <w:rPr>
                <w:rFonts w:ascii="宋体" w:hAnsi="宋体" w:eastAsia="宋体"/>
                <w:color w:val="auto"/>
                <w:sz w:val="24"/>
              </w:rPr>
              <w:t>一</w:t>
            </w:r>
          </w:p>
        </w:tc>
        <w:tc>
          <w:tcPr>
            <w:tcW w:w="3812" w:type="dxa"/>
            <w:noWrap w:val="0"/>
            <w:vAlign w:val="center"/>
          </w:tcPr>
          <w:p>
            <w:pPr>
              <w:pStyle w:val="35"/>
              <w:spacing w:line="360" w:lineRule="auto"/>
              <w:rPr>
                <w:rFonts w:hint="default" w:ascii="宋体" w:hAnsi="宋体" w:eastAsia="宋体"/>
                <w:color w:val="auto"/>
                <w:sz w:val="24"/>
                <w:lang w:val="en-US" w:eastAsia="zh-CN"/>
              </w:rPr>
            </w:pPr>
            <w:r>
              <w:rPr>
                <w:rFonts w:hint="eastAsia" w:ascii="宋体" w:hAnsi="宋体" w:eastAsia="宋体"/>
                <w:color w:val="auto"/>
                <w:sz w:val="24"/>
                <w:lang w:val="en-US" w:eastAsia="zh-CN"/>
              </w:rPr>
              <w:t>良渚街道、仁和街道；</w:t>
            </w:r>
          </w:p>
        </w:tc>
        <w:tc>
          <w:tcPr>
            <w:tcW w:w="4050" w:type="dxa"/>
            <w:noWrap w:val="0"/>
            <w:vAlign w:val="center"/>
          </w:tcPr>
          <w:p>
            <w:pPr>
              <w:pStyle w:val="35"/>
              <w:spacing w:line="360" w:lineRule="auto"/>
              <w:rPr>
                <w:rFonts w:ascii="宋体" w:hAnsi="宋体" w:eastAsia="宋体"/>
                <w:color w:val="auto"/>
                <w:sz w:val="24"/>
              </w:rPr>
            </w:pPr>
            <w:r>
              <w:rPr>
                <w:rFonts w:hint="eastAsia" w:ascii="宋体" w:hAnsi="宋体" w:eastAsia="宋体"/>
                <w:color w:val="auto"/>
                <w:sz w:val="24"/>
              </w:rPr>
              <w:t>合同</w:t>
            </w:r>
            <w:r>
              <w:rPr>
                <w:rFonts w:ascii="宋体" w:hAnsi="宋体" w:eastAsia="宋体"/>
                <w:color w:val="auto"/>
                <w:sz w:val="24"/>
              </w:rPr>
              <w:t>约定时间至20</w:t>
            </w:r>
            <w:r>
              <w:rPr>
                <w:rFonts w:hint="eastAsia" w:ascii="宋体" w:hAnsi="宋体" w:eastAsia="宋体"/>
                <w:color w:val="auto"/>
                <w:sz w:val="24"/>
              </w:rPr>
              <w:t>2</w:t>
            </w:r>
            <w:r>
              <w:rPr>
                <w:rFonts w:hint="eastAsia" w:ascii="宋体" w:hAnsi="宋体" w:eastAsia="宋体"/>
                <w:color w:val="auto"/>
                <w:sz w:val="24"/>
                <w:lang w:val="en-US" w:eastAsia="zh-CN"/>
              </w:rPr>
              <w:t>3</w:t>
            </w:r>
            <w:r>
              <w:rPr>
                <w:rFonts w:ascii="宋体" w:hAnsi="宋体" w:eastAsia="宋体"/>
                <w:color w:val="auto"/>
                <w:sz w:val="24"/>
              </w:rPr>
              <w:t>年</w:t>
            </w:r>
            <w:r>
              <w:rPr>
                <w:rFonts w:hint="eastAsia" w:ascii="宋体" w:hAnsi="宋体" w:eastAsia="宋体"/>
                <w:color w:val="auto"/>
                <w:sz w:val="24"/>
                <w:lang w:val="en-US" w:eastAsia="zh-CN"/>
              </w:rPr>
              <w:t>11</w:t>
            </w:r>
            <w:r>
              <w:rPr>
                <w:rFonts w:ascii="宋体" w:hAnsi="宋体" w:eastAsia="宋体"/>
                <w:color w:val="auto"/>
                <w:sz w:val="24"/>
              </w:rPr>
              <w:t>月3</w:t>
            </w:r>
            <w:r>
              <w:rPr>
                <w:rFonts w:hint="eastAsia" w:ascii="宋体" w:hAnsi="宋体" w:eastAsia="宋体"/>
                <w:color w:val="auto"/>
                <w:sz w:val="24"/>
                <w:lang w:val="en-US" w:eastAsia="zh-CN"/>
              </w:rPr>
              <w:t>0</w:t>
            </w:r>
            <w:r>
              <w:rPr>
                <w:rFonts w:ascii="宋体" w:hAnsi="宋体" w:eastAsia="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260" w:type="dxa"/>
            <w:noWrap w:val="0"/>
            <w:vAlign w:val="center"/>
          </w:tcPr>
          <w:p>
            <w:pPr>
              <w:pStyle w:val="35"/>
              <w:spacing w:line="360" w:lineRule="auto"/>
              <w:jc w:val="center"/>
              <w:rPr>
                <w:rFonts w:ascii="宋体" w:hAnsi="宋体" w:eastAsia="宋体"/>
                <w:color w:val="auto"/>
                <w:sz w:val="24"/>
              </w:rPr>
            </w:pPr>
            <w:r>
              <w:rPr>
                <w:rFonts w:ascii="宋体" w:hAnsi="宋体" w:eastAsia="宋体"/>
                <w:color w:val="auto"/>
                <w:sz w:val="24"/>
              </w:rPr>
              <w:t>二</w:t>
            </w:r>
          </w:p>
        </w:tc>
        <w:tc>
          <w:tcPr>
            <w:tcW w:w="3812" w:type="dxa"/>
            <w:noWrap w:val="0"/>
            <w:vAlign w:val="center"/>
          </w:tcPr>
          <w:p>
            <w:pPr>
              <w:pStyle w:val="35"/>
              <w:spacing w:line="360" w:lineRule="auto"/>
              <w:rPr>
                <w:rFonts w:hint="default" w:ascii="宋体" w:hAnsi="宋体" w:eastAsia="宋体"/>
                <w:color w:val="auto"/>
                <w:sz w:val="24"/>
                <w:lang w:val="en-US" w:eastAsia="zh-CN"/>
              </w:rPr>
            </w:pPr>
            <w:r>
              <w:rPr>
                <w:rFonts w:hint="eastAsia" w:ascii="宋体" w:hAnsi="宋体" w:eastAsia="宋体"/>
                <w:color w:val="auto"/>
                <w:sz w:val="24"/>
                <w:lang w:val="en-US" w:eastAsia="zh-CN"/>
              </w:rPr>
              <w:t>仓前街道；</w:t>
            </w:r>
          </w:p>
        </w:tc>
        <w:tc>
          <w:tcPr>
            <w:tcW w:w="4050" w:type="dxa"/>
            <w:noWrap w:val="0"/>
            <w:vAlign w:val="center"/>
          </w:tcPr>
          <w:p>
            <w:pPr>
              <w:pStyle w:val="35"/>
              <w:spacing w:line="360" w:lineRule="auto"/>
              <w:rPr>
                <w:rFonts w:ascii="宋体" w:hAnsi="宋体" w:eastAsia="宋体"/>
                <w:color w:val="auto"/>
                <w:sz w:val="24"/>
              </w:rPr>
            </w:pPr>
            <w:r>
              <w:rPr>
                <w:rFonts w:hint="eastAsia" w:ascii="宋体" w:hAnsi="宋体" w:eastAsia="宋体"/>
                <w:color w:val="auto"/>
                <w:sz w:val="24"/>
              </w:rPr>
              <w:t>合同</w:t>
            </w:r>
            <w:r>
              <w:rPr>
                <w:rFonts w:ascii="宋体" w:hAnsi="宋体" w:eastAsia="宋体"/>
                <w:color w:val="auto"/>
                <w:sz w:val="24"/>
              </w:rPr>
              <w:t>约定时间至20</w:t>
            </w:r>
            <w:r>
              <w:rPr>
                <w:rFonts w:hint="eastAsia" w:ascii="宋体" w:hAnsi="宋体" w:eastAsia="宋体"/>
                <w:color w:val="auto"/>
                <w:sz w:val="24"/>
              </w:rPr>
              <w:t>2</w:t>
            </w:r>
            <w:r>
              <w:rPr>
                <w:rFonts w:hint="eastAsia" w:ascii="宋体" w:hAnsi="宋体" w:eastAsia="宋体"/>
                <w:color w:val="auto"/>
                <w:sz w:val="24"/>
                <w:lang w:val="en-US" w:eastAsia="zh-CN"/>
              </w:rPr>
              <w:t>3</w:t>
            </w:r>
            <w:r>
              <w:rPr>
                <w:rFonts w:ascii="宋体" w:hAnsi="宋体" w:eastAsia="宋体"/>
                <w:color w:val="auto"/>
                <w:sz w:val="24"/>
              </w:rPr>
              <w:t>年</w:t>
            </w:r>
            <w:r>
              <w:rPr>
                <w:rFonts w:hint="eastAsia" w:ascii="宋体" w:hAnsi="宋体" w:eastAsia="宋体"/>
                <w:color w:val="auto"/>
                <w:sz w:val="24"/>
                <w:lang w:val="en-US" w:eastAsia="zh-CN"/>
              </w:rPr>
              <w:t>11</w:t>
            </w:r>
            <w:r>
              <w:rPr>
                <w:rFonts w:ascii="宋体" w:hAnsi="宋体" w:eastAsia="宋体"/>
                <w:color w:val="auto"/>
                <w:sz w:val="24"/>
              </w:rPr>
              <w:t>月3</w:t>
            </w:r>
            <w:r>
              <w:rPr>
                <w:rFonts w:hint="eastAsia" w:ascii="宋体" w:hAnsi="宋体" w:eastAsia="宋体"/>
                <w:color w:val="auto"/>
                <w:sz w:val="24"/>
                <w:lang w:val="en-US" w:eastAsia="zh-CN"/>
              </w:rPr>
              <w:t>0</w:t>
            </w:r>
            <w:r>
              <w:rPr>
                <w:rFonts w:ascii="宋体" w:hAnsi="宋体" w:eastAsia="宋体"/>
                <w:color w:val="auto"/>
                <w:sz w:val="24"/>
              </w:rPr>
              <w:t>日</w:t>
            </w:r>
          </w:p>
        </w:tc>
      </w:tr>
    </w:tbl>
    <w:p>
      <w:pPr>
        <w:shd w:val="clear" w:color="auto" w:fill="auto"/>
        <w:tabs>
          <w:tab w:val="left" w:pos="6300"/>
        </w:tabs>
        <w:adjustRightInd w:val="0"/>
        <w:snapToGrid w:val="0"/>
        <w:spacing w:line="360" w:lineRule="auto"/>
        <w:ind w:firstLine="480" w:firstLineChars="200"/>
        <w:rPr>
          <w:rFonts w:hint="default" w:ascii="宋体" w:hAnsi="宋体"/>
          <w:b/>
          <w:bCs/>
          <w:color w:val="auto"/>
          <w:sz w:val="24"/>
          <w:highlight w:val="none"/>
          <w:lang w:val="en-US" w:eastAsia="zh-CN"/>
        </w:rPr>
      </w:pPr>
      <w:r>
        <w:rPr>
          <w:rFonts w:hint="eastAsia" w:ascii="仿宋_GB2312" w:hAnsi="仿宋_GB2312" w:eastAsia="仿宋_GB2312" w:cs="仿宋_GB2312"/>
          <w:color w:val="auto"/>
          <w:sz w:val="24"/>
          <w:szCs w:val="20"/>
          <w:highlight w:val="none"/>
        </w:rPr>
        <w:t>▲</w:t>
      </w:r>
      <w:r>
        <w:rPr>
          <w:rFonts w:hint="eastAsia" w:ascii="宋体" w:hAnsi="宋体"/>
          <w:b/>
          <w:bCs/>
          <w:color w:val="auto"/>
          <w:sz w:val="24"/>
          <w:highlight w:val="none"/>
          <w:lang w:val="en-US" w:eastAsia="zh-CN"/>
        </w:rPr>
        <w:t>特别说明：2022年12月1日至中标人进场服务之日前的空档期数字城管信息采集服务由原供应商承担，费用由中标人按本次中标价单日金额乘以实际服务天数，与原供应商结算。</w:t>
      </w:r>
    </w:p>
    <w:p>
      <w:pPr>
        <w:tabs>
          <w:tab w:val="left" w:pos="6300"/>
        </w:tabs>
        <w:adjustRightInd w:val="0"/>
        <w:snapToGrid w:val="0"/>
        <w:spacing w:line="360" w:lineRule="auto"/>
        <w:ind w:firstLine="482" w:firstLineChars="200"/>
        <w:rPr>
          <w:rFonts w:hint="eastAsia" w:ascii="宋体" w:hAnsi="宋体"/>
          <w:b/>
          <w:bCs/>
          <w:color w:val="auto"/>
          <w:sz w:val="24"/>
          <w:lang w:val="en-US" w:eastAsia="zh-CN"/>
        </w:rPr>
      </w:pPr>
    </w:p>
    <w:p>
      <w:pPr>
        <w:tabs>
          <w:tab w:val="left" w:pos="6300"/>
        </w:tabs>
        <w:adjustRightInd w:val="0"/>
        <w:snapToGrid w:val="0"/>
        <w:spacing w:line="360" w:lineRule="auto"/>
        <w:ind w:firstLine="482" w:firstLineChars="200"/>
        <w:rPr>
          <w:rFonts w:ascii="宋体" w:hAnsi="宋体" w:eastAsia="宋体"/>
          <w:b/>
          <w:bCs/>
        </w:rPr>
      </w:pPr>
      <w:r>
        <w:rPr>
          <w:rFonts w:hint="eastAsia" w:ascii="宋体" w:hAnsi="宋体"/>
          <w:b/>
          <w:bCs/>
          <w:color w:val="auto"/>
          <w:sz w:val="24"/>
          <w:lang w:val="en-US" w:eastAsia="zh-CN"/>
        </w:rPr>
        <w:t>2、</w:t>
      </w:r>
      <w:r>
        <w:rPr>
          <w:rFonts w:ascii="宋体" w:hAnsi="宋体"/>
          <w:b/>
          <w:bCs/>
          <w:color w:val="auto"/>
          <w:sz w:val="24"/>
        </w:rPr>
        <w:t>实施范围：</w:t>
      </w:r>
    </w:p>
    <w:p>
      <w:pPr>
        <w:tabs>
          <w:tab w:val="left" w:pos="6300"/>
        </w:tabs>
        <w:adjustRightInd w:val="0"/>
        <w:snapToGrid w:val="0"/>
        <w:spacing w:line="360" w:lineRule="auto"/>
        <w:rPr>
          <w:rFonts w:ascii="宋体" w:hAnsi="宋体"/>
          <w:b/>
          <w:bCs/>
          <w:color w:val="000000"/>
          <w:sz w:val="24"/>
        </w:rPr>
      </w:pPr>
    </w:p>
    <w:p>
      <w:pPr>
        <w:tabs>
          <w:tab w:val="left" w:pos="6300"/>
        </w:tabs>
        <w:adjustRightInd w:val="0"/>
        <w:snapToGrid w:val="0"/>
        <w:spacing w:line="360" w:lineRule="auto"/>
        <w:rPr>
          <w:rFonts w:ascii="宋体" w:hAnsi="宋体"/>
          <w:b/>
          <w:bCs/>
          <w:color w:val="000000"/>
          <w:sz w:val="24"/>
        </w:rPr>
      </w:pPr>
    </w:p>
    <w:p>
      <w:pPr>
        <w:tabs>
          <w:tab w:val="left" w:pos="6300"/>
        </w:tabs>
        <w:adjustRightInd w:val="0"/>
        <w:snapToGrid w:val="0"/>
        <w:spacing w:line="360" w:lineRule="auto"/>
        <w:rPr>
          <w:rFonts w:ascii="宋体" w:hAnsi="宋体"/>
          <w:b/>
          <w:bCs/>
          <w:color w:val="000000"/>
          <w:sz w:val="24"/>
        </w:rPr>
        <w:sectPr>
          <w:headerReference r:id="rId8" w:type="default"/>
          <w:footerReference r:id="rId9" w:type="default"/>
          <w:footerReference r:id="rId10" w:type="even"/>
          <w:pgSz w:w="11907" w:h="16839"/>
          <w:pgMar w:top="1304" w:right="1565" w:bottom="1247" w:left="1344" w:header="851" w:footer="992" w:gutter="0"/>
          <w:pgBorders>
            <w:top w:val="none" w:sz="0" w:space="0"/>
            <w:left w:val="none" w:sz="0" w:space="0"/>
            <w:bottom w:val="none" w:sz="0" w:space="0"/>
            <w:right w:val="none" w:sz="0" w:space="0"/>
          </w:pgBorders>
          <w:cols w:space="720" w:num="1"/>
          <w:docGrid w:type="lines" w:linePitch="312" w:charSpace="0"/>
        </w:sectPr>
      </w:pPr>
    </w:p>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6"/>
        <w:gridCol w:w="2039"/>
        <w:gridCol w:w="2788"/>
        <w:gridCol w:w="2779"/>
        <w:gridCol w:w="3078"/>
        <w:gridCol w:w="2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标项</w:t>
            </w:r>
          </w:p>
        </w:tc>
        <w:tc>
          <w:tcPr>
            <w:tcW w:w="2039" w:type="dxa"/>
            <w:vMerge w:val="restart"/>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街道</w:t>
            </w:r>
          </w:p>
        </w:tc>
        <w:tc>
          <w:tcPr>
            <w:tcW w:w="11566" w:type="dxa"/>
            <w:gridSpan w:val="4"/>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实施范围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jc w:val="center"/>
              <w:rPr>
                <w:rFonts w:hint="eastAsia" w:ascii="黑体" w:hAnsi="宋体" w:eastAsia="黑体" w:cs="黑体"/>
                <w:b/>
                <w:bCs/>
                <w:i w:val="0"/>
                <w:iCs w:val="0"/>
                <w:color w:val="000000"/>
                <w:sz w:val="28"/>
                <w:szCs w:val="28"/>
                <w:u w:val="none"/>
              </w:rPr>
            </w:pPr>
          </w:p>
        </w:tc>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jc w:val="center"/>
              <w:rPr>
                <w:rFonts w:hint="eastAsia" w:ascii="黑体" w:hAnsi="宋体" w:eastAsia="黑体" w:cs="黑体"/>
                <w:b/>
                <w:bCs/>
                <w:i w:val="0"/>
                <w:iCs w:val="0"/>
                <w:color w:val="000000"/>
                <w:sz w:val="28"/>
                <w:szCs w:val="2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东</w:t>
            </w:r>
          </w:p>
        </w:tc>
        <w:tc>
          <w:tcPr>
            <w:tcW w:w="2779"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南</w:t>
            </w:r>
          </w:p>
        </w:tc>
        <w:tc>
          <w:tcPr>
            <w:tcW w:w="307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西</w:t>
            </w:r>
          </w:p>
        </w:tc>
        <w:tc>
          <w:tcPr>
            <w:tcW w:w="292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良渚街道</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京杭运河-康桥路-上塘高架</w:t>
            </w: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拱墅区界-西湖区界</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西湖区界-古墩路</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良博路-良渚路-棕榈路-储运路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仁和街道</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獐山路-和旺街</w:t>
            </w: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三星路（不含）</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葛墩路-东西大道</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启航路（不含）-求学路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仓前街道</w:t>
            </w:r>
          </w:p>
        </w:tc>
        <w:tc>
          <w:tcPr>
            <w:tcW w:w="2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highlight w:val="yellow"/>
                <w:u w:val="none"/>
                <w:lang w:val="en-US" w:eastAsia="zh-CN" w:bidi="ar"/>
              </w:rPr>
              <w:t>聚橙路</w:t>
            </w: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highlight w:val="yellow"/>
                <w:u w:val="none"/>
                <w:lang w:val="en-US" w:eastAsia="zh-CN" w:bidi="ar"/>
              </w:rPr>
              <w:t>文二西路</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highlight w:val="yellow"/>
                <w:u w:val="none"/>
                <w:lang w:val="en-US" w:eastAsia="zh-CN" w:bidi="ar"/>
              </w:rPr>
              <w:t>运溪路</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石祥西路</w:t>
            </w:r>
          </w:p>
        </w:tc>
      </w:tr>
    </w:tbl>
    <w:p>
      <w:pPr>
        <w:bidi w:val="0"/>
        <w:sectPr>
          <w:pgSz w:w="16839" w:h="11907" w:orient="landscape"/>
          <w:pgMar w:top="1344" w:right="1304" w:bottom="1565" w:left="1247" w:header="851" w:footer="992"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tabs>
          <w:tab w:val="left" w:pos="6300"/>
        </w:tabs>
        <w:kinsoku/>
        <w:wordWrap/>
        <w:topLinePunct w:val="0"/>
        <w:bidi w:val="0"/>
        <w:adjustRightInd w:val="0"/>
        <w:snapToGrid w:val="0"/>
        <w:spacing w:line="440" w:lineRule="exact"/>
        <w:textAlignment w:val="auto"/>
        <w:rPr>
          <w:rFonts w:ascii="宋体" w:hAnsi="宋体"/>
          <w:b/>
          <w:bCs/>
          <w:sz w:val="24"/>
        </w:rPr>
      </w:pPr>
      <w:r>
        <w:rPr>
          <w:rFonts w:ascii="宋体" w:hAnsi="宋体"/>
          <w:b/>
          <w:bCs/>
          <w:sz w:val="24"/>
        </w:rPr>
        <w:t>二、详细的服务要求：</w:t>
      </w:r>
    </w:p>
    <w:p>
      <w:pPr>
        <w:keepNext w:val="0"/>
        <w:keepLines w:val="0"/>
        <w:pageBreakBefore w:val="0"/>
        <w:tabs>
          <w:tab w:val="left" w:pos="6300"/>
        </w:tabs>
        <w:kinsoku/>
        <w:wordWrap/>
        <w:topLinePunct w:val="0"/>
        <w:bidi w:val="0"/>
        <w:spacing w:line="440" w:lineRule="exact"/>
        <w:textAlignment w:val="auto"/>
        <w:rPr>
          <w:rFonts w:ascii="宋体" w:hAnsi="宋体"/>
          <w:b/>
          <w:sz w:val="24"/>
        </w:rPr>
      </w:pPr>
      <w:r>
        <w:rPr>
          <w:rFonts w:ascii="宋体" w:hAnsi="宋体"/>
          <w:b/>
          <w:sz w:val="24"/>
        </w:rPr>
        <w:t>1.总体目标</w:t>
      </w:r>
    </w:p>
    <w:p>
      <w:pPr>
        <w:pStyle w:val="387"/>
        <w:keepNext w:val="0"/>
        <w:keepLines w:val="0"/>
        <w:pageBreakBefore w:val="0"/>
        <w:tabs>
          <w:tab w:val="left" w:pos="6300"/>
        </w:tabs>
        <w:kinsoku/>
        <w:wordWrap/>
        <w:topLinePunct w:val="0"/>
        <w:bidi w:val="0"/>
        <w:spacing w:after="0" w:line="440" w:lineRule="exact"/>
        <w:ind w:left="0" w:leftChars="0" w:firstLine="434" w:firstLineChars="181"/>
        <w:textAlignment w:val="auto"/>
        <w:rPr>
          <w:rFonts w:ascii="宋体" w:hAnsi="宋体"/>
        </w:rPr>
      </w:pPr>
      <w:r>
        <w:rPr>
          <w:rFonts w:ascii="宋体" w:hAnsi="宋体"/>
        </w:rPr>
        <w:t>余杭区数字城管的总目标是：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pPr>
        <w:pStyle w:val="26"/>
        <w:keepNext w:val="0"/>
        <w:keepLines w:val="0"/>
        <w:pageBreakBefore w:val="0"/>
        <w:tabs>
          <w:tab w:val="left" w:pos="6300"/>
        </w:tabs>
        <w:kinsoku/>
        <w:wordWrap/>
        <w:topLinePunct w:val="0"/>
        <w:bidi w:val="0"/>
        <w:spacing w:line="440" w:lineRule="exact"/>
        <w:ind w:firstLine="0"/>
        <w:textAlignment w:val="auto"/>
        <w:rPr>
          <w:rFonts w:ascii="宋体" w:hAnsi="宋体" w:eastAsia="宋体"/>
          <w:b/>
          <w:sz w:val="24"/>
        </w:rPr>
      </w:pPr>
      <w:r>
        <w:rPr>
          <w:rFonts w:ascii="宋体" w:hAnsi="宋体" w:eastAsia="宋体"/>
          <w:b/>
          <w:sz w:val="24"/>
        </w:rPr>
        <w:t>2.本次项目实施内容</w:t>
      </w:r>
    </w:p>
    <w:p>
      <w:pPr>
        <w:pStyle w:val="387"/>
        <w:keepNext w:val="0"/>
        <w:keepLines w:val="0"/>
        <w:pageBreakBefore w:val="0"/>
        <w:tabs>
          <w:tab w:val="left" w:pos="6300"/>
        </w:tabs>
        <w:kinsoku/>
        <w:wordWrap/>
        <w:topLinePunct w:val="0"/>
        <w:bidi w:val="0"/>
        <w:spacing w:after="0" w:line="440" w:lineRule="exact"/>
        <w:ind w:left="0" w:leftChars="0" w:firstLine="434" w:firstLineChars="181"/>
        <w:textAlignment w:val="auto"/>
        <w:rPr>
          <w:rFonts w:ascii="宋体" w:hAnsi="宋体"/>
          <w:color w:val="auto"/>
        </w:rPr>
      </w:pPr>
      <w:r>
        <w:rPr>
          <w:rFonts w:ascii="宋体" w:hAnsi="宋体"/>
        </w:rPr>
        <w:t>内容需求：依据管理标准，负责对城市事件问题动态信息及部件是否完好、变更信息的限时采集及立案操作；对热线投诉和社区联系站等途径反馈问题进行核实；对所发现问</w:t>
      </w:r>
      <w:r>
        <w:rPr>
          <w:rFonts w:ascii="宋体" w:hAnsi="宋体"/>
          <w:color w:val="auto"/>
        </w:rPr>
        <w:t>题进行结案前核查；根据城市管理工作的要求，实施全区行政区域范围内各类专项信息普查工作。</w:t>
      </w:r>
    </w:p>
    <w:p>
      <w:pPr>
        <w:pStyle w:val="387"/>
        <w:keepNext w:val="0"/>
        <w:keepLines w:val="0"/>
        <w:pageBreakBefore w:val="0"/>
        <w:tabs>
          <w:tab w:val="left" w:pos="1065"/>
          <w:tab w:val="left" w:pos="6300"/>
        </w:tabs>
        <w:kinsoku/>
        <w:wordWrap/>
        <w:topLinePunct w:val="0"/>
        <w:bidi w:val="0"/>
        <w:spacing w:after="0" w:line="440" w:lineRule="exact"/>
        <w:ind w:left="0" w:leftChars="0" w:firstLine="434" w:firstLineChars="181"/>
        <w:textAlignment w:val="auto"/>
        <w:rPr>
          <w:rFonts w:ascii="宋体" w:hAnsi="宋体"/>
          <w:color w:val="auto"/>
        </w:rPr>
      </w:pPr>
      <w:r>
        <w:rPr>
          <w:rFonts w:ascii="宋体" w:hAnsi="宋体"/>
          <w:color w:val="auto"/>
        </w:rPr>
        <w:t>标项基本情况如下：</w:t>
      </w:r>
    </w:p>
    <w:tbl>
      <w:tblPr>
        <w:tblStyle w:val="64"/>
        <w:tblW w:w="0" w:type="auto"/>
        <w:jc w:val="center"/>
        <w:tblLayout w:type="fixed"/>
        <w:tblCellMar>
          <w:top w:w="0" w:type="dxa"/>
          <w:left w:w="108" w:type="dxa"/>
          <w:bottom w:w="0" w:type="dxa"/>
          <w:right w:w="108" w:type="dxa"/>
        </w:tblCellMar>
      </w:tblPr>
      <w:tblGrid>
        <w:gridCol w:w="1523"/>
        <w:gridCol w:w="2009"/>
        <w:gridCol w:w="1619"/>
        <w:gridCol w:w="1430"/>
        <w:gridCol w:w="1694"/>
      </w:tblGrid>
      <w:tr>
        <w:tblPrEx>
          <w:tblCellMar>
            <w:top w:w="0" w:type="dxa"/>
            <w:left w:w="108" w:type="dxa"/>
            <w:bottom w:w="0" w:type="dxa"/>
            <w:right w:w="108" w:type="dxa"/>
          </w:tblCellMar>
        </w:tblPrEx>
        <w:trPr>
          <w:trHeight w:val="926" w:hRule="atLeast"/>
          <w:jc w:val="center"/>
        </w:trPr>
        <w:tc>
          <w:tcPr>
            <w:tcW w:w="1523"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keepNext w:val="0"/>
              <w:keepLines w:val="0"/>
              <w:pageBreakBefore w:val="0"/>
              <w:kinsoku/>
              <w:wordWrap/>
              <w:topLinePunct w:val="0"/>
              <w:bidi w:val="0"/>
              <w:spacing w:line="440" w:lineRule="exact"/>
              <w:ind w:firstLine="720" w:firstLineChars="300"/>
              <w:textAlignment w:val="auto"/>
              <w:rPr>
                <w:rFonts w:ascii="宋体" w:hAnsi="宋体"/>
                <w:color w:val="auto"/>
                <w:sz w:val="24"/>
              </w:rPr>
            </w:pPr>
            <w:r>
              <w:rPr>
                <w:rFonts w:ascii="宋体" w:hAnsi="宋体"/>
                <w:color w:val="auto"/>
                <w:sz w:val="24"/>
              </w:rPr>
              <w:t>类别</w:t>
            </w:r>
          </w:p>
          <w:p>
            <w:pPr>
              <w:keepNext w:val="0"/>
              <w:keepLines w:val="0"/>
              <w:pageBreakBefore w:val="0"/>
              <w:kinsoku/>
              <w:wordWrap/>
              <w:topLinePunct w:val="0"/>
              <w:bidi w:val="0"/>
              <w:spacing w:line="440" w:lineRule="exact"/>
              <w:textAlignment w:val="auto"/>
              <w:rPr>
                <w:rFonts w:ascii="宋体" w:hAnsi="宋体"/>
                <w:color w:val="auto"/>
                <w:sz w:val="24"/>
              </w:rPr>
            </w:pPr>
          </w:p>
          <w:p>
            <w:pPr>
              <w:keepNext w:val="0"/>
              <w:keepLines w:val="0"/>
              <w:pageBreakBefore w:val="0"/>
              <w:kinsoku/>
              <w:wordWrap/>
              <w:topLinePunct w:val="0"/>
              <w:bidi w:val="0"/>
              <w:spacing w:line="440" w:lineRule="exact"/>
              <w:textAlignment w:val="auto"/>
              <w:rPr>
                <w:rFonts w:ascii="宋体" w:hAnsi="宋体"/>
                <w:color w:val="auto"/>
                <w:sz w:val="24"/>
              </w:rPr>
            </w:pPr>
            <w:r>
              <w:rPr>
                <w:rFonts w:ascii="宋体" w:hAnsi="宋体"/>
                <w:color w:val="auto"/>
                <w:sz w:val="24"/>
              </w:rPr>
              <w:t>标项</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left"/>
              <w:textAlignment w:val="auto"/>
              <w:rPr>
                <w:rFonts w:ascii="宋体" w:hAnsi="宋体"/>
                <w:color w:val="auto"/>
                <w:sz w:val="24"/>
              </w:rPr>
            </w:pPr>
            <w:r>
              <w:rPr>
                <w:rFonts w:ascii="宋体" w:hAnsi="宋体"/>
                <w:color w:val="auto"/>
                <w:sz w:val="24"/>
              </w:rPr>
              <w:t>面积（km²）</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left"/>
              <w:textAlignment w:val="auto"/>
              <w:rPr>
                <w:rFonts w:ascii="宋体" w:hAnsi="宋体"/>
                <w:color w:val="auto"/>
                <w:sz w:val="24"/>
              </w:rPr>
            </w:pPr>
            <w:r>
              <w:rPr>
                <w:rFonts w:ascii="宋体" w:hAnsi="宋体"/>
                <w:color w:val="auto"/>
                <w:sz w:val="24"/>
              </w:rPr>
              <w:t>项目负责人   （人）</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left"/>
              <w:textAlignment w:val="auto"/>
              <w:rPr>
                <w:rFonts w:ascii="宋体" w:hAnsi="宋体"/>
                <w:color w:val="auto"/>
                <w:sz w:val="24"/>
              </w:rPr>
            </w:pPr>
            <w:r>
              <w:rPr>
                <w:rFonts w:ascii="宋体" w:hAnsi="宋体"/>
                <w:color w:val="auto"/>
                <w:sz w:val="24"/>
              </w:rPr>
              <w:t>管理员（人）</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left"/>
              <w:textAlignment w:val="auto"/>
              <w:rPr>
                <w:rFonts w:ascii="宋体" w:hAnsi="宋体"/>
                <w:color w:val="auto"/>
                <w:sz w:val="24"/>
              </w:rPr>
            </w:pPr>
            <w:r>
              <w:rPr>
                <w:rFonts w:ascii="宋体" w:hAnsi="宋体"/>
                <w:color w:val="auto"/>
                <w:sz w:val="24"/>
              </w:rPr>
              <w:t>额定采集员（人）</w:t>
            </w:r>
          </w:p>
        </w:tc>
      </w:tr>
      <w:tr>
        <w:tblPrEx>
          <w:tblCellMar>
            <w:top w:w="0" w:type="dxa"/>
            <w:left w:w="108" w:type="dxa"/>
            <w:bottom w:w="0" w:type="dxa"/>
            <w:right w:w="108" w:type="dxa"/>
          </w:tblCellMar>
        </w:tblPrEx>
        <w:trPr>
          <w:trHeight w:val="357"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eastAsia" w:ascii="宋体" w:hAnsi="宋体" w:eastAsia="宋体"/>
                <w:color w:val="auto"/>
                <w:sz w:val="24"/>
                <w:lang w:eastAsia="zh-CN"/>
              </w:rPr>
            </w:pPr>
            <w:r>
              <w:rPr>
                <w:rFonts w:hint="eastAsia" w:ascii="宋体" w:hAnsi="宋体"/>
                <w:color w:val="auto"/>
                <w:sz w:val="24"/>
                <w:lang w:val="en-US" w:eastAsia="zh-CN"/>
              </w:rPr>
              <w:t>一</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default" w:ascii="宋体" w:hAnsi="宋体" w:eastAsia="宋体"/>
                <w:color w:val="auto"/>
                <w:sz w:val="24"/>
                <w:lang w:val="en-US" w:eastAsia="zh-CN"/>
              </w:rPr>
            </w:pPr>
            <w:r>
              <w:rPr>
                <w:rFonts w:ascii="宋体" w:hAnsi="宋体"/>
                <w:color w:val="auto"/>
                <w:sz w:val="24"/>
              </w:rPr>
              <w:t>约</w:t>
            </w:r>
            <w:r>
              <w:rPr>
                <w:rFonts w:hint="eastAsia" w:ascii="宋体" w:hAnsi="宋体"/>
                <w:color w:val="auto"/>
                <w:sz w:val="24"/>
                <w:lang w:val="en-US" w:eastAsia="zh-CN"/>
              </w:rPr>
              <w:t>32.63</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ascii="宋体" w:hAnsi="宋体"/>
                <w:color w:val="auto"/>
                <w:sz w:val="24"/>
              </w:rPr>
            </w:pPr>
            <w:r>
              <w:rPr>
                <w:rFonts w:ascii="宋体" w:hAnsi="宋体"/>
                <w:color w:val="auto"/>
                <w:sz w:val="24"/>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default" w:ascii="宋体" w:hAnsi="宋体" w:eastAsia="宋体"/>
                <w:color w:val="auto"/>
                <w:sz w:val="24"/>
                <w:lang w:val="en-US" w:eastAsia="zh-CN"/>
              </w:rPr>
            </w:pPr>
            <w:r>
              <w:rPr>
                <w:rFonts w:hint="eastAsia" w:ascii="宋体" w:hAnsi="宋体" w:eastAsia="宋体"/>
                <w:color w:val="auto"/>
                <w:sz w:val="24"/>
                <w:lang w:val="en-US" w:eastAsia="zh-CN"/>
              </w:rPr>
              <w:t>4</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50</w:t>
            </w:r>
          </w:p>
        </w:tc>
      </w:tr>
      <w:tr>
        <w:tblPrEx>
          <w:tblCellMar>
            <w:top w:w="0" w:type="dxa"/>
            <w:left w:w="108" w:type="dxa"/>
            <w:bottom w:w="0" w:type="dxa"/>
            <w:right w:w="108" w:type="dxa"/>
          </w:tblCellMar>
        </w:tblPrEx>
        <w:trPr>
          <w:trHeight w:val="357"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二</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default" w:ascii="宋体" w:hAnsi="宋体" w:eastAsia="宋体" w:cs="Times New Roman"/>
                <w:color w:val="auto"/>
                <w:kern w:val="2"/>
                <w:sz w:val="24"/>
                <w:szCs w:val="24"/>
                <w:lang w:val="en-US" w:eastAsia="zh-CN" w:bidi="ar-SA"/>
              </w:rPr>
            </w:pPr>
            <w:r>
              <w:rPr>
                <w:rFonts w:ascii="宋体" w:hAnsi="宋体"/>
                <w:color w:val="auto"/>
                <w:sz w:val="24"/>
              </w:rPr>
              <w:t>约</w:t>
            </w:r>
            <w:r>
              <w:rPr>
                <w:rFonts w:hint="eastAsia" w:ascii="宋体" w:hAnsi="宋体"/>
                <w:color w:val="auto"/>
                <w:sz w:val="24"/>
                <w:lang w:val="en-US" w:eastAsia="zh-CN"/>
              </w:rPr>
              <w:t>10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ascii="宋体" w:hAnsi="宋体" w:eastAsia="宋体" w:cs="Times New Roman"/>
                <w:color w:val="auto"/>
                <w:kern w:val="2"/>
                <w:sz w:val="24"/>
                <w:szCs w:val="24"/>
                <w:lang w:val="en-US" w:eastAsia="zh-CN" w:bidi="ar-SA"/>
              </w:rPr>
            </w:pPr>
            <w:r>
              <w:rPr>
                <w:rFonts w:ascii="宋体" w:hAnsi="宋体"/>
                <w:color w:val="auto"/>
                <w:sz w:val="24"/>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3</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42</w:t>
            </w:r>
          </w:p>
        </w:tc>
      </w:tr>
    </w:tbl>
    <w:p>
      <w:pPr>
        <w:pStyle w:val="26"/>
        <w:keepNext w:val="0"/>
        <w:keepLines w:val="0"/>
        <w:pageBreakBefore w:val="0"/>
        <w:tabs>
          <w:tab w:val="left" w:pos="6300"/>
        </w:tabs>
        <w:kinsoku/>
        <w:wordWrap/>
        <w:topLinePunct w:val="0"/>
        <w:bidi w:val="0"/>
        <w:spacing w:line="440" w:lineRule="exact"/>
        <w:ind w:firstLine="0"/>
        <w:textAlignment w:val="auto"/>
        <w:rPr>
          <w:rFonts w:ascii="宋体" w:hAnsi="宋体" w:eastAsia="宋体"/>
          <w:b/>
          <w:color w:val="auto"/>
          <w:sz w:val="24"/>
        </w:rPr>
      </w:pPr>
      <w:r>
        <w:rPr>
          <w:rFonts w:ascii="宋体" w:hAnsi="宋体" w:eastAsia="宋体"/>
          <w:b/>
          <w:color w:val="auto"/>
          <w:sz w:val="24"/>
        </w:rPr>
        <w:t>3.项目</w:t>
      </w:r>
      <w:r>
        <w:rPr>
          <w:rFonts w:hint="eastAsia" w:ascii="宋体" w:hAnsi="宋体" w:eastAsia="宋体"/>
          <w:b/>
          <w:color w:val="auto"/>
          <w:sz w:val="24"/>
        </w:rPr>
        <w:t>需求</w:t>
      </w:r>
      <w:r>
        <w:rPr>
          <w:rFonts w:ascii="宋体" w:hAnsi="宋体" w:eastAsia="宋体"/>
          <w:b/>
          <w:color w:val="auto"/>
          <w:sz w:val="24"/>
        </w:rPr>
        <w:t>及相关要求</w:t>
      </w:r>
    </w:p>
    <w:p>
      <w:pPr>
        <w:keepNext w:val="0"/>
        <w:keepLines w:val="0"/>
        <w:pageBreakBefore w:val="0"/>
        <w:tabs>
          <w:tab w:val="left" w:pos="6300"/>
        </w:tabs>
        <w:kinsoku/>
        <w:wordWrap/>
        <w:topLinePunct w:val="0"/>
        <w:bidi w:val="0"/>
        <w:spacing w:line="440" w:lineRule="exact"/>
        <w:ind w:firstLine="562"/>
        <w:textAlignment w:val="auto"/>
        <w:rPr>
          <w:rFonts w:ascii="宋体" w:hAnsi="宋体"/>
          <w:b/>
          <w:bCs/>
          <w:color w:val="auto"/>
          <w:sz w:val="24"/>
        </w:rPr>
      </w:pPr>
      <w:r>
        <w:rPr>
          <w:rFonts w:ascii="宋体" w:hAnsi="宋体"/>
          <w:b/>
          <w:bCs/>
          <w:color w:val="auto"/>
          <w:sz w:val="24"/>
        </w:rPr>
        <w:t>3.1</w:t>
      </w:r>
      <w:r>
        <w:rPr>
          <w:rFonts w:hint="eastAsia" w:ascii="宋体" w:hAnsi="宋体"/>
          <w:b/>
          <w:bCs/>
          <w:color w:val="auto"/>
          <w:sz w:val="24"/>
        </w:rPr>
        <w:t>有效数据及报价</w:t>
      </w:r>
    </w:p>
    <w:p>
      <w:pPr>
        <w:keepNext w:val="0"/>
        <w:keepLines w:val="0"/>
        <w:pageBreakBefore w:val="0"/>
        <w:tabs>
          <w:tab w:val="left" w:pos="198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（1）有效数据</w:t>
      </w:r>
      <w:r>
        <w:rPr>
          <w:rFonts w:hint="eastAsia" w:ascii="宋体" w:hAnsi="宋体"/>
          <w:color w:val="auto"/>
          <w:sz w:val="24"/>
        </w:rPr>
        <w:t>：</w:t>
      </w:r>
      <w:r>
        <w:rPr>
          <w:rFonts w:hint="eastAsia" w:ascii="宋体" w:hAnsi="宋体"/>
          <w:color w:val="auto"/>
          <w:sz w:val="24"/>
          <w:lang w:eastAsia="zh-CN"/>
        </w:rPr>
        <w:t>投标人需确保信息采集数据的有效性。有效数据是指被数字城管系统利用，进入系统正常流转的立案数据、核查数据、普查数据、核实数据。</w:t>
      </w:r>
    </w:p>
    <w:p>
      <w:pPr>
        <w:keepNext w:val="0"/>
        <w:keepLines w:val="0"/>
        <w:pageBreakBefore w:val="0"/>
        <w:tabs>
          <w:tab w:val="left" w:pos="6300"/>
        </w:tabs>
        <w:kinsoku/>
        <w:wordWrap/>
        <w:topLinePunct w:val="0"/>
        <w:bidi w:val="0"/>
        <w:spacing w:line="440" w:lineRule="exact"/>
        <w:ind w:firstLine="562"/>
        <w:textAlignment w:val="auto"/>
        <w:rPr>
          <w:rFonts w:ascii="宋体" w:hAnsi="宋体"/>
          <w:color w:val="auto"/>
          <w:sz w:val="24"/>
        </w:rPr>
      </w:pPr>
      <w:r>
        <w:rPr>
          <w:rFonts w:ascii="宋体" w:hAnsi="宋体"/>
          <w:color w:val="auto"/>
          <w:sz w:val="24"/>
        </w:rPr>
        <w:t>（2）报价：</w:t>
      </w:r>
      <w:r>
        <w:rPr>
          <w:rFonts w:hint="eastAsia" w:ascii="宋体" w:hAnsi="宋体"/>
          <w:color w:val="auto"/>
          <w:sz w:val="24"/>
          <w:lang w:val="en-US" w:eastAsia="zh-CN"/>
        </w:rPr>
        <w:t>二</w:t>
      </w:r>
      <w:r>
        <w:rPr>
          <w:rFonts w:ascii="宋体" w:hAnsi="宋体"/>
          <w:color w:val="auto"/>
          <w:sz w:val="24"/>
        </w:rPr>
        <w:t>个标项分别报价，报价为完成本招标文件所述的服务项目内容指标所需的全部费用，即按采购人要求完工的价格，</w:t>
      </w:r>
      <w:r>
        <w:rPr>
          <w:rFonts w:ascii="宋体" w:hAnsi="宋体"/>
          <w:color w:val="auto"/>
          <w:sz w:val="24"/>
          <w:szCs w:val="22"/>
        </w:rPr>
        <w:t>（包括各种人工费、</w:t>
      </w:r>
      <w:r>
        <w:rPr>
          <w:rFonts w:hint="eastAsia" w:ascii="宋体" w:hAnsi="宋体"/>
          <w:color w:val="auto"/>
          <w:sz w:val="24"/>
          <w:szCs w:val="22"/>
          <w:lang w:eastAsia="zh-CN"/>
        </w:rPr>
        <w:t>信息采集费、车辆使用费、设备及场地</w:t>
      </w:r>
      <w:r>
        <w:rPr>
          <w:rFonts w:ascii="宋体" w:hAnsi="宋体"/>
          <w:color w:val="auto"/>
          <w:sz w:val="24"/>
          <w:szCs w:val="22"/>
        </w:rPr>
        <w:t>使用费、管理、利润、税务费、必要的保险费用、必须的专用工具、辅助材料费及合同实施过程中不可预见的费用等）的总和</w:t>
      </w:r>
      <w:r>
        <w:rPr>
          <w:rFonts w:ascii="宋体" w:hAnsi="宋体"/>
          <w:color w:val="auto"/>
          <w:sz w:val="24"/>
        </w:rPr>
        <w:t>。</w:t>
      </w:r>
    </w:p>
    <w:p>
      <w:pPr>
        <w:keepNext w:val="0"/>
        <w:keepLines w:val="0"/>
        <w:pageBreakBefore w:val="0"/>
        <w:tabs>
          <w:tab w:val="left" w:pos="6300"/>
        </w:tabs>
        <w:kinsoku/>
        <w:wordWrap/>
        <w:topLinePunct w:val="0"/>
        <w:bidi w:val="0"/>
        <w:spacing w:line="440" w:lineRule="exact"/>
        <w:ind w:firstLine="482" w:firstLineChars="200"/>
        <w:textAlignment w:val="auto"/>
        <w:rPr>
          <w:rFonts w:ascii="宋体" w:hAnsi="宋体"/>
          <w:b/>
          <w:bCs/>
          <w:color w:val="auto"/>
          <w:sz w:val="24"/>
        </w:rPr>
      </w:pPr>
      <w:r>
        <w:rPr>
          <w:rFonts w:ascii="宋体" w:hAnsi="宋体"/>
          <w:b/>
          <w:bCs/>
          <w:color w:val="auto"/>
          <w:sz w:val="24"/>
        </w:rPr>
        <w:t>3.2相关要求及考核办法（具体见附表一）</w:t>
      </w:r>
    </w:p>
    <w:p>
      <w:pPr>
        <w:keepNext w:val="0"/>
        <w:keepLines w:val="0"/>
        <w:pageBreakBefore w:val="0"/>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w:t>
      </w:r>
      <w:r>
        <w:rPr>
          <w:rFonts w:hint="eastAsia" w:ascii="宋体" w:hAnsi="宋体"/>
          <w:color w:val="auto"/>
          <w:sz w:val="24"/>
          <w:lang w:val="en-US" w:eastAsia="zh-CN"/>
        </w:rPr>
        <w:t>1</w:t>
      </w:r>
      <w:r>
        <w:rPr>
          <w:rFonts w:ascii="宋体" w:hAnsi="宋体"/>
          <w:color w:val="auto"/>
          <w:sz w:val="24"/>
        </w:rPr>
        <w:t>）人员</w:t>
      </w:r>
      <w:r>
        <w:rPr>
          <w:rFonts w:hint="eastAsia" w:ascii="宋体" w:hAnsi="宋体"/>
          <w:color w:val="auto"/>
          <w:sz w:val="24"/>
          <w:lang w:eastAsia="zh-CN"/>
        </w:rPr>
        <w:t>、</w:t>
      </w:r>
      <w:r>
        <w:rPr>
          <w:rFonts w:ascii="宋体" w:hAnsi="宋体"/>
          <w:color w:val="auto"/>
          <w:sz w:val="24"/>
        </w:rPr>
        <w:t>车辆配备。应足额配备一定素质的工作人员（包括采集员、管理员、项目负责人）及车辆</w:t>
      </w:r>
      <w:r>
        <w:rPr>
          <w:rFonts w:hint="eastAsia" w:ascii="宋体" w:hAnsi="宋体"/>
          <w:color w:val="auto"/>
          <w:sz w:val="24"/>
          <w:lang w:eastAsia="zh-CN"/>
        </w:rPr>
        <w:t>（车辆型号、参数需与投标方案保持一致），以下每发现一次不符合采购要求的扣</w:t>
      </w:r>
      <w:r>
        <w:rPr>
          <w:rFonts w:hint="eastAsia" w:ascii="宋体" w:hAnsi="宋体"/>
          <w:color w:val="auto"/>
          <w:sz w:val="24"/>
          <w:lang w:val="en-US" w:eastAsia="zh-CN"/>
        </w:rPr>
        <w:t>0.2分，人员依据在岗人数要求进行考核，</w:t>
      </w:r>
      <w:r>
        <w:rPr>
          <w:rFonts w:ascii="宋体" w:hAnsi="宋体"/>
          <w:color w:val="auto"/>
          <w:sz w:val="24"/>
        </w:rPr>
        <w:t xml:space="preserve">具体要求： </w:t>
      </w:r>
    </w:p>
    <w:p>
      <w:pPr>
        <w:keepNext w:val="0"/>
        <w:keepLines w:val="0"/>
        <w:pageBreakBefore w:val="0"/>
        <w:shd w:val="clear" w:color="auto" w:fill="auto"/>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标项</w:t>
      </w:r>
      <w:r>
        <w:rPr>
          <w:rFonts w:hint="eastAsia" w:ascii="宋体" w:hAnsi="宋体"/>
          <w:color w:val="auto"/>
          <w:sz w:val="24"/>
          <w:lang w:val="en-US" w:eastAsia="zh-CN"/>
        </w:rPr>
        <w:t>一</w:t>
      </w:r>
      <w:r>
        <w:rPr>
          <w:rFonts w:ascii="宋体" w:hAnsi="宋体"/>
          <w:color w:val="auto"/>
          <w:sz w:val="24"/>
        </w:rPr>
        <w:t>配置：人数</w:t>
      </w:r>
      <w:r>
        <w:rPr>
          <w:rFonts w:hint="eastAsia" w:ascii="宋体" w:hAnsi="宋体"/>
          <w:color w:val="auto"/>
          <w:sz w:val="24"/>
          <w:lang w:val="en-US" w:eastAsia="zh-CN"/>
        </w:rPr>
        <w:t>总数</w:t>
      </w:r>
      <w:r>
        <w:rPr>
          <w:rFonts w:ascii="宋体" w:hAnsi="宋体"/>
          <w:color w:val="auto"/>
          <w:sz w:val="24"/>
        </w:rPr>
        <w:t>不少于</w:t>
      </w:r>
      <w:r>
        <w:rPr>
          <w:rFonts w:hint="eastAsia" w:ascii="宋体" w:hAnsi="宋体"/>
          <w:color w:val="auto"/>
          <w:sz w:val="24"/>
          <w:lang w:val="en-US" w:eastAsia="zh-CN"/>
        </w:rPr>
        <w:t>55</w:t>
      </w:r>
      <w:r>
        <w:rPr>
          <w:rFonts w:ascii="宋体" w:hAnsi="宋体"/>
          <w:color w:val="auto"/>
          <w:sz w:val="24"/>
        </w:rPr>
        <w:t>人（含管理员</w:t>
      </w:r>
      <w:r>
        <w:rPr>
          <w:rFonts w:hint="eastAsia" w:ascii="宋体" w:hAnsi="宋体"/>
          <w:color w:val="auto"/>
          <w:sz w:val="24"/>
          <w:lang w:val="en-US" w:eastAsia="zh-CN"/>
        </w:rPr>
        <w:t>4</w:t>
      </w:r>
      <w:r>
        <w:rPr>
          <w:rFonts w:ascii="宋体" w:hAnsi="宋体"/>
          <w:color w:val="auto"/>
          <w:sz w:val="24"/>
        </w:rPr>
        <w:t>人、项目负责人1人）</w:t>
      </w:r>
      <w:r>
        <w:rPr>
          <w:rFonts w:hint="eastAsia" w:ascii="宋体" w:hAnsi="宋体"/>
          <w:color w:val="auto"/>
          <w:sz w:val="24"/>
          <w:lang w:eastAsia="zh-CN"/>
        </w:rPr>
        <w:t>。</w:t>
      </w:r>
      <w:r>
        <w:rPr>
          <w:rFonts w:ascii="宋体" w:hAnsi="宋体"/>
          <w:color w:val="auto"/>
          <w:sz w:val="24"/>
        </w:rPr>
        <w:t>工作时间路面</w:t>
      </w:r>
      <w:r>
        <w:rPr>
          <w:rFonts w:hint="eastAsia" w:ascii="宋体" w:hAnsi="宋体"/>
          <w:color w:val="auto"/>
          <w:sz w:val="24"/>
          <w:lang w:val="en-US" w:eastAsia="zh-CN"/>
        </w:rPr>
        <w:t>在岗</w:t>
      </w:r>
      <w:r>
        <w:rPr>
          <w:rFonts w:ascii="宋体" w:hAnsi="宋体"/>
          <w:color w:val="auto"/>
          <w:sz w:val="24"/>
        </w:rPr>
        <w:t>巡查人数不少于</w:t>
      </w:r>
      <w:r>
        <w:rPr>
          <w:rFonts w:hint="eastAsia" w:ascii="宋体" w:hAnsi="宋体"/>
          <w:color w:val="auto"/>
          <w:sz w:val="24"/>
          <w:lang w:val="en-US" w:eastAsia="zh-CN"/>
        </w:rPr>
        <w:t>37</w:t>
      </w:r>
      <w:r>
        <w:rPr>
          <w:rFonts w:ascii="宋体" w:hAnsi="宋体"/>
          <w:color w:val="auto"/>
          <w:sz w:val="24"/>
        </w:rPr>
        <w:t>人（其中机动车巡查不少于</w:t>
      </w:r>
      <w:r>
        <w:rPr>
          <w:rFonts w:hint="eastAsia" w:ascii="宋体" w:hAnsi="宋体"/>
          <w:color w:val="auto"/>
          <w:sz w:val="24"/>
          <w:lang w:val="en-US" w:eastAsia="zh-CN"/>
        </w:rPr>
        <w:t>4</w:t>
      </w:r>
      <w:r>
        <w:rPr>
          <w:rFonts w:ascii="宋体" w:hAnsi="宋体"/>
          <w:color w:val="auto"/>
          <w:sz w:val="24"/>
        </w:rPr>
        <w:t>辆）,非正常工作时间（中午11:30-12:30</w:t>
      </w:r>
      <w:r>
        <w:rPr>
          <w:rFonts w:hint="eastAsia" w:ascii="宋体" w:hAnsi="宋体"/>
          <w:color w:val="auto"/>
          <w:sz w:val="24"/>
          <w:lang w:eastAsia="zh-CN"/>
        </w:rPr>
        <w:t>、</w:t>
      </w:r>
      <w:r>
        <w:rPr>
          <w:rFonts w:ascii="宋体" w:hAnsi="宋体"/>
          <w:color w:val="auto"/>
          <w:sz w:val="24"/>
        </w:rPr>
        <w:t>晚上17:30-21:00）路面</w:t>
      </w:r>
      <w:r>
        <w:rPr>
          <w:rFonts w:hint="eastAsia" w:ascii="宋体" w:hAnsi="宋体"/>
          <w:color w:val="auto"/>
          <w:sz w:val="24"/>
          <w:lang w:val="en-US" w:eastAsia="zh-CN"/>
        </w:rPr>
        <w:t>在岗</w:t>
      </w:r>
      <w:r>
        <w:rPr>
          <w:rFonts w:ascii="宋体" w:hAnsi="宋体"/>
          <w:color w:val="auto"/>
          <w:sz w:val="24"/>
        </w:rPr>
        <w:t>巡查人数不少于</w:t>
      </w:r>
      <w:r>
        <w:rPr>
          <w:rFonts w:hint="eastAsia" w:ascii="宋体" w:hAnsi="宋体"/>
          <w:color w:val="auto"/>
          <w:sz w:val="24"/>
          <w:lang w:val="en-US" w:eastAsia="zh-CN"/>
        </w:rPr>
        <w:t>9</w:t>
      </w:r>
      <w:r>
        <w:rPr>
          <w:rFonts w:ascii="宋体" w:hAnsi="宋体"/>
          <w:color w:val="auto"/>
          <w:sz w:val="24"/>
        </w:rPr>
        <w:t>人</w:t>
      </w:r>
      <w:r>
        <w:rPr>
          <w:rFonts w:hint="eastAsia" w:ascii="宋体" w:hAnsi="宋体"/>
          <w:color w:val="auto"/>
          <w:sz w:val="24"/>
          <w:lang w:eastAsia="zh-CN"/>
        </w:rPr>
        <w:t>；晚上</w:t>
      </w:r>
      <w:r>
        <w:rPr>
          <w:rFonts w:hint="eastAsia" w:ascii="宋体" w:hAnsi="宋体"/>
          <w:color w:val="auto"/>
          <w:sz w:val="24"/>
          <w:lang w:val="en-US" w:eastAsia="zh-CN"/>
        </w:rPr>
        <w:t>21:00-次日早上8：00在岗值班人员不少于1人，在岗值班车辆不少于1辆</w:t>
      </w:r>
      <w:r>
        <w:rPr>
          <w:rFonts w:ascii="宋体" w:hAnsi="宋体"/>
          <w:color w:val="auto"/>
          <w:sz w:val="24"/>
        </w:rPr>
        <w:t>。</w:t>
      </w:r>
    </w:p>
    <w:p>
      <w:pPr>
        <w:keepNext w:val="0"/>
        <w:keepLines w:val="0"/>
        <w:pageBreakBefore w:val="0"/>
        <w:shd w:val="clear" w:color="auto" w:fill="auto"/>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标项</w:t>
      </w:r>
      <w:r>
        <w:rPr>
          <w:rFonts w:hint="eastAsia" w:ascii="宋体" w:hAnsi="宋体"/>
          <w:color w:val="auto"/>
          <w:sz w:val="24"/>
          <w:lang w:val="en-US" w:eastAsia="zh-CN"/>
        </w:rPr>
        <w:t>二</w:t>
      </w:r>
      <w:r>
        <w:rPr>
          <w:rFonts w:ascii="宋体" w:hAnsi="宋体"/>
          <w:color w:val="auto"/>
          <w:sz w:val="24"/>
        </w:rPr>
        <w:t>配置：人数</w:t>
      </w:r>
      <w:r>
        <w:rPr>
          <w:rFonts w:hint="eastAsia" w:ascii="宋体" w:hAnsi="宋体"/>
          <w:color w:val="auto"/>
          <w:sz w:val="24"/>
          <w:lang w:val="en-US" w:eastAsia="zh-CN"/>
        </w:rPr>
        <w:t>总数</w:t>
      </w:r>
      <w:r>
        <w:rPr>
          <w:rFonts w:ascii="宋体" w:hAnsi="宋体"/>
          <w:color w:val="auto"/>
          <w:sz w:val="24"/>
        </w:rPr>
        <w:t>不少于</w:t>
      </w:r>
      <w:r>
        <w:rPr>
          <w:rFonts w:hint="eastAsia" w:ascii="宋体" w:hAnsi="宋体"/>
          <w:color w:val="auto"/>
          <w:sz w:val="24"/>
          <w:lang w:val="en-US" w:eastAsia="zh-CN"/>
        </w:rPr>
        <w:t>45</w:t>
      </w:r>
      <w:r>
        <w:rPr>
          <w:rFonts w:ascii="宋体" w:hAnsi="宋体"/>
          <w:color w:val="auto"/>
          <w:sz w:val="24"/>
        </w:rPr>
        <w:t>人（含管理员</w:t>
      </w:r>
      <w:r>
        <w:rPr>
          <w:rFonts w:hint="eastAsia" w:ascii="宋体" w:hAnsi="宋体"/>
          <w:color w:val="auto"/>
          <w:sz w:val="24"/>
          <w:lang w:val="en-US" w:eastAsia="zh-CN"/>
        </w:rPr>
        <w:t>3</w:t>
      </w:r>
      <w:r>
        <w:rPr>
          <w:rFonts w:ascii="宋体" w:hAnsi="宋体"/>
          <w:color w:val="auto"/>
          <w:sz w:val="24"/>
        </w:rPr>
        <w:t>人、项目负责人1人）</w:t>
      </w:r>
      <w:r>
        <w:rPr>
          <w:rFonts w:hint="eastAsia" w:ascii="宋体" w:hAnsi="宋体"/>
          <w:color w:val="auto"/>
          <w:sz w:val="24"/>
          <w:lang w:eastAsia="zh-CN"/>
        </w:rPr>
        <w:t>。</w:t>
      </w:r>
      <w:r>
        <w:rPr>
          <w:rFonts w:ascii="宋体" w:hAnsi="宋体"/>
          <w:color w:val="auto"/>
          <w:sz w:val="24"/>
        </w:rPr>
        <w:t>工作时间路面</w:t>
      </w:r>
      <w:r>
        <w:rPr>
          <w:rFonts w:hint="eastAsia" w:ascii="宋体" w:hAnsi="宋体"/>
          <w:color w:val="auto"/>
          <w:sz w:val="24"/>
          <w:lang w:val="en-US" w:eastAsia="zh-CN"/>
        </w:rPr>
        <w:t>在岗</w:t>
      </w:r>
      <w:r>
        <w:rPr>
          <w:rFonts w:ascii="宋体" w:hAnsi="宋体"/>
          <w:color w:val="auto"/>
          <w:sz w:val="24"/>
        </w:rPr>
        <w:t>巡查人数不少于</w:t>
      </w:r>
      <w:r>
        <w:rPr>
          <w:rFonts w:hint="eastAsia" w:ascii="宋体" w:hAnsi="宋体"/>
          <w:color w:val="auto"/>
          <w:sz w:val="24"/>
          <w:lang w:val="en-US" w:eastAsia="zh-CN"/>
        </w:rPr>
        <w:t>30</w:t>
      </w:r>
      <w:r>
        <w:rPr>
          <w:rFonts w:ascii="宋体" w:hAnsi="宋体"/>
          <w:color w:val="auto"/>
          <w:sz w:val="24"/>
        </w:rPr>
        <w:t>人（其中机动车巡查不少于</w:t>
      </w:r>
      <w:r>
        <w:rPr>
          <w:rFonts w:hint="eastAsia" w:ascii="宋体" w:hAnsi="宋体"/>
          <w:color w:val="auto"/>
          <w:sz w:val="24"/>
          <w:lang w:val="en-US" w:eastAsia="zh-CN"/>
        </w:rPr>
        <w:t>4</w:t>
      </w:r>
      <w:r>
        <w:rPr>
          <w:rFonts w:ascii="宋体" w:hAnsi="宋体"/>
          <w:color w:val="auto"/>
          <w:sz w:val="24"/>
        </w:rPr>
        <w:t>辆）</w:t>
      </w:r>
      <w:r>
        <w:rPr>
          <w:rFonts w:hint="eastAsia" w:ascii="宋体" w:hAnsi="宋体"/>
          <w:color w:val="auto"/>
          <w:sz w:val="24"/>
          <w:lang w:eastAsia="zh-CN"/>
        </w:rPr>
        <w:t>；</w:t>
      </w:r>
      <w:r>
        <w:rPr>
          <w:rFonts w:ascii="宋体" w:hAnsi="宋体"/>
          <w:color w:val="auto"/>
          <w:sz w:val="24"/>
        </w:rPr>
        <w:t>非正常工作时间（中午11:30-12:30、晚上17:30-21:00）路面</w:t>
      </w:r>
      <w:r>
        <w:rPr>
          <w:rFonts w:hint="eastAsia" w:ascii="宋体" w:hAnsi="宋体"/>
          <w:color w:val="auto"/>
          <w:sz w:val="24"/>
          <w:lang w:val="en-US" w:eastAsia="zh-CN"/>
        </w:rPr>
        <w:t>在岗</w:t>
      </w:r>
      <w:r>
        <w:rPr>
          <w:rFonts w:ascii="宋体" w:hAnsi="宋体"/>
          <w:color w:val="auto"/>
          <w:sz w:val="24"/>
        </w:rPr>
        <w:t>巡查人数不少于</w:t>
      </w:r>
      <w:r>
        <w:rPr>
          <w:rFonts w:hint="eastAsia" w:ascii="宋体" w:hAnsi="宋体"/>
          <w:color w:val="auto"/>
          <w:sz w:val="24"/>
          <w:lang w:val="en-US" w:eastAsia="zh-CN"/>
        </w:rPr>
        <w:t>7</w:t>
      </w:r>
      <w:r>
        <w:rPr>
          <w:rFonts w:ascii="宋体" w:hAnsi="宋体"/>
          <w:color w:val="auto"/>
          <w:sz w:val="24"/>
        </w:rPr>
        <w:t>人</w:t>
      </w:r>
      <w:r>
        <w:rPr>
          <w:rFonts w:hint="eastAsia" w:ascii="宋体" w:hAnsi="宋体"/>
          <w:color w:val="auto"/>
          <w:sz w:val="24"/>
          <w:lang w:eastAsia="zh-CN"/>
        </w:rPr>
        <w:t>；晚上</w:t>
      </w:r>
      <w:r>
        <w:rPr>
          <w:rFonts w:hint="eastAsia" w:ascii="宋体" w:hAnsi="宋体"/>
          <w:color w:val="auto"/>
          <w:sz w:val="24"/>
          <w:lang w:val="en-US" w:eastAsia="zh-CN"/>
        </w:rPr>
        <w:t>21:00-次日早上8：00值班在岗人员不少于1人，在岗值班车辆不少于1辆</w:t>
      </w:r>
      <w:r>
        <w:rPr>
          <w:rFonts w:ascii="宋体" w:hAnsi="宋体"/>
          <w:color w:val="auto"/>
          <w:sz w:val="24"/>
        </w:rPr>
        <w:t>。</w:t>
      </w:r>
    </w:p>
    <w:p>
      <w:pPr>
        <w:keepNext w:val="0"/>
        <w:keepLines w:val="0"/>
        <w:pageBreakBefore w:val="0"/>
        <w:shd w:val="clear" w:color="auto" w:fill="auto"/>
        <w:tabs>
          <w:tab w:val="left" w:pos="5851"/>
        </w:tabs>
        <w:kinsoku/>
        <w:wordWrap/>
        <w:topLinePunct w:val="0"/>
        <w:bidi w:val="0"/>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ascii="宋体" w:hAnsi="宋体"/>
          <w:color w:val="auto"/>
          <w:sz w:val="24"/>
          <w:highlight w:val="none"/>
        </w:rPr>
        <w:t>队伍基本素质要求：身体健康，具有较强责任心和事业心。项目负责人具有类似工作的管理经验</w:t>
      </w:r>
      <w:r>
        <w:rPr>
          <w:rFonts w:hint="eastAsia" w:ascii="宋体" w:hAnsi="宋体"/>
          <w:color w:val="auto"/>
          <w:sz w:val="24"/>
          <w:highlight w:val="none"/>
        </w:rPr>
        <w:t>，</w:t>
      </w:r>
      <w:r>
        <w:rPr>
          <w:rFonts w:ascii="宋体" w:hAnsi="宋体"/>
          <w:color w:val="auto"/>
          <w:sz w:val="24"/>
          <w:highlight w:val="none"/>
        </w:rPr>
        <w:t>项目管理员具有大专</w:t>
      </w:r>
      <w:r>
        <w:rPr>
          <w:rFonts w:hint="eastAsia" w:ascii="宋体" w:hAnsi="宋体"/>
          <w:color w:val="auto"/>
          <w:sz w:val="24"/>
          <w:highlight w:val="none"/>
          <w:lang w:val="en-US" w:eastAsia="zh-CN"/>
        </w:rPr>
        <w:t>及</w:t>
      </w:r>
      <w:r>
        <w:rPr>
          <w:rFonts w:ascii="宋体" w:hAnsi="宋体"/>
          <w:color w:val="auto"/>
          <w:sz w:val="24"/>
          <w:highlight w:val="none"/>
        </w:rPr>
        <w:t>以上文化程度，具有</w:t>
      </w:r>
      <w:r>
        <w:rPr>
          <w:rFonts w:hint="eastAsia" w:ascii="宋体" w:hAnsi="宋体"/>
          <w:color w:val="auto"/>
          <w:sz w:val="24"/>
          <w:highlight w:val="yellow"/>
          <w:lang w:val="en-US" w:eastAsia="zh-CN"/>
        </w:rPr>
        <w:t>3</w:t>
      </w:r>
      <w:r>
        <w:rPr>
          <w:rFonts w:hint="eastAsia" w:ascii="宋体" w:hAnsi="宋体"/>
          <w:color w:val="auto"/>
          <w:sz w:val="24"/>
          <w:highlight w:val="none"/>
          <w:lang w:val="en-US" w:eastAsia="zh-CN"/>
        </w:rPr>
        <w:t>个月以上</w:t>
      </w:r>
      <w:r>
        <w:rPr>
          <w:rFonts w:ascii="宋体" w:hAnsi="宋体"/>
          <w:color w:val="auto"/>
          <w:sz w:val="24"/>
          <w:highlight w:val="none"/>
        </w:rPr>
        <w:t>类似工作管理经验；采集员队伍中有</w:t>
      </w:r>
      <w:r>
        <w:rPr>
          <w:rFonts w:hint="eastAsia" w:ascii="宋体" w:hAnsi="宋体"/>
          <w:color w:val="auto"/>
          <w:sz w:val="24"/>
          <w:highlight w:val="yellow"/>
          <w:lang w:val="en-US" w:eastAsia="zh-CN"/>
        </w:rPr>
        <w:t>3</w:t>
      </w:r>
      <w:r>
        <w:rPr>
          <w:rFonts w:hint="eastAsia" w:ascii="宋体" w:hAnsi="宋体"/>
          <w:color w:val="auto"/>
          <w:sz w:val="24"/>
          <w:highlight w:val="none"/>
          <w:lang w:val="en-US" w:eastAsia="zh-CN"/>
        </w:rPr>
        <w:t>个月以上</w:t>
      </w:r>
      <w:r>
        <w:rPr>
          <w:rFonts w:ascii="宋体" w:hAnsi="宋体"/>
          <w:color w:val="auto"/>
          <w:sz w:val="24"/>
          <w:highlight w:val="none"/>
        </w:rPr>
        <w:t>信息采集经验人员不少于</w:t>
      </w:r>
      <w:r>
        <w:rPr>
          <w:rFonts w:hint="eastAsia" w:ascii="宋体" w:hAnsi="宋体"/>
          <w:color w:val="auto"/>
          <w:sz w:val="24"/>
          <w:highlight w:val="none"/>
        </w:rPr>
        <w:t>30</w:t>
      </w:r>
      <w:r>
        <w:rPr>
          <w:rFonts w:ascii="宋体" w:hAnsi="宋体"/>
          <w:color w:val="auto"/>
          <w:sz w:val="24"/>
          <w:highlight w:val="none"/>
        </w:rPr>
        <w:t>%；高中以上学历人员不少于60%，采集人员年龄在55周岁</w:t>
      </w:r>
      <w:r>
        <w:rPr>
          <w:rFonts w:hint="eastAsia" w:ascii="宋体" w:hAnsi="宋体"/>
          <w:color w:val="auto"/>
          <w:sz w:val="24"/>
          <w:highlight w:val="none"/>
        </w:rPr>
        <w:t>(女性50周岁）</w:t>
      </w:r>
      <w:r>
        <w:rPr>
          <w:rFonts w:ascii="宋体" w:hAnsi="宋体"/>
          <w:color w:val="auto"/>
          <w:sz w:val="24"/>
          <w:highlight w:val="none"/>
        </w:rPr>
        <w:t>及以下人员不少于</w:t>
      </w:r>
      <w:r>
        <w:rPr>
          <w:rFonts w:hint="eastAsia" w:ascii="宋体" w:hAnsi="宋体"/>
          <w:color w:val="auto"/>
          <w:sz w:val="24"/>
          <w:highlight w:val="none"/>
        </w:rPr>
        <w:t>60</w:t>
      </w:r>
      <w:r>
        <w:rPr>
          <w:rFonts w:ascii="宋体" w:hAnsi="宋体"/>
          <w:color w:val="auto"/>
          <w:sz w:val="24"/>
          <w:highlight w:val="none"/>
        </w:rPr>
        <w:t>%</w:t>
      </w:r>
      <w:r>
        <w:rPr>
          <w:rFonts w:hint="eastAsia" w:ascii="宋体" w:hAnsi="宋体"/>
          <w:color w:val="auto"/>
          <w:sz w:val="24"/>
          <w:highlight w:val="none"/>
          <w:lang w:eastAsia="zh-CN"/>
        </w:rPr>
        <w:t>。</w:t>
      </w:r>
      <w:r>
        <w:rPr>
          <w:rFonts w:ascii="宋体" w:hAnsi="宋体"/>
          <w:color w:val="auto"/>
          <w:sz w:val="24"/>
          <w:highlight w:val="none"/>
        </w:rPr>
        <w:t>不符上述规定的，每人次扣</w:t>
      </w:r>
      <w:r>
        <w:rPr>
          <w:rFonts w:hint="eastAsia" w:ascii="宋体" w:hAnsi="宋体"/>
          <w:color w:val="auto"/>
          <w:sz w:val="24"/>
          <w:highlight w:val="none"/>
        </w:rPr>
        <w:t>0.5</w:t>
      </w:r>
      <w:r>
        <w:rPr>
          <w:rFonts w:ascii="宋体" w:hAnsi="宋体"/>
          <w:color w:val="auto"/>
          <w:sz w:val="24"/>
          <w:highlight w:val="none"/>
        </w:rPr>
        <w:t>分；采集员配置人数以数字城管系统统计的路面巡查人数为准，</w:t>
      </w:r>
      <w:r>
        <w:rPr>
          <w:rFonts w:hint="eastAsia" w:ascii="宋体" w:hAnsi="宋体"/>
          <w:color w:val="auto"/>
          <w:sz w:val="24"/>
          <w:highlight w:val="none"/>
        </w:rPr>
        <w:t>因系统等客观原因造成人员掉线的需提前报备，无报备的按不在位纳入考核，</w:t>
      </w:r>
      <w:r>
        <w:rPr>
          <w:rFonts w:ascii="宋体" w:hAnsi="宋体"/>
          <w:color w:val="auto"/>
          <w:sz w:val="24"/>
          <w:highlight w:val="none"/>
        </w:rPr>
        <w:t>检查发现不符合配置要求的每少一人，每次扣</w:t>
      </w:r>
      <w:r>
        <w:rPr>
          <w:rFonts w:hint="eastAsia" w:ascii="宋体" w:hAnsi="宋体"/>
          <w:color w:val="auto"/>
          <w:sz w:val="24"/>
          <w:highlight w:val="none"/>
        </w:rPr>
        <w:t>1</w:t>
      </w:r>
      <w:r>
        <w:rPr>
          <w:rFonts w:ascii="宋体" w:hAnsi="宋体"/>
          <w:color w:val="auto"/>
          <w:sz w:val="24"/>
          <w:highlight w:val="none"/>
        </w:rPr>
        <w:t>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）巡查设施。</w:t>
      </w:r>
      <w:r>
        <w:rPr>
          <w:rFonts w:hint="eastAsia" w:ascii="宋体" w:hAnsi="宋体"/>
          <w:color w:val="auto"/>
          <w:sz w:val="24"/>
          <w:highlight w:val="none"/>
          <w:lang w:eastAsia="zh-CN"/>
        </w:rPr>
        <w:t>投标人</w:t>
      </w:r>
      <w:r>
        <w:rPr>
          <w:rFonts w:ascii="宋体" w:hAnsi="宋体"/>
          <w:color w:val="auto"/>
          <w:sz w:val="24"/>
          <w:highlight w:val="none"/>
        </w:rPr>
        <w:t>应</w:t>
      </w:r>
      <w:r>
        <w:rPr>
          <w:rFonts w:hint="eastAsia" w:ascii="宋体" w:hAnsi="宋体"/>
          <w:color w:val="auto"/>
          <w:sz w:val="24"/>
          <w:highlight w:val="none"/>
          <w:lang w:eastAsia="zh-CN"/>
        </w:rPr>
        <w:t>配备单个采集员、机动车巡查的信息采集设备</w:t>
      </w:r>
      <w:r>
        <w:rPr>
          <w:rFonts w:hint="eastAsia" w:ascii="宋体" w:hAnsi="宋体"/>
          <w:color w:val="auto"/>
          <w:sz w:val="24"/>
          <w:highlight w:val="none"/>
          <w:lang w:val="en-US" w:eastAsia="zh-CN"/>
        </w:rPr>
        <w:t>(具备提供图形和视频摄录的功能）</w:t>
      </w:r>
      <w:r>
        <w:rPr>
          <w:rFonts w:hint="eastAsia" w:ascii="宋体" w:hAnsi="宋体"/>
          <w:color w:val="auto"/>
          <w:sz w:val="24"/>
          <w:highlight w:val="none"/>
          <w:lang w:eastAsia="zh-CN"/>
        </w:rPr>
        <w:t>，并按要求</w:t>
      </w:r>
      <w:r>
        <w:rPr>
          <w:rFonts w:ascii="宋体" w:hAnsi="宋体"/>
          <w:color w:val="auto"/>
          <w:sz w:val="24"/>
          <w:highlight w:val="none"/>
        </w:rPr>
        <w:t>开展</w:t>
      </w:r>
      <w:r>
        <w:rPr>
          <w:rFonts w:hint="eastAsia" w:ascii="宋体" w:hAnsi="宋体"/>
          <w:color w:val="auto"/>
          <w:sz w:val="24"/>
          <w:highlight w:val="none"/>
          <w:lang w:eastAsia="zh-CN"/>
        </w:rPr>
        <w:t>日常</w:t>
      </w:r>
      <w:r>
        <w:rPr>
          <w:rFonts w:ascii="宋体" w:hAnsi="宋体"/>
          <w:color w:val="auto"/>
          <w:sz w:val="24"/>
          <w:highlight w:val="none"/>
        </w:rPr>
        <w:t>巡查，其中行人</w:t>
      </w:r>
      <w:r>
        <w:rPr>
          <w:rFonts w:ascii="宋体" w:hAnsi="宋体"/>
          <w:color w:val="auto"/>
          <w:sz w:val="24"/>
        </w:rPr>
        <w:t>、非机动车不能进入的高架、立交桥、快速路等区域使用机动车巡查，每天不少于一次；配合甲方对全区数字城管覆盖范围内的信息采集情况进行检查；配备各类井盖（含重型）的开启设施、应急维护设施</w:t>
      </w:r>
      <w:r>
        <w:rPr>
          <w:rFonts w:hint="eastAsia" w:ascii="宋体" w:hAnsi="宋体"/>
          <w:color w:val="auto"/>
          <w:sz w:val="24"/>
          <w:lang w:eastAsia="zh-CN"/>
        </w:rPr>
        <w:t>。</w:t>
      </w:r>
      <w:r>
        <w:rPr>
          <w:rFonts w:ascii="宋体" w:hAnsi="宋体"/>
          <w:color w:val="auto"/>
          <w:sz w:val="24"/>
        </w:rPr>
        <w:t>未按要求配备机动车巡查的，发现一次扣</w:t>
      </w:r>
      <w:r>
        <w:rPr>
          <w:rFonts w:hint="eastAsia" w:ascii="宋体" w:hAnsi="宋体"/>
          <w:color w:val="auto"/>
          <w:sz w:val="24"/>
        </w:rPr>
        <w:t>0.2</w:t>
      </w:r>
      <w:r>
        <w:rPr>
          <w:rFonts w:ascii="宋体" w:hAnsi="宋体"/>
          <w:color w:val="auto"/>
          <w:sz w:val="24"/>
        </w:rPr>
        <w:t>分；无故不参加检查的，每次扣</w:t>
      </w:r>
      <w:r>
        <w:rPr>
          <w:rFonts w:hint="eastAsia" w:ascii="宋体" w:hAnsi="宋体"/>
          <w:color w:val="auto"/>
          <w:sz w:val="24"/>
        </w:rPr>
        <w:t>1</w:t>
      </w:r>
      <w:r>
        <w:rPr>
          <w:rFonts w:ascii="宋体" w:hAnsi="宋体"/>
          <w:color w:val="auto"/>
          <w:sz w:val="24"/>
        </w:rPr>
        <w:t>分</w:t>
      </w:r>
      <w:r>
        <w:rPr>
          <w:rFonts w:hint="eastAsia" w:ascii="宋体" w:hAnsi="宋体"/>
          <w:color w:val="auto"/>
          <w:sz w:val="24"/>
          <w:lang w:eastAsia="zh-CN"/>
        </w:rPr>
        <w:t>；</w:t>
      </w:r>
      <w:r>
        <w:rPr>
          <w:rFonts w:ascii="宋体" w:hAnsi="宋体"/>
          <w:color w:val="auto"/>
          <w:sz w:val="24"/>
        </w:rPr>
        <w:t>未配备井盖开启设施、应急维护设施的，发现一次扣</w:t>
      </w:r>
      <w:r>
        <w:rPr>
          <w:rFonts w:hint="eastAsia" w:ascii="宋体" w:hAnsi="宋体"/>
          <w:color w:val="auto"/>
          <w:sz w:val="24"/>
        </w:rPr>
        <w:t>0.2</w:t>
      </w:r>
      <w:r>
        <w:rPr>
          <w:rFonts w:ascii="宋体" w:hAnsi="宋体"/>
          <w:color w:val="auto"/>
          <w:sz w:val="24"/>
        </w:rPr>
        <w:t>分。</w:t>
      </w:r>
    </w:p>
    <w:p>
      <w:pPr>
        <w:keepNext w:val="0"/>
        <w:keepLines w:val="0"/>
        <w:pageBreakBefore w:val="0"/>
        <w:kinsoku/>
        <w:wordWrap/>
        <w:topLinePunct w:val="0"/>
        <w:bidi w:val="0"/>
        <w:spacing w:line="440" w:lineRule="exact"/>
        <w:textAlignment w:val="auto"/>
        <w:rPr>
          <w:rFonts w:ascii="宋体" w:hAnsi="宋体"/>
          <w:color w:val="auto"/>
          <w:sz w:val="24"/>
        </w:rPr>
      </w:pPr>
      <w:r>
        <w:rPr>
          <w:rFonts w:ascii="宋体" w:hAnsi="宋体"/>
          <w:color w:val="auto"/>
          <w:sz w:val="24"/>
          <w:highlight w:val="none"/>
        </w:rPr>
        <w:t xml:space="preserve">    （4）巡查频率。根据城市</w:t>
      </w:r>
      <w:r>
        <w:rPr>
          <w:rFonts w:hint="eastAsia" w:ascii="宋体" w:hAnsi="宋体"/>
          <w:color w:val="auto"/>
          <w:sz w:val="24"/>
          <w:highlight w:val="none"/>
        </w:rPr>
        <w:t>管理</w:t>
      </w:r>
      <w:r>
        <w:rPr>
          <w:rFonts w:ascii="宋体" w:hAnsi="宋体"/>
          <w:color w:val="auto"/>
          <w:sz w:val="24"/>
          <w:highlight w:val="none"/>
        </w:rPr>
        <w:t>需要将各镇、街数字城管覆盖范围内的城市道路（包</w:t>
      </w:r>
      <w:r>
        <w:rPr>
          <w:rFonts w:ascii="宋体" w:hAnsi="宋体"/>
          <w:color w:val="auto"/>
          <w:sz w:val="24"/>
        </w:rPr>
        <w:t>括道路周边绿化、河道）具体分为一类道路、二类道路、三类道路（详见附表）、其他区域（数字城管实施范围内除一类、二类道路、三类道路外的其他区域）。</w:t>
      </w:r>
      <w:r>
        <w:rPr>
          <w:rFonts w:hint="eastAsia" w:ascii="宋体" w:hAnsi="宋体"/>
          <w:color w:val="auto"/>
          <w:sz w:val="24"/>
        </w:rPr>
        <w:t>按照</w:t>
      </w:r>
      <w:r>
        <w:rPr>
          <w:rFonts w:hint="eastAsia" w:ascii="宋体" w:hAnsi="宋体"/>
          <w:color w:val="auto"/>
          <w:sz w:val="24"/>
          <w:lang w:val="en-US" w:eastAsia="zh-CN"/>
        </w:rPr>
        <w:t>一类</w:t>
      </w:r>
      <w:r>
        <w:rPr>
          <w:rFonts w:hint="eastAsia" w:ascii="宋体" w:hAnsi="宋体"/>
          <w:color w:val="auto"/>
          <w:sz w:val="24"/>
        </w:rPr>
        <w:t>道路每天徒步巡查3次</w:t>
      </w:r>
      <w:r>
        <w:rPr>
          <w:rFonts w:hint="eastAsia" w:ascii="宋体" w:hAnsi="宋体"/>
          <w:color w:val="auto"/>
          <w:sz w:val="24"/>
          <w:lang w:eastAsia="zh-CN"/>
        </w:rPr>
        <w:t>（上午、下午、晚上，各一次）</w:t>
      </w:r>
      <w:r>
        <w:rPr>
          <w:rFonts w:hint="eastAsia" w:ascii="宋体" w:hAnsi="宋体"/>
          <w:color w:val="auto"/>
          <w:sz w:val="24"/>
        </w:rPr>
        <w:t>，电瓶车骑行巡查3次</w:t>
      </w:r>
      <w:r>
        <w:rPr>
          <w:rFonts w:hint="eastAsia" w:ascii="宋体" w:hAnsi="宋体"/>
          <w:color w:val="auto"/>
          <w:sz w:val="24"/>
          <w:lang w:eastAsia="zh-CN"/>
        </w:rPr>
        <w:t>（上午、下午、晚上各一次）</w:t>
      </w:r>
      <w:r>
        <w:rPr>
          <w:rFonts w:hint="eastAsia" w:ascii="宋体" w:hAnsi="宋体"/>
          <w:color w:val="auto"/>
          <w:sz w:val="24"/>
        </w:rPr>
        <w:t>；</w:t>
      </w:r>
      <w:r>
        <w:rPr>
          <w:rFonts w:hint="eastAsia" w:ascii="宋体" w:hAnsi="宋体"/>
          <w:color w:val="auto"/>
          <w:sz w:val="24"/>
          <w:lang w:val="en-US" w:eastAsia="zh-CN"/>
        </w:rPr>
        <w:t>二、三类</w:t>
      </w:r>
      <w:r>
        <w:rPr>
          <w:rFonts w:hint="eastAsia" w:ascii="宋体" w:hAnsi="宋体"/>
          <w:color w:val="auto"/>
          <w:sz w:val="24"/>
        </w:rPr>
        <w:t>道路徒步巡查2次</w:t>
      </w:r>
      <w:r>
        <w:rPr>
          <w:rFonts w:hint="eastAsia" w:ascii="宋体" w:hAnsi="宋体"/>
          <w:color w:val="auto"/>
          <w:sz w:val="24"/>
          <w:lang w:eastAsia="zh-CN"/>
        </w:rPr>
        <w:t>（上午、下午各一次）</w:t>
      </w:r>
      <w:r>
        <w:rPr>
          <w:rFonts w:hint="eastAsia" w:ascii="宋体" w:hAnsi="宋体"/>
          <w:color w:val="auto"/>
          <w:sz w:val="24"/>
        </w:rPr>
        <w:t>，电瓶车骑行巡查3次</w:t>
      </w:r>
      <w:r>
        <w:rPr>
          <w:rFonts w:hint="eastAsia" w:ascii="宋体" w:hAnsi="宋体"/>
          <w:color w:val="auto"/>
          <w:sz w:val="24"/>
          <w:lang w:eastAsia="zh-CN"/>
        </w:rPr>
        <w:t>（上午、下午、晚上各一次）</w:t>
      </w:r>
      <w:r>
        <w:rPr>
          <w:rFonts w:hint="eastAsia" w:ascii="宋体" w:hAnsi="宋体"/>
          <w:color w:val="auto"/>
          <w:sz w:val="24"/>
        </w:rPr>
        <w:t>，绿化及河道骑行巡查1次；桥路、隧道及国、省道机动车巡查每天不少于1次的巡查要求</w:t>
      </w:r>
      <w:r>
        <w:rPr>
          <w:rFonts w:hint="eastAsia" w:ascii="宋体" w:hAnsi="宋体"/>
          <w:color w:val="auto"/>
          <w:sz w:val="24"/>
          <w:lang w:eastAsia="zh-CN"/>
        </w:rPr>
        <w:t>；监控巡查每条道路不少于</w:t>
      </w:r>
      <w:r>
        <w:rPr>
          <w:rFonts w:hint="eastAsia" w:ascii="宋体" w:hAnsi="宋体"/>
          <w:color w:val="auto"/>
          <w:sz w:val="24"/>
          <w:lang w:val="en-US" w:eastAsia="zh-CN"/>
        </w:rPr>
        <w:t>2个点位</w:t>
      </w:r>
      <w:r>
        <w:rPr>
          <w:rFonts w:hint="eastAsia" w:ascii="宋体" w:hAnsi="宋体"/>
          <w:color w:val="auto"/>
          <w:sz w:val="24"/>
          <w:lang w:eastAsia="zh-CN"/>
        </w:rPr>
        <w:t>。</w:t>
      </w:r>
      <w:r>
        <w:rPr>
          <w:rFonts w:ascii="宋体" w:hAnsi="宋体"/>
          <w:color w:val="auto"/>
          <w:sz w:val="24"/>
        </w:rPr>
        <w:t>巡查频率不符合要求的，每发现一次扣0.5分。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（5）采集质量。应严格按事、部件标准实行“全视野”采集。采集（立案）、核实（查）差错每发现一起，每次扣0.</w:t>
      </w:r>
      <w:r>
        <w:rPr>
          <w:rFonts w:hint="eastAsia" w:ascii="宋体" w:hAnsi="宋体"/>
          <w:color w:val="auto"/>
          <w:sz w:val="24"/>
        </w:rPr>
        <w:t>2</w:t>
      </w:r>
      <w:r>
        <w:rPr>
          <w:rFonts w:ascii="宋体" w:hAnsi="宋体"/>
          <w:color w:val="auto"/>
          <w:sz w:val="24"/>
        </w:rPr>
        <w:t>分；被上级主管部门扣分或给问题处置带来重大影响的，每件扣</w:t>
      </w:r>
      <w:r>
        <w:rPr>
          <w:rFonts w:hint="eastAsia" w:ascii="宋体" w:hAnsi="宋体"/>
          <w:color w:val="auto"/>
          <w:sz w:val="24"/>
        </w:rPr>
        <w:t>1</w:t>
      </w:r>
      <w:r>
        <w:rPr>
          <w:rFonts w:ascii="宋体" w:hAnsi="宋体"/>
          <w:color w:val="auto"/>
          <w:sz w:val="24"/>
        </w:rPr>
        <w:t>分；在规定的处置时限内，同一个问题重复上报，被处置单位投诉的，每发生一起扣0.</w:t>
      </w:r>
      <w:r>
        <w:rPr>
          <w:rFonts w:hint="eastAsia" w:ascii="宋体" w:hAnsi="宋体"/>
          <w:color w:val="auto"/>
          <w:sz w:val="24"/>
        </w:rPr>
        <w:t>2</w:t>
      </w:r>
      <w:r>
        <w:rPr>
          <w:rFonts w:ascii="宋体" w:hAnsi="宋体"/>
          <w:color w:val="auto"/>
          <w:sz w:val="24"/>
        </w:rPr>
        <w:t>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（6）及时回复。采集员必须根据核实（查）指令要求，在限定时间内回复。核查时间为：突发事件必须在半小时内完成，其他事件、部件问题必须在1小时内完成。核实（查）回复不及时的，每发现一次扣0.</w:t>
      </w:r>
      <w:r>
        <w:rPr>
          <w:rFonts w:hint="eastAsia" w:ascii="宋体" w:hAnsi="宋体"/>
          <w:color w:val="auto"/>
          <w:sz w:val="24"/>
        </w:rPr>
        <w:t>2</w:t>
      </w:r>
      <w:r>
        <w:rPr>
          <w:rFonts w:ascii="宋体" w:hAnsi="宋体"/>
          <w:color w:val="auto"/>
          <w:sz w:val="24"/>
        </w:rPr>
        <w:t>分，被上级主管部门扣分或</w:t>
      </w:r>
      <w:r>
        <w:rPr>
          <w:rFonts w:hint="eastAsia" w:ascii="宋体" w:hAnsi="宋体"/>
          <w:color w:val="auto"/>
          <w:sz w:val="24"/>
          <w:lang w:eastAsia="zh-CN"/>
        </w:rPr>
        <w:t>造成</w:t>
      </w:r>
      <w:r>
        <w:rPr>
          <w:rFonts w:ascii="宋体" w:hAnsi="宋体"/>
          <w:color w:val="auto"/>
          <w:sz w:val="24"/>
        </w:rPr>
        <w:t>问题处置</w:t>
      </w:r>
      <w:r>
        <w:rPr>
          <w:rFonts w:hint="eastAsia" w:ascii="宋体" w:hAnsi="宋体"/>
          <w:color w:val="auto"/>
          <w:sz w:val="24"/>
          <w:lang w:eastAsia="zh-CN"/>
        </w:rPr>
        <w:t>被动被投诉</w:t>
      </w:r>
      <w:r>
        <w:rPr>
          <w:rFonts w:ascii="宋体" w:hAnsi="宋体"/>
          <w:color w:val="auto"/>
          <w:sz w:val="24"/>
        </w:rPr>
        <w:t>的，每件扣</w:t>
      </w:r>
      <w:r>
        <w:rPr>
          <w:rFonts w:hint="eastAsia" w:ascii="宋体" w:hAnsi="宋体"/>
          <w:color w:val="auto"/>
          <w:sz w:val="24"/>
        </w:rPr>
        <w:t>1</w:t>
      </w:r>
      <w:r>
        <w:rPr>
          <w:rFonts w:ascii="宋体" w:hAnsi="宋体"/>
          <w:color w:val="auto"/>
          <w:sz w:val="24"/>
        </w:rPr>
        <w:t>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（7）控制漏报。工作区域内所有事、部件问题应第一时间上报，因不及时上报而构成漏报事实的，将按以下标准计扣：由指挥中心和</w:t>
      </w:r>
      <w:r>
        <w:rPr>
          <w:rFonts w:hint="eastAsia" w:ascii="宋体" w:hAnsi="宋体"/>
          <w:color w:val="auto"/>
          <w:sz w:val="24"/>
          <w:lang w:eastAsia="zh-CN"/>
        </w:rPr>
        <w:t>区级及以下</w:t>
      </w:r>
      <w:r>
        <w:rPr>
          <w:rFonts w:ascii="宋体" w:hAnsi="宋体"/>
          <w:color w:val="auto"/>
          <w:sz w:val="24"/>
        </w:rPr>
        <w:t>相关部门巡查</w:t>
      </w:r>
      <w:r>
        <w:rPr>
          <w:rFonts w:hint="eastAsia" w:ascii="宋体" w:hAnsi="宋体"/>
          <w:color w:val="auto"/>
          <w:sz w:val="24"/>
          <w:lang w:eastAsia="zh-CN"/>
        </w:rPr>
        <w:t>发现，经</w:t>
      </w:r>
      <w:r>
        <w:rPr>
          <w:rFonts w:ascii="宋体" w:hAnsi="宋体"/>
          <w:color w:val="auto"/>
          <w:sz w:val="24"/>
        </w:rPr>
        <w:t>校核确认为漏报的，每件扣0.2分；市民投诉、市级部门检查</w:t>
      </w:r>
      <w:r>
        <w:rPr>
          <w:rFonts w:hint="eastAsia" w:ascii="宋体" w:hAnsi="宋体"/>
          <w:color w:val="auto"/>
          <w:sz w:val="24"/>
          <w:lang w:eastAsia="zh-CN"/>
        </w:rPr>
        <w:t>发现，经</w:t>
      </w:r>
      <w:r>
        <w:rPr>
          <w:rFonts w:ascii="宋体" w:hAnsi="宋体"/>
          <w:color w:val="auto"/>
          <w:sz w:val="24"/>
        </w:rPr>
        <w:t>校核后确认为漏报的，每件扣0.4分；媒体曝光、领导批示</w:t>
      </w:r>
      <w:r>
        <w:rPr>
          <w:rFonts w:hint="eastAsia" w:ascii="宋体" w:hAnsi="宋体"/>
          <w:color w:val="auto"/>
          <w:sz w:val="24"/>
          <w:lang w:eastAsia="zh-CN"/>
        </w:rPr>
        <w:t>，经</w:t>
      </w:r>
      <w:r>
        <w:rPr>
          <w:rFonts w:ascii="宋体" w:hAnsi="宋体"/>
          <w:color w:val="auto"/>
          <w:sz w:val="24"/>
        </w:rPr>
        <w:t xml:space="preserve">校核后确认为漏报的，每件扣1分； </w:t>
      </w:r>
    </w:p>
    <w:p>
      <w:pPr>
        <w:keepNext w:val="0"/>
        <w:keepLines w:val="0"/>
        <w:pageBreakBefore w:val="0"/>
        <w:tabs>
          <w:tab w:val="left" w:pos="6300"/>
        </w:tabs>
        <w:kinsoku/>
        <w:wordWrap/>
        <w:topLinePunct w:val="0"/>
        <w:bidi w:val="0"/>
        <w:spacing w:line="440" w:lineRule="exact"/>
        <w:ind w:firstLine="600" w:firstLineChars="250"/>
        <w:textAlignment w:val="auto"/>
        <w:rPr>
          <w:rFonts w:ascii="宋体" w:hAnsi="宋体"/>
          <w:color w:val="auto"/>
          <w:sz w:val="24"/>
        </w:rPr>
      </w:pPr>
      <w:r>
        <w:rPr>
          <w:rFonts w:ascii="宋体" w:hAnsi="宋体"/>
          <w:color w:val="auto"/>
          <w:sz w:val="24"/>
        </w:rPr>
        <w:t>（8）简易处置。采集员应对情节轻微且力所能及的问题实施简易处置。如出现采集员漠视城市管理轻微问题不实施简易处置的，核查属实的每次扣0.1分。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（9）普查保障。应保质保量完成数字城管普查任务，并按要求承担完成城市管理考核普查任务及其他甲方交办的普查任务，未按规定完成普查任务的，每次扣</w:t>
      </w:r>
      <w:r>
        <w:rPr>
          <w:rFonts w:hint="eastAsia" w:ascii="宋体" w:hAnsi="宋体"/>
          <w:color w:val="auto"/>
          <w:sz w:val="24"/>
        </w:rPr>
        <w:t>1</w:t>
      </w:r>
      <w:r>
        <w:rPr>
          <w:rFonts w:ascii="宋体" w:hAnsi="宋体"/>
          <w:color w:val="auto"/>
          <w:sz w:val="24"/>
        </w:rPr>
        <w:t>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（10）员工管理。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s="宋体"/>
          <w:color w:val="auto"/>
          <w:sz w:val="24"/>
        </w:rPr>
        <w:t>①</w:t>
      </w:r>
      <w:r>
        <w:rPr>
          <w:rFonts w:ascii="宋体" w:hAnsi="宋体"/>
          <w:color w:val="auto"/>
          <w:sz w:val="24"/>
        </w:rPr>
        <w:t>采集员和项目负责人不得擅自变更。如采集员管理、配置违反“三定（定采集员、定采集器、定巡查区域）”要求，每次扣0.2分；如采集员“三定”有变更，中标单位应提前三天以书面形式告知采购人，如擅自变更，每次扣0.2分；项目负责人如需变更或暂离岗位的，中标单位应提前一天以书面形式告知采购人并做好工作对接，且暂离不得超过</w:t>
      </w:r>
      <w:r>
        <w:rPr>
          <w:rFonts w:hint="eastAsia" w:ascii="宋体" w:hAnsi="宋体"/>
          <w:color w:val="auto"/>
          <w:sz w:val="24"/>
        </w:rPr>
        <w:t>5</w:t>
      </w:r>
      <w:r>
        <w:rPr>
          <w:rFonts w:ascii="宋体" w:hAnsi="宋体"/>
          <w:color w:val="auto"/>
          <w:sz w:val="24"/>
        </w:rPr>
        <w:t>天。如擅自变更、暂离或暂离超过期限的，每次扣2分；项目负责人应定期参加甲方组织的信息采集会议，无故不参加的，每次扣</w:t>
      </w:r>
      <w:r>
        <w:rPr>
          <w:rFonts w:hint="eastAsia" w:ascii="宋体" w:hAnsi="宋体"/>
          <w:color w:val="auto"/>
          <w:sz w:val="24"/>
        </w:rPr>
        <w:t>1</w:t>
      </w:r>
      <w:r>
        <w:rPr>
          <w:rFonts w:ascii="宋体" w:hAnsi="宋体"/>
          <w:color w:val="auto"/>
          <w:sz w:val="24"/>
        </w:rPr>
        <w:t>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s="宋体"/>
          <w:color w:val="auto"/>
          <w:sz w:val="24"/>
        </w:rPr>
        <w:t>②</w:t>
      </w:r>
      <w:r>
        <w:rPr>
          <w:rFonts w:ascii="宋体" w:hAnsi="宋体"/>
          <w:color w:val="auto"/>
          <w:sz w:val="24"/>
        </w:rPr>
        <w:t xml:space="preserve">采集员必须持证上岗。采集公司应组织采集员进行岗前培训，合格后配发上岗证，未经培训取得上岗资格或未持证从事采集工作，每次扣0.4分；如采集行为发生有责投诉、采集员越级上访，每次扣1分。 </w:t>
      </w:r>
    </w:p>
    <w:p>
      <w:pPr>
        <w:keepNext w:val="0"/>
        <w:keepLines w:val="0"/>
        <w:pageBreakBefore w:val="0"/>
        <w:tabs>
          <w:tab w:val="left" w:pos="6300"/>
        </w:tabs>
        <w:kinsoku/>
        <w:wordWrap/>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rPr>
        <w:t>③</w:t>
      </w:r>
      <w:r>
        <w:rPr>
          <w:rFonts w:ascii="宋体" w:hAnsi="宋体"/>
          <w:color w:val="auto"/>
          <w:sz w:val="24"/>
        </w:rPr>
        <w:t>遵守国家法律法规和工作制度。因采集员违法国家法律、法规及公司工作</w:t>
      </w:r>
      <w:r>
        <w:rPr>
          <w:rFonts w:hint="eastAsia" w:ascii="宋体" w:hAnsi="宋体" w:eastAsia="宋体" w:cs="宋体"/>
          <w:color w:val="auto"/>
          <w:sz w:val="24"/>
          <w:szCs w:val="24"/>
        </w:rPr>
        <w:t>制度上报虚假信息，发生有责纠纷的，一经查实，每次扣2分，造成严重影响的，采购人有权中止双方合同。</w:t>
      </w:r>
    </w:p>
    <w:p>
      <w:pPr>
        <w:keepNext w:val="0"/>
        <w:keepLines w:val="0"/>
        <w:pageBreakBefore w:val="0"/>
        <w:tabs>
          <w:tab w:val="left" w:pos="6300"/>
        </w:tabs>
        <w:kinsoku/>
        <w:wordWrap/>
        <w:topLinePunct w:val="0"/>
        <w:bidi w:val="0"/>
        <w:spacing w:line="440" w:lineRule="exact"/>
        <w:ind w:firstLine="240" w:firstLineChars="100"/>
        <w:textAlignment w:val="auto"/>
        <w:rPr>
          <w:rFonts w:hint="eastAsia" w:ascii="宋体" w:hAnsi="宋体" w:eastAsia="宋体" w:cs="宋体"/>
          <w:sz w:val="24"/>
          <w:szCs w:val="24"/>
          <w:lang w:val="en-US" w:eastAsia="zh-CN"/>
        </w:rPr>
      </w:pPr>
      <w:r>
        <w:rPr>
          <w:rFonts w:hint="eastAsia" w:ascii="仿宋_GB2312" w:hAnsi="仿宋_GB2312" w:eastAsia="仿宋_GB2312" w:cs="仿宋_GB2312"/>
          <w:color w:val="auto"/>
          <w:sz w:val="24"/>
          <w:szCs w:val="20"/>
          <w:highlight w:val="none"/>
        </w:rPr>
        <w:t>▲</w:t>
      </w:r>
      <w:r>
        <w:rPr>
          <w:rFonts w:hint="eastAsia" w:ascii="宋体" w:hAnsi="宋体" w:eastAsia="宋体" w:cs="宋体"/>
          <w:sz w:val="24"/>
          <w:szCs w:val="24"/>
          <w:lang w:val="en-US" w:eastAsia="zh-CN"/>
        </w:rPr>
        <w:t>④承诺为员工购买 “五险一金”和交通意外险。</w:t>
      </w:r>
    </w:p>
    <w:p>
      <w:pPr>
        <w:pStyle w:val="2"/>
        <w:numPr>
          <w:ilvl w:val="0"/>
          <w:numId w:val="0"/>
        </w:numPr>
        <w:ind w:firstLine="240" w:firstLineChars="100"/>
        <w:rPr>
          <w:rFonts w:hint="eastAsia" w:ascii="宋体" w:hAnsi="宋体" w:eastAsia="宋体" w:cs="宋体"/>
          <w:sz w:val="24"/>
          <w:szCs w:val="24"/>
          <w:lang w:val="en-US" w:eastAsia="zh-CN"/>
        </w:rPr>
      </w:pPr>
      <w:r>
        <w:rPr>
          <w:rFonts w:hint="eastAsia" w:ascii="仿宋_GB2312" w:hAnsi="仿宋_GB2312" w:eastAsia="仿宋_GB2312" w:cs="仿宋_GB2312"/>
          <w:color w:val="auto"/>
          <w:sz w:val="24"/>
          <w:szCs w:val="20"/>
          <w:highlight w:val="none"/>
        </w:rPr>
        <w:t>▲</w:t>
      </w:r>
      <w:r>
        <w:rPr>
          <w:rFonts w:hint="eastAsia" w:ascii="宋体" w:hAnsi="宋体" w:eastAsia="宋体" w:cs="宋体"/>
          <w:sz w:val="24"/>
          <w:szCs w:val="24"/>
          <w:lang w:val="en-US" w:eastAsia="zh-CN"/>
        </w:rPr>
        <w:t>⑤承诺员工工资月均实际收入不低于当年杭州市最低工资标准数额。</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olor w:val="auto"/>
          <w:sz w:val="24"/>
        </w:rPr>
        <w:t>（11）</w:t>
      </w:r>
      <w:r>
        <w:rPr>
          <w:rFonts w:ascii="宋体" w:hAnsi="宋体"/>
          <w:color w:val="auto"/>
          <w:sz w:val="24"/>
        </w:rPr>
        <w:t>做好装备、设备的管理，保证功能的正常发挥。</w:t>
      </w:r>
      <w:r>
        <w:rPr>
          <w:rFonts w:hint="eastAsia" w:ascii="宋体" w:hAnsi="宋体"/>
          <w:color w:val="auto"/>
          <w:sz w:val="24"/>
        </w:rPr>
        <w:t>因</w:t>
      </w:r>
      <w:r>
        <w:rPr>
          <w:rFonts w:ascii="宋体" w:hAnsi="宋体"/>
          <w:color w:val="auto"/>
          <w:sz w:val="24"/>
        </w:rPr>
        <w:t>设备维护不到位影响正常工作的 （扣除因不可抗拒力所引起的故障），每发现一次扣0.2分。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olor w:val="auto"/>
          <w:sz w:val="24"/>
        </w:rPr>
        <w:t>（12）加分项。</w:t>
      </w:r>
    </w:p>
    <w:p>
      <w:pPr>
        <w:keepNext w:val="0"/>
        <w:keepLines w:val="0"/>
        <w:pageBreakBefore w:val="0"/>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olor w:val="auto"/>
          <w:sz w:val="24"/>
        </w:rPr>
        <w:t>①</w:t>
      </w:r>
      <w:r>
        <w:rPr>
          <w:rFonts w:ascii="宋体" w:hAnsi="宋体"/>
          <w:color w:val="auto"/>
          <w:sz w:val="24"/>
        </w:rPr>
        <w:t>正面宣传</w:t>
      </w:r>
      <w:r>
        <w:rPr>
          <w:rFonts w:hint="eastAsia" w:ascii="宋体" w:hAnsi="宋体"/>
          <w:color w:val="auto"/>
          <w:sz w:val="24"/>
        </w:rPr>
        <w:t>。提供相关宣传素材</w:t>
      </w:r>
      <w:r>
        <w:rPr>
          <w:rFonts w:ascii="宋体" w:hAnsi="宋体"/>
          <w:color w:val="auto"/>
          <w:sz w:val="24"/>
        </w:rPr>
        <w:t>，被各级媒体或上级机关报道录用的给予一定加分，其中被</w:t>
      </w:r>
      <w:r>
        <w:rPr>
          <w:rFonts w:hint="eastAsia" w:ascii="宋体" w:hAnsi="宋体"/>
          <w:color w:val="auto"/>
          <w:sz w:val="24"/>
        </w:rPr>
        <w:t>区级</w:t>
      </w:r>
      <w:r>
        <w:rPr>
          <w:rFonts w:ascii="宋体" w:hAnsi="宋体"/>
          <w:color w:val="auto"/>
          <w:sz w:val="24"/>
        </w:rPr>
        <w:t>媒体或机关</w:t>
      </w:r>
      <w:r>
        <w:rPr>
          <w:rFonts w:hint="eastAsia" w:ascii="宋体" w:hAnsi="宋体"/>
          <w:color w:val="auto"/>
          <w:sz w:val="24"/>
        </w:rPr>
        <w:t>录用</w:t>
      </w:r>
      <w:r>
        <w:rPr>
          <w:rFonts w:ascii="宋体" w:hAnsi="宋体"/>
          <w:color w:val="auto"/>
          <w:sz w:val="24"/>
        </w:rPr>
        <w:t>的</w:t>
      </w:r>
      <w:r>
        <w:rPr>
          <w:rFonts w:hint="eastAsia" w:ascii="宋体" w:hAnsi="宋体"/>
          <w:color w:val="auto"/>
          <w:sz w:val="24"/>
        </w:rPr>
        <w:t>，每</w:t>
      </w:r>
      <w:r>
        <w:rPr>
          <w:rFonts w:ascii="宋体" w:hAnsi="宋体"/>
          <w:color w:val="auto"/>
          <w:sz w:val="24"/>
        </w:rPr>
        <w:t>次</w:t>
      </w:r>
      <w:r>
        <w:rPr>
          <w:rFonts w:hint="eastAsia" w:ascii="宋体" w:hAnsi="宋体"/>
          <w:color w:val="auto"/>
          <w:sz w:val="24"/>
        </w:rPr>
        <w:t>加</w:t>
      </w:r>
      <w:r>
        <w:rPr>
          <w:rFonts w:ascii="宋体" w:hAnsi="宋体"/>
          <w:color w:val="auto"/>
          <w:sz w:val="24"/>
        </w:rPr>
        <w:t>0.1</w:t>
      </w:r>
      <w:r>
        <w:rPr>
          <w:rFonts w:hint="eastAsia" w:ascii="宋体" w:hAnsi="宋体"/>
          <w:color w:val="auto"/>
          <w:sz w:val="24"/>
        </w:rPr>
        <w:t>分</w:t>
      </w:r>
      <w:r>
        <w:rPr>
          <w:rFonts w:ascii="宋体" w:hAnsi="宋体"/>
          <w:color w:val="auto"/>
          <w:sz w:val="24"/>
        </w:rPr>
        <w:t>；被市级以上媒体或机关录用的每次加0.2</w:t>
      </w:r>
      <w:r>
        <w:rPr>
          <w:rFonts w:hint="eastAsia" w:ascii="宋体" w:hAnsi="宋体"/>
          <w:color w:val="auto"/>
          <w:sz w:val="24"/>
        </w:rPr>
        <w:t>分。</w:t>
      </w:r>
    </w:p>
    <w:p>
      <w:pPr>
        <w:keepNext w:val="0"/>
        <w:keepLines w:val="0"/>
        <w:pageBreakBefore w:val="0"/>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olor w:val="auto"/>
          <w:sz w:val="24"/>
        </w:rPr>
        <w:t>②应急保障。防汛防台</w:t>
      </w:r>
      <w:r>
        <w:rPr>
          <w:rFonts w:ascii="宋体" w:hAnsi="宋体"/>
          <w:color w:val="auto"/>
          <w:sz w:val="24"/>
        </w:rPr>
        <w:t>、</w:t>
      </w:r>
      <w:r>
        <w:rPr>
          <w:rFonts w:hint="eastAsia" w:ascii="宋体" w:hAnsi="宋体"/>
          <w:color w:val="auto"/>
          <w:sz w:val="24"/>
        </w:rPr>
        <w:t>抗雪防冻等应急</w:t>
      </w:r>
      <w:r>
        <w:rPr>
          <w:rFonts w:ascii="宋体" w:hAnsi="宋体"/>
          <w:color w:val="auto"/>
          <w:sz w:val="24"/>
        </w:rPr>
        <w:t>抢险或重大</w:t>
      </w:r>
      <w:r>
        <w:rPr>
          <w:rFonts w:hint="eastAsia" w:ascii="宋体" w:hAnsi="宋体"/>
          <w:color w:val="auto"/>
          <w:sz w:val="24"/>
        </w:rPr>
        <w:t>保障过程中，</w:t>
      </w:r>
      <w:r>
        <w:rPr>
          <w:rFonts w:ascii="宋体" w:hAnsi="宋体"/>
          <w:color w:val="auto"/>
          <w:sz w:val="24"/>
        </w:rPr>
        <w:t>因表现出色被上级部门表彰的</w:t>
      </w:r>
      <w:r>
        <w:rPr>
          <w:rFonts w:hint="eastAsia" w:ascii="宋体" w:hAnsi="宋体"/>
          <w:color w:val="auto"/>
          <w:sz w:val="24"/>
        </w:rPr>
        <w:t>，</w:t>
      </w:r>
      <w:r>
        <w:rPr>
          <w:rFonts w:ascii="宋体" w:hAnsi="宋体"/>
          <w:color w:val="auto"/>
          <w:sz w:val="24"/>
        </w:rPr>
        <w:t>每次</w:t>
      </w:r>
      <w:r>
        <w:rPr>
          <w:rFonts w:hint="eastAsia" w:ascii="宋体" w:hAnsi="宋体"/>
          <w:color w:val="auto"/>
          <w:sz w:val="24"/>
        </w:rPr>
        <w:t>加</w:t>
      </w:r>
      <w:r>
        <w:rPr>
          <w:rFonts w:ascii="宋体" w:hAnsi="宋体"/>
          <w:color w:val="auto"/>
          <w:sz w:val="24"/>
        </w:rPr>
        <w:t>0.</w:t>
      </w:r>
      <w:r>
        <w:rPr>
          <w:rFonts w:hint="eastAsia" w:ascii="宋体" w:hAnsi="宋体"/>
          <w:color w:val="auto"/>
          <w:sz w:val="24"/>
        </w:rPr>
        <w:t>5分。</w:t>
      </w:r>
    </w:p>
    <w:p>
      <w:pPr>
        <w:keepNext w:val="0"/>
        <w:keepLines w:val="0"/>
        <w:pageBreakBefore w:val="0"/>
        <w:kinsoku/>
        <w:wordWrap/>
        <w:topLinePunct w:val="0"/>
        <w:bidi w:val="0"/>
        <w:spacing w:line="440" w:lineRule="exact"/>
        <w:ind w:firstLine="480" w:firstLineChars="200"/>
        <w:textAlignment w:val="auto"/>
        <w:rPr>
          <w:rFonts w:ascii="宋体" w:hAnsi="宋体"/>
          <w:color w:val="auto"/>
          <w:sz w:val="24"/>
        </w:rPr>
      </w:pPr>
      <w:r>
        <w:rPr>
          <w:rFonts w:hint="eastAsia" w:ascii="宋体" w:hAnsi="宋体"/>
          <w:color w:val="auto"/>
          <w:sz w:val="24"/>
        </w:rPr>
        <w:t>③日常重大隐患上报。针对</w:t>
      </w:r>
      <w:r>
        <w:rPr>
          <w:rFonts w:ascii="宋体" w:hAnsi="宋体"/>
          <w:color w:val="auto"/>
          <w:sz w:val="24"/>
        </w:rPr>
        <w:t>突发的</w:t>
      </w:r>
      <w:r>
        <w:rPr>
          <w:rFonts w:hint="eastAsia" w:ascii="宋体" w:hAnsi="宋体"/>
          <w:color w:val="auto"/>
          <w:sz w:val="24"/>
        </w:rPr>
        <w:t>严重影响市民人身安全</w:t>
      </w:r>
      <w:r>
        <w:rPr>
          <w:rFonts w:ascii="宋体" w:hAnsi="宋体"/>
          <w:color w:val="auto"/>
          <w:sz w:val="24"/>
        </w:rPr>
        <w:t>的城市管理</w:t>
      </w:r>
      <w:r>
        <w:rPr>
          <w:rFonts w:hint="eastAsia" w:ascii="宋体" w:hAnsi="宋体"/>
          <w:color w:val="auto"/>
          <w:sz w:val="24"/>
        </w:rPr>
        <w:t>问题，第一时间</w:t>
      </w:r>
      <w:r>
        <w:rPr>
          <w:rFonts w:ascii="宋体" w:hAnsi="宋体"/>
          <w:color w:val="auto"/>
          <w:sz w:val="24"/>
        </w:rPr>
        <w:t>向有关部门反映信息</w:t>
      </w:r>
      <w:r>
        <w:rPr>
          <w:rFonts w:hint="eastAsia" w:ascii="宋体" w:hAnsi="宋体"/>
          <w:color w:val="auto"/>
          <w:sz w:val="24"/>
        </w:rPr>
        <w:t>，</w:t>
      </w:r>
      <w:r>
        <w:rPr>
          <w:rFonts w:ascii="宋体" w:hAnsi="宋体"/>
          <w:color w:val="auto"/>
          <w:sz w:val="24"/>
        </w:rPr>
        <w:t>做好简易维护，</w:t>
      </w:r>
      <w:r>
        <w:rPr>
          <w:rFonts w:hint="eastAsia" w:ascii="宋体" w:hAnsi="宋体"/>
          <w:color w:val="auto"/>
          <w:sz w:val="24"/>
        </w:rPr>
        <w:t>受到</w:t>
      </w:r>
      <w:r>
        <w:rPr>
          <w:rFonts w:hint="eastAsia" w:ascii="宋体" w:hAnsi="宋体"/>
          <w:color w:val="auto"/>
          <w:sz w:val="24"/>
          <w:lang w:eastAsia="zh-CN"/>
        </w:rPr>
        <w:t>镇街及以上</w:t>
      </w:r>
      <w:r>
        <w:rPr>
          <w:rFonts w:hint="eastAsia" w:ascii="宋体" w:hAnsi="宋体"/>
          <w:color w:val="auto"/>
          <w:sz w:val="24"/>
        </w:rPr>
        <w:t>部门肯定或表扬的，每</w:t>
      </w:r>
      <w:r>
        <w:rPr>
          <w:rFonts w:ascii="宋体" w:hAnsi="宋体"/>
          <w:color w:val="auto"/>
          <w:sz w:val="24"/>
        </w:rPr>
        <w:t>次</w:t>
      </w:r>
      <w:r>
        <w:rPr>
          <w:rFonts w:hint="eastAsia" w:ascii="宋体" w:hAnsi="宋体"/>
          <w:color w:val="auto"/>
          <w:sz w:val="24"/>
        </w:rPr>
        <w:t>加</w:t>
      </w:r>
      <w:r>
        <w:rPr>
          <w:rFonts w:ascii="宋体" w:hAnsi="宋体"/>
          <w:color w:val="auto"/>
          <w:sz w:val="24"/>
        </w:rPr>
        <w:t>0.</w:t>
      </w:r>
      <w:r>
        <w:rPr>
          <w:rFonts w:hint="eastAsia" w:ascii="宋体" w:hAnsi="宋体"/>
          <w:color w:val="auto"/>
          <w:sz w:val="24"/>
        </w:rPr>
        <w:t>5分。</w:t>
      </w:r>
    </w:p>
    <w:p>
      <w:pPr>
        <w:keepNext w:val="0"/>
        <w:keepLines w:val="0"/>
        <w:pageBreakBefore w:val="0"/>
        <w:widowControl/>
        <w:kinsoku/>
        <w:wordWrap/>
        <w:topLinePunct w:val="0"/>
        <w:bidi w:val="0"/>
        <w:spacing w:line="440" w:lineRule="exact"/>
        <w:ind w:firstLine="480" w:firstLineChars="200"/>
        <w:textAlignment w:val="auto"/>
        <w:rPr>
          <w:rFonts w:hint="eastAsia" w:ascii="宋体" w:hAnsi="宋体"/>
          <w:color w:val="auto"/>
          <w:sz w:val="24"/>
        </w:rPr>
      </w:pPr>
      <w:r>
        <w:rPr>
          <w:rFonts w:hint="eastAsia" w:ascii="宋体" w:hAnsi="宋体" w:cs="宋体"/>
          <w:color w:val="auto"/>
          <w:sz w:val="24"/>
          <w:lang w:bidi="ar"/>
        </w:rPr>
        <w:t>④</w:t>
      </w:r>
      <w:r>
        <w:rPr>
          <w:rFonts w:ascii="宋体" w:hAnsi="宋体"/>
          <w:color w:val="auto"/>
          <w:sz w:val="24"/>
        </w:rPr>
        <w:t>月度考核</w:t>
      </w:r>
      <w:r>
        <w:rPr>
          <w:rFonts w:hint="eastAsia" w:ascii="宋体" w:hAnsi="宋体"/>
          <w:color w:val="auto"/>
          <w:sz w:val="24"/>
        </w:rPr>
        <w:t>加分</w:t>
      </w:r>
      <w:r>
        <w:rPr>
          <w:rFonts w:ascii="宋体" w:hAnsi="宋体"/>
          <w:color w:val="auto"/>
          <w:sz w:val="24"/>
        </w:rPr>
        <w:t>项</w:t>
      </w:r>
      <w:r>
        <w:rPr>
          <w:rFonts w:hint="eastAsia" w:ascii="宋体" w:hAnsi="宋体"/>
          <w:color w:val="auto"/>
          <w:sz w:val="24"/>
        </w:rPr>
        <w:t>每月不超过</w:t>
      </w:r>
      <w:r>
        <w:rPr>
          <w:rFonts w:ascii="宋体" w:hAnsi="宋体"/>
          <w:color w:val="auto"/>
          <w:sz w:val="24"/>
        </w:rPr>
        <w:t>5</w:t>
      </w:r>
      <w:r>
        <w:rPr>
          <w:rFonts w:hint="eastAsia" w:ascii="宋体" w:hAnsi="宋体"/>
          <w:color w:val="auto"/>
          <w:sz w:val="24"/>
        </w:rPr>
        <w:t>分，</w:t>
      </w:r>
      <w:r>
        <w:rPr>
          <w:rFonts w:ascii="宋体" w:hAnsi="宋体"/>
          <w:color w:val="auto"/>
          <w:sz w:val="24"/>
        </w:rPr>
        <w:t>月</w:t>
      </w:r>
      <w:r>
        <w:rPr>
          <w:rFonts w:hint="eastAsia" w:ascii="宋体" w:hAnsi="宋体"/>
          <w:color w:val="auto"/>
          <w:sz w:val="24"/>
        </w:rPr>
        <w:t>度考核总分不超过100分。</w:t>
      </w:r>
    </w:p>
    <w:p>
      <w:pPr>
        <w:pStyle w:val="2"/>
        <w:widowControl w:val="0"/>
        <w:numPr>
          <w:ilvl w:val="0"/>
          <w:numId w:val="1"/>
        </w:numPr>
        <w:spacing w:line="440" w:lineRule="exact"/>
        <w:jc w:val="both"/>
        <w:rPr>
          <w:rFonts w:hint="eastAsia" w:ascii="宋体" w:hAnsi="宋体"/>
          <w:color w:val="auto"/>
          <w:sz w:val="24"/>
          <w:lang w:val="en-US" w:eastAsia="zh-CN"/>
        </w:rPr>
      </w:pPr>
      <w:r>
        <w:rPr>
          <w:rFonts w:hint="eastAsia" w:ascii="宋体" w:hAnsi="宋体"/>
          <w:color w:val="auto"/>
          <w:sz w:val="24"/>
          <w:lang w:val="en-US" w:eastAsia="zh-CN"/>
        </w:rPr>
        <w:t>中标公司应具有项目启动能力，具有完备的项目启动方案。</w:t>
      </w:r>
    </w:p>
    <w:p>
      <w:pPr>
        <w:pStyle w:val="2"/>
        <w:numPr>
          <w:ilvl w:val="0"/>
          <w:numId w:val="1"/>
        </w:numPr>
        <w:spacing w:line="440" w:lineRule="exact"/>
        <w:rPr>
          <w:rFonts w:hint="eastAsia" w:ascii="宋体" w:hAnsi="宋体"/>
          <w:color w:val="auto"/>
          <w:sz w:val="24"/>
          <w:lang w:val="en-US" w:eastAsia="zh-CN"/>
        </w:rPr>
      </w:pPr>
      <w:r>
        <w:rPr>
          <w:rFonts w:hint="eastAsia" w:ascii="宋体" w:hAnsi="宋体"/>
          <w:color w:val="auto"/>
          <w:sz w:val="24"/>
          <w:lang w:val="en-US" w:eastAsia="zh-CN"/>
        </w:rPr>
        <w:t>投标公司具有内部管理能力，项目内实行层级管理机制，对各岗位有完备的管理制度及考核办法，并确保员工基础保障符合要求。</w:t>
      </w:r>
    </w:p>
    <w:p>
      <w:pPr>
        <w:pStyle w:val="2"/>
        <w:numPr>
          <w:ilvl w:val="0"/>
          <w:numId w:val="1"/>
        </w:numPr>
        <w:spacing w:line="440" w:lineRule="exact"/>
        <w:rPr>
          <w:rFonts w:hint="eastAsia" w:ascii="宋体" w:hAnsi="宋体"/>
          <w:color w:val="auto"/>
          <w:sz w:val="24"/>
          <w:lang w:val="en-US" w:eastAsia="zh-CN"/>
        </w:rPr>
      </w:pPr>
      <w:r>
        <w:rPr>
          <w:rFonts w:hint="eastAsia" w:ascii="宋体" w:hAnsi="宋体"/>
          <w:color w:val="auto"/>
          <w:sz w:val="24"/>
          <w:lang w:val="en-US" w:eastAsia="zh-CN"/>
        </w:rPr>
        <w:t>投标公司具有明晰的信息采集方案，人员、设备组成符合采购需求。信息采集方案包括采集员、机动车巡查方案、采集路线编制方案、确权方案、应急处置方案等。</w:t>
      </w:r>
    </w:p>
    <w:p>
      <w:pPr>
        <w:pStyle w:val="2"/>
        <w:numPr>
          <w:ilvl w:val="0"/>
          <w:numId w:val="1"/>
        </w:numPr>
        <w:spacing w:line="440" w:lineRule="exact"/>
        <w:rPr>
          <w:rFonts w:hint="eastAsia" w:ascii="宋体" w:hAnsi="宋体"/>
          <w:color w:val="auto"/>
          <w:sz w:val="24"/>
          <w:lang w:val="en-US" w:eastAsia="zh-CN"/>
        </w:rPr>
      </w:pPr>
      <w:r>
        <w:rPr>
          <w:rFonts w:hint="eastAsia" w:ascii="宋体" w:hAnsi="宋体"/>
          <w:color w:val="auto"/>
          <w:sz w:val="24"/>
          <w:lang w:val="en-US" w:eastAsia="zh-CN"/>
        </w:rPr>
        <w:t>投标公司应确保工具备品备件齐全，同时落实设备管理、维护、报修，办公场所应保障网络、临时用电符合服务需求。</w:t>
      </w:r>
    </w:p>
    <w:p>
      <w:pPr>
        <w:pStyle w:val="2"/>
        <w:numPr>
          <w:ilvl w:val="0"/>
          <w:numId w:val="1"/>
        </w:numPr>
        <w:spacing w:line="440" w:lineRule="exact"/>
        <w:rPr>
          <w:rFonts w:hint="eastAsia" w:ascii="宋体" w:hAnsi="宋体"/>
          <w:color w:val="auto"/>
          <w:sz w:val="24"/>
          <w:lang w:val="en-US" w:eastAsia="zh-CN"/>
        </w:rPr>
      </w:pPr>
      <w:r>
        <w:rPr>
          <w:rFonts w:hint="eastAsia" w:ascii="宋体" w:hAnsi="宋体"/>
          <w:color w:val="auto"/>
          <w:sz w:val="24"/>
          <w:lang w:val="en-US" w:eastAsia="zh-CN"/>
        </w:rPr>
        <w:t>投标公司具有质量管理能力，针对采集发生的漏报、差错、市民投诉等具有明晰的管理措施，同时开展优秀事迹宣传等工作。</w:t>
      </w:r>
    </w:p>
    <w:p>
      <w:pPr>
        <w:pStyle w:val="2"/>
        <w:widowControl/>
        <w:numPr>
          <w:ilvl w:val="0"/>
          <w:numId w:val="1"/>
        </w:numPr>
        <w:spacing w:line="440" w:lineRule="exact"/>
        <w:jc w:val="left"/>
        <w:rPr>
          <w:rFonts w:hint="default" w:ascii="宋体" w:hAnsi="宋体"/>
          <w:color w:val="auto"/>
          <w:sz w:val="24"/>
          <w:lang w:val="en-US" w:eastAsia="zh-CN"/>
        </w:rPr>
      </w:pPr>
      <w:r>
        <w:rPr>
          <w:rFonts w:hint="eastAsia" w:ascii="宋体" w:hAnsi="宋体"/>
          <w:color w:val="auto"/>
          <w:sz w:val="24"/>
          <w:lang w:val="en-US" w:eastAsia="zh-CN"/>
        </w:rPr>
        <w:t>投标人应熟悉本项目实施现状及存在的问题点，周期性进行总结优化，并保证落实员工培训制度、应急保障制度，具有解决项目进行过程中所遇到状况的能力</w:t>
      </w:r>
    </w:p>
    <w:p>
      <w:pPr>
        <w:pStyle w:val="2"/>
        <w:widowControl/>
        <w:numPr>
          <w:ilvl w:val="0"/>
          <w:numId w:val="1"/>
        </w:numPr>
        <w:spacing w:line="440" w:lineRule="exact"/>
        <w:jc w:val="left"/>
        <w:rPr>
          <w:rFonts w:hint="default" w:ascii="宋体" w:hAnsi="宋体"/>
          <w:color w:val="auto"/>
          <w:sz w:val="24"/>
          <w:lang w:val="en-US" w:eastAsia="zh-CN"/>
        </w:rPr>
      </w:pPr>
      <w:r>
        <w:rPr>
          <w:rFonts w:ascii="宋体" w:hAnsi="宋体"/>
          <w:color w:val="auto"/>
          <w:sz w:val="24"/>
          <w:lang w:bidi="ar"/>
        </w:rPr>
        <w:t>中标采集公司</w:t>
      </w:r>
      <w:r>
        <w:rPr>
          <w:rFonts w:hint="eastAsia" w:ascii="宋体" w:hAnsi="宋体"/>
          <w:color w:val="auto"/>
          <w:sz w:val="24"/>
          <w:lang w:val="en-US" w:eastAsia="zh-CN"/>
        </w:rPr>
        <w:t>自行提供采集器，应符合基本标准（CPU不低于4G，存储容量不低于64G，像素不低于1200万，双卡双待，GPS偏移不超过5米，机龄2年以内），</w:t>
      </w:r>
      <w:r>
        <w:rPr>
          <w:rFonts w:ascii="宋体" w:hAnsi="宋体"/>
          <w:color w:val="auto"/>
          <w:sz w:val="24"/>
          <w:lang w:bidi="ar"/>
        </w:rPr>
        <w:t>中标采集公司</w:t>
      </w:r>
      <w:r>
        <w:rPr>
          <w:rFonts w:hint="eastAsia" w:ascii="宋体" w:hAnsi="宋体"/>
          <w:color w:val="auto"/>
          <w:sz w:val="24"/>
          <w:lang w:val="en-US" w:eastAsia="zh-CN"/>
        </w:rPr>
        <w:t>应保证提供足额的采集器，保证采集工作顺利执行。</w:t>
      </w:r>
    </w:p>
    <w:p>
      <w:pPr>
        <w:keepNext w:val="0"/>
        <w:keepLines w:val="0"/>
        <w:pageBreakBefore w:val="0"/>
        <w:widowControl/>
        <w:tabs>
          <w:tab w:val="left" w:pos="6300"/>
        </w:tabs>
        <w:kinsoku/>
        <w:wordWrap/>
        <w:topLinePunct w:val="0"/>
        <w:bidi w:val="0"/>
        <w:snapToGrid w:val="0"/>
        <w:spacing w:line="440" w:lineRule="exact"/>
        <w:ind w:firstLine="480" w:firstLineChars="200"/>
        <w:textAlignment w:val="auto"/>
        <w:rPr>
          <w:rFonts w:ascii="宋体" w:hAnsi="宋体"/>
          <w:color w:val="auto"/>
          <w:sz w:val="24"/>
        </w:rPr>
      </w:pPr>
      <w:r>
        <w:rPr>
          <w:rFonts w:ascii="宋体" w:hAnsi="宋体"/>
          <w:color w:val="auto"/>
          <w:sz w:val="24"/>
        </w:rPr>
        <w:t>（</w:t>
      </w:r>
      <w:r>
        <w:rPr>
          <w:rFonts w:hint="eastAsia" w:ascii="宋体" w:hAnsi="宋体"/>
          <w:color w:val="auto"/>
          <w:sz w:val="24"/>
          <w:lang w:val="en-US" w:eastAsia="zh-CN"/>
        </w:rPr>
        <w:t>20</w:t>
      </w:r>
      <w:r>
        <w:rPr>
          <w:rFonts w:ascii="宋体" w:hAnsi="宋体"/>
          <w:color w:val="auto"/>
          <w:sz w:val="24"/>
        </w:rPr>
        <w:t>）</w:t>
      </w:r>
      <w:r>
        <w:rPr>
          <w:rFonts w:ascii="宋体" w:hAnsi="宋体"/>
          <w:color w:val="auto"/>
          <w:sz w:val="24"/>
          <w:lang w:bidi="ar"/>
        </w:rPr>
        <w:t>中标采集公司有其他服务承诺，未实际履行的，每发现一次扣1</w:t>
      </w:r>
      <w:r>
        <w:rPr>
          <w:rFonts w:hint="eastAsia" w:ascii="宋体" w:hAnsi="宋体" w:cs="宋体"/>
          <w:color w:val="auto"/>
          <w:sz w:val="24"/>
          <w:lang w:bidi="ar"/>
        </w:rPr>
        <w:t>分。</w:t>
      </w:r>
    </w:p>
    <w:p>
      <w:pPr>
        <w:keepNext w:val="0"/>
        <w:keepLines w:val="0"/>
        <w:pageBreakBefore w:val="0"/>
        <w:tabs>
          <w:tab w:val="left" w:pos="6300"/>
        </w:tabs>
        <w:kinsoku/>
        <w:wordWrap/>
        <w:topLinePunct w:val="0"/>
        <w:bidi w:val="0"/>
        <w:spacing w:line="440" w:lineRule="exact"/>
        <w:ind w:firstLine="480" w:firstLineChars="200"/>
        <w:textAlignment w:val="auto"/>
        <w:rPr>
          <w:rFonts w:ascii="宋体" w:hAnsi="宋体"/>
          <w:color w:val="auto"/>
          <w:sz w:val="24"/>
        </w:rPr>
      </w:pPr>
      <w:r>
        <w:rPr>
          <w:rFonts w:ascii="宋体" w:hAnsi="宋体"/>
          <w:color w:val="auto"/>
          <w:sz w:val="24"/>
        </w:rPr>
        <w:t>（</w:t>
      </w:r>
      <w:r>
        <w:rPr>
          <w:rFonts w:hint="eastAsia" w:ascii="宋体" w:hAnsi="宋体"/>
          <w:color w:val="auto"/>
          <w:sz w:val="24"/>
          <w:lang w:val="en-US" w:eastAsia="zh-CN"/>
        </w:rPr>
        <w:t>21</w:t>
      </w:r>
      <w:r>
        <w:rPr>
          <w:rFonts w:ascii="宋体" w:hAnsi="宋体"/>
          <w:color w:val="auto"/>
          <w:sz w:val="24"/>
        </w:rPr>
        <w:t>）其他事项。</w:t>
      </w:r>
    </w:p>
    <w:p>
      <w:pPr>
        <w:pStyle w:val="35"/>
        <w:keepNext w:val="0"/>
        <w:keepLines w:val="0"/>
        <w:pageBreakBefore w:val="0"/>
        <w:tabs>
          <w:tab w:val="left" w:pos="6300"/>
        </w:tabs>
        <w:kinsoku/>
        <w:wordWrap/>
        <w:topLinePunct w:val="0"/>
        <w:bidi w:val="0"/>
        <w:snapToGrid w:val="0"/>
        <w:spacing w:line="440" w:lineRule="exact"/>
        <w:ind w:firstLine="480" w:firstLineChars="200"/>
        <w:textAlignment w:val="auto"/>
        <w:rPr>
          <w:rFonts w:ascii="宋体" w:hAnsi="宋体" w:eastAsia="宋体"/>
          <w:color w:val="auto"/>
          <w:sz w:val="24"/>
        </w:rPr>
      </w:pPr>
      <w:r>
        <w:rPr>
          <w:rFonts w:hint="eastAsia" w:ascii="宋体" w:hAnsi="宋体" w:eastAsia="宋体" w:cs="宋体"/>
          <w:color w:val="auto"/>
          <w:sz w:val="24"/>
        </w:rPr>
        <w:t>①</w:t>
      </w:r>
      <w:r>
        <w:rPr>
          <w:rFonts w:ascii="宋体" w:hAnsi="宋体" w:eastAsia="宋体"/>
          <w:color w:val="auto"/>
          <w:sz w:val="24"/>
        </w:rPr>
        <w:t>中标采集公司根据采购需求设定采集员以及信息采集器的工作区域，合同履行前一周内向采购人提供各信息采集员的巡查行径线路。</w:t>
      </w:r>
    </w:p>
    <w:p>
      <w:pPr>
        <w:pStyle w:val="35"/>
        <w:keepNext w:val="0"/>
        <w:keepLines w:val="0"/>
        <w:pageBreakBefore w:val="0"/>
        <w:tabs>
          <w:tab w:val="left" w:pos="6300"/>
        </w:tabs>
        <w:kinsoku/>
        <w:wordWrap/>
        <w:topLinePunct w:val="0"/>
        <w:bidi w:val="0"/>
        <w:snapToGrid w:val="0"/>
        <w:spacing w:line="440" w:lineRule="exact"/>
        <w:ind w:firstLine="480" w:firstLineChars="200"/>
        <w:textAlignment w:val="auto"/>
        <w:rPr>
          <w:rFonts w:ascii="宋体" w:hAnsi="宋体" w:eastAsia="宋体"/>
          <w:sz w:val="24"/>
        </w:rPr>
      </w:pPr>
      <w:r>
        <w:rPr>
          <w:rFonts w:hint="eastAsia" w:ascii="宋体" w:hAnsi="宋体" w:eastAsia="宋体" w:cs="宋体"/>
          <w:color w:val="auto"/>
          <w:sz w:val="24"/>
        </w:rPr>
        <w:t>②</w:t>
      </w:r>
      <w:r>
        <w:rPr>
          <w:rFonts w:ascii="宋体" w:hAnsi="宋体" w:eastAsia="宋体"/>
          <w:color w:val="auto"/>
          <w:sz w:val="24"/>
        </w:rPr>
        <w:t>采购认对</w:t>
      </w:r>
      <w:r>
        <w:rPr>
          <w:rFonts w:hint="eastAsia" w:ascii="宋体" w:hAnsi="宋体" w:eastAsia="宋体"/>
          <w:color w:val="auto"/>
          <w:sz w:val="24"/>
          <w:lang w:eastAsia="zh-CN"/>
        </w:rPr>
        <w:t>中标</w:t>
      </w:r>
      <w:r>
        <w:rPr>
          <w:rFonts w:ascii="宋体" w:hAnsi="宋体" w:eastAsia="宋体"/>
          <w:color w:val="auto"/>
          <w:sz w:val="24"/>
        </w:rPr>
        <w:t>采集公司按月进行考核，满分为100分，每扣1分，折扣合同款</w:t>
      </w:r>
      <w:r>
        <w:rPr>
          <w:rFonts w:hint="eastAsia" w:ascii="宋体" w:hAnsi="宋体" w:eastAsia="宋体"/>
          <w:color w:val="auto"/>
          <w:sz w:val="24"/>
        </w:rPr>
        <w:t>5</w:t>
      </w:r>
      <w:r>
        <w:rPr>
          <w:rFonts w:ascii="宋体" w:hAnsi="宋体" w:eastAsia="宋体"/>
          <w:color w:val="auto"/>
          <w:sz w:val="24"/>
        </w:rPr>
        <w:t>000</w:t>
      </w:r>
      <w:r>
        <w:rPr>
          <w:rFonts w:ascii="宋体" w:hAnsi="宋体" w:eastAsia="宋体"/>
          <w:sz w:val="24"/>
        </w:rPr>
        <w:t>元。得分在70分（含）以上的为合格；如出现连续两次不合格的，中标采集公司必须更换项目负责人，累计3次考核不合格的，采购人有权终止合同。</w:t>
      </w:r>
    </w:p>
    <w:p>
      <w:pPr>
        <w:pStyle w:val="35"/>
        <w:keepNext w:val="0"/>
        <w:keepLines w:val="0"/>
        <w:pageBreakBefore w:val="0"/>
        <w:tabs>
          <w:tab w:val="left" w:pos="6300"/>
        </w:tabs>
        <w:kinsoku/>
        <w:wordWrap/>
        <w:topLinePunct w:val="0"/>
        <w:bidi w:val="0"/>
        <w:snapToGrid w:val="0"/>
        <w:spacing w:line="440" w:lineRule="exact"/>
        <w:ind w:firstLine="480" w:firstLineChars="200"/>
        <w:textAlignment w:val="auto"/>
        <w:rPr>
          <w:rFonts w:ascii="宋体" w:hAnsi="宋体" w:eastAsia="宋体"/>
          <w:sz w:val="24"/>
        </w:rPr>
      </w:pPr>
      <w:r>
        <w:rPr>
          <w:rFonts w:hint="eastAsia" w:ascii="宋体" w:hAnsi="宋体" w:eastAsia="宋体" w:cs="宋体"/>
          <w:sz w:val="24"/>
        </w:rPr>
        <w:t>③</w:t>
      </w:r>
      <w:r>
        <w:rPr>
          <w:rFonts w:ascii="宋体" w:hAnsi="宋体" w:eastAsia="宋体"/>
          <w:sz w:val="24"/>
        </w:rPr>
        <w:t>中标采集公司在合同期间，被采购人中止合同的，费用结算至合同中止日，采购人有权</w:t>
      </w:r>
      <w:r>
        <w:rPr>
          <w:rFonts w:ascii="宋体" w:hAnsi="宋体" w:eastAsia="宋体"/>
          <w:sz w:val="24"/>
          <w:szCs w:val="24"/>
        </w:rPr>
        <w:t>追缴预付款、没收履约保证金，由此引起的一切后果由中标采集公司承担</w:t>
      </w:r>
      <w:r>
        <w:rPr>
          <w:rFonts w:ascii="宋体" w:hAnsi="宋体" w:eastAsia="宋体"/>
          <w:sz w:val="24"/>
        </w:rPr>
        <w:t>。</w:t>
      </w:r>
    </w:p>
    <w:p>
      <w:pPr>
        <w:pStyle w:val="35"/>
        <w:keepNext w:val="0"/>
        <w:keepLines w:val="0"/>
        <w:pageBreakBefore w:val="0"/>
        <w:tabs>
          <w:tab w:val="left" w:pos="6300"/>
        </w:tabs>
        <w:kinsoku/>
        <w:wordWrap/>
        <w:topLinePunct w:val="0"/>
        <w:bidi w:val="0"/>
        <w:snapToGrid w:val="0"/>
        <w:spacing w:line="440" w:lineRule="exact"/>
        <w:ind w:firstLine="480" w:firstLineChars="200"/>
        <w:textAlignment w:val="auto"/>
        <w:rPr>
          <w:rFonts w:hint="eastAsia" w:ascii="宋体" w:hAnsi="宋体" w:eastAsia="宋体"/>
          <w:sz w:val="24"/>
          <w:szCs w:val="24"/>
        </w:rPr>
      </w:pPr>
      <w:r>
        <w:rPr>
          <w:rFonts w:hint="eastAsia" w:ascii="宋体" w:hAnsi="宋体" w:eastAsia="宋体" w:cs="宋体"/>
          <w:sz w:val="24"/>
        </w:rPr>
        <w:t>④</w:t>
      </w:r>
      <w:r>
        <w:rPr>
          <w:rFonts w:ascii="宋体" w:hAnsi="宋体" w:eastAsia="宋体"/>
          <w:sz w:val="24"/>
        </w:rPr>
        <w:t>中标采集公司要对所属人员（含劳务外包人员）的工作行为负责，要加强所属人员的教育与培训工作，防止安全事故、违法乱纪事件、有责民事纠纷等现象的发现。所有采集员、管理人员及</w:t>
      </w:r>
      <w:r>
        <w:rPr>
          <w:rFonts w:ascii="宋体" w:hAnsi="宋体" w:eastAsia="宋体"/>
          <w:sz w:val="24"/>
          <w:szCs w:val="24"/>
        </w:rPr>
        <w:t>项目负责人</w:t>
      </w:r>
      <w:r>
        <w:rPr>
          <w:rFonts w:ascii="宋体" w:hAnsi="宋体" w:eastAsia="宋体"/>
          <w:sz w:val="24"/>
        </w:rPr>
        <w:t>工作中的安全责任以及法律纠纷均由中标采集公司自行承担。</w:t>
      </w:r>
    </w:p>
    <w:p>
      <w:pPr>
        <w:pStyle w:val="35"/>
        <w:keepNext w:val="0"/>
        <w:keepLines w:val="0"/>
        <w:pageBreakBefore w:val="0"/>
        <w:tabs>
          <w:tab w:val="left" w:pos="6300"/>
        </w:tabs>
        <w:kinsoku/>
        <w:wordWrap/>
        <w:topLinePunct w:val="0"/>
        <w:bidi w:val="0"/>
        <w:snapToGrid w:val="0"/>
        <w:spacing w:line="440" w:lineRule="exact"/>
        <w:textAlignment w:val="auto"/>
        <w:rPr>
          <w:rFonts w:ascii="宋体" w:hAnsi="宋体" w:eastAsia="宋体"/>
          <w:b/>
          <w:color w:val="000000"/>
          <w:sz w:val="24"/>
          <w:szCs w:val="24"/>
          <w:highlight w:val="none"/>
        </w:rPr>
      </w:pPr>
      <w:r>
        <w:rPr>
          <w:rFonts w:ascii="宋体" w:hAnsi="宋体" w:eastAsia="宋体"/>
          <w:b/>
          <w:color w:val="000000"/>
          <w:sz w:val="24"/>
          <w:szCs w:val="24"/>
          <w:highlight w:val="none"/>
        </w:rPr>
        <w:t xml:space="preserve">   5.信息采集费的支付</w:t>
      </w:r>
    </w:p>
    <w:p>
      <w:pPr>
        <w:keepNext w:val="0"/>
        <w:keepLines w:val="0"/>
        <w:pageBreakBefore w:val="0"/>
        <w:widowControl w:val="0"/>
        <w:numPr>
          <w:ilvl w:val="-1"/>
          <w:numId w:val="0"/>
        </w:numPr>
        <w:kinsoku/>
        <w:wordWrap/>
        <w:overflowPunct/>
        <w:topLinePunct w:val="0"/>
        <w:autoSpaceDE/>
        <w:autoSpaceDN/>
        <w:bidi w:val="0"/>
        <w:adjustRightInd/>
        <w:snapToGrid/>
        <w:spacing w:line="590" w:lineRule="exact"/>
        <w:ind w:right="0" w:rightChars="0" w:firstLine="480" w:firstLineChars="200"/>
        <w:jc w:val="left"/>
        <w:textAlignment w:val="auto"/>
        <w:outlineLvl w:val="9"/>
        <w:rPr>
          <w:rFonts w:hint="eastAsia" w:ascii="宋体" w:hAnsi="宋体"/>
          <w:iCs/>
          <w:sz w:val="24"/>
          <w:highlight w:val="none"/>
          <w:lang w:val="en-US" w:eastAsia="zh-CN"/>
        </w:rPr>
      </w:pPr>
      <w:r>
        <w:rPr>
          <w:rFonts w:hint="eastAsia" w:ascii="宋体" w:hAnsi="宋体" w:cs="仿宋_GB2312"/>
          <w:sz w:val="24"/>
          <w:highlight w:val="none"/>
          <w:lang w:val="en-US" w:eastAsia="zh-CN"/>
        </w:rPr>
        <w:t>2023年度财政预算下达后根据政府财务支付审批流程支付第一笔项目款项，为总标项额的50%。</w:t>
      </w:r>
      <w:r>
        <w:rPr>
          <w:rFonts w:hint="eastAsia" w:ascii="宋体" w:hAnsi="宋体"/>
          <w:iCs/>
          <w:sz w:val="24"/>
          <w:highlight w:val="none"/>
          <w:lang w:val="en-US" w:eastAsia="zh-CN"/>
        </w:rPr>
        <w:t>根据考核结果，合同期</w:t>
      </w:r>
      <w:r>
        <w:rPr>
          <w:rFonts w:hint="eastAsia" w:ascii="宋体" w:hAnsi="宋体"/>
          <w:b/>
          <w:bCs/>
          <w:iCs/>
          <w:sz w:val="24"/>
          <w:highlight w:val="none"/>
          <w:lang w:val="en-US" w:eastAsia="zh-CN"/>
        </w:rPr>
        <w:t>8个月</w:t>
      </w:r>
      <w:r>
        <w:rPr>
          <w:rFonts w:hint="eastAsia" w:ascii="宋体" w:hAnsi="宋体"/>
          <w:iCs/>
          <w:sz w:val="24"/>
          <w:highlight w:val="none"/>
          <w:lang w:val="en-US" w:eastAsia="zh-CN"/>
        </w:rPr>
        <w:t>履行完毕后，支付合同款</w:t>
      </w:r>
      <w:r>
        <w:rPr>
          <w:rFonts w:hint="eastAsia" w:ascii="宋体" w:hAnsi="宋体"/>
          <w:b/>
          <w:bCs/>
          <w:iCs/>
          <w:sz w:val="24"/>
          <w:highlight w:val="none"/>
          <w:lang w:val="en-US" w:eastAsia="zh-CN"/>
        </w:rPr>
        <w:t>20</w:t>
      </w:r>
      <w:r>
        <w:rPr>
          <w:rFonts w:hint="eastAsia" w:ascii="宋体" w:hAnsi="宋体"/>
          <w:iCs/>
          <w:sz w:val="24"/>
          <w:highlight w:val="none"/>
          <w:lang w:val="en-US" w:eastAsia="zh-CN"/>
        </w:rPr>
        <w:t>%，扣除考核扣款部分；合同履行完毕，履约验收合格后支付合同款的30%，扣除考核扣款部分。</w:t>
      </w:r>
    </w:p>
    <w:p>
      <w:pPr>
        <w:keepNext w:val="0"/>
        <w:keepLines w:val="0"/>
        <w:pageBreakBefore w:val="0"/>
        <w:tabs>
          <w:tab w:val="left" w:pos="6300"/>
        </w:tabs>
        <w:kinsoku/>
        <w:wordWrap/>
        <w:topLinePunct w:val="0"/>
        <w:bidi w:val="0"/>
        <w:spacing w:line="440" w:lineRule="exact"/>
        <w:textAlignment w:val="auto"/>
        <w:rPr>
          <w:rFonts w:ascii="宋体" w:hAnsi="宋体"/>
          <w:b/>
          <w:color w:val="000000"/>
          <w:sz w:val="24"/>
        </w:rPr>
      </w:pPr>
      <w:r>
        <w:rPr>
          <w:rFonts w:ascii="宋体" w:hAnsi="宋体"/>
          <w:b/>
          <w:color w:val="000000"/>
          <w:sz w:val="24"/>
        </w:rPr>
        <w:t xml:space="preserve">   </w:t>
      </w:r>
      <w:r>
        <w:rPr>
          <w:rFonts w:hint="eastAsia" w:ascii="仿宋_GB2312" w:hAnsi="仿宋_GB2312" w:eastAsia="仿宋_GB2312" w:cs="仿宋_GB2312"/>
          <w:color w:val="auto"/>
          <w:sz w:val="24"/>
          <w:szCs w:val="20"/>
          <w:highlight w:val="none"/>
        </w:rPr>
        <w:t>▲</w:t>
      </w:r>
      <w:r>
        <w:rPr>
          <w:rFonts w:ascii="宋体" w:hAnsi="宋体"/>
          <w:b/>
          <w:color w:val="000000"/>
          <w:sz w:val="24"/>
        </w:rPr>
        <w:t>6.采集队伍的组建</w:t>
      </w:r>
    </w:p>
    <w:p>
      <w:pPr>
        <w:keepNext w:val="0"/>
        <w:keepLines w:val="0"/>
        <w:pageBreakBefore w:val="0"/>
        <w:kinsoku/>
        <w:wordWrap/>
        <w:overflowPunct w:val="0"/>
        <w:topLinePunct w:val="0"/>
        <w:bidi w:val="0"/>
        <w:snapToGrid w:val="0"/>
        <w:spacing w:line="440" w:lineRule="exact"/>
        <w:ind w:firstLine="480" w:firstLineChars="200"/>
        <w:textAlignment w:val="auto"/>
        <w:rPr>
          <w:rFonts w:hint="eastAsia" w:ascii="宋体" w:hAnsi="宋体" w:cs="宋体"/>
          <w:color w:val="000000"/>
          <w:sz w:val="24"/>
          <w:lang w:val="en-US" w:eastAsia="zh-CN"/>
        </w:rPr>
      </w:pPr>
      <w:r>
        <w:rPr>
          <w:rFonts w:hint="eastAsia" w:ascii="宋体" w:hAnsi="宋体" w:eastAsia="宋体" w:cs="宋体"/>
          <w:color w:val="000000"/>
          <w:sz w:val="24"/>
        </w:rPr>
        <w:t>中标单位需在履行合同前7日内按照投标文件的承诺，完成信息采集队伍</w:t>
      </w:r>
      <w:r>
        <w:rPr>
          <w:rFonts w:hint="eastAsia" w:ascii="宋体" w:hAnsi="宋体" w:eastAsia="宋体" w:cs="宋体"/>
          <w:color w:val="000000"/>
          <w:sz w:val="24"/>
          <w:lang w:eastAsia="zh-CN"/>
        </w:rPr>
        <w:t>的招募、</w:t>
      </w:r>
      <w:r>
        <w:rPr>
          <w:rFonts w:hint="eastAsia" w:ascii="宋体" w:hAnsi="宋体" w:eastAsia="宋体" w:cs="宋体"/>
          <w:color w:val="000000"/>
          <w:sz w:val="24"/>
        </w:rPr>
        <w:t>培训等前期工作。</w:t>
      </w:r>
      <w:r>
        <w:rPr>
          <w:rFonts w:hint="eastAsia" w:ascii="宋体" w:hAnsi="宋体" w:cs="宋体"/>
          <w:color w:val="000000"/>
          <w:sz w:val="24"/>
          <w:lang w:val="en-US" w:eastAsia="zh-CN"/>
        </w:rPr>
        <w:t>团队管理人员及项目经理需具有</w:t>
      </w:r>
      <w:r>
        <w:rPr>
          <w:rFonts w:hint="eastAsia" w:ascii="宋体" w:hAnsi="宋体" w:cs="宋体"/>
          <w:color w:val="000000"/>
          <w:sz w:val="24"/>
          <w:highlight w:val="yellow"/>
          <w:lang w:val="en-US" w:eastAsia="zh-CN"/>
        </w:rPr>
        <w:t>3个月</w:t>
      </w:r>
      <w:r>
        <w:rPr>
          <w:rFonts w:hint="eastAsia" w:ascii="宋体" w:hAnsi="宋体" w:cs="宋体"/>
          <w:color w:val="000000"/>
          <w:sz w:val="24"/>
          <w:lang w:val="en-US" w:eastAsia="zh-CN"/>
        </w:rPr>
        <w:t>以上信息采集项目经验。</w:t>
      </w:r>
    </w:p>
    <w:p>
      <w:pPr>
        <w:pStyle w:val="2"/>
        <w:numPr>
          <w:ilvl w:val="0"/>
          <w:numId w:val="0"/>
        </w:numPr>
        <w:ind w:left="0" w:firstLine="482" w:firstLineChars="200"/>
        <w:rPr>
          <w:rFonts w:hint="eastAsia"/>
          <w:highlight w:val="none"/>
          <w:lang w:val="en-US" w:eastAsia="zh-CN"/>
        </w:rPr>
      </w:pPr>
      <w:r>
        <w:rPr>
          <w:rFonts w:hint="eastAsia" w:ascii="宋体" w:hAnsi="宋体" w:eastAsia="宋体" w:cs="Times New Roman"/>
          <w:b/>
          <w:color w:val="000000"/>
          <w:kern w:val="2"/>
          <w:sz w:val="24"/>
          <w:szCs w:val="24"/>
          <w:highlight w:val="none"/>
          <w:lang w:val="en-US" w:eastAsia="zh-CN" w:bidi="ar-SA"/>
        </w:rPr>
        <w:t>7.服务期：</w:t>
      </w:r>
      <w:r>
        <w:rPr>
          <w:rFonts w:hint="eastAsia" w:ascii="宋体" w:hAnsi="宋体" w:eastAsia="宋体" w:cs="宋体"/>
          <w:color w:val="000000"/>
          <w:kern w:val="2"/>
          <w:sz w:val="24"/>
          <w:szCs w:val="24"/>
          <w:highlight w:val="none"/>
          <w:lang w:val="en-US" w:eastAsia="zh-CN" w:bidi="ar-SA"/>
        </w:rPr>
        <w:t>自合同签订之日起1年。</w:t>
      </w:r>
    </w:p>
    <w:p>
      <w:pPr>
        <w:keepNext w:val="0"/>
        <w:keepLines w:val="0"/>
        <w:pageBreakBefore w:val="0"/>
        <w:numPr>
          <w:ilvl w:val="0"/>
          <w:numId w:val="0"/>
        </w:numPr>
        <w:tabs>
          <w:tab w:val="left" w:pos="6300"/>
        </w:tabs>
        <w:kinsoku/>
        <w:wordWrap/>
        <w:topLinePunct w:val="0"/>
        <w:bidi w:val="0"/>
        <w:spacing w:line="440" w:lineRule="exact"/>
        <w:ind w:left="361" w:leftChars="0"/>
        <w:textAlignment w:val="auto"/>
        <w:rPr>
          <w:rStyle w:val="80"/>
          <w:rFonts w:ascii="宋体" w:hAnsi="宋体"/>
        </w:rPr>
      </w:pPr>
      <w:r>
        <w:rPr>
          <w:rFonts w:hint="eastAsia" w:ascii="宋体" w:hAnsi="宋体"/>
          <w:b/>
          <w:color w:val="000000"/>
          <w:sz w:val="24"/>
          <w:lang w:val="en-US" w:eastAsia="zh-CN"/>
        </w:rPr>
        <w:t>8</w:t>
      </w:r>
      <w:r>
        <w:rPr>
          <w:rFonts w:ascii="宋体" w:hAnsi="宋体"/>
          <w:b/>
          <w:color w:val="000000"/>
          <w:sz w:val="24"/>
        </w:rPr>
        <w:t>.项目验收</w:t>
      </w:r>
    </w:p>
    <w:p>
      <w:pPr>
        <w:keepNext w:val="0"/>
        <w:keepLines w:val="0"/>
        <w:pageBreakBefore w:val="0"/>
        <w:tabs>
          <w:tab w:val="left" w:pos="6300"/>
        </w:tabs>
        <w:kinsoku/>
        <w:wordWrap/>
        <w:topLinePunct w:val="0"/>
        <w:bidi w:val="0"/>
        <w:spacing w:line="440" w:lineRule="exact"/>
        <w:ind w:firstLine="560"/>
        <w:textAlignment w:val="auto"/>
        <w:rPr>
          <w:rFonts w:ascii="宋体" w:hAnsi="宋体"/>
          <w:color w:val="000000"/>
          <w:sz w:val="24"/>
        </w:rPr>
      </w:pPr>
      <w:r>
        <w:rPr>
          <w:rFonts w:ascii="宋体" w:hAnsi="宋体"/>
          <w:color w:val="000000"/>
          <w:sz w:val="24"/>
        </w:rPr>
        <w:t>项目验收根据《余杭区政府购买服务采购管理暂行办法》第三十一、三十二条规定，招标人按月按照《采集公司月度综合考核表》（附表一）进行考核，考核结果关系到费用支付及履约评价。</w:t>
      </w:r>
    </w:p>
    <w:p>
      <w:pPr>
        <w:pStyle w:val="61"/>
        <w:spacing w:line="440" w:lineRule="exact"/>
        <w:ind w:firstLine="480" w:firstLineChars="200"/>
        <w:jc w:val="left"/>
        <w:rPr>
          <w:rFonts w:hint="default" w:ascii="宋体" w:hAnsi="宋体" w:eastAsia="宋体"/>
          <w:b w:val="0"/>
          <w:color w:val="000000"/>
          <w:kern w:val="2"/>
          <w:sz w:val="24"/>
          <w:szCs w:val="24"/>
          <w:highlight w:val="none"/>
        </w:rPr>
      </w:pPr>
      <w:r>
        <w:rPr>
          <w:rFonts w:hint="default" w:ascii="宋体" w:hAnsi="宋体" w:eastAsia="宋体"/>
          <w:b w:val="0"/>
          <w:color w:val="000000"/>
          <w:kern w:val="2"/>
          <w:sz w:val="24"/>
          <w:szCs w:val="24"/>
          <w:highlight w:val="none"/>
        </w:rPr>
        <w:t>首次验收</w:t>
      </w:r>
      <w:r>
        <w:rPr>
          <w:rFonts w:hint="eastAsia" w:ascii="宋体" w:hAnsi="宋体" w:eastAsia="宋体"/>
          <w:b w:val="0"/>
          <w:color w:val="000000"/>
          <w:kern w:val="2"/>
          <w:sz w:val="24"/>
          <w:szCs w:val="24"/>
          <w:highlight w:val="none"/>
          <w:lang w:val="en-US" w:eastAsia="zh-CN"/>
        </w:rPr>
        <w:t>费用由采购人</w:t>
      </w:r>
      <w:r>
        <w:rPr>
          <w:rFonts w:hint="default" w:ascii="宋体" w:hAnsi="宋体" w:eastAsia="宋体"/>
          <w:b w:val="0"/>
          <w:color w:val="000000"/>
          <w:kern w:val="2"/>
          <w:sz w:val="24"/>
          <w:szCs w:val="24"/>
          <w:highlight w:val="none"/>
        </w:rPr>
        <w:t>支付，首次因乙方原因未通过的</w:t>
      </w:r>
      <w:r>
        <w:rPr>
          <w:rFonts w:hint="eastAsia" w:ascii="宋体" w:hAnsi="宋体" w:eastAsia="宋体"/>
          <w:b w:val="0"/>
          <w:color w:val="000000"/>
          <w:kern w:val="2"/>
          <w:sz w:val="24"/>
          <w:szCs w:val="24"/>
          <w:highlight w:val="none"/>
          <w:lang w:val="en-US" w:eastAsia="zh-CN"/>
        </w:rPr>
        <w:t>需进行</w:t>
      </w:r>
      <w:r>
        <w:rPr>
          <w:rFonts w:hint="default" w:ascii="宋体" w:hAnsi="宋体" w:eastAsia="宋体"/>
          <w:b w:val="0"/>
          <w:color w:val="000000"/>
          <w:kern w:val="2"/>
          <w:sz w:val="24"/>
          <w:szCs w:val="24"/>
          <w:highlight w:val="none"/>
        </w:rPr>
        <w:t>再次验收</w:t>
      </w:r>
      <w:r>
        <w:rPr>
          <w:rFonts w:hint="eastAsia" w:ascii="宋体" w:hAnsi="宋体" w:eastAsia="宋体"/>
          <w:b w:val="0"/>
          <w:color w:val="000000"/>
          <w:kern w:val="2"/>
          <w:sz w:val="24"/>
          <w:szCs w:val="24"/>
          <w:highlight w:val="none"/>
          <w:lang w:eastAsia="zh-CN"/>
        </w:rPr>
        <w:t>的</w:t>
      </w:r>
      <w:r>
        <w:rPr>
          <w:rFonts w:hint="default" w:ascii="宋体" w:hAnsi="宋体" w:eastAsia="宋体"/>
          <w:b w:val="0"/>
          <w:color w:val="000000"/>
          <w:kern w:val="2"/>
          <w:sz w:val="24"/>
          <w:szCs w:val="24"/>
          <w:highlight w:val="none"/>
        </w:rPr>
        <w:t>，由乙方支付</w:t>
      </w:r>
      <w:r>
        <w:rPr>
          <w:rFonts w:hint="eastAsia" w:ascii="宋体" w:hAnsi="宋体" w:eastAsia="宋体"/>
          <w:b w:val="0"/>
          <w:color w:val="000000"/>
          <w:kern w:val="2"/>
          <w:sz w:val="24"/>
          <w:szCs w:val="24"/>
          <w:highlight w:val="none"/>
          <w:lang w:val="en-US" w:eastAsia="zh-CN"/>
        </w:rPr>
        <w:t>验收费用</w:t>
      </w:r>
      <w:r>
        <w:rPr>
          <w:rFonts w:hint="default" w:ascii="宋体" w:hAnsi="宋体" w:eastAsia="宋体"/>
          <w:b w:val="0"/>
          <w:color w:val="000000"/>
          <w:kern w:val="2"/>
          <w:sz w:val="24"/>
          <w:szCs w:val="24"/>
          <w:highlight w:val="none"/>
        </w:rPr>
        <w:t>。</w:t>
      </w:r>
    </w:p>
    <w:p>
      <w:pPr>
        <w:pStyle w:val="61"/>
        <w:numPr>
          <w:ilvl w:val="0"/>
          <w:numId w:val="2"/>
        </w:numPr>
        <w:spacing w:line="440" w:lineRule="exact"/>
        <w:ind w:firstLine="480" w:firstLineChars="200"/>
        <w:jc w:val="left"/>
        <w:rPr>
          <w:rFonts w:hint="default" w:ascii="宋体" w:hAnsi="宋体" w:eastAsia="宋体"/>
          <w:b w:val="0"/>
          <w:color w:val="auto"/>
          <w:kern w:val="2"/>
          <w:sz w:val="24"/>
          <w:szCs w:val="24"/>
          <w:highlight w:val="none"/>
          <w:lang w:val="en-US" w:eastAsia="zh-CN"/>
        </w:rPr>
      </w:pPr>
      <w:r>
        <w:rPr>
          <w:rFonts w:hint="eastAsia" w:ascii="宋体" w:hAnsi="宋体" w:eastAsia="宋体"/>
          <w:b w:val="0"/>
          <w:color w:val="auto"/>
          <w:kern w:val="2"/>
          <w:sz w:val="24"/>
          <w:szCs w:val="24"/>
          <w:highlight w:val="none"/>
          <w:lang w:val="en-US" w:eastAsia="zh-CN"/>
        </w:rPr>
        <w:t>履约保证金</w:t>
      </w:r>
    </w:p>
    <w:p>
      <w:pPr>
        <w:snapToGrid w:val="0"/>
        <w:spacing w:line="440" w:lineRule="exact"/>
        <w:ind w:firstLine="480" w:firstLineChars="200"/>
        <w:jc w:val="left"/>
        <w:rPr>
          <w:rFonts w:ascii="宋体" w:hAnsi="宋体" w:cs="宋体"/>
          <w:color w:val="auto"/>
          <w:sz w:val="24"/>
        </w:rPr>
      </w:pPr>
      <w:bookmarkStart w:id="27" w:name="_Hlk109032783"/>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.成交供应商应向采购人交纳</w:t>
      </w:r>
      <w:r>
        <w:rPr>
          <w:rFonts w:hint="eastAsia" w:ascii="宋体" w:hAnsi="宋体" w:cs="宋体"/>
          <w:color w:val="auto"/>
          <w:sz w:val="24"/>
          <w:lang w:val="en-US" w:eastAsia="zh-CN"/>
        </w:rPr>
        <w:t>合同价的1%做为</w:t>
      </w:r>
      <w:r>
        <w:rPr>
          <w:rFonts w:hint="eastAsia" w:ascii="宋体" w:hAnsi="宋体" w:cs="宋体"/>
          <w:color w:val="auto"/>
          <w:sz w:val="24"/>
        </w:rPr>
        <w:t>履约保证金。履约保证金缴纳方式：银行保函形式提交的履约保证金。</w:t>
      </w:r>
    </w:p>
    <w:p>
      <w:pPr>
        <w:snapToGrid w:val="0"/>
        <w:spacing w:line="440" w:lineRule="exact"/>
        <w:ind w:firstLine="480" w:firstLineChars="200"/>
        <w:jc w:val="left"/>
        <w:rPr>
          <w:rFonts w:hint="default" w:ascii="宋体" w:hAnsi="宋体" w:eastAsia="宋体"/>
          <w:b w:val="0"/>
          <w:color w:val="auto"/>
          <w:kern w:val="2"/>
          <w:sz w:val="24"/>
          <w:szCs w:val="24"/>
          <w:highlight w:val="none"/>
          <w:lang w:val="en-US" w:eastAsia="zh-CN"/>
        </w:rPr>
        <w:sectPr>
          <w:headerReference r:id="rId12" w:type="first"/>
          <w:headerReference r:id="rId11" w:type="default"/>
          <w:footerReference r:id="rId13" w:type="default"/>
          <w:footerReference r:id="rId14" w:type="even"/>
          <w:pgSz w:w="11906" w:h="16838"/>
          <w:pgMar w:top="1440" w:right="1797" w:bottom="1440" w:left="1797" w:header="851" w:footer="992" w:gutter="0"/>
          <w:pgBorders>
            <w:top w:val="none" w:sz="0" w:space="0"/>
            <w:left w:val="none" w:sz="0" w:space="0"/>
            <w:bottom w:val="none" w:sz="0" w:space="0"/>
            <w:right w:val="none" w:sz="0" w:space="0"/>
          </w:pgBorders>
          <w:cols w:space="720" w:num="1"/>
          <w:titlePg/>
          <w:rtlGutter w:val="0"/>
          <w:docGrid w:type="lines" w:linePitch="312" w:charSpace="0"/>
        </w:sect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.签订合同后，如成交供应商不按双方合同约定履约，则没收其全部履约保证金。</w:t>
      </w:r>
      <w:bookmarkEnd w:id="27"/>
    </w:p>
    <w:tbl>
      <w:tblPr>
        <w:tblStyle w:val="64"/>
        <w:tblW w:w="0" w:type="auto"/>
        <w:tblInd w:w="0" w:type="dxa"/>
        <w:tblLayout w:type="fixed"/>
        <w:tblCellMar>
          <w:top w:w="0" w:type="dxa"/>
          <w:left w:w="108" w:type="dxa"/>
          <w:bottom w:w="0" w:type="dxa"/>
          <w:right w:w="108" w:type="dxa"/>
        </w:tblCellMar>
      </w:tblPr>
      <w:tblGrid>
        <w:gridCol w:w="400"/>
        <w:gridCol w:w="3012"/>
        <w:gridCol w:w="725"/>
        <w:gridCol w:w="420"/>
        <w:gridCol w:w="443"/>
        <w:gridCol w:w="3062"/>
        <w:gridCol w:w="700"/>
        <w:gridCol w:w="438"/>
        <w:gridCol w:w="512"/>
        <w:gridCol w:w="3113"/>
        <w:gridCol w:w="725"/>
        <w:gridCol w:w="512"/>
      </w:tblGrid>
      <w:tr>
        <w:tblPrEx>
          <w:tblCellMar>
            <w:top w:w="0" w:type="dxa"/>
            <w:left w:w="108" w:type="dxa"/>
            <w:bottom w:w="0" w:type="dxa"/>
            <w:right w:w="108" w:type="dxa"/>
          </w:tblCellMar>
        </w:tblPrEx>
        <w:trPr>
          <w:trHeight w:val="350" w:hRule="atLeast"/>
        </w:trPr>
        <w:tc>
          <w:tcPr>
            <w:tcW w:w="1406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仁和街道</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一类道路</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二类道路</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三类道路（交通道路）</w:t>
            </w:r>
          </w:p>
        </w:tc>
      </w:tr>
      <w:tr>
        <w:tblPrEx>
          <w:tblCellMar>
            <w:top w:w="0" w:type="dxa"/>
            <w:left w:w="108" w:type="dxa"/>
            <w:bottom w:w="0" w:type="dxa"/>
            <w:right w:w="108" w:type="dxa"/>
          </w:tblCellMar>
        </w:tblPrEx>
        <w:trPr>
          <w:trHeight w:val="52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仁河大道（启航路-储运路）</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7800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求学路（良塘线-仁和大道）</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奉欣路（良塘线-临港路）</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和平路（良塘线-葛墩路）</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葛墩路（东塘港-和平路）</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镇政府广场</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16891M²</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河滨街（良塘线-葛墩路</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滨雅路（河滨街-和平路）</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求学路公园</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4800M²</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东西大道（仁和大道</w:t>
            </w:r>
            <w:r>
              <w:rPr>
                <w:rFonts w:hint="eastAsia" w:ascii="宋体" w:hAnsi="宋体" w:eastAsia="宋体" w:cs="宋体"/>
                <w:i w:val="0"/>
                <w:iCs w:val="0"/>
                <w:color w:val="000000"/>
                <w:sz w:val="22"/>
                <w:szCs w:val="22"/>
                <w:u w:val="none"/>
                <w:lang w:val="en-US" w:eastAsia="zh-CN"/>
              </w:rPr>
              <w:t>-仁和界</w:t>
            </w:r>
            <w:r>
              <w:rPr>
                <w:rFonts w:hint="eastAsia" w:ascii="宋体" w:hAnsi="宋体" w:eastAsia="宋体" w:cs="宋体"/>
                <w:i w:val="0"/>
                <w:iCs w:val="0"/>
                <w:color w:val="000000"/>
                <w:sz w:val="22"/>
                <w:szCs w:val="22"/>
                <w:u w:val="none"/>
                <w:lang w:eastAsia="zh-CN"/>
              </w:rPr>
              <w:t>）</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府中街（和平路-滨雅路）</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滨河公园</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27754M²</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獐山路（启航路-和旺街）</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雅苑街（仁和大道-葛墩路）</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34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1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bidi w:val="0"/>
        <w:rPr>
          <w:rFonts w:hint="eastAsia"/>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titlePg/>
          <w:rtlGutter w:val="0"/>
          <w:docGrid w:type="lines" w:linePitch="312" w:charSpace="0"/>
        </w:sectPr>
      </w:pPr>
    </w:p>
    <w:tbl>
      <w:tblPr>
        <w:tblStyle w:val="64"/>
        <w:tblW w:w="0" w:type="auto"/>
        <w:tblInd w:w="0" w:type="dxa"/>
        <w:tblLayout w:type="fixed"/>
        <w:tblCellMar>
          <w:top w:w="0" w:type="dxa"/>
          <w:left w:w="108" w:type="dxa"/>
          <w:bottom w:w="0" w:type="dxa"/>
          <w:right w:w="108" w:type="dxa"/>
        </w:tblCellMar>
      </w:tblPr>
      <w:tblGrid>
        <w:gridCol w:w="489"/>
        <w:gridCol w:w="2936"/>
        <w:gridCol w:w="837"/>
        <w:gridCol w:w="297"/>
        <w:gridCol w:w="478"/>
        <w:gridCol w:w="2958"/>
        <w:gridCol w:w="884"/>
        <w:gridCol w:w="333"/>
        <w:gridCol w:w="480"/>
        <w:gridCol w:w="3125"/>
        <w:gridCol w:w="732"/>
        <w:gridCol w:w="502"/>
      </w:tblGrid>
      <w:tr>
        <w:tblPrEx>
          <w:tblCellMar>
            <w:top w:w="0" w:type="dxa"/>
            <w:left w:w="108" w:type="dxa"/>
            <w:bottom w:w="0" w:type="dxa"/>
            <w:right w:w="108" w:type="dxa"/>
          </w:tblCellMar>
        </w:tblPrEx>
        <w:trPr>
          <w:trHeight w:val="355" w:hRule="atLeast"/>
        </w:trPr>
        <w:tc>
          <w:tcPr>
            <w:tcW w:w="14051"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仓前街道</w:t>
            </w:r>
          </w:p>
        </w:tc>
      </w:tr>
      <w:tr>
        <w:tblPrEx>
          <w:tblCellMar>
            <w:top w:w="0" w:type="dxa"/>
            <w:left w:w="108" w:type="dxa"/>
            <w:bottom w:w="0" w:type="dxa"/>
            <w:right w:w="108"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7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一类道路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8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二类道路</w:t>
            </w:r>
          </w:p>
        </w:tc>
        <w:tc>
          <w:tcPr>
            <w:tcW w:w="81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三类道路（交通道路）</w:t>
            </w:r>
          </w:p>
        </w:tc>
      </w:tr>
      <w:tr>
        <w:tblPrEx>
          <w:tblCellMar>
            <w:top w:w="0" w:type="dxa"/>
            <w:left w:w="108" w:type="dxa"/>
            <w:bottom w:w="0" w:type="dxa"/>
            <w:right w:w="108" w:type="dxa"/>
          </w:tblCellMar>
        </w:tblPrEx>
        <w:trPr>
          <w:trHeight w:val="52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仓兴街(良睦路-绿汀路)</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绿汀路(余杭塘河--石祥西路)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梦创街(良睦路--礼贤路)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乾仓街(良睦路-绿汀路)</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仓前塘路(良睦路-仓兴街)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祥余线(众城街--梦创街)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良睦路(余杭塘河-石祥西路)</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众城街(祥余线--礼贤路)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其他道路(梦想小镇东西区)</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文一西路(</w:t>
            </w:r>
            <w:r>
              <w:rPr>
                <w:rFonts w:hint="eastAsia" w:ascii="宋体" w:hAnsi="宋体" w:cs="宋体"/>
                <w:i w:val="0"/>
                <w:iCs w:val="0"/>
                <w:color w:val="000000"/>
                <w:kern w:val="0"/>
                <w:sz w:val="22"/>
                <w:szCs w:val="22"/>
                <w:u w:val="none"/>
                <w:lang w:val="en-US" w:eastAsia="zh-CN" w:bidi="ar"/>
              </w:rPr>
              <w:t>良睦路</w:t>
            </w:r>
            <w:r>
              <w:rPr>
                <w:rFonts w:hint="eastAsia" w:ascii="宋体" w:hAnsi="宋体" w:eastAsia="宋体" w:cs="宋体"/>
                <w:i w:val="0"/>
                <w:iCs w:val="0"/>
                <w:color w:val="000000"/>
                <w:kern w:val="0"/>
                <w:sz w:val="22"/>
                <w:szCs w:val="22"/>
                <w:u w:val="none"/>
                <w:lang w:val="en-US" w:eastAsia="zh-CN" w:bidi="ar"/>
              </w:rPr>
              <w:t>-东西大道)</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礼贤路(众城街--梦创街)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运溪路（余杭塘河</w:t>
            </w:r>
            <w:r>
              <w:rPr>
                <w:rFonts w:hint="eastAsia" w:ascii="宋体" w:hAnsi="宋体" w:eastAsia="宋体" w:cs="宋体"/>
                <w:i w:val="0"/>
                <w:iCs w:val="0"/>
                <w:color w:val="000000"/>
                <w:sz w:val="22"/>
                <w:szCs w:val="22"/>
                <w:u w:val="none"/>
                <w:lang w:val="en-US" w:eastAsia="zh-CN"/>
              </w:rPr>
              <w:t>-瓶仓大道</w:t>
            </w:r>
            <w:r>
              <w:rPr>
                <w:rFonts w:hint="eastAsia" w:ascii="宋体" w:hAnsi="宋体" w:eastAsia="宋体" w:cs="宋体"/>
                <w:i w:val="0"/>
                <w:iCs w:val="0"/>
                <w:color w:val="000000"/>
                <w:sz w:val="22"/>
                <w:szCs w:val="22"/>
                <w:u w:val="none"/>
                <w:lang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良睦路(文二西路-余杭塘河)</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众成街</w:t>
            </w:r>
            <w:r>
              <w:rPr>
                <w:rFonts w:hint="eastAsia" w:ascii="宋体" w:hAnsi="宋体" w:cs="宋体"/>
                <w:i w:val="0"/>
                <w:iCs w:val="0"/>
                <w:color w:val="000000"/>
                <w:spacing w:val="-6"/>
                <w:kern w:val="0"/>
                <w:sz w:val="22"/>
                <w:szCs w:val="22"/>
                <w:u w:val="none"/>
                <w:lang w:val="en-US" w:eastAsia="zh-CN" w:bidi="ar"/>
              </w:rPr>
              <w:t>（</w:t>
            </w:r>
            <w:r>
              <w:rPr>
                <w:rFonts w:hint="eastAsia" w:ascii="宋体" w:hAnsi="宋体" w:eastAsia="宋体" w:cs="宋体"/>
                <w:i w:val="0"/>
                <w:iCs w:val="0"/>
                <w:color w:val="000000"/>
                <w:spacing w:val="-6"/>
                <w:kern w:val="0"/>
                <w:sz w:val="22"/>
                <w:szCs w:val="22"/>
                <w:u w:val="none"/>
                <w:lang w:val="en-US" w:eastAsia="zh-CN" w:bidi="ar"/>
              </w:rPr>
              <w:t>礼贤路-聚橙路）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贺翠路(文一西路-文二西路)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高教路(余杭塘路-文二路)</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5876</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梦创街（礼贤路-昌源清苑小区）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740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景腾路(文一西路-东莲街)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荆长大道(文二西路-老文二西路)</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2270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pacing w:val="-6"/>
                <w:kern w:val="0"/>
                <w:sz w:val="22"/>
                <w:szCs w:val="22"/>
                <w:u w:val="none"/>
                <w:lang w:val="en-US" w:eastAsia="zh-CN" w:bidi="ar"/>
              </w:rPr>
              <w:t>运溪路高架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8700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景兴路(文二西路-东莲街)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文二西路(</w:t>
            </w:r>
            <w:r>
              <w:rPr>
                <w:rFonts w:hint="eastAsia" w:ascii="宋体" w:hAnsi="宋体" w:cs="宋体"/>
                <w:i w:val="0"/>
                <w:iCs w:val="0"/>
                <w:color w:val="000000"/>
                <w:kern w:val="0"/>
                <w:sz w:val="22"/>
                <w:szCs w:val="22"/>
                <w:u w:val="none"/>
                <w:lang w:val="en-US" w:eastAsia="zh-CN" w:bidi="ar"/>
              </w:rPr>
              <w:t>良睦路</w:t>
            </w:r>
            <w:r>
              <w:rPr>
                <w:rFonts w:hint="eastAsia" w:ascii="宋体" w:hAnsi="宋体" w:eastAsia="宋体" w:cs="宋体"/>
                <w:i w:val="0"/>
                <w:iCs w:val="0"/>
                <w:color w:val="000000"/>
                <w:kern w:val="0"/>
                <w:sz w:val="22"/>
                <w:szCs w:val="22"/>
                <w:u w:val="none"/>
                <w:lang w:val="en-US" w:eastAsia="zh-CN" w:bidi="ar"/>
              </w:rPr>
              <w:t>-东西大道)</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爱橙街(聚橙路-万和路)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聚橙路(文二西路-余杭塘河)</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余杭塘路(绕城高速路-东西大道)</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4000</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岸汀街(高教路-良睦路)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科凯路(余杭塘路-文一西路)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yellow"/>
                <w:u w:val="none"/>
                <w:lang w:val="en-US" w:eastAsia="zh-CN" w:bidi="ar"/>
              </w:rPr>
            </w:pPr>
            <w:r>
              <w:rPr>
                <w:rFonts w:hint="eastAsia" w:ascii="宋体" w:hAnsi="宋体" w:cs="宋体"/>
                <w:i w:val="0"/>
                <w:iCs w:val="0"/>
                <w:color w:val="000000"/>
                <w:kern w:val="0"/>
                <w:sz w:val="22"/>
                <w:szCs w:val="22"/>
                <w:highlight w:val="yellow"/>
                <w:u w:val="none"/>
                <w:lang w:val="en-US" w:eastAsia="zh-CN" w:bidi="ar"/>
              </w:rPr>
              <w:t>10</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yellow"/>
                <w:u w:val="none"/>
                <w:lang w:val="en-US" w:eastAsia="zh-CN" w:bidi="ar"/>
              </w:rPr>
            </w:pPr>
            <w:r>
              <w:rPr>
                <w:rFonts w:hint="eastAsia" w:ascii="宋体" w:hAnsi="宋体" w:cs="宋体"/>
                <w:i w:val="0"/>
                <w:iCs w:val="0"/>
                <w:color w:val="000000"/>
                <w:kern w:val="0"/>
                <w:sz w:val="22"/>
                <w:szCs w:val="22"/>
                <w:highlight w:val="yellow"/>
                <w:u w:val="none"/>
                <w:lang w:val="en-US" w:eastAsia="zh-CN" w:bidi="ar"/>
              </w:rPr>
              <w:t>杭州西站周边道路</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宝瑞巷(余杭塘路-向往街)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联创街(</w:t>
            </w:r>
            <w:r>
              <w:rPr>
                <w:rFonts w:hint="eastAsia" w:ascii="宋体" w:hAnsi="宋体" w:cs="宋体"/>
                <w:i w:val="0"/>
                <w:iCs w:val="0"/>
                <w:color w:val="000000"/>
                <w:kern w:val="0"/>
                <w:sz w:val="22"/>
                <w:szCs w:val="22"/>
                <w:u w:val="none"/>
                <w:lang w:val="en-US" w:eastAsia="zh-CN" w:bidi="ar"/>
              </w:rPr>
              <w:t>高教路</w:t>
            </w:r>
            <w:r>
              <w:rPr>
                <w:rFonts w:hint="eastAsia" w:ascii="宋体" w:hAnsi="宋体" w:eastAsia="宋体" w:cs="宋体"/>
                <w:i w:val="0"/>
                <w:iCs w:val="0"/>
                <w:color w:val="000000"/>
                <w:kern w:val="0"/>
                <w:sz w:val="22"/>
                <w:szCs w:val="22"/>
                <w:u w:val="none"/>
                <w:lang w:val="en-US" w:eastAsia="zh-CN" w:bidi="ar"/>
              </w:rPr>
              <w:t>-绿汀路)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3000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茶师庵路(爱橙街-文二西路)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龙泉路(绿汀路-绿晨路)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憧憬路(龙潭路-双池街)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龙潭路(创景路-东西大道)</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pStyle w:val="2"/>
              <w:widowControl w:val="0"/>
              <w:numPr>
                <w:ilvl w:val="0"/>
                <w:numId w:val="0"/>
              </w:numPr>
              <w:spacing w:line="360" w:lineRule="auto"/>
              <w:jc w:val="both"/>
              <w:rPr>
                <w:rFonts w:hint="eastAsia"/>
                <w:lang w:val="en-US" w:eastAsia="zh-CN"/>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创明路(文二西路-东莲街)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龙舟路(文一西路-东莲街)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lang w:val="en-US" w:eastAsia="zh-CN"/>
              </w:rPr>
            </w:pPr>
          </w:p>
          <w:p>
            <w:pPr>
              <w:pStyle w:val="2"/>
              <w:widowControl w:val="0"/>
              <w:numPr>
                <w:ilvl w:val="0"/>
                <w:numId w:val="0"/>
              </w:numPr>
              <w:spacing w:line="360" w:lineRule="auto"/>
              <w:jc w:val="both"/>
              <w:rPr>
                <w:rFonts w:hint="eastAsia"/>
                <w:lang w:val="en-US" w:eastAsia="zh-CN"/>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pStyle w:val="2"/>
              <w:numPr>
                <w:ilvl w:val="0"/>
                <w:numId w:val="0"/>
              </w:numPr>
              <w:rPr>
                <w:rFonts w:hint="eastAsia"/>
                <w:lang w:val="en-US" w:eastAsia="zh-CN"/>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东莲街(绿晨路-良睦路)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绿晨路(余杭塘路-东莲街)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东西大道(文二路-东莲街)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绿纱路(余杭塘路-东莲街)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葛巷路(绿汀路-景兴路)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绿汀路(文二西路-余杭塘河)</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海创街(绿汀路-龙园路)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鸥翔街(景兴路-创景路)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海创路(余杭塘路-文一西路)</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舒心路(余杭塘路-文二西路)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海鸥路(东莲街-向往街)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双池街(龙园路-憧憬路)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海新路(余杭塘路-向往街)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思凯路(文一西路-景兴路)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万和路(文一西路-绿汀路)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文福路(文一西路-文二西路)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0"/>
              </w:numPr>
              <w:rPr>
                <w:rFonts w:hint="eastAsia"/>
                <w:lang w:eastAsia="zh-CN"/>
              </w:rPr>
            </w:pPr>
            <w:r>
              <w:rPr>
                <w:rFonts w:hint="eastAsia" w:ascii="宋体" w:hAnsi="宋体" w:eastAsia="宋体" w:cs="宋体"/>
                <w:i w:val="0"/>
                <w:iCs w:val="0"/>
                <w:color w:val="000000"/>
                <w:kern w:val="0"/>
                <w:sz w:val="22"/>
                <w:szCs w:val="22"/>
                <w:u w:val="none"/>
                <w:lang w:val="en-US" w:eastAsia="zh-CN" w:bidi="ar"/>
              </w:rPr>
              <w:t>文茂街(高教路-贺翠路）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香樟港路(余杭塘路-余杭塘河)</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向往街(联创街-绿汀路)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业成街(创景路-创明路)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永寿街(</w:t>
            </w:r>
            <w:r>
              <w:rPr>
                <w:rFonts w:hint="eastAsia" w:ascii="宋体" w:hAnsi="宋体" w:cs="宋体"/>
                <w:i w:val="0"/>
                <w:iCs w:val="0"/>
                <w:color w:val="000000"/>
                <w:kern w:val="0"/>
                <w:sz w:val="22"/>
                <w:szCs w:val="22"/>
                <w:u w:val="none"/>
                <w:lang w:val="en-US" w:eastAsia="zh-CN" w:bidi="ar"/>
              </w:rPr>
              <w:t>高教路</w:t>
            </w:r>
            <w:r>
              <w:rPr>
                <w:rFonts w:hint="eastAsia" w:ascii="宋体" w:hAnsi="宋体" w:eastAsia="宋体" w:cs="宋体"/>
                <w:i w:val="0"/>
                <w:iCs w:val="0"/>
                <w:color w:val="000000"/>
                <w:kern w:val="0"/>
                <w:sz w:val="22"/>
                <w:szCs w:val="22"/>
                <w:u w:val="none"/>
                <w:lang w:val="en-US" w:eastAsia="zh-CN" w:bidi="ar"/>
              </w:rPr>
              <w:t>-文福路)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永兴路(绿汀路-闲林港河)</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280" w:hRule="atLeast"/>
        </w:trPr>
        <w:tc>
          <w:tcPr>
            <w:tcW w:w="48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云碧路(余杭塘路-良睦路)</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tblPrEx>
          <w:tblCellMar>
            <w:top w:w="0" w:type="dxa"/>
            <w:left w:w="108" w:type="dxa"/>
            <w:bottom w:w="0" w:type="dxa"/>
            <w:right w:w="108" w:type="dxa"/>
          </w:tblCellMar>
        </w:tblPrEx>
        <w:trPr>
          <w:trHeight w:val="1102" w:hRule="atLeast"/>
        </w:trPr>
        <w:tc>
          <w:tcPr>
            <w:tcW w:w="3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25646</w:t>
            </w:r>
          </w:p>
        </w:tc>
        <w:tc>
          <w:tcPr>
            <w:tcW w:w="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33740</w:t>
            </w:r>
          </w:p>
        </w:tc>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44710</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pStyle w:val="61"/>
        <w:jc w:val="left"/>
        <w:rPr>
          <w:rFonts w:hint="eastAsia" w:ascii="宋体" w:hAnsi="宋体"/>
          <w:color w:val="000000"/>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titlePg/>
          <w:rtlGutter w:val="0"/>
          <w:docGrid w:type="lines" w:linePitch="312" w:charSpace="0"/>
        </w:sectPr>
      </w:pPr>
    </w:p>
    <w:p>
      <w:pPr>
        <w:pStyle w:val="61"/>
        <w:jc w:val="left"/>
        <w:rPr>
          <w:rFonts w:hint="eastAsia" w:ascii="宋体" w:hAnsi="宋体"/>
          <w:color w:val="000000"/>
          <w:sz w:val="24"/>
        </w:rPr>
      </w:pPr>
    </w:p>
    <w:tbl>
      <w:tblPr>
        <w:tblStyle w:val="64"/>
        <w:tblW w:w="0" w:type="auto"/>
        <w:tblInd w:w="0" w:type="dxa"/>
        <w:tblLayout w:type="fixed"/>
        <w:tblCellMar>
          <w:top w:w="0" w:type="dxa"/>
          <w:left w:w="108" w:type="dxa"/>
          <w:bottom w:w="0" w:type="dxa"/>
          <w:right w:w="108" w:type="dxa"/>
        </w:tblCellMar>
      </w:tblPr>
      <w:tblGrid>
        <w:gridCol w:w="465"/>
        <w:gridCol w:w="2960"/>
        <w:gridCol w:w="717"/>
        <w:gridCol w:w="417"/>
        <w:gridCol w:w="441"/>
        <w:gridCol w:w="3075"/>
        <w:gridCol w:w="687"/>
        <w:gridCol w:w="438"/>
        <w:gridCol w:w="500"/>
        <w:gridCol w:w="3125"/>
        <w:gridCol w:w="737"/>
        <w:gridCol w:w="488"/>
      </w:tblGrid>
      <w:tr>
        <w:tblPrEx>
          <w:tblCellMar>
            <w:top w:w="0" w:type="dxa"/>
            <w:left w:w="108" w:type="dxa"/>
            <w:bottom w:w="0" w:type="dxa"/>
            <w:right w:w="108" w:type="dxa"/>
          </w:tblCellMar>
        </w:tblPrEx>
        <w:trPr>
          <w:trHeight w:val="526" w:hRule="atLeast"/>
        </w:trPr>
        <w:tc>
          <w:tcPr>
            <w:tcW w:w="1405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良渚街道</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09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一类道路</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二类道路</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三类道路（交通道路）</w:t>
            </w:r>
          </w:p>
        </w:tc>
      </w:tr>
      <w:tr>
        <w:tblPrEx>
          <w:tblCellMar>
            <w:top w:w="0" w:type="dxa"/>
            <w:left w:w="108" w:type="dxa"/>
            <w:bottom w:w="0" w:type="dxa"/>
            <w:right w:w="108" w:type="dxa"/>
          </w:tblCellMar>
        </w:tblPrEx>
        <w:trPr>
          <w:trHeight w:val="52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序号</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道路名称</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巡查频率</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古墩路(良祥路-墩祥路)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良祥路(古墩路-勾良路)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网周路(莫干山路-古墩路)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莫干山路(东西大道-墩祥路)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勾良路(良祥路-良上线)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严村里路(古墩路-104国道)</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玉琮路(东西大道-莫干山路)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设计路(勾良路-毛家漾路)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玉管路(玉琮路-良农路)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良博路(植保路-玉琮路)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度假路(设计路以西)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鑫城路(莫干山路-104国道)</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金家渡路(古墩路-莫干山路)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毛家漾路(玉鸟街-设计路)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棕榈路(储运路-古墩路)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吴家门路(储运路-博园路)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白鹭路(毛家漾路-设计路)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白洋路(莫干山路-古墩路)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逸盛路(吴家门路-棕榈路)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玉鸟街(设计路-东西大道)</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王家塘路(曹家路-金家渡北路)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6"/>
                <w:kern w:val="0"/>
                <w:sz w:val="22"/>
                <w:szCs w:val="22"/>
                <w:u w:val="none"/>
                <w:lang w:val="en-US" w:eastAsia="zh-CN" w:bidi="ar"/>
              </w:rPr>
              <w:t>小洋坝路</w:t>
            </w:r>
            <w:r>
              <w:rPr>
                <w:rFonts w:hint="eastAsia" w:ascii="宋体" w:hAnsi="宋体" w:eastAsia="宋体" w:cs="宋体"/>
                <w:i w:val="0"/>
                <w:iCs w:val="0"/>
                <w:color w:val="000000"/>
                <w:kern w:val="0"/>
                <w:sz w:val="22"/>
                <w:szCs w:val="22"/>
                <w:u w:val="none"/>
                <w:lang w:val="en-US" w:eastAsia="zh-CN" w:bidi="ar"/>
              </w:rPr>
              <w:t>（良运街-九曲港路）</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pacing w:val="-6"/>
                <w:kern w:val="0"/>
                <w:sz w:val="22"/>
                <w:szCs w:val="22"/>
                <w:u w:val="none"/>
                <w:lang w:val="en-US" w:eastAsia="zh-CN" w:bidi="ar"/>
              </w:rPr>
              <w:t>71</w:t>
            </w:r>
            <w:r>
              <w:rPr>
                <w:rFonts w:hint="eastAsia" w:ascii="宋体" w:hAnsi="宋体" w:cs="宋体"/>
                <w:i w:val="0"/>
                <w:iCs w:val="0"/>
                <w:color w:val="000000"/>
                <w:spacing w:val="-6"/>
                <w:kern w:val="0"/>
                <w:sz w:val="22"/>
                <w:szCs w:val="22"/>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104国道(杭州绕城高速-良渚界西)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曹家路(金家渡北路以北)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福田路(设计路以西)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墩祥街(朱家路-古墩路)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美丽洲路(莫干山路-勾良路)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朱家路(墩祥街-金昌路)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良博路(东西大道-良渚界西)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通和街(朱家路-古墩路)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良平街(良祥路-疏港公路)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良运街(莫干山路-运河)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9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康良街(良祥路-疏港公路)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好运街(莫干山路-运河)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杜文路(莫干山路-古墩路)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金昌路(莫干山路-运河)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荀真路(莫干山路以南)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通运街(莫干山路-运河)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东西大道(玉琮路-古墩路)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祥运路(莫干山路-通益路)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0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张家塘路(周家里街-古墩路)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兰陵街(杭行路-上塘高架)</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周家里路(莫干山路-东西大道)</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杭行路(祥运路-苏杭铁路)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立周路(周家里路-疏港公路)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北软路(康良街-祥运路)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91"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玉鸟路(良渚大道-网周路)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上祥路(通运路-祥运路)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沈港路（义马漾路-庙长桥路）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冯家浜路(好运街-祥运路)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姚家路（义马漾路-庙长桥路）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970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通益路(南庄兜-拱墅区区界北)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0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庙长桥路（九曲港路-良运街）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750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康良街(杭行路-运河)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浅港路（勾陈路-良运街）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830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金德路(杭行路-通益路)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万年桥路（莫干山路-良运街）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790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金源路(杭行路-通益路)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通信桥路（童家门路-浅港路）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郁宅路(杭行路-通益路)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上洋路（沈港路一往北）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博园路(储运路-储运西路)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郁宅路（杭行路-博园路）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储运路(苏杭铁路以北)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勾陈路（棕榈路-储运路）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1300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冷园街(储运路-博园西路)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义马漾路（姚家路-往北）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730</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冷链巷(博园西路-冷园街)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港虹东路(储运路-博园路)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霓虹路(储运路-博园路)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范家塘路(霓虹路-运河)</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郎家桥路(范家塘路-储运路)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郎家浜路(霓虹路-储运路)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埋甲桥路(霓虹路-储运路)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80" w:hRule="atLeast"/>
        </w:trPr>
        <w:tc>
          <w:tcPr>
            <w:tcW w:w="34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18985</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482816</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67070</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pStyle w:val="61"/>
        <w:jc w:val="left"/>
        <w:rPr>
          <w:rFonts w:hint="eastAsia" w:ascii="宋体" w:hAnsi="宋体"/>
          <w:color w:val="000000"/>
          <w:sz w:val="24"/>
        </w:rPr>
      </w:pPr>
    </w:p>
    <w:p>
      <w:pPr>
        <w:pStyle w:val="61"/>
        <w:jc w:val="left"/>
        <w:rPr>
          <w:rFonts w:hint="eastAsia" w:ascii="宋体" w:hAnsi="宋体"/>
          <w:color w:val="000000"/>
          <w:sz w:val="24"/>
        </w:rPr>
      </w:pPr>
    </w:p>
    <w:p>
      <w:pPr>
        <w:pStyle w:val="61"/>
        <w:jc w:val="left"/>
        <w:rPr>
          <w:rFonts w:hint="eastAsia" w:ascii="宋体" w:hAnsi="宋体"/>
          <w:color w:val="000000"/>
          <w:sz w:val="24"/>
        </w:rPr>
      </w:pPr>
    </w:p>
    <w:p>
      <w:pPr>
        <w:pStyle w:val="61"/>
        <w:jc w:val="left"/>
        <w:rPr>
          <w:rFonts w:hint="eastAsia" w:ascii="宋体" w:hAnsi="宋体"/>
          <w:color w:val="000000"/>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titlePg/>
          <w:rtlGutter w:val="0"/>
          <w:docGrid w:type="lines" w:linePitch="312" w:charSpace="0"/>
        </w:sectPr>
      </w:pPr>
    </w:p>
    <w:p>
      <w:pPr>
        <w:spacing w:line="360" w:lineRule="auto"/>
        <w:rPr>
          <w:rFonts w:ascii="宋体" w:hAnsi="宋体"/>
          <w:b/>
          <w:color w:val="000000"/>
          <w:sz w:val="24"/>
        </w:rPr>
      </w:pPr>
      <w:r>
        <w:rPr>
          <w:rFonts w:ascii="宋体" w:hAnsi="宋体"/>
          <w:b/>
          <w:color w:val="000000"/>
          <w:sz w:val="24"/>
        </w:rPr>
        <w:t xml:space="preserve">附表一：采集公司月度综合考核表  </w:t>
      </w:r>
    </w:p>
    <w:tbl>
      <w:tblPr>
        <w:tblStyle w:val="6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187"/>
        <w:gridCol w:w="2341"/>
        <w:gridCol w:w="1372"/>
        <w:gridCol w:w="2175"/>
        <w:gridCol w:w="14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序号</w:t>
            </w:r>
          </w:p>
        </w:tc>
        <w:tc>
          <w:tcPr>
            <w:tcW w:w="1187" w:type="dxa"/>
            <w:noWrap w:val="0"/>
            <w:vAlign w:val="center"/>
          </w:tcPr>
          <w:p>
            <w:pPr>
              <w:spacing w:line="360" w:lineRule="auto"/>
              <w:ind w:left="102"/>
              <w:jc w:val="center"/>
              <w:rPr>
                <w:rFonts w:ascii="宋体" w:hAnsi="宋体"/>
                <w:color w:val="000000"/>
                <w:sz w:val="24"/>
                <w:szCs w:val="24"/>
              </w:rPr>
            </w:pPr>
            <w:r>
              <w:rPr>
                <w:rFonts w:ascii="宋体" w:hAnsi="宋体"/>
                <w:color w:val="000000"/>
                <w:sz w:val="24"/>
                <w:szCs w:val="24"/>
                <w:lang w:bidi="ar"/>
              </w:rPr>
              <w:t>类别</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评价公式及要求</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数据来源</w:t>
            </w:r>
          </w:p>
        </w:tc>
        <w:tc>
          <w:tcPr>
            <w:tcW w:w="2175" w:type="dxa"/>
            <w:noWrap w:val="0"/>
            <w:vAlign w:val="center"/>
          </w:tcPr>
          <w:p>
            <w:pPr>
              <w:spacing w:line="360" w:lineRule="auto"/>
              <w:ind w:right="414" w:rightChars="197"/>
              <w:jc w:val="center"/>
              <w:rPr>
                <w:rFonts w:ascii="宋体" w:hAnsi="宋体"/>
                <w:color w:val="000000"/>
                <w:sz w:val="24"/>
                <w:szCs w:val="24"/>
              </w:rPr>
            </w:pPr>
            <w:r>
              <w:rPr>
                <w:rFonts w:ascii="宋体" w:hAnsi="宋体"/>
                <w:color w:val="000000"/>
                <w:sz w:val="24"/>
                <w:szCs w:val="24"/>
                <w:lang w:bidi="ar"/>
              </w:rPr>
              <w:t>计扣办法</w:t>
            </w:r>
          </w:p>
        </w:tc>
        <w:tc>
          <w:tcPr>
            <w:tcW w:w="143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考核得分</w:t>
            </w:r>
          </w:p>
          <w:p>
            <w:pPr>
              <w:spacing w:line="360" w:lineRule="auto"/>
              <w:jc w:val="center"/>
              <w:rPr>
                <w:rFonts w:ascii="宋体" w:hAnsi="宋体"/>
                <w:color w:val="000000"/>
                <w:sz w:val="24"/>
                <w:szCs w:val="24"/>
              </w:rPr>
            </w:pPr>
            <w:r>
              <w:rPr>
                <w:rFonts w:ascii="宋体" w:hAnsi="宋体"/>
                <w:color w:val="000000"/>
                <w:sz w:val="24"/>
                <w:szCs w:val="24"/>
                <w:lang w:bidi="ar"/>
              </w:rPr>
              <w:t>（100</w:t>
            </w:r>
            <w:r>
              <w:rPr>
                <w:rFonts w:hint="eastAsia" w:ascii="宋体" w:hAnsi="宋体" w:cs="宋体"/>
                <w:color w:val="000000"/>
                <w:sz w:val="24"/>
                <w:szCs w:val="24"/>
                <w:lang w:bidi="ar"/>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0"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1</w:t>
            </w:r>
          </w:p>
        </w:tc>
        <w:tc>
          <w:tcPr>
            <w:tcW w:w="1187" w:type="dxa"/>
            <w:noWrap w:val="0"/>
            <w:vAlign w:val="center"/>
          </w:tcPr>
          <w:p>
            <w:pPr>
              <w:spacing w:line="360" w:lineRule="auto"/>
              <w:jc w:val="center"/>
              <w:rPr>
                <w:rFonts w:ascii="宋体" w:hAnsi="宋体"/>
                <w:sz w:val="24"/>
                <w:szCs w:val="24"/>
              </w:rPr>
            </w:pPr>
            <w:r>
              <w:rPr>
                <w:rFonts w:ascii="宋体" w:hAnsi="宋体"/>
                <w:sz w:val="24"/>
                <w:szCs w:val="24"/>
                <w:lang w:bidi="ar"/>
              </w:rPr>
              <w:t>工作时间</w:t>
            </w:r>
          </w:p>
        </w:tc>
        <w:tc>
          <w:tcPr>
            <w:tcW w:w="2341" w:type="dxa"/>
            <w:noWrap w:val="0"/>
            <w:vAlign w:val="center"/>
          </w:tcPr>
          <w:p>
            <w:pPr>
              <w:spacing w:line="360" w:lineRule="auto"/>
              <w:jc w:val="center"/>
              <w:rPr>
                <w:rFonts w:ascii="宋体" w:hAnsi="宋体"/>
                <w:sz w:val="24"/>
                <w:szCs w:val="24"/>
              </w:rPr>
            </w:pPr>
            <w:r>
              <w:rPr>
                <w:rFonts w:ascii="宋体" w:hAnsi="宋体"/>
                <w:sz w:val="24"/>
                <w:szCs w:val="24"/>
                <w:lang w:bidi="ar"/>
              </w:rPr>
              <w:t>合理安排人员，无迟到、早退现象</w:t>
            </w:r>
          </w:p>
        </w:tc>
        <w:tc>
          <w:tcPr>
            <w:tcW w:w="1372" w:type="dxa"/>
            <w:noWrap w:val="0"/>
            <w:vAlign w:val="center"/>
          </w:tcPr>
          <w:p>
            <w:pPr>
              <w:spacing w:line="360" w:lineRule="auto"/>
              <w:jc w:val="center"/>
              <w:rPr>
                <w:rFonts w:ascii="宋体" w:hAnsi="宋体"/>
                <w:sz w:val="24"/>
                <w:szCs w:val="24"/>
              </w:rPr>
            </w:pPr>
            <w:r>
              <w:rPr>
                <w:rFonts w:ascii="宋体" w:hAnsi="宋体"/>
                <w:sz w:val="24"/>
                <w:szCs w:val="24"/>
                <w:lang w:bidi="ar"/>
              </w:rPr>
              <w:t>中心抽查</w:t>
            </w:r>
          </w:p>
        </w:tc>
        <w:tc>
          <w:tcPr>
            <w:tcW w:w="2175" w:type="dxa"/>
            <w:noWrap w:val="0"/>
            <w:vAlign w:val="center"/>
          </w:tcPr>
          <w:p>
            <w:pPr>
              <w:spacing w:line="360" w:lineRule="auto"/>
              <w:jc w:val="center"/>
              <w:rPr>
                <w:rFonts w:ascii="宋体" w:hAnsi="宋体"/>
                <w:sz w:val="24"/>
                <w:szCs w:val="24"/>
              </w:rPr>
            </w:pPr>
            <w:r>
              <w:rPr>
                <w:rFonts w:ascii="宋体" w:hAnsi="宋体"/>
                <w:sz w:val="24"/>
                <w:szCs w:val="24"/>
                <w:lang w:bidi="ar"/>
              </w:rPr>
              <w:t>出现迟到、早退的，每人次扣0.2</w:t>
            </w:r>
            <w:r>
              <w:rPr>
                <w:rFonts w:hint="eastAsia" w:ascii="宋体" w:hAnsi="宋体" w:cs="宋体"/>
                <w:sz w:val="24"/>
                <w:szCs w:val="24"/>
                <w:lang w:bidi="ar"/>
              </w:rPr>
              <w:t>分</w:t>
            </w:r>
          </w:p>
        </w:tc>
        <w:tc>
          <w:tcPr>
            <w:tcW w:w="1430" w:type="dxa"/>
            <w:noWrap w:val="0"/>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0"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2</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防汛、抗雪、防灾或重大活动保障</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应无条件的严格按照要求合理安排人员进行采集</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中心检查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出现不执行或执行不到位的，每次扣5</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780"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3</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人员配置</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队伍基本素质符合合同要求</w:t>
            </w:r>
          </w:p>
        </w:tc>
        <w:tc>
          <w:tcPr>
            <w:tcW w:w="1372" w:type="dxa"/>
            <w:vMerge w:val="restart"/>
            <w:noWrap w:val="0"/>
            <w:vAlign w:val="center"/>
          </w:tcPr>
          <w:p>
            <w:pPr>
              <w:spacing w:line="360" w:lineRule="auto"/>
              <w:rPr>
                <w:rFonts w:ascii="宋体" w:hAnsi="宋体"/>
                <w:color w:val="000000"/>
                <w:sz w:val="24"/>
                <w:szCs w:val="24"/>
              </w:rPr>
            </w:pPr>
          </w:p>
          <w:p>
            <w:pPr>
              <w:spacing w:line="360" w:lineRule="auto"/>
              <w:jc w:val="center"/>
              <w:rPr>
                <w:rFonts w:ascii="宋体" w:hAnsi="宋体"/>
                <w:color w:val="000000"/>
                <w:sz w:val="24"/>
                <w:szCs w:val="24"/>
              </w:rPr>
            </w:pPr>
            <w:r>
              <w:rPr>
                <w:rFonts w:ascii="宋体" w:hAnsi="宋体"/>
                <w:color w:val="000000"/>
                <w:sz w:val="24"/>
                <w:szCs w:val="24"/>
                <w:lang w:bidi="ar"/>
              </w:rPr>
              <w:t>中心抽查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不符合要求的，每人次扣0.</w:t>
            </w:r>
            <w:r>
              <w:rPr>
                <w:rFonts w:hint="eastAsia" w:ascii="宋体" w:hAnsi="宋体"/>
                <w:color w:val="000000"/>
                <w:sz w:val="24"/>
                <w:szCs w:val="24"/>
                <w:lang w:bidi="ar"/>
              </w:rPr>
              <w:t>5</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val="en-US" w:eastAsia="zh-CN" w:bidi="ar"/>
              </w:rPr>
              <w:t>在岗</w:t>
            </w:r>
            <w:r>
              <w:rPr>
                <w:rFonts w:ascii="宋体" w:hAnsi="宋体"/>
                <w:color w:val="000000"/>
                <w:sz w:val="24"/>
                <w:szCs w:val="24"/>
                <w:lang w:bidi="ar"/>
              </w:rPr>
              <w:t>人员配置及路面</w:t>
            </w:r>
            <w:r>
              <w:rPr>
                <w:rFonts w:hint="eastAsia" w:ascii="宋体" w:hAnsi="宋体"/>
                <w:color w:val="000000"/>
                <w:sz w:val="24"/>
                <w:szCs w:val="24"/>
                <w:lang w:val="en-US" w:eastAsia="zh-CN" w:bidi="ar"/>
              </w:rPr>
              <w:t>在岗</w:t>
            </w:r>
            <w:r>
              <w:rPr>
                <w:rFonts w:ascii="宋体" w:hAnsi="宋体"/>
                <w:color w:val="000000"/>
                <w:sz w:val="24"/>
                <w:szCs w:val="24"/>
                <w:lang w:bidi="ar"/>
              </w:rPr>
              <w:t>巡查人数符合合同要求</w:t>
            </w: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不符合要求的，每少一人扣</w:t>
            </w:r>
            <w:r>
              <w:rPr>
                <w:rFonts w:hint="eastAsia" w:ascii="宋体" w:hAnsi="宋体"/>
                <w:color w:val="000000"/>
                <w:sz w:val="24"/>
                <w:szCs w:val="24"/>
                <w:lang w:bidi="ar"/>
              </w:rPr>
              <w:t>1</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80"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4</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巡查设施</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使用机动车巡查</w:t>
            </w:r>
          </w:p>
        </w:tc>
        <w:tc>
          <w:tcPr>
            <w:tcW w:w="1372"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中心检查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未使用机动车巡查，每发现一次扣0.2</w:t>
            </w:r>
            <w:r>
              <w:rPr>
                <w:rFonts w:hint="eastAsia" w:ascii="宋体" w:hAnsi="宋体" w:cs="宋体"/>
                <w:color w:val="000000"/>
                <w:sz w:val="24"/>
                <w:szCs w:val="24"/>
                <w:lang w:bidi="ar"/>
              </w:rPr>
              <w:t>分</w:t>
            </w:r>
          </w:p>
        </w:tc>
        <w:tc>
          <w:tcPr>
            <w:tcW w:w="1430" w:type="dxa"/>
            <w:vMerge w:val="restart"/>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使用机动车参加联合信息采集检查</w:t>
            </w: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无故不参加的，每次扣</w:t>
            </w:r>
            <w:r>
              <w:rPr>
                <w:rFonts w:hint="eastAsia" w:ascii="宋体" w:hAnsi="宋体"/>
                <w:color w:val="000000"/>
                <w:sz w:val="24"/>
                <w:szCs w:val="24"/>
                <w:lang w:bidi="ar"/>
              </w:rPr>
              <w:t>1</w:t>
            </w:r>
            <w:r>
              <w:rPr>
                <w:rFonts w:hint="eastAsia" w:ascii="宋体" w:hAnsi="宋体" w:cs="宋体"/>
                <w:color w:val="000000"/>
                <w:sz w:val="24"/>
                <w:szCs w:val="24"/>
                <w:lang w:bidi="ar"/>
              </w:rPr>
              <w:t>分</w:t>
            </w:r>
          </w:p>
        </w:tc>
        <w:tc>
          <w:tcPr>
            <w:tcW w:w="1430" w:type="dxa"/>
            <w:vMerge w:val="continue"/>
            <w:noWrap w:val="0"/>
            <w:vAlign w:val="center"/>
          </w:tcPr>
          <w:p>
            <w:pPr>
              <w:spacing w:line="360" w:lineRule="auto"/>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配备井盖开启设施及应急维护设施</w:t>
            </w: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未配备的，每发现一次扣0.2</w:t>
            </w:r>
            <w:r>
              <w:rPr>
                <w:rFonts w:hint="eastAsia" w:ascii="宋体" w:hAnsi="宋体" w:cs="宋体"/>
                <w:color w:val="000000"/>
                <w:sz w:val="24"/>
                <w:szCs w:val="24"/>
                <w:lang w:bidi="ar"/>
              </w:rPr>
              <w:t>分</w:t>
            </w:r>
          </w:p>
        </w:tc>
        <w:tc>
          <w:tcPr>
            <w:tcW w:w="1430" w:type="dxa"/>
            <w:vMerge w:val="continue"/>
            <w:noWrap w:val="0"/>
            <w:vAlign w:val="center"/>
          </w:tcPr>
          <w:p>
            <w:pPr>
              <w:spacing w:line="360" w:lineRule="auto"/>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5</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巡查频率</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一类、二类道路每天四次、三类道路每天2</w:t>
            </w:r>
            <w:r>
              <w:rPr>
                <w:rFonts w:hint="eastAsia" w:ascii="宋体" w:hAnsi="宋体" w:cs="宋体"/>
                <w:color w:val="000000"/>
                <w:sz w:val="24"/>
                <w:szCs w:val="24"/>
                <w:lang w:bidi="ar"/>
              </w:rPr>
              <w:t>次、其他区域每天一次</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系统</w:t>
            </w:r>
          </w:p>
          <w:p>
            <w:pPr>
              <w:spacing w:line="360" w:lineRule="auto"/>
              <w:jc w:val="center"/>
              <w:rPr>
                <w:rFonts w:ascii="宋体" w:hAnsi="宋体"/>
                <w:color w:val="000000"/>
                <w:sz w:val="24"/>
                <w:szCs w:val="24"/>
              </w:rPr>
            </w:pPr>
            <w:r>
              <w:rPr>
                <w:rFonts w:ascii="宋体" w:hAnsi="宋体"/>
                <w:color w:val="000000"/>
                <w:sz w:val="24"/>
                <w:szCs w:val="24"/>
                <w:lang w:bidi="ar"/>
              </w:rPr>
              <w:t>数据、中心抽查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不符合要求的，每发现一次扣0.5</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6</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差错率</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采集（立案）、核实（查）差错</w:t>
            </w:r>
          </w:p>
        </w:tc>
        <w:tc>
          <w:tcPr>
            <w:tcW w:w="1372"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中心记录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每发现一起，每次扣0.</w:t>
            </w:r>
            <w:r>
              <w:rPr>
                <w:rFonts w:hint="eastAsia" w:ascii="宋体" w:hAnsi="宋体"/>
                <w:color w:val="000000"/>
                <w:sz w:val="24"/>
                <w:szCs w:val="24"/>
                <w:lang w:bidi="ar"/>
              </w:rPr>
              <w:t>2</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0" w:hRule="atLeast"/>
        </w:trPr>
        <w:tc>
          <w:tcPr>
            <w:tcW w:w="780" w:type="dxa"/>
            <w:vMerge w:val="restart"/>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7</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差错件</w:t>
            </w:r>
          </w:p>
        </w:tc>
        <w:tc>
          <w:tcPr>
            <w:tcW w:w="2341" w:type="dxa"/>
            <w:noWrap w:val="0"/>
            <w:vAlign w:val="center"/>
          </w:tcPr>
          <w:p>
            <w:pPr>
              <w:spacing w:line="360" w:lineRule="auto"/>
              <w:rPr>
                <w:rFonts w:ascii="宋体" w:hAnsi="宋体"/>
                <w:color w:val="000000"/>
                <w:sz w:val="24"/>
                <w:szCs w:val="24"/>
              </w:rPr>
            </w:pPr>
            <w:r>
              <w:rPr>
                <w:rFonts w:hint="eastAsia" w:ascii="宋体" w:hAnsi="宋体" w:cs="宋体"/>
                <w:color w:val="000000"/>
                <w:sz w:val="24"/>
                <w:szCs w:val="24"/>
                <w:lang w:bidi="ar"/>
              </w:rPr>
              <w:t>被上级主管部门扣分或给问题处置带来重大影响</w:t>
            </w:r>
          </w:p>
        </w:tc>
        <w:tc>
          <w:tcPr>
            <w:tcW w:w="1372"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中心记录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造成扣分或重大影响的，每件扣</w:t>
            </w:r>
            <w:r>
              <w:rPr>
                <w:rFonts w:hint="eastAsia" w:ascii="宋体" w:hAnsi="宋体"/>
                <w:color w:val="000000"/>
                <w:sz w:val="24"/>
                <w:szCs w:val="24"/>
                <w:lang w:bidi="ar"/>
              </w:rPr>
              <w:t>1</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0"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规定处置时间内，同一问题无重复上报</w:t>
            </w: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重复上报被处置单位</w:t>
            </w:r>
            <w:r>
              <w:rPr>
                <w:rFonts w:hint="eastAsia" w:ascii="宋体" w:hAnsi="宋体"/>
                <w:color w:val="000000"/>
                <w:sz w:val="24"/>
                <w:szCs w:val="24"/>
                <w:lang w:bidi="ar"/>
              </w:rPr>
              <w:t>有责</w:t>
            </w:r>
            <w:r>
              <w:rPr>
                <w:rFonts w:ascii="宋体" w:hAnsi="宋体"/>
                <w:color w:val="000000"/>
                <w:sz w:val="24"/>
                <w:szCs w:val="24"/>
                <w:lang w:bidi="ar"/>
              </w:rPr>
              <w:t>投诉的，每件扣0.</w:t>
            </w:r>
            <w:r>
              <w:rPr>
                <w:rFonts w:hint="eastAsia" w:ascii="宋体" w:hAnsi="宋体"/>
                <w:color w:val="000000"/>
                <w:sz w:val="24"/>
                <w:szCs w:val="24"/>
                <w:lang w:bidi="ar"/>
              </w:rPr>
              <w:t>2</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0" w:hRule="atLeast"/>
        </w:trPr>
        <w:tc>
          <w:tcPr>
            <w:tcW w:w="780" w:type="dxa"/>
            <w:vMerge w:val="restart"/>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8</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核查及时回复</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在限定时间内及时回复</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系统数据</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不及时回复的，每发现一次扣0.</w:t>
            </w:r>
            <w:r>
              <w:rPr>
                <w:rFonts w:hint="eastAsia" w:ascii="宋体" w:hAnsi="宋体"/>
                <w:color w:val="000000"/>
                <w:sz w:val="24"/>
                <w:szCs w:val="24"/>
                <w:lang w:bidi="ar"/>
              </w:rPr>
              <w:t>2</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5"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被上级主管部门扣分或给问题处置带来重大影响</w:t>
            </w:r>
          </w:p>
        </w:tc>
        <w:tc>
          <w:tcPr>
            <w:tcW w:w="1372" w:type="dxa"/>
            <w:noWrap w:val="0"/>
            <w:vAlign w:val="center"/>
          </w:tcPr>
          <w:p>
            <w:pPr>
              <w:spacing w:line="360" w:lineRule="auto"/>
              <w:jc w:val="center"/>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每件扣</w:t>
            </w:r>
            <w:r>
              <w:rPr>
                <w:rFonts w:hint="eastAsia" w:ascii="宋体" w:hAnsi="宋体"/>
                <w:color w:val="000000"/>
                <w:sz w:val="24"/>
                <w:szCs w:val="24"/>
                <w:lang w:bidi="ar"/>
              </w:rPr>
              <w:t>1</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80" w:type="dxa"/>
            <w:vMerge w:val="restart"/>
            <w:noWrap w:val="0"/>
            <w:vAlign w:val="center"/>
          </w:tcPr>
          <w:p>
            <w:pPr>
              <w:widowControl/>
              <w:spacing w:line="360" w:lineRule="auto"/>
              <w:jc w:val="center"/>
              <w:rPr>
                <w:rFonts w:ascii="宋体" w:hAnsi="宋体"/>
                <w:color w:val="000000"/>
                <w:sz w:val="24"/>
                <w:szCs w:val="24"/>
              </w:rPr>
            </w:pPr>
            <w:r>
              <w:rPr>
                <w:rFonts w:ascii="宋体" w:hAnsi="宋体"/>
                <w:color w:val="000000"/>
                <w:sz w:val="24"/>
                <w:szCs w:val="24"/>
                <w:lang w:bidi="ar"/>
              </w:rPr>
              <w:t>9</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漏报件</w:t>
            </w:r>
          </w:p>
        </w:tc>
        <w:tc>
          <w:tcPr>
            <w:tcW w:w="2341"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工作区域内无漏报</w:t>
            </w:r>
          </w:p>
        </w:tc>
        <w:tc>
          <w:tcPr>
            <w:tcW w:w="1372"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媒体曝光、市民投诉、巡查校核等</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媒体曝光、领导批示确认漏报的，每件扣1</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vMerge w:val="continue"/>
            <w:noWrap w:val="0"/>
            <w:vAlign w:val="center"/>
          </w:tcPr>
          <w:p>
            <w:pPr>
              <w:spacing w:line="360" w:lineRule="auto"/>
              <w:rPr>
                <w:rFonts w:ascii="宋体" w:hAnsi="宋体"/>
                <w:color w:val="000000"/>
                <w:sz w:val="24"/>
                <w:szCs w:val="24"/>
              </w:rPr>
            </w:pP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市民投诉、上级检查等确认漏报的，每件扣0.</w:t>
            </w:r>
            <w:r>
              <w:rPr>
                <w:rFonts w:hint="eastAsia" w:ascii="宋体" w:hAnsi="宋体"/>
                <w:color w:val="000000"/>
                <w:sz w:val="24"/>
                <w:szCs w:val="24"/>
                <w:lang w:bidi="ar"/>
              </w:rPr>
              <w:t>4</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5"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vMerge w:val="continue"/>
            <w:noWrap w:val="0"/>
            <w:vAlign w:val="center"/>
          </w:tcPr>
          <w:p>
            <w:pPr>
              <w:spacing w:line="360" w:lineRule="auto"/>
              <w:rPr>
                <w:rFonts w:ascii="宋体" w:hAnsi="宋体"/>
                <w:color w:val="000000"/>
                <w:sz w:val="24"/>
                <w:szCs w:val="24"/>
              </w:rPr>
            </w:pP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指挥中心、相关部门检查确认漏报的，每件扣</w:t>
            </w:r>
            <w:r>
              <w:rPr>
                <w:rFonts w:hint="eastAsia" w:ascii="宋体" w:hAnsi="宋体"/>
                <w:color w:val="000000"/>
                <w:sz w:val="24"/>
                <w:szCs w:val="24"/>
                <w:lang w:bidi="ar"/>
              </w:rPr>
              <w:t>0.2</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10</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简易处置</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采集员应对情节轻微且力所能及的问题实施简易处置</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中心检查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采集员漠视城市管理轻微问题不实施简易处置的，每发生1</w:t>
            </w:r>
            <w:r>
              <w:rPr>
                <w:rFonts w:hint="eastAsia" w:ascii="宋体" w:hAnsi="宋体" w:cs="宋体"/>
                <w:color w:val="000000"/>
                <w:sz w:val="24"/>
                <w:szCs w:val="24"/>
                <w:lang w:bidi="ar"/>
              </w:rPr>
              <w:t>次扣</w:t>
            </w:r>
            <w:r>
              <w:rPr>
                <w:rFonts w:ascii="宋体" w:hAnsi="宋体"/>
                <w:color w:val="000000"/>
                <w:sz w:val="24"/>
                <w:szCs w:val="24"/>
                <w:lang w:bidi="ar"/>
              </w:rPr>
              <w:t>0.1</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trPr>
        <w:tc>
          <w:tcPr>
            <w:tcW w:w="780" w:type="dxa"/>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11</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普查保障</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应保质保量完成数字城管普查任务，并按要求承担完成城市管理考核普查任务</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系统数据、中心评价</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未按规定完成普查任务的，每次扣</w:t>
            </w:r>
            <w:r>
              <w:rPr>
                <w:rFonts w:hint="eastAsia" w:ascii="宋体" w:hAnsi="宋体"/>
                <w:color w:val="000000"/>
                <w:sz w:val="24"/>
                <w:szCs w:val="24"/>
                <w:lang w:bidi="ar"/>
              </w:rPr>
              <w:t>1</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780" w:type="dxa"/>
            <w:vMerge w:val="restart"/>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12</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w:t>
            </w:r>
            <w:r>
              <w:rPr>
                <w:rFonts w:hint="eastAsia" w:ascii="宋体" w:hAnsi="宋体" w:cs="宋体"/>
                <w:color w:val="000000"/>
                <w:sz w:val="24"/>
                <w:szCs w:val="24"/>
                <w:lang w:bidi="ar"/>
              </w:rPr>
              <w:t>三定</w:t>
            </w:r>
            <w:r>
              <w:rPr>
                <w:rFonts w:ascii="宋体" w:hAnsi="宋体"/>
                <w:color w:val="000000"/>
                <w:sz w:val="24"/>
                <w:szCs w:val="24"/>
                <w:lang w:bidi="ar"/>
              </w:rPr>
              <w:t>”</w:t>
            </w:r>
            <w:r>
              <w:rPr>
                <w:rFonts w:hint="eastAsia" w:ascii="宋体" w:hAnsi="宋体" w:cs="宋体"/>
                <w:color w:val="000000"/>
                <w:sz w:val="24"/>
                <w:szCs w:val="24"/>
                <w:lang w:bidi="ar"/>
              </w:rPr>
              <w:t>管理</w:t>
            </w:r>
          </w:p>
        </w:tc>
        <w:tc>
          <w:tcPr>
            <w:tcW w:w="2341"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做到“</w:t>
            </w:r>
            <w:r>
              <w:rPr>
                <w:rFonts w:hint="eastAsia" w:ascii="宋体" w:hAnsi="宋体" w:cs="宋体"/>
                <w:color w:val="000000"/>
                <w:sz w:val="24"/>
                <w:szCs w:val="24"/>
                <w:lang w:bidi="ar"/>
              </w:rPr>
              <w:t>定采集员、定采集器、定巡查区域</w:t>
            </w:r>
            <w:r>
              <w:rPr>
                <w:rFonts w:ascii="宋体" w:hAnsi="宋体"/>
                <w:color w:val="000000"/>
                <w:sz w:val="24"/>
                <w:szCs w:val="24"/>
                <w:lang w:bidi="ar"/>
              </w:rPr>
              <w:t>”</w:t>
            </w:r>
          </w:p>
        </w:tc>
        <w:tc>
          <w:tcPr>
            <w:tcW w:w="1372" w:type="dxa"/>
            <w:vMerge w:val="restart"/>
            <w:noWrap w:val="0"/>
            <w:vAlign w:val="center"/>
          </w:tcPr>
          <w:p>
            <w:pPr>
              <w:spacing w:line="360" w:lineRule="auto"/>
              <w:ind w:firstLine="120" w:firstLineChars="50"/>
              <w:jc w:val="center"/>
              <w:rPr>
                <w:rFonts w:ascii="宋体" w:hAnsi="宋体"/>
                <w:color w:val="000000"/>
                <w:sz w:val="24"/>
                <w:szCs w:val="24"/>
              </w:rPr>
            </w:pPr>
            <w:r>
              <w:rPr>
                <w:rFonts w:ascii="宋体" w:hAnsi="宋体"/>
                <w:color w:val="000000"/>
                <w:sz w:val="24"/>
                <w:szCs w:val="24"/>
                <w:lang w:bidi="ar"/>
              </w:rPr>
              <w:t>系统数据、中心检查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未按“</w:t>
            </w:r>
            <w:r>
              <w:rPr>
                <w:rFonts w:hint="eastAsia" w:ascii="宋体" w:hAnsi="宋体" w:cs="宋体"/>
                <w:color w:val="000000"/>
                <w:sz w:val="24"/>
                <w:szCs w:val="24"/>
                <w:lang w:bidi="ar"/>
              </w:rPr>
              <w:t>三定</w:t>
            </w:r>
            <w:r>
              <w:rPr>
                <w:rFonts w:ascii="宋体" w:hAnsi="宋体"/>
                <w:color w:val="000000"/>
                <w:sz w:val="24"/>
                <w:szCs w:val="24"/>
                <w:lang w:bidi="ar"/>
              </w:rPr>
              <w:t>”</w:t>
            </w:r>
            <w:r>
              <w:rPr>
                <w:rFonts w:hint="eastAsia" w:ascii="宋体" w:hAnsi="宋体" w:cs="宋体"/>
                <w:color w:val="000000"/>
                <w:sz w:val="24"/>
                <w:szCs w:val="24"/>
                <w:lang w:bidi="ar"/>
              </w:rPr>
              <w:t>要求的，每次扣</w:t>
            </w:r>
            <w:r>
              <w:rPr>
                <w:rFonts w:ascii="宋体" w:hAnsi="宋体"/>
                <w:color w:val="000000"/>
                <w:sz w:val="24"/>
                <w:szCs w:val="24"/>
                <w:lang w:bidi="ar"/>
              </w:rPr>
              <w:t>0.</w:t>
            </w:r>
            <w:r>
              <w:rPr>
                <w:rFonts w:hint="eastAsia" w:ascii="宋体" w:hAnsi="宋体"/>
                <w:color w:val="000000"/>
                <w:sz w:val="24"/>
                <w:szCs w:val="24"/>
                <w:lang w:bidi="ar"/>
              </w:rPr>
              <w:t>2</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vMerge w:val="continue"/>
            <w:noWrap w:val="0"/>
            <w:vAlign w:val="center"/>
          </w:tcPr>
          <w:p>
            <w:pPr>
              <w:spacing w:line="360" w:lineRule="auto"/>
              <w:rPr>
                <w:rFonts w:ascii="宋体" w:hAnsi="宋体"/>
                <w:color w:val="000000"/>
                <w:sz w:val="24"/>
                <w:szCs w:val="24"/>
              </w:rPr>
            </w:pP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擅自变更的，每次扣0.</w:t>
            </w:r>
            <w:r>
              <w:rPr>
                <w:rFonts w:hint="eastAsia" w:ascii="宋体" w:hAnsi="宋体"/>
                <w:color w:val="000000"/>
                <w:sz w:val="24"/>
                <w:szCs w:val="24"/>
                <w:lang w:bidi="ar"/>
              </w:rPr>
              <w:t>2</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780" w:type="dxa"/>
            <w:vMerge w:val="restart"/>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13</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管理层变更</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分层管控健全、有效、有序，合同期限内管理层未发生变更</w:t>
            </w:r>
          </w:p>
        </w:tc>
        <w:tc>
          <w:tcPr>
            <w:tcW w:w="1372" w:type="dxa"/>
            <w:vMerge w:val="restart"/>
            <w:noWrap w:val="0"/>
            <w:vAlign w:val="center"/>
          </w:tcPr>
          <w:p>
            <w:pPr>
              <w:spacing w:line="360" w:lineRule="auto"/>
              <w:rPr>
                <w:rFonts w:ascii="宋体" w:hAnsi="宋体"/>
                <w:color w:val="000000"/>
                <w:sz w:val="24"/>
                <w:szCs w:val="24"/>
              </w:rPr>
            </w:pPr>
            <w:r>
              <w:rPr>
                <w:rFonts w:ascii="宋体" w:hAnsi="宋体"/>
                <w:color w:val="000000"/>
                <w:sz w:val="24"/>
                <w:szCs w:val="24"/>
                <w:lang w:bidi="ar"/>
              </w:rPr>
              <w:t>中心抽查、记录单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合同期限内项目负责人及管理员未经中心同意发生变动的，每发生1</w:t>
            </w:r>
            <w:r>
              <w:rPr>
                <w:rFonts w:hint="eastAsia" w:ascii="宋体" w:hAnsi="宋体" w:cs="宋体"/>
                <w:color w:val="000000"/>
                <w:sz w:val="24"/>
                <w:szCs w:val="24"/>
                <w:lang w:bidi="ar"/>
              </w:rPr>
              <w:t>次扣</w:t>
            </w:r>
            <w:r>
              <w:rPr>
                <w:rFonts w:ascii="宋体" w:hAnsi="宋体"/>
                <w:color w:val="000000"/>
                <w:sz w:val="24"/>
                <w:szCs w:val="24"/>
                <w:lang w:bidi="ar"/>
              </w:rPr>
              <w:t>2</w:t>
            </w:r>
            <w:r>
              <w:rPr>
                <w:rFonts w:hint="eastAsia" w:ascii="宋体" w:hAnsi="宋体" w:cs="宋体"/>
                <w:color w:val="000000"/>
                <w:sz w:val="24"/>
                <w:szCs w:val="24"/>
                <w:lang w:bidi="ar"/>
              </w:rPr>
              <w:t>分。</w:t>
            </w:r>
          </w:p>
        </w:tc>
        <w:tc>
          <w:tcPr>
            <w:tcW w:w="1430" w:type="dxa"/>
            <w:vMerge w:val="restart"/>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负责人定期参加信息采集会议</w:t>
            </w: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无故不参加的，每次扣</w:t>
            </w:r>
            <w:r>
              <w:rPr>
                <w:rFonts w:hint="eastAsia" w:ascii="宋体" w:hAnsi="宋体"/>
                <w:color w:val="000000"/>
                <w:sz w:val="24"/>
                <w:szCs w:val="24"/>
                <w:lang w:bidi="ar"/>
              </w:rPr>
              <w:t>1</w:t>
            </w:r>
            <w:r>
              <w:rPr>
                <w:rFonts w:hint="eastAsia" w:ascii="宋体" w:hAnsi="宋体" w:cs="宋体"/>
                <w:color w:val="000000"/>
                <w:sz w:val="24"/>
                <w:szCs w:val="24"/>
                <w:lang w:bidi="ar"/>
              </w:rPr>
              <w:t>分</w:t>
            </w:r>
          </w:p>
        </w:tc>
        <w:tc>
          <w:tcPr>
            <w:tcW w:w="1430" w:type="dxa"/>
            <w:vMerge w:val="continue"/>
            <w:noWrap w:val="0"/>
            <w:vAlign w:val="center"/>
          </w:tcPr>
          <w:p>
            <w:pPr>
              <w:spacing w:line="360" w:lineRule="auto"/>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780" w:type="dxa"/>
            <w:vMerge w:val="restart"/>
            <w:noWrap w:val="0"/>
            <w:vAlign w:val="center"/>
          </w:tcPr>
          <w:p>
            <w:pPr>
              <w:widowControl/>
              <w:spacing w:line="360" w:lineRule="auto"/>
              <w:jc w:val="center"/>
              <w:rPr>
                <w:rFonts w:ascii="宋体" w:hAnsi="宋体"/>
                <w:color w:val="000000"/>
                <w:sz w:val="24"/>
                <w:szCs w:val="24"/>
              </w:rPr>
            </w:pPr>
          </w:p>
          <w:p>
            <w:pPr>
              <w:widowControl/>
              <w:spacing w:line="360" w:lineRule="auto"/>
              <w:jc w:val="center"/>
              <w:rPr>
                <w:rFonts w:ascii="宋体" w:hAnsi="宋体"/>
                <w:color w:val="000000"/>
                <w:sz w:val="24"/>
                <w:szCs w:val="24"/>
              </w:rPr>
            </w:pPr>
            <w:r>
              <w:rPr>
                <w:rFonts w:ascii="宋体" w:hAnsi="宋体"/>
                <w:color w:val="000000"/>
                <w:sz w:val="24"/>
                <w:szCs w:val="24"/>
                <w:lang w:bidi="ar"/>
              </w:rPr>
              <w:t>14</w:t>
            </w:r>
          </w:p>
        </w:tc>
        <w:tc>
          <w:tcPr>
            <w:tcW w:w="1187"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持证上岗</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采集员必须进行岗前培训，并取得上岗证</w:t>
            </w:r>
          </w:p>
        </w:tc>
        <w:tc>
          <w:tcPr>
            <w:tcW w:w="1372" w:type="dxa"/>
            <w:vMerge w:val="restart"/>
            <w:noWrap w:val="0"/>
            <w:vAlign w:val="center"/>
          </w:tcPr>
          <w:p>
            <w:pPr>
              <w:spacing w:line="360" w:lineRule="auto"/>
              <w:rPr>
                <w:rFonts w:ascii="宋体" w:hAnsi="宋体"/>
                <w:color w:val="000000"/>
                <w:sz w:val="24"/>
                <w:szCs w:val="24"/>
              </w:rPr>
            </w:pPr>
            <w:r>
              <w:rPr>
                <w:rFonts w:ascii="宋体" w:hAnsi="宋体"/>
                <w:color w:val="000000"/>
                <w:sz w:val="24"/>
                <w:szCs w:val="24"/>
                <w:lang w:bidi="ar"/>
              </w:rPr>
              <w:t>中心抽查</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未取得上岗证上岗的，每人次扣0.</w:t>
            </w:r>
            <w:r>
              <w:rPr>
                <w:rFonts w:hint="eastAsia" w:ascii="宋体" w:hAnsi="宋体"/>
                <w:color w:val="000000"/>
                <w:sz w:val="24"/>
                <w:szCs w:val="24"/>
                <w:lang w:bidi="ar"/>
              </w:rPr>
              <w:t>4</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在岗人员必须持证上岗</w:t>
            </w:r>
          </w:p>
        </w:tc>
        <w:tc>
          <w:tcPr>
            <w:tcW w:w="1372" w:type="dxa"/>
            <w:vMerge w:val="continue"/>
            <w:noWrap w:val="0"/>
            <w:vAlign w:val="center"/>
          </w:tcPr>
          <w:p>
            <w:pPr>
              <w:spacing w:line="360" w:lineRule="auto"/>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未持证上岗的，每人次扣0.</w:t>
            </w:r>
            <w:r>
              <w:rPr>
                <w:rFonts w:hint="eastAsia" w:ascii="宋体" w:hAnsi="宋体"/>
                <w:color w:val="000000"/>
                <w:sz w:val="24"/>
                <w:szCs w:val="24"/>
                <w:lang w:bidi="ar"/>
              </w:rPr>
              <w:t>4</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15</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越级上访</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不发生越级上访</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中心记录单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每发生一次扣</w:t>
            </w:r>
            <w:r>
              <w:rPr>
                <w:rFonts w:hint="eastAsia" w:ascii="宋体" w:hAnsi="宋体"/>
                <w:color w:val="000000"/>
                <w:sz w:val="24"/>
                <w:szCs w:val="24"/>
                <w:lang w:bidi="ar"/>
              </w:rPr>
              <w:t>1</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16</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有责投诉</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不发生有责投诉</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中心记录单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每发生一次扣</w:t>
            </w:r>
            <w:r>
              <w:rPr>
                <w:rFonts w:hint="eastAsia" w:ascii="宋体" w:hAnsi="宋体"/>
                <w:color w:val="000000"/>
                <w:sz w:val="24"/>
                <w:szCs w:val="24"/>
                <w:lang w:bidi="ar"/>
              </w:rPr>
              <w:t>1</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2"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17</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工作制度</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无上报虚假信息、有责纠纷</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处置单位反映件、中心记录单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每发生一次扣</w:t>
            </w:r>
            <w:r>
              <w:rPr>
                <w:rFonts w:hint="eastAsia" w:ascii="宋体" w:hAnsi="宋体"/>
                <w:color w:val="000000"/>
                <w:sz w:val="24"/>
                <w:szCs w:val="24"/>
                <w:lang w:bidi="ar"/>
              </w:rPr>
              <w:t>2</w:t>
            </w:r>
            <w:r>
              <w:rPr>
                <w:rFonts w:ascii="宋体" w:hAnsi="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18</w:t>
            </w:r>
          </w:p>
        </w:tc>
        <w:tc>
          <w:tcPr>
            <w:tcW w:w="1187"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采集设备管理</w:t>
            </w:r>
          </w:p>
        </w:tc>
        <w:tc>
          <w:tcPr>
            <w:tcW w:w="2341"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保证功能正常发挥</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中心检查及记录单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每发生一次扣0.2</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Merge w:val="restart"/>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19</w:t>
            </w:r>
          </w:p>
        </w:tc>
        <w:tc>
          <w:tcPr>
            <w:tcW w:w="1187" w:type="dxa"/>
            <w:vMerge w:val="restart"/>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正面宣传</w:t>
            </w:r>
          </w:p>
        </w:tc>
        <w:tc>
          <w:tcPr>
            <w:tcW w:w="2341"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区级媒体录用</w:t>
            </w:r>
          </w:p>
        </w:tc>
        <w:tc>
          <w:tcPr>
            <w:tcW w:w="1372" w:type="dxa"/>
            <w:vMerge w:val="restart"/>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中心记录单</w:t>
            </w:r>
          </w:p>
        </w:tc>
        <w:tc>
          <w:tcPr>
            <w:tcW w:w="2175"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每次加</w:t>
            </w:r>
            <w:r>
              <w:rPr>
                <w:rFonts w:ascii="宋体" w:hAnsi="宋体"/>
                <w:color w:val="000000"/>
                <w:sz w:val="24"/>
                <w:szCs w:val="24"/>
                <w:lang w:bidi="ar"/>
              </w:rPr>
              <w:t>0.1</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vMerge w:val="continue"/>
            <w:noWrap w:val="0"/>
            <w:vAlign w:val="center"/>
          </w:tcPr>
          <w:p>
            <w:pPr>
              <w:spacing w:line="360" w:lineRule="auto"/>
              <w:rPr>
                <w:rFonts w:ascii="宋体" w:hAnsi="宋体"/>
                <w:color w:val="000000"/>
                <w:sz w:val="24"/>
                <w:szCs w:val="24"/>
              </w:rPr>
            </w:pPr>
          </w:p>
        </w:tc>
        <w:tc>
          <w:tcPr>
            <w:tcW w:w="1187" w:type="dxa"/>
            <w:vMerge w:val="continue"/>
            <w:noWrap w:val="0"/>
            <w:vAlign w:val="center"/>
          </w:tcPr>
          <w:p>
            <w:pPr>
              <w:spacing w:line="360" w:lineRule="auto"/>
              <w:rPr>
                <w:rFonts w:ascii="宋体" w:hAnsi="宋体"/>
                <w:color w:val="000000"/>
                <w:sz w:val="24"/>
                <w:szCs w:val="24"/>
              </w:rPr>
            </w:pPr>
          </w:p>
        </w:tc>
        <w:tc>
          <w:tcPr>
            <w:tcW w:w="2341"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市级以上录用</w:t>
            </w:r>
          </w:p>
        </w:tc>
        <w:tc>
          <w:tcPr>
            <w:tcW w:w="1372" w:type="dxa"/>
            <w:vMerge w:val="continue"/>
            <w:noWrap w:val="0"/>
            <w:vAlign w:val="center"/>
          </w:tcPr>
          <w:p>
            <w:pPr>
              <w:spacing w:line="360" w:lineRule="auto"/>
              <w:jc w:val="center"/>
              <w:rPr>
                <w:rFonts w:ascii="宋体" w:hAnsi="宋体"/>
                <w:color w:val="000000"/>
                <w:sz w:val="24"/>
                <w:szCs w:val="24"/>
              </w:rPr>
            </w:pPr>
          </w:p>
        </w:tc>
        <w:tc>
          <w:tcPr>
            <w:tcW w:w="2175"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每次加</w:t>
            </w:r>
            <w:r>
              <w:rPr>
                <w:rFonts w:ascii="宋体" w:hAnsi="宋体"/>
                <w:color w:val="000000"/>
                <w:sz w:val="24"/>
                <w:szCs w:val="24"/>
                <w:lang w:bidi="ar"/>
              </w:rPr>
              <w:t>0.2</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20</w:t>
            </w:r>
          </w:p>
        </w:tc>
        <w:tc>
          <w:tcPr>
            <w:tcW w:w="1187" w:type="dxa"/>
            <w:noWrap w:val="0"/>
            <w:vAlign w:val="center"/>
          </w:tcPr>
          <w:p>
            <w:pPr>
              <w:spacing w:line="360" w:lineRule="auto"/>
              <w:rPr>
                <w:rFonts w:ascii="宋体" w:hAnsi="宋体"/>
                <w:color w:val="000000"/>
                <w:sz w:val="24"/>
                <w:szCs w:val="24"/>
              </w:rPr>
            </w:pPr>
            <w:r>
              <w:rPr>
                <w:rFonts w:hint="eastAsia" w:ascii="宋体" w:hAnsi="宋体"/>
                <w:color w:val="000000"/>
                <w:sz w:val="24"/>
                <w:szCs w:val="24"/>
                <w:lang w:bidi="ar"/>
              </w:rPr>
              <w:t>应急抢险或重大保障</w:t>
            </w:r>
          </w:p>
        </w:tc>
        <w:tc>
          <w:tcPr>
            <w:tcW w:w="2341"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因表现出色被表彰</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中心记录单</w:t>
            </w:r>
          </w:p>
        </w:tc>
        <w:tc>
          <w:tcPr>
            <w:tcW w:w="2175"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每次</w:t>
            </w:r>
            <w:r>
              <w:rPr>
                <w:rFonts w:hint="eastAsia" w:ascii="宋体" w:hAnsi="宋体"/>
                <w:color w:val="000000"/>
                <w:sz w:val="24"/>
                <w:szCs w:val="24"/>
                <w:lang w:bidi="ar"/>
              </w:rPr>
              <w:t>加</w:t>
            </w:r>
            <w:r>
              <w:rPr>
                <w:rFonts w:ascii="宋体" w:hAnsi="宋体"/>
                <w:color w:val="000000"/>
                <w:sz w:val="24"/>
                <w:szCs w:val="24"/>
                <w:lang w:bidi="ar"/>
              </w:rPr>
              <w:t>0.</w:t>
            </w:r>
            <w:r>
              <w:rPr>
                <w:rFonts w:hint="eastAsia" w:ascii="宋体" w:hAnsi="宋体"/>
                <w:color w:val="000000"/>
                <w:sz w:val="24"/>
                <w:szCs w:val="24"/>
                <w:lang w:bidi="ar"/>
              </w:rPr>
              <w:t>5</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21</w:t>
            </w:r>
          </w:p>
        </w:tc>
        <w:tc>
          <w:tcPr>
            <w:tcW w:w="1187"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重大隐患上报</w:t>
            </w:r>
          </w:p>
        </w:tc>
        <w:tc>
          <w:tcPr>
            <w:tcW w:w="2341" w:type="dxa"/>
            <w:noWrap w:val="0"/>
            <w:vAlign w:val="center"/>
          </w:tcPr>
          <w:p>
            <w:pPr>
              <w:spacing w:line="360" w:lineRule="auto"/>
              <w:rPr>
                <w:rFonts w:ascii="宋体" w:hAnsi="宋体"/>
                <w:color w:val="000000"/>
                <w:sz w:val="24"/>
                <w:szCs w:val="24"/>
              </w:rPr>
            </w:pPr>
            <w:r>
              <w:rPr>
                <w:rFonts w:hint="eastAsia" w:ascii="宋体" w:hAnsi="宋体" w:cs="宋体"/>
                <w:color w:val="000000"/>
                <w:sz w:val="24"/>
                <w:szCs w:val="24"/>
                <w:lang w:bidi="ar"/>
              </w:rPr>
              <w:t>突发的严重影响市民人身安全的城市管理问题，第一时间向有关部门反映信息，受到上级部门肯定或表扬</w:t>
            </w:r>
          </w:p>
        </w:tc>
        <w:tc>
          <w:tcPr>
            <w:tcW w:w="1372" w:type="dxa"/>
            <w:noWrap w:val="0"/>
            <w:vAlign w:val="center"/>
          </w:tcPr>
          <w:p>
            <w:pPr>
              <w:spacing w:line="360" w:lineRule="auto"/>
              <w:jc w:val="center"/>
              <w:rPr>
                <w:rFonts w:ascii="宋体" w:hAnsi="宋体"/>
                <w:color w:val="000000"/>
                <w:sz w:val="24"/>
                <w:szCs w:val="24"/>
              </w:rPr>
            </w:pPr>
            <w:r>
              <w:rPr>
                <w:rFonts w:ascii="宋体" w:hAnsi="宋体"/>
                <w:color w:val="000000"/>
                <w:sz w:val="24"/>
                <w:szCs w:val="24"/>
                <w:lang w:bidi="ar"/>
              </w:rPr>
              <w:t>中心记录单</w:t>
            </w:r>
          </w:p>
        </w:tc>
        <w:tc>
          <w:tcPr>
            <w:tcW w:w="2175" w:type="dxa"/>
            <w:noWrap w:val="0"/>
            <w:vAlign w:val="center"/>
          </w:tcPr>
          <w:p>
            <w:pPr>
              <w:spacing w:line="360" w:lineRule="auto"/>
              <w:jc w:val="center"/>
              <w:rPr>
                <w:rFonts w:ascii="宋体" w:hAnsi="宋体"/>
                <w:color w:val="000000"/>
                <w:sz w:val="24"/>
                <w:szCs w:val="24"/>
              </w:rPr>
            </w:pPr>
            <w:r>
              <w:rPr>
                <w:rFonts w:hint="eastAsia" w:ascii="宋体" w:hAnsi="宋体"/>
                <w:color w:val="000000"/>
                <w:sz w:val="24"/>
                <w:szCs w:val="24"/>
                <w:lang w:bidi="ar"/>
              </w:rPr>
              <w:t>每</w:t>
            </w:r>
            <w:r>
              <w:rPr>
                <w:rFonts w:ascii="宋体" w:hAnsi="宋体"/>
                <w:color w:val="000000"/>
                <w:sz w:val="24"/>
                <w:szCs w:val="24"/>
                <w:lang w:bidi="ar"/>
              </w:rPr>
              <w:t>次</w:t>
            </w:r>
            <w:r>
              <w:rPr>
                <w:rFonts w:hint="eastAsia" w:ascii="宋体" w:hAnsi="宋体"/>
                <w:color w:val="000000"/>
                <w:sz w:val="24"/>
                <w:szCs w:val="24"/>
                <w:lang w:bidi="ar"/>
              </w:rPr>
              <w:t>加</w:t>
            </w:r>
            <w:r>
              <w:rPr>
                <w:rFonts w:ascii="宋体" w:hAnsi="宋体"/>
                <w:color w:val="000000"/>
                <w:sz w:val="24"/>
                <w:szCs w:val="24"/>
                <w:lang w:bidi="ar"/>
              </w:rPr>
              <w:t>0.</w:t>
            </w:r>
            <w:r>
              <w:rPr>
                <w:rFonts w:hint="eastAsia" w:ascii="宋体" w:hAnsi="宋体"/>
                <w:color w:val="000000"/>
                <w:sz w:val="24"/>
                <w:szCs w:val="24"/>
                <w:lang w:bidi="ar"/>
              </w:rPr>
              <w:t>5</w:t>
            </w:r>
            <w:r>
              <w:rPr>
                <w:rFonts w:hint="eastAsia" w:ascii="宋体" w:hAnsi="宋体" w:cs="宋体"/>
                <w:color w:val="000000"/>
                <w:sz w:val="24"/>
                <w:szCs w:val="24"/>
                <w:lang w:bidi="ar"/>
              </w:rPr>
              <w:t>分</w:t>
            </w:r>
          </w:p>
        </w:tc>
        <w:tc>
          <w:tcPr>
            <w:tcW w:w="1430" w:type="dxa"/>
            <w:noWrap w:val="0"/>
            <w:vAlign w:val="center"/>
          </w:tcPr>
          <w:p>
            <w:pPr>
              <w:spacing w:line="360" w:lineRule="auto"/>
              <w:jc w:val="center"/>
              <w:rPr>
                <w:rFonts w:ascii="宋体" w:hAnsi="宋体"/>
                <w:color w:val="0000FF"/>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FF"/>
                <w:sz w:val="24"/>
                <w:szCs w:val="24"/>
              </w:rPr>
            </w:pPr>
            <w:r>
              <w:rPr>
                <w:rFonts w:hint="eastAsia" w:ascii="宋体" w:hAnsi="宋体"/>
                <w:color w:val="000000"/>
                <w:sz w:val="24"/>
                <w:szCs w:val="24"/>
                <w:lang w:bidi="ar"/>
              </w:rPr>
              <w:t>22</w:t>
            </w:r>
          </w:p>
        </w:tc>
        <w:tc>
          <w:tcPr>
            <w:tcW w:w="1187" w:type="dxa"/>
            <w:noWrap w:val="0"/>
            <w:vAlign w:val="center"/>
          </w:tcPr>
          <w:p>
            <w:pPr>
              <w:spacing w:line="360" w:lineRule="auto"/>
              <w:jc w:val="center"/>
              <w:rPr>
                <w:rFonts w:ascii="宋体" w:hAnsi="宋体"/>
                <w:color w:val="0000FF"/>
                <w:sz w:val="24"/>
                <w:szCs w:val="24"/>
              </w:rPr>
            </w:pPr>
            <w:r>
              <w:rPr>
                <w:rFonts w:ascii="宋体" w:hAnsi="宋体"/>
                <w:sz w:val="24"/>
                <w:szCs w:val="24"/>
                <w:lang w:bidi="ar"/>
              </w:rPr>
              <w:t>服务承诺</w:t>
            </w:r>
          </w:p>
        </w:tc>
        <w:tc>
          <w:tcPr>
            <w:tcW w:w="2341" w:type="dxa"/>
            <w:noWrap w:val="0"/>
            <w:vAlign w:val="center"/>
          </w:tcPr>
          <w:p>
            <w:pPr>
              <w:spacing w:line="360" w:lineRule="auto"/>
              <w:jc w:val="center"/>
              <w:rPr>
                <w:rFonts w:ascii="宋体" w:hAnsi="宋体"/>
                <w:color w:val="0000FF"/>
                <w:sz w:val="24"/>
                <w:szCs w:val="24"/>
              </w:rPr>
            </w:pPr>
            <w:r>
              <w:rPr>
                <w:rFonts w:ascii="宋体" w:hAnsi="宋体"/>
                <w:sz w:val="24"/>
                <w:szCs w:val="24"/>
                <w:lang w:bidi="ar"/>
              </w:rPr>
              <w:t>有其他服务承诺</w:t>
            </w:r>
          </w:p>
        </w:tc>
        <w:tc>
          <w:tcPr>
            <w:tcW w:w="1372" w:type="dxa"/>
            <w:noWrap w:val="0"/>
            <w:vAlign w:val="center"/>
          </w:tcPr>
          <w:p>
            <w:pPr>
              <w:spacing w:line="360" w:lineRule="auto"/>
              <w:jc w:val="center"/>
              <w:rPr>
                <w:rFonts w:ascii="宋体" w:hAnsi="宋体"/>
                <w:color w:val="0000FF"/>
                <w:sz w:val="24"/>
                <w:szCs w:val="24"/>
              </w:rPr>
            </w:pPr>
            <w:r>
              <w:rPr>
                <w:rFonts w:ascii="宋体" w:hAnsi="宋体"/>
                <w:sz w:val="24"/>
                <w:szCs w:val="24"/>
                <w:lang w:bidi="ar"/>
              </w:rPr>
              <w:t>中心检查、记录</w:t>
            </w:r>
          </w:p>
        </w:tc>
        <w:tc>
          <w:tcPr>
            <w:tcW w:w="2175" w:type="dxa"/>
            <w:noWrap w:val="0"/>
            <w:vAlign w:val="center"/>
          </w:tcPr>
          <w:p>
            <w:pPr>
              <w:spacing w:line="360" w:lineRule="auto"/>
              <w:jc w:val="center"/>
              <w:rPr>
                <w:rFonts w:ascii="宋体" w:hAnsi="宋体"/>
                <w:color w:val="0000FF"/>
                <w:sz w:val="24"/>
                <w:szCs w:val="24"/>
              </w:rPr>
            </w:pPr>
            <w:r>
              <w:rPr>
                <w:rFonts w:ascii="宋体" w:hAnsi="宋体"/>
                <w:sz w:val="24"/>
                <w:szCs w:val="24"/>
                <w:lang w:bidi="ar"/>
              </w:rPr>
              <w:t>未实际履行的，每发现一次扣1</w:t>
            </w:r>
            <w:r>
              <w:rPr>
                <w:rFonts w:hint="eastAsia" w:ascii="宋体" w:hAnsi="宋体" w:cs="宋体"/>
                <w:sz w:val="24"/>
                <w:szCs w:val="24"/>
                <w:lang w:bidi="ar"/>
              </w:rPr>
              <w:t>分</w:t>
            </w:r>
          </w:p>
        </w:tc>
        <w:tc>
          <w:tcPr>
            <w:tcW w:w="1430" w:type="dxa"/>
            <w:noWrap w:val="0"/>
            <w:vAlign w:val="center"/>
          </w:tcPr>
          <w:p>
            <w:pPr>
              <w:spacing w:line="360" w:lineRule="auto"/>
              <w:jc w:val="center"/>
              <w:rPr>
                <w:rFonts w:ascii="宋体" w:hAnsi="宋体"/>
                <w:color w:val="0000FF"/>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780" w:type="dxa"/>
            <w:noWrap w:val="0"/>
            <w:vAlign w:val="center"/>
          </w:tcPr>
          <w:p>
            <w:pPr>
              <w:spacing w:line="360" w:lineRule="auto"/>
              <w:jc w:val="center"/>
              <w:rPr>
                <w:rFonts w:ascii="宋体" w:hAnsi="宋体"/>
                <w:color w:val="0000FF"/>
                <w:sz w:val="24"/>
                <w:szCs w:val="24"/>
              </w:rPr>
            </w:pPr>
            <w:r>
              <w:rPr>
                <w:rFonts w:ascii="宋体" w:hAnsi="宋体"/>
                <w:color w:val="000000"/>
                <w:sz w:val="24"/>
                <w:szCs w:val="24"/>
                <w:lang w:bidi="ar"/>
              </w:rPr>
              <w:t>合计</w:t>
            </w:r>
          </w:p>
        </w:tc>
        <w:tc>
          <w:tcPr>
            <w:tcW w:w="4900" w:type="dxa"/>
            <w:gridSpan w:val="3"/>
            <w:noWrap w:val="0"/>
            <w:vAlign w:val="center"/>
          </w:tcPr>
          <w:p>
            <w:pPr>
              <w:spacing w:line="360" w:lineRule="auto"/>
              <w:jc w:val="center"/>
              <w:rPr>
                <w:rFonts w:ascii="宋体" w:hAnsi="宋体"/>
                <w:color w:val="0000FF"/>
                <w:sz w:val="24"/>
                <w:szCs w:val="24"/>
              </w:rPr>
            </w:pPr>
          </w:p>
        </w:tc>
        <w:tc>
          <w:tcPr>
            <w:tcW w:w="3605" w:type="dxa"/>
            <w:gridSpan w:val="2"/>
            <w:noWrap w:val="0"/>
            <w:vAlign w:val="center"/>
          </w:tcPr>
          <w:p>
            <w:pPr>
              <w:spacing w:line="360" w:lineRule="auto"/>
              <w:jc w:val="center"/>
              <w:rPr>
                <w:rFonts w:ascii="宋体" w:hAnsi="宋体"/>
                <w:color w:val="0000FF"/>
                <w:sz w:val="24"/>
                <w:szCs w:val="24"/>
              </w:rPr>
            </w:pPr>
          </w:p>
        </w:tc>
      </w:tr>
    </w:tbl>
    <w:p/>
    <w:p>
      <w:pPr>
        <w:rPr>
          <w:rFonts w:hint="eastAsia"/>
          <w:lang w:eastAsia="zh-CN"/>
        </w:rPr>
        <w:sectPr>
          <w:headerReference r:id="rId16" w:type="first"/>
          <w:headerReference r:id="rId15" w:type="default"/>
          <w:footerReference r:id="rId17" w:type="default"/>
          <w:pgSz w:w="11907" w:h="16840"/>
          <w:pgMar w:top="1304" w:right="1565" w:bottom="1247" w:left="1344" w:header="851" w:footer="992" w:gutter="0"/>
          <w:cols w:space="720" w:num="1"/>
          <w:titlePg/>
          <w:docGrid w:linePitch="312" w:charSpace="0"/>
        </w:sectPr>
      </w:pPr>
    </w:p>
    <w:p>
      <w:pPr>
        <w:snapToGrid w:val="0"/>
        <w:spacing w:line="36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第四部分</w:t>
      </w:r>
      <w:bookmarkStart w:id="28" w:name="_Toc184313304"/>
      <w:bookmarkEnd w:id="28"/>
      <w:bookmarkStart w:id="29" w:name="_Toc184308061"/>
      <w:bookmarkEnd w:id="29"/>
      <w:bookmarkStart w:id="30" w:name="_Toc184310323"/>
      <w:bookmarkEnd w:id="30"/>
      <w:bookmarkStart w:id="31" w:name="_Toc184313296"/>
      <w:bookmarkEnd w:id="31"/>
      <w:bookmarkStart w:id="32" w:name="_Toc184310322"/>
      <w:bookmarkEnd w:id="32"/>
      <w:bookmarkStart w:id="33" w:name="_Toc184312115"/>
      <w:bookmarkEnd w:id="33"/>
      <w:bookmarkStart w:id="34" w:name="_Toc184312086"/>
      <w:bookmarkEnd w:id="34"/>
      <w:bookmarkStart w:id="35" w:name="_Toc184312090"/>
      <w:bookmarkEnd w:id="35"/>
      <w:bookmarkStart w:id="36" w:name="_Toc184308057"/>
      <w:bookmarkEnd w:id="36"/>
      <w:bookmarkStart w:id="37" w:name="_Toc184313287"/>
      <w:bookmarkEnd w:id="37"/>
      <w:bookmarkStart w:id="38" w:name="_Toc184310314"/>
      <w:bookmarkEnd w:id="38"/>
      <w:bookmarkStart w:id="39" w:name="_Toc184308075"/>
      <w:bookmarkEnd w:id="39"/>
      <w:bookmarkStart w:id="40" w:name="_Toc184310326"/>
      <w:bookmarkEnd w:id="40"/>
      <w:bookmarkStart w:id="41" w:name="_Toc184312081"/>
      <w:bookmarkEnd w:id="41"/>
      <w:bookmarkStart w:id="42" w:name="_Toc184313309"/>
      <w:bookmarkEnd w:id="42"/>
      <w:bookmarkStart w:id="43" w:name="_Toc184314436"/>
      <w:bookmarkEnd w:id="43"/>
      <w:bookmarkStart w:id="44" w:name="_Toc184313292"/>
      <w:bookmarkEnd w:id="44"/>
      <w:bookmarkStart w:id="45" w:name="_Toc184312085"/>
      <w:bookmarkEnd w:id="45"/>
      <w:bookmarkStart w:id="46" w:name="_Toc184310288"/>
      <w:bookmarkEnd w:id="46"/>
      <w:bookmarkStart w:id="47" w:name="_Toc184312104"/>
      <w:bookmarkEnd w:id="47"/>
      <w:bookmarkStart w:id="48" w:name="_Toc184310276"/>
      <w:bookmarkEnd w:id="48"/>
      <w:bookmarkStart w:id="49" w:name="_Toc184310317"/>
      <w:bookmarkEnd w:id="49"/>
      <w:bookmarkStart w:id="50" w:name="_Toc184314426"/>
      <w:bookmarkEnd w:id="50"/>
      <w:bookmarkStart w:id="51" w:name="_Toc184313256"/>
      <w:bookmarkEnd w:id="51"/>
      <w:bookmarkStart w:id="52" w:name="_Toc184314465"/>
      <w:bookmarkEnd w:id="52"/>
      <w:bookmarkStart w:id="53" w:name="_Toc184312101"/>
      <w:bookmarkEnd w:id="53"/>
      <w:bookmarkStart w:id="54" w:name="_Toc184310280"/>
      <w:bookmarkEnd w:id="54"/>
      <w:bookmarkStart w:id="55" w:name="_Toc184312084"/>
      <w:bookmarkEnd w:id="55"/>
      <w:bookmarkStart w:id="56" w:name="_Toc184314477"/>
      <w:bookmarkEnd w:id="56"/>
      <w:bookmarkStart w:id="57" w:name="_Toc184313245"/>
      <w:bookmarkEnd w:id="57"/>
      <w:bookmarkStart w:id="58" w:name="_Toc184313291"/>
      <w:bookmarkEnd w:id="58"/>
      <w:bookmarkStart w:id="59" w:name="_Toc184312078"/>
      <w:bookmarkEnd w:id="59"/>
      <w:bookmarkStart w:id="60" w:name="_Toc184314472"/>
      <w:bookmarkEnd w:id="60"/>
      <w:bookmarkStart w:id="61" w:name="_Toc184308054"/>
      <w:bookmarkEnd w:id="61"/>
      <w:bookmarkStart w:id="62" w:name="_Toc184314411"/>
      <w:bookmarkEnd w:id="62"/>
      <w:bookmarkStart w:id="63" w:name="_Toc184310284"/>
      <w:bookmarkEnd w:id="63"/>
      <w:bookmarkStart w:id="64" w:name="_Toc184310278"/>
      <w:bookmarkEnd w:id="64"/>
      <w:bookmarkStart w:id="65" w:name="_Toc184310318"/>
      <w:bookmarkEnd w:id="65"/>
      <w:bookmarkStart w:id="66" w:name="_Toc184314454"/>
      <w:bookmarkEnd w:id="66"/>
      <w:bookmarkStart w:id="67" w:name="_Toc184308051"/>
      <w:bookmarkEnd w:id="67"/>
      <w:bookmarkStart w:id="68" w:name="_Toc184313261"/>
      <w:bookmarkEnd w:id="68"/>
      <w:bookmarkStart w:id="69" w:name="_Toc184312071"/>
      <w:bookmarkEnd w:id="69"/>
      <w:bookmarkStart w:id="70" w:name="_Toc184308072"/>
      <w:bookmarkEnd w:id="70"/>
      <w:bookmarkStart w:id="71" w:name="_Toc184314444"/>
      <w:bookmarkEnd w:id="71"/>
      <w:bookmarkStart w:id="72" w:name="_Toc184314475"/>
      <w:bookmarkEnd w:id="72"/>
      <w:bookmarkStart w:id="73" w:name="_Toc184308076"/>
      <w:bookmarkEnd w:id="73"/>
      <w:bookmarkStart w:id="74" w:name="_Toc184308078"/>
      <w:bookmarkEnd w:id="74"/>
      <w:bookmarkStart w:id="75" w:name="_Toc184312087"/>
      <w:bookmarkEnd w:id="75"/>
      <w:bookmarkStart w:id="76" w:name="_Toc184308099"/>
      <w:bookmarkEnd w:id="76"/>
      <w:bookmarkStart w:id="77" w:name="_Toc184314419"/>
      <w:bookmarkEnd w:id="77"/>
      <w:bookmarkStart w:id="78" w:name="_Toc184313244"/>
      <w:bookmarkEnd w:id="78"/>
      <w:bookmarkStart w:id="79" w:name="_Toc184308093"/>
      <w:bookmarkEnd w:id="79"/>
      <w:bookmarkStart w:id="80" w:name="_Toc184313299"/>
      <w:bookmarkEnd w:id="80"/>
      <w:bookmarkStart w:id="81" w:name="_Toc184312131"/>
      <w:bookmarkEnd w:id="81"/>
      <w:bookmarkStart w:id="82" w:name="_Toc184314473"/>
      <w:bookmarkEnd w:id="82"/>
      <w:bookmarkStart w:id="83" w:name="_Toc184310289"/>
      <w:bookmarkEnd w:id="83"/>
      <w:bookmarkStart w:id="84" w:name="_Toc184312123"/>
      <w:bookmarkEnd w:id="84"/>
      <w:bookmarkStart w:id="85" w:name="_Toc184310331"/>
      <w:bookmarkEnd w:id="85"/>
      <w:bookmarkStart w:id="86" w:name="_Toc184308104"/>
      <w:bookmarkEnd w:id="86"/>
      <w:bookmarkStart w:id="87" w:name="_Toc184310291"/>
      <w:bookmarkEnd w:id="87"/>
      <w:bookmarkStart w:id="88" w:name="_Toc184314417"/>
      <w:bookmarkEnd w:id="88"/>
      <w:bookmarkStart w:id="89" w:name="_Toc184314431"/>
      <w:bookmarkEnd w:id="89"/>
      <w:bookmarkStart w:id="90" w:name="_Toc184313264"/>
      <w:bookmarkEnd w:id="90"/>
      <w:bookmarkStart w:id="91" w:name="_Toc184314418"/>
      <w:bookmarkEnd w:id="91"/>
      <w:bookmarkStart w:id="92" w:name="_Toc184310340"/>
      <w:bookmarkEnd w:id="92"/>
      <w:bookmarkStart w:id="93" w:name="_Toc184313303"/>
      <w:bookmarkEnd w:id="93"/>
      <w:bookmarkStart w:id="94" w:name="_Toc184314461"/>
      <w:bookmarkEnd w:id="94"/>
      <w:bookmarkStart w:id="95" w:name="_Toc184312114"/>
      <w:bookmarkEnd w:id="95"/>
      <w:bookmarkStart w:id="96" w:name="_Toc184312092"/>
      <w:bookmarkEnd w:id="96"/>
      <w:bookmarkStart w:id="97" w:name="_Toc184308056"/>
      <w:bookmarkEnd w:id="97"/>
      <w:bookmarkStart w:id="98" w:name="_Toc184314429"/>
      <w:bookmarkEnd w:id="98"/>
      <w:bookmarkStart w:id="99" w:name="_Toc184313297"/>
      <w:bookmarkEnd w:id="99"/>
      <w:bookmarkStart w:id="100" w:name="_Toc184308084"/>
      <w:bookmarkEnd w:id="100"/>
      <w:bookmarkStart w:id="101" w:name="_Toc184314448"/>
      <w:bookmarkEnd w:id="101"/>
      <w:bookmarkStart w:id="102" w:name="_Toc184308087"/>
      <w:bookmarkEnd w:id="102"/>
      <w:bookmarkStart w:id="103" w:name="_Toc184310274"/>
      <w:bookmarkEnd w:id="103"/>
      <w:bookmarkStart w:id="104" w:name="_Toc184312075"/>
      <w:bookmarkEnd w:id="104"/>
      <w:bookmarkStart w:id="105" w:name="_Toc184310339"/>
      <w:bookmarkEnd w:id="105"/>
      <w:bookmarkStart w:id="106" w:name="_Toc184314456"/>
      <w:bookmarkEnd w:id="106"/>
      <w:bookmarkStart w:id="107" w:name="_Toc184313307"/>
      <w:bookmarkEnd w:id="107"/>
      <w:bookmarkStart w:id="108" w:name="_Toc184310308"/>
      <w:bookmarkEnd w:id="108"/>
      <w:bookmarkStart w:id="109" w:name="_Toc184314479"/>
      <w:bookmarkEnd w:id="109"/>
      <w:bookmarkStart w:id="110" w:name="_Toc184313252"/>
      <w:bookmarkEnd w:id="110"/>
      <w:bookmarkStart w:id="111" w:name="_Toc184314432"/>
      <w:bookmarkEnd w:id="111"/>
      <w:bookmarkStart w:id="112" w:name="_Toc184308100"/>
      <w:bookmarkEnd w:id="112"/>
      <w:bookmarkStart w:id="113" w:name="_Toc184310341"/>
      <w:bookmarkEnd w:id="113"/>
      <w:bookmarkStart w:id="114" w:name="_Toc184314466"/>
      <w:bookmarkEnd w:id="114"/>
      <w:bookmarkStart w:id="115" w:name="_Toc184314464"/>
      <w:bookmarkEnd w:id="115"/>
      <w:bookmarkStart w:id="116" w:name="_Toc184313262"/>
      <w:bookmarkEnd w:id="116"/>
      <w:bookmarkStart w:id="117" w:name="_Toc184314467"/>
      <w:bookmarkEnd w:id="117"/>
      <w:bookmarkStart w:id="118" w:name="_Toc184308066"/>
      <w:bookmarkEnd w:id="118"/>
      <w:bookmarkStart w:id="119" w:name="_Toc184308102"/>
      <w:bookmarkEnd w:id="119"/>
      <w:bookmarkStart w:id="120" w:name="_Toc184312120"/>
      <w:bookmarkEnd w:id="120"/>
      <w:bookmarkStart w:id="121" w:name="_Toc184313273"/>
      <w:bookmarkEnd w:id="121"/>
      <w:bookmarkStart w:id="122" w:name="_Toc184308064"/>
      <w:bookmarkEnd w:id="122"/>
      <w:bookmarkStart w:id="123" w:name="_Toc184314414"/>
      <w:bookmarkEnd w:id="123"/>
      <w:bookmarkStart w:id="124" w:name="_Toc184312098"/>
      <w:bookmarkEnd w:id="124"/>
      <w:bookmarkStart w:id="125" w:name="_Toc184312097"/>
      <w:bookmarkEnd w:id="125"/>
      <w:bookmarkStart w:id="126" w:name="_Toc184310301"/>
      <w:bookmarkEnd w:id="126"/>
      <w:bookmarkStart w:id="127" w:name="_Toc184310302"/>
      <w:bookmarkEnd w:id="127"/>
      <w:bookmarkStart w:id="128" w:name="_Toc184312121"/>
      <w:bookmarkEnd w:id="128"/>
      <w:bookmarkStart w:id="129" w:name="_Toc184314416"/>
      <w:bookmarkEnd w:id="129"/>
      <w:bookmarkStart w:id="130" w:name="_Toc184314463"/>
      <w:bookmarkEnd w:id="130"/>
      <w:bookmarkStart w:id="131" w:name="_Toc184313277"/>
      <w:bookmarkEnd w:id="131"/>
      <w:bookmarkStart w:id="132" w:name="_Toc184310344"/>
      <w:bookmarkEnd w:id="132"/>
      <w:bookmarkStart w:id="133" w:name="_Toc184313294"/>
      <w:bookmarkEnd w:id="133"/>
      <w:bookmarkStart w:id="134" w:name="_Toc184314447"/>
      <w:bookmarkEnd w:id="134"/>
      <w:bookmarkStart w:id="135" w:name="_Toc184310327"/>
      <w:bookmarkEnd w:id="135"/>
      <w:bookmarkStart w:id="136" w:name="_Toc184314457"/>
      <w:bookmarkEnd w:id="136"/>
      <w:bookmarkStart w:id="137" w:name="_Toc184314434"/>
      <w:bookmarkEnd w:id="137"/>
      <w:bookmarkStart w:id="138" w:name="_Toc184313240"/>
      <w:bookmarkEnd w:id="138"/>
      <w:bookmarkStart w:id="139" w:name="_Toc184308096"/>
      <w:bookmarkEnd w:id="139"/>
      <w:bookmarkStart w:id="140" w:name="_Toc184308065"/>
      <w:bookmarkEnd w:id="140"/>
      <w:bookmarkStart w:id="141" w:name="_Toc184313242"/>
      <w:bookmarkEnd w:id="141"/>
      <w:bookmarkStart w:id="142" w:name="_Toc184310294"/>
      <w:bookmarkEnd w:id="142"/>
      <w:bookmarkStart w:id="143" w:name="_Toc184313302"/>
      <w:bookmarkEnd w:id="143"/>
      <w:bookmarkStart w:id="144" w:name="_Toc184310304"/>
      <w:bookmarkEnd w:id="144"/>
      <w:bookmarkStart w:id="145" w:name="_Toc184308059"/>
      <w:bookmarkEnd w:id="145"/>
      <w:bookmarkStart w:id="146" w:name="_Toc184314410"/>
      <w:bookmarkEnd w:id="146"/>
      <w:bookmarkStart w:id="147" w:name="_Toc184314460"/>
      <w:bookmarkEnd w:id="147"/>
      <w:bookmarkStart w:id="148" w:name="_Toc184312111"/>
      <w:bookmarkEnd w:id="148"/>
      <w:bookmarkStart w:id="149" w:name="_Toc184308062"/>
      <w:bookmarkEnd w:id="149"/>
      <w:bookmarkStart w:id="150" w:name="_Toc184312119"/>
      <w:bookmarkEnd w:id="150"/>
      <w:bookmarkStart w:id="151" w:name="_Toc184310292"/>
      <w:bookmarkEnd w:id="151"/>
      <w:bookmarkStart w:id="152" w:name="_Toc184312077"/>
      <w:bookmarkEnd w:id="152"/>
      <w:bookmarkStart w:id="153" w:name="_Toc184312088"/>
      <w:bookmarkEnd w:id="153"/>
      <w:bookmarkStart w:id="154" w:name="_Toc184312083"/>
      <w:bookmarkEnd w:id="154"/>
      <w:bookmarkStart w:id="155" w:name="_Toc184310279"/>
      <w:bookmarkEnd w:id="155"/>
      <w:bookmarkStart w:id="156" w:name="_Toc184313298"/>
      <w:bookmarkEnd w:id="156"/>
      <w:bookmarkStart w:id="157" w:name="_Toc184310336"/>
      <w:bookmarkEnd w:id="157"/>
      <w:bookmarkStart w:id="158" w:name="_Toc184314450"/>
      <w:bookmarkEnd w:id="158"/>
      <w:bookmarkStart w:id="159" w:name="_Toc184310293"/>
      <w:bookmarkEnd w:id="159"/>
      <w:bookmarkStart w:id="160" w:name="_Toc184308040"/>
      <w:bookmarkEnd w:id="160"/>
      <w:bookmarkStart w:id="161" w:name="_Toc184308070"/>
      <w:bookmarkEnd w:id="161"/>
      <w:bookmarkStart w:id="162" w:name="_Toc184312139"/>
      <w:bookmarkEnd w:id="162"/>
      <w:bookmarkStart w:id="163" w:name="_Toc184310306"/>
      <w:bookmarkEnd w:id="163"/>
      <w:bookmarkStart w:id="164" w:name="_Toc184308053"/>
      <w:bookmarkEnd w:id="164"/>
      <w:bookmarkStart w:id="165" w:name="_Toc184313284"/>
      <w:bookmarkEnd w:id="165"/>
      <w:bookmarkStart w:id="166" w:name="_Toc184313281"/>
      <w:bookmarkEnd w:id="166"/>
      <w:bookmarkStart w:id="167" w:name="_Toc184314452"/>
      <w:bookmarkEnd w:id="167"/>
      <w:bookmarkStart w:id="168" w:name="_Toc184308058"/>
      <w:bookmarkEnd w:id="168"/>
      <w:bookmarkStart w:id="169" w:name="_Toc184313241"/>
      <w:bookmarkEnd w:id="169"/>
      <w:bookmarkStart w:id="170" w:name="_Toc184314482"/>
      <w:bookmarkEnd w:id="170"/>
      <w:bookmarkStart w:id="171" w:name="_Toc184314423"/>
      <w:bookmarkEnd w:id="171"/>
      <w:bookmarkStart w:id="172" w:name="_Toc184308073"/>
      <w:bookmarkEnd w:id="172"/>
      <w:bookmarkStart w:id="173" w:name="_Toc184313282"/>
      <w:bookmarkEnd w:id="173"/>
      <w:bookmarkStart w:id="174" w:name="_Toc184313293"/>
      <w:bookmarkEnd w:id="174"/>
      <w:bookmarkStart w:id="175" w:name="_Toc184313295"/>
      <w:bookmarkEnd w:id="175"/>
      <w:bookmarkStart w:id="176" w:name="_Toc184314439"/>
      <w:bookmarkEnd w:id="176"/>
      <w:bookmarkStart w:id="177" w:name="_Toc184312069"/>
      <w:bookmarkEnd w:id="177"/>
      <w:bookmarkStart w:id="178" w:name="_Toc184313250"/>
      <w:bookmarkEnd w:id="178"/>
      <w:bookmarkStart w:id="179" w:name="_Toc184308043"/>
      <w:bookmarkEnd w:id="179"/>
      <w:bookmarkStart w:id="180" w:name="_Toc184308037"/>
      <w:bookmarkEnd w:id="180"/>
      <w:bookmarkStart w:id="181" w:name="_Toc184310319"/>
      <w:bookmarkEnd w:id="181"/>
      <w:bookmarkStart w:id="182" w:name="_Toc184312074"/>
      <w:bookmarkEnd w:id="182"/>
      <w:bookmarkStart w:id="183" w:name="_Toc184308097"/>
      <w:bookmarkEnd w:id="183"/>
      <w:bookmarkStart w:id="184" w:name="_Toc184313308"/>
      <w:bookmarkEnd w:id="184"/>
      <w:bookmarkStart w:id="185" w:name="_Toc184310307"/>
      <w:bookmarkEnd w:id="185"/>
      <w:bookmarkStart w:id="186" w:name="_Toc184308089"/>
      <w:bookmarkEnd w:id="186"/>
      <w:bookmarkStart w:id="187" w:name="_Toc184314443"/>
      <w:bookmarkEnd w:id="187"/>
      <w:bookmarkStart w:id="188" w:name="_Toc184310332"/>
      <w:bookmarkEnd w:id="188"/>
      <w:bookmarkStart w:id="189" w:name="_Toc184310342"/>
      <w:bookmarkEnd w:id="189"/>
      <w:bookmarkStart w:id="190" w:name="_Toc184310282"/>
      <w:bookmarkEnd w:id="190"/>
      <w:bookmarkStart w:id="191" w:name="_Toc184314468"/>
      <w:bookmarkEnd w:id="191"/>
      <w:bookmarkStart w:id="192" w:name="_Toc184310337"/>
      <w:bookmarkEnd w:id="192"/>
      <w:bookmarkStart w:id="193" w:name="_Toc184310298"/>
      <w:bookmarkEnd w:id="193"/>
      <w:bookmarkStart w:id="194" w:name="_Toc184310309"/>
      <w:bookmarkEnd w:id="194"/>
      <w:bookmarkStart w:id="195" w:name="_Toc184310297"/>
      <w:bookmarkEnd w:id="195"/>
      <w:bookmarkStart w:id="196" w:name="_Toc184310295"/>
      <w:bookmarkEnd w:id="196"/>
      <w:bookmarkStart w:id="197" w:name="_Toc184314462"/>
      <w:bookmarkEnd w:id="197"/>
      <w:bookmarkStart w:id="198" w:name="_Toc184310313"/>
      <w:bookmarkEnd w:id="198"/>
      <w:bookmarkStart w:id="199" w:name="_Toc184308067"/>
      <w:bookmarkEnd w:id="199"/>
      <w:bookmarkStart w:id="200" w:name="_Toc184308071"/>
      <w:bookmarkEnd w:id="200"/>
      <w:bookmarkStart w:id="201" w:name="_Toc184310273"/>
      <w:bookmarkEnd w:id="201"/>
      <w:bookmarkStart w:id="202" w:name="_Toc184312093"/>
      <w:bookmarkEnd w:id="202"/>
      <w:bookmarkStart w:id="203" w:name="_Toc184310275"/>
      <w:bookmarkEnd w:id="203"/>
      <w:bookmarkStart w:id="204" w:name="_Toc184313274"/>
      <w:bookmarkEnd w:id="204"/>
      <w:bookmarkStart w:id="205" w:name="_Toc184313279"/>
      <w:bookmarkEnd w:id="205"/>
      <w:bookmarkStart w:id="206" w:name="_Toc184314471"/>
      <w:bookmarkEnd w:id="206"/>
      <w:bookmarkStart w:id="207" w:name="_Toc184308088"/>
      <w:bookmarkEnd w:id="207"/>
      <w:bookmarkStart w:id="208" w:name="_Toc184314455"/>
      <w:bookmarkEnd w:id="208"/>
      <w:bookmarkStart w:id="209" w:name="_Toc184310324"/>
      <w:bookmarkEnd w:id="209"/>
      <w:bookmarkStart w:id="210" w:name="_Toc184310311"/>
      <w:bookmarkEnd w:id="210"/>
      <w:bookmarkStart w:id="211" w:name="_Toc184308098"/>
      <w:bookmarkEnd w:id="211"/>
      <w:bookmarkStart w:id="212" w:name="_Toc184308103"/>
      <w:bookmarkEnd w:id="212"/>
      <w:bookmarkStart w:id="213" w:name="_Toc184314478"/>
      <w:bookmarkEnd w:id="213"/>
      <w:bookmarkStart w:id="214" w:name="_Toc184308101"/>
      <w:bookmarkEnd w:id="214"/>
      <w:bookmarkStart w:id="215" w:name="_Toc184314470"/>
      <w:bookmarkEnd w:id="215"/>
      <w:bookmarkStart w:id="216" w:name="_Toc184314438"/>
      <w:bookmarkEnd w:id="216"/>
      <w:bookmarkStart w:id="217" w:name="_Toc184310300"/>
      <w:bookmarkEnd w:id="217"/>
      <w:bookmarkStart w:id="218" w:name="_Toc184308074"/>
      <w:bookmarkEnd w:id="218"/>
      <w:bookmarkStart w:id="219" w:name="_Toc184312130"/>
      <w:bookmarkEnd w:id="219"/>
      <w:bookmarkStart w:id="220" w:name="_Toc184308086"/>
      <w:bookmarkEnd w:id="220"/>
      <w:bookmarkStart w:id="221" w:name="_Toc184312116"/>
      <w:bookmarkEnd w:id="221"/>
      <w:bookmarkStart w:id="222" w:name="_Toc184313251"/>
      <w:bookmarkEnd w:id="222"/>
      <w:bookmarkStart w:id="223" w:name="_Toc184310303"/>
      <w:bookmarkEnd w:id="223"/>
      <w:bookmarkStart w:id="224" w:name="_Toc184310281"/>
      <w:bookmarkEnd w:id="224"/>
      <w:bookmarkStart w:id="225" w:name="_Toc184314428"/>
      <w:bookmarkEnd w:id="225"/>
      <w:bookmarkStart w:id="226" w:name="_Toc184314440"/>
      <w:bookmarkEnd w:id="226"/>
      <w:bookmarkStart w:id="227" w:name="_Toc184308055"/>
      <w:bookmarkEnd w:id="227"/>
      <w:bookmarkStart w:id="228" w:name="_Toc184308039"/>
      <w:bookmarkEnd w:id="228"/>
      <w:bookmarkStart w:id="229" w:name="_Toc184312108"/>
      <w:bookmarkEnd w:id="229"/>
      <w:bookmarkStart w:id="230" w:name="_Toc184308081"/>
      <w:bookmarkEnd w:id="230"/>
      <w:bookmarkStart w:id="231" w:name="_Toc184312129"/>
      <w:bookmarkEnd w:id="231"/>
      <w:bookmarkStart w:id="232" w:name="_Toc184308063"/>
      <w:bookmarkEnd w:id="232"/>
      <w:bookmarkStart w:id="233" w:name="_Toc184312113"/>
      <w:bookmarkEnd w:id="233"/>
      <w:bookmarkStart w:id="234" w:name="_Toc184313310"/>
      <w:bookmarkEnd w:id="234"/>
      <w:bookmarkStart w:id="235" w:name="_Toc184312136"/>
      <w:bookmarkEnd w:id="235"/>
      <w:bookmarkStart w:id="236" w:name="_Toc184314441"/>
      <w:bookmarkEnd w:id="236"/>
      <w:bookmarkStart w:id="237" w:name="_Toc184313283"/>
      <w:bookmarkEnd w:id="237"/>
      <w:bookmarkStart w:id="238" w:name="_Toc184310277"/>
      <w:bookmarkEnd w:id="238"/>
      <w:bookmarkStart w:id="239" w:name="_Toc184313249"/>
      <w:bookmarkEnd w:id="239"/>
      <w:bookmarkStart w:id="240" w:name="_Toc184313300"/>
      <w:bookmarkEnd w:id="240"/>
      <w:bookmarkStart w:id="241" w:name="_Toc184313290"/>
      <w:bookmarkEnd w:id="241"/>
      <w:bookmarkStart w:id="242" w:name="_Toc184310333"/>
      <w:bookmarkEnd w:id="242"/>
      <w:bookmarkStart w:id="243" w:name="_Toc184310330"/>
      <w:bookmarkEnd w:id="243"/>
      <w:bookmarkStart w:id="244" w:name="_Toc184314435"/>
      <w:bookmarkEnd w:id="244"/>
      <w:bookmarkStart w:id="245" w:name="_Toc184310320"/>
      <w:bookmarkEnd w:id="245"/>
      <w:bookmarkStart w:id="246" w:name="_Toc184314424"/>
      <w:bookmarkEnd w:id="246"/>
      <w:bookmarkStart w:id="247" w:name="_Toc184313270"/>
      <w:bookmarkEnd w:id="247"/>
      <w:bookmarkStart w:id="248" w:name="_Toc184313289"/>
      <w:bookmarkEnd w:id="248"/>
      <w:bookmarkStart w:id="249" w:name="_Toc184312079"/>
      <w:bookmarkEnd w:id="249"/>
      <w:bookmarkStart w:id="250" w:name="_Toc184312082"/>
      <w:bookmarkEnd w:id="250"/>
      <w:bookmarkStart w:id="251" w:name="_Toc184310334"/>
      <w:bookmarkEnd w:id="251"/>
      <w:bookmarkStart w:id="252" w:name="_Toc184312103"/>
      <w:bookmarkEnd w:id="252"/>
      <w:bookmarkStart w:id="253" w:name="_Toc184312106"/>
      <w:bookmarkEnd w:id="253"/>
      <w:bookmarkStart w:id="254" w:name="_Toc184314476"/>
      <w:bookmarkEnd w:id="254"/>
      <w:bookmarkStart w:id="255" w:name="_Toc184314421"/>
      <w:bookmarkEnd w:id="255"/>
      <w:bookmarkStart w:id="256" w:name="_Toc184308080"/>
      <w:bookmarkEnd w:id="256"/>
      <w:bookmarkStart w:id="257" w:name="_Toc184313305"/>
      <w:bookmarkEnd w:id="257"/>
      <w:bookmarkStart w:id="258" w:name="_Toc184312110"/>
      <w:bookmarkEnd w:id="258"/>
      <w:bookmarkStart w:id="259" w:name="_Toc184312099"/>
      <w:bookmarkEnd w:id="259"/>
      <w:bookmarkStart w:id="260" w:name="_Toc184312089"/>
      <w:bookmarkEnd w:id="260"/>
      <w:bookmarkStart w:id="261" w:name="_Toc184313247"/>
      <w:bookmarkEnd w:id="261"/>
      <w:bookmarkStart w:id="262" w:name="_Toc184312070"/>
      <w:bookmarkEnd w:id="262"/>
      <w:bookmarkStart w:id="263" w:name="_Toc184312133"/>
      <w:bookmarkEnd w:id="263"/>
      <w:bookmarkStart w:id="264" w:name="_Toc184310315"/>
      <w:bookmarkEnd w:id="264"/>
      <w:bookmarkStart w:id="265" w:name="_Toc184308083"/>
      <w:bookmarkEnd w:id="265"/>
      <w:bookmarkStart w:id="266" w:name="_Toc184308045"/>
      <w:bookmarkEnd w:id="266"/>
      <w:bookmarkStart w:id="267" w:name="_Toc184308094"/>
      <w:bookmarkEnd w:id="267"/>
      <w:bookmarkStart w:id="268" w:name="_Toc184314442"/>
      <w:bookmarkEnd w:id="268"/>
      <w:bookmarkStart w:id="269" w:name="_Toc184312080"/>
      <w:bookmarkEnd w:id="269"/>
      <w:bookmarkStart w:id="270" w:name="_Toc184310321"/>
      <w:bookmarkEnd w:id="270"/>
      <w:bookmarkStart w:id="271" w:name="_Toc184308036"/>
      <w:bookmarkEnd w:id="271"/>
      <w:bookmarkStart w:id="272" w:name="_Toc184312128"/>
      <w:bookmarkEnd w:id="272"/>
      <w:bookmarkStart w:id="273" w:name="_Toc184313255"/>
      <w:bookmarkEnd w:id="273"/>
      <w:bookmarkStart w:id="274" w:name="_Toc184313272"/>
      <w:bookmarkEnd w:id="274"/>
      <w:bookmarkStart w:id="275" w:name="_Toc184308079"/>
      <w:bookmarkEnd w:id="275"/>
      <w:bookmarkStart w:id="276" w:name="_Toc184310329"/>
      <w:bookmarkEnd w:id="276"/>
      <w:bookmarkStart w:id="277" w:name="_Toc184308092"/>
      <w:bookmarkEnd w:id="277"/>
      <w:bookmarkStart w:id="278" w:name="_Toc184312135"/>
      <w:bookmarkEnd w:id="278"/>
      <w:bookmarkStart w:id="279" w:name="_Toc184310338"/>
      <w:bookmarkEnd w:id="279"/>
      <w:bookmarkStart w:id="280" w:name="_Toc184312134"/>
      <w:bookmarkEnd w:id="280"/>
      <w:bookmarkStart w:id="281" w:name="_Toc184312125"/>
      <w:bookmarkEnd w:id="281"/>
      <w:bookmarkStart w:id="282" w:name="_Toc184313265"/>
      <w:bookmarkEnd w:id="282"/>
      <w:bookmarkStart w:id="283" w:name="_Toc184308047"/>
      <w:bookmarkEnd w:id="283"/>
      <w:bookmarkStart w:id="284" w:name="_Toc184313258"/>
      <w:bookmarkEnd w:id="284"/>
      <w:bookmarkStart w:id="285" w:name="_Toc184308091"/>
      <w:bookmarkEnd w:id="285"/>
      <w:bookmarkStart w:id="286" w:name="_Toc184313301"/>
      <w:bookmarkEnd w:id="286"/>
      <w:bookmarkStart w:id="287" w:name="_Toc184314449"/>
      <w:bookmarkEnd w:id="287"/>
      <w:bookmarkStart w:id="288" w:name="_Toc184310286"/>
      <w:bookmarkEnd w:id="288"/>
      <w:bookmarkStart w:id="289" w:name="_Toc184308046"/>
      <w:bookmarkEnd w:id="289"/>
      <w:bookmarkStart w:id="290" w:name="_Toc184312126"/>
      <w:bookmarkEnd w:id="290"/>
      <w:bookmarkStart w:id="291" w:name="_Toc184308068"/>
      <w:bookmarkEnd w:id="291"/>
      <w:bookmarkStart w:id="292" w:name="_Toc184313253"/>
      <w:bookmarkEnd w:id="292"/>
      <w:bookmarkStart w:id="293" w:name="_Toc184308069"/>
      <w:bookmarkEnd w:id="293"/>
      <w:bookmarkStart w:id="294" w:name="_Toc184313248"/>
      <w:bookmarkEnd w:id="294"/>
      <w:bookmarkStart w:id="295" w:name="_Toc184308107"/>
      <w:bookmarkEnd w:id="295"/>
      <w:bookmarkStart w:id="296" w:name="_Toc184312096"/>
      <w:bookmarkEnd w:id="296"/>
      <w:bookmarkStart w:id="297" w:name="_Toc184313268"/>
      <w:bookmarkEnd w:id="297"/>
      <w:bookmarkStart w:id="298" w:name="_Toc184314453"/>
      <w:bookmarkEnd w:id="298"/>
      <w:bookmarkStart w:id="299" w:name="_Toc184310343"/>
      <w:bookmarkEnd w:id="299"/>
      <w:bookmarkStart w:id="300" w:name="_Toc184312132"/>
      <w:bookmarkEnd w:id="300"/>
      <w:bookmarkStart w:id="301" w:name="_Toc184308082"/>
      <w:bookmarkEnd w:id="301"/>
      <w:bookmarkStart w:id="302" w:name="_Toc184308052"/>
      <w:bookmarkEnd w:id="302"/>
      <w:bookmarkStart w:id="303" w:name="_Toc184313275"/>
      <w:bookmarkEnd w:id="303"/>
      <w:bookmarkStart w:id="304" w:name="_Toc184312100"/>
      <w:bookmarkEnd w:id="304"/>
      <w:bookmarkStart w:id="305" w:name="_Toc184314430"/>
      <w:bookmarkEnd w:id="305"/>
      <w:bookmarkStart w:id="306" w:name="_Toc184312124"/>
      <w:bookmarkEnd w:id="306"/>
      <w:bookmarkStart w:id="307" w:name="_Toc184308060"/>
      <w:bookmarkEnd w:id="307"/>
      <w:bookmarkStart w:id="308" w:name="_Toc184308044"/>
      <w:bookmarkEnd w:id="308"/>
      <w:bookmarkStart w:id="309" w:name="_Toc184314458"/>
      <w:bookmarkEnd w:id="309"/>
      <w:bookmarkStart w:id="310" w:name="_Toc184314469"/>
      <w:bookmarkEnd w:id="310"/>
      <w:bookmarkStart w:id="311" w:name="_Toc184314481"/>
      <w:bookmarkEnd w:id="311"/>
      <w:bookmarkStart w:id="312" w:name="_Toc184308042"/>
      <w:bookmarkEnd w:id="312"/>
      <w:bookmarkStart w:id="313" w:name="_Toc184312091"/>
      <w:bookmarkEnd w:id="313"/>
      <w:bookmarkStart w:id="314" w:name="_Toc184312076"/>
      <w:bookmarkEnd w:id="314"/>
      <w:bookmarkStart w:id="315" w:name="_Toc184313239"/>
      <w:bookmarkEnd w:id="315"/>
      <w:bookmarkStart w:id="316" w:name="_Toc184310310"/>
      <w:bookmarkEnd w:id="316"/>
      <w:bookmarkStart w:id="317" w:name="_Toc184310316"/>
      <w:bookmarkEnd w:id="317"/>
      <w:bookmarkStart w:id="318" w:name="_Toc184313260"/>
      <w:bookmarkEnd w:id="318"/>
      <w:bookmarkStart w:id="319" w:name="_Toc184312067"/>
      <w:bookmarkEnd w:id="319"/>
      <w:bookmarkStart w:id="320" w:name="_Toc184314425"/>
      <w:bookmarkEnd w:id="320"/>
      <w:bookmarkStart w:id="321" w:name="_Toc184313246"/>
      <w:bookmarkEnd w:id="321"/>
      <w:bookmarkStart w:id="322" w:name="_Toc184308050"/>
      <w:bookmarkEnd w:id="322"/>
      <w:bookmarkStart w:id="323" w:name="_Toc184308105"/>
      <w:bookmarkEnd w:id="323"/>
      <w:bookmarkStart w:id="324" w:name="_Toc184314422"/>
      <w:bookmarkEnd w:id="324"/>
      <w:bookmarkStart w:id="325" w:name="_Toc184308038"/>
      <w:bookmarkEnd w:id="325"/>
      <w:bookmarkStart w:id="326" w:name="_Toc184312073"/>
      <w:bookmarkEnd w:id="326"/>
      <w:bookmarkStart w:id="327" w:name="_Toc184313278"/>
      <w:bookmarkEnd w:id="327"/>
      <w:bookmarkStart w:id="328" w:name="_Toc184312117"/>
      <w:bookmarkEnd w:id="328"/>
      <w:bookmarkStart w:id="329" w:name="_Toc184312068"/>
      <w:bookmarkEnd w:id="329"/>
      <w:bookmarkStart w:id="330" w:name="_Toc184314415"/>
      <w:bookmarkEnd w:id="330"/>
      <w:bookmarkStart w:id="331" w:name="_Toc184312122"/>
      <w:bookmarkEnd w:id="331"/>
      <w:bookmarkStart w:id="332" w:name="_Toc184310325"/>
      <w:bookmarkEnd w:id="332"/>
      <w:bookmarkStart w:id="333" w:name="_Toc184313254"/>
      <w:bookmarkEnd w:id="333"/>
      <w:bookmarkStart w:id="334" w:name="_Toc184312127"/>
      <w:bookmarkEnd w:id="334"/>
      <w:bookmarkStart w:id="335" w:name="_Toc184308077"/>
      <w:bookmarkEnd w:id="335"/>
      <w:bookmarkStart w:id="336" w:name="_Toc184314420"/>
      <w:bookmarkEnd w:id="336"/>
      <w:bookmarkStart w:id="337" w:name="_Toc184308090"/>
      <w:bookmarkEnd w:id="337"/>
      <w:bookmarkStart w:id="338" w:name="_Toc184308041"/>
      <w:bookmarkEnd w:id="338"/>
      <w:bookmarkStart w:id="339" w:name="_Toc184313243"/>
      <w:bookmarkEnd w:id="339"/>
      <w:bookmarkStart w:id="340" w:name="_Toc184313267"/>
      <w:bookmarkEnd w:id="340"/>
      <w:bookmarkStart w:id="341" w:name="_Toc184314412"/>
      <w:bookmarkEnd w:id="341"/>
      <w:bookmarkStart w:id="342" w:name="_Toc184313266"/>
      <w:bookmarkEnd w:id="342"/>
      <w:bookmarkStart w:id="343" w:name="_Toc184312138"/>
      <w:bookmarkEnd w:id="343"/>
      <w:bookmarkStart w:id="344" w:name="_Toc184308085"/>
      <w:bookmarkEnd w:id="344"/>
      <w:bookmarkStart w:id="345" w:name="_Toc184310272"/>
      <w:bookmarkEnd w:id="345"/>
      <w:bookmarkStart w:id="346" w:name="_Toc184308095"/>
      <w:bookmarkEnd w:id="346"/>
      <w:bookmarkStart w:id="347" w:name="_Toc184314437"/>
      <w:bookmarkEnd w:id="347"/>
      <w:bookmarkStart w:id="348" w:name="_Toc184312112"/>
      <w:bookmarkEnd w:id="348"/>
      <w:bookmarkStart w:id="349" w:name="_Toc184313259"/>
      <w:bookmarkEnd w:id="349"/>
      <w:bookmarkStart w:id="350" w:name="_Toc184313276"/>
      <w:bookmarkEnd w:id="350"/>
      <w:bookmarkStart w:id="351" w:name="_Toc184314433"/>
      <w:bookmarkEnd w:id="351"/>
      <w:bookmarkStart w:id="352" w:name="_Toc184313257"/>
      <w:bookmarkEnd w:id="352"/>
      <w:bookmarkStart w:id="353" w:name="_Toc184308108"/>
      <w:bookmarkEnd w:id="353"/>
      <w:bookmarkStart w:id="354" w:name="_Toc184314480"/>
      <w:bookmarkEnd w:id="354"/>
      <w:bookmarkStart w:id="355" w:name="_Toc184314451"/>
      <w:bookmarkEnd w:id="355"/>
      <w:bookmarkStart w:id="356" w:name="_Toc184312095"/>
      <w:bookmarkEnd w:id="356"/>
      <w:bookmarkStart w:id="357" w:name="_Toc184314459"/>
      <w:bookmarkEnd w:id="357"/>
      <w:bookmarkStart w:id="358" w:name="_Toc184314427"/>
      <w:bookmarkEnd w:id="358"/>
      <w:bookmarkStart w:id="359" w:name="_Toc184313263"/>
      <w:bookmarkEnd w:id="359"/>
      <w:bookmarkStart w:id="360" w:name="_Toc184313269"/>
      <w:bookmarkEnd w:id="360"/>
      <w:bookmarkStart w:id="361" w:name="_Toc184310305"/>
      <w:bookmarkEnd w:id="361"/>
      <w:bookmarkStart w:id="362" w:name="_Toc184310296"/>
      <w:bookmarkEnd w:id="362"/>
      <w:bookmarkStart w:id="363" w:name="_Toc184310335"/>
      <w:bookmarkEnd w:id="363"/>
      <w:bookmarkStart w:id="364" w:name="_Toc184308049"/>
      <w:bookmarkEnd w:id="364"/>
      <w:bookmarkStart w:id="365" w:name="_Toc184310283"/>
      <w:bookmarkEnd w:id="365"/>
      <w:bookmarkStart w:id="366" w:name="_Toc184312102"/>
      <w:bookmarkEnd w:id="366"/>
      <w:bookmarkStart w:id="367" w:name="_Toc184313238"/>
      <w:bookmarkEnd w:id="367"/>
      <w:bookmarkStart w:id="368" w:name="_Toc184313306"/>
      <w:bookmarkEnd w:id="368"/>
      <w:bookmarkStart w:id="369" w:name="_Toc184313285"/>
      <w:bookmarkEnd w:id="369"/>
      <w:bookmarkStart w:id="370" w:name="_Toc184312105"/>
      <w:bookmarkEnd w:id="370"/>
      <w:bookmarkStart w:id="371" w:name="_Toc184313288"/>
      <w:bookmarkEnd w:id="371"/>
      <w:bookmarkStart w:id="372" w:name="_Toc184313280"/>
      <w:bookmarkEnd w:id="372"/>
      <w:bookmarkStart w:id="373" w:name="_Toc184313286"/>
      <w:bookmarkEnd w:id="373"/>
      <w:bookmarkStart w:id="374" w:name="_Toc184310312"/>
      <w:bookmarkEnd w:id="374"/>
      <w:bookmarkStart w:id="375" w:name="_Toc184312118"/>
      <w:bookmarkEnd w:id="375"/>
      <w:bookmarkStart w:id="376" w:name="_Toc184312137"/>
      <w:bookmarkEnd w:id="376"/>
      <w:bookmarkStart w:id="377" w:name="_Toc184312072"/>
      <w:bookmarkEnd w:id="377"/>
      <w:bookmarkStart w:id="378" w:name="_Toc184314413"/>
      <w:bookmarkEnd w:id="378"/>
      <w:bookmarkStart w:id="379" w:name="_Toc184314445"/>
      <w:bookmarkEnd w:id="379"/>
      <w:bookmarkStart w:id="380" w:name="_Toc184312107"/>
      <w:bookmarkEnd w:id="380"/>
      <w:bookmarkStart w:id="381" w:name="_Toc184310290"/>
      <w:bookmarkEnd w:id="381"/>
      <w:bookmarkStart w:id="382" w:name="_Toc184312109"/>
      <w:bookmarkEnd w:id="382"/>
      <w:bookmarkStart w:id="383" w:name="_Toc184312094"/>
      <w:bookmarkEnd w:id="383"/>
      <w:bookmarkStart w:id="384" w:name="_Toc184310299"/>
      <w:bookmarkEnd w:id="384"/>
      <w:bookmarkStart w:id="385" w:name="_Toc184310287"/>
      <w:bookmarkEnd w:id="385"/>
      <w:bookmarkStart w:id="386" w:name="_Toc184308106"/>
      <w:bookmarkEnd w:id="386"/>
      <w:bookmarkStart w:id="387" w:name="_Toc184314446"/>
      <w:bookmarkEnd w:id="387"/>
      <w:bookmarkStart w:id="388" w:name="_Toc184313271"/>
      <w:bookmarkEnd w:id="388"/>
      <w:bookmarkStart w:id="389" w:name="_Toc184308048"/>
      <w:bookmarkEnd w:id="389"/>
      <w:bookmarkStart w:id="390" w:name="_Toc184314474"/>
      <w:bookmarkEnd w:id="390"/>
      <w:bookmarkStart w:id="391" w:name="_Toc184310285"/>
      <w:bookmarkEnd w:id="391"/>
      <w:bookmarkStart w:id="392" w:name="_Toc184310328"/>
      <w:bookmarkEnd w:id="392"/>
      <w:r>
        <w:rPr>
          <w:rFonts w:hint="eastAsia" w:ascii="仿宋_GB2312" w:hAnsi="仿宋_GB2312" w:eastAsia="仿宋_GB2312" w:cs="仿宋_GB2312"/>
          <w:b/>
          <w:color w:val="auto"/>
          <w:sz w:val="36"/>
          <w:szCs w:val="36"/>
          <w:highlight w:val="none"/>
        </w:rPr>
        <w:t>评标办法</w:t>
      </w:r>
    </w:p>
    <w:p>
      <w:pPr>
        <w:snapToGrid w:val="0"/>
        <w:spacing w:line="360" w:lineRule="auto"/>
        <w:jc w:val="center"/>
        <w:rPr>
          <w:rFonts w:hint="eastAsia"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tbl>
      <w:tblPr>
        <w:tblStyle w:val="6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576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技术部分（87分）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highlight w:val="none"/>
              </w:rPr>
            </w:pPr>
            <w:r>
              <w:rPr>
                <w:rFonts w:hint="eastAsia" w:ascii="仿宋" w:hAnsi="仿宋" w:eastAsia="仿宋" w:cs="仿宋"/>
                <w:b/>
                <w:bCs/>
                <w:i w:val="0"/>
                <w:iCs w:val="0"/>
                <w:color w:val="000000"/>
                <w:kern w:val="0"/>
                <w:sz w:val="24"/>
                <w:szCs w:val="24"/>
                <w:highlight w:val="none"/>
                <w:u w:val="none"/>
                <w:lang w:val="en-US" w:eastAsia="zh-CN"/>
              </w:rPr>
              <w:t>评分细则</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highlight w:val="none"/>
              </w:rPr>
            </w:pPr>
            <w:r>
              <w:rPr>
                <w:rFonts w:hint="eastAsia" w:ascii="仿宋" w:hAnsi="仿宋" w:eastAsia="仿宋" w:cs="仿宋"/>
                <w:b/>
                <w:bCs/>
                <w:i w:val="0"/>
                <w:iCs w:val="0"/>
                <w:color w:val="000000"/>
                <w:kern w:val="0"/>
                <w:sz w:val="24"/>
                <w:szCs w:val="24"/>
                <w:highlight w:val="none"/>
                <w:u w:val="none"/>
                <w:lang w:val="en-US" w:eastAsia="zh-CN"/>
              </w:rPr>
              <w:t>评分细则内容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 w:val="24"/>
                <w:szCs w:val="24"/>
                <w:highlight w:val="none"/>
              </w:rPr>
            </w:pPr>
            <w:r>
              <w:rPr>
                <w:rFonts w:hint="eastAsia" w:ascii="仿宋" w:hAnsi="仿宋" w:eastAsia="仿宋" w:cs="仿宋"/>
                <w:b/>
                <w:bCs/>
                <w:i w:val="0"/>
                <w:iCs w:val="0"/>
                <w:color w:val="000000"/>
                <w:kern w:val="0"/>
                <w:sz w:val="24"/>
                <w:szCs w:val="24"/>
                <w:highlight w:val="none"/>
                <w:u w:val="none"/>
                <w:lang w:val="en-US" w:eastAsia="zh-CN"/>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1.项目负责人、管理员素质（7分）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1.项目负责人为本单位社保在缴员工，工作履历中具有3个月及以上数字城管信息采集管理经验的得2分（提供劳动合同、公司出具加盖公章的工作经验证明）</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2.具有大专及以上学历得2分。（提供学历证书复印件）</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管理员为本单位社保在缴员工，工作履历中具有3个月及以上数字城管信息采集从业经验且具有大专及以上学历，其中团队人员3人及以上的得3分，少1人扣1分。【需提供劳动合同合同复印件及学历证书等证明材料，</w:t>
            </w:r>
            <w:r>
              <w:rPr>
                <w:rFonts w:hint="eastAsia" w:ascii="仿宋" w:hAnsi="仿宋" w:eastAsia="仿宋" w:cs="仿宋"/>
                <w:sz w:val="24"/>
                <w:szCs w:val="24"/>
                <w:highlight w:val="none"/>
              </w:rPr>
              <w:t>管理团队需</w:t>
            </w:r>
            <w:r>
              <w:rPr>
                <w:rFonts w:hint="eastAsia" w:ascii="仿宋" w:hAnsi="仿宋" w:eastAsia="仿宋" w:cs="仿宋"/>
                <w:sz w:val="24"/>
                <w:szCs w:val="24"/>
                <w:highlight w:val="none"/>
                <w:lang w:val="en-US" w:eastAsia="zh-CN"/>
              </w:rPr>
              <w:t>提供工作经验简介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并加盖投标单位公章</w:t>
            </w:r>
            <w:r>
              <w:rPr>
                <w:rFonts w:hint="eastAsia" w:ascii="仿宋" w:hAnsi="仿宋" w:eastAsia="仿宋" w:cs="仿宋"/>
                <w:sz w:val="24"/>
                <w:szCs w:val="24"/>
                <w:highlight w:val="none"/>
                <w:lang w:val="en-US" w:eastAsia="zh-CN"/>
              </w:rPr>
              <w:t>】</w:t>
            </w:r>
          </w:p>
          <w:p>
            <w:pPr>
              <w:rPr>
                <w:rFonts w:hint="eastAsia" w:ascii="仿宋" w:hAnsi="仿宋" w:eastAsia="仿宋" w:cs="仿宋"/>
                <w:sz w:val="24"/>
                <w:szCs w:val="24"/>
                <w:highlight w:val="none"/>
                <w:lang w:val="en-US" w:eastAsia="zh-CN"/>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2.项目启动能力(8分)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1.项目实施进度表，项目启动措施，项目启动保障方案合理可行（0-5分：项目实施进度合理的0-1分，人员招募措施合理的得0-2分，启动保障方案合理的得0-2分）。</w:t>
            </w:r>
          </w:p>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2.项目交接方案详细得2分，一般得1分，交接方案不具实际可行性的不得分；（0-2分）。</w:t>
            </w:r>
          </w:p>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3.承诺项目团队不在其他项目内兼职（1分）。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3.内部管理能力（8分）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1.实行层级管理体系，管理岗位设置科学、分工明确，各管理岗位人员配置数量合理（0-2分）。</w:t>
            </w:r>
          </w:p>
        </w:tc>
        <w:tc>
          <w:tcPr>
            <w:tcW w:w="126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2.制定管理制度，包括行为规范、行政制度、岗位制度合理可行（0-2分）。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3.制定各岗位考核办法，考核办法包括：采集员考核办法、管理员及项目负责人考核办法，考核方案详细得2分，一般得1分，考核办法不具实际可行性的不得分（0-2分）。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4.承诺为员工购买 “五险一金”和交通意外险（1分）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5.承诺员工工资月均实际收入不低于当年杭州市最低工资标准数额（1分）。</w:t>
            </w:r>
          </w:p>
        </w:tc>
        <w:tc>
          <w:tcPr>
            <w:tcW w:w="12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trPr>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rPr>
              <w:t>4.业务实施能力（22分）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1.制定有效的信息采集实施方案，采集人员组成结构符合采购需求（0-7分：方案合理详细得5分，一般得3分，不符合需求不得分；</w:t>
            </w:r>
            <w:r>
              <w:rPr>
                <w:rFonts w:hint="eastAsia" w:ascii="仿宋" w:hAnsi="仿宋" w:eastAsia="仿宋" w:cs="仿宋"/>
                <w:sz w:val="24"/>
                <w:szCs w:val="24"/>
                <w:highlight w:val="none"/>
                <w:shd w:val="clear" w:color="auto" w:fill="auto"/>
                <w:lang w:val="en-US" w:eastAsia="zh-CN"/>
              </w:rPr>
              <w:t>承诺聘用具有3个月以上信息采集经验的采集员人数不少于30%的得1分，需提供承诺书；承诺招募的采集员学历、年龄结构符合需求得1分</w:t>
            </w:r>
            <w:r>
              <w:rPr>
                <w:rFonts w:hint="eastAsia" w:ascii="仿宋" w:hAnsi="仿宋" w:eastAsia="仿宋" w:cs="仿宋"/>
                <w:sz w:val="24"/>
                <w:szCs w:val="24"/>
                <w:highlight w:val="none"/>
                <w:lang w:val="en-US" w:eastAsia="zh-CN"/>
              </w:rPr>
              <w:t>）。</w:t>
            </w:r>
          </w:p>
        </w:tc>
        <w:tc>
          <w:tcPr>
            <w:tcW w:w="126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highlight w:val="none"/>
                <w:u w:val="none"/>
                <w:lang w:val="en-US" w:eastAsia="zh-CN"/>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2.项目所需的车辆、工具符合采购需求（0-5分：车辆配备符合需求的得0-2分；应急维护工具、井盖开启工具配备符合需求的得0-3分）。</w:t>
            </w:r>
          </w:p>
        </w:tc>
        <w:tc>
          <w:tcPr>
            <w:tcW w:w="1260"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3.根据道路等级、巡查密度要求，合理划分采集员巡查网格（0-3分：采集区域内道路、绿地、河道巡查频率设置合理的得0-1分；采集区域内各巡查网格划分合理的得0-2分）。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4.单个采集员、机动车巡查方案；线缆、井盖、地下管线产权确认方案；应急维护及轻微问题处置方案（0-7分：单个采集员、机动车巡查方案合理的得0-2分；单个采集员、机动车巡查信息采集设备</w:t>
            </w:r>
            <w:r>
              <w:rPr>
                <w:rFonts w:hint="eastAsia" w:ascii="仿宋" w:hAnsi="仿宋" w:eastAsia="仿宋" w:cs="仿宋"/>
                <w:sz w:val="24"/>
                <w:szCs w:val="24"/>
                <w:highlight w:val="none"/>
                <w:shd w:val="clear" w:color="auto" w:fill="auto"/>
                <w:lang w:val="en-US" w:eastAsia="zh-CN"/>
              </w:rPr>
              <w:t>符合要求（需提供设备证明材料及使用方案）0-2分</w:t>
            </w:r>
            <w:r>
              <w:rPr>
                <w:rFonts w:hint="eastAsia" w:ascii="仿宋" w:hAnsi="仿宋" w:eastAsia="仿宋" w:cs="仿宋"/>
                <w:sz w:val="24"/>
                <w:szCs w:val="24"/>
                <w:highlight w:val="none"/>
                <w:lang w:val="en-US" w:eastAsia="zh-CN"/>
              </w:rPr>
              <w:t>；线缆井盖、地下管线产权确认方案合理的得0-1分；应急维护及轻微问题处置方案合理的得0-2分）。</w:t>
            </w:r>
          </w:p>
        </w:tc>
        <w:tc>
          <w:tcPr>
            <w:tcW w:w="126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5.设备管理能力（8分）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1.配置足额信息采集器，数据流量配置方案合理可行（0-4分，采集器参数、数量配备合理的得0-2分，采集器流量配置合理的得0-2分）。</w:t>
            </w:r>
          </w:p>
        </w:tc>
        <w:tc>
          <w:tcPr>
            <w:tcW w:w="126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2.采集器及数据网络的故障维护、报修方案详细得2分，一般得1分，不符合需求不得分（0-2分，采集器日常维护、替换方案合理的得0-1分，采集器数据网络报修、替换方案合理的得0-1分）。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3.办公场所配备必要的办公设备，落实临时供电、网络保障方案（0-2分）。</w:t>
            </w:r>
          </w:p>
        </w:tc>
        <w:tc>
          <w:tcPr>
            <w:tcW w:w="126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6.质量管理能力（12分）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1.控制市民热线投诉漏报量（0-3分，热线投诉漏报内控方案合理可行0-2分，校核方案合理可行0-1分）。</w:t>
            </w:r>
          </w:p>
        </w:tc>
        <w:tc>
          <w:tcPr>
            <w:tcW w:w="126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2.控制上级行业部门暗访漏报量（0-3分，上级行业部门暗访漏报内控方案合理可行0-2分，校核方案合理可行0-1分）。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3.控制差错件数量（0-3分，立案、结案内控方案详细得2分，一般得1分，不符合需求不得分；校核方案合理可行0-1分）。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4.开展优秀案例、先进事迹宣传（0-3分，宣传方案合理可行0-2分，宣传人员配备合理的得0-1分）。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7.员工培训能力（7分）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1.培训内容合理，理论学习与实践结合紧密（0-2分）。</w:t>
            </w:r>
          </w:p>
        </w:tc>
        <w:tc>
          <w:tcPr>
            <w:tcW w:w="1260"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2.培训时间及培训方式清晰。对员工培训方式、培训时间合理可行（0-3分）。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3.承诺持证上岗。落实工岗前培训制度，承诺新任职员工培训考核不合格不单独上岗（2分）。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8.应急保障能力（5分）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1.有数字城管运行服务保障应急预案，路面突发情况的应急维护方案。方案详细得2分，一般得1分，不符合需求不得分（0-2分）。</w:t>
            </w:r>
          </w:p>
        </w:tc>
        <w:tc>
          <w:tcPr>
            <w:tcW w:w="1260"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2.有路面轻微坑洞应急处置方案，处置流程合理可行（0-1）。</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3.组建极端天气、重大保障工作的应急保障力量（车辆型号及数量、人员年龄结构等）合理可行（0-2分）。</w:t>
            </w:r>
          </w:p>
        </w:tc>
        <w:tc>
          <w:tcPr>
            <w:tcW w:w="126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908" w:type="dxa"/>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9.对所投标项的理解，以及解决方案合理化建议（5分）</w:t>
            </w:r>
          </w:p>
        </w:tc>
        <w:tc>
          <w:tcPr>
            <w:tcW w:w="576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对本标段片区数字城管信息采集服务方面的现状调研、问题解析及针对性实施解决方案进行准确分析阐述，并针对性的提出合理建议（0-2）。</w:t>
            </w:r>
          </w:p>
          <w:p>
            <w:pPr>
              <w:pStyle w:val="2"/>
              <w:numPr>
                <w:ilvl w:val="-1"/>
                <w:numId w:val="0"/>
              </w:numPr>
              <w:ind w:lef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拥有员工工资正常发放资金保障方案，合理可行（0-3）.</w:t>
            </w:r>
          </w:p>
        </w:tc>
        <w:tc>
          <w:tcPr>
            <w:tcW w:w="1260" w:type="dxa"/>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8" w:hRule="atLeast"/>
        </w:trPr>
        <w:tc>
          <w:tcPr>
            <w:tcW w:w="1908"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10.投标人提出的其他优惠条件和承诺（5分）。</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提出的人员配备数量、员工工资待遇保障、巡查车辆性能及配备数量、信息采集器，其他信息采集技术设备（无人机、移动巡查车）性能参数及数量等有实质性优惠承诺【承诺人员、车辆配备数量优于项目需求、员工工资待遇优于基本公资待遇的得0-3分（承诺函中载明人员、车辆、设备配备数量，明确优于需求内容的得0-2分），承诺人员工资、车辆、设施设备类型、性能、参数优于项目需求的得0-1分（须在承诺函中明确性能参数、数量等数据，否则不予计分】。</w:t>
            </w:r>
          </w:p>
          <w:p>
            <w:pPr>
              <w:widowControl/>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2.在招标人单位附近设立具备24小时备勤能力的售后服务点（0-2分）（已设立售后服务点的得0-1分；承诺落实24小时值班备勤方案的得0-1分）。</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892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8"/>
              <w:tabs>
                <w:tab w:val="left" w:pos="5851"/>
              </w:tabs>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资信部分（3分）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highlight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tcBorders>
              <w:top w:val="single" w:color="000000" w:sz="4" w:space="0"/>
              <w:left w:val="single" w:color="000000" w:sz="4" w:space="0"/>
              <w:bottom w:val="single" w:color="000000" w:sz="4" w:space="0"/>
              <w:right w:val="single" w:color="000000" w:sz="4" w:space="0"/>
            </w:tcBorders>
            <w:noWrap w:val="0"/>
            <w:vAlign w:val="top"/>
          </w:tcPr>
          <w:p>
            <w:pPr>
              <w:pStyle w:val="88"/>
              <w:tabs>
                <w:tab w:val="left" w:pos="5851"/>
              </w:tabs>
              <w:spacing w:before="0"/>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1.投标人认证情况（</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p>
        </w:tc>
        <w:tc>
          <w:tcPr>
            <w:tcW w:w="5760" w:type="dxa"/>
            <w:tcBorders>
              <w:top w:val="single" w:color="000000" w:sz="4" w:space="0"/>
              <w:left w:val="single" w:color="000000" w:sz="4" w:space="0"/>
              <w:bottom w:val="single" w:color="000000" w:sz="4" w:space="0"/>
              <w:right w:val="single" w:color="000000" w:sz="4" w:space="0"/>
            </w:tcBorders>
            <w:noWrap w:val="0"/>
            <w:vAlign w:val="top"/>
          </w:tcPr>
          <w:p>
            <w:pPr>
              <w:pStyle w:val="88"/>
              <w:tabs>
                <w:tab w:val="left" w:pos="5851"/>
              </w:tabs>
              <w:spacing w:before="0"/>
              <w:ind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投标人取得ISO9001质量管理体系认证、ISO14001环境管理体系认证、ISO45001职业健康安全管理体系认证，部分具备得1分，全部具备的得3分。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88"/>
              <w:tabs>
                <w:tab w:val="left" w:pos="5851"/>
              </w:tabs>
              <w:spacing w:before="0"/>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top"/>
          </w:tcPr>
          <w:p>
            <w:pPr>
              <w:rPr>
                <w:rFonts w:hint="eastAsia" w:ascii="仿宋" w:hAnsi="仿宋" w:eastAsia="仿宋" w:cs="仿宋"/>
                <w:sz w:val="24"/>
                <w:szCs w:val="24"/>
                <w:highlight w:val="none"/>
              </w:rPr>
            </w:pPr>
          </w:p>
        </w:tc>
        <w:tc>
          <w:tcPr>
            <w:tcW w:w="5760" w:type="dxa"/>
            <w:noWrap w:val="0"/>
            <w:vAlign w:val="top"/>
          </w:tcPr>
          <w:p>
            <w:pPr>
              <w:rPr>
                <w:rFonts w:hint="eastAsia" w:ascii="仿宋" w:hAnsi="仿宋" w:eastAsia="仿宋" w:cs="仿宋"/>
                <w:sz w:val="24"/>
                <w:szCs w:val="24"/>
                <w:highlight w:val="none"/>
              </w:rPr>
            </w:pPr>
          </w:p>
        </w:tc>
        <w:tc>
          <w:tcPr>
            <w:tcW w:w="1260" w:type="dxa"/>
            <w:noWrap w:val="0"/>
            <w:vAlign w:val="center"/>
          </w:tcPr>
          <w:p>
            <w:pPr>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top"/>
          </w:tcPr>
          <w:p>
            <w:pPr>
              <w:pStyle w:val="88"/>
              <w:tabs>
                <w:tab w:val="left" w:pos="5851"/>
              </w:tabs>
              <w:spacing w:before="0"/>
              <w:ind w:firstLine="0" w:firstLineChars="0"/>
              <w:rPr>
                <w:rFonts w:hint="eastAsia" w:ascii="仿宋" w:hAnsi="仿宋" w:eastAsia="仿宋" w:cs="仿宋"/>
                <w:sz w:val="24"/>
                <w:szCs w:val="24"/>
                <w:highlight w:val="none"/>
              </w:rPr>
            </w:pPr>
          </w:p>
        </w:tc>
        <w:tc>
          <w:tcPr>
            <w:tcW w:w="5760" w:type="dxa"/>
            <w:noWrap w:val="0"/>
            <w:vAlign w:val="top"/>
          </w:tcPr>
          <w:p>
            <w:pPr>
              <w:pStyle w:val="88"/>
              <w:tabs>
                <w:tab w:val="left" w:pos="5851"/>
              </w:tabs>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价格分（10分）</w:t>
            </w:r>
          </w:p>
        </w:tc>
        <w:tc>
          <w:tcPr>
            <w:tcW w:w="1260" w:type="dxa"/>
            <w:noWrap w:val="0"/>
            <w:vAlign w:val="center"/>
          </w:tcPr>
          <w:p>
            <w:pPr>
              <w:pStyle w:val="88"/>
              <w:tabs>
                <w:tab w:val="left" w:pos="5851"/>
              </w:tabs>
              <w:spacing w:before="0"/>
              <w:ind w:firstLine="0" w:firstLineChars="0"/>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top"/>
          </w:tcPr>
          <w:p>
            <w:pPr>
              <w:pStyle w:val="88"/>
              <w:tabs>
                <w:tab w:val="left" w:pos="5851"/>
              </w:tabs>
              <w:spacing w:before="0"/>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价格分</w:t>
            </w:r>
          </w:p>
        </w:tc>
        <w:tc>
          <w:tcPr>
            <w:tcW w:w="5760" w:type="dxa"/>
            <w:noWrap w:val="0"/>
            <w:vAlign w:val="top"/>
          </w:tcPr>
          <w:p>
            <w:pPr>
              <w:wordWrap/>
              <w:snapToGrid/>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pPr>
              <w:widowControl/>
              <w:shd w:val="clear" w:color="auto" w:fill="FFFFFF"/>
              <w:wordWrap/>
              <w:adjustRightInd/>
              <w:snapToGrid/>
              <w:spacing w:before="0" w:beforeAutospacing="0" w:after="225" w:afterAutospacing="0" w:line="360" w:lineRule="auto"/>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评标过程中，不得去掉报价中的最高报价和最低报价。</w:t>
            </w:r>
          </w:p>
          <w:p>
            <w:pPr>
              <w:pStyle w:val="88"/>
              <w:tabs>
                <w:tab w:val="left" w:pos="5851"/>
              </w:tabs>
              <w:spacing w:before="0"/>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1260" w:type="dxa"/>
            <w:noWrap w:val="0"/>
            <w:vAlign w:val="center"/>
          </w:tcPr>
          <w:p>
            <w:pPr>
              <w:pStyle w:val="88"/>
              <w:tabs>
                <w:tab w:val="left" w:pos="5851"/>
              </w:tabs>
              <w:spacing w:before="0"/>
              <w:ind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r>
    </w:tbl>
    <w:p>
      <w:pPr>
        <w:pStyle w:val="2"/>
        <w:rPr>
          <w:rFonts w:hint="eastAsia"/>
        </w:rPr>
      </w:pPr>
    </w:p>
    <w:p>
      <w:pPr>
        <w:snapToGrid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0"/>
          <w:szCs w:val="20"/>
          <w:highlight w:val="none"/>
          <w:shd w:val="clear" w:color="auto" w:fill="FFFFFF"/>
        </w:rPr>
        <w:t> *</w:t>
      </w: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一、评标方法</w:t>
      </w:r>
    </w:p>
    <w:p>
      <w:pPr>
        <w:adjustRightInd/>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pPr>
        <w:spacing w:line="360" w:lineRule="auto"/>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2.评标标准：</w:t>
      </w:r>
      <w:r>
        <w:rPr>
          <w:rFonts w:hint="eastAsia" w:ascii="仿宋_GB2312" w:hAnsi="仿宋_GB2312" w:eastAsia="仿宋_GB2312" w:cs="仿宋_GB2312"/>
          <w:color w:val="auto"/>
          <w:kern w:val="0"/>
          <w:sz w:val="24"/>
          <w:highlight w:val="none"/>
        </w:rPr>
        <w:t>见评标办法前附表。</w:t>
      </w:r>
    </w:p>
    <w:p>
      <w:pPr>
        <w:spacing w:line="360" w:lineRule="auto"/>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三、评标程序</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3.1符合性审查。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3.2 比较与评价。</w:t>
      </w:r>
      <w:r>
        <w:rPr>
          <w:rFonts w:hint="eastAsia" w:ascii="仿宋_GB2312" w:hAnsi="仿宋_GB2312" w:eastAsia="仿宋_GB2312" w:cs="仿宋_GB2312"/>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3.3汇总商务技术得分。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r>
        <w:rPr>
          <w:rFonts w:hint="eastAsia" w:ascii="仿宋_GB2312" w:hAnsi="仿宋_GB2312" w:eastAsia="仿宋_GB2312" w:cs="仿宋_GB2312"/>
          <w:b/>
          <w:color w:val="auto"/>
          <w:kern w:val="0"/>
          <w:sz w:val="24"/>
          <w:highlight w:val="none"/>
        </w:rPr>
        <w:t>（评标委员会各成员评分的算术平均值，保留两位小数，后一位四舍五入）</w:t>
      </w:r>
      <w:r>
        <w:rPr>
          <w:rFonts w:hint="eastAsia" w:ascii="仿宋_GB2312" w:hAnsi="仿宋_GB2312" w:eastAsia="仿宋_GB2312" w:cs="仿宋_GB2312"/>
          <w:color w:val="auto"/>
          <w:kern w:val="0"/>
          <w:sz w:val="24"/>
          <w:highlight w:val="none"/>
        </w:rPr>
        <w:t>。</w:t>
      </w:r>
    </w:p>
    <w:p>
      <w:pPr>
        <w:spacing w:line="360" w:lineRule="auto"/>
        <w:ind w:firstLine="472" w:firstLineChars="196"/>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3.4报价评审。</w:t>
      </w:r>
    </w:p>
    <w:p>
      <w:pPr>
        <w:pStyle w:val="88"/>
        <w:spacing w:before="0"/>
        <w:ind w:firstLine="508" w:firstLineChars="212"/>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3.4.1投标文件报价出现前后不一致的，按照下列规定修正：</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3.4.1.2大写金额和小写金额不一致的，以大写金额为准;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3.4.1.3单价金额小数点或者百分比有明显错位的，以开标一览表的总价为准，并修改单价;</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3.4.1.4总价金额与按单价汇总金额不一致的，以单价金额计算结果为准。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3.4.3投标报价超过招标文件中规定的预算金额或者最高限价的，投标无效。</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auto"/>
          <w:kern w:val="0"/>
          <w:szCs w:val="24"/>
          <w:highlight w:val="none"/>
          <w:lang w:val="en-US" w:eastAsia="zh-CN"/>
        </w:rPr>
        <w:t>2</w:t>
      </w:r>
      <w:r>
        <w:rPr>
          <w:rFonts w:hint="eastAsia" w:ascii="仿宋_GB2312" w:hAnsi="仿宋_GB2312" w:eastAsia="仿宋_GB2312" w:cs="仿宋_GB2312"/>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kern w:val="0"/>
          <w:szCs w:val="24"/>
          <w:highlight w:val="none"/>
          <w:lang w:val="en-US" w:eastAsia="zh-CN"/>
        </w:rPr>
        <w:t>6</w:t>
      </w:r>
      <w:r>
        <w:rPr>
          <w:rFonts w:hint="eastAsia" w:ascii="仿宋_GB2312" w:hAnsi="仿宋_GB2312" w:eastAsia="仿宋_GB2312" w:cs="仿宋_GB2312"/>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3.5排序与推荐。</w:t>
      </w:r>
      <w:r>
        <w:rPr>
          <w:rFonts w:hint="eastAsia" w:ascii="仿宋_GB2312" w:hAnsi="仿宋_GB2312" w:eastAsia="仿宋_GB2312" w:cs="仿宋_GB2312"/>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3.6编写评标报告。</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四、评标中的其他事项</w:t>
      </w:r>
    </w:p>
    <w:p>
      <w:pPr>
        <w:pStyle w:val="88"/>
        <w:spacing w:before="0"/>
        <w:ind w:firstLine="472" w:firstLineChars="196"/>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b/>
          <w:color w:val="auto"/>
          <w:kern w:val="0"/>
          <w:szCs w:val="24"/>
          <w:highlight w:val="none"/>
        </w:rPr>
        <w:t>4.1投标人澄清、说明或者补正。</w:t>
      </w:r>
      <w:r>
        <w:rPr>
          <w:rFonts w:hint="eastAsia" w:ascii="仿宋_GB2312" w:hAnsi="仿宋_GB2312" w:eastAsia="仿宋_GB2312" w:cs="仿宋_GB2312"/>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4.2投标无效。</w:t>
      </w:r>
      <w:r>
        <w:rPr>
          <w:rFonts w:hint="eastAsia" w:ascii="仿宋_GB2312" w:hAnsi="仿宋_GB2312" w:eastAsia="仿宋_GB2312" w:cs="仿宋_GB2312"/>
          <w:color w:val="auto"/>
          <w:szCs w:val="21"/>
          <w:highlight w:val="none"/>
        </w:rPr>
        <w:t>有下列情况之一的，投标无效：</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4.2.2投标文件未按照招标文件要求签署、盖章的；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4.2.4投标文件含有采购人不能接受的附加条件的；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4.2.5投标文件中承诺的投标有效期少于招标文件中载明的投标有效期的；</w:t>
      </w:r>
    </w:p>
    <w:p>
      <w:pPr>
        <w:snapToGrid/>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4.2.6投标文件出现不是唯一的、有选择性投标报价的;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4.2.7投标报价超过招标文件中规定的预算金额或者最高限价的;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4.2.9投标人对根据修正原则修正后的报价不确认的；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4.2.10投标人提供虚假材料投标的；</w:t>
      </w:r>
    </w:p>
    <w:p>
      <w:pPr>
        <w:spacing w:line="360" w:lineRule="auto"/>
        <w:ind w:firstLine="240" w:firstLineChars="1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4.2.12投标人仅提交备份投标文件，没有在电子交易平台传输递交投标文件的，投标无效；</w:t>
      </w:r>
    </w:p>
    <w:p>
      <w:pPr>
        <w:pStyle w:val="4"/>
        <w:ind w:left="862" w:leftChars="205"/>
        <w:rPr>
          <w:rFonts w:hint="eastAsia" w:ascii="仿宋_GB2312" w:hAnsi="仿宋_GB2312" w:eastAsia="仿宋_GB2312" w:cs="仿宋_GB2312"/>
          <w:b w:val="0"/>
          <w:bCs w:val="0"/>
          <w:color w:val="auto"/>
          <w:kern w:val="0"/>
          <w:sz w:val="24"/>
          <w:szCs w:val="24"/>
          <w:highlight w:val="none"/>
          <w:lang w:val="en-US"/>
        </w:rPr>
      </w:pPr>
      <w:r>
        <w:rPr>
          <w:rFonts w:hint="eastAsia" w:ascii="仿宋_GB2312" w:hAnsi="仿宋_GB2312" w:eastAsia="仿宋_GB2312" w:cs="仿宋_GB2312"/>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5.1符合专业条件的供应商或者对招标文件作实质响应的供应商不足3家的；</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5.2出现影响采购公正的违法、违规行为的；</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5.3投标人的报价均超过了采购预算，采购人不能支付的；</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5.4因重大变故，采购任务取消的。</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废标后，采购机构应当将废标理由通知所有投标人。</w:t>
      </w:r>
    </w:p>
    <w:p>
      <w:pPr>
        <w:pStyle w:val="26"/>
        <w:snapToGrid w:val="0"/>
        <w:spacing w:line="360" w:lineRule="auto"/>
        <w:ind w:firstLine="590" w:firstLineChars="245"/>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6.修改招标文件，重新组织采购活动。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7.重新开展采购。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7.4政府采购合同已经履行，给采购人、供应商造成损失的，由责任人承担赔偿责任。</w:t>
      </w:r>
    </w:p>
    <w:p>
      <w:pPr>
        <w:pStyle w:val="26"/>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仿宋_GB2312" w:hAnsi="仿宋_GB2312" w:eastAsia="仿宋_GB2312" w:cs="仿宋_GB2312"/>
          <w:color w:val="auto"/>
          <w:highlight w:val="none"/>
        </w:rPr>
      </w:pPr>
    </w:p>
    <w:bookmarkEnd w:id="26"/>
    <w:p>
      <w:pPr>
        <w:spacing w:line="360" w:lineRule="auto"/>
        <w:ind w:left="720" w:leftChars="343" w:firstLine="1084" w:firstLineChars="300"/>
        <w:outlineLvl w:val="0"/>
        <w:rPr>
          <w:rFonts w:hint="eastAsia" w:ascii="仿宋_GB2312" w:hAnsi="仿宋_GB2312" w:eastAsia="仿宋_GB2312" w:cs="仿宋_GB2312"/>
          <w:b/>
          <w:color w:val="auto"/>
          <w:sz w:val="36"/>
          <w:szCs w:val="36"/>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bookmarkStart w:id="393" w:name="第五部分"/>
      <w:bookmarkStart w:id="394" w:name="_Toc86217003"/>
    </w:p>
    <w:p>
      <w:pPr>
        <w:spacing w:line="360" w:lineRule="auto"/>
        <w:ind w:left="720" w:leftChars="343" w:firstLine="1084" w:firstLineChars="300"/>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第五部分拟签订的合同文本</w:t>
      </w:r>
    </w:p>
    <w:p>
      <w:pPr>
        <w:pStyle w:val="35"/>
        <w:snapToGrid w:val="0"/>
        <w:spacing w:line="400" w:lineRule="atLeast"/>
        <w:jc w:val="righ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合同编号：            </w:t>
      </w:r>
    </w:p>
    <w:p>
      <w:pPr>
        <w:pStyle w:val="35"/>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甲方：（买方）</w:t>
      </w:r>
    </w:p>
    <w:p>
      <w:pPr>
        <w:pStyle w:val="35"/>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乙方：（卖方）</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甲、乙双方基于               项目（项目编号：         ）的采购结果，根据《中国人民共和国合同法》等有关法律法规，经友好协商，在平等自愿的基础上签署本合同。</w:t>
      </w:r>
    </w:p>
    <w:p>
      <w:pPr>
        <w:adjustRightInd w:val="0"/>
        <w:snapToGrid w:val="0"/>
        <w:spacing w:line="360" w:lineRule="auto"/>
        <w:ind w:firstLine="360" w:firstLineChars="150"/>
        <w:rPr>
          <w:rFonts w:hint="eastAsia" w:ascii="仿宋_GB2312" w:hAnsi="仿宋_GB2312" w:eastAsia="仿宋_GB2312" w:cs="仿宋_GB2312"/>
          <w:color w:val="auto"/>
          <w:sz w:val="24"/>
          <w:szCs w:val="24"/>
          <w:highlight w:val="none"/>
        </w:rPr>
      </w:pP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第一条：采购合同价</w:t>
      </w:r>
      <w:r>
        <w:rPr>
          <w:rFonts w:hint="eastAsia" w:ascii="仿宋_GB2312" w:hAnsi="仿宋_GB2312" w:eastAsia="仿宋_GB2312" w:cs="仿宋_GB2312"/>
          <w:color w:val="auto"/>
          <w:sz w:val="24"/>
          <w:szCs w:val="24"/>
          <w:highlight w:val="none"/>
        </w:rPr>
        <w:t xml:space="preserve">：                           </w:t>
      </w:r>
    </w:p>
    <w:p>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本合同金额为</w:t>
      </w:r>
      <w:r>
        <w:rPr>
          <w:rFonts w:hint="eastAsia" w:ascii="仿宋_GB2312" w:hAnsi="仿宋_GB2312" w:eastAsia="仿宋_GB2312" w:cs="仿宋_GB2312"/>
          <w:color w:val="auto"/>
          <w:sz w:val="24"/>
          <w:szCs w:val="24"/>
          <w:highlight w:val="none"/>
          <w:u w:val="single"/>
        </w:rPr>
        <w:t>（大写）       元（￥     元）</w:t>
      </w:r>
      <w:r>
        <w:rPr>
          <w:rFonts w:hint="eastAsia" w:ascii="仿宋_GB2312" w:hAnsi="仿宋_GB2312" w:eastAsia="仿宋_GB2312" w:cs="仿宋_GB2312"/>
          <w:color w:val="auto"/>
          <w:sz w:val="24"/>
          <w:szCs w:val="24"/>
          <w:highlight w:val="none"/>
        </w:rPr>
        <w:t>人民币。</w:t>
      </w:r>
    </w:p>
    <w:p>
      <w:pPr>
        <w:adjustRightInd w:val="0"/>
        <w:snapToGrid w:val="0"/>
        <w:spacing w:line="360" w:lineRule="auto"/>
        <w:rPr>
          <w:rFonts w:hint="eastAsia" w:ascii="仿宋_GB2312" w:hAnsi="仿宋_GB2312" w:eastAsia="仿宋_GB2312" w:cs="仿宋_GB2312"/>
          <w:color w:val="auto"/>
          <w:sz w:val="24"/>
          <w:szCs w:val="24"/>
          <w:highlight w:val="none"/>
        </w:rPr>
      </w:pPr>
    </w:p>
    <w:p>
      <w:pPr>
        <w:adjustRightInd w:val="0"/>
        <w:snapToGrid w:val="0"/>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z w:val="24"/>
          <w:szCs w:val="24"/>
          <w:highlight w:val="none"/>
        </w:rPr>
        <w:t>第二条：</w:t>
      </w:r>
      <w:r>
        <w:rPr>
          <w:rFonts w:hint="eastAsia" w:ascii="仿宋_GB2312" w:hAnsi="仿宋_GB2312" w:eastAsia="仿宋_GB2312" w:cs="仿宋_GB2312"/>
          <w:b/>
          <w:bCs/>
          <w:color w:val="auto"/>
          <w:sz w:val="24"/>
          <w:szCs w:val="24"/>
          <w:highlight w:val="none"/>
        </w:rPr>
        <w:t>服务范围及工作要求：</w:t>
      </w:r>
    </w:p>
    <w:p>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第三条：履约保证金</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乙方应向甲方缴纳合同金额</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 的履约保证金，如乙方不按合同履约，则履约保证金作为违约金不予退还。履约保证金不足以赔偿实际损失的，按实际损失赔偿。履约保证金在项目全部完成并验收合格后，全额无息退还。</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第四条：转包或分包</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1、本合同范围的服务，应由乙方直接实施，不得转让他人实施。</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2、如有转让和未经甲方同意的分包行为，甲方有权解除合同，履约保证金不予退还并追究乙方的违约责任。</w:t>
      </w:r>
    </w:p>
    <w:p>
      <w:pPr>
        <w:pStyle w:val="169"/>
        <w:adjustRightInd w:val="0"/>
        <w:snapToGrid w:val="0"/>
        <w:spacing w:line="36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第五条：服务期</w:t>
      </w:r>
    </w:p>
    <w:p>
      <w:pPr>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yellow"/>
          <w:lang w:val="en-US" w:eastAsia="zh-CN"/>
        </w:rPr>
        <w:t>1</w:t>
      </w:r>
      <w:r>
        <w:rPr>
          <w:rFonts w:hint="eastAsia" w:ascii="仿宋_GB2312" w:hAnsi="仿宋_GB2312" w:eastAsia="仿宋_GB2312" w:cs="仿宋_GB2312"/>
          <w:color w:val="auto"/>
          <w:sz w:val="24"/>
          <w:szCs w:val="24"/>
          <w:highlight w:val="yellow"/>
        </w:rPr>
        <w:t>年</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bookmarkStart w:id="395" w:name="_Toc482341668"/>
      <w:r>
        <w:rPr>
          <w:rFonts w:hint="eastAsia" w:ascii="仿宋_GB2312" w:hAnsi="仿宋_GB2312" w:eastAsia="仿宋_GB2312" w:cs="仿宋_GB2312"/>
          <w:b/>
          <w:color w:val="auto"/>
          <w:kern w:val="2"/>
          <w:sz w:val="24"/>
          <w:szCs w:val="24"/>
          <w:highlight w:val="none"/>
          <w:lang w:eastAsia="zh-CN"/>
        </w:rPr>
        <w:t>第六条：合同履行时间及履行地点</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1、履行时间：合同签订之日起至20   年   月   日，完成全部服务内容。</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2、履行地点：甲方指定地点。</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第七条：款项支付</w:t>
      </w:r>
    </w:p>
    <w:p>
      <w:pPr>
        <w:pStyle w:val="169"/>
        <w:adjustRightInd w:val="0"/>
        <w:snapToGrid w:val="0"/>
        <w:spacing w:line="360" w:lineRule="auto"/>
        <w:ind w:firstLine="241" w:firstLineChars="100"/>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第八条：税费</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本合同执行中相关的一切税费均由乙方负担。</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第九条：服务保证及后续服务</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1、乙方应按采购文件规定向甲方提供服务。</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2、乙方提供的服务成果在服务质量保证期内发生差错，乙方应负责免费更正并提供后续服务。对达不到要求者，根据实际情况，经双方协商，可按以下办法处理：</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（1）重做：由乙方承担所发生的全部费用。</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（2）贬值处理：由甲、乙双方合议定价。</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（3）解除合同。</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3、如在实施过程中发生问题，乙方在接到甲方通知后</w:t>
      </w:r>
      <w:r>
        <w:rPr>
          <w:rFonts w:hint="eastAsia" w:ascii="仿宋_GB2312" w:hAnsi="仿宋_GB2312" w:eastAsia="仿宋_GB2312" w:cs="仿宋_GB2312"/>
          <w:color w:val="auto"/>
          <w:kern w:val="2"/>
          <w:sz w:val="24"/>
          <w:szCs w:val="24"/>
          <w:highlight w:val="none"/>
          <w:u w:val="single"/>
          <w:lang w:eastAsia="zh-CN"/>
        </w:rPr>
        <w:t xml:space="preserve">   </w:t>
      </w:r>
      <w:r>
        <w:rPr>
          <w:rFonts w:hint="eastAsia" w:ascii="仿宋_GB2312" w:hAnsi="仿宋_GB2312" w:eastAsia="仿宋_GB2312" w:cs="仿宋_GB2312"/>
          <w:color w:val="auto"/>
          <w:kern w:val="2"/>
          <w:sz w:val="24"/>
          <w:szCs w:val="24"/>
          <w:highlight w:val="none"/>
          <w:lang w:eastAsia="zh-CN"/>
        </w:rPr>
        <w:t>小时内到达甲方指定现场处理。</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4、在服务质量保证期内，乙方应对出现的全部问题负责处理解决并承担一切费用。</w:t>
      </w:r>
    </w:p>
    <w:p>
      <w:pPr>
        <w:pStyle w:val="169"/>
        <w:adjustRightInd w:val="0"/>
        <w:snapToGrid w:val="0"/>
        <w:spacing w:line="360" w:lineRule="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第十条：违约责任</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1、甲方无正当理由拒绝接受服务的，甲方向乙方偿付合同款项百分之五作为违约金。</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2、甲方无故逾期验收和办理款项支付手续的，甲方应按逾期付款总额每日万分之五向乙方支付违约金。</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3、乙方未能如期提供服务的，甲方可相应扣除质量保证金直至全部扣除，如多次发生服务质量问题，甲方有权利解除合同。造成甲方损失超过违约金的，超出部分由乙方继续承担赔偿责任。</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第十一条：不可抗力事件处理</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1、在合同有效期内，任何一方因不可抗力事件导致不能履行合同，则合同履行期可延长，其延长期与不可抗力影响期相同。</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2、不可抗力事件发生后，应立即通知对方，并寄送有关权威机构出具的证明。</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3、不可抗力事件延续120天以上，双方应通过友好协商，确定是否继续履行合同。</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第十二条：仲裁</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 合同在履行过程中发生争议时，甲方与乙方及时协商解决。协商不成时，提请杭州市仲裁委员会根据仲裁规则仲裁。</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 对于因违反或终止合同而引起的损失、损害的赔偿，由甲方与乙方友好协商解决，经协商仍未能达成一致的，提交杭州市仲裁委员会仲裁。</w:t>
      </w:r>
    </w:p>
    <w:p>
      <w:pPr>
        <w:pStyle w:val="169"/>
        <w:adjustRightInd w:val="0"/>
        <w:snapToGrid w:val="0"/>
        <w:spacing w:line="360" w:lineRule="auto"/>
        <w:rPr>
          <w:rFonts w:hint="eastAsia" w:ascii="仿宋_GB2312" w:hAnsi="仿宋_GB2312" w:eastAsia="仿宋_GB2312" w:cs="仿宋_GB2312"/>
          <w:b/>
          <w:color w:val="auto"/>
          <w:kern w:val="2"/>
          <w:sz w:val="24"/>
          <w:szCs w:val="24"/>
          <w:highlight w:val="none"/>
          <w:lang w:eastAsia="zh-CN"/>
        </w:rPr>
      </w:pPr>
      <w:r>
        <w:rPr>
          <w:rFonts w:hint="eastAsia" w:ascii="仿宋_GB2312" w:hAnsi="仿宋_GB2312" w:eastAsia="仿宋_GB2312" w:cs="仿宋_GB2312"/>
          <w:b/>
          <w:color w:val="auto"/>
          <w:kern w:val="2"/>
          <w:sz w:val="24"/>
          <w:szCs w:val="24"/>
          <w:highlight w:val="none"/>
          <w:lang w:eastAsia="zh-CN"/>
        </w:rPr>
        <w:t>第十三条：合同生效及其它</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1、合同经双方法定代表人或授权代表签字并加盖单位公章后生效。</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2、本合同未尽事宜，遵照《合同法》有关条文执行。</w:t>
      </w:r>
    </w:p>
    <w:p>
      <w:pPr>
        <w:pStyle w:val="169"/>
        <w:adjustRightInd w:val="0"/>
        <w:snapToGrid w:val="0"/>
        <w:spacing w:line="360" w:lineRule="auto"/>
        <w:ind w:left="-134" w:leftChars="-64" w:firstLine="480" w:firstLineChars="200"/>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3、本合同正本一式肆份，具有同等法律效力，甲、乙双方各执贰份。</w:t>
      </w:r>
    </w:p>
    <w:p>
      <w:pPr>
        <w:spacing w:line="360" w:lineRule="auto"/>
        <w:ind w:firstLine="480" w:firstLineChars="200"/>
        <w:rPr>
          <w:rFonts w:hint="eastAsia" w:ascii="仿宋_GB2312" w:hAnsi="仿宋_GB2312" w:eastAsia="仿宋_GB2312" w:cs="仿宋_GB2312"/>
          <w:color w:val="auto"/>
          <w:sz w:val="24"/>
          <w:szCs w:val="24"/>
          <w:highlight w:val="none"/>
        </w:rPr>
      </w:pPr>
    </w:p>
    <w:p>
      <w:pPr>
        <w:spacing w:line="360" w:lineRule="auto"/>
        <w:ind w:firstLine="480" w:firstLineChars="200"/>
        <w:rPr>
          <w:rFonts w:hint="eastAsia" w:ascii="仿宋_GB2312" w:hAnsi="仿宋_GB2312" w:eastAsia="仿宋_GB2312" w:cs="仿宋_GB2312"/>
          <w:color w:val="auto"/>
          <w:sz w:val="24"/>
          <w:szCs w:val="24"/>
          <w:highlight w:val="none"/>
        </w:rPr>
      </w:pP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甲方（盖章）：                          乙方（盖章）：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法定代表人：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或授权代表（签字）：                   或授权代表（签字）：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地址：                                 地址：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邮编：                                 邮编：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电话：                                 电话：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传真：                                 传真：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开户银行：                             开户银行：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帐号：                                 帐号：     </w:t>
      </w:r>
    </w:p>
    <w:p>
      <w:pPr>
        <w:spacing w:line="360" w:lineRule="auto"/>
        <w:ind w:firstLine="480" w:firstLineChars="200"/>
        <w:rPr>
          <w:rFonts w:hint="eastAsia" w:ascii="仿宋_GB2312" w:hAnsi="仿宋_GB2312" w:eastAsia="仿宋_GB2312" w:cs="仿宋_GB2312"/>
          <w:color w:val="auto"/>
          <w:sz w:val="24"/>
          <w:szCs w:val="24"/>
          <w:highlight w:val="none"/>
        </w:rPr>
      </w:pP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line="360"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签约时间：      年    月   日</w:t>
      </w:r>
    </w:p>
    <w:p>
      <w:pPr>
        <w:spacing w:line="360" w:lineRule="auto"/>
        <w:ind w:right="480" w:firstLine="5760" w:firstLineChars="24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签约地点：       </w:t>
      </w:r>
    </w:p>
    <w:p>
      <w:pPr>
        <w:spacing w:line="360" w:lineRule="auto"/>
        <w:rPr>
          <w:rFonts w:hint="eastAsia" w:ascii="仿宋_GB2312" w:hAnsi="仿宋_GB2312" w:eastAsia="仿宋_GB2312" w:cs="仿宋_GB2312"/>
          <w:color w:val="auto"/>
          <w:sz w:val="24"/>
          <w:szCs w:val="24"/>
          <w:highlight w:val="none"/>
        </w:rPr>
      </w:pPr>
      <w:bookmarkStart w:id="396" w:name="_Toc328381300"/>
      <w:bookmarkStart w:id="397" w:name="_Toc326765771"/>
      <w:bookmarkStart w:id="398" w:name="_Toc339872468"/>
      <w:bookmarkStart w:id="399" w:name="_Toc350327365"/>
      <w:bookmarkStart w:id="400" w:name="_Toc349721554"/>
    </w:p>
    <w:p>
      <w:pPr>
        <w:spacing w:line="360" w:lineRule="auto"/>
        <w:rPr>
          <w:rFonts w:hint="eastAsia" w:ascii="仿宋_GB2312" w:hAnsi="仿宋_GB2312" w:eastAsia="仿宋_GB2312" w:cs="仿宋_GB2312"/>
          <w:color w:val="auto"/>
          <w:sz w:val="24"/>
          <w:szCs w:val="24"/>
          <w:highlight w:val="none"/>
        </w:rPr>
      </w:pPr>
    </w:p>
    <w:p>
      <w:pPr>
        <w:spacing w:line="360" w:lineRule="auto"/>
        <w:rPr>
          <w:rFonts w:hint="eastAsia" w:ascii="仿宋_GB2312" w:hAnsi="仿宋_GB2312" w:eastAsia="仿宋_GB2312" w:cs="仿宋_GB2312"/>
          <w:color w:val="auto"/>
          <w:sz w:val="24"/>
          <w:szCs w:val="24"/>
          <w:highlight w:val="none"/>
        </w:rPr>
      </w:pP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此仅为合同书样本，中标单位需根据实际情况和采购人签订相应的合同！</w:t>
      </w:r>
      <w:bookmarkEnd w:id="395"/>
      <w:bookmarkEnd w:id="396"/>
      <w:bookmarkEnd w:id="397"/>
      <w:bookmarkEnd w:id="398"/>
      <w:bookmarkEnd w:id="399"/>
      <w:bookmarkEnd w:id="400"/>
    </w:p>
    <w:p>
      <w:pPr>
        <w:spacing w:line="360" w:lineRule="auto"/>
        <w:ind w:left="-420" w:leftChars="-200" w:right="-420" w:rightChars="-200" w:firstLine="480" w:firstLineChars="200"/>
        <w:jc w:val="center"/>
        <w:outlineLvl w:val="0"/>
        <w:rPr>
          <w:rFonts w:hint="eastAsia" w:ascii="仿宋_GB2312" w:hAnsi="仿宋_GB2312" w:eastAsia="仿宋_GB2312" w:cs="仿宋_GB2312"/>
          <w:color w:val="auto"/>
          <w:sz w:val="24"/>
          <w:highlight w:val="none"/>
        </w:rPr>
      </w:pPr>
    </w:p>
    <w:p>
      <w:pPr>
        <w:spacing w:line="360" w:lineRule="auto"/>
        <w:ind w:left="-420" w:leftChars="-200" w:right="-420" w:rightChars="-200" w:firstLine="480" w:firstLineChars="200"/>
        <w:jc w:val="center"/>
        <w:outlineLvl w:val="0"/>
        <w:rPr>
          <w:rFonts w:hint="eastAsia" w:ascii="仿宋_GB2312" w:hAnsi="仿宋_GB2312" w:eastAsia="仿宋_GB2312" w:cs="仿宋_GB2312"/>
          <w:color w:val="auto"/>
          <w:sz w:val="24"/>
          <w:highlight w:val="none"/>
        </w:rPr>
      </w:pPr>
    </w:p>
    <w:p>
      <w:pPr>
        <w:spacing w:line="360" w:lineRule="auto"/>
        <w:ind w:left="720" w:firstLine="723" w:firstLineChars="200"/>
        <w:outlineLvl w:val="0"/>
        <w:rPr>
          <w:rFonts w:hint="eastAsia" w:ascii="仿宋_GB2312" w:hAnsi="仿宋_GB2312" w:eastAsia="仿宋_GB2312" w:cs="仿宋_GB2312"/>
          <w:b/>
          <w:color w:val="auto"/>
          <w:sz w:val="36"/>
          <w:szCs w:val="20"/>
          <w:highlight w:val="none"/>
        </w:rPr>
        <w:sectPr>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hint="eastAsia"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bookmarkEnd w:id="393"/>
      <w:bookmarkEnd w:id="394"/>
      <w:r>
        <w:rPr>
          <w:rFonts w:hint="eastAsia" w:ascii="仿宋_GB2312" w:hAnsi="仿宋_GB2312" w:eastAsia="仿宋_GB2312" w:cs="仿宋_GB2312"/>
          <w:b/>
          <w:color w:val="auto"/>
          <w:sz w:val="36"/>
          <w:szCs w:val="20"/>
          <w:highlight w:val="none"/>
        </w:rPr>
        <w:t>应提交的有关格式范例</w:t>
      </w:r>
    </w:p>
    <w:p>
      <w:pPr>
        <w:spacing w:line="360" w:lineRule="auto"/>
        <w:jc w:val="center"/>
        <w:outlineLvl w:val="0"/>
        <w:rPr>
          <w:rFonts w:hint="eastAsia" w:ascii="仿宋_GB2312" w:hAnsi="仿宋_GB2312" w:eastAsia="仿宋_GB2312" w:cs="仿宋_GB2312"/>
          <w:b/>
          <w:color w:val="auto"/>
          <w:kern w:val="0"/>
          <w:sz w:val="36"/>
          <w:szCs w:val="36"/>
          <w:highlight w:val="none"/>
        </w:rPr>
      </w:pP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资格文件部分</w:t>
      </w: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jc w:val="center"/>
        <w:outlineLvl w:val="0"/>
        <w:rPr>
          <w:rFonts w:hint="eastAsia" w:ascii="仿宋_GB2312" w:hAnsi="仿宋_GB2312" w:eastAsia="仿宋_GB2312" w:cs="仿宋_GB2312"/>
          <w:b/>
          <w:color w:val="auto"/>
          <w:kern w:val="0"/>
          <w:sz w:val="36"/>
          <w:szCs w:val="36"/>
          <w:highlight w:val="none"/>
        </w:rPr>
      </w:pP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（2）落实政府采购政策需满足的资格要求………………………………（页码）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（3）本项目的特定资格要求………………………………………………（页码）</w:t>
      </w:r>
    </w:p>
    <w:p>
      <w:pPr>
        <w:snapToGrid w:val="0"/>
        <w:spacing w:line="360" w:lineRule="auto"/>
        <w:ind w:firstLine="480" w:firstLineChars="200"/>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pStyle w:val="6"/>
        <w:rPr>
          <w:rFonts w:hint="eastAsia"/>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（采购人）、（采购代理机构）：</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日</w:t>
      </w: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二、落实政府采购政策需满足的资格要求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_GB2312" w:hAnsi="仿宋_GB2312" w:eastAsia="仿宋_GB2312" w:cs="仿宋_GB2312"/>
          <w:color w:val="auto"/>
          <w:sz w:val="24"/>
          <w:highlight w:val="none"/>
        </w:rPr>
      </w:pPr>
    </w:p>
    <w:p>
      <w:pPr>
        <w:widowControl/>
        <w:spacing w:line="360" w:lineRule="auto"/>
        <w:ind w:firstLine="472" w:firstLineChars="196"/>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联合协议</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投标。</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 ；……。</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w:t>
      </w:r>
      <w:r>
        <w:rPr>
          <w:rFonts w:hint="eastAsia" w:ascii="仿宋_GB2312" w:hAnsi="仿宋_GB2312" w:eastAsia="仿宋_GB2312" w:cs="仿宋_GB2312"/>
          <w:color w:val="auto"/>
          <w:sz w:val="24"/>
          <w:highlight w:val="none"/>
        </w:rPr>
        <w:t>中小企业合同金额达到%，小微企业合同金额达到%</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spacing w:line="360" w:lineRule="auto"/>
        <w:ind w:firstLine="480" w:firstLineChars="200"/>
        <w:rPr>
          <w:rFonts w:hint="eastAsia" w:ascii="仿宋_GB2312" w:hAnsi="仿宋_GB2312" w:eastAsia="仿宋_GB2312" w:cs="仿宋_GB2312"/>
          <w:color w:val="auto"/>
          <w:sz w:val="24"/>
          <w:highlight w:val="none"/>
        </w:rPr>
      </w:pPr>
    </w:p>
    <w:p>
      <w:pPr>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C、</w:t>
      </w:r>
      <w:r>
        <w:rPr>
          <w:rFonts w:hint="eastAsia" w:ascii="仿宋_GB2312" w:hAnsi="仿宋_GB2312" w:eastAsia="仿宋_GB2312" w:cs="仿宋_GB2312"/>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分包意向协议</w:t>
      </w:r>
    </w:p>
    <w:p>
      <w:pPr>
        <w:widowControl/>
        <w:spacing w:line="360" w:lineRule="auto"/>
        <w:ind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pPr>
        <w:pStyle w:val="4"/>
        <w:ind w:left="664" w:leftChars="316" w:firstLine="229" w:firstLineChars="9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二、分包工作履行期限、地点、方式</w:t>
      </w:r>
    </w:p>
    <w:p>
      <w:pPr>
        <w:snapToGrid w:val="0"/>
        <w:spacing w:line="360" w:lineRule="auto"/>
        <w:ind w:firstLine="576"/>
        <w:rPr>
          <w:rFonts w:hint="eastAsia" w:ascii="仿宋_GB2312" w:hAnsi="仿宋_GB2312" w:eastAsia="仿宋_GB2312" w:cs="仿宋_GB2312"/>
          <w:color w:val="auto"/>
          <w:highlight w:val="none"/>
          <w:u w:val="single"/>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三、质量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四、价款或者报酬</w:t>
      </w: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五、违约责任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六、争议解决的办法</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七、其他</w:t>
      </w:r>
    </w:p>
    <w:p>
      <w:pPr>
        <w:snapToGrid w:val="0"/>
        <w:spacing w:line="360" w:lineRule="auto"/>
        <w:ind w:left="5758" w:leftChars="342" w:hanging="5040" w:hanging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中小企业合同金额达到%，小微企业合同金额达到%</w:t>
      </w:r>
      <w:r>
        <w:rPr>
          <w:rFonts w:hint="eastAsia" w:ascii="仿宋_GB2312" w:hAnsi="仿宋_GB2312"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pPr>
        <w:widowControl/>
        <w:spacing w:line="360" w:lineRule="auto"/>
        <w:ind w:left="15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三、本项目的特定资格要求</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（根据招标公告本项目的特定资格要求提供相应的材料；未要求的，无需提供）</w:t>
      </w:r>
    </w:p>
    <w:p>
      <w:pPr>
        <w:rPr>
          <w:rFonts w:hint="eastAsia" w:ascii="仿宋_GB2312" w:hAnsi="仿宋_GB2312" w:eastAsia="仿宋_GB2312" w:cs="仿宋_GB2312"/>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b/>
          <w:color w:val="auto"/>
          <w:kern w:val="0"/>
          <w:sz w:val="32"/>
          <w:szCs w:val="32"/>
          <w:highlight w:val="none"/>
        </w:rPr>
      </w:pPr>
    </w:p>
    <w:p>
      <w:pPr>
        <w:pStyle w:val="6"/>
        <w:rPr>
          <w:rFonts w:hint="eastAsia"/>
          <w:color w:val="auto"/>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pPr>
        <w:spacing w:line="360" w:lineRule="auto"/>
        <w:jc w:val="center"/>
        <w:outlineLvl w:val="0"/>
        <w:rPr>
          <w:rFonts w:hint="eastAsia" w:ascii="仿宋_GB2312" w:hAnsi="仿宋_GB2312" w:eastAsia="仿宋_GB2312" w:cs="仿宋_GB2312"/>
          <w:b/>
          <w:color w:val="auto"/>
          <w:kern w:val="0"/>
          <w:sz w:val="24"/>
          <w:highlight w:val="none"/>
        </w:rPr>
      </w:pPr>
    </w:p>
    <w:p>
      <w:pPr>
        <w:spacing w:line="360" w:lineRule="auto"/>
        <w:jc w:val="center"/>
        <w:outlineLvl w:val="0"/>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目录</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（1）投标函</w:t>
      </w:r>
      <w:r>
        <w:rPr>
          <w:rFonts w:hint="eastAsia" w:ascii="仿宋_GB2312" w:hAnsi="仿宋_GB2312" w:eastAsia="仿宋_GB2312" w:cs="仿宋_GB2312"/>
          <w:color w:val="auto"/>
          <w:highlight w:val="none"/>
        </w:rPr>
        <w:t>…………………………………………………………………………………（页码）</w:t>
      </w:r>
      <w:r>
        <w:rPr>
          <w:rFonts w:hint="eastAsia" w:ascii="仿宋_GB2312" w:hAnsi="仿宋_GB2312" w:eastAsia="仿宋_GB2312" w:cs="仿宋_GB2312"/>
          <w:color w:val="auto"/>
          <w:sz w:val="24"/>
          <w:highlight w:val="none"/>
        </w:rPr>
        <w:t>（2）授权委托书或法定代表人（单位负责人、自然人本人）身份证明</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（3）联合协议</w:t>
      </w:r>
      <w:r>
        <w:rPr>
          <w:rFonts w:hint="eastAsia" w:ascii="仿宋_GB2312" w:hAnsi="仿宋_GB2312" w:eastAsia="仿宋_GB2312" w:cs="仿宋_GB2312"/>
          <w:color w:val="auto"/>
          <w:highlight w:val="none"/>
        </w:rPr>
        <w:t>………………………………………………………………………………（页码）</w:t>
      </w:r>
    </w:p>
    <w:p>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（4）分包意向协议</w:t>
      </w:r>
      <w:r>
        <w:rPr>
          <w:rFonts w:hint="eastAsia" w:ascii="仿宋_GB2312" w:hAnsi="仿宋_GB2312" w:eastAsia="仿宋_GB2312" w:cs="仿宋_GB2312"/>
          <w:color w:val="auto"/>
          <w:highlight w:val="none"/>
        </w:rPr>
        <w:t>…………………………………………………………………………（页码）</w:t>
      </w:r>
    </w:p>
    <w:p>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（5）符合性审查资料</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（6）评标标准相应的商务技术资料</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（7）商务技术偏离表</w:t>
      </w:r>
      <w:r>
        <w:rPr>
          <w:rFonts w:hint="eastAsia" w:ascii="仿宋_GB2312" w:hAnsi="仿宋_GB2312" w:eastAsia="仿宋_GB2312" w:cs="仿宋_GB2312"/>
          <w:color w:val="auto"/>
          <w:highlight w:val="none"/>
        </w:rPr>
        <w:t>………………………………………………………………………（页码）</w:t>
      </w:r>
    </w:p>
    <w:p>
      <w:pPr>
        <w:snapToGrid w:val="0"/>
        <w:spacing w:line="360" w:lineRule="auto"/>
        <w:ind w:left="479"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highlight w:val="none"/>
        </w:rPr>
        <w:t>…………………………………………………（页码）</w:t>
      </w: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highlight w:val="none"/>
        </w:rPr>
        <w:t>（页码</w:t>
      </w:r>
      <w:r>
        <w:rPr>
          <w:rFonts w:hint="eastAsia" w:cs="仿宋_GB2312"/>
          <w:color w:val="auto"/>
          <w:highlight w:val="none"/>
        </w:rPr>
        <w:t>）</w:t>
      </w: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color w:val="auto"/>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kern w:val="0"/>
          <w:sz w:val="32"/>
          <w:szCs w:val="32"/>
          <w:highlight w:val="none"/>
        </w:rPr>
      </w:pPr>
    </w:p>
    <w:p>
      <w:pPr>
        <w:snapToGrid w:val="0"/>
        <w:spacing w:line="36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（采购人）、（采购代理机构）：</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1、我方承诺投标有效期从提交投标文件的截止之日起天（不少于90天）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2、我方的投标文件包括以下内容：</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2.1资格文件：</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2.1.1承诺函；</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2.1.3本项目的特定资格要求（如果有）。</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2商务技术</w:t>
      </w:r>
      <w:r>
        <w:rPr>
          <w:rFonts w:hint="eastAsia" w:ascii="仿宋_GB2312" w:hAnsi="仿宋_GB2312" w:eastAsia="仿宋_GB2312" w:cs="仿宋_GB2312"/>
          <w:color w:val="auto"/>
          <w:sz w:val="24"/>
          <w:highlight w:val="none"/>
          <w:lang w:val="zh-CN"/>
        </w:rPr>
        <w:t>文件：</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2.2.1投标函；</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2.2.3联合协议（如果有）；</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2.2.4分包意向协议（如果有）；</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2.2.5符合性审查资料；</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2.2.6评标标准相应的商务技术资料；</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2.2.7商务技术偏离表；</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3报价文件</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2.3.1开标一览表（报价表）；</w:t>
      </w:r>
    </w:p>
    <w:p>
      <w:pPr>
        <w:snapToGrid w:val="0"/>
        <w:spacing w:line="360" w:lineRule="auto"/>
        <w:ind w:left="420" w:lef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2.3.2中小企业声明函（如果有）。</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4、如我方中标，我方承诺：</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5、其他补充说明:。</w:t>
      </w:r>
    </w:p>
    <w:p>
      <w:pPr>
        <w:spacing w:line="360" w:lineRule="auto"/>
        <w:ind w:firstLine="3600" w:firstLineChars="15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color w:val="auto"/>
          <w:kern w:val="0"/>
          <w:sz w:val="24"/>
          <w:highlight w:val="none"/>
          <w:u w:val="single"/>
          <w:lang w:val="zh-CN"/>
        </w:rPr>
      </w:pPr>
    </w:p>
    <w:p>
      <w:pPr>
        <w:snapToGrid w:val="0"/>
        <w:spacing w:line="360" w:lineRule="auto"/>
        <w:jc w:val="center"/>
        <w:rPr>
          <w:rFonts w:hint="eastAsia" w:ascii="仿宋_GB2312" w:hAnsi="仿宋_GB2312" w:eastAsia="仿宋_GB2312" w:cs="仿宋_GB2312"/>
          <w:b/>
          <w:color w:val="auto"/>
          <w:kern w:val="0"/>
          <w:sz w:val="32"/>
          <w:szCs w:val="32"/>
          <w:highlight w:val="none"/>
          <w:lang w:val="zh-CN"/>
        </w:rPr>
      </w:pPr>
    </w:p>
    <w:p>
      <w:pPr>
        <w:snapToGrid w:val="0"/>
        <w:spacing w:line="360" w:lineRule="auto"/>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p>
    <w:p>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ind w:firstLine="2872" w:firstLineChars="894"/>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委托（姓名）为我方代理人（身份证号码：，手机：），以我方名义处理</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自年月日起至年月日止。</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签发日期：  年  月   日</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sz w:val="24"/>
          <w:highlight w:val="none"/>
        </w:rPr>
      </w:pP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授权委托书（适用于联合体投标）</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委托（姓名）为我方代理人（身份证号码：，手机：），以我方名义处理</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政府采购投标的一切事项，其法律后果由我方承担。</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自年月日起至年月日止。</w:t>
      </w: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特此告知。</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rPr>
          <w:rFonts w:hint="eastAsia" w:ascii="仿宋_GB2312" w:hAnsi="仿宋_GB2312" w:eastAsia="仿宋_GB2312" w:cs="仿宋_GB2312"/>
          <w:color w:val="auto"/>
          <w:highlight w:val="none"/>
        </w:rPr>
      </w:pP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autoSpaceDE w:val="0"/>
        <w:autoSpaceDN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pPr>
        <w:pStyle w:val="9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正面：反面：</w:t>
            </w:r>
          </w:p>
          <w:p>
            <w:pPr>
              <w:pStyle w:val="90"/>
              <w:adjustRightInd w:val="0"/>
              <w:spacing w:line="360" w:lineRule="auto"/>
              <w:rPr>
                <w:rFonts w:hint="eastAsia" w:ascii="仿宋_GB2312" w:hAnsi="仿宋_GB2312" w:eastAsia="仿宋_GB2312" w:cs="仿宋_GB2312"/>
                <w:bCs/>
                <w:color w:val="auto"/>
                <w:sz w:val="24"/>
                <w:highlight w:val="none"/>
              </w:rPr>
            </w:pPr>
          </w:p>
        </w:tc>
      </w:tr>
    </w:tbl>
    <w:p>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p>
    <w:p>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                              </w:t>
      </w:r>
    </w:p>
    <w:p>
      <w:pPr>
        <w:spacing w:line="360" w:lineRule="auto"/>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rPr>
        <w:t>三、</w:t>
      </w:r>
      <w:r>
        <w:rPr>
          <w:rFonts w:hint="eastAsia" w:ascii="仿宋_GB2312" w:hAnsi="仿宋_GB2312" w:eastAsia="仿宋_GB2312" w:cs="仿宋_GB2312"/>
          <w:b/>
          <w:color w:val="auto"/>
          <w:kern w:val="0"/>
          <w:sz w:val="32"/>
          <w:szCs w:val="32"/>
          <w:highlight w:val="none"/>
          <w:lang w:val="zh-CN"/>
        </w:rPr>
        <w:t>联合协议</w:t>
      </w:r>
    </w:p>
    <w:p>
      <w:pPr>
        <w:widowControl/>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投标。</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lang w:val="zh-CN"/>
        </w:rPr>
        <w:t>承担的工作和义务为：；……。</w:t>
      </w:r>
    </w:p>
    <w:p>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四、</w:t>
      </w:r>
      <w:r>
        <w:rPr>
          <w:rFonts w:hint="eastAsia" w:ascii="仿宋_GB2312" w:hAnsi="仿宋_GB2312" w:eastAsia="仿宋_GB2312" w:cs="仿宋_GB2312"/>
          <w:color w:val="auto"/>
          <w:kern w:val="0"/>
          <w:sz w:val="24"/>
          <w:highlight w:val="none"/>
          <w:u w:val="single"/>
        </w:rPr>
        <w:t>（联合体其中一方成员名称）</w:t>
      </w:r>
      <w:r>
        <w:rPr>
          <w:rFonts w:hint="eastAsia" w:ascii="仿宋_GB2312" w:hAnsi="仿宋_GB2312" w:eastAsia="仿宋_GB2312" w:cs="仿宋_GB2312"/>
          <w:color w:val="auto"/>
          <w:kern w:val="0"/>
          <w:sz w:val="24"/>
          <w:highlight w:val="none"/>
        </w:rPr>
        <w:t>提供的全部货物由小微企业制造，其合同份额占到合同总金额%以上；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color w:val="auto"/>
          <w:kern w:val="0"/>
          <w:sz w:val="24"/>
          <w:highlight w:val="none"/>
          <w:lang w:val="en-US" w:eastAsia="zh-CN"/>
        </w:rPr>
        <w:t>6</w:t>
      </w:r>
      <w:r>
        <w:rPr>
          <w:rFonts w:hint="eastAsia" w:ascii="仿宋_GB2312" w:hAnsi="仿宋_GB2312" w:eastAsia="仿宋_GB2312" w:cs="仿宋_GB2312"/>
          <w:b/>
          <w:color w:val="auto"/>
          <w:kern w:val="0"/>
          <w:sz w:val="24"/>
          <w:highlight w:val="none"/>
          <w:lang w:val="zh-CN"/>
        </w:rPr>
        <w:t>%的扣除）</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snapToGrid w:val="0"/>
        <w:spacing w:line="360" w:lineRule="auto"/>
        <w:ind w:right="480"/>
        <w:rPr>
          <w:rFonts w:hint="eastAsia" w:ascii="仿宋_GB2312" w:hAnsi="仿宋_GB2312" w:eastAsia="仿宋_GB2312" w:cs="仿宋_GB2312"/>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四、分包意向协议</w:t>
      </w:r>
    </w:p>
    <w:p>
      <w:pPr>
        <w:widowControl/>
        <w:spacing w:line="360" w:lineRule="auto"/>
        <w:ind w:firstLine="120" w:firstLineChars="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rPr>
        <w:t>（项目名称）【招标编号：（采购编号）】</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（某分包供应商名称），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pPr>
        <w:pStyle w:val="4"/>
        <w:ind w:left="664" w:leftChars="316" w:firstLine="229" w:firstLineChars="9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szCs w:val="24"/>
          <w:highlight w:val="none"/>
        </w:rPr>
        <w:t>……</w:t>
      </w: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二、分包工作履行期限、地点、方式</w:t>
      </w:r>
    </w:p>
    <w:p>
      <w:pPr>
        <w:snapToGrid w:val="0"/>
        <w:spacing w:line="360" w:lineRule="auto"/>
        <w:ind w:firstLine="576"/>
        <w:rPr>
          <w:rFonts w:hint="eastAsia" w:ascii="仿宋_GB2312" w:hAnsi="仿宋_GB2312" w:eastAsia="仿宋_GB2312" w:cs="仿宋_GB2312"/>
          <w:color w:val="auto"/>
          <w:highlight w:val="none"/>
          <w:u w:val="single"/>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三、质量</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四、价款或者报酬</w:t>
      </w: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p>
    <w:p>
      <w:pPr>
        <w:snapToGrid w:val="0"/>
        <w:spacing w:line="360" w:lineRule="auto"/>
        <w:ind w:left="573" w:leftChars="273"/>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五、违约责任</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六、争议解决的办法</w:t>
      </w:r>
    </w:p>
    <w:p>
      <w:pPr>
        <w:snapToGrid w:val="0"/>
        <w:spacing w:line="360" w:lineRule="auto"/>
        <w:ind w:firstLine="576"/>
        <w:rPr>
          <w:rFonts w:hint="eastAsia" w:ascii="仿宋_GB2312" w:hAnsi="仿宋_GB2312" w:eastAsia="仿宋_GB2312" w:cs="仿宋_GB2312"/>
          <w:color w:val="auto"/>
          <w:kern w:val="0"/>
          <w:sz w:val="24"/>
          <w:highlight w:val="none"/>
          <w:lang w:val="zh-CN"/>
        </w:rPr>
      </w:pPr>
    </w:p>
    <w:p>
      <w:pPr>
        <w:snapToGrid w:val="0"/>
        <w:spacing w:line="360" w:lineRule="auto"/>
        <w:ind w:firstLine="576"/>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七、其他</w:t>
      </w:r>
    </w:p>
    <w:p>
      <w:pPr>
        <w:snapToGrid w:val="0"/>
        <w:spacing w:line="360" w:lineRule="auto"/>
        <w:ind w:firstLine="576"/>
        <w:rPr>
          <w:rFonts w:hint="eastAsia"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u w:val="single"/>
        </w:rPr>
        <w:t>（分包供应商名称）提供的货物全部由小微企业制造，</w:t>
      </w:r>
      <w:r>
        <w:rPr>
          <w:rFonts w:hint="eastAsia" w:ascii="仿宋_GB2312" w:hAnsi="仿宋_GB2312" w:eastAsia="仿宋_GB2312" w:cs="仿宋_GB2312"/>
          <w:color w:val="auto"/>
          <w:kern w:val="0"/>
          <w:sz w:val="24"/>
          <w:highlight w:val="none"/>
        </w:rPr>
        <w:t>其合同份额占到合同总金额%以上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color w:val="auto"/>
          <w:kern w:val="0"/>
          <w:sz w:val="24"/>
          <w:highlight w:val="none"/>
          <w:lang w:val="en-US" w:eastAsia="zh-CN"/>
        </w:rPr>
        <w:t>6</w:t>
      </w:r>
      <w:r>
        <w:rPr>
          <w:rFonts w:hint="eastAsia" w:ascii="仿宋_GB2312" w:hAnsi="仿宋_GB2312" w:eastAsia="仿宋_GB2312" w:cs="仿宋_GB2312"/>
          <w:b/>
          <w:color w:val="auto"/>
          <w:kern w:val="0"/>
          <w:sz w:val="24"/>
          <w:highlight w:val="none"/>
          <w:lang w:val="zh-CN"/>
        </w:rPr>
        <w:t>%的扣除）</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w:t>
      </w:r>
    </w:p>
    <w:p>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五、符合性审查资料</w:t>
      </w:r>
    </w:p>
    <w:p>
      <w:pPr>
        <w:jc w:val="center"/>
        <w:rPr>
          <w:rFonts w:hint="eastAsia" w:ascii="仿宋_GB2312" w:hAnsi="仿宋_GB2312"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4991"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实质性要求</w:t>
            </w:r>
          </w:p>
        </w:tc>
        <w:tc>
          <w:tcPr>
            <w:tcW w:w="2551"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投标文件中的</w:t>
            </w:r>
          </w:p>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投标文件按照招标文件要求签署、盖章。</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需要使用电子签名或者签字盖章的投标文件的组成部分</w:t>
            </w:r>
          </w:p>
        </w:tc>
        <w:tc>
          <w:tcPr>
            <w:tcW w:w="1418" w:type="dxa"/>
            <w:vAlign w:val="top"/>
          </w:tcPr>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pPr>
              <w:pStyle w:val="4"/>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w:t>
            </w:r>
          </w:p>
        </w:tc>
        <w:tc>
          <w:tcPr>
            <w:tcW w:w="1418" w:type="dxa"/>
            <w:vAlign w:val="top"/>
          </w:tcPr>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投标文件满足招标文件的其它实质性要求。</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招标文件其它实质性要求相应的材料（“▲”系指实质性要求条款，招标文件无其它实质性要求的，无需提供）</w:t>
            </w:r>
          </w:p>
        </w:tc>
        <w:tc>
          <w:tcPr>
            <w:tcW w:w="1418" w:type="dxa"/>
            <w:vAlign w:val="top"/>
          </w:tcPr>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见投标文件第页</w:t>
            </w:r>
          </w:p>
        </w:tc>
      </w:tr>
    </w:tbl>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六、评标标准相应的商务技术资料</w:t>
      </w:r>
    </w:p>
    <w:p>
      <w:pPr>
        <w:snapToGrid w:val="0"/>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683"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招标文件章节及具体内容</w:t>
            </w:r>
          </w:p>
        </w:tc>
        <w:tc>
          <w:tcPr>
            <w:tcW w:w="3546"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投标文件章节及具体内容</w:t>
            </w:r>
          </w:p>
        </w:tc>
        <w:tc>
          <w:tcPr>
            <w:tcW w:w="1276" w:type="dxa"/>
            <w:vAlign w:val="top"/>
          </w:tcPr>
          <w:p>
            <w:pPr>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683" w:type="dxa"/>
            <w:vAlign w:val="top"/>
          </w:tcPr>
          <w:p>
            <w:pPr>
              <w:jc w:val="center"/>
              <w:rPr>
                <w:rFonts w:hint="eastAsia" w:ascii="仿宋_GB2312" w:hAnsi="仿宋_GB2312" w:eastAsia="仿宋_GB2312" w:cs="仿宋_GB2312"/>
                <w:b/>
                <w:color w:val="auto"/>
                <w:kern w:val="0"/>
                <w:sz w:val="32"/>
                <w:szCs w:val="32"/>
                <w:highlight w:val="none"/>
              </w:rPr>
            </w:pPr>
          </w:p>
        </w:tc>
        <w:tc>
          <w:tcPr>
            <w:tcW w:w="3546" w:type="dxa"/>
            <w:vAlign w:val="top"/>
          </w:tcPr>
          <w:p>
            <w:pPr>
              <w:jc w:val="center"/>
              <w:rPr>
                <w:rFonts w:hint="eastAsia" w:ascii="仿宋_GB2312" w:hAnsi="仿宋_GB2312" w:eastAsia="仿宋_GB2312" w:cs="仿宋_GB2312"/>
                <w:b/>
                <w:color w:val="auto"/>
                <w:kern w:val="0"/>
                <w:sz w:val="32"/>
                <w:szCs w:val="32"/>
                <w:highlight w:val="none"/>
              </w:rPr>
            </w:pPr>
          </w:p>
        </w:tc>
        <w:tc>
          <w:tcPr>
            <w:tcW w:w="1276" w:type="dxa"/>
            <w:vAlign w:val="top"/>
          </w:tcPr>
          <w:p>
            <w:pPr>
              <w:jc w:val="center"/>
              <w:rPr>
                <w:rFonts w:hint="eastAsia" w:ascii="仿宋_GB2312" w:hAnsi="仿宋_GB2312"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683" w:type="dxa"/>
            <w:vAlign w:val="top"/>
          </w:tcPr>
          <w:p>
            <w:pPr>
              <w:jc w:val="center"/>
              <w:rPr>
                <w:rFonts w:hint="eastAsia" w:ascii="仿宋_GB2312" w:hAnsi="仿宋_GB2312" w:eastAsia="仿宋_GB2312" w:cs="仿宋_GB2312"/>
                <w:b/>
                <w:color w:val="auto"/>
                <w:kern w:val="0"/>
                <w:sz w:val="32"/>
                <w:szCs w:val="32"/>
                <w:highlight w:val="none"/>
              </w:rPr>
            </w:pPr>
          </w:p>
        </w:tc>
        <w:tc>
          <w:tcPr>
            <w:tcW w:w="3546" w:type="dxa"/>
            <w:vAlign w:val="top"/>
          </w:tcPr>
          <w:p>
            <w:pPr>
              <w:jc w:val="center"/>
              <w:rPr>
                <w:rFonts w:hint="eastAsia" w:ascii="仿宋_GB2312" w:hAnsi="仿宋_GB2312" w:eastAsia="仿宋_GB2312" w:cs="仿宋_GB2312"/>
                <w:b/>
                <w:color w:val="auto"/>
                <w:kern w:val="0"/>
                <w:sz w:val="32"/>
                <w:szCs w:val="32"/>
                <w:highlight w:val="none"/>
              </w:rPr>
            </w:pPr>
          </w:p>
        </w:tc>
        <w:tc>
          <w:tcPr>
            <w:tcW w:w="1276" w:type="dxa"/>
            <w:vAlign w:val="top"/>
          </w:tcPr>
          <w:p>
            <w:pPr>
              <w:jc w:val="center"/>
              <w:rPr>
                <w:rFonts w:hint="eastAsia" w:ascii="仿宋_GB2312" w:hAnsi="仿宋_GB2312"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3683" w:type="dxa"/>
            <w:vAlign w:val="top"/>
          </w:tcPr>
          <w:p>
            <w:pPr>
              <w:jc w:val="center"/>
              <w:rPr>
                <w:rFonts w:hint="eastAsia" w:ascii="仿宋_GB2312" w:hAnsi="仿宋_GB2312" w:eastAsia="仿宋_GB2312" w:cs="仿宋_GB2312"/>
                <w:b/>
                <w:color w:val="auto"/>
                <w:kern w:val="0"/>
                <w:sz w:val="32"/>
                <w:szCs w:val="32"/>
                <w:highlight w:val="none"/>
              </w:rPr>
            </w:pPr>
          </w:p>
        </w:tc>
        <w:tc>
          <w:tcPr>
            <w:tcW w:w="3546" w:type="dxa"/>
            <w:vAlign w:val="top"/>
          </w:tcPr>
          <w:p>
            <w:pPr>
              <w:jc w:val="center"/>
              <w:rPr>
                <w:rFonts w:hint="eastAsia" w:ascii="仿宋_GB2312" w:hAnsi="仿宋_GB2312" w:eastAsia="仿宋_GB2312" w:cs="仿宋_GB2312"/>
                <w:b/>
                <w:color w:val="auto"/>
                <w:kern w:val="0"/>
                <w:sz w:val="32"/>
                <w:szCs w:val="32"/>
                <w:highlight w:val="none"/>
              </w:rPr>
            </w:pPr>
          </w:p>
        </w:tc>
        <w:tc>
          <w:tcPr>
            <w:tcW w:w="1276" w:type="dxa"/>
            <w:vAlign w:val="top"/>
          </w:tcPr>
          <w:p>
            <w:pPr>
              <w:jc w:val="center"/>
              <w:rPr>
                <w:rFonts w:hint="eastAsia" w:ascii="仿宋_GB2312" w:hAnsi="仿宋_GB2312" w:eastAsia="仿宋_GB2312" w:cs="仿宋_GB2312"/>
                <w:b/>
                <w:color w:val="auto"/>
                <w:kern w:val="0"/>
                <w:sz w:val="32"/>
                <w:szCs w:val="32"/>
                <w:highlight w:val="none"/>
              </w:rPr>
            </w:pPr>
          </w:p>
        </w:tc>
      </w:tr>
    </w:tbl>
    <w:p>
      <w:pPr>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投标人保证：除商务技术偏离表列出的偏离外，投标人响应招标文件的全部要求</w:t>
      </w: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bCs/>
          <w:color w:val="auto"/>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pPr>
    </w:p>
    <w:p>
      <w:pPr>
        <w:ind w:firstLine="1911" w:firstLineChars="595"/>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八、</w:t>
      </w:r>
      <w:r>
        <w:rPr>
          <w:rFonts w:hint="eastAsia" w:ascii="仿宋_GB2312" w:hAnsi="仿宋_GB2312" w:eastAsia="仿宋_GB2312" w:cs="仿宋_GB2312"/>
          <w:b/>
          <w:color w:val="auto"/>
          <w:kern w:val="0"/>
          <w:sz w:val="32"/>
          <w:szCs w:val="32"/>
          <w:highlight w:val="none"/>
          <w:lang w:val="zh-CN"/>
        </w:rPr>
        <w:t>政府采购供应商廉洁自律承诺书</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（采购人）、（采购代理机构）</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pPr>
        <w:spacing w:line="360" w:lineRule="auto"/>
        <w:ind w:left="4620" w:leftChars="2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spacing w:line="360" w:lineRule="auto"/>
        <w:jc w:val="center"/>
        <w:rPr>
          <w:rFonts w:hint="eastAsia" w:ascii="仿宋_GB2312" w:hAnsi="仿宋_GB2312" w:eastAsia="仿宋_GB2312" w:cs="仿宋_GB2312"/>
          <w:b/>
          <w:bCs/>
          <w:color w:val="auto"/>
          <w:sz w:val="24"/>
          <w:highlight w:val="none"/>
        </w:rPr>
      </w:pPr>
    </w:p>
    <w:p>
      <w:pPr>
        <w:spacing w:line="360" w:lineRule="auto"/>
        <w:jc w:val="center"/>
        <w:rPr>
          <w:rFonts w:hint="eastAsia" w:ascii="仿宋_GB2312" w:hAnsi="仿宋_GB2312" w:eastAsia="仿宋_GB2312" w:cs="仿宋_GB2312"/>
          <w:b/>
          <w:bCs/>
          <w:color w:val="auto"/>
          <w:sz w:val="24"/>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pPr>
        <w:spacing w:line="360" w:lineRule="auto"/>
        <w:jc w:val="center"/>
        <w:outlineLvl w:val="0"/>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jc w:val="center"/>
        <w:outlineLvl w:val="0"/>
        <w:rPr>
          <w:rFonts w:hint="eastAsia" w:ascii="仿宋_GB2312" w:hAnsi="仿宋_GB2312" w:eastAsia="仿宋_GB2312" w:cs="仿宋_GB2312"/>
          <w:b/>
          <w:color w:val="auto"/>
          <w:kern w:val="0"/>
          <w:sz w:val="36"/>
          <w:szCs w:val="36"/>
          <w:highlight w:val="none"/>
        </w:rPr>
      </w:pPr>
    </w:p>
    <w:p>
      <w:pPr>
        <w:numPr>
          <w:ilvl w:val="0"/>
          <w:numId w:val="3"/>
        </w:num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开标一览表（报价表）………………………………………………………（页码）</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中小企业声明函………………………………………………………………（页码）</w:t>
      </w:r>
    </w:p>
    <w:p>
      <w:pPr>
        <w:snapToGrid w:val="0"/>
        <w:spacing w:line="360" w:lineRule="auto"/>
        <w:ind w:right="480"/>
        <w:jc w:val="both"/>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default" w:ascii="仿宋_GB2312" w:hAnsi="仿宋" w:eastAsia="仿宋_GB2312" w:cs="仿宋_GB2312"/>
          <w:color w:val="auto"/>
          <w:sz w:val="24"/>
          <w:highlight w:val="none"/>
        </w:rPr>
        <w:t>投标人针对报价需要说明的其他文件和说明</w:t>
      </w:r>
      <w:r>
        <w:rPr>
          <w:rFonts w:hint="default" w:ascii="仿宋_GB2312" w:hAnsi="仿宋" w:eastAsia="仿宋_GB2312" w:cs="仿宋_GB2312"/>
          <w:color w:val="auto"/>
          <w:sz w:val="24"/>
          <w:highlight w:val="none"/>
          <w:lang w:eastAsia="zh-CN"/>
        </w:rPr>
        <w:t>（如有）</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snapToGrid w:val="0"/>
        <w:spacing w:line="360" w:lineRule="auto"/>
        <w:ind w:right="480"/>
        <w:jc w:val="center"/>
        <w:rPr>
          <w:rFonts w:hint="eastAsia" w:ascii="仿宋_GB2312" w:hAnsi="仿宋_GB2312" w:eastAsia="仿宋_GB2312" w:cs="仿宋_GB2312"/>
          <w:b/>
          <w:color w:val="auto"/>
          <w:kern w:val="0"/>
          <w:sz w:val="32"/>
          <w:szCs w:val="32"/>
          <w:highlight w:val="none"/>
        </w:rPr>
      </w:pPr>
    </w:p>
    <w:p>
      <w:pPr>
        <w:pStyle w:val="378"/>
        <w:tabs>
          <w:tab w:val="clear" w:pos="720"/>
        </w:tabs>
        <w:snapToGrid w:val="0"/>
        <w:spacing w:before="120" w:after="120"/>
        <w:ind w:firstLine="643"/>
        <w:outlineLvl w:val="9"/>
        <w:rPr>
          <w:rFonts w:hint="eastAsia" w:ascii="仿宋_GB2312" w:hAnsi="仿宋_GB2312" w:eastAsia="仿宋_GB2312" w:cs="仿宋_GB2312"/>
          <w:color w:val="auto"/>
          <w:kern w:val="2"/>
          <w:sz w:val="32"/>
          <w:szCs w:val="32"/>
          <w:highlight w:val="none"/>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bookmarkStart w:id="401" w:name="_Toc233618992"/>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sz w:val="24"/>
          <w:highlight w:val="none"/>
          <w:lang w:eastAsia="zh-CN"/>
        </w:rPr>
        <w:t>数字城管信息采集服务外包项目</w:t>
      </w: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3260"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采购内容</w:t>
            </w:r>
          </w:p>
        </w:tc>
        <w:tc>
          <w:tcPr>
            <w:tcW w:w="2728"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单位</w:t>
            </w:r>
          </w:p>
        </w:tc>
        <w:tc>
          <w:tcPr>
            <w:tcW w:w="157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2106"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4360" w:type="dxa"/>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3260" w:type="dxa"/>
            <w:vAlign w:val="center"/>
          </w:tcPr>
          <w:p>
            <w:pPr>
              <w:snapToGrid w:val="0"/>
              <w:spacing w:line="360" w:lineRule="auto"/>
              <w:jc w:val="center"/>
              <w:rPr>
                <w:rFonts w:ascii="仿宋_GB2312" w:hAnsi="仿宋" w:eastAsia="仿宋_GB2312" w:cs="仿宋_GB2312"/>
                <w:color w:val="auto"/>
                <w:sz w:val="24"/>
                <w:highlight w:val="none"/>
              </w:rPr>
            </w:pPr>
          </w:p>
        </w:tc>
        <w:tc>
          <w:tcPr>
            <w:tcW w:w="2728" w:type="dxa"/>
            <w:vAlign w:val="center"/>
          </w:tcPr>
          <w:p>
            <w:pPr>
              <w:snapToGrid w:val="0"/>
              <w:spacing w:line="360" w:lineRule="auto"/>
              <w:jc w:val="center"/>
              <w:rPr>
                <w:rFonts w:ascii="仿宋_GB2312" w:hAnsi="仿宋" w:eastAsia="仿宋_GB2312" w:cs="仿宋_GB2312"/>
                <w:color w:val="auto"/>
                <w:sz w:val="24"/>
                <w:highlight w:val="none"/>
              </w:rPr>
            </w:pPr>
          </w:p>
        </w:tc>
        <w:tc>
          <w:tcPr>
            <w:tcW w:w="1579" w:type="dxa"/>
            <w:vAlign w:val="center"/>
          </w:tcPr>
          <w:p>
            <w:pPr>
              <w:snapToGrid w:val="0"/>
              <w:spacing w:line="360" w:lineRule="auto"/>
              <w:jc w:val="center"/>
              <w:rPr>
                <w:rFonts w:ascii="仿宋_GB2312" w:hAnsi="仿宋" w:eastAsia="仿宋_GB2312" w:cs="仿宋_GB2312"/>
                <w:color w:val="auto"/>
                <w:sz w:val="24"/>
                <w:highlight w:val="none"/>
              </w:rPr>
            </w:pP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（小写）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eastAsia="zh-CN"/>
              </w:rPr>
              <w:t>大</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bl>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sz w:val="32"/>
          <w:szCs w:val="32"/>
          <w:highlight w:val="none"/>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bookmarkEnd w:id="401"/>
    <w:p>
      <w:pPr>
        <w:pStyle w:val="378"/>
        <w:tabs>
          <w:tab w:val="clear" w:pos="720"/>
        </w:tabs>
        <w:snapToGrid w:val="0"/>
        <w:spacing w:before="120" w:after="120"/>
        <w:ind w:firstLine="643"/>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eastAsia="zh-CN"/>
        </w:rPr>
        <w:t>二</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rPr>
        <w:t>中小企业声明函</w:t>
      </w:r>
    </w:p>
    <w:p>
      <w:pPr>
        <w:widowControl/>
        <w:spacing w:line="360" w:lineRule="auto"/>
        <w:ind w:firstLine="120" w:firstLineChars="5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spacing w:line="360" w:lineRule="auto"/>
        <w:ind w:right="420" w:firstLine="3614" w:firstLineChars="1000"/>
        <w:rPr>
          <w:rFonts w:hint="eastAsia" w:ascii="仿宋_GB2312" w:hAnsi="仿宋_GB2312" w:eastAsia="仿宋_GB2312" w:cs="仿宋_GB2312"/>
          <w:b/>
          <w:color w:val="auto"/>
          <w:kern w:val="0"/>
          <w:sz w:val="36"/>
          <w:szCs w:val="36"/>
          <w:highlight w:val="none"/>
        </w:rPr>
      </w:pPr>
    </w:p>
    <w:p>
      <w:pPr>
        <w:tabs>
          <w:tab w:val="left" w:pos="8085"/>
        </w:tabs>
        <w:spacing w:line="360" w:lineRule="auto"/>
        <w:ind w:firstLine="1285" w:firstLineChars="400"/>
        <w:jc w:val="lef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政府采购支持中小企业信用融资相关事项通知</w:t>
      </w:r>
    </w:p>
    <w:p>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一、适用对象</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二、相关信息获取方式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　政府采购信用融资操作流程：</w:t>
      </w:r>
    </w:p>
    <w:p>
      <w:pPr>
        <w:spacing w:line="360"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（一）线上融资模式：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1.供应商根据合作银行提供的方案，自行选择金融产品，并办理开户等手续；</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2.供应商中标后，可通过杭州市政府采购网或“浙里办”测算授信额度；</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4.审批通过后，在线办理放贷手续。</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（二）线下融资模式：</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4.审批通过后，合作银行应按照合作备忘录中约定的审批放款期限和优惠利率及时予以放款。</w:t>
      </w:r>
    </w:p>
    <w:p>
      <w:pPr>
        <w:pStyle w:val="4"/>
        <w:numPr>
          <w:ilvl w:val="0"/>
          <w:numId w:val="0"/>
        </w:numPr>
        <w:ind w:firstLine="960" w:firstLineChars="400"/>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（三）杭州e融平台申请融资</w:t>
      </w:r>
    </w:p>
    <w:p>
      <w:pPr>
        <w:pStyle w:val="4"/>
        <w:numPr>
          <w:ilvl w:val="0"/>
          <w:numId w:val="0"/>
        </w:numPr>
        <w:ind w:firstLine="960" w:firstLineChars="400"/>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四、注意事项</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_GB2312" w:hAnsi="仿宋_GB2312"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_GB2312" w:hAnsi="仿宋_GB2312" w:eastAsia="仿宋_GB2312" w:cs="仿宋_GB2312"/>
          <w:color w:val="auto"/>
          <w:highlight w:val="none"/>
        </w:rPr>
      </w:pPr>
      <w:bookmarkStart w:id="402" w:name="_Toc465665161"/>
      <w:r>
        <w:rPr>
          <w:rFonts w:hint="eastAsia" w:ascii="仿宋_GB2312" w:hAnsi="仿宋_GB2312" w:eastAsia="仿宋_GB2312" w:cs="仿宋_GB2312"/>
          <w:color w:val="auto"/>
          <w:highlight w:val="none"/>
        </w:rPr>
        <w:t>附件</w:t>
      </w:r>
      <w:bookmarkEnd w:id="402"/>
    </w:p>
    <w:p>
      <w:pPr>
        <w:spacing w:line="360" w:lineRule="auto"/>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pPr>
        <w:spacing w:line="360" w:lineRule="auto"/>
        <w:jc w:val="center"/>
        <w:rPr>
          <w:rFonts w:hint="eastAsia" w:ascii="仿宋_GB2312" w:hAnsi="仿宋_GB2312" w:eastAsia="仿宋_GB2312" w:cs="仿宋_GB2312"/>
          <w:b/>
          <w:color w:val="auto"/>
          <w:spacing w:val="6"/>
          <w:sz w:val="32"/>
          <w:szCs w:val="32"/>
          <w:highlight w:val="none"/>
        </w:rPr>
      </w:pPr>
      <w:bookmarkStart w:id="403" w:name="OLE_LINK14"/>
      <w:bookmarkStart w:id="404" w:name="OLE_LINK13"/>
      <w:r>
        <w:rPr>
          <w:rFonts w:hint="eastAsia" w:ascii="仿宋_GB2312" w:hAnsi="仿宋_GB2312" w:eastAsia="仿宋_GB2312" w:cs="仿宋_GB2312"/>
          <w:b/>
          <w:color w:val="auto"/>
          <w:spacing w:val="6"/>
          <w:sz w:val="32"/>
          <w:szCs w:val="32"/>
          <w:highlight w:val="none"/>
        </w:rPr>
        <w:t>残疾人福利性单位声明函</w:t>
      </w:r>
    </w:p>
    <w:bookmarkEnd w:id="403"/>
    <w:bookmarkEnd w:id="404"/>
    <w:p>
      <w:pPr>
        <w:spacing w:line="360" w:lineRule="auto"/>
        <w:rPr>
          <w:rFonts w:hint="eastAsia" w:ascii="仿宋_GB2312" w:hAnsi="仿宋_GB2312" w:eastAsia="仿宋_GB2312" w:cs="仿宋_GB2312"/>
          <w:b/>
          <w:color w:val="auto"/>
          <w:spacing w:val="6"/>
          <w:sz w:val="30"/>
          <w:szCs w:val="30"/>
          <w:highlight w:val="none"/>
        </w:rPr>
      </w:pP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color w:val="auto"/>
          <w:sz w:val="24"/>
          <w:highlight w:val="none"/>
        </w:rPr>
      </w:pPr>
    </w:p>
    <w:p>
      <w:pPr>
        <w:spacing w:line="360" w:lineRule="auto"/>
        <w:ind w:firstLine="480" w:firstLineChars="200"/>
        <w:rPr>
          <w:rFonts w:hint="eastAsia" w:ascii="仿宋_GB2312" w:hAnsi="仿宋_GB2312" w:eastAsia="仿宋_GB2312" w:cs="仿宋_GB2312"/>
          <w:color w:val="auto"/>
          <w:sz w:val="24"/>
          <w:highlight w:val="none"/>
        </w:rPr>
      </w:pPr>
    </w:p>
    <w:p>
      <w:pPr>
        <w:tabs>
          <w:tab w:val="left" w:pos="4860"/>
        </w:tabs>
        <w:spacing w:line="360" w:lineRule="auto"/>
        <w:ind w:right="1560"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pPr>
        <w:tabs>
          <w:tab w:val="left" w:pos="4860"/>
        </w:tabs>
        <w:spacing w:line="360" w:lineRule="auto"/>
        <w:ind w:right="1560"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pPr>
        <w:spacing w:line="360" w:lineRule="auto"/>
        <w:ind w:firstLine="480" w:firstLineChars="200"/>
        <w:rPr>
          <w:rFonts w:hint="eastAsia" w:ascii="仿宋_GB2312" w:hAnsi="仿宋_GB2312" w:eastAsia="仿宋_GB2312" w:cs="仿宋_GB2312"/>
          <w:color w:val="auto"/>
          <w:sz w:val="24"/>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ind w:firstLine="420" w:firstLineChars="200"/>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jc w:val="left"/>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pPr>
        <w:snapToGrid w:val="0"/>
        <w:spacing w:beforeLines="100"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联系人：联系电话：</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质疑项目的编号：包号：</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p>
    <w:p>
      <w:pPr>
        <w:snapToGrid w:val="0"/>
        <w:spacing w:line="360" w:lineRule="auto"/>
        <w:rPr>
          <w:rFonts w:hint="eastAsia" w:ascii="仿宋_GB2312" w:hAnsi="仿宋_GB2312" w:eastAsia="仿宋_GB2312" w:cs="仿宋_GB2312"/>
          <w:color w:val="auto"/>
          <w:sz w:val="24"/>
          <w:highlight w:val="none"/>
        </w:rPr>
      </w:pP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p>
    <w:p>
      <w:pPr>
        <w:snapToGrid w:val="0"/>
        <w:spacing w:line="360" w:lineRule="auto"/>
        <w:rPr>
          <w:rFonts w:hint="eastAsia" w:ascii="仿宋_GB2312" w:hAnsi="仿宋_GB2312" w:eastAsia="仿宋_GB2312" w:cs="仿宋_GB2312"/>
          <w:color w:val="auto"/>
          <w:sz w:val="24"/>
          <w:highlight w:val="none"/>
          <w:u w:val="dotted"/>
        </w:rPr>
      </w:pP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napToGrid w:val="0"/>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pPr>
        <w:snapToGrid w:val="0"/>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spacing w:line="360" w:lineRule="auto"/>
        <w:jc w:val="center"/>
        <w:rPr>
          <w:rFonts w:hint="eastAsia" w:ascii="仿宋_GB2312" w:hAnsi="仿宋_GB2312" w:eastAsia="仿宋_GB2312" w:cs="仿宋_GB2312"/>
          <w:b/>
          <w:bCs/>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color w:val="auto"/>
          <w:sz w:val="30"/>
          <w:szCs w:val="30"/>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pStyle w:val="4"/>
        <w:rPr>
          <w:rFonts w:hint="eastAsia" w:ascii="仿宋_GB2312" w:hAnsi="仿宋_GB2312" w:eastAsia="仿宋_GB2312" w:cs="仿宋_GB2312"/>
          <w:b/>
          <w:color w:val="auto"/>
          <w:spacing w:val="6"/>
          <w:sz w:val="32"/>
          <w:szCs w:val="32"/>
          <w:highlight w:val="none"/>
        </w:rPr>
      </w:pPr>
    </w:p>
    <w:p>
      <w:pPr>
        <w:rPr>
          <w:rFonts w:hint="eastAsia"/>
          <w:color w:val="auto"/>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p>
    <w:p>
      <w:pPr>
        <w:spacing w:line="360" w:lineRule="auto"/>
        <w:jc w:val="left"/>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pPr>
        <w:spacing w:line="360" w:lineRule="auto"/>
        <w:jc w:val="center"/>
        <w:rPr>
          <w:rFonts w:hint="eastAsia" w:ascii="仿宋_GB2312" w:hAnsi="仿宋_GB2312" w:eastAsia="仿宋_GB2312" w:cs="仿宋_GB2312"/>
          <w:b/>
          <w:color w:val="auto"/>
          <w:sz w:val="24"/>
          <w:highlight w:val="none"/>
        </w:rPr>
      </w:pPr>
    </w:p>
    <w:p>
      <w:pPr>
        <w:spacing w:line="360" w:lineRule="auto"/>
        <w:jc w:val="center"/>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pPr>
        <w:tabs>
          <w:tab w:val="left" w:pos="6510"/>
        </w:tabs>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p>
    <w:p>
      <w:pPr>
        <w:tabs>
          <w:tab w:val="left" w:pos="6510"/>
        </w:tabs>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授权代表：联系电话</w:t>
      </w:r>
      <w:r>
        <w:rPr>
          <w:rFonts w:hint="eastAsia" w:ascii="仿宋_GB2312" w:hAnsi="仿宋_GB2312" w:eastAsia="仿宋_GB2312" w:cs="仿宋_GB2312"/>
          <w:color w:val="auto"/>
          <w:sz w:val="24"/>
          <w:highlight w:val="none"/>
          <w:u w:val="dotted"/>
        </w:rPr>
        <w:t>：</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地址：邮编：</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联系人：联系电话：</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地址：邮编：</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联系人：联系电话：</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采购项目编号：包号：</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pPr>
        <w:spacing w:line="360" w:lineRule="auto"/>
        <w:ind w:firstLine="480" w:firstLineChars="200"/>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投诉人于年月日,向提出质疑，质疑事项为：</w:t>
      </w:r>
    </w:p>
    <w:p>
      <w:pPr>
        <w:spacing w:line="360" w:lineRule="auto"/>
        <w:rPr>
          <w:rFonts w:hint="eastAsia" w:ascii="仿宋_GB2312" w:hAnsi="仿宋_GB2312" w:eastAsia="仿宋_GB2312" w:cs="仿宋_GB2312"/>
          <w:color w:val="auto"/>
          <w:sz w:val="24"/>
          <w:highlight w:val="none"/>
          <w:u w:val="dotted"/>
        </w:rPr>
      </w:pPr>
    </w:p>
    <w:p>
      <w:pPr>
        <w:spacing w:line="360" w:lineRule="auto"/>
        <w:ind w:firstLine="360" w:firstLineChars="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于年月日,就质疑事项作出了答复/没有在法定期限内作出答复。</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p>
    <w:p>
      <w:pPr>
        <w:spacing w:line="360" w:lineRule="auto"/>
        <w:rPr>
          <w:rFonts w:hint="eastAsia" w:ascii="仿宋_GB2312" w:hAnsi="仿宋_GB2312" w:eastAsia="仿宋_GB2312" w:cs="仿宋_GB2312"/>
          <w:color w:val="auto"/>
          <w:sz w:val="24"/>
          <w:highlight w:val="none"/>
          <w:u w:val="dotted"/>
        </w:rPr>
      </w:pPr>
    </w:p>
    <w:p>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p>
    <w:p>
      <w:pPr>
        <w:spacing w:line="360" w:lineRule="auto"/>
        <w:rPr>
          <w:rFonts w:hint="eastAsia" w:ascii="仿宋_GB2312" w:hAnsi="仿宋_GB2312" w:eastAsia="仿宋_GB2312" w:cs="仿宋_GB2312"/>
          <w:color w:val="auto"/>
          <w:sz w:val="24"/>
          <w:highlight w:val="none"/>
          <w:u w:val="dotted"/>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pPr>
        <w:spacing w:line="360" w:lineRule="auto"/>
        <w:rPr>
          <w:rFonts w:hint="eastAsia"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p>
    <w:p>
      <w:pPr>
        <w:spacing w:line="360" w:lineRule="auto"/>
        <w:rPr>
          <w:rFonts w:hint="eastAsia" w:ascii="仿宋_GB2312" w:hAnsi="仿宋_GB2312" w:eastAsia="仿宋_GB2312" w:cs="仿宋_GB2312"/>
          <w:color w:val="auto"/>
          <w:sz w:val="24"/>
          <w:highlight w:val="none"/>
          <w:u w:val="single"/>
        </w:rPr>
      </w:pP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p>
    <w:p>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pPr>
        <w:widowControl/>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pPr>
        <w:widowControl/>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color w:val="auto"/>
          <w:sz w:val="24"/>
          <w:highlight w:val="none"/>
        </w:rPr>
      </w:pPr>
    </w:p>
    <w:p>
      <w:pPr>
        <w:pStyle w:val="4"/>
        <w:rPr>
          <w:rFonts w:hint="eastAsia" w:ascii="仿宋_GB2312" w:hAnsi="仿宋_GB2312" w:eastAsia="仿宋_GB2312" w:cs="仿宋_GB2312"/>
          <w:b/>
          <w:color w:val="auto"/>
          <w:sz w:val="24"/>
          <w:highlight w:val="none"/>
        </w:rPr>
      </w:pPr>
    </w:p>
    <w:p>
      <w:pPr>
        <w:rPr>
          <w:rFonts w:hint="eastAsia"/>
          <w:color w:val="auto"/>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（采购人）、（采购代理机构）</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你方组织的（项目名称）项目【招标编号：（采购编号）】</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firstLine="494"/>
        <w:rPr>
          <w:rFonts w:hint="eastAsia" w:ascii="仿宋_GB2312" w:hAnsi="仿宋_GB2312" w:eastAsia="仿宋_GB2312" w:cs="仿宋_GB2312"/>
          <w:color w:val="auto"/>
          <w:sz w:val="24"/>
          <w:highlight w:val="none"/>
        </w:rPr>
      </w:pPr>
    </w:p>
    <w:p>
      <w:pPr>
        <w:spacing w:line="360" w:lineRule="auto"/>
        <w:ind w:right="480" w:firstLine="4080" w:firstLineChars="17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pPr>
        <w:ind w:right="1440" w:firstLine="494"/>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pPr>
        <w:spacing w:line="360" w:lineRule="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_GB2312" w:hAnsi="仿宋_GB2312" w:eastAsia="仿宋_GB2312" w:cs="仿宋_GB2312"/>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_GB2312" w:hAnsi="仿宋_GB2312" w:eastAsia="仿宋_GB2312" w:cs="仿宋_GB2312"/>
          <w:color w:val="auto"/>
          <w:sz w:val="24"/>
          <w:highlight w:val="none"/>
        </w:rPr>
        <w:t>投标单位法定名称章（印模）投标单位“XX专用章”（印模）</w:t>
      </w: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color w:val="auto"/>
          <w:spacing w:val="6"/>
          <w:sz w:val="32"/>
          <w:szCs w:val="32"/>
          <w:highlight w:val="none"/>
        </w:rPr>
      </w:pPr>
    </w:p>
    <w:p>
      <w:pPr>
        <w:autoSpaceDE w:val="0"/>
        <w:autoSpaceDN w:val="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sz w:val="32"/>
          <w:szCs w:val="32"/>
          <w:highlight w:val="none"/>
        </w:rPr>
        <w:t>中小企业声明函</w:t>
      </w:r>
    </w:p>
    <w:p>
      <w:pPr>
        <w:spacing w:line="360" w:lineRule="auto"/>
        <w:jc w:val="center"/>
        <w:rPr>
          <w:rFonts w:hint="eastAsia" w:ascii="仿宋_GB2312" w:hAnsi="仿宋_GB2312" w:eastAsia="仿宋_GB2312" w:cs="仿宋_GB2312"/>
          <w:color w:val="auto"/>
          <w:sz w:val="24"/>
          <w:highlight w:val="none"/>
          <w:u w:val="single"/>
        </w:rPr>
      </w:pPr>
    </w:p>
    <w:p>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中小企业声明函（工程、服务）</w:t>
      </w:r>
    </w:p>
    <w:p>
      <w:pPr>
        <w:spacing w:line="360" w:lineRule="auto"/>
        <w:rPr>
          <w:rFonts w:hint="eastAsia" w:ascii="仿宋_GB2312" w:hAnsi="仿宋_GB2312" w:eastAsia="仿宋_GB2312" w:cs="仿宋_GB2312"/>
          <w:color w:val="auto"/>
          <w:highlight w:val="none"/>
        </w:rPr>
      </w:pPr>
    </w:p>
    <w:p>
      <w:pPr>
        <w:spacing w:line="360" w:lineRule="auto"/>
        <w:ind w:firstLine="360" w:firstLineChars="15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（标的名称）</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其他未列明行业</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 xml:space="preserve"> ；承建（承接）企业为 </w:t>
      </w:r>
      <w:r>
        <w:rPr>
          <w:rFonts w:hint="eastAsia" w:ascii="仿宋_GB2312" w:hAnsi="仿宋_GB2312" w:eastAsia="仿宋_GB2312" w:cs="仿宋_GB2312"/>
          <w:color w:val="auto"/>
          <w:sz w:val="24"/>
          <w:highlight w:val="none"/>
          <w:u w:val="single"/>
        </w:rPr>
        <w:t>（企业名称）</w:t>
      </w:r>
      <w:r>
        <w:rPr>
          <w:rFonts w:hint="eastAsia" w:ascii="仿宋_GB2312" w:hAnsi="仿宋_GB2312" w:eastAsia="仿宋_GB2312" w:cs="仿宋_GB2312"/>
          <w:color w:val="auto"/>
          <w:sz w:val="24"/>
          <w:highlight w:val="none"/>
        </w:rPr>
        <w:t xml:space="preserve"> ，从业人员人，营业收入为万元，资产总额为万元属于</w:t>
      </w:r>
      <w:r>
        <w:rPr>
          <w:rFonts w:hint="eastAsia" w:ascii="仿宋_GB2312" w:hAnsi="仿宋_GB2312" w:eastAsia="仿宋_GB2312" w:cs="仿宋_GB2312"/>
          <w:color w:val="auto"/>
          <w:sz w:val="24"/>
          <w:highlight w:val="none"/>
          <w:u w:val="single"/>
        </w:rPr>
        <w:t xml:space="preserve"> （中型企业、小型企业、微型企业） </w:t>
      </w:r>
      <w:r>
        <w:rPr>
          <w:rFonts w:hint="eastAsia" w:ascii="仿宋_GB2312" w:hAnsi="仿宋_GB2312" w:eastAsia="仿宋_GB2312" w:cs="仿宋_GB2312"/>
          <w:color w:val="auto"/>
          <w:sz w:val="24"/>
          <w:highlight w:val="none"/>
        </w:rPr>
        <w:t>；</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u w:val="single"/>
        </w:rPr>
        <w:t>（标的名称）</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rPr>
        <w:t>（采购文件中明确的所属行业）</w:t>
      </w:r>
      <w:r>
        <w:rPr>
          <w:rFonts w:hint="eastAsia" w:ascii="仿宋_GB2312" w:hAnsi="仿宋_GB2312" w:eastAsia="仿宋_GB2312" w:cs="仿宋_GB2312"/>
          <w:color w:val="auto"/>
          <w:sz w:val="24"/>
          <w:highlight w:val="none"/>
        </w:rPr>
        <w:t xml:space="preserve"> ；承建（承接）企业为 </w:t>
      </w:r>
      <w:r>
        <w:rPr>
          <w:rFonts w:hint="eastAsia" w:ascii="仿宋_GB2312" w:hAnsi="仿宋_GB2312" w:eastAsia="仿宋_GB2312" w:cs="仿宋_GB2312"/>
          <w:color w:val="auto"/>
          <w:sz w:val="24"/>
          <w:highlight w:val="none"/>
          <w:u w:val="single"/>
        </w:rPr>
        <w:t>（企业名称）</w:t>
      </w:r>
      <w:r>
        <w:rPr>
          <w:rFonts w:hint="eastAsia" w:ascii="仿宋_GB2312" w:hAnsi="仿宋_GB2312" w:eastAsia="仿宋_GB2312" w:cs="仿宋_GB2312"/>
          <w:color w:val="auto"/>
          <w:sz w:val="24"/>
          <w:highlight w:val="none"/>
        </w:rPr>
        <w:t xml:space="preserve"> ，从业人员人，营业收入为万元，资产总额为万元属于</w:t>
      </w:r>
      <w:r>
        <w:rPr>
          <w:rFonts w:hint="eastAsia" w:ascii="仿宋_GB2312" w:hAnsi="仿宋_GB2312" w:eastAsia="仿宋_GB2312" w:cs="仿宋_GB2312"/>
          <w:color w:val="auto"/>
          <w:sz w:val="24"/>
          <w:highlight w:val="none"/>
          <w:u w:val="single"/>
        </w:rPr>
        <w:t xml:space="preserve"> （中型企业、小型企业、微型企业） </w:t>
      </w:r>
      <w:r>
        <w:rPr>
          <w:rFonts w:hint="eastAsia" w:ascii="仿宋_GB2312" w:hAnsi="仿宋_GB2312" w:eastAsia="仿宋_GB2312" w:cs="仿宋_GB2312"/>
          <w:color w:val="auto"/>
          <w:sz w:val="24"/>
          <w:highlight w:val="none"/>
        </w:rPr>
        <w:t>；</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投标人名称（电子签名）：</w:t>
      </w:r>
    </w:p>
    <w:p>
      <w:pPr>
        <w:spacing w:line="360" w:lineRule="auto"/>
        <w:ind w:right="1120" w:firstLine="4680" w:firstLineChars="19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pPr>
        <w:spacing w:line="360" w:lineRule="auto"/>
        <w:ind w:firstLine="310" w:firstLineChars="147"/>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color w:val="auto"/>
          <w:sz w:val="24"/>
          <w:highlight w:val="none"/>
        </w:rPr>
      </w:pPr>
    </w:p>
    <w:p>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_GB2312" w:hAnsi="仿宋_GB2312" w:eastAsia="仿宋_GB2312" w:cs="仿宋_GB2312"/>
          <w:color w:val="auto"/>
          <w:highlight w:val="none"/>
          <w:lang w:val="en-US"/>
        </w:rPr>
      </w:pPr>
    </w:p>
    <w:p>
      <w:pPr>
        <w:spacing w:line="360" w:lineRule="auto"/>
        <w:ind w:right="420"/>
        <w:rPr>
          <w:rFonts w:hint="eastAsia" w:ascii="仿宋_GB2312" w:hAnsi="仿宋_GB2312" w:eastAsia="仿宋_GB2312" w:cs="仿宋_GB2312"/>
          <w:color w:val="auto"/>
          <w:highlight w:val="none"/>
        </w:rPr>
      </w:pPr>
    </w:p>
    <w:p>
      <w:pPr>
        <w:pStyle w:val="25"/>
        <w:ind w:firstLine="0"/>
        <w:rPr>
          <w:rFonts w:hint="eastAsia" w:ascii="仿宋_GB2312" w:hAnsi="仿宋_GB2312" w:eastAsia="仿宋_GB2312" w:cs="仿宋_GB2312"/>
          <w:b/>
          <w:color w:val="auto"/>
          <w:szCs w:val="21"/>
          <w:highlight w:val="none"/>
          <w:lang w:val="en-US"/>
        </w:rPr>
      </w:pPr>
      <w:r>
        <w:rPr>
          <w:rFonts w:hint="eastAsia" w:ascii="仿宋_GB2312" w:hAnsi="仿宋_GB2312" w:eastAsia="仿宋_GB2312" w:cs="仿宋_GB2312"/>
          <w:b/>
          <w:color w:val="auto"/>
          <w:szCs w:val="21"/>
          <w:highlight w:val="none"/>
        </w:rPr>
        <w:t>附件</w:t>
      </w:r>
      <w:r>
        <w:rPr>
          <w:rFonts w:hint="eastAsia" w:ascii="仿宋_GB2312" w:hAnsi="仿宋_GB2312" w:eastAsia="仿宋_GB2312" w:cs="仿宋_GB2312"/>
          <w:b/>
          <w:color w:val="auto"/>
          <w:szCs w:val="21"/>
          <w:highlight w:val="none"/>
          <w:lang w:val="en-US"/>
        </w:rPr>
        <w:t>：</w:t>
      </w:r>
      <w:r>
        <w:rPr>
          <w:rFonts w:hint="eastAsia" w:ascii="仿宋_GB2312" w:hAnsi="仿宋_GB2312" w:eastAsia="仿宋_GB2312" w:cs="仿宋_GB2312"/>
          <w:b/>
          <w:color w:val="auto"/>
          <w:szCs w:val="21"/>
          <w:highlight w:val="none"/>
        </w:rPr>
        <w:t>中小企业划</w:t>
      </w:r>
    </w:p>
    <w:p>
      <w:pPr>
        <w:pStyle w:val="619"/>
        <w:spacing w:line="500" w:lineRule="exac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spacing w:line="500" w:lineRule="exact"/>
        <w:jc w:val="center"/>
        <w:rPr>
          <w:rFonts w:hint="eastAsia" w:ascii="仿宋_GB2312" w:hAnsi="仿宋_GB2312" w:eastAsia="仿宋_GB2312" w:cs="仿宋_GB2312"/>
          <w:b/>
          <w:color w:val="auto"/>
          <w:sz w:val="28"/>
          <w:szCs w:val="28"/>
          <w:highlight w:val="none"/>
        </w:rPr>
      </w:pPr>
    </w:p>
    <w:p>
      <w:pPr>
        <w:pStyle w:val="619"/>
        <w:spacing w:line="5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中小企业划型标准规定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一、根据《中华人民共和国中小企业促进法》和《</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"https://www.shui5.cn/article/47/26142.html"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国务院关于进一步促进中小企业发展的若干意见</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"https://www.shui5.cn/article/47/26142.html"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国发〔2009〕36号</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)，制定本规定。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rPr>
        <w:t>四、各行业划型标准为：</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五、企业类型的划分以统计部门的统计数据为依据。</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九、本规定由工业和信息化部、国家统计局会同有关部门负责解释。</w:t>
      </w:r>
    </w:p>
    <w:p>
      <w:pPr>
        <w:pStyle w:val="619"/>
        <w:adjustRightInd w:val="0"/>
        <w:spacing w:line="360" w:lineRule="auto"/>
        <w:ind w:firstLine="444" w:firstLineChars="200"/>
        <w:jc w:val="both"/>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十、本规定自发布之日起执行，原国家经贸委、原国家计委、财政部和国家统计局2003年颁布的《</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"https://www.shui5.cn/article/df/24263.html"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中小企业标准暂行规定</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"https://www.shui5.cn/article/df/24263.html"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pacing w:val="6"/>
          <w:szCs w:val="21"/>
          <w:highlight w:val="none"/>
        </w:rPr>
        <w:t>国经贸中小企[2003]143号</w:t>
      </w:r>
      <w:r>
        <w:rPr>
          <w:rFonts w:hint="eastAsia" w:ascii="仿宋_GB2312" w:hAnsi="仿宋_GB2312" w:eastAsia="仿宋_GB2312" w:cs="仿宋_GB2312"/>
          <w:color w:val="auto"/>
          <w:spacing w:val="6"/>
          <w:szCs w:val="21"/>
          <w:highlight w:val="none"/>
        </w:rPr>
        <w:fldChar w:fldCharType="end"/>
      </w:r>
      <w:r>
        <w:rPr>
          <w:rFonts w:hint="eastAsia" w:ascii="仿宋_GB2312" w:hAnsi="仿宋_GB2312" w:eastAsia="仿宋_GB2312" w:cs="仿宋_GB2312"/>
          <w:color w:val="auto"/>
          <w:spacing w:val="6"/>
          <w:szCs w:val="21"/>
          <w:highlight w:val="none"/>
        </w:rPr>
        <w:t>同时废止。</w:t>
      </w:r>
    </w:p>
    <w:p>
      <w:pPr>
        <w:spacing w:line="360" w:lineRule="auto"/>
        <w:rPr>
          <w:rFonts w:hint="eastAsia" w:ascii="仿宋_GB2312" w:hAnsi="仿宋_GB2312" w:eastAsia="仿宋_GB2312" w:cs="仿宋_GB2312"/>
          <w:bCs/>
          <w:color w:val="auto"/>
          <w:sz w:val="24"/>
          <w:highlight w:val="none"/>
        </w:rPr>
      </w:pPr>
    </w:p>
    <w:sectPr>
      <w:headerReference r:id="rId31" w:type="first"/>
      <w:footerReference r:id="rId33" w:type="first"/>
      <w:headerReference r:id="rId30" w:type="default"/>
      <w:footerReference r:id="rId32"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5" w:name="_Toc164085800"/>
    <w:bookmarkStart w:id="406" w:name="_Toc131845147"/>
    <w:bookmarkStart w:id="407" w:name="_Toc91899912"/>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ascii="Times New Roman" w:hAnsi="Times New Roman" w:eastAsia="??" w:cs="Times New Roman"/>
        <w:kern w:val="2"/>
        <w:sz w:val="18"/>
        <w:szCs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FpfnFAQAAmgMAAA4AAABkcnMvZTJvRG9jLnhtbK1TS27bMBDdF8gd&#10;CO5jyQZa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r/nzAlLDf/19fvPH9/YKnnT&#10;B6zoyHN4gilDCpPQoQWbviSBDdnP88VPNUQmqbhcr9brkqyWtDcnhFO8XA+A8V55y1JQc6CGZR/F&#10;6QHjeHQ+kl5z/k4bQ3VRGfdXgTDHispdn24n/iPjFMVhP0wy9r45k/CeOl9zR4POmfnoyNg0JHMA&#10;c7Cfg2MAfeiI6DKzxHB7jEQpM00vjLCkMCXUsqx1Gq80E3/m+dTLL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1xaX5xQEAAJoDAAAOAAAAAAAAAAEAIAAAAB8BAABkcnMvZTJvRG9jLnht&#10;bFBLBQYAAAAABgAGAFkBAABWBQAAAAA=&#10;">
              <v:fill on="f" focussize="0,0"/>
              <v:stroke on="f"/>
              <v:imagedata o:title=""/>
              <o:lock v:ext="edit" aspectratio="f"/>
              <v:textbox inset="0mm,0mm,0mm,0mm" style="mso-fit-shape-to-text:t;">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4"/>
      <w:rPr>
        <w:rStyle w:val="74"/>
      </w:rPr>
    </w:pPr>
    <w:r>
      <w:fldChar w:fldCharType="begin"/>
    </w:r>
    <w:r>
      <w:rPr>
        <w:rStyle w:val="74"/>
      </w:rPr>
      <w:instrText xml:space="preserve">PAGE  </w:instrText>
    </w:r>
    <w:r>
      <w:fldChar w:fldCharType="end"/>
    </w:r>
  </w:p>
  <w:p>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74"/>
        <w:b/>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p>
    <w:pPr>
      <w:pStyle w:val="42"/>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separate"/>
    </w:r>
    <w:r>
      <w:rPr>
        <w:rStyle w:val="74"/>
      </w:rPr>
      <w:t>63</w: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74"/>
        <w:b/>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mc:Fallback>
      </mc:AlternateContent>
    </w:r>
  </w:p>
  <w:p>
    <w:pPr>
      <w:pStyle w:val="4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r>
      <w:rPr>
        <w:rFonts w:hint="eastAsia"/>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r>
      <w:rPr>
        <w:rFonts w:hint="eastAsia"/>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r>
      <w:rPr>
        <w:rFonts w:hint="eastAsia"/>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DD64B"/>
    <w:multiLevelType w:val="singleLevel"/>
    <w:tmpl w:val="A34DD64B"/>
    <w:lvl w:ilvl="0" w:tentative="0">
      <w:start w:val="1"/>
      <w:numFmt w:val="decimal"/>
      <w:suff w:val="nothing"/>
      <w:lvlText w:val="（%1）"/>
      <w:lvlJc w:val="left"/>
    </w:lvl>
  </w:abstractNum>
  <w:abstractNum w:abstractNumId="1">
    <w:nsid w:val="18C8FB62"/>
    <w:multiLevelType w:val="singleLevel"/>
    <w:tmpl w:val="18C8FB62"/>
    <w:lvl w:ilvl="0" w:tentative="0">
      <w:start w:val="13"/>
      <w:numFmt w:val="decimal"/>
      <w:suff w:val="nothing"/>
      <w:lvlText w:val="（%1）"/>
      <w:lvlJc w:val="left"/>
    </w:lvl>
  </w:abstractNum>
  <w:abstractNum w:abstractNumId="2">
    <w:nsid w:val="412013E1"/>
    <w:multiLevelType w:val="singleLevel"/>
    <w:tmpl w:val="412013E1"/>
    <w:lvl w:ilvl="0" w:tentative="0">
      <w:start w:val="9"/>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WY2YTQxZDRjYjM5YzdiYWQ4Njk3YjMyNmZjZ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861C6"/>
    <w:rsid w:val="026B2E25"/>
    <w:rsid w:val="02824D4D"/>
    <w:rsid w:val="02DC4B10"/>
    <w:rsid w:val="02DD76CE"/>
    <w:rsid w:val="02F36323"/>
    <w:rsid w:val="02F5619C"/>
    <w:rsid w:val="0326446A"/>
    <w:rsid w:val="032D5555"/>
    <w:rsid w:val="03530759"/>
    <w:rsid w:val="036634D2"/>
    <w:rsid w:val="03DD35E4"/>
    <w:rsid w:val="04076900"/>
    <w:rsid w:val="041A5A3B"/>
    <w:rsid w:val="042311BA"/>
    <w:rsid w:val="042B157A"/>
    <w:rsid w:val="048F763B"/>
    <w:rsid w:val="049F330E"/>
    <w:rsid w:val="04AA775C"/>
    <w:rsid w:val="04AF1889"/>
    <w:rsid w:val="04E4790F"/>
    <w:rsid w:val="04E7153F"/>
    <w:rsid w:val="04F66F48"/>
    <w:rsid w:val="05251E14"/>
    <w:rsid w:val="05A16594"/>
    <w:rsid w:val="05A7762D"/>
    <w:rsid w:val="060E5941"/>
    <w:rsid w:val="06110FAF"/>
    <w:rsid w:val="063B3638"/>
    <w:rsid w:val="06493CA7"/>
    <w:rsid w:val="065A6178"/>
    <w:rsid w:val="066F1CF3"/>
    <w:rsid w:val="06930BB8"/>
    <w:rsid w:val="07245D42"/>
    <w:rsid w:val="07264C62"/>
    <w:rsid w:val="0779354C"/>
    <w:rsid w:val="08061376"/>
    <w:rsid w:val="08452D77"/>
    <w:rsid w:val="086401F8"/>
    <w:rsid w:val="08751CAA"/>
    <w:rsid w:val="087E4C40"/>
    <w:rsid w:val="08CD476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36B45"/>
    <w:rsid w:val="0E5604B2"/>
    <w:rsid w:val="0E6D5D79"/>
    <w:rsid w:val="0E724F47"/>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85D98"/>
    <w:rsid w:val="12530213"/>
    <w:rsid w:val="127723A9"/>
    <w:rsid w:val="12862074"/>
    <w:rsid w:val="12883966"/>
    <w:rsid w:val="129B48F0"/>
    <w:rsid w:val="129E45B4"/>
    <w:rsid w:val="12D81596"/>
    <w:rsid w:val="13072A44"/>
    <w:rsid w:val="135F4BE2"/>
    <w:rsid w:val="139B1A0A"/>
    <w:rsid w:val="139D25C7"/>
    <w:rsid w:val="13BF3CE4"/>
    <w:rsid w:val="141008D8"/>
    <w:rsid w:val="14125FE6"/>
    <w:rsid w:val="146D271E"/>
    <w:rsid w:val="14982588"/>
    <w:rsid w:val="149A5AD9"/>
    <w:rsid w:val="14A7619D"/>
    <w:rsid w:val="14FE7203"/>
    <w:rsid w:val="150536C3"/>
    <w:rsid w:val="150C1963"/>
    <w:rsid w:val="151447A0"/>
    <w:rsid w:val="154A6454"/>
    <w:rsid w:val="15762120"/>
    <w:rsid w:val="15B21C35"/>
    <w:rsid w:val="16A8729C"/>
    <w:rsid w:val="16B33777"/>
    <w:rsid w:val="16BC70A7"/>
    <w:rsid w:val="16C6339E"/>
    <w:rsid w:val="170C256E"/>
    <w:rsid w:val="172F2D79"/>
    <w:rsid w:val="17557BEF"/>
    <w:rsid w:val="176554B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86220"/>
    <w:rsid w:val="1AB8220E"/>
    <w:rsid w:val="1AE4166C"/>
    <w:rsid w:val="1AE654C9"/>
    <w:rsid w:val="1AF06CFB"/>
    <w:rsid w:val="1AF11B8D"/>
    <w:rsid w:val="1B11359C"/>
    <w:rsid w:val="1B2A271F"/>
    <w:rsid w:val="1B530544"/>
    <w:rsid w:val="1B713184"/>
    <w:rsid w:val="1B8F7F66"/>
    <w:rsid w:val="1BA209CF"/>
    <w:rsid w:val="1BB4777D"/>
    <w:rsid w:val="1BD75AB8"/>
    <w:rsid w:val="1BE24C04"/>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C4F16"/>
    <w:rsid w:val="1F0A0FF3"/>
    <w:rsid w:val="1F5771FF"/>
    <w:rsid w:val="1FE868A9"/>
    <w:rsid w:val="20034907"/>
    <w:rsid w:val="200F2CD0"/>
    <w:rsid w:val="20173E4B"/>
    <w:rsid w:val="204E48BC"/>
    <w:rsid w:val="208921B3"/>
    <w:rsid w:val="20973DEB"/>
    <w:rsid w:val="20B26522"/>
    <w:rsid w:val="20B44310"/>
    <w:rsid w:val="21001821"/>
    <w:rsid w:val="211116EB"/>
    <w:rsid w:val="216133FC"/>
    <w:rsid w:val="21D56769"/>
    <w:rsid w:val="21E52EF3"/>
    <w:rsid w:val="21FB5D7B"/>
    <w:rsid w:val="220B1C3D"/>
    <w:rsid w:val="221D1D20"/>
    <w:rsid w:val="22334A87"/>
    <w:rsid w:val="229D0DE7"/>
    <w:rsid w:val="22BE6801"/>
    <w:rsid w:val="2308074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57CDC"/>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66044"/>
    <w:rsid w:val="29345E77"/>
    <w:rsid w:val="294C65AD"/>
    <w:rsid w:val="29806583"/>
    <w:rsid w:val="298B3C4C"/>
    <w:rsid w:val="29F26D24"/>
    <w:rsid w:val="2A15033F"/>
    <w:rsid w:val="2A1662C1"/>
    <w:rsid w:val="2A1C7367"/>
    <w:rsid w:val="2A2815FA"/>
    <w:rsid w:val="2A6D6092"/>
    <w:rsid w:val="2A7D76B4"/>
    <w:rsid w:val="2AB85BC4"/>
    <w:rsid w:val="2AEB525A"/>
    <w:rsid w:val="2B437463"/>
    <w:rsid w:val="2B7807EE"/>
    <w:rsid w:val="2BBF00EC"/>
    <w:rsid w:val="2BC37CFD"/>
    <w:rsid w:val="2BD5237F"/>
    <w:rsid w:val="2BE536CE"/>
    <w:rsid w:val="2BE758D9"/>
    <w:rsid w:val="2BF912DF"/>
    <w:rsid w:val="2C09049E"/>
    <w:rsid w:val="2C0A653C"/>
    <w:rsid w:val="2C191F85"/>
    <w:rsid w:val="2C414D18"/>
    <w:rsid w:val="2CE82D6F"/>
    <w:rsid w:val="2D343236"/>
    <w:rsid w:val="2DD15014"/>
    <w:rsid w:val="2DF72DE4"/>
    <w:rsid w:val="2E0220AF"/>
    <w:rsid w:val="2E4B082A"/>
    <w:rsid w:val="2E5D4E86"/>
    <w:rsid w:val="2E5D790B"/>
    <w:rsid w:val="2E766D18"/>
    <w:rsid w:val="2E9A3C18"/>
    <w:rsid w:val="2EBB0FEE"/>
    <w:rsid w:val="2EC63002"/>
    <w:rsid w:val="2F0A6B38"/>
    <w:rsid w:val="2F946CCB"/>
    <w:rsid w:val="2FD25781"/>
    <w:rsid w:val="2FFD7934"/>
    <w:rsid w:val="30733ACD"/>
    <w:rsid w:val="308C3862"/>
    <w:rsid w:val="309379D8"/>
    <w:rsid w:val="30A270F7"/>
    <w:rsid w:val="30DF1478"/>
    <w:rsid w:val="30EC586F"/>
    <w:rsid w:val="311D4A94"/>
    <w:rsid w:val="319C6071"/>
    <w:rsid w:val="31AC537E"/>
    <w:rsid w:val="31E3679B"/>
    <w:rsid w:val="31E53601"/>
    <w:rsid w:val="31E732FD"/>
    <w:rsid w:val="32517576"/>
    <w:rsid w:val="32BE5C2C"/>
    <w:rsid w:val="32FB6478"/>
    <w:rsid w:val="33263B3F"/>
    <w:rsid w:val="336963EB"/>
    <w:rsid w:val="33816EEB"/>
    <w:rsid w:val="33EB55CD"/>
    <w:rsid w:val="33EC4C02"/>
    <w:rsid w:val="340D2360"/>
    <w:rsid w:val="3410665D"/>
    <w:rsid w:val="34211214"/>
    <w:rsid w:val="342E63AB"/>
    <w:rsid w:val="34456834"/>
    <w:rsid w:val="34950E68"/>
    <w:rsid w:val="34986E94"/>
    <w:rsid w:val="34AF62C9"/>
    <w:rsid w:val="34CB4388"/>
    <w:rsid w:val="34FA6E12"/>
    <w:rsid w:val="358B56A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405D5"/>
    <w:rsid w:val="38586797"/>
    <w:rsid w:val="38BC0149"/>
    <w:rsid w:val="38D87D1C"/>
    <w:rsid w:val="393B3739"/>
    <w:rsid w:val="39636459"/>
    <w:rsid w:val="396B7F6C"/>
    <w:rsid w:val="39B417A9"/>
    <w:rsid w:val="39FC5695"/>
    <w:rsid w:val="3A006D8E"/>
    <w:rsid w:val="3A3651E5"/>
    <w:rsid w:val="3A5A2382"/>
    <w:rsid w:val="3A5E4A7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94A3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E247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939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797299"/>
    <w:rsid w:val="4A95305D"/>
    <w:rsid w:val="4AA87600"/>
    <w:rsid w:val="4AB82D0F"/>
    <w:rsid w:val="4AEB7664"/>
    <w:rsid w:val="4AFD7C19"/>
    <w:rsid w:val="4B0567D1"/>
    <w:rsid w:val="4B236AAE"/>
    <w:rsid w:val="4B707271"/>
    <w:rsid w:val="4B9739F7"/>
    <w:rsid w:val="4BEE2503"/>
    <w:rsid w:val="4C245A30"/>
    <w:rsid w:val="4CB6685F"/>
    <w:rsid w:val="4CC367FE"/>
    <w:rsid w:val="4CD40DE8"/>
    <w:rsid w:val="4D077F3C"/>
    <w:rsid w:val="4D123355"/>
    <w:rsid w:val="4D2A3B31"/>
    <w:rsid w:val="4D312C52"/>
    <w:rsid w:val="4D905305"/>
    <w:rsid w:val="4D964A72"/>
    <w:rsid w:val="4D9C1254"/>
    <w:rsid w:val="4E3379F8"/>
    <w:rsid w:val="4E793892"/>
    <w:rsid w:val="4E800872"/>
    <w:rsid w:val="4EC569ED"/>
    <w:rsid w:val="4ED03489"/>
    <w:rsid w:val="4ED50EA1"/>
    <w:rsid w:val="4EEC050C"/>
    <w:rsid w:val="4F104EC3"/>
    <w:rsid w:val="4F3E697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B4B5C"/>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86297"/>
    <w:rsid w:val="57AB7B30"/>
    <w:rsid w:val="57AF5251"/>
    <w:rsid w:val="57B26373"/>
    <w:rsid w:val="57B63F04"/>
    <w:rsid w:val="57C91A6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6723E"/>
    <w:rsid w:val="5AAD6F28"/>
    <w:rsid w:val="5AD63A24"/>
    <w:rsid w:val="5B2E1A1D"/>
    <w:rsid w:val="5B843A1C"/>
    <w:rsid w:val="5B873E3F"/>
    <w:rsid w:val="5BF26DC5"/>
    <w:rsid w:val="5C02690E"/>
    <w:rsid w:val="5C196DA7"/>
    <w:rsid w:val="5C2A048C"/>
    <w:rsid w:val="5C80234E"/>
    <w:rsid w:val="5C8A680C"/>
    <w:rsid w:val="5D0C4701"/>
    <w:rsid w:val="5D0F0395"/>
    <w:rsid w:val="5D221076"/>
    <w:rsid w:val="5D330D74"/>
    <w:rsid w:val="5D397964"/>
    <w:rsid w:val="5D5A391C"/>
    <w:rsid w:val="5D5F10C0"/>
    <w:rsid w:val="5D891B7B"/>
    <w:rsid w:val="5DAD38EE"/>
    <w:rsid w:val="5E006862"/>
    <w:rsid w:val="5E0207B9"/>
    <w:rsid w:val="5E1834A1"/>
    <w:rsid w:val="5E261785"/>
    <w:rsid w:val="5E4A7017"/>
    <w:rsid w:val="5E552BBA"/>
    <w:rsid w:val="5E586304"/>
    <w:rsid w:val="5E611C10"/>
    <w:rsid w:val="5EBD2245"/>
    <w:rsid w:val="5EFC7377"/>
    <w:rsid w:val="5F06174D"/>
    <w:rsid w:val="5F3A3602"/>
    <w:rsid w:val="5F6277C6"/>
    <w:rsid w:val="5F6D0B1D"/>
    <w:rsid w:val="5F8D0B82"/>
    <w:rsid w:val="5FCC5339"/>
    <w:rsid w:val="5FE34A5B"/>
    <w:rsid w:val="5FFE1E36"/>
    <w:rsid w:val="60232584"/>
    <w:rsid w:val="60411174"/>
    <w:rsid w:val="607330CE"/>
    <w:rsid w:val="60825176"/>
    <w:rsid w:val="609F2AC4"/>
    <w:rsid w:val="60FA2EE8"/>
    <w:rsid w:val="61054A27"/>
    <w:rsid w:val="610A52BC"/>
    <w:rsid w:val="611D2366"/>
    <w:rsid w:val="612C2AD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646458"/>
    <w:rsid w:val="65854376"/>
    <w:rsid w:val="658767BE"/>
    <w:rsid w:val="65892531"/>
    <w:rsid w:val="66072A57"/>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C1860"/>
    <w:rsid w:val="68B96DBB"/>
    <w:rsid w:val="68CA2805"/>
    <w:rsid w:val="68E937A3"/>
    <w:rsid w:val="693E15D3"/>
    <w:rsid w:val="69627681"/>
    <w:rsid w:val="6977531D"/>
    <w:rsid w:val="69CC2BFF"/>
    <w:rsid w:val="69FD55B8"/>
    <w:rsid w:val="6A0B1C62"/>
    <w:rsid w:val="6A2406C8"/>
    <w:rsid w:val="6A297CD0"/>
    <w:rsid w:val="6ADE0BD1"/>
    <w:rsid w:val="6AE96859"/>
    <w:rsid w:val="6B147746"/>
    <w:rsid w:val="6B24787C"/>
    <w:rsid w:val="6B573233"/>
    <w:rsid w:val="6B5B6274"/>
    <w:rsid w:val="6B935D53"/>
    <w:rsid w:val="6C02726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34121C"/>
    <w:rsid w:val="6E8335BD"/>
    <w:rsid w:val="6E8E12EF"/>
    <w:rsid w:val="6E972936"/>
    <w:rsid w:val="6ED446C5"/>
    <w:rsid w:val="6F2A7D94"/>
    <w:rsid w:val="6F8331F1"/>
    <w:rsid w:val="6FAE08C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0768F"/>
    <w:rsid w:val="73C0646E"/>
    <w:rsid w:val="742222F5"/>
    <w:rsid w:val="74476126"/>
    <w:rsid w:val="74706664"/>
    <w:rsid w:val="747F3682"/>
    <w:rsid w:val="749C4185"/>
    <w:rsid w:val="75067759"/>
    <w:rsid w:val="752E6DCD"/>
    <w:rsid w:val="7551380D"/>
    <w:rsid w:val="75600BE5"/>
    <w:rsid w:val="7564475C"/>
    <w:rsid w:val="7583797F"/>
    <w:rsid w:val="75B50675"/>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F6F51"/>
    <w:rsid w:val="77D1700D"/>
    <w:rsid w:val="77EC04CC"/>
    <w:rsid w:val="78775729"/>
    <w:rsid w:val="7881300F"/>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21819"/>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936A4"/>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sz w:val="24"/>
      <w:szCs w:val="20"/>
    </w:rPr>
  </w:style>
  <w:style w:type="paragraph" w:styleId="6">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99"/>
    <w:pPr>
      <w:jc w:val="left"/>
    </w:p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4"/>
    <w:qFormat/>
    <w:uiPriority w:val="0"/>
    <w:pPr>
      <w:ind w:firstLine="420"/>
    </w:pPr>
    <w:rPr>
      <w:rFonts w:hAnsi="Calibri" w:cs="Times New Roman"/>
      <w:szCs w:val="20"/>
    </w:r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styleId="27">
    <w:name w:val="envelope return"/>
    <w:basedOn w:val="1"/>
    <w:semiHidden/>
    <w:unhideWhenUsed/>
    <w:qFormat/>
    <w:uiPriority w:val="99"/>
    <w:pPr>
      <w:snapToGrid w:val="0"/>
    </w:pPr>
    <w:rPr>
      <w:rFonts w:asciiTheme="majorHAnsi" w:hAnsiTheme="majorHAnsi" w:eastAsiaTheme="majorEastAsia" w:cstheme="majorBidi"/>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2"/>
    <w:qFormat/>
    <w:uiPriority w:val="0"/>
    <w:rPr>
      <w:b/>
      <w:bCs/>
    </w:rPr>
  </w:style>
  <w:style w:type="paragraph" w:styleId="63">
    <w:name w:val="Body Text First Indent 2"/>
    <w:basedOn w:val="26"/>
    <w:link w:val="65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26"/>
    <w:qFormat/>
    <w:uiPriority w:val="99"/>
    <w:pPr>
      <w:spacing w:line="200" w:lineRule="atLeast"/>
      <w:ind w:firstLine="420"/>
    </w:pPr>
    <w:rPr>
      <w:rFonts w:hAnsi="Courier New"/>
      <w:spacing w:val="-4"/>
      <w:sz w:val="18"/>
    </w:rPr>
  </w:style>
  <w:style w:type="paragraph" w:customStyle="1" w:styleId="82">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7"/>
    <w:qFormat/>
    <w:uiPriority w:val="0"/>
    <w:pPr>
      <w:adjustRightInd/>
      <w:spacing w:line="360" w:lineRule="auto"/>
      <w:ind w:firstLine="480" w:firstLineChars="200"/>
    </w:pPr>
    <w:rPr>
      <w:kern w:val="0"/>
      <w:sz w:val="24"/>
    </w:rPr>
  </w:style>
  <w:style w:type="paragraph" w:customStyle="1" w:styleId="101">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8"/>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0"/>
    <w:qFormat/>
    <w:uiPriority w:val="0"/>
    <w:pPr>
      <w:tabs>
        <w:tab w:val="left" w:pos="2356"/>
      </w:tabs>
    </w:pPr>
  </w:style>
  <w:style w:type="paragraph" w:customStyle="1" w:styleId="106">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3"/>
    <w:qFormat/>
    <w:uiPriority w:val="0"/>
    <w:pPr>
      <w:adjustRightInd/>
    </w:pPr>
    <w:rPr>
      <w:rFonts w:ascii="宋体" w:hAnsi="Courier New"/>
      <w:kern w:val="0"/>
      <w:sz w:val="20"/>
      <w:szCs w:val="20"/>
    </w:rPr>
  </w:style>
  <w:style w:type="paragraph" w:customStyle="1" w:styleId="109">
    <w:name w:val="正文说明"/>
    <w:basedOn w:val="1"/>
    <w:link w:val="845"/>
    <w:qFormat/>
    <w:uiPriority w:val="0"/>
    <w:pPr>
      <w:adjustRightInd/>
      <w:spacing w:line="360" w:lineRule="auto"/>
    </w:pPr>
    <w:rPr>
      <w:kern w:val="0"/>
      <w:sz w:val="24"/>
    </w:rPr>
  </w:style>
  <w:style w:type="paragraph" w:customStyle="1" w:styleId="110">
    <w:name w:val="Table Text"/>
    <w:basedOn w:val="1"/>
    <w:link w:val="851"/>
    <w:qFormat/>
    <w:uiPriority w:val="0"/>
    <w:pPr>
      <w:widowControl/>
      <w:spacing w:before="60" w:after="60"/>
      <w:jc w:val="left"/>
    </w:pPr>
    <w:rPr>
      <w:kern w:val="0"/>
      <w:sz w:val="24"/>
    </w:rPr>
  </w:style>
  <w:style w:type="paragraph" w:customStyle="1" w:styleId="111">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3"/>
    <w:qFormat/>
    <w:uiPriority w:val="0"/>
    <w:pPr>
      <w:widowControl/>
      <w:snapToGrid w:val="0"/>
      <w:spacing w:afterLines="50"/>
      <w:ind w:firstLine="200" w:firstLineChars="200"/>
    </w:pPr>
    <w:rPr>
      <w:kern w:val="0"/>
      <w:sz w:val="24"/>
      <w:szCs w:val="20"/>
    </w:rPr>
  </w:style>
  <w:style w:type="paragraph" w:customStyle="1" w:styleId="116">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1"/>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5"/>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9"/>
    <w:next w:val="99"/>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9"/>
    <w:next w:val="99"/>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5"/>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8"/>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DAS正文"/>
    <w:basedOn w:val="1"/>
    <w:qFormat/>
    <w:uiPriority w:val="0"/>
    <w:pPr>
      <w:spacing w:line="360" w:lineRule="auto"/>
      <w:ind w:right="181" w:firstLine="480" w:firstLineChars="200"/>
    </w:pPr>
    <w:rPr>
      <w:rFonts w:ascii="Verdana" w:hAnsi="Verdana"/>
      <w:sz w:val="24"/>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9"/>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0"/>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1"/>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2"/>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4"/>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7"/>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8"/>
    <w:qFormat/>
    <w:uiPriority w:val="0"/>
    <w:rPr>
      <w:rFonts w:ascii="宋体" w:hAnsi="Courier New"/>
    </w:rPr>
  </w:style>
  <w:style w:type="character" w:customStyle="1" w:styleId="834">
    <w:name w:val="正文首行缩进 Char"/>
    <w:link w:val="2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9"/>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0"/>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0"/>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1"/>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2"/>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3"/>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4"/>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5"/>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6"/>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7"/>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8"/>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9"/>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9"/>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NormalCharacter"/>
    <w:semiHidden/>
    <w:qFormat/>
    <w:uiPriority w:val="0"/>
    <w:rPr>
      <w:kern w:val="2"/>
      <w:sz w:val="21"/>
      <w:lang w:val="en-US" w:eastAsia="zh-CN" w:bidi="ar-SA"/>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40799</Words>
  <Characters>43433</Characters>
  <Lines>45</Lines>
  <Paragraphs>80</Paragraphs>
  <TotalTime>8</TotalTime>
  <ScaleCrop>false</ScaleCrop>
  <LinksUpToDate>false</LinksUpToDate>
  <CharactersWithSpaces>44980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WPS_1546044933</cp:lastModifiedBy>
  <cp:lastPrinted>2021-12-27T03:06:00Z</cp:lastPrinted>
  <dcterms:modified xsi:type="dcterms:W3CDTF">2022-10-21T04:25:01Z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D81F0E322F584F8389D06DB0B1F42A28</vt:lpwstr>
  </property>
  <property fmtid="{D5CDD505-2E9C-101B-9397-08002B2CF9AE}" pid="5" name="commondata">
    <vt:lpwstr>eyJoZGlkIjoiMGY1MmEyNmIzOWVmY2Y1Mjg1NGNjNzFjMzI3M2RmZTkifQ==</vt:lpwstr>
  </property>
</Properties>
</file>