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obfuscatedFont" PartName="/word/fonts/font1.odttf"/>
  <Override ContentType="application/vnd.openxmlformats-officedocument.obfuscatedFont" PartName="/word/fonts/font2.odttf"/>
  <Override ContentType="application/vnd.openxmlformats-officedocument.obfuscatedFont" PartName="/word/fonts/font3.odttf"/>
  <Override ContentType="application/vnd.openxmlformats-officedocument.obfuscatedFont" PartName="/word/fonts/font4.odttf"/>
  <Override ContentType="application/vnd.openxmlformats-officedocument.obfuscatedFont" PartName="/word/fonts/font5.odttf"/>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rPr>
      </w:pPr>
      <w:bookmarkStart w:id="79" w:name="_GoBack"/>
      <w:bookmarkEnd w:id="79"/>
    </w:p>
    <w:p>
      <w:pPr>
        <w:jc w:val="center"/>
        <w:rPr>
          <w:rFonts w:eastAsia="方正兰亭黑简体"/>
          <w:bCs/>
          <w:sz w:val="32"/>
          <w:szCs w:val="32"/>
        </w:rPr>
      </w:pPr>
      <w:r>
        <w:rPr>
          <w:rFonts w:eastAsia="方正兰亭黑简体"/>
          <w:bCs/>
          <w:sz w:val="32"/>
          <w:szCs w:val="32"/>
        </w:rPr>
        <w:t>新昌县智慧**建设项目—社会治安动态视频监控系统</w:t>
      </w:r>
    </w:p>
    <w:p>
      <w:pPr>
        <w:jc w:val="center"/>
        <w:rPr>
          <w:rFonts w:eastAsia="方正兰亭黑简体"/>
          <w:bCs/>
          <w:sz w:val="32"/>
          <w:szCs w:val="32"/>
        </w:rPr>
      </w:pPr>
      <w:r>
        <w:rPr>
          <w:rFonts w:eastAsia="方正兰亭黑简体"/>
          <w:bCs/>
          <w:sz w:val="32"/>
          <w:szCs w:val="32"/>
        </w:rPr>
        <w:t>四、五期升级改造+人脸识别监控项目</w:t>
      </w:r>
    </w:p>
    <w:p>
      <w:pPr>
        <w:jc w:val="center"/>
        <w:rPr>
          <w:rFonts w:eastAsia="方正兰亭黑简体"/>
          <w:bCs/>
          <w:sz w:val="32"/>
          <w:szCs w:val="32"/>
        </w:rPr>
      </w:pPr>
    </w:p>
    <w:p>
      <w:pPr>
        <w:jc w:val="center"/>
        <w:rPr>
          <w:rFonts w:eastAsia="方正兰亭黑简体"/>
          <w:bCs/>
          <w:sz w:val="32"/>
          <w:szCs w:val="32"/>
        </w:rPr>
      </w:pPr>
    </w:p>
    <w:p>
      <w:pPr>
        <w:spacing w:line="360" w:lineRule="auto"/>
        <w:jc w:val="center"/>
        <w:rPr>
          <w:b/>
          <w:sz w:val="30"/>
          <w:szCs w:val="30"/>
        </w:rPr>
      </w:pPr>
      <w:r>
        <w:rPr>
          <w:b/>
          <w:sz w:val="30"/>
          <w:szCs w:val="30"/>
        </w:rPr>
        <w:t xml:space="preserve"> </w:t>
      </w:r>
    </w:p>
    <w:p>
      <w:pPr>
        <w:jc w:val="center"/>
        <w:rPr>
          <w:rFonts w:eastAsia="方正大黑简体"/>
          <w:sz w:val="72"/>
          <w:szCs w:val="72"/>
        </w:rPr>
      </w:pPr>
      <w:r>
        <w:rPr>
          <w:rFonts w:eastAsia="方正大黑简体"/>
          <w:sz w:val="72"/>
          <w:szCs w:val="72"/>
        </w:rPr>
        <w:t xml:space="preserve">招标文件 </w:t>
      </w:r>
    </w:p>
    <w:p>
      <w:pPr>
        <w:spacing w:line="360" w:lineRule="auto"/>
        <w:jc w:val="center"/>
        <w:rPr>
          <w:sz w:val="24"/>
        </w:rPr>
      </w:pPr>
      <w:r>
        <w:rPr>
          <w:sz w:val="24"/>
        </w:rPr>
        <w:t>采购项目编号：HXZJ200823</w:t>
      </w:r>
    </w:p>
    <w:p>
      <w:pPr>
        <w:spacing w:line="360" w:lineRule="auto"/>
        <w:jc w:val="center"/>
        <w:rPr>
          <w:sz w:val="24"/>
        </w:rPr>
      </w:pPr>
    </w:p>
    <w:p>
      <w:pPr>
        <w:spacing w:line="360" w:lineRule="auto"/>
        <w:rPr>
          <w:sz w:val="32"/>
        </w:rPr>
      </w:pPr>
    </w:p>
    <w:p>
      <w:pPr>
        <w:spacing w:line="360" w:lineRule="auto"/>
        <w:rPr>
          <w:sz w:val="32"/>
        </w:rPr>
      </w:pPr>
    </w:p>
    <w:p>
      <w:pPr>
        <w:spacing w:line="360" w:lineRule="auto"/>
        <w:rPr>
          <w:sz w:val="32"/>
        </w:rPr>
      </w:pPr>
    </w:p>
    <w:p>
      <w:pPr>
        <w:tabs>
          <w:tab w:val="left" w:pos="1599"/>
          <w:tab w:val="left" w:pos="2139"/>
        </w:tabs>
        <w:spacing w:before="266" w:line="388" w:lineRule="auto"/>
        <w:ind w:left="1019" w:right="397" w:hanging="1012" w:hangingChars="350"/>
        <w:jc w:val="center"/>
        <w:rPr>
          <w:b/>
          <w:w w:val="90"/>
          <w:sz w:val="32"/>
        </w:rPr>
      </w:pPr>
      <w:r>
        <w:rPr>
          <w:b/>
          <w:w w:val="90"/>
          <w:sz w:val="32"/>
        </w:rPr>
        <w:t xml:space="preserve">  </w:t>
      </w:r>
    </w:p>
    <w:p>
      <w:pPr>
        <w:tabs>
          <w:tab w:val="left" w:pos="1599"/>
          <w:tab w:val="left" w:pos="2139"/>
        </w:tabs>
        <w:spacing w:before="266" w:line="388" w:lineRule="auto"/>
        <w:ind w:left="1019" w:right="397" w:hanging="1012" w:hangingChars="350"/>
        <w:jc w:val="center"/>
        <w:rPr>
          <w:b/>
          <w:w w:val="90"/>
          <w:sz w:val="32"/>
        </w:rPr>
      </w:pPr>
    </w:p>
    <w:p>
      <w:pPr>
        <w:tabs>
          <w:tab w:val="left" w:pos="1599"/>
          <w:tab w:val="left" w:pos="2139"/>
        </w:tabs>
        <w:spacing w:before="266" w:line="388" w:lineRule="auto"/>
        <w:ind w:left="1019" w:right="397" w:hanging="1012" w:hangingChars="350"/>
        <w:jc w:val="center"/>
        <w:rPr>
          <w:b/>
          <w:w w:val="90"/>
          <w:sz w:val="32"/>
        </w:rPr>
      </w:pPr>
    </w:p>
    <w:p>
      <w:pPr>
        <w:tabs>
          <w:tab w:val="left" w:pos="1599"/>
          <w:tab w:val="left" w:pos="2139"/>
        </w:tabs>
        <w:spacing w:before="266" w:line="388" w:lineRule="auto"/>
        <w:ind w:left="1019" w:right="397" w:hanging="1012" w:hangingChars="350"/>
        <w:jc w:val="center"/>
        <w:rPr>
          <w:b/>
          <w:w w:val="90"/>
          <w:sz w:val="32"/>
        </w:rPr>
      </w:pPr>
    </w:p>
    <w:p>
      <w:pPr>
        <w:tabs>
          <w:tab w:val="left" w:pos="1599"/>
          <w:tab w:val="left" w:pos="2139"/>
        </w:tabs>
        <w:spacing w:before="266" w:line="388" w:lineRule="auto"/>
        <w:ind w:left="1019" w:right="397" w:hanging="1012" w:hangingChars="350"/>
        <w:jc w:val="center"/>
        <w:rPr>
          <w:b/>
          <w:w w:val="90"/>
          <w:sz w:val="32"/>
        </w:rPr>
      </w:pPr>
      <w:r>
        <w:rPr>
          <w:b/>
          <w:w w:val="90"/>
          <w:sz w:val="32"/>
        </w:rPr>
        <w:t xml:space="preserve"> 采购人: 新昌县公安局</w:t>
      </w:r>
    </w:p>
    <w:p>
      <w:pPr>
        <w:tabs>
          <w:tab w:val="left" w:pos="1599"/>
          <w:tab w:val="left" w:pos="2139"/>
        </w:tabs>
        <w:spacing w:before="266" w:line="388" w:lineRule="auto"/>
        <w:ind w:left="1019" w:right="170" w:hanging="1012" w:hangingChars="350"/>
        <w:jc w:val="center"/>
        <w:rPr>
          <w:b/>
          <w:w w:val="90"/>
          <w:sz w:val="32"/>
        </w:rPr>
      </w:pPr>
      <w:r>
        <w:rPr>
          <w:b/>
          <w:w w:val="90"/>
          <w:sz w:val="32"/>
        </w:rPr>
        <w:t xml:space="preserve">   采购代理机构:华信咨询设计研究院有限公司</w:t>
      </w:r>
    </w:p>
    <w:p>
      <w:pPr>
        <w:tabs>
          <w:tab w:val="left" w:pos="2179"/>
          <w:tab w:val="left" w:pos="3003"/>
        </w:tabs>
        <w:spacing w:before="266" w:line="388" w:lineRule="auto"/>
        <w:ind w:right="105" w:rightChars="50"/>
        <w:jc w:val="center"/>
        <w:rPr>
          <w:b/>
          <w:w w:val="90"/>
          <w:sz w:val="32"/>
        </w:rPr>
      </w:pPr>
      <w:r>
        <w:rPr>
          <w:b/>
          <w:w w:val="90"/>
          <w:sz w:val="32"/>
        </w:rPr>
        <w:t>二〇二〇年</w:t>
      </w:r>
      <w:r>
        <w:rPr>
          <w:rFonts w:hint="eastAsia"/>
          <w:b/>
          <w:w w:val="90"/>
          <w:sz w:val="32"/>
        </w:rPr>
        <w:t>九</w:t>
      </w:r>
      <w:r>
        <w:rPr>
          <w:b/>
          <w:w w:val="90"/>
          <w:sz w:val="32"/>
        </w:rPr>
        <w:t>月</w:t>
      </w:r>
    </w:p>
    <w:p>
      <w:pPr>
        <w:jc w:val="center"/>
        <w:rPr>
          <w:b/>
          <w:sz w:val="36"/>
        </w:rPr>
        <w:sectPr>
          <w:headerReference r:id="rId3" w:type="default"/>
          <w:footerReference r:id="rId4" w:type="even"/>
          <w:type w:val="continuous"/>
          <w:pgSz w:w="11906" w:h="16838"/>
          <w:pgMar w:top="1418" w:right="1701" w:bottom="1418" w:left="1701" w:header="851" w:footer="851" w:gutter="0"/>
          <w:pgNumType w:start="1"/>
          <w:cols w:space="720" w:num="1"/>
          <w:titlePg/>
          <w:docGrid w:linePitch="312" w:charSpace="0"/>
        </w:sectPr>
      </w:pPr>
    </w:p>
    <w:p>
      <w:pPr>
        <w:jc w:val="center"/>
        <w:rPr>
          <w:b/>
          <w:sz w:val="36"/>
        </w:rPr>
      </w:pPr>
      <w:r>
        <w:rPr>
          <w:b/>
          <w:sz w:val="36"/>
        </w:rPr>
        <w:t>目  录</w:t>
      </w:r>
    </w:p>
    <w:p/>
    <w:p>
      <w:pPr>
        <w:pStyle w:val="15"/>
        <w:tabs>
          <w:tab w:val="right" w:leader="dot" w:pos="8504"/>
        </w:tabs>
      </w:pPr>
      <w:r>
        <w:rPr>
          <w:sz w:val="24"/>
        </w:rPr>
        <w:fldChar w:fldCharType="begin"/>
      </w:r>
      <w:r>
        <w:rPr>
          <w:sz w:val="24"/>
        </w:rPr>
        <w:instrText xml:space="preserve"> TOC \o "1-2" \h \z \u </w:instrText>
      </w:r>
      <w:r>
        <w:rPr>
          <w:sz w:val="24"/>
        </w:rPr>
        <w:fldChar w:fldCharType="separate"/>
      </w:r>
      <w:r>
        <w:fldChar w:fldCharType="begin"/>
      </w:r>
      <w:r>
        <w:instrText xml:space="preserve"> HYPERLINK \l _Toc22971 </w:instrText>
      </w:r>
      <w:r>
        <w:fldChar w:fldCharType="separate"/>
      </w:r>
      <w:r>
        <w:rPr>
          <w:szCs w:val="28"/>
        </w:rPr>
        <w:t>第一章  招标公告</w:t>
      </w:r>
      <w:r>
        <w:tab/>
      </w:r>
      <w:r>
        <w:fldChar w:fldCharType="begin"/>
      </w:r>
      <w:r>
        <w:instrText xml:space="preserve"> PAGEREF _Toc22971 </w:instrText>
      </w:r>
      <w:r>
        <w:fldChar w:fldCharType="separate"/>
      </w:r>
      <w:r>
        <w:rPr>
          <w:rFonts w:hint="eastAsia"/>
        </w:rPr>
        <w:t>２</w:t>
      </w:r>
      <w:r>
        <w:fldChar w:fldCharType="end"/>
      </w:r>
      <w:r>
        <w:fldChar w:fldCharType="end"/>
      </w:r>
    </w:p>
    <w:p>
      <w:pPr>
        <w:pStyle w:val="15"/>
        <w:tabs>
          <w:tab w:val="right" w:leader="dot" w:pos="8504"/>
        </w:tabs>
      </w:pPr>
      <w:r>
        <w:fldChar w:fldCharType="begin"/>
      </w:r>
      <w:r>
        <w:instrText xml:space="preserve"> HYPERLINK \l _Toc20103 </w:instrText>
      </w:r>
      <w:r>
        <w:fldChar w:fldCharType="separate"/>
      </w:r>
      <w:r>
        <w:rPr>
          <w:szCs w:val="28"/>
        </w:rPr>
        <w:t>第二章  投标须知及前附表</w:t>
      </w:r>
      <w:r>
        <w:tab/>
      </w:r>
      <w:r>
        <w:fldChar w:fldCharType="begin"/>
      </w:r>
      <w:r>
        <w:instrText xml:space="preserve"> PAGEREF _Toc20103 </w:instrText>
      </w:r>
      <w:r>
        <w:fldChar w:fldCharType="separate"/>
      </w:r>
      <w:r>
        <w:rPr>
          <w:rFonts w:hint="eastAsia"/>
        </w:rPr>
        <w:t>５</w:t>
      </w:r>
      <w:r>
        <w:fldChar w:fldCharType="end"/>
      </w:r>
      <w:r>
        <w:fldChar w:fldCharType="end"/>
      </w:r>
    </w:p>
    <w:p>
      <w:pPr>
        <w:pStyle w:val="16"/>
        <w:tabs>
          <w:tab w:val="right" w:leader="dot" w:pos="8504"/>
        </w:tabs>
      </w:pPr>
      <w:r>
        <w:fldChar w:fldCharType="begin"/>
      </w:r>
      <w:r>
        <w:instrText xml:space="preserve"> HYPERLINK \l _Toc27415 </w:instrText>
      </w:r>
      <w:r>
        <w:fldChar w:fldCharType="separate"/>
      </w:r>
      <w:r>
        <w:t>一、投标须知前附表</w:t>
      </w:r>
      <w:r>
        <w:tab/>
      </w:r>
      <w:r>
        <w:fldChar w:fldCharType="begin"/>
      </w:r>
      <w:r>
        <w:instrText xml:space="preserve"> PAGEREF _Toc27415 </w:instrText>
      </w:r>
      <w:r>
        <w:fldChar w:fldCharType="separate"/>
      </w:r>
      <w:r>
        <w:rPr>
          <w:rFonts w:hint="eastAsia"/>
        </w:rPr>
        <w:t>５</w:t>
      </w:r>
      <w:r>
        <w:fldChar w:fldCharType="end"/>
      </w:r>
      <w:r>
        <w:fldChar w:fldCharType="end"/>
      </w:r>
    </w:p>
    <w:p>
      <w:pPr>
        <w:pStyle w:val="16"/>
        <w:tabs>
          <w:tab w:val="right" w:leader="dot" w:pos="8504"/>
        </w:tabs>
      </w:pPr>
      <w:r>
        <w:fldChar w:fldCharType="begin"/>
      </w:r>
      <w:r>
        <w:instrText xml:space="preserve"> HYPERLINK \l _Toc9087 </w:instrText>
      </w:r>
      <w:r>
        <w:fldChar w:fldCharType="separate"/>
      </w:r>
      <w:r>
        <w:t>二、投标须知</w:t>
      </w:r>
      <w:r>
        <w:tab/>
      </w:r>
      <w:r>
        <w:fldChar w:fldCharType="begin"/>
      </w:r>
      <w:r>
        <w:instrText xml:space="preserve"> PAGEREF _Toc9087 </w:instrText>
      </w:r>
      <w:r>
        <w:fldChar w:fldCharType="separate"/>
      </w:r>
      <w:r>
        <w:rPr>
          <w:rFonts w:hint="eastAsia"/>
        </w:rPr>
        <w:t>１０</w:t>
      </w:r>
      <w:r>
        <w:fldChar w:fldCharType="end"/>
      </w:r>
      <w:r>
        <w:fldChar w:fldCharType="end"/>
      </w:r>
    </w:p>
    <w:p>
      <w:pPr>
        <w:pStyle w:val="15"/>
        <w:tabs>
          <w:tab w:val="right" w:leader="dot" w:pos="8504"/>
        </w:tabs>
      </w:pPr>
      <w:r>
        <w:fldChar w:fldCharType="begin"/>
      </w:r>
      <w:r>
        <w:instrText xml:space="preserve"> HYPERLINK \l _Toc4913 </w:instrText>
      </w:r>
      <w:r>
        <w:fldChar w:fldCharType="separate"/>
      </w:r>
      <w:r>
        <w:rPr>
          <w:szCs w:val="28"/>
        </w:rPr>
        <w:t>第三章  服务需求</w:t>
      </w:r>
      <w:r>
        <w:tab/>
      </w:r>
      <w:r>
        <w:fldChar w:fldCharType="begin"/>
      </w:r>
      <w:r>
        <w:instrText xml:space="preserve"> PAGEREF _Toc4913 </w:instrText>
      </w:r>
      <w:r>
        <w:fldChar w:fldCharType="separate"/>
      </w:r>
      <w:r>
        <w:rPr>
          <w:rFonts w:hint="eastAsia"/>
        </w:rPr>
        <w:t>２２</w:t>
      </w:r>
      <w:r>
        <w:fldChar w:fldCharType="end"/>
      </w:r>
      <w:r>
        <w:fldChar w:fldCharType="end"/>
      </w:r>
    </w:p>
    <w:p>
      <w:pPr>
        <w:pStyle w:val="16"/>
        <w:tabs>
          <w:tab w:val="right" w:leader="dot" w:pos="8504"/>
        </w:tabs>
      </w:pPr>
      <w:r>
        <w:fldChar w:fldCharType="begin"/>
      </w:r>
      <w:r>
        <w:instrText xml:space="preserve"> HYPERLINK \l _Toc28617 </w:instrText>
      </w:r>
      <w:r>
        <w:fldChar w:fldCharType="separate"/>
      </w:r>
      <w:r>
        <w:rPr>
          <w:szCs w:val="28"/>
        </w:rPr>
        <w:t>一、项目背景、建设目标、内容、周期</w:t>
      </w:r>
      <w:r>
        <w:tab/>
      </w:r>
      <w:r>
        <w:fldChar w:fldCharType="begin"/>
      </w:r>
      <w:r>
        <w:instrText xml:space="preserve"> PAGEREF _Toc28617 </w:instrText>
      </w:r>
      <w:r>
        <w:fldChar w:fldCharType="separate"/>
      </w:r>
      <w:r>
        <w:rPr>
          <w:rFonts w:hint="eastAsia"/>
        </w:rPr>
        <w:t>２２</w:t>
      </w:r>
      <w:r>
        <w:fldChar w:fldCharType="end"/>
      </w:r>
      <w:r>
        <w:fldChar w:fldCharType="end"/>
      </w:r>
    </w:p>
    <w:p>
      <w:pPr>
        <w:pStyle w:val="16"/>
        <w:tabs>
          <w:tab w:val="right" w:leader="dot" w:pos="8504"/>
        </w:tabs>
      </w:pPr>
      <w:r>
        <w:fldChar w:fldCharType="begin"/>
      </w:r>
      <w:r>
        <w:instrText xml:space="preserve"> HYPERLINK \l _Toc13219 </w:instrText>
      </w:r>
      <w:r>
        <w:fldChar w:fldCharType="separate"/>
      </w:r>
      <w:r>
        <w:rPr>
          <w:rFonts w:hint="eastAsia"/>
          <w:szCs w:val="28"/>
        </w:rPr>
        <w:t xml:space="preserve">二、 </w:t>
      </w:r>
      <w:r>
        <w:rPr>
          <w:szCs w:val="28"/>
        </w:rPr>
        <w:t>采购清单</w:t>
      </w:r>
      <w:r>
        <w:tab/>
      </w:r>
      <w:r>
        <w:fldChar w:fldCharType="begin"/>
      </w:r>
      <w:r>
        <w:instrText xml:space="preserve"> PAGEREF _Toc13219 </w:instrText>
      </w:r>
      <w:r>
        <w:fldChar w:fldCharType="separate"/>
      </w:r>
      <w:r>
        <w:rPr>
          <w:rFonts w:hint="eastAsia"/>
        </w:rPr>
        <w:t>２３</w:t>
      </w:r>
      <w:r>
        <w:fldChar w:fldCharType="end"/>
      </w:r>
      <w:r>
        <w:fldChar w:fldCharType="end"/>
      </w:r>
    </w:p>
    <w:p>
      <w:pPr>
        <w:pStyle w:val="16"/>
        <w:tabs>
          <w:tab w:val="right" w:leader="dot" w:pos="8504"/>
        </w:tabs>
      </w:pPr>
      <w:r>
        <w:fldChar w:fldCharType="begin"/>
      </w:r>
      <w:r>
        <w:instrText xml:space="preserve"> HYPERLINK \l _Toc1314 </w:instrText>
      </w:r>
      <w:r>
        <w:fldChar w:fldCharType="separate"/>
      </w:r>
      <w:r>
        <w:rPr>
          <w:szCs w:val="28"/>
        </w:rPr>
        <w:t>三、质量及技术服务</w:t>
      </w:r>
      <w:r>
        <w:tab/>
      </w:r>
      <w:r>
        <w:fldChar w:fldCharType="begin"/>
      </w:r>
      <w:r>
        <w:instrText xml:space="preserve"> PAGEREF _Toc1314 </w:instrText>
      </w:r>
      <w:r>
        <w:fldChar w:fldCharType="separate"/>
      </w:r>
      <w:r>
        <w:rPr>
          <w:rFonts w:hint="eastAsia"/>
        </w:rPr>
        <w:t>３４</w:t>
      </w:r>
      <w:r>
        <w:fldChar w:fldCharType="end"/>
      </w:r>
      <w:r>
        <w:fldChar w:fldCharType="end"/>
      </w:r>
    </w:p>
    <w:p>
      <w:pPr>
        <w:pStyle w:val="16"/>
        <w:tabs>
          <w:tab w:val="right" w:leader="dot" w:pos="8504"/>
        </w:tabs>
      </w:pPr>
      <w:r>
        <w:fldChar w:fldCharType="begin"/>
      </w:r>
      <w:r>
        <w:instrText xml:space="preserve"> HYPERLINK \l _Toc31669 </w:instrText>
      </w:r>
      <w:r>
        <w:fldChar w:fldCharType="separate"/>
      </w:r>
      <w:r>
        <w:rPr>
          <w:szCs w:val="28"/>
        </w:rPr>
        <w:t>四、项目的工作内容及成果</w:t>
      </w:r>
      <w:r>
        <w:tab/>
      </w:r>
      <w:r>
        <w:fldChar w:fldCharType="begin"/>
      </w:r>
      <w:r>
        <w:instrText xml:space="preserve"> PAGEREF _Toc31669 </w:instrText>
      </w:r>
      <w:r>
        <w:fldChar w:fldCharType="separate"/>
      </w:r>
      <w:r>
        <w:rPr>
          <w:rFonts w:hint="eastAsia"/>
        </w:rPr>
        <w:t>３５</w:t>
      </w:r>
      <w:r>
        <w:fldChar w:fldCharType="end"/>
      </w:r>
      <w:r>
        <w:fldChar w:fldCharType="end"/>
      </w:r>
    </w:p>
    <w:p>
      <w:pPr>
        <w:pStyle w:val="15"/>
        <w:tabs>
          <w:tab w:val="right" w:leader="dot" w:pos="8504"/>
        </w:tabs>
      </w:pPr>
      <w:r>
        <w:fldChar w:fldCharType="begin"/>
      </w:r>
      <w:r>
        <w:instrText xml:space="preserve"> HYPERLINK \l _Toc20541 </w:instrText>
      </w:r>
      <w:r>
        <w:fldChar w:fldCharType="separate"/>
      </w:r>
      <w:r>
        <w:rPr>
          <w:szCs w:val="28"/>
        </w:rPr>
        <w:t>第四章  采购合同主要条款</w:t>
      </w:r>
      <w:r>
        <w:tab/>
      </w:r>
      <w:r>
        <w:fldChar w:fldCharType="begin"/>
      </w:r>
      <w:r>
        <w:instrText xml:space="preserve"> PAGEREF _Toc20541 </w:instrText>
      </w:r>
      <w:r>
        <w:fldChar w:fldCharType="separate"/>
      </w:r>
      <w:r>
        <w:rPr>
          <w:rFonts w:hint="eastAsia"/>
        </w:rPr>
        <w:t>３６</w:t>
      </w:r>
      <w:r>
        <w:fldChar w:fldCharType="end"/>
      </w:r>
      <w:r>
        <w:fldChar w:fldCharType="end"/>
      </w:r>
    </w:p>
    <w:p>
      <w:pPr>
        <w:pStyle w:val="15"/>
        <w:tabs>
          <w:tab w:val="right" w:leader="dot" w:pos="8504"/>
        </w:tabs>
      </w:pPr>
      <w:r>
        <w:fldChar w:fldCharType="begin"/>
      </w:r>
      <w:r>
        <w:instrText xml:space="preserve"> HYPERLINK \l _Toc32144 </w:instrText>
      </w:r>
      <w:r>
        <w:fldChar w:fldCharType="separate"/>
      </w:r>
      <w:r>
        <w:rPr>
          <w:szCs w:val="28"/>
        </w:rPr>
        <w:t>第五章  投标文件格式及其附件</w:t>
      </w:r>
      <w:r>
        <w:tab/>
      </w:r>
      <w:r>
        <w:fldChar w:fldCharType="begin"/>
      </w:r>
      <w:r>
        <w:instrText xml:space="preserve"> PAGEREF _Toc32144 </w:instrText>
      </w:r>
      <w:r>
        <w:fldChar w:fldCharType="separate"/>
      </w:r>
      <w:r>
        <w:rPr>
          <w:rFonts w:hint="eastAsia"/>
        </w:rPr>
        <w:t>４３</w:t>
      </w:r>
      <w:r>
        <w:fldChar w:fldCharType="end"/>
      </w:r>
      <w:r>
        <w:fldChar w:fldCharType="end"/>
      </w:r>
    </w:p>
    <w:p>
      <w:pPr>
        <w:pStyle w:val="16"/>
        <w:tabs>
          <w:tab w:val="right" w:leader="dot" w:pos="8504"/>
        </w:tabs>
      </w:pPr>
      <w:r>
        <w:fldChar w:fldCharType="begin"/>
      </w:r>
      <w:r>
        <w:instrText xml:space="preserve"> HYPERLINK \l _Toc14785 </w:instrText>
      </w:r>
      <w:r>
        <w:fldChar w:fldCharType="separate"/>
      </w:r>
      <w:r>
        <w:t>一、报价文件格式</w:t>
      </w:r>
      <w:r>
        <w:tab/>
      </w:r>
      <w:r>
        <w:fldChar w:fldCharType="begin"/>
      </w:r>
      <w:r>
        <w:instrText xml:space="preserve"> PAGEREF _Toc14785 </w:instrText>
      </w:r>
      <w:r>
        <w:fldChar w:fldCharType="separate"/>
      </w:r>
      <w:r>
        <w:rPr>
          <w:rFonts w:hint="eastAsia"/>
        </w:rPr>
        <w:t>４６</w:t>
      </w:r>
      <w:r>
        <w:fldChar w:fldCharType="end"/>
      </w:r>
      <w:r>
        <w:fldChar w:fldCharType="end"/>
      </w:r>
    </w:p>
    <w:p>
      <w:pPr>
        <w:pStyle w:val="16"/>
        <w:tabs>
          <w:tab w:val="right" w:leader="dot" w:pos="8504"/>
        </w:tabs>
      </w:pPr>
      <w:r>
        <w:fldChar w:fldCharType="begin"/>
      </w:r>
      <w:r>
        <w:instrText xml:space="preserve"> HYPERLINK \l _Toc10718 </w:instrText>
      </w:r>
      <w:r>
        <w:fldChar w:fldCharType="separate"/>
      </w:r>
      <w:r>
        <w:t>二、技术文件格式</w:t>
      </w:r>
      <w:r>
        <w:tab/>
      </w:r>
      <w:r>
        <w:fldChar w:fldCharType="begin"/>
      </w:r>
      <w:r>
        <w:instrText xml:space="preserve"> PAGEREF _Toc10718 </w:instrText>
      </w:r>
      <w:r>
        <w:fldChar w:fldCharType="separate"/>
      </w:r>
      <w:r>
        <w:rPr>
          <w:rFonts w:hint="eastAsia"/>
        </w:rPr>
        <w:t>５３</w:t>
      </w:r>
      <w:r>
        <w:fldChar w:fldCharType="end"/>
      </w:r>
      <w:r>
        <w:fldChar w:fldCharType="end"/>
      </w:r>
    </w:p>
    <w:p>
      <w:pPr>
        <w:pStyle w:val="16"/>
        <w:tabs>
          <w:tab w:val="right" w:leader="dot" w:pos="8504"/>
        </w:tabs>
      </w:pPr>
      <w:r>
        <w:fldChar w:fldCharType="begin"/>
      </w:r>
      <w:r>
        <w:instrText xml:space="preserve"> HYPERLINK \l _Toc22504 </w:instrText>
      </w:r>
      <w:r>
        <w:fldChar w:fldCharType="separate"/>
      </w:r>
      <w:r>
        <w:t>三、商务文件格式</w:t>
      </w:r>
      <w:r>
        <w:tab/>
      </w:r>
      <w:r>
        <w:fldChar w:fldCharType="begin"/>
      </w:r>
      <w:r>
        <w:instrText xml:space="preserve"> PAGEREF _Toc22504 </w:instrText>
      </w:r>
      <w:r>
        <w:fldChar w:fldCharType="separate"/>
      </w:r>
      <w:r>
        <w:rPr>
          <w:rFonts w:hint="eastAsia"/>
        </w:rPr>
        <w:t>６２</w:t>
      </w:r>
      <w:r>
        <w:fldChar w:fldCharType="end"/>
      </w:r>
      <w:r>
        <w:fldChar w:fldCharType="end"/>
      </w:r>
    </w:p>
    <w:p>
      <w:pPr>
        <w:pStyle w:val="16"/>
        <w:tabs>
          <w:tab w:val="right" w:leader="dot" w:pos="8504"/>
        </w:tabs>
      </w:pPr>
      <w:r>
        <w:fldChar w:fldCharType="begin"/>
      </w:r>
      <w:r>
        <w:instrText xml:space="preserve"> HYPERLINK \l _Toc19805 </w:instrText>
      </w:r>
      <w:r>
        <w:fldChar w:fldCharType="separate"/>
      </w:r>
      <w:r>
        <w:t>四、资格审查文件格式</w:t>
      </w:r>
      <w:r>
        <w:tab/>
      </w:r>
      <w:r>
        <w:fldChar w:fldCharType="begin"/>
      </w:r>
      <w:r>
        <w:instrText xml:space="preserve"> PAGEREF _Toc19805 </w:instrText>
      </w:r>
      <w:r>
        <w:fldChar w:fldCharType="separate"/>
      </w:r>
      <w:r>
        <w:rPr>
          <w:rFonts w:hint="eastAsia"/>
        </w:rPr>
        <w:t>７３</w:t>
      </w:r>
      <w:r>
        <w:fldChar w:fldCharType="end"/>
      </w:r>
      <w:r>
        <w:fldChar w:fldCharType="end"/>
      </w:r>
    </w:p>
    <w:p>
      <w:pPr>
        <w:pStyle w:val="15"/>
        <w:tabs>
          <w:tab w:val="right" w:leader="dot" w:pos="8504"/>
        </w:tabs>
      </w:pPr>
      <w:r>
        <w:fldChar w:fldCharType="begin"/>
      </w:r>
      <w:r>
        <w:instrText xml:space="preserve"> HYPERLINK \l _Toc15923 </w:instrText>
      </w:r>
      <w:r>
        <w:fldChar w:fldCharType="separate"/>
      </w:r>
      <w:r>
        <w:rPr>
          <w:szCs w:val="28"/>
        </w:rPr>
        <w:t>第六章  评标办法</w:t>
      </w:r>
      <w:r>
        <w:tab/>
      </w:r>
      <w:r>
        <w:fldChar w:fldCharType="begin"/>
      </w:r>
      <w:r>
        <w:instrText xml:space="preserve"> PAGEREF _Toc15923 </w:instrText>
      </w:r>
      <w:r>
        <w:fldChar w:fldCharType="separate"/>
      </w:r>
      <w:r>
        <w:rPr>
          <w:rFonts w:hint="eastAsia"/>
        </w:rPr>
        <w:t>８３</w:t>
      </w:r>
      <w:r>
        <w:fldChar w:fldCharType="end"/>
      </w:r>
      <w:r>
        <w:fldChar w:fldCharType="end"/>
      </w:r>
    </w:p>
    <w:p>
      <w:pPr>
        <w:pStyle w:val="16"/>
        <w:tabs>
          <w:tab w:val="right" w:leader="dot" w:pos="8504"/>
        </w:tabs>
      </w:pPr>
      <w:r>
        <w:fldChar w:fldCharType="begin"/>
      </w:r>
      <w:r>
        <w:instrText xml:space="preserve"> HYPERLINK \l _Toc18494 </w:instrText>
      </w:r>
      <w:r>
        <w:fldChar w:fldCharType="separate"/>
      </w:r>
      <w:r>
        <w:rPr>
          <w:szCs w:val="21"/>
        </w:rPr>
        <w:t>一、总则</w:t>
      </w:r>
      <w:r>
        <w:tab/>
      </w:r>
      <w:r>
        <w:fldChar w:fldCharType="begin"/>
      </w:r>
      <w:r>
        <w:instrText xml:space="preserve"> PAGEREF _Toc18494 </w:instrText>
      </w:r>
      <w:r>
        <w:fldChar w:fldCharType="separate"/>
      </w:r>
      <w:r>
        <w:rPr>
          <w:rFonts w:hint="eastAsia"/>
        </w:rPr>
        <w:t>８３</w:t>
      </w:r>
      <w:r>
        <w:fldChar w:fldCharType="end"/>
      </w:r>
      <w:r>
        <w:fldChar w:fldCharType="end"/>
      </w:r>
    </w:p>
    <w:p>
      <w:pPr>
        <w:pStyle w:val="16"/>
        <w:tabs>
          <w:tab w:val="right" w:leader="dot" w:pos="8504"/>
        </w:tabs>
      </w:pPr>
      <w:r>
        <w:fldChar w:fldCharType="begin"/>
      </w:r>
      <w:r>
        <w:instrText xml:space="preserve"> HYPERLINK \l _Toc25575 </w:instrText>
      </w:r>
      <w:r>
        <w:fldChar w:fldCharType="separate"/>
      </w:r>
      <w:r>
        <w:rPr>
          <w:szCs w:val="21"/>
        </w:rPr>
        <w:t>二、资格审查</w:t>
      </w:r>
      <w:r>
        <w:tab/>
      </w:r>
      <w:r>
        <w:fldChar w:fldCharType="begin"/>
      </w:r>
      <w:r>
        <w:instrText xml:space="preserve"> PAGEREF _Toc25575 </w:instrText>
      </w:r>
      <w:r>
        <w:fldChar w:fldCharType="separate"/>
      </w:r>
      <w:r>
        <w:rPr>
          <w:rFonts w:hint="eastAsia"/>
        </w:rPr>
        <w:t>８３</w:t>
      </w:r>
      <w:r>
        <w:fldChar w:fldCharType="end"/>
      </w:r>
      <w:r>
        <w:fldChar w:fldCharType="end"/>
      </w:r>
    </w:p>
    <w:p>
      <w:pPr>
        <w:pStyle w:val="16"/>
        <w:tabs>
          <w:tab w:val="right" w:leader="dot" w:pos="8504"/>
        </w:tabs>
      </w:pPr>
      <w:r>
        <w:fldChar w:fldCharType="begin"/>
      </w:r>
      <w:r>
        <w:instrText xml:space="preserve"> HYPERLINK \l _Toc13634 </w:instrText>
      </w:r>
      <w:r>
        <w:fldChar w:fldCharType="separate"/>
      </w:r>
      <w:r>
        <w:rPr>
          <w:szCs w:val="21"/>
        </w:rPr>
        <w:t>三、符合性审查</w:t>
      </w:r>
      <w:r>
        <w:tab/>
      </w:r>
      <w:r>
        <w:fldChar w:fldCharType="begin"/>
      </w:r>
      <w:r>
        <w:instrText xml:space="preserve"> PAGEREF _Toc13634 </w:instrText>
      </w:r>
      <w:r>
        <w:fldChar w:fldCharType="separate"/>
      </w:r>
      <w:r>
        <w:rPr>
          <w:rFonts w:hint="eastAsia"/>
        </w:rPr>
        <w:t>８３</w:t>
      </w:r>
      <w:r>
        <w:fldChar w:fldCharType="end"/>
      </w:r>
      <w:r>
        <w:fldChar w:fldCharType="end"/>
      </w:r>
    </w:p>
    <w:p>
      <w:pPr>
        <w:pStyle w:val="16"/>
        <w:tabs>
          <w:tab w:val="right" w:leader="dot" w:pos="8504"/>
        </w:tabs>
      </w:pPr>
      <w:r>
        <w:fldChar w:fldCharType="begin"/>
      </w:r>
      <w:r>
        <w:instrText xml:space="preserve"> HYPERLINK \l _Toc7965 </w:instrText>
      </w:r>
      <w:r>
        <w:fldChar w:fldCharType="separate"/>
      </w:r>
      <w:r>
        <w:rPr>
          <w:szCs w:val="21"/>
        </w:rPr>
        <w:t>四、评标细则及标准</w:t>
      </w:r>
      <w:r>
        <w:tab/>
      </w:r>
      <w:r>
        <w:fldChar w:fldCharType="begin"/>
      </w:r>
      <w:r>
        <w:instrText xml:space="preserve"> PAGEREF _Toc7965 </w:instrText>
      </w:r>
      <w:r>
        <w:fldChar w:fldCharType="separate"/>
      </w:r>
      <w:r>
        <w:rPr>
          <w:rFonts w:hint="eastAsia"/>
        </w:rPr>
        <w:t>８４</w:t>
      </w:r>
      <w:r>
        <w:fldChar w:fldCharType="end"/>
      </w:r>
      <w:r>
        <w:fldChar w:fldCharType="end"/>
      </w:r>
    </w:p>
    <w:p>
      <w:pPr>
        <w:pStyle w:val="16"/>
        <w:tabs>
          <w:tab w:val="right" w:leader="dot" w:pos="8504"/>
        </w:tabs>
      </w:pPr>
      <w:r>
        <w:fldChar w:fldCharType="begin"/>
      </w:r>
      <w:r>
        <w:instrText xml:space="preserve"> HYPERLINK \l _Toc9970 </w:instrText>
      </w:r>
      <w:r>
        <w:fldChar w:fldCharType="separate"/>
      </w:r>
      <w:r>
        <w:t>五、其他</w:t>
      </w:r>
      <w:r>
        <w:tab/>
      </w:r>
      <w:r>
        <w:fldChar w:fldCharType="begin"/>
      </w:r>
      <w:r>
        <w:instrText xml:space="preserve"> PAGEREF _Toc9970 </w:instrText>
      </w:r>
      <w:r>
        <w:fldChar w:fldCharType="separate"/>
      </w:r>
      <w:r>
        <w:rPr>
          <w:rFonts w:hint="eastAsia"/>
        </w:rPr>
        <w:t>８７</w:t>
      </w:r>
      <w:r>
        <w:fldChar w:fldCharType="end"/>
      </w:r>
      <w:r>
        <w:fldChar w:fldCharType="end"/>
      </w:r>
    </w:p>
    <w:p>
      <w:pPr>
        <w:spacing w:line="360" w:lineRule="auto"/>
        <w:rPr>
          <w:sz w:val="24"/>
        </w:rPr>
      </w:pPr>
      <w:r>
        <w:fldChar w:fldCharType="end"/>
      </w:r>
    </w:p>
    <w:p>
      <w:pPr>
        <w:spacing w:line="360" w:lineRule="auto"/>
        <w:rPr>
          <w:sz w:val="28"/>
        </w:rPr>
      </w:pPr>
    </w:p>
    <w:p>
      <w:pPr>
        <w:spacing w:line="360" w:lineRule="auto"/>
        <w:ind w:firstLine="3291"/>
      </w:pPr>
      <w:bookmarkStart w:id="0" w:name="_Hlt91233176"/>
      <w:bookmarkEnd w:id="0"/>
      <w:bookmarkStart w:id="1" w:name="_Toc91899869"/>
    </w:p>
    <w:p>
      <w:pPr>
        <w:spacing w:line="360" w:lineRule="auto"/>
        <w:ind w:firstLine="3291"/>
      </w:pPr>
    </w:p>
    <w:p>
      <w:pPr>
        <w:ind w:firstLine="3291"/>
      </w:pPr>
    </w:p>
    <w:p>
      <w:pPr>
        <w:sectPr>
          <w:footerReference r:id="rId6" w:type="first"/>
          <w:footerReference r:id="rId5" w:type="default"/>
          <w:pgSz w:w="11906" w:h="16838"/>
          <w:pgMar w:top="1418" w:right="1701" w:bottom="1418" w:left="1701" w:header="851" w:footer="851" w:gutter="0"/>
          <w:pgNumType w:fmt="upperRoman" w:start="1"/>
          <w:cols w:space="720" w:num="1"/>
          <w:docGrid w:linePitch="312" w:charSpace="0"/>
        </w:sectPr>
      </w:pPr>
    </w:p>
    <w:p>
      <w:pPr>
        <w:snapToGrid w:val="0"/>
      </w:pPr>
    </w:p>
    <w:p>
      <w:pPr>
        <w:sectPr>
          <w:headerReference r:id="rId8" w:type="first"/>
          <w:footerReference r:id="rId11" w:type="first"/>
          <w:headerReference r:id="rId7" w:type="default"/>
          <w:footerReference r:id="rId9" w:type="default"/>
          <w:footerReference r:id="rId10" w:type="even"/>
          <w:type w:val="continuous"/>
          <w:pgSz w:w="11906" w:h="16838"/>
          <w:pgMar w:top="1418" w:right="1418" w:bottom="1134" w:left="1418" w:header="851" w:footer="680" w:gutter="0"/>
          <w:pgNumType w:fmt="upperRoman"/>
          <w:cols w:space="720" w:num="1"/>
          <w:docGrid w:linePitch="312" w:charSpace="0"/>
        </w:sectPr>
      </w:pPr>
    </w:p>
    <w:p>
      <w:pPr>
        <w:pStyle w:val="2"/>
        <w:numPr>
          <w:ilvl w:val="0"/>
          <w:numId w:val="0"/>
        </w:numPr>
        <w:spacing w:before="0" w:after="0" w:line="360" w:lineRule="auto"/>
        <w:jc w:val="center"/>
        <w:rPr>
          <w:sz w:val="28"/>
          <w:szCs w:val="28"/>
        </w:rPr>
      </w:pPr>
      <w:bookmarkStart w:id="2" w:name="_Toc22971"/>
      <w:r>
        <w:rPr>
          <w:sz w:val="28"/>
          <w:szCs w:val="28"/>
        </w:rPr>
        <w:t>第一章  招标公告</w:t>
      </w:r>
      <w:bookmarkEnd w:id="1"/>
      <w:bookmarkEnd w:id="2"/>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noWrap w:val="0"/>
            <w:vAlign w:val="top"/>
          </w:tcPr>
          <w:p>
            <w:pPr>
              <w:widowControl/>
              <w:spacing w:after="75"/>
              <w:rPr>
                <w:kern w:val="0"/>
                <w:szCs w:val="21"/>
              </w:rPr>
            </w:pPr>
            <w:r>
              <w:rPr>
                <w:kern w:val="0"/>
                <w:szCs w:val="21"/>
              </w:rPr>
              <w:t>项目概况</w:t>
            </w:r>
          </w:p>
          <w:p>
            <w:pPr>
              <w:spacing w:line="360" w:lineRule="auto"/>
              <w:rPr>
                <w:kern w:val="0"/>
                <w:szCs w:val="21"/>
              </w:rPr>
            </w:pPr>
            <w:r>
              <w:rPr>
                <w:kern w:val="0"/>
                <w:szCs w:val="21"/>
              </w:rPr>
              <w:t>       </w:t>
            </w:r>
            <w:r>
              <w:rPr>
                <w:rFonts w:hint="eastAsia"/>
                <w:kern w:val="0"/>
                <w:szCs w:val="21"/>
              </w:rPr>
              <w:t>新昌县公安局(本级)新昌县智慧**建设社会治安监控第四、五期及人脸识别监控项目项目招标项目的潜在投标人应在浙江政府采购网（http://zfcg.czt.zj.gov.cn） 新昌县公共资源交易网（http://www.zjxc.gov.cn/col/col1634736/index.html）获取（下载）招标文件，并于 2020年10月19日 14:00（北京时间）前递交（上传）投标文件。</w:t>
            </w:r>
          </w:p>
        </w:tc>
      </w:tr>
    </w:tbl>
    <w:p>
      <w:pPr>
        <w:widowControl/>
        <w:spacing w:line="400" w:lineRule="exact"/>
        <w:rPr>
          <w:kern w:val="0"/>
          <w:sz w:val="24"/>
        </w:rPr>
      </w:pPr>
      <w:r>
        <w:rPr>
          <w:b/>
          <w:bCs/>
          <w:kern w:val="0"/>
          <w:sz w:val="24"/>
        </w:rPr>
        <w:t>一、项目基本情况</w:t>
      </w:r>
    </w:p>
    <w:p>
      <w:pPr>
        <w:widowControl/>
        <w:spacing w:line="400" w:lineRule="exact"/>
        <w:jc w:val="left"/>
        <w:rPr>
          <w:rFonts w:hint="eastAsia"/>
          <w:kern w:val="0"/>
          <w:szCs w:val="21"/>
        </w:rPr>
      </w:pPr>
      <w:r>
        <w:rPr>
          <w:kern w:val="0"/>
          <w:szCs w:val="21"/>
        </w:rPr>
        <w:t>     </w:t>
      </w:r>
      <w:r>
        <w:rPr>
          <w:rFonts w:hint="eastAsia"/>
          <w:kern w:val="0"/>
          <w:szCs w:val="21"/>
        </w:rPr>
        <w:t xml:space="preserve">项目编号：HXZJ200823 </w:t>
      </w:r>
    </w:p>
    <w:p>
      <w:pPr>
        <w:widowControl/>
        <w:spacing w:line="400" w:lineRule="exact"/>
        <w:jc w:val="left"/>
        <w:rPr>
          <w:rFonts w:hint="eastAsia"/>
          <w:kern w:val="0"/>
          <w:szCs w:val="21"/>
        </w:rPr>
      </w:pPr>
      <w:r>
        <w:rPr>
          <w:rFonts w:hint="eastAsia"/>
          <w:kern w:val="0"/>
          <w:szCs w:val="21"/>
        </w:rPr>
        <w:t xml:space="preserve">    项目名称：新昌县公安局(本级)新昌县智慧**建设社会治安监控第四、五期及人脸识别监控项目项目</w:t>
      </w:r>
    </w:p>
    <w:p>
      <w:pPr>
        <w:widowControl/>
        <w:spacing w:line="400" w:lineRule="exact"/>
        <w:jc w:val="left"/>
        <w:rPr>
          <w:rFonts w:hint="eastAsia"/>
          <w:kern w:val="0"/>
          <w:szCs w:val="21"/>
        </w:rPr>
      </w:pPr>
      <w:r>
        <w:rPr>
          <w:rFonts w:hint="eastAsia"/>
          <w:kern w:val="0"/>
          <w:szCs w:val="21"/>
        </w:rPr>
        <w:t xml:space="preserve">    预算金额（元）：28051525  </w:t>
      </w:r>
    </w:p>
    <w:p>
      <w:pPr>
        <w:widowControl/>
        <w:spacing w:line="400" w:lineRule="exact"/>
        <w:jc w:val="left"/>
        <w:rPr>
          <w:rFonts w:hint="eastAsia"/>
          <w:kern w:val="0"/>
          <w:szCs w:val="21"/>
        </w:rPr>
      </w:pPr>
      <w:r>
        <w:rPr>
          <w:rFonts w:hint="eastAsia"/>
          <w:kern w:val="0"/>
          <w:szCs w:val="21"/>
        </w:rPr>
        <w:t xml:space="preserve">    最高限价（元）：28051525.0000 </w:t>
      </w:r>
    </w:p>
    <w:p>
      <w:pPr>
        <w:widowControl/>
        <w:spacing w:line="400" w:lineRule="exact"/>
        <w:jc w:val="left"/>
        <w:rPr>
          <w:rFonts w:hint="eastAsia"/>
          <w:kern w:val="0"/>
          <w:szCs w:val="21"/>
        </w:rPr>
      </w:pPr>
      <w:r>
        <w:rPr>
          <w:rFonts w:hint="eastAsia"/>
          <w:kern w:val="0"/>
          <w:szCs w:val="21"/>
        </w:rPr>
        <w:t xml:space="preserve">    采购需求：</w:t>
      </w:r>
    </w:p>
    <w:p>
      <w:pPr>
        <w:widowControl/>
        <w:spacing w:line="400" w:lineRule="exact"/>
        <w:jc w:val="left"/>
        <w:rPr>
          <w:rFonts w:hint="eastAsia"/>
          <w:kern w:val="0"/>
          <w:szCs w:val="21"/>
        </w:rPr>
      </w:pPr>
      <w:r>
        <w:rPr>
          <w:rFonts w:hint="eastAsia"/>
          <w:kern w:val="0"/>
          <w:szCs w:val="21"/>
        </w:rPr>
        <w:t xml:space="preserve">    标项一:</w:t>
      </w:r>
    </w:p>
    <w:p>
      <w:pPr>
        <w:widowControl/>
        <w:spacing w:line="400" w:lineRule="exact"/>
        <w:jc w:val="left"/>
        <w:rPr>
          <w:rFonts w:hint="eastAsia"/>
          <w:kern w:val="0"/>
          <w:szCs w:val="21"/>
        </w:rPr>
      </w:pPr>
      <w:r>
        <w:rPr>
          <w:rFonts w:hint="eastAsia"/>
          <w:kern w:val="0"/>
          <w:szCs w:val="21"/>
        </w:rPr>
        <w:t xml:space="preserve">    标项名称: 新昌县公安局(本级)新昌县智慧**建设社会治安监控第四、五期及人脸识别监控项目 </w:t>
      </w:r>
    </w:p>
    <w:p>
      <w:pPr>
        <w:widowControl/>
        <w:spacing w:line="400" w:lineRule="exact"/>
        <w:jc w:val="left"/>
        <w:rPr>
          <w:rFonts w:hint="eastAsia"/>
          <w:kern w:val="0"/>
          <w:szCs w:val="21"/>
        </w:rPr>
      </w:pPr>
      <w:r>
        <w:rPr>
          <w:rFonts w:hint="eastAsia"/>
          <w:kern w:val="0"/>
          <w:szCs w:val="21"/>
        </w:rPr>
        <w:t xml:space="preserve">    数量: 1  </w:t>
      </w:r>
    </w:p>
    <w:p>
      <w:pPr>
        <w:widowControl/>
        <w:spacing w:line="400" w:lineRule="exact"/>
        <w:jc w:val="left"/>
        <w:rPr>
          <w:rFonts w:hint="eastAsia"/>
          <w:kern w:val="0"/>
          <w:szCs w:val="21"/>
        </w:rPr>
      </w:pPr>
      <w:r>
        <w:rPr>
          <w:rFonts w:hint="eastAsia"/>
          <w:kern w:val="0"/>
          <w:szCs w:val="21"/>
        </w:rPr>
        <w:t xml:space="preserve">    预算金额（元）: 28051525 </w:t>
      </w:r>
    </w:p>
    <w:p>
      <w:pPr>
        <w:widowControl/>
        <w:spacing w:line="400" w:lineRule="exact"/>
        <w:jc w:val="left"/>
        <w:rPr>
          <w:rFonts w:hint="eastAsia"/>
          <w:kern w:val="0"/>
          <w:szCs w:val="21"/>
        </w:rPr>
      </w:pPr>
      <w:r>
        <w:rPr>
          <w:rFonts w:hint="eastAsia"/>
          <w:kern w:val="0"/>
          <w:szCs w:val="21"/>
        </w:rPr>
        <w:t xml:space="preserve">    简要规格描述或项目基本概况介绍、用途：本次项目重点建设内容为对原有四、五期治安监控的点位进行高清化改造及人脸抓拍设备新建，其中包含423路枪机、21路球机、60路抓拍机改造以及1130路的人脸抓拍设备新建，并且对现有视频云存储进行扩容升级，点位视频录像到统一的云存储管理进行集中存储。具体要求详见本招标文件第三部分要求。 </w:t>
      </w:r>
    </w:p>
    <w:p>
      <w:pPr>
        <w:widowControl/>
        <w:spacing w:line="400" w:lineRule="exact"/>
        <w:jc w:val="left"/>
        <w:rPr>
          <w:rFonts w:hint="eastAsia"/>
          <w:kern w:val="0"/>
          <w:szCs w:val="21"/>
        </w:rPr>
      </w:pPr>
      <w:r>
        <w:rPr>
          <w:rFonts w:hint="eastAsia"/>
          <w:kern w:val="0"/>
          <w:szCs w:val="21"/>
        </w:rPr>
        <w:t xml:space="preserve">    备注：/ </w:t>
      </w:r>
    </w:p>
    <w:p>
      <w:pPr>
        <w:widowControl/>
        <w:spacing w:line="400" w:lineRule="exact"/>
        <w:jc w:val="left"/>
        <w:rPr>
          <w:rFonts w:hint="eastAsia"/>
          <w:kern w:val="0"/>
          <w:szCs w:val="21"/>
        </w:rPr>
      </w:pPr>
      <w:r>
        <w:rPr>
          <w:rFonts w:hint="eastAsia"/>
          <w:kern w:val="0"/>
          <w:szCs w:val="21"/>
        </w:rPr>
        <w:t xml:space="preserve">    合同履约期限：须2020年12月10日前完成建设需求分析、系统建设设计、设备采购、设备安装及调试、系统集成等全部工程内容并交付甲方使用。</w:t>
      </w:r>
    </w:p>
    <w:p>
      <w:pPr>
        <w:widowControl/>
        <w:spacing w:line="400" w:lineRule="exact"/>
        <w:ind w:firstLine="435"/>
        <w:jc w:val="left"/>
        <w:rPr>
          <w:kern w:val="0"/>
          <w:szCs w:val="21"/>
        </w:rPr>
      </w:pPr>
      <w:r>
        <w:rPr>
          <w:rFonts w:hint="eastAsia"/>
          <w:kern w:val="0"/>
          <w:szCs w:val="21"/>
        </w:rPr>
        <w:t>本项目（否）接受联合体投标。</w:t>
      </w:r>
    </w:p>
    <w:p>
      <w:pPr>
        <w:widowControl/>
        <w:spacing w:line="400" w:lineRule="exact"/>
        <w:jc w:val="left"/>
        <w:rPr>
          <w:kern w:val="0"/>
          <w:szCs w:val="21"/>
        </w:rPr>
      </w:pPr>
      <w:r>
        <w:rPr>
          <w:b/>
          <w:bCs/>
          <w:kern w:val="0"/>
          <w:szCs w:val="21"/>
        </w:rPr>
        <w:t>二、申请人的资格要求：</w:t>
      </w:r>
    </w:p>
    <w:p>
      <w:pPr>
        <w:widowControl/>
        <w:spacing w:line="400" w:lineRule="exact"/>
        <w:ind w:firstLine="420" w:firstLineChars="200"/>
        <w:rPr>
          <w:rFonts w:hint="eastAsia"/>
          <w:kern w:val="0"/>
          <w:szCs w:val="21"/>
        </w:rPr>
      </w:pPr>
      <w:r>
        <w:rPr>
          <w:rFonts w:hint="eastAsia"/>
          <w:kern w:val="0"/>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400" w:lineRule="exact"/>
        <w:rPr>
          <w:rFonts w:hint="eastAsia"/>
          <w:kern w:val="0"/>
          <w:szCs w:val="21"/>
        </w:rPr>
      </w:pPr>
      <w:r>
        <w:rPr>
          <w:rFonts w:hint="eastAsia"/>
          <w:kern w:val="0"/>
          <w:szCs w:val="21"/>
        </w:rPr>
        <w:t xml:space="preserve">    2.落实政府采购政策需满足的资格要求：无 </w:t>
      </w:r>
    </w:p>
    <w:p>
      <w:pPr>
        <w:widowControl/>
        <w:spacing w:line="400" w:lineRule="exact"/>
        <w:ind w:firstLine="435"/>
        <w:rPr>
          <w:kern w:val="0"/>
          <w:szCs w:val="21"/>
        </w:rPr>
      </w:pPr>
      <w:r>
        <w:rPr>
          <w:rFonts w:hint="eastAsia"/>
          <w:kern w:val="0"/>
          <w:szCs w:val="21"/>
        </w:rPr>
        <w:t>3.本项目的特定资格要求：无</w:t>
      </w:r>
    </w:p>
    <w:p>
      <w:pPr>
        <w:widowControl/>
        <w:spacing w:line="400" w:lineRule="exact"/>
        <w:rPr>
          <w:kern w:val="0"/>
          <w:szCs w:val="21"/>
        </w:rPr>
      </w:pPr>
      <w:r>
        <w:rPr>
          <w:b/>
          <w:bCs/>
          <w:kern w:val="0"/>
          <w:szCs w:val="21"/>
        </w:rPr>
        <w:t>三、获取招标文件</w:t>
      </w:r>
    </w:p>
    <w:p>
      <w:pPr>
        <w:widowControl/>
        <w:spacing w:line="400" w:lineRule="exact"/>
        <w:ind w:firstLine="420" w:firstLineChars="200"/>
        <w:rPr>
          <w:rFonts w:hint="eastAsia"/>
          <w:kern w:val="0"/>
          <w:szCs w:val="21"/>
        </w:rPr>
      </w:pPr>
      <w:r>
        <w:rPr>
          <w:rFonts w:hint="eastAsia"/>
          <w:kern w:val="0"/>
          <w:szCs w:val="21"/>
        </w:rPr>
        <w:t>时间：/至2020年10月19日 ，每天上午00:00至12:00 ，下午12:00至23:59（北京时间，线上获取法定节假日均可，线下获取文件法定节假日除外）</w:t>
      </w:r>
    </w:p>
    <w:p>
      <w:pPr>
        <w:widowControl/>
        <w:spacing w:line="400" w:lineRule="exact"/>
        <w:rPr>
          <w:rFonts w:hint="eastAsia"/>
          <w:kern w:val="0"/>
          <w:szCs w:val="21"/>
        </w:rPr>
      </w:pPr>
      <w:r>
        <w:rPr>
          <w:rFonts w:hint="eastAsia"/>
          <w:kern w:val="0"/>
          <w:szCs w:val="21"/>
        </w:rPr>
        <w:t xml:space="preserve">    地点（网址）：浙江政府采购网（http://zfcg.czt.zj.gov.cn） 新昌县公共资源交易网（http://www.zjxc.gov.cn/col/col1634736/index.html） </w:t>
      </w:r>
    </w:p>
    <w:p>
      <w:pPr>
        <w:widowControl/>
        <w:spacing w:line="400" w:lineRule="exact"/>
        <w:rPr>
          <w:rFonts w:hint="eastAsia"/>
          <w:kern w:val="0"/>
          <w:szCs w:val="21"/>
        </w:rPr>
      </w:pPr>
      <w:r>
        <w:rPr>
          <w:rFonts w:hint="eastAsia"/>
          <w:kern w:val="0"/>
          <w:szCs w:val="21"/>
        </w:rPr>
        <w:t xml:space="preserve">    方式： “浙江政府采购网”在线获取。 </w:t>
      </w:r>
    </w:p>
    <w:p>
      <w:pPr>
        <w:widowControl/>
        <w:spacing w:line="400" w:lineRule="exact"/>
        <w:ind w:firstLine="435"/>
        <w:rPr>
          <w:kern w:val="0"/>
          <w:szCs w:val="21"/>
        </w:rPr>
      </w:pPr>
      <w:r>
        <w:rPr>
          <w:rFonts w:hint="eastAsia"/>
          <w:kern w:val="0"/>
          <w:szCs w:val="21"/>
        </w:rPr>
        <w:t>售价（元）：0</w:t>
      </w:r>
    </w:p>
    <w:p>
      <w:pPr>
        <w:widowControl/>
        <w:spacing w:line="400" w:lineRule="exact"/>
        <w:rPr>
          <w:kern w:val="0"/>
          <w:szCs w:val="21"/>
        </w:rPr>
      </w:pPr>
      <w:r>
        <w:rPr>
          <w:b/>
          <w:bCs/>
          <w:kern w:val="0"/>
          <w:szCs w:val="21"/>
        </w:rPr>
        <w:t>四、提交投标文件截止时间、开标时间和地点</w:t>
      </w:r>
    </w:p>
    <w:p>
      <w:pPr>
        <w:widowControl/>
        <w:spacing w:line="400" w:lineRule="exact"/>
        <w:jc w:val="left"/>
        <w:rPr>
          <w:rFonts w:hint="eastAsia"/>
          <w:kern w:val="0"/>
          <w:szCs w:val="21"/>
        </w:rPr>
      </w:pPr>
      <w:r>
        <w:rPr>
          <w:kern w:val="0"/>
          <w:szCs w:val="21"/>
        </w:rPr>
        <w:t xml:space="preserve">     </w:t>
      </w:r>
      <w:r>
        <w:rPr>
          <w:rFonts w:hint="eastAsia"/>
          <w:kern w:val="0"/>
          <w:szCs w:val="21"/>
        </w:rPr>
        <w:t>提交投标文件截止时间：2020年10月19日 14:00（北京时间）</w:t>
      </w:r>
    </w:p>
    <w:p>
      <w:pPr>
        <w:widowControl/>
        <w:spacing w:line="400" w:lineRule="exact"/>
        <w:jc w:val="left"/>
        <w:rPr>
          <w:rFonts w:hint="eastAsia"/>
          <w:kern w:val="0"/>
          <w:szCs w:val="21"/>
        </w:rPr>
      </w:pPr>
      <w:r>
        <w:rPr>
          <w:rFonts w:hint="eastAsia"/>
          <w:kern w:val="0"/>
          <w:szCs w:val="21"/>
        </w:rPr>
        <w:t xml:space="preserve">    投标地点（网址）：同开标地点 </w:t>
      </w:r>
    </w:p>
    <w:p>
      <w:pPr>
        <w:widowControl/>
        <w:spacing w:line="400" w:lineRule="exact"/>
        <w:jc w:val="left"/>
        <w:rPr>
          <w:rFonts w:hint="eastAsia"/>
          <w:kern w:val="0"/>
          <w:szCs w:val="21"/>
        </w:rPr>
      </w:pPr>
      <w:r>
        <w:rPr>
          <w:rFonts w:hint="eastAsia"/>
          <w:kern w:val="0"/>
          <w:szCs w:val="21"/>
        </w:rPr>
        <w:t xml:space="preserve">    开标时间：2020年10月19日 14:00 </w:t>
      </w:r>
    </w:p>
    <w:p>
      <w:pPr>
        <w:widowControl/>
        <w:spacing w:line="400" w:lineRule="exact"/>
        <w:ind w:firstLine="435"/>
        <w:jc w:val="left"/>
        <w:rPr>
          <w:kern w:val="0"/>
          <w:szCs w:val="21"/>
        </w:rPr>
      </w:pPr>
      <w:r>
        <w:rPr>
          <w:rFonts w:hint="eastAsia"/>
          <w:kern w:val="0"/>
          <w:szCs w:val="21"/>
        </w:rPr>
        <w:t xml:space="preserve">开标地点（网址）：通过“政府采购云平台（www.zcygov.cn）”实行在线投标响应  </w:t>
      </w:r>
    </w:p>
    <w:p>
      <w:pPr>
        <w:widowControl/>
        <w:spacing w:line="400" w:lineRule="exact"/>
        <w:jc w:val="left"/>
        <w:rPr>
          <w:kern w:val="0"/>
          <w:szCs w:val="21"/>
        </w:rPr>
      </w:pPr>
      <w:r>
        <w:rPr>
          <w:b/>
          <w:bCs/>
          <w:kern w:val="0"/>
          <w:szCs w:val="21"/>
        </w:rPr>
        <w:t>五、公告期限</w:t>
      </w:r>
    </w:p>
    <w:p>
      <w:pPr>
        <w:widowControl/>
        <w:spacing w:line="400" w:lineRule="exact"/>
        <w:jc w:val="left"/>
        <w:rPr>
          <w:kern w:val="0"/>
          <w:szCs w:val="21"/>
        </w:rPr>
      </w:pPr>
      <w:r>
        <w:rPr>
          <w:kern w:val="0"/>
          <w:szCs w:val="21"/>
        </w:rPr>
        <w:t>     自本公告发布之日起5个工作日。</w:t>
      </w:r>
    </w:p>
    <w:p>
      <w:pPr>
        <w:widowControl/>
        <w:spacing w:line="400" w:lineRule="exact"/>
        <w:rPr>
          <w:kern w:val="0"/>
          <w:szCs w:val="21"/>
        </w:rPr>
      </w:pPr>
      <w:r>
        <w:rPr>
          <w:b/>
          <w:bCs/>
          <w:kern w:val="0"/>
          <w:szCs w:val="21"/>
        </w:rPr>
        <w:t>六、其他补充事宜</w:t>
      </w:r>
    </w:p>
    <w:p>
      <w:pPr>
        <w:widowControl/>
        <w:spacing w:line="400" w:lineRule="exact"/>
        <w:jc w:val="left"/>
        <w:rPr>
          <w:rFonts w:hint="eastAsia"/>
          <w:kern w:val="0"/>
          <w:szCs w:val="21"/>
        </w:rPr>
      </w:pPr>
      <w:r>
        <w:rPr>
          <w:rFonts w:hint="eastAsia"/>
          <w:kern w:val="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400" w:lineRule="exact"/>
        <w:ind w:firstLine="435"/>
        <w:jc w:val="left"/>
        <w:rPr>
          <w:kern w:val="0"/>
          <w:szCs w:val="21"/>
        </w:rPr>
      </w:pPr>
      <w:r>
        <w:rPr>
          <w:rFonts w:hint="eastAsia"/>
          <w:kern w:val="0"/>
          <w:szCs w:val="21"/>
        </w:rPr>
        <w:t>2.其他事项：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 2、其他事项： 在线投标响应（电子投标）说明： A.本项目通过“浙江政府采购网（http://zfcg.czt.zj.gov.cn）”实行电子投标，供应商须安装客户端软件，并按照采购文件和电子交易平台的要求制作投标文件。 客户端软件下载方式：供应商可通过“浙江政府采购网-下载专区-电子交易客户端”进行下载。 B.供应商须申领CA，并在浙江政府采购网完成绑定方可进行电子加密投标文件的编制，CA相关操作可参考“浙江政府采购网-下载专区-电子交易客户端-CA驱动和申领流程”。 供应商在进行上述操作时，如遇技术问题可致电400-881-7190进行咨询。</w:t>
      </w:r>
    </w:p>
    <w:p>
      <w:pPr>
        <w:widowControl/>
        <w:spacing w:line="400" w:lineRule="exact"/>
        <w:jc w:val="left"/>
        <w:rPr>
          <w:kern w:val="0"/>
          <w:szCs w:val="21"/>
        </w:rPr>
      </w:pPr>
      <w:r>
        <w:rPr>
          <w:b/>
          <w:bCs/>
          <w:kern w:val="0"/>
          <w:szCs w:val="21"/>
        </w:rPr>
        <w:t>七、对本次招标提出询问、质疑、投诉，请按以下方式联系</w:t>
      </w:r>
    </w:p>
    <w:p>
      <w:pPr>
        <w:widowControl/>
        <w:spacing w:line="400" w:lineRule="exact"/>
        <w:jc w:val="left"/>
        <w:rPr>
          <w:kern w:val="0"/>
          <w:szCs w:val="21"/>
        </w:rPr>
      </w:pPr>
      <w:r>
        <w:rPr>
          <w:kern w:val="0"/>
          <w:szCs w:val="21"/>
        </w:rPr>
        <w:t>    1、采购人信息</w:t>
      </w:r>
    </w:p>
    <w:p>
      <w:pPr>
        <w:widowControl/>
        <w:spacing w:line="400" w:lineRule="exact"/>
        <w:jc w:val="left"/>
        <w:rPr>
          <w:kern w:val="0"/>
          <w:szCs w:val="21"/>
        </w:rPr>
      </w:pPr>
      <w:r>
        <w:rPr>
          <w:kern w:val="0"/>
          <w:szCs w:val="21"/>
        </w:rPr>
        <w:t>    名称： 新昌县公安局 </w:t>
      </w:r>
    </w:p>
    <w:p>
      <w:pPr>
        <w:widowControl/>
        <w:spacing w:line="400" w:lineRule="exact"/>
        <w:jc w:val="left"/>
        <w:rPr>
          <w:kern w:val="0"/>
          <w:szCs w:val="21"/>
        </w:rPr>
      </w:pPr>
      <w:r>
        <w:rPr>
          <w:kern w:val="0"/>
          <w:szCs w:val="21"/>
        </w:rPr>
        <w:t>    地址： 南明街道人民中路212号 </w:t>
      </w:r>
    </w:p>
    <w:p>
      <w:pPr>
        <w:widowControl/>
        <w:spacing w:line="400" w:lineRule="exact"/>
        <w:jc w:val="left"/>
        <w:rPr>
          <w:kern w:val="0"/>
          <w:szCs w:val="21"/>
        </w:rPr>
      </w:pPr>
      <w:r>
        <w:rPr>
          <w:kern w:val="0"/>
          <w:szCs w:val="21"/>
        </w:rPr>
        <w:t>    传真： / </w:t>
      </w:r>
    </w:p>
    <w:p>
      <w:pPr>
        <w:widowControl/>
        <w:spacing w:line="400" w:lineRule="exact"/>
        <w:jc w:val="left"/>
        <w:rPr>
          <w:kern w:val="0"/>
          <w:szCs w:val="21"/>
        </w:rPr>
      </w:pPr>
      <w:r>
        <w:rPr>
          <w:kern w:val="0"/>
          <w:szCs w:val="21"/>
        </w:rPr>
        <w:t>    项目联系人（询问）：</w:t>
      </w:r>
      <w:r>
        <w:rPr>
          <w:rFonts w:hint="eastAsia"/>
          <w:kern w:val="0"/>
          <w:szCs w:val="21"/>
        </w:rPr>
        <w:t>杨林霞</w:t>
      </w:r>
      <w:r>
        <w:rPr>
          <w:kern w:val="0"/>
          <w:szCs w:val="21"/>
        </w:rPr>
        <w:t> </w:t>
      </w:r>
    </w:p>
    <w:p>
      <w:pPr>
        <w:widowControl/>
        <w:spacing w:line="400" w:lineRule="exact"/>
        <w:ind w:firstLine="315"/>
        <w:jc w:val="left"/>
        <w:rPr>
          <w:kern w:val="0"/>
          <w:szCs w:val="21"/>
        </w:rPr>
      </w:pPr>
      <w:r>
        <w:rPr>
          <w:kern w:val="0"/>
          <w:szCs w:val="21"/>
        </w:rPr>
        <w:t>项目联系方式（询问）：0575- 86624093</w:t>
      </w:r>
    </w:p>
    <w:p>
      <w:pPr>
        <w:widowControl/>
        <w:spacing w:line="400" w:lineRule="exact"/>
        <w:ind w:firstLine="315"/>
        <w:jc w:val="left"/>
        <w:rPr>
          <w:kern w:val="0"/>
          <w:szCs w:val="21"/>
        </w:rPr>
      </w:pPr>
      <w:r>
        <w:rPr>
          <w:kern w:val="0"/>
          <w:szCs w:val="21"/>
        </w:rPr>
        <w:t>质疑联系人：综合查询 </w:t>
      </w:r>
    </w:p>
    <w:p>
      <w:pPr>
        <w:widowControl/>
        <w:spacing w:line="400" w:lineRule="exact"/>
        <w:jc w:val="left"/>
        <w:rPr>
          <w:kern w:val="0"/>
          <w:szCs w:val="21"/>
        </w:rPr>
      </w:pPr>
      <w:r>
        <w:rPr>
          <w:kern w:val="0"/>
          <w:szCs w:val="21"/>
        </w:rPr>
        <w:t>    质疑联系方式：17305756205 </w:t>
      </w:r>
    </w:p>
    <w:p>
      <w:pPr>
        <w:widowControl/>
        <w:spacing w:line="400" w:lineRule="exact"/>
        <w:jc w:val="left"/>
        <w:rPr>
          <w:kern w:val="0"/>
          <w:szCs w:val="21"/>
        </w:rPr>
      </w:pPr>
      <w:r>
        <w:rPr>
          <w:kern w:val="0"/>
          <w:szCs w:val="21"/>
        </w:rPr>
        <w:t>   2、采购代理机构信息</w:t>
      </w:r>
    </w:p>
    <w:p>
      <w:pPr>
        <w:widowControl/>
        <w:spacing w:line="400" w:lineRule="exact"/>
        <w:jc w:val="left"/>
        <w:rPr>
          <w:kern w:val="0"/>
          <w:szCs w:val="21"/>
        </w:rPr>
      </w:pPr>
      <w:r>
        <w:rPr>
          <w:kern w:val="0"/>
          <w:szCs w:val="21"/>
        </w:rPr>
        <w:t>    名称： 华信咨询设计研究院有限公司 </w:t>
      </w:r>
    </w:p>
    <w:p>
      <w:pPr>
        <w:widowControl/>
        <w:spacing w:line="400" w:lineRule="exact"/>
        <w:jc w:val="left"/>
        <w:rPr>
          <w:kern w:val="0"/>
          <w:szCs w:val="21"/>
        </w:rPr>
      </w:pPr>
      <w:r>
        <w:rPr>
          <w:kern w:val="0"/>
          <w:szCs w:val="21"/>
        </w:rPr>
        <w:t>    地址： 杭州市滨江区春波路999号 </w:t>
      </w:r>
    </w:p>
    <w:p>
      <w:pPr>
        <w:widowControl/>
        <w:spacing w:line="400" w:lineRule="exact"/>
        <w:jc w:val="left"/>
        <w:rPr>
          <w:kern w:val="0"/>
          <w:szCs w:val="21"/>
        </w:rPr>
      </w:pPr>
      <w:r>
        <w:rPr>
          <w:kern w:val="0"/>
          <w:szCs w:val="21"/>
        </w:rPr>
        <w:t>    传真： </w:t>
      </w:r>
    </w:p>
    <w:p>
      <w:pPr>
        <w:widowControl/>
        <w:spacing w:line="400" w:lineRule="exact"/>
        <w:jc w:val="left"/>
        <w:rPr>
          <w:kern w:val="0"/>
          <w:szCs w:val="21"/>
        </w:rPr>
      </w:pPr>
      <w:r>
        <w:rPr>
          <w:kern w:val="0"/>
          <w:szCs w:val="21"/>
        </w:rPr>
        <w:t>    项目联系人（询问）：丁宇琼 </w:t>
      </w:r>
    </w:p>
    <w:p>
      <w:pPr>
        <w:widowControl/>
        <w:spacing w:line="400" w:lineRule="exact"/>
        <w:jc w:val="left"/>
        <w:rPr>
          <w:kern w:val="0"/>
          <w:szCs w:val="21"/>
        </w:rPr>
      </w:pPr>
      <w:r>
        <w:rPr>
          <w:kern w:val="0"/>
          <w:szCs w:val="21"/>
        </w:rPr>
        <w:t>    项目联系方式（询问）：15158034050 </w:t>
      </w:r>
    </w:p>
    <w:p>
      <w:pPr>
        <w:widowControl/>
        <w:spacing w:line="400" w:lineRule="exact"/>
        <w:jc w:val="left"/>
        <w:rPr>
          <w:kern w:val="0"/>
          <w:szCs w:val="21"/>
        </w:rPr>
      </w:pPr>
      <w:r>
        <w:rPr>
          <w:kern w:val="0"/>
          <w:szCs w:val="21"/>
        </w:rPr>
        <w:t>    质疑联系人：</w:t>
      </w:r>
      <w:r>
        <w:rPr>
          <w:rFonts w:hint="eastAsia"/>
          <w:kern w:val="0"/>
          <w:szCs w:val="21"/>
        </w:rPr>
        <w:t>周丽娜</w:t>
      </w:r>
    </w:p>
    <w:p>
      <w:pPr>
        <w:widowControl/>
        <w:spacing w:line="400" w:lineRule="exact"/>
        <w:jc w:val="left"/>
        <w:rPr>
          <w:kern w:val="0"/>
          <w:szCs w:val="21"/>
        </w:rPr>
      </w:pPr>
      <w:r>
        <w:rPr>
          <w:kern w:val="0"/>
          <w:szCs w:val="21"/>
        </w:rPr>
        <w:t>    质疑联系方式：13647218554</w:t>
      </w:r>
    </w:p>
    <w:p>
      <w:pPr>
        <w:widowControl/>
        <w:spacing w:line="400" w:lineRule="exact"/>
        <w:jc w:val="left"/>
        <w:rPr>
          <w:kern w:val="0"/>
          <w:szCs w:val="21"/>
        </w:rPr>
      </w:pPr>
      <w:r>
        <w:rPr>
          <w:kern w:val="0"/>
          <w:szCs w:val="21"/>
        </w:rPr>
        <w:t>   3、同级政府采购监督管理部门</w:t>
      </w:r>
    </w:p>
    <w:p>
      <w:pPr>
        <w:widowControl/>
        <w:spacing w:line="400" w:lineRule="exact"/>
        <w:jc w:val="left"/>
        <w:rPr>
          <w:kern w:val="0"/>
          <w:szCs w:val="21"/>
        </w:rPr>
      </w:pPr>
      <w:r>
        <w:rPr>
          <w:kern w:val="0"/>
          <w:szCs w:val="21"/>
        </w:rPr>
        <w:t>    名称： 新昌县财政局采监科</w:t>
      </w:r>
    </w:p>
    <w:p>
      <w:pPr>
        <w:widowControl/>
        <w:spacing w:line="400" w:lineRule="exact"/>
        <w:jc w:val="left"/>
        <w:rPr>
          <w:kern w:val="0"/>
          <w:szCs w:val="21"/>
        </w:rPr>
      </w:pPr>
      <w:r>
        <w:rPr>
          <w:kern w:val="0"/>
          <w:szCs w:val="21"/>
        </w:rPr>
        <w:t>    地址： </w:t>
      </w:r>
      <w:r>
        <w:rPr>
          <w:rFonts w:hint="eastAsia"/>
          <w:kern w:val="0"/>
          <w:szCs w:val="21"/>
        </w:rPr>
        <w:t>/</w:t>
      </w:r>
      <w:r>
        <w:rPr>
          <w:kern w:val="0"/>
          <w:szCs w:val="21"/>
        </w:rPr>
        <w:t> </w:t>
      </w:r>
    </w:p>
    <w:p>
      <w:pPr>
        <w:widowControl/>
        <w:spacing w:line="400" w:lineRule="exact"/>
        <w:jc w:val="left"/>
        <w:rPr>
          <w:kern w:val="0"/>
          <w:szCs w:val="21"/>
        </w:rPr>
      </w:pPr>
      <w:r>
        <w:rPr>
          <w:kern w:val="0"/>
          <w:szCs w:val="21"/>
        </w:rPr>
        <w:t>    传真：/</w:t>
      </w:r>
    </w:p>
    <w:p>
      <w:pPr>
        <w:widowControl/>
        <w:spacing w:line="400" w:lineRule="exact"/>
        <w:jc w:val="left"/>
        <w:rPr>
          <w:kern w:val="0"/>
          <w:szCs w:val="21"/>
        </w:rPr>
      </w:pPr>
      <w:r>
        <w:rPr>
          <w:kern w:val="0"/>
          <w:szCs w:val="21"/>
        </w:rPr>
        <w:t>    联系人：任先生 </w:t>
      </w:r>
    </w:p>
    <w:p>
      <w:pPr>
        <w:widowControl/>
        <w:spacing w:line="400" w:lineRule="exact"/>
        <w:jc w:val="left"/>
        <w:rPr>
          <w:kern w:val="0"/>
          <w:szCs w:val="21"/>
        </w:rPr>
      </w:pPr>
      <w:r>
        <w:rPr>
          <w:kern w:val="0"/>
          <w:szCs w:val="21"/>
        </w:rPr>
        <w:t>    监督投诉电话： 86621309</w:t>
      </w:r>
    </w:p>
    <w:p>
      <w:pPr>
        <w:widowControl/>
        <w:spacing w:line="360" w:lineRule="auto"/>
        <w:ind w:firstLine="420" w:firstLineChars="200"/>
        <w:jc w:val="left"/>
        <w:rPr>
          <w:szCs w:val="21"/>
        </w:rPr>
      </w:pPr>
    </w:p>
    <w:p>
      <w:pPr>
        <w:snapToGrid w:val="0"/>
      </w:pPr>
    </w:p>
    <w:p>
      <w:pPr>
        <w:snapToGrid w:val="0"/>
      </w:pPr>
      <w:r>
        <w:br w:type="page"/>
      </w:r>
    </w:p>
    <w:p>
      <w:pPr>
        <w:pStyle w:val="2"/>
        <w:numPr>
          <w:ilvl w:val="0"/>
          <w:numId w:val="0"/>
        </w:numPr>
        <w:spacing w:before="0" w:after="0" w:line="360" w:lineRule="auto"/>
        <w:jc w:val="center"/>
        <w:rPr>
          <w:sz w:val="28"/>
          <w:szCs w:val="28"/>
        </w:rPr>
      </w:pPr>
      <w:bookmarkStart w:id="3" w:name="_Toc20103"/>
      <w:r>
        <w:rPr>
          <w:sz w:val="28"/>
          <w:szCs w:val="28"/>
        </w:rPr>
        <w:t>第二章  投标须知及前附表</w:t>
      </w:r>
      <w:bookmarkEnd w:id="3"/>
    </w:p>
    <w:p>
      <w:pPr>
        <w:spacing w:before="120" w:beforeLines="50" w:line="360" w:lineRule="auto"/>
        <w:jc w:val="center"/>
        <w:outlineLvl w:val="1"/>
        <w:rPr>
          <w:b/>
          <w:sz w:val="24"/>
        </w:rPr>
      </w:pPr>
      <w:bookmarkStart w:id="4" w:name="_Toc27415"/>
      <w:r>
        <w:rPr>
          <w:b/>
          <w:sz w:val="24"/>
        </w:rPr>
        <w:t>一、投标须知前附表</w:t>
      </w:r>
      <w:bookmarkEnd w:id="4"/>
    </w:p>
    <w:tbl>
      <w:tblPr>
        <w:tblStyle w:val="21"/>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2"/>
        <w:gridCol w:w="1609"/>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blHeader/>
          <w:jc w:val="center"/>
        </w:trPr>
        <w:tc>
          <w:tcPr>
            <w:tcW w:w="632" w:type="dxa"/>
            <w:noWrap w:val="0"/>
            <w:vAlign w:val="center"/>
          </w:tcPr>
          <w:p>
            <w:pPr>
              <w:adjustRightInd w:val="0"/>
              <w:snapToGrid w:val="0"/>
              <w:jc w:val="center"/>
              <w:rPr>
                <w:b/>
                <w:bCs/>
                <w:snapToGrid w:val="0"/>
                <w:kern w:val="0"/>
                <w:szCs w:val="21"/>
              </w:rPr>
            </w:pPr>
            <w:bookmarkStart w:id="5" w:name="_Toc91899871"/>
            <w:r>
              <w:rPr>
                <w:b/>
                <w:bCs/>
                <w:snapToGrid w:val="0"/>
                <w:kern w:val="0"/>
                <w:szCs w:val="21"/>
              </w:rPr>
              <w:t>序号</w:t>
            </w:r>
          </w:p>
        </w:tc>
        <w:tc>
          <w:tcPr>
            <w:tcW w:w="1609" w:type="dxa"/>
            <w:noWrap w:val="0"/>
            <w:vAlign w:val="center"/>
          </w:tcPr>
          <w:p>
            <w:pPr>
              <w:adjustRightInd w:val="0"/>
              <w:snapToGrid w:val="0"/>
              <w:jc w:val="center"/>
              <w:rPr>
                <w:b/>
                <w:bCs/>
                <w:snapToGrid w:val="0"/>
                <w:kern w:val="0"/>
                <w:szCs w:val="21"/>
              </w:rPr>
            </w:pPr>
            <w:r>
              <w:rPr>
                <w:b/>
                <w:bCs/>
                <w:snapToGrid w:val="0"/>
                <w:kern w:val="0"/>
                <w:szCs w:val="21"/>
              </w:rPr>
              <w:t>项   目</w:t>
            </w:r>
          </w:p>
        </w:tc>
        <w:tc>
          <w:tcPr>
            <w:tcW w:w="7029" w:type="dxa"/>
            <w:noWrap w:val="0"/>
            <w:vAlign w:val="center"/>
          </w:tcPr>
          <w:p>
            <w:pPr>
              <w:adjustRightInd w:val="0"/>
              <w:snapToGrid w:val="0"/>
              <w:jc w:val="center"/>
              <w:rPr>
                <w:b/>
                <w:bCs/>
                <w:snapToGrid w:val="0"/>
                <w:kern w:val="0"/>
                <w:szCs w:val="21"/>
              </w:rPr>
            </w:pPr>
            <w:r>
              <w:rPr>
                <w:b/>
                <w:bCs/>
                <w:snapToGrid w:val="0"/>
                <w:kern w:val="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632" w:type="dxa"/>
            <w:noWrap w:val="0"/>
            <w:vAlign w:val="center"/>
          </w:tcPr>
          <w:p>
            <w:pPr>
              <w:numPr>
                <w:ilvl w:val="0"/>
                <w:numId w:val="2"/>
              </w:numPr>
              <w:tabs>
                <w:tab w:val="left" w:pos="217"/>
              </w:tabs>
              <w:adjustRightInd w:val="0"/>
              <w:snapToGrid w:val="0"/>
              <w:jc w:val="center"/>
              <w:rPr>
                <w:snapToGrid w:val="0"/>
                <w:kern w:val="0"/>
                <w:szCs w:val="21"/>
              </w:rPr>
            </w:pPr>
          </w:p>
        </w:tc>
        <w:tc>
          <w:tcPr>
            <w:tcW w:w="1609" w:type="dxa"/>
            <w:noWrap w:val="0"/>
            <w:vAlign w:val="center"/>
          </w:tcPr>
          <w:p>
            <w:pPr>
              <w:adjustRightInd w:val="0"/>
              <w:snapToGrid w:val="0"/>
              <w:jc w:val="center"/>
              <w:rPr>
                <w:snapToGrid w:val="0"/>
                <w:kern w:val="0"/>
                <w:szCs w:val="21"/>
              </w:rPr>
            </w:pPr>
            <w:r>
              <w:rPr>
                <w:snapToGrid w:val="0"/>
                <w:kern w:val="0"/>
                <w:szCs w:val="21"/>
              </w:rPr>
              <w:t>项目名称</w:t>
            </w:r>
          </w:p>
        </w:tc>
        <w:tc>
          <w:tcPr>
            <w:tcW w:w="7029" w:type="dxa"/>
            <w:noWrap w:val="0"/>
            <w:vAlign w:val="center"/>
          </w:tcPr>
          <w:p>
            <w:pPr>
              <w:pStyle w:val="74"/>
              <w:kinsoku w:val="0"/>
              <w:overflowPunct w:val="0"/>
              <w:ind w:right="63" w:rightChars="30"/>
              <w:rPr>
                <w:rFonts w:ascii="Times New Roman" w:hAnsi="Times New Roman" w:cs="Times New Roman"/>
                <w:sz w:val="21"/>
                <w:szCs w:val="21"/>
                <w:lang w:eastAsia="zh-CN"/>
              </w:rPr>
            </w:pPr>
            <w:r>
              <w:rPr>
                <w:rFonts w:ascii="Times New Roman" w:hAnsi="Times New Roman" w:cs="Times New Roman"/>
                <w:sz w:val="21"/>
                <w:szCs w:val="21"/>
                <w:lang w:eastAsia="zh-CN"/>
              </w:rPr>
              <w:t>新昌县智慧**建设项目—社会治安动态视频监控系统四、五期升级改造+人脸识别监控项目。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632" w:type="dxa"/>
            <w:noWrap w:val="0"/>
            <w:vAlign w:val="center"/>
          </w:tcPr>
          <w:p>
            <w:pPr>
              <w:numPr>
                <w:ilvl w:val="0"/>
                <w:numId w:val="2"/>
              </w:numPr>
              <w:tabs>
                <w:tab w:val="left" w:pos="217"/>
              </w:tabs>
              <w:adjustRightInd w:val="0"/>
              <w:snapToGrid w:val="0"/>
              <w:jc w:val="center"/>
              <w:rPr>
                <w:snapToGrid w:val="0"/>
                <w:kern w:val="0"/>
                <w:szCs w:val="21"/>
              </w:rPr>
            </w:pPr>
          </w:p>
        </w:tc>
        <w:tc>
          <w:tcPr>
            <w:tcW w:w="1609" w:type="dxa"/>
            <w:noWrap w:val="0"/>
            <w:vAlign w:val="center"/>
          </w:tcPr>
          <w:p>
            <w:pPr>
              <w:adjustRightInd w:val="0"/>
              <w:snapToGrid w:val="0"/>
              <w:jc w:val="center"/>
              <w:rPr>
                <w:snapToGrid w:val="0"/>
                <w:kern w:val="0"/>
                <w:szCs w:val="21"/>
              </w:rPr>
            </w:pPr>
            <w:r>
              <w:rPr>
                <w:snapToGrid w:val="0"/>
                <w:kern w:val="0"/>
                <w:szCs w:val="21"/>
              </w:rPr>
              <w:t>采购项目编号</w:t>
            </w:r>
          </w:p>
        </w:tc>
        <w:tc>
          <w:tcPr>
            <w:tcW w:w="7029" w:type="dxa"/>
            <w:noWrap w:val="0"/>
            <w:vAlign w:val="center"/>
          </w:tcPr>
          <w:p>
            <w:pPr>
              <w:pStyle w:val="74"/>
              <w:kinsoku w:val="0"/>
              <w:overflowPunct w:val="0"/>
              <w:ind w:left="63" w:leftChars="30" w:right="63" w:rightChars="30"/>
              <w:rPr>
                <w:rFonts w:ascii="Times New Roman" w:hAnsi="Times New Roman" w:cs="Times New Roman"/>
                <w:sz w:val="21"/>
                <w:szCs w:val="21"/>
                <w:lang w:eastAsia="zh-CN"/>
              </w:rPr>
            </w:pPr>
            <w:r>
              <w:rPr>
                <w:rFonts w:ascii="Times New Roman" w:hAnsi="Times New Roman" w:cs="Times New Roman"/>
                <w:bCs/>
                <w:sz w:val="21"/>
                <w:szCs w:val="21"/>
              </w:rPr>
              <w:t>HXZJ200823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632" w:type="dxa"/>
            <w:noWrap w:val="0"/>
            <w:vAlign w:val="center"/>
          </w:tcPr>
          <w:p>
            <w:pPr>
              <w:numPr>
                <w:ilvl w:val="0"/>
                <w:numId w:val="2"/>
              </w:numPr>
              <w:tabs>
                <w:tab w:val="left" w:pos="217"/>
              </w:tabs>
              <w:adjustRightInd w:val="0"/>
              <w:snapToGrid w:val="0"/>
              <w:jc w:val="center"/>
              <w:rPr>
                <w:snapToGrid w:val="0"/>
                <w:kern w:val="0"/>
                <w:szCs w:val="21"/>
              </w:rPr>
            </w:pPr>
          </w:p>
        </w:tc>
        <w:tc>
          <w:tcPr>
            <w:tcW w:w="1609" w:type="dxa"/>
            <w:noWrap w:val="0"/>
            <w:vAlign w:val="center"/>
          </w:tcPr>
          <w:p>
            <w:pPr>
              <w:adjustRightInd w:val="0"/>
              <w:snapToGrid w:val="0"/>
              <w:jc w:val="center"/>
              <w:rPr>
                <w:snapToGrid w:val="0"/>
                <w:kern w:val="0"/>
                <w:szCs w:val="21"/>
              </w:rPr>
            </w:pPr>
            <w:r>
              <w:rPr>
                <w:snapToGrid w:val="0"/>
                <w:kern w:val="0"/>
                <w:szCs w:val="21"/>
              </w:rPr>
              <w:t>采购方式</w:t>
            </w:r>
          </w:p>
        </w:tc>
        <w:tc>
          <w:tcPr>
            <w:tcW w:w="7029" w:type="dxa"/>
            <w:noWrap w:val="0"/>
            <w:vAlign w:val="center"/>
          </w:tcPr>
          <w:p>
            <w:pPr>
              <w:adjustRightInd w:val="0"/>
              <w:snapToGrid w:val="0"/>
              <w:rPr>
                <w:bCs/>
                <w:snapToGrid w:val="0"/>
                <w:kern w:val="0"/>
                <w:szCs w:val="21"/>
              </w:rPr>
            </w:pPr>
            <w:r>
              <w:rPr>
                <w:bCs/>
                <w:snapToGrid w:val="0"/>
                <w:kern w:val="0"/>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632" w:type="dxa"/>
            <w:noWrap w:val="0"/>
            <w:vAlign w:val="center"/>
          </w:tcPr>
          <w:p>
            <w:pPr>
              <w:numPr>
                <w:ilvl w:val="0"/>
                <w:numId w:val="2"/>
              </w:numPr>
              <w:tabs>
                <w:tab w:val="left" w:pos="217"/>
              </w:tabs>
              <w:adjustRightInd w:val="0"/>
              <w:snapToGrid w:val="0"/>
              <w:jc w:val="center"/>
              <w:rPr>
                <w:snapToGrid w:val="0"/>
                <w:kern w:val="0"/>
                <w:szCs w:val="21"/>
              </w:rPr>
            </w:pPr>
          </w:p>
        </w:tc>
        <w:tc>
          <w:tcPr>
            <w:tcW w:w="1609" w:type="dxa"/>
            <w:noWrap w:val="0"/>
            <w:vAlign w:val="center"/>
          </w:tcPr>
          <w:p>
            <w:pPr>
              <w:adjustRightInd w:val="0"/>
              <w:snapToGrid w:val="0"/>
              <w:jc w:val="center"/>
              <w:rPr>
                <w:snapToGrid w:val="0"/>
                <w:kern w:val="0"/>
                <w:szCs w:val="21"/>
              </w:rPr>
            </w:pPr>
            <w:r>
              <w:rPr>
                <w:snapToGrid w:val="0"/>
                <w:kern w:val="0"/>
                <w:szCs w:val="21"/>
              </w:rPr>
              <w:t>采购内容</w:t>
            </w:r>
          </w:p>
        </w:tc>
        <w:tc>
          <w:tcPr>
            <w:tcW w:w="7029" w:type="dxa"/>
            <w:noWrap w:val="0"/>
            <w:vAlign w:val="center"/>
          </w:tcPr>
          <w:p>
            <w:pPr>
              <w:adjustRightInd w:val="0"/>
              <w:snapToGrid w:val="0"/>
              <w:rPr>
                <w:snapToGrid w:val="0"/>
                <w:kern w:val="0"/>
              </w:rPr>
            </w:pPr>
            <w:r>
              <w:rPr>
                <w:snapToGrid w:val="0"/>
                <w:kern w:val="0"/>
              </w:rPr>
              <w:t>详见招标公告第四条内容。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2" w:hRule="atLeast"/>
          <w:jc w:val="center"/>
        </w:trPr>
        <w:tc>
          <w:tcPr>
            <w:tcW w:w="632" w:type="dxa"/>
            <w:noWrap w:val="0"/>
            <w:vAlign w:val="center"/>
          </w:tcPr>
          <w:p>
            <w:pPr>
              <w:numPr>
                <w:ilvl w:val="0"/>
                <w:numId w:val="2"/>
              </w:numPr>
              <w:tabs>
                <w:tab w:val="left" w:pos="217"/>
              </w:tabs>
              <w:adjustRightInd w:val="0"/>
              <w:snapToGrid w:val="0"/>
              <w:jc w:val="center"/>
              <w:rPr>
                <w:snapToGrid w:val="0"/>
                <w:kern w:val="0"/>
                <w:szCs w:val="21"/>
              </w:rPr>
            </w:pPr>
          </w:p>
        </w:tc>
        <w:tc>
          <w:tcPr>
            <w:tcW w:w="1609" w:type="dxa"/>
            <w:noWrap w:val="0"/>
            <w:vAlign w:val="center"/>
          </w:tcPr>
          <w:p>
            <w:pPr>
              <w:pStyle w:val="74"/>
              <w:kinsoku w:val="0"/>
              <w:overflowPunct w:val="0"/>
              <w:spacing w:line="300" w:lineRule="auto"/>
              <w:ind w:right="63" w:rightChars="30"/>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★项目建设期、服务期及实施地点</w:t>
            </w:r>
          </w:p>
        </w:tc>
        <w:tc>
          <w:tcPr>
            <w:tcW w:w="7029" w:type="dxa"/>
            <w:noWrap w:val="0"/>
            <w:vAlign w:val="bottom"/>
          </w:tcPr>
          <w:p>
            <w:pPr>
              <w:pStyle w:val="74"/>
              <w:kinsoku w:val="0"/>
              <w:overflowPunct w:val="0"/>
              <w:spacing w:line="300" w:lineRule="auto"/>
              <w:ind w:right="63" w:rightChars="30"/>
              <w:jc w:val="both"/>
              <w:rPr>
                <w:rFonts w:ascii="Times New Roman" w:hAnsi="Times New Roman" w:cs="Times New Roman"/>
                <w:bCs/>
                <w:sz w:val="21"/>
                <w:szCs w:val="21"/>
                <w:lang w:eastAsia="zh-CN"/>
              </w:rPr>
            </w:pPr>
            <w:r>
              <w:rPr>
                <w:rFonts w:ascii="Times New Roman" w:hAnsi="Times New Roman" w:cs="Times New Roman"/>
                <w:bCs/>
                <w:sz w:val="21"/>
                <w:szCs w:val="21"/>
                <w:lang w:eastAsia="zh-CN"/>
              </w:rPr>
              <w:t>建设期：须在2020年12月10前完成建设需求分析、系统建设设计、设备采购、设备安装及调试、系统集成等全部工程内容并交付甲方使用。</w:t>
            </w:r>
          </w:p>
          <w:p>
            <w:pPr>
              <w:pStyle w:val="74"/>
              <w:kinsoku w:val="0"/>
              <w:overflowPunct w:val="0"/>
              <w:spacing w:line="300" w:lineRule="auto"/>
              <w:ind w:right="63" w:rightChars="30"/>
              <w:jc w:val="both"/>
              <w:rPr>
                <w:rFonts w:ascii="Times New Roman" w:hAnsi="Times New Roman" w:cs="Times New Roman"/>
                <w:bCs/>
                <w:sz w:val="21"/>
                <w:szCs w:val="21"/>
                <w:lang w:eastAsia="zh-CN"/>
              </w:rPr>
            </w:pPr>
            <w:r>
              <w:rPr>
                <w:rFonts w:ascii="Times New Roman" w:hAnsi="Times New Roman" w:cs="Times New Roman"/>
                <w:bCs/>
                <w:sz w:val="21"/>
                <w:szCs w:val="21"/>
                <w:lang w:eastAsia="zh-CN"/>
              </w:rPr>
              <w:t>实施地点：浙江省绍兴市新昌县内。</w:t>
            </w:r>
          </w:p>
          <w:p>
            <w:pPr>
              <w:pStyle w:val="74"/>
              <w:kinsoku w:val="0"/>
              <w:overflowPunct w:val="0"/>
              <w:spacing w:line="300" w:lineRule="auto"/>
              <w:ind w:right="63" w:rightChars="30"/>
              <w:jc w:val="both"/>
              <w:rPr>
                <w:rStyle w:val="27"/>
                <w:rFonts w:ascii="Times New Roman" w:hAnsi="Times New Roman" w:cs="Times New Roman"/>
                <w:kern w:val="2"/>
                <w:lang w:eastAsia="zh-CN"/>
              </w:rPr>
            </w:pPr>
            <w:r>
              <w:rPr>
                <w:rFonts w:ascii="Times New Roman" w:hAnsi="Times New Roman" w:cs="Times New Roman"/>
                <w:bCs/>
                <w:sz w:val="21"/>
                <w:szCs w:val="21"/>
                <w:lang w:eastAsia="zh-CN"/>
              </w:rPr>
              <w:t>服务期：终验后5年。项目建设完成后，本项目采购清单涉及的建设期设备资产由乙方移交给甲方，设备所有权归甲方所有，服务期（终验后5年内）的维保工作由乙方负责。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632" w:type="dxa"/>
            <w:noWrap w:val="0"/>
            <w:vAlign w:val="center"/>
          </w:tcPr>
          <w:p>
            <w:pPr>
              <w:numPr>
                <w:ilvl w:val="0"/>
                <w:numId w:val="2"/>
              </w:numPr>
              <w:tabs>
                <w:tab w:val="left" w:pos="217"/>
              </w:tabs>
              <w:adjustRightInd w:val="0"/>
              <w:snapToGrid w:val="0"/>
              <w:jc w:val="center"/>
              <w:rPr>
                <w:snapToGrid w:val="0"/>
                <w:kern w:val="0"/>
                <w:szCs w:val="21"/>
              </w:rPr>
            </w:pPr>
          </w:p>
        </w:tc>
        <w:tc>
          <w:tcPr>
            <w:tcW w:w="1609" w:type="dxa"/>
            <w:noWrap w:val="0"/>
            <w:vAlign w:val="center"/>
          </w:tcPr>
          <w:p>
            <w:pPr>
              <w:adjustRightInd w:val="0"/>
              <w:snapToGrid w:val="0"/>
              <w:jc w:val="center"/>
              <w:rPr>
                <w:snapToGrid w:val="0"/>
                <w:kern w:val="0"/>
                <w:szCs w:val="21"/>
              </w:rPr>
            </w:pPr>
            <w:r>
              <w:rPr>
                <w:snapToGrid w:val="0"/>
                <w:kern w:val="0"/>
                <w:szCs w:val="21"/>
              </w:rPr>
              <w:t>资金来源</w:t>
            </w:r>
          </w:p>
        </w:tc>
        <w:tc>
          <w:tcPr>
            <w:tcW w:w="7029" w:type="dxa"/>
            <w:noWrap w:val="0"/>
            <w:vAlign w:val="center"/>
          </w:tcPr>
          <w:p>
            <w:pPr>
              <w:adjustRightInd w:val="0"/>
              <w:snapToGrid w:val="0"/>
              <w:rPr>
                <w:snapToGrid w:val="0"/>
                <w:kern w:val="0"/>
                <w:szCs w:val="21"/>
              </w:rPr>
            </w:pPr>
            <w:r>
              <w:rPr>
                <w:snapToGrid w:val="0"/>
                <w:kern w:val="0"/>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jc w:val="center"/>
              <w:rPr>
                <w:snapToGrid w:val="0"/>
                <w:kern w:val="0"/>
                <w:szCs w:val="21"/>
              </w:rPr>
            </w:pPr>
            <w:r>
              <w:rPr>
                <w:snapToGrid w:val="0"/>
                <w:kern w:val="0"/>
                <w:szCs w:val="21"/>
              </w:rPr>
              <w:t>采购预算</w:t>
            </w:r>
          </w:p>
        </w:tc>
        <w:tc>
          <w:tcPr>
            <w:tcW w:w="7029" w:type="dxa"/>
            <w:noWrap w:val="0"/>
            <w:vAlign w:val="bottom"/>
          </w:tcPr>
          <w:p>
            <w:pPr>
              <w:pStyle w:val="74"/>
              <w:kinsoku w:val="0"/>
              <w:overflowPunct w:val="0"/>
              <w:spacing w:line="300" w:lineRule="auto"/>
              <w:ind w:right="63" w:rightChars="30"/>
              <w:jc w:val="both"/>
              <w:rPr>
                <w:rFonts w:ascii="Times New Roman" w:hAnsi="Times New Roman" w:cs="Times New Roman"/>
                <w:sz w:val="21"/>
                <w:szCs w:val="21"/>
                <w:lang w:eastAsia="zh-CN"/>
              </w:rPr>
            </w:pPr>
            <w:r>
              <w:rPr>
                <w:rFonts w:ascii="Times New Roman" w:hAnsi="Times New Roman" w:cs="Times New Roman"/>
                <w:sz w:val="21"/>
                <w:szCs w:val="21"/>
                <w:lang w:eastAsia="zh-CN"/>
              </w:rPr>
              <w:t>预算总金额为28051525.00元。</w:t>
            </w:r>
          </w:p>
          <w:p>
            <w:pPr>
              <w:pStyle w:val="74"/>
              <w:kinsoku w:val="0"/>
              <w:overflowPunct w:val="0"/>
              <w:spacing w:line="300" w:lineRule="auto"/>
              <w:ind w:right="63" w:rightChars="30"/>
              <w:jc w:val="both"/>
              <w:rPr>
                <w:rFonts w:ascii="Times New Roman" w:hAnsi="Times New Roman" w:cs="Times New Roman"/>
                <w:sz w:val="21"/>
                <w:szCs w:val="21"/>
                <w:lang w:eastAsia="zh-CN"/>
              </w:rPr>
            </w:pPr>
            <w:r>
              <w:rPr>
                <w:rFonts w:ascii="Times New Roman" w:hAnsi="Times New Roman" w:cs="Times New Roman"/>
                <w:sz w:val="21"/>
                <w:szCs w:val="21"/>
                <w:lang w:eastAsia="zh-CN"/>
              </w:rPr>
              <w:t>最高限价为：28051525.00元。</w:t>
            </w:r>
          </w:p>
          <w:p>
            <w:pPr>
              <w:pStyle w:val="74"/>
              <w:kinsoku w:val="0"/>
              <w:overflowPunct w:val="0"/>
              <w:spacing w:line="300" w:lineRule="auto"/>
              <w:ind w:right="63" w:rightChars="30"/>
              <w:jc w:val="both"/>
              <w:rPr>
                <w:rFonts w:ascii="Times New Roman" w:hAnsi="Times New Roman" w:cs="Times New Roman"/>
                <w:sz w:val="21"/>
                <w:szCs w:val="21"/>
                <w:lang w:eastAsia="zh-CN"/>
              </w:rPr>
            </w:pPr>
            <w:r>
              <w:rPr>
                <w:rFonts w:ascii="Times New Roman" w:hAnsi="Times New Roman" w:cs="Times New Roman"/>
                <w:sz w:val="21"/>
                <w:szCs w:val="21"/>
                <w:lang w:eastAsia="zh-CN"/>
              </w:rPr>
              <w:t>★投标人的报价超过最高限价的，作无效标处理。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spacing w:line="300" w:lineRule="auto"/>
              <w:jc w:val="center"/>
              <w:rPr>
                <w:b/>
                <w:snapToGrid w:val="0"/>
                <w:kern w:val="0"/>
                <w:szCs w:val="21"/>
              </w:rPr>
            </w:pPr>
            <w:r>
              <w:rPr>
                <w:b/>
              </w:rPr>
              <w:t>★</w:t>
            </w:r>
            <w:r>
              <w:rPr>
                <w:b/>
                <w:snapToGrid w:val="0"/>
                <w:kern w:val="0"/>
                <w:szCs w:val="21"/>
              </w:rPr>
              <w:t>合同价款</w:t>
            </w:r>
          </w:p>
          <w:p>
            <w:pPr>
              <w:adjustRightInd w:val="0"/>
              <w:snapToGrid w:val="0"/>
              <w:spacing w:line="300" w:lineRule="auto"/>
              <w:jc w:val="center"/>
              <w:rPr>
                <w:b/>
                <w:snapToGrid w:val="0"/>
                <w:kern w:val="0"/>
                <w:szCs w:val="21"/>
              </w:rPr>
            </w:pPr>
            <w:r>
              <w:rPr>
                <w:b/>
                <w:snapToGrid w:val="0"/>
                <w:kern w:val="0"/>
                <w:szCs w:val="21"/>
              </w:rPr>
              <w:t>支付方式</w:t>
            </w:r>
          </w:p>
        </w:tc>
        <w:tc>
          <w:tcPr>
            <w:tcW w:w="7029" w:type="dxa"/>
            <w:noWrap w:val="0"/>
            <w:vAlign w:val="bottom"/>
          </w:tcPr>
          <w:p>
            <w:pPr>
              <w:adjustRightInd w:val="0"/>
              <w:snapToGrid w:val="0"/>
              <w:spacing w:line="300" w:lineRule="auto"/>
              <w:rPr>
                <w:szCs w:val="21"/>
              </w:rPr>
            </w:pPr>
            <w:r>
              <w:rPr>
                <w:szCs w:val="21"/>
              </w:rPr>
              <w:t>（1）合同签订后一个月内，甲方支付建设期合同价的30%；</w:t>
            </w:r>
          </w:p>
          <w:p>
            <w:pPr>
              <w:adjustRightInd w:val="0"/>
              <w:snapToGrid w:val="0"/>
              <w:spacing w:line="300" w:lineRule="auto"/>
              <w:rPr>
                <w:szCs w:val="21"/>
              </w:rPr>
            </w:pPr>
            <w:r>
              <w:rPr>
                <w:szCs w:val="21"/>
              </w:rPr>
              <w:t>（2）终验并审计完成后一个月内，甲方支付至建设期审计总价的100%；</w:t>
            </w:r>
          </w:p>
          <w:p>
            <w:pPr>
              <w:adjustRightInd w:val="0"/>
              <w:snapToGrid w:val="0"/>
              <w:spacing w:line="300" w:lineRule="auto"/>
              <w:rPr>
                <w:kern w:val="0"/>
                <w:szCs w:val="21"/>
              </w:rPr>
            </w:pPr>
            <w:r>
              <w:rPr>
                <w:szCs w:val="21"/>
              </w:rPr>
              <w:t>（3）服务期内（终验后5年内），服务期费用每半年按实结算一次。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8"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jc w:val="center"/>
              <w:rPr>
                <w:snapToGrid w:val="0"/>
                <w:kern w:val="0"/>
                <w:szCs w:val="21"/>
              </w:rPr>
            </w:pPr>
            <w:r>
              <w:rPr>
                <w:snapToGrid w:val="0"/>
                <w:kern w:val="0"/>
                <w:szCs w:val="21"/>
              </w:rPr>
              <w:t>履约保证金</w:t>
            </w:r>
          </w:p>
        </w:tc>
        <w:tc>
          <w:tcPr>
            <w:tcW w:w="7029" w:type="dxa"/>
            <w:noWrap w:val="0"/>
            <w:vAlign w:val="center"/>
          </w:tcPr>
          <w:p>
            <w:pPr>
              <w:spacing w:line="322" w:lineRule="auto"/>
              <w:rPr>
                <w:kern w:val="0"/>
                <w:szCs w:val="21"/>
              </w:rPr>
            </w:pPr>
            <w:r>
              <w:rPr>
                <w:kern w:val="0"/>
                <w:szCs w:val="21"/>
              </w:rPr>
              <w:t>（1）本项目收取50万元履约保证金，</w:t>
            </w:r>
            <w:r>
              <w:rPr>
                <w:szCs w:val="21"/>
              </w:rPr>
              <w:t>终验并审计完成后</w:t>
            </w:r>
            <w:r>
              <w:rPr>
                <w:kern w:val="0"/>
                <w:szCs w:val="21"/>
              </w:rPr>
              <w:t>一个月内甲方一次性退还（扣除违约金）；</w:t>
            </w:r>
          </w:p>
          <w:p>
            <w:pPr>
              <w:spacing w:line="322" w:lineRule="auto"/>
              <w:rPr>
                <w:kern w:val="0"/>
                <w:szCs w:val="21"/>
              </w:rPr>
            </w:pPr>
            <w:r>
              <w:rPr>
                <w:kern w:val="0"/>
                <w:szCs w:val="21"/>
              </w:rPr>
              <w:t>（2）递交形式：现金支票或转账支票或电汇或银行汇票或保函；</w:t>
            </w:r>
          </w:p>
          <w:p>
            <w:pPr>
              <w:spacing w:line="322" w:lineRule="auto"/>
              <w:rPr>
                <w:snapToGrid w:val="0"/>
                <w:kern w:val="0"/>
              </w:rPr>
            </w:pPr>
            <w:r>
              <w:rPr>
                <w:kern w:val="0"/>
                <w:szCs w:val="21"/>
              </w:rPr>
              <w:t>（3）递交时间：中标通知书发出之日起5个工作日内且在合同签订前，由乙方向甲方提供。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33"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spacing w:line="300" w:lineRule="auto"/>
              <w:jc w:val="center"/>
              <w:rPr>
                <w:snapToGrid w:val="0"/>
                <w:kern w:val="0"/>
                <w:szCs w:val="21"/>
              </w:rPr>
            </w:pPr>
            <w:r>
              <w:rPr>
                <w:snapToGrid w:val="0"/>
                <w:kern w:val="0"/>
                <w:szCs w:val="21"/>
              </w:rPr>
              <w:t>资格审查方式</w:t>
            </w:r>
          </w:p>
        </w:tc>
        <w:tc>
          <w:tcPr>
            <w:tcW w:w="7029" w:type="dxa"/>
            <w:noWrap w:val="0"/>
            <w:vAlign w:val="bottom"/>
          </w:tcPr>
          <w:p>
            <w:pPr>
              <w:adjustRightInd w:val="0"/>
              <w:spacing w:line="300" w:lineRule="auto"/>
              <w:rPr>
                <w:snapToGrid w:val="0"/>
                <w:kern w:val="0"/>
                <w:szCs w:val="21"/>
              </w:rPr>
            </w:pPr>
            <w:r>
              <w:rPr>
                <w:snapToGrid w:val="0"/>
                <w:kern w:val="0"/>
                <w:szCs w:val="21"/>
              </w:rPr>
              <w:t>资格后审。</w:t>
            </w:r>
          </w:p>
          <w:p>
            <w:pPr>
              <w:adjustRightInd w:val="0"/>
              <w:spacing w:line="300" w:lineRule="auto"/>
              <w:rPr>
                <w:snapToGrid w:val="0"/>
                <w:kern w:val="0"/>
                <w:szCs w:val="21"/>
              </w:rPr>
            </w:pPr>
            <w:r>
              <w:rPr>
                <w:snapToGrid w:val="0"/>
                <w:kern w:val="0"/>
                <w:szCs w:val="21"/>
              </w:rPr>
              <w:t>资格后审是指在开标后由采购人或采购代理机构根据招标文件的规定对供应商进行的资格审查，资格后审不合格的供应商，其投标作无效标处理。</w:t>
            </w:r>
          </w:p>
          <w:p>
            <w:pPr>
              <w:adjustRightInd w:val="0"/>
              <w:spacing w:line="300" w:lineRule="auto"/>
              <w:rPr>
                <w:snapToGrid w:val="0"/>
                <w:kern w:val="0"/>
                <w:szCs w:val="21"/>
              </w:rPr>
            </w:pPr>
            <w:r>
              <w:rPr>
                <w:szCs w:val="21"/>
              </w:rPr>
              <w:t>资格证明文件不全的或资格证明文件未按要求加盖公章或者不符合招标文件标明的资格要求的，其投标无效</w:t>
            </w:r>
            <w:r>
              <w:rPr>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14"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spacing w:line="300" w:lineRule="auto"/>
              <w:jc w:val="center"/>
              <w:rPr>
                <w:snapToGrid w:val="0"/>
                <w:kern w:val="0"/>
                <w:szCs w:val="21"/>
              </w:rPr>
            </w:pPr>
            <w:r>
              <w:rPr>
                <w:snapToGrid w:val="0"/>
                <w:kern w:val="0"/>
                <w:szCs w:val="21"/>
              </w:rPr>
              <w:t>招标答疑</w:t>
            </w:r>
          </w:p>
        </w:tc>
        <w:tc>
          <w:tcPr>
            <w:tcW w:w="7029" w:type="dxa"/>
            <w:noWrap w:val="0"/>
            <w:vAlign w:val="bottom"/>
          </w:tcPr>
          <w:p>
            <w:pPr>
              <w:adjustRightInd w:val="0"/>
              <w:snapToGrid w:val="0"/>
              <w:spacing w:line="300" w:lineRule="auto"/>
              <w:rPr>
                <w:snapToGrid w:val="0"/>
                <w:kern w:val="0"/>
                <w:szCs w:val="21"/>
              </w:rPr>
            </w:pPr>
            <w:r>
              <w:rPr>
                <w:snapToGrid w:val="0"/>
                <w:kern w:val="0"/>
                <w:szCs w:val="21"/>
              </w:rPr>
              <w:t>供应商如认为招标文件表述不清晰、存在歧视性或者倾向性或者其他违法内容的，将要求答疑的问题发送电子邮件至dingyuqiong.hx@chinaccs.cn（</w:t>
            </w:r>
            <w:r>
              <w:rPr>
                <w:snapToGrid w:val="0"/>
                <w:kern w:val="0"/>
                <w:szCs w:val="21"/>
                <w:lang w:val="zh-CN"/>
              </w:rPr>
              <w:t>电子邮件与书面文件有不一致的</w:t>
            </w:r>
            <w:r>
              <w:rPr>
                <w:snapToGrid w:val="0"/>
                <w:kern w:val="0"/>
                <w:szCs w:val="21"/>
              </w:rPr>
              <w:t>，</w:t>
            </w:r>
            <w:r>
              <w:rPr>
                <w:snapToGrid w:val="0"/>
                <w:kern w:val="0"/>
                <w:szCs w:val="21"/>
                <w:lang w:val="zh-CN"/>
              </w:rPr>
              <w:t>一律以书面文件为准。疑问发出后请与采购代理机构确认是否收悉</w:t>
            </w:r>
            <w:r>
              <w:rPr>
                <w:snapToGrid w:val="0"/>
                <w:kern w:val="0"/>
                <w:szCs w:val="21"/>
              </w:rPr>
              <w:t>）</w:t>
            </w:r>
            <w:r>
              <w:rPr>
                <w:snapToGrid w:val="0"/>
                <w:kern w:val="0"/>
                <w:szCs w:val="21"/>
                <w:lang w:val="zh-CN"/>
              </w:rPr>
              <w:t>。截止期后的疑问将不予受理、答复。</w:t>
            </w:r>
            <w:r>
              <w:rPr>
                <w:snapToGrid w:val="0"/>
                <w:kern w:val="0"/>
                <w:szCs w:val="21"/>
              </w:rPr>
              <w:t>答疑回复内容是招标文件的组成部份，并将以书面形式送达所有已购买招标文件的供应商。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67"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spacing w:line="300" w:lineRule="auto"/>
              <w:jc w:val="center"/>
              <w:rPr>
                <w:snapToGrid w:val="0"/>
                <w:kern w:val="0"/>
                <w:szCs w:val="21"/>
              </w:rPr>
            </w:pPr>
            <w:r>
              <w:rPr>
                <w:snapToGrid w:val="0"/>
                <w:kern w:val="0"/>
                <w:szCs w:val="21"/>
              </w:rPr>
              <w:t>招标文件的澄清与修改</w:t>
            </w:r>
          </w:p>
        </w:tc>
        <w:tc>
          <w:tcPr>
            <w:tcW w:w="7029" w:type="dxa"/>
            <w:noWrap w:val="0"/>
            <w:vAlign w:val="bottom"/>
          </w:tcPr>
          <w:p>
            <w:pPr>
              <w:adjustRightInd w:val="0"/>
              <w:snapToGrid w:val="0"/>
              <w:spacing w:line="300" w:lineRule="auto"/>
              <w:ind w:right="105" w:rightChars="50"/>
              <w:rPr>
                <w:snapToGrid w:val="0"/>
                <w:kern w:val="0"/>
                <w:szCs w:val="21"/>
              </w:rPr>
            </w:pPr>
            <w:r>
              <w:rPr>
                <w:snapToGrid w:val="0"/>
                <w:kern w:val="0"/>
                <w:szCs w:val="21"/>
              </w:rPr>
              <w:t>在投标截止时间前，采购人有权澄清和修改招标文件，并以书面形式通知所有已购买招标文件的供应商。修改和澄清（答疑）答复的文件作为招标文件的补充和组成部分，对所有供应商均有约束力。修改澄清答复的补充文件下发后，采购人原则上不改变本文件规定的投标截止及开标时间；</w:t>
            </w:r>
            <w:r>
              <w:rPr>
                <w:b/>
                <w:snapToGrid w:val="0"/>
                <w:kern w:val="0"/>
                <w:szCs w:val="21"/>
              </w:rPr>
              <w:t>供应商如对此安排有异议，需延长投标截止时间的，必须在收到补充文件24小时内书面向采购代理机构提出，否则视同完全接受并自愿放弃法律对此项内容的权力或者有足够的时间编制投标文件且按规定时间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6"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spacing w:line="300" w:lineRule="auto"/>
              <w:jc w:val="center"/>
              <w:rPr>
                <w:snapToGrid w:val="0"/>
                <w:kern w:val="0"/>
                <w:szCs w:val="21"/>
              </w:rPr>
            </w:pPr>
            <w:r>
              <w:rPr>
                <w:snapToGrid w:val="0"/>
                <w:kern w:val="0"/>
                <w:szCs w:val="21"/>
              </w:rPr>
              <w:t>投标文件组成</w:t>
            </w:r>
          </w:p>
        </w:tc>
        <w:tc>
          <w:tcPr>
            <w:tcW w:w="7029" w:type="dxa"/>
            <w:noWrap w:val="0"/>
            <w:vAlign w:val="bottom"/>
          </w:tcPr>
          <w:p>
            <w:pPr>
              <w:adjustRightInd w:val="0"/>
              <w:snapToGrid w:val="0"/>
              <w:spacing w:line="300" w:lineRule="auto"/>
              <w:rPr>
                <w:snapToGrid w:val="0"/>
                <w:kern w:val="0"/>
                <w:szCs w:val="21"/>
              </w:rPr>
            </w:pPr>
            <w:r>
              <w:rPr>
                <w:snapToGrid w:val="0"/>
                <w:kern w:val="0"/>
                <w:szCs w:val="21"/>
              </w:rPr>
              <w:t>电子投标文件由资格证明文件、商务技术文件、报价文件三部分组成，投标人应分开编制。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jc w:val="center"/>
              <w:rPr>
                <w:snapToGrid w:val="0"/>
                <w:kern w:val="0"/>
                <w:szCs w:val="21"/>
              </w:rPr>
            </w:pPr>
            <w:r>
              <w:rPr>
                <w:snapToGrid w:val="0"/>
                <w:kern w:val="0"/>
                <w:szCs w:val="21"/>
              </w:rPr>
              <w:t>评标办法</w:t>
            </w:r>
          </w:p>
        </w:tc>
        <w:tc>
          <w:tcPr>
            <w:tcW w:w="7029" w:type="dxa"/>
            <w:noWrap w:val="0"/>
            <w:vAlign w:val="center"/>
          </w:tcPr>
          <w:p>
            <w:pPr>
              <w:adjustRightInd w:val="0"/>
              <w:snapToGrid w:val="0"/>
              <w:rPr>
                <w:snapToGrid w:val="0"/>
                <w:kern w:val="0"/>
                <w:szCs w:val="21"/>
              </w:rPr>
            </w:pPr>
            <w:r>
              <w:rPr>
                <w:snapToGrid w:val="0"/>
                <w:kern w:val="0"/>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5"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spacing w:line="300" w:lineRule="auto"/>
              <w:jc w:val="center"/>
              <w:rPr>
                <w:snapToGrid w:val="0"/>
                <w:kern w:val="0"/>
                <w:szCs w:val="21"/>
              </w:rPr>
            </w:pPr>
            <w:r>
              <w:rPr>
                <w:snapToGrid w:val="0"/>
                <w:kern w:val="0"/>
                <w:szCs w:val="21"/>
              </w:rPr>
              <w:t>投标文件编制</w:t>
            </w:r>
          </w:p>
        </w:tc>
        <w:tc>
          <w:tcPr>
            <w:tcW w:w="7029" w:type="dxa"/>
            <w:noWrap w:val="0"/>
            <w:vAlign w:val="bottom"/>
          </w:tcPr>
          <w:p>
            <w:pPr>
              <w:widowControl/>
              <w:spacing w:line="300" w:lineRule="auto"/>
              <w:rPr>
                <w:snapToGrid w:val="0"/>
                <w:kern w:val="0"/>
                <w:szCs w:val="21"/>
              </w:rPr>
            </w:pPr>
            <w:r>
              <w:rPr>
                <w:snapToGrid w:val="0"/>
                <w:kern w:val="0"/>
                <w:szCs w:val="21"/>
              </w:rPr>
              <w:t>1、“电子加密投标文件”：</w:t>
            </w:r>
          </w:p>
          <w:p>
            <w:pPr>
              <w:widowControl/>
              <w:spacing w:line="300" w:lineRule="auto"/>
              <w:rPr>
                <w:snapToGrid w:val="0"/>
                <w:kern w:val="0"/>
                <w:szCs w:val="21"/>
              </w:rPr>
            </w:pPr>
            <w:r>
              <w:rPr>
                <w:snapToGrid w:val="0"/>
                <w:kern w:val="0"/>
                <w:szCs w:val="21"/>
              </w:rPr>
              <w:t>（1）“电子加密投标文件”是指通过“政采云电子交易客户端”完成投标文件编制后生成并加密的数据电文形式的投标文件。</w:t>
            </w:r>
          </w:p>
          <w:p>
            <w:pPr>
              <w:widowControl/>
              <w:spacing w:line="300" w:lineRule="auto"/>
              <w:rPr>
                <w:snapToGrid w:val="0"/>
                <w:kern w:val="0"/>
                <w:szCs w:val="21"/>
              </w:rPr>
            </w:pPr>
            <w:r>
              <w:rPr>
                <w:snapToGrid w:val="0"/>
                <w:kern w:val="0"/>
                <w:szCs w:val="21"/>
              </w:rPr>
              <w:t>（2）供应商应先安装“政采云电子交易客户端”，并按照本招标文件和“政府采购云平台”的要求，通过“政采云电子交易客户端”编制并加密投标文件。</w:t>
            </w:r>
          </w:p>
          <w:p>
            <w:pPr>
              <w:widowControl/>
              <w:spacing w:line="300" w:lineRule="auto"/>
              <w:rPr>
                <w:snapToGrid w:val="0"/>
                <w:kern w:val="0"/>
                <w:szCs w:val="21"/>
              </w:rPr>
            </w:pPr>
            <w:r>
              <w:rPr>
                <w:snapToGrid w:val="0"/>
                <w:kern w:val="0"/>
                <w:szCs w:val="21"/>
              </w:rPr>
              <w:t>2、“电子备份投标文件”：</w:t>
            </w:r>
          </w:p>
          <w:p>
            <w:pPr>
              <w:widowControl/>
              <w:spacing w:line="300" w:lineRule="auto"/>
              <w:rPr>
                <w:snapToGrid w:val="0"/>
                <w:kern w:val="0"/>
                <w:szCs w:val="21"/>
              </w:rPr>
            </w:pPr>
            <w:r>
              <w:rPr>
                <w:snapToGrid w:val="0"/>
                <w:kern w:val="0"/>
                <w:szCs w:val="21"/>
              </w:rPr>
              <w:t>（1）“电子备份投标文件”是指与“电子加密投标文件”同时生成的数据电文形式的电子文件。</w:t>
            </w:r>
          </w:p>
          <w:p>
            <w:pPr>
              <w:widowControl/>
              <w:spacing w:line="300" w:lineRule="auto"/>
              <w:rPr>
                <w:snapToGrid w:val="0"/>
                <w:kern w:val="0"/>
                <w:szCs w:val="21"/>
              </w:rPr>
            </w:pPr>
            <w:r>
              <w:rPr>
                <w:snapToGrid w:val="0"/>
                <w:kern w:val="0"/>
                <w:szCs w:val="21"/>
              </w:rPr>
              <w:t>（2）供应商可自主选择是否编制“电子备份投标文件”。</w:t>
            </w:r>
          </w:p>
          <w:p>
            <w:pPr>
              <w:adjustRightInd w:val="0"/>
              <w:snapToGrid w:val="0"/>
              <w:spacing w:line="300" w:lineRule="auto"/>
              <w:rPr>
                <w:snapToGrid w:val="0"/>
                <w:kern w:val="0"/>
                <w:szCs w:val="21"/>
              </w:rPr>
            </w:pPr>
            <w:r>
              <w:rPr>
                <w:snapToGrid w:val="0"/>
                <w:kern w:val="0"/>
                <w:szCs w:val="21"/>
              </w:rPr>
              <w:t>（3）其他方式编制的备份投标文件视为无效备份投标文件。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3"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spacing w:line="300" w:lineRule="auto"/>
              <w:jc w:val="center"/>
              <w:rPr>
                <w:snapToGrid w:val="0"/>
                <w:kern w:val="0"/>
                <w:szCs w:val="21"/>
              </w:rPr>
            </w:pPr>
            <w:r>
              <w:rPr>
                <w:snapToGrid w:val="0"/>
                <w:kern w:val="0"/>
                <w:szCs w:val="21"/>
              </w:rPr>
              <w:t>投标文件的签章</w:t>
            </w:r>
          </w:p>
        </w:tc>
        <w:tc>
          <w:tcPr>
            <w:tcW w:w="7029" w:type="dxa"/>
            <w:noWrap w:val="0"/>
            <w:vAlign w:val="bottom"/>
          </w:tcPr>
          <w:p>
            <w:pPr>
              <w:widowControl/>
              <w:spacing w:line="300" w:lineRule="auto"/>
              <w:rPr>
                <w:snapToGrid w:val="0"/>
                <w:kern w:val="0"/>
                <w:szCs w:val="21"/>
              </w:rPr>
            </w:pPr>
            <w:r>
              <w:rPr>
                <w:snapToGrid w:val="0"/>
                <w:kern w:val="0"/>
                <w:szCs w:val="21"/>
              </w:rPr>
              <w:t>采用电子签章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3"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spacing w:line="300" w:lineRule="auto"/>
              <w:jc w:val="center"/>
              <w:rPr>
                <w:snapToGrid w:val="0"/>
                <w:kern w:val="0"/>
                <w:szCs w:val="21"/>
              </w:rPr>
            </w:pPr>
            <w:r>
              <w:rPr>
                <w:snapToGrid w:val="0"/>
                <w:kern w:val="0"/>
                <w:szCs w:val="21"/>
              </w:rPr>
              <w:t>投标文件的包装、密封和递交</w:t>
            </w:r>
          </w:p>
        </w:tc>
        <w:tc>
          <w:tcPr>
            <w:tcW w:w="7029" w:type="dxa"/>
            <w:noWrap w:val="0"/>
            <w:vAlign w:val="bottom"/>
          </w:tcPr>
          <w:p>
            <w:pPr>
              <w:widowControl/>
              <w:spacing w:line="300" w:lineRule="auto"/>
              <w:rPr>
                <w:snapToGrid w:val="0"/>
                <w:kern w:val="0"/>
                <w:szCs w:val="21"/>
              </w:rPr>
            </w:pPr>
            <w:r>
              <w:rPr>
                <w:snapToGrid w:val="0"/>
                <w:kern w:val="0"/>
                <w:szCs w:val="21"/>
              </w:rPr>
              <w:t>1、“电子加密投标文件”的递交：在线上传递交。</w:t>
            </w:r>
          </w:p>
          <w:p>
            <w:pPr>
              <w:widowControl/>
              <w:spacing w:line="300" w:lineRule="auto"/>
              <w:rPr>
                <w:snapToGrid w:val="0"/>
                <w:kern w:val="0"/>
                <w:szCs w:val="21"/>
              </w:rPr>
            </w:pPr>
            <w:r>
              <w:rPr>
                <w:snapToGrid w:val="0"/>
                <w:kern w:val="0"/>
                <w:szCs w:val="21"/>
              </w:rPr>
              <w:t>（1）供应商应在投标截止时间前将“电子加密投标文件”成功上传递交至“政府采购云平台”，否则投标无效。</w:t>
            </w:r>
          </w:p>
          <w:p>
            <w:pPr>
              <w:widowControl/>
              <w:spacing w:line="300" w:lineRule="auto"/>
              <w:rPr>
                <w:snapToGrid w:val="0"/>
                <w:kern w:val="0"/>
                <w:szCs w:val="21"/>
              </w:rPr>
            </w:pPr>
            <w:r>
              <w:rPr>
                <w:snapToGrid w:val="0"/>
                <w:kern w:val="0"/>
                <w:szCs w:val="21"/>
              </w:rPr>
              <w:t>（2）“电子加密投标文件”成功上传递交后，供应商可自行打印投标文件接收回执。</w:t>
            </w:r>
          </w:p>
          <w:p>
            <w:pPr>
              <w:widowControl/>
              <w:spacing w:line="300" w:lineRule="auto"/>
              <w:rPr>
                <w:snapToGrid w:val="0"/>
                <w:kern w:val="0"/>
                <w:szCs w:val="21"/>
              </w:rPr>
            </w:pPr>
            <w:r>
              <w:rPr>
                <w:snapToGrid w:val="0"/>
                <w:kern w:val="0"/>
                <w:szCs w:val="21"/>
              </w:rPr>
              <w:t>2、“电子备份投标文件”的密封、包装和递交：</w:t>
            </w:r>
          </w:p>
          <w:p>
            <w:pPr>
              <w:widowControl/>
              <w:spacing w:line="300" w:lineRule="auto"/>
              <w:rPr>
                <w:snapToGrid w:val="0"/>
                <w:kern w:val="0"/>
                <w:szCs w:val="21"/>
              </w:rPr>
            </w:pPr>
            <w:r>
              <w:rPr>
                <w:snapToGrid w:val="0"/>
                <w:kern w:val="0"/>
                <w:szCs w:val="21"/>
              </w:rPr>
              <w:t>（1）供应商可自主选择是否递交“电子备份投标文件”。</w:t>
            </w:r>
          </w:p>
          <w:p>
            <w:pPr>
              <w:widowControl/>
              <w:spacing w:line="300" w:lineRule="auto"/>
              <w:rPr>
                <w:snapToGrid w:val="0"/>
                <w:kern w:val="0"/>
                <w:szCs w:val="21"/>
              </w:rPr>
            </w:pPr>
            <w:r>
              <w:rPr>
                <w:snapToGrid w:val="0"/>
                <w:kern w:val="0"/>
                <w:szCs w:val="21"/>
              </w:rPr>
              <w:t>（2）“电子备份投标文件”存入U盘（一份）。</w:t>
            </w:r>
          </w:p>
          <w:p>
            <w:pPr>
              <w:widowControl/>
              <w:spacing w:line="300" w:lineRule="auto"/>
              <w:rPr>
                <w:snapToGrid w:val="0"/>
                <w:kern w:val="0"/>
                <w:szCs w:val="21"/>
              </w:rPr>
            </w:pPr>
            <w:r>
              <w:rPr>
                <w:snapToGrid w:val="0"/>
                <w:kern w:val="0"/>
                <w:szCs w:val="21"/>
              </w:rPr>
              <w:t>（3）“电子备份投标文件” 应在投标截止时间前以邮寄或送达方式递交：</w:t>
            </w:r>
          </w:p>
          <w:p>
            <w:pPr>
              <w:widowControl/>
              <w:spacing w:line="300" w:lineRule="auto"/>
              <w:rPr>
                <w:snapToGrid w:val="0"/>
                <w:kern w:val="0"/>
                <w:szCs w:val="21"/>
              </w:rPr>
            </w:pPr>
            <w:r>
              <w:rPr>
                <w:snapToGrid w:val="0"/>
                <w:kern w:val="0"/>
                <w:szCs w:val="21"/>
              </w:rPr>
              <w:t>邮寄或送达地址：新昌县南明街道人民中路212号（新昌县公安局）</w:t>
            </w:r>
          </w:p>
          <w:p>
            <w:pPr>
              <w:widowControl/>
              <w:spacing w:line="300" w:lineRule="auto"/>
              <w:rPr>
                <w:snapToGrid w:val="0"/>
                <w:kern w:val="0"/>
                <w:szCs w:val="21"/>
              </w:rPr>
            </w:pPr>
            <w:r>
              <w:rPr>
                <w:snapToGrid w:val="0"/>
                <w:kern w:val="0"/>
                <w:szCs w:val="21"/>
              </w:rPr>
              <w:t>收件人：杨女士  联系电话：0575- 86624662</w:t>
            </w:r>
          </w:p>
          <w:p>
            <w:pPr>
              <w:widowControl/>
              <w:spacing w:line="300" w:lineRule="auto"/>
              <w:rPr>
                <w:snapToGrid w:val="0"/>
                <w:kern w:val="0"/>
                <w:szCs w:val="21"/>
              </w:rPr>
            </w:pPr>
            <w:r>
              <w:rPr>
                <w:snapToGrid w:val="0"/>
                <w:kern w:val="0"/>
                <w:szCs w:val="21"/>
              </w:rPr>
              <w:t>（4）“电子备份投标文件”应当密封包装，并在包装上标注投标项目编号、项目名称、投标单位名称等并加盖公章（详见第六章投标文件格式）。没有密封包装或者逾期送达至新昌县公安局的“电子备份投标文件”将不予接收。</w:t>
            </w:r>
          </w:p>
          <w:p>
            <w:pPr>
              <w:widowControl/>
              <w:spacing w:line="300" w:lineRule="auto"/>
              <w:rPr>
                <w:snapToGrid w:val="0"/>
                <w:kern w:val="0"/>
                <w:szCs w:val="21"/>
              </w:rPr>
            </w:pPr>
            <w:r>
              <w:rPr>
                <w:szCs w:val="21"/>
              </w:rPr>
              <w:t>注意事项：目前政府采购全流程电子化交易为试行阶段，为确保供应商顺利解密，请自行携带笔记本电脑进行解密。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95"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spacing w:line="300" w:lineRule="auto"/>
              <w:jc w:val="center"/>
              <w:rPr>
                <w:snapToGrid w:val="0"/>
                <w:kern w:val="0"/>
                <w:szCs w:val="21"/>
              </w:rPr>
            </w:pPr>
            <w:r>
              <w:rPr>
                <w:snapToGrid w:val="0"/>
                <w:kern w:val="0"/>
                <w:szCs w:val="21"/>
              </w:rPr>
              <w:t>开标</w:t>
            </w:r>
          </w:p>
        </w:tc>
        <w:tc>
          <w:tcPr>
            <w:tcW w:w="7029" w:type="dxa"/>
            <w:noWrap w:val="0"/>
            <w:vAlign w:val="bottom"/>
          </w:tcPr>
          <w:p>
            <w:pPr>
              <w:adjustRightInd w:val="0"/>
              <w:spacing w:line="300" w:lineRule="auto"/>
              <w:ind w:left="15" w:hanging="14" w:hangingChars="7"/>
              <w:rPr>
                <w:snapToGrid w:val="0"/>
                <w:kern w:val="0"/>
                <w:szCs w:val="21"/>
              </w:rPr>
            </w:pPr>
            <w:r>
              <w:rPr>
                <w:snapToGrid w:val="0"/>
                <w:kern w:val="0"/>
                <w:szCs w:val="21"/>
              </w:rPr>
              <w:t>1、采购组织机构按照采购文件规定的时间通过电子交易平台组织开标，所有供应商均应当准时在线参加。</w:t>
            </w:r>
          </w:p>
          <w:p>
            <w:pPr>
              <w:adjustRightInd w:val="0"/>
              <w:spacing w:line="300" w:lineRule="auto"/>
              <w:ind w:left="15" w:hanging="14" w:hangingChars="7"/>
              <w:rPr>
                <w:snapToGrid w:val="0"/>
                <w:kern w:val="0"/>
                <w:szCs w:val="21"/>
              </w:rPr>
            </w:pPr>
            <w:r>
              <w:rPr>
                <w:snapToGrid w:val="0"/>
                <w:kern w:val="0"/>
                <w:szCs w:val="21"/>
              </w:rPr>
              <w:t>2、开标时间后，采购组织机构将向各投标供应商发出“电子加密投标文件”的解密通知，各投标供应商代表应当在接到解密通知后</w:t>
            </w:r>
            <w:r>
              <w:rPr>
                <w:snapToGrid w:val="0"/>
                <w:kern w:val="0"/>
                <w:szCs w:val="21"/>
                <w:u w:val="single"/>
              </w:rPr>
              <w:t>30</w:t>
            </w:r>
            <w:r>
              <w:rPr>
                <w:snapToGrid w:val="0"/>
                <w:kern w:val="0"/>
                <w:szCs w:val="21"/>
              </w:rPr>
              <w:t>分钟内自行完成“电子加密投标文件”的在线解密。</w:t>
            </w:r>
          </w:p>
          <w:p>
            <w:pPr>
              <w:adjustRightInd w:val="0"/>
              <w:spacing w:line="300" w:lineRule="auto"/>
              <w:ind w:left="15" w:hanging="14" w:hangingChars="7"/>
              <w:rPr>
                <w:snapToGrid w:val="0"/>
                <w:kern w:val="0"/>
                <w:szCs w:val="21"/>
              </w:rPr>
            </w:pPr>
            <w:r>
              <w:rPr>
                <w:snapToGrid w:val="0"/>
                <w:kern w:val="0"/>
                <w:szCs w:val="21"/>
              </w:rPr>
              <w:t>3、通过“政府采购云平台”上传递交的“电子加密投标文件”已按时解密的，“电子备份投标文件”自动失效。</w:t>
            </w:r>
          </w:p>
          <w:p>
            <w:pPr>
              <w:adjustRightInd w:val="0"/>
              <w:spacing w:line="300" w:lineRule="auto"/>
              <w:ind w:left="15" w:hanging="14" w:hangingChars="7"/>
              <w:rPr>
                <w:snapToGrid w:val="0"/>
                <w:kern w:val="0"/>
                <w:szCs w:val="21"/>
              </w:rPr>
            </w:pPr>
            <w:r>
              <w:rPr>
                <w:snapToGrid w:val="0"/>
                <w:kern w:val="0"/>
                <w:szCs w:val="21"/>
              </w:rPr>
              <w:t>4、通过“政府采购云平台”上传递交的“电子加密投标文件”无法按时解密的，如投标供应商按规定递交 “电子备份投标文件”的，则由采购组织机构按“政府采购云平台”操作规范将“电子备份投标文件”上传至“政府采购云平台”。上传成功后，以“电子备份投标文件”参与评标，“电子加密投标文件”自动失效。如投标供应商未按规定递交“电子备份投标文件”的，视为投标文件撤回。</w:t>
            </w:r>
          </w:p>
          <w:p>
            <w:pPr>
              <w:adjustRightInd w:val="0"/>
              <w:spacing w:line="300" w:lineRule="auto"/>
              <w:rPr>
                <w:snapToGrid w:val="0"/>
                <w:kern w:val="0"/>
                <w:szCs w:val="21"/>
              </w:rPr>
            </w:pPr>
            <w:r>
              <w:rPr>
                <w:snapToGrid w:val="0"/>
                <w:kern w:val="0"/>
                <w:szCs w:val="21"/>
              </w:rPr>
              <w:t>5、投标截止时间前，投标供应商仅递交了“电子备份投标文件”而未将“电子加密投标文件”上传至“政府采购云平台”的，投标无效。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jc w:val="center"/>
              <w:rPr>
                <w:snapToGrid w:val="0"/>
                <w:kern w:val="0"/>
                <w:szCs w:val="21"/>
              </w:rPr>
            </w:pPr>
            <w:r>
              <w:rPr>
                <w:snapToGrid w:val="0"/>
                <w:kern w:val="0"/>
                <w:szCs w:val="21"/>
              </w:rPr>
              <w:t>投标有效期</w:t>
            </w:r>
          </w:p>
        </w:tc>
        <w:tc>
          <w:tcPr>
            <w:tcW w:w="7029" w:type="dxa"/>
            <w:noWrap w:val="0"/>
            <w:vAlign w:val="center"/>
          </w:tcPr>
          <w:p>
            <w:pPr>
              <w:adjustRightInd w:val="0"/>
              <w:snapToGrid w:val="0"/>
              <w:rPr>
                <w:snapToGrid w:val="0"/>
                <w:kern w:val="0"/>
                <w:szCs w:val="21"/>
              </w:rPr>
            </w:pPr>
            <w:bookmarkStart w:id="6" w:name="_Hlk7389161"/>
            <w:r>
              <w:rPr>
                <w:snapToGrid w:val="0"/>
                <w:kern w:val="0"/>
                <w:szCs w:val="21"/>
              </w:rPr>
              <w:t>自投标截止之日起</w:t>
            </w:r>
            <w:r>
              <w:rPr>
                <w:b/>
                <w:bCs/>
                <w:snapToGrid w:val="0"/>
                <w:kern w:val="0"/>
                <w:szCs w:val="21"/>
              </w:rPr>
              <w:t>90日历天</w:t>
            </w:r>
            <w:bookmarkEnd w:id="6"/>
            <w:r>
              <w:rPr>
                <w:snapToGrid w:val="0"/>
                <w:kern w:val="0"/>
                <w:szCs w:val="21"/>
              </w:rPr>
              <w:t>；不足有效期的，其投标视为无效标。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jc w:val="center"/>
              <w:rPr>
                <w:snapToGrid w:val="0"/>
                <w:kern w:val="0"/>
                <w:szCs w:val="21"/>
              </w:rPr>
            </w:pPr>
            <w:r>
              <w:rPr>
                <w:snapToGrid w:val="0"/>
                <w:kern w:val="0"/>
                <w:szCs w:val="21"/>
              </w:rPr>
              <w:t>结果公告及《中标通知 书》签发</w:t>
            </w:r>
          </w:p>
        </w:tc>
        <w:tc>
          <w:tcPr>
            <w:tcW w:w="7029" w:type="dxa"/>
            <w:noWrap w:val="0"/>
            <w:vAlign w:val="center"/>
          </w:tcPr>
          <w:p>
            <w:pPr>
              <w:adjustRightInd w:val="0"/>
              <w:snapToGrid w:val="0"/>
              <w:rPr>
                <w:snapToGrid w:val="0"/>
                <w:kern w:val="0"/>
                <w:szCs w:val="21"/>
              </w:rPr>
            </w:pPr>
            <w:r>
              <w:rPr>
                <w:snapToGrid w:val="0"/>
                <w:kern w:val="0"/>
                <w:szCs w:val="21"/>
              </w:rPr>
              <w:t>采购结果经采购人确认后 2 个工作日内，采购代理机构将在 “浙江政府采购网”公告采购结果，同时向中标供应商发出 《中标通知书》。中标公告期限为 1 个工作日。</w:t>
            </w:r>
          </w:p>
          <w:p>
            <w:pPr>
              <w:adjustRightInd w:val="0"/>
              <w:snapToGrid w:val="0"/>
              <w:rPr>
                <w:snapToGrid w:val="0"/>
                <w:kern w:val="0"/>
                <w:szCs w:val="21"/>
              </w:rPr>
            </w:pPr>
            <w:r>
              <w:rPr>
                <w:snapToGrid w:val="0"/>
                <w:kern w:val="0"/>
                <w:szCs w:val="21"/>
              </w:rPr>
              <w:t>备注：中标供应商领取中标通知书时请携带电子投标文件打印件 2 套，并装订成册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95"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spacing w:line="300" w:lineRule="auto"/>
              <w:jc w:val="center"/>
              <w:rPr>
                <w:snapToGrid w:val="0"/>
                <w:kern w:val="0"/>
                <w:szCs w:val="21"/>
              </w:rPr>
            </w:pPr>
            <w:r>
              <w:rPr>
                <w:snapToGrid w:val="0"/>
                <w:kern w:val="0"/>
                <w:szCs w:val="21"/>
              </w:rPr>
              <w:t>质疑</w:t>
            </w:r>
          </w:p>
        </w:tc>
        <w:tc>
          <w:tcPr>
            <w:tcW w:w="7029" w:type="dxa"/>
            <w:noWrap w:val="0"/>
            <w:vAlign w:val="bottom"/>
          </w:tcPr>
          <w:p>
            <w:pPr>
              <w:adjustRightInd w:val="0"/>
              <w:snapToGrid w:val="0"/>
              <w:spacing w:line="300" w:lineRule="auto"/>
              <w:rPr>
                <w:snapToGrid w:val="0"/>
                <w:kern w:val="0"/>
                <w:szCs w:val="21"/>
              </w:rPr>
            </w:pPr>
            <w:r>
              <w:rPr>
                <w:snapToGrid w:val="0"/>
                <w:kern w:val="0"/>
                <w:szCs w:val="21"/>
              </w:rPr>
              <w:t>根据《政府采购法》第五十二条、《浙江省政府采购供应商质疑处理办法》的规定，供应商认为招标文件、采购过程和中标、中标结果使自己的权益受到损害的，可以在知道或者应知其权益受到损害之日起七个工作日内以书面形式向采购人、采购代理机构提出质疑。</w:t>
            </w:r>
            <w:r>
              <w:rPr>
                <w:snapToGrid w:val="0"/>
                <w:kern w:val="0"/>
              </w:rPr>
              <w:t>对招标文件提出质疑的，质疑期限自供应商获得招标文件之日起计算（但招标文件在发售或报名截止日后获得的，应当自截止之日起计算），且应当在投标截止时间之前提出，否则，被质疑人可不予接受。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7"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spacing w:line="300" w:lineRule="auto"/>
              <w:jc w:val="center"/>
              <w:rPr>
                <w:snapToGrid w:val="0"/>
                <w:kern w:val="0"/>
                <w:szCs w:val="21"/>
              </w:rPr>
            </w:pPr>
            <w:r>
              <w:rPr>
                <w:snapToGrid w:val="0"/>
                <w:kern w:val="0"/>
                <w:szCs w:val="21"/>
              </w:rPr>
              <w:t>投诉</w:t>
            </w:r>
          </w:p>
        </w:tc>
        <w:tc>
          <w:tcPr>
            <w:tcW w:w="7029" w:type="dxa"/>
            <w:noWrap w:val="0"/>
            <w:vAlign w:val="bottom"/>
          </w:tcPr>
          <w:p>
            <w:pPr>
              <w:adjustRightInd w:val="0"/>
              <w:snapToGrid w:val="0"/>
              <w:spacing w:line="300" w:lineRule="auto"/>
              <w:rPr>
                <w:snapToGrid w:val="0"/>
                <w:kern w:val="0"/>
                <w:szCs w:val="21"/>
              </w:rPr>
            </w:pPr>
            <w:r>
              <w:rPr>
                <w:snapToGrid w:val="0"/>
                <w:kern w:val="0"/>
                <w:szCs w:val="21"/>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60"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adjustRightInd w:val="0"/>
              <w:snapToGrid w:val="0"/>
              <w:spacing w:line="300" w:lineRule="auto"/>
              <w:jc w:val="center"/>
              <w:rPr>
                <w:b/>
                <w:snapToGrid w:val="0"/>
                <w:kern w:val="0"/>
                <w:szCs w:val="21"/>
              </w:rPr>
            </w:pPr>
            <w:r>
              <w:rPr>
                <w:b/>
                <w:snapToGrid w:val="0"/>
                <w:kern w:val="0"/>
                <w:szCs w:val="21"/>
              </w:rPr>
              <w:t>特别说明</w:t>
            </w:r>
          </w:p>
        </w:tc>
        <w:tc>
          <w:tcPr>
            <w:tcW w:w="7029" w:type="dxa"/>
            <w:noWrap w:val="0"/>
            <w:vAlign w:val="bottom"/>
          </w:tcPr>
          <w:p>
            <w:pPr>
              <w:pStyle w:val="11"/>
              <w:adjustRightInd w:val="0"/>
              <w:snapToGrid w:val="0"/>
              <w:spacing w:line="300" w:lineRule="auto"/>
              <w:rPr>
                <w:rFonts w:ascii="Times New Roman" w:hAnsi="Times New Roman"/>
                <w:snapToGrid w:val="0"/>
                <w:kern w:val="0"/>
              </w:rPr>
            </w:pPr>
            <w:r>
              <w:rPr>
                <w:rFonts w:ascii="Times New Roman" w:hAnsi="Times New Roman"/>
                <w:snapToGrid w:val="0"/>
                <w:kern w:val="0"/>
              </w:rPr>
              <w:t>（1）本次招标采用电子交易方式。</w:t>
            </w:r>
          </w:p>
          <w:p>
            <w:pPr>
              <w:pStyle w:val="11"/>
              <w:adjustRightInd w:val="0"/>
              <w:snapToGrid w:val="0"/>
              <w:spacing w:line="300" w:lineRule="auto"/>
              <w:rPr>
                <w:rFonts w:ascii="Times New Roman" w:hAnsi="Times New Roman"/>
                <w:snapToGrid w:val="0"/>
                <w:kern w:val="0"/>
              </w:rPr>
            </w:pPr>
            <w:r>
              <w:rPr>
                <w:rFonts w:ascii="Times New Roman" w:hAnsi="Times New Roman"/>
                <w:b/>
                <w:snapToGrid w:val="0"/>
                <w:kern w:val="0"/>
              </w:rPr>
              <w:t>（2）供应商应认真仔细的阅读本招标文件及其澄清答疑、修改答复的补充文件，严格按照招标文件及补充文件的规定和要求编制投标文件。</w:t>
            </w:r>
            <w:r>
              <w:rPr>
                <w:rFonts w:ascii="Times New Roman" w:hAnsi="Times New Roman"/>
                <w:snapToGrid w:val="0"/>
                <w:kern w:val="0"/>
              </w:rPr>
              <w:t>在编制投标文件过程中，应严格遵循实事求是、诚信投标的原则，针对招标文件中第三部分采购需求、第四部分合同条款等各项内容进行确认，如有偏离，应如实填写响应偏离表。供应商中标后，在合同实施过程中如有负偏离，内容与其投标要约（包括询标澄清内容）不一致，供应商将向采购人按每项负偏离支付合同总价5%的违约金，同时采购人还保留以下权利：①要求中标人按投标文件提供</w:t>
            </w:r>
            <w:r>
              <w:rPr>
                <w:rFonts w:ascii="Times New Roman" w:hAnsi="Times New Roman"/>
                <w:szCs w:val="21"/>
              </w:rPr>
              <w:t>服务</w:t>
            </w:r>
            <w:r>
              <w:rPr>
                <w:rFonts w:ascii="Times New Roman" w:hAnsi="Times New Roman"/>
                <w:snapToGrid w:val="0"/>
                <w:kern w:val="0"/>
              </w:rPr>
              <w:t>的权利；②终止合同的权利；③追究中标人该行为导致交货期延误的直接或间接损失的权利；④向招标监管机构报告不诚信投标的权利；⑤前述①+④同时并行的权利。</w:t>
            </w:r>
          </w:p>
          <w:p>
            <w:pPr>
              <w:pStyle w:val="11"/>
              <w:adjustRightInd w:val="0"/>
              <w:snapToGrid w:val="0"/>
              <w:spacing w:line="300" w:lineRule="auto"/>
              <w:rPr>
                <w:rFonts w:ascii="Times New Roman" w:hAnsi="Times New Roman"/>
                <w:snapToGrid w:val="0"/>
                <w:kern w:val="0"/>
              </w:rPr>
            </w:pPr>
            <w:r>
              <w:rPr>
                <w:rFonts w:ascii="Times New Roman" w:hAnsi="Times New Roman"/>
                <w:snapToGrid w:val="0"/>
                <w:kern w:val="0"/>
              </w:rPr>
              <w:t>（3）如果发现本招标文件中存在含糊不清、相互矛盾、多种含义以及歧视性不公正条款或违法违规等内容时，请供应商在获取招标文件后，答疑截止时间前按要求书面提出，逾期视同自动放弃疑问提出的权利或采购人不作答复。</w:t>
            </w:r>
          </w:p>
          <w:p>
            <w:pPr>
              <w:pStyle w:val="11"/>
              <w:adjustRightInd w:val="0"/>
              <w:snapToGrid w:val="0"/>
              <w:spacing w:line="300" w:lineRule="auto"/>
              <w:rPr>
                <w:rFonts w:ascii="Times New Roman" w:hAnsi="Times New Roman"/>
                <w:snapToGrid w:val="0"/>
                <w:kern w:val="0"/>
              </w:rPr>
            </w:pPr>
            <w:r>
              <w:rPr>
                <w:rFonts w:ascii="Times New Roman" w:hAnsi="Times New Roman"/>
                <w:snapToGrid w:val="0"/>
                <w:kern w:val="0"/>
              </w:rPr>
              <w:t>（4）该项目中标公示期间，供应商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pStyle w:val="11"/>
              <w:adjustRightInd w:val="0"/>
              <w:snapToGrid w:val="0"/>
              <w:spacing w:line="300" w:lineRule="auto"/>
              <w:rPr>
                <w:rFonts w:ascii="Times New Roman" w:hAnsi="Times New Roman"/>
                <w:b/>
                <w:snapToGrid w:val="0"/>
                <w:kern w:val="0"/>
              </w:rPr>
            </w:pPr>
            <w:r>
              <w:rPr>
                <w:rFonts w:ascii="Times New Roman" w:hAnsi="Times New Roman"/>
                <w:snapToGrid w:val="0"/>
                <w:kern w:val="0"/>
              </w:rPr>
              <w:t>（5）质疑、投诉人未按前列序号第21、22条规定进行质疑、投诉（申诉）、举报等，均属于扰乱采购市场不良行为。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7"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snapToGrid w:val="0"/>
              <w:spacing w:line="300" w:lineRule="auto"/>
              <w:jc w:val="center"/>
              <w:rPr>
                <w:b/>
                <w:snapToGrid w:val="0"/>
                <w:kern w:val="0"/>
              </w:rPr>
            </w:pPr>
            <w:r>
              <w:rPr>
                <w:b/>
                <w:snapToGrid w:val="0"/>
                <w:kern w:val="0"/>
              </w:rPr>
              <w:t>企业信用融资</w:t>
            </w:r>
          </w:p>
        </w:tc>
        <w:tc>
          <w:tcPr>
            <w:tcW w:w="7029" w:type="dxa"/>
            <w:noWrap w:val="0"/>
            <w:vAlign w:val="bottom"/>
          </w:tcPr>
          <w:p>
            <w:pPr>
              <w:snapToGrid w:val="0"/>
              <w:spacing w:line="300" w:lineRule="auto"/>
              <w:rPr>
                <w:snapToGrid w:val="0"/>
                <w:kern w:val="0"/>
              </w:rPr>
            </w:pPr>
            <w:r>
              <w:rPr>
                <w:snapToGrid w:val="0"/>
                <w:kern w:val="0"/>
              </w:rPr>
              <w:t>为支持和促进中小企业发展，进一步发挥政府采购政策功能，浙江省财政厅、浙江银监局、省金融办共同出台了《浙江省政府采购支持中小企业信用融资试点办法》，供应商若有融资意向，可登陆浙江政府采购网（http://www.zjzfcg.gov.cn）查看信用融资政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4"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snapToGrid w:val="0"/>
              <w:spacing w:line="300" w:lineRule="auto"/>
              <w:jc w:val="center"/>
              <w:rPr>
                <w:b/>
                <w:snapToGrid w:val="0"/>
                <w:kern w:val="0"/>
                <w:szCs w:val="21"/>
              </w:rPr>
            </w:pPr>
            <w:r>
              <w:rPr>
                <w:b/>
                <w:snapToGrid w:val="0"/>
                <w:kern w:val="0"/>
                <w:szCs w:val="21"/>
              </w:rPr>
              <w:t>节能环保产品</w:t>
            </w:r>
          </w:p>
        </w:tc>
        <w:tc>
          <w:tcPr>
            <w:tcW w:w="7029" w:type="dxa"/>
            <w:noWrap w:val="0"/>
            <w:vAlign w:val="bottom"/>
          </w:tcPr>
          <w:p>
            <w:pPr>
              <w:snapToGrid w:val="0"/>
              <w:spacing w:line="300" w:lineRule="auto"/>
              <w:rPr>
                <w:snapToGrid w:val="0"/>
                <w:kern w:val="0"/>
              </w:rPr>
            </w:pPr>
            <w:r>
              <w:rPr>
                <w:snapToGrid w:val="0"/>
                <w:kern w:val="0"/>
              </w:rPr>
              <w:t>投标产品若属于节能环保产品的，提供投标产品主体列入财政部、环境保护部“环境标志产品政府采购清单”、投标产品主体列入财政部、国家发展改革委“节能产品政府采购清单”。</w:t>
            </w:r>
          </w:p>
          <w:p>
            <w:pPr>
              <w:snapToGrid w:val="0"/>
              <w:spacing w:line="300" w:lineRule="auto"/>
              <w:rPr>
                <w:snapToGrid w:val="0"/>
                <w:kern w:val="0"/>
              </w:rPr>
            </w:pPr>
            <w:r>
              <w:rPr>
                <w:snapToGrid w:val="0"/>
                <w:kern w:val="0"/>
              </w:rPr>
              <w:t>采购需求中要求提供的产品属于节能清单中政府强制采购节能产品品目的，投标人须提供该清单内产品，否则其投标将作无效标处理。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9"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snapToGrid w:val="0"/>
              <w:spacing w:line="300" w:lineRule="auto"/>
              <w:jc w:val="center"/>
              <w:rPr>
                <w:b/>
                <w:snapToGrid w:val="0"/>
                <w:kern w:val="0"/>
              </w:rPr>
            </w:pPr>
            <w:r>
              <w:rPr>
                <w:b/>
                <w:snapToGrid w:val="0"/>
                <w:kern w:val="0"/>
                <w:szCs w:val="21"/>
              </w:rPr>
              <w:t>采购代理服务费</w:t>
            </w:r>
          </w:p>
        </w:tc>
        <w:tc>
          <w:tcPr>
            <w:tcW w:w="7029" w:type="dxa"/>
            <w:noWrap w:val="0"/>
            <w:vAlign w:val="bottom"/>
          </w:tcPr>
          <w:p>
            <w:pPr>
              <w:snapToGrid w:val="0"/>
              <w:spacing w:line="300" w:lineRule="auto"/>
              <w:rPr>
                <w:snapToGrid w:val="0"/>
                <w:kern w:val="0"/>
              </w:rPr>
            </w:pPr>
            <w:r>
              <w:rPr>
                <w:snapToGrid w:val="0"/>
                <w:kern w:val="0"/>
              </w:rPr>
              <w:t>本项目的采购代理费由中标人支付。</w:t>
            </w:r>
          </w:p>
          <w:p>
            <w:pPr>
              <w:snapToGrid w:val="0"/>
              <w:spacing w:line="300" w:lineRule="auto"/>
              <w:rPr>
                <w:snapToGrid w:val="0"/>
                <w:kern w:val="0"/>
              </w:rPr>
            </w:pPr>
            <w:r>
              <w:rPr>
                <w:snapToGrid w:val="0"/>
                <w:kern w:val="0"/>
              </w:rPr>
              <w:t>计费标准：以中标（成交）人的中标（成交）金额为计费基准，</w:t>
            </w:r>
            <w:r>
              <w:rPr>
                <w:szCs w:val="21"/>
              </w:rPr>
              <w:t>按照国家计委《招标代理业务收费管理暂行办法》（计价格[2002]1980号）及《国家发展改革委办公厅关于招标代理服务收费有关问题的通知》（发改办价格[2003]857号）有关规定</w:t>
            </w:r>
            <w:r>
              <w:rPr>
                <w:snapToGrid w:val="0"/>
                <w:kern w:val="0"/>
              </w:rPr>
              <w:t>的收费标准计取。即：</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00" w:type="dxa"/>
                  <w:noWrap w:val="0"/>
                  <w:vAlign w:val="center"/>
                </w:tcPr>
                <w:p>
                  <w:pPr>
                    <w:adjustRightInd w:val="0"/>
                    <w:jc w:val="center"/>
                    <w:rPr>
                      <w:snapToGrid w:val="0"/>
                      <w:kern w:val="0"/>
                    </w:rPr>
                  </w:pPr>
                  <w:r>
                    <w:rPr>
                      <w:snapToGrid w:val="0"/>
                      <w:kern w:val="0"/>
                    </w:rPr>
                    <w:t>中标金额</w:t>
                  </w:r>
                </w:p>
              </w:tc>
              <w:tc>
                <w:tcPr>
                  <w:tcW w:w="1980" w:type="dxa"/>
                  <w:noWrap w:val="0"/>
                  <w:vAlign w:val="center"/>
                </w:tcPr>
                <w:p>
                  <w:pPr>
                    <w:adjustRightInd w:val="0"/>
                    <w:jc w:val="center"/>
                    <w:rPr>
                      <w:snapToGrid w:val="0"/>
                      <w:kern w:val="0"/>
                    </w:rPr>
                  </w:pPr>
                  <w:r>
                    <w:rPr>
                      <w:snapToGrid w:val="0"/>
                      <w:kern w:val="0"/>
                    </w:rPr>
                    <w:t>标准费率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00" w:type="dxa"/>
                  <w:noWrap w:val="0"/>
                  <w:vAlign w:val="center"/>
                </w:tcPr>
                <w:p>
                  <w:pPr>
                    <w:adjustRightInd w:val="0"/>
                    <w:jc w:val="center"/>
                    <w:rPr>
                      <w:snapToGrid w:val="0"/>
                      <w:kern w:val="0"/>
                    </w:rPr>
                  </w:pPr>
                  <w:r>
                    <w:rPr>
                      <w:snapToGrid w:val="0"/>
                      <w:kern w:val="0"/>
                    </w:rPr>
                    <w:t>≤100万元</w:t>
                  </w:r>
                </w:p>
              </w:tc>
              <w:tc>
                <w:tcPr>
                  <w:tcW w:w="1980" w:type="dxa"/>
                  <w:noWrap w:val="0"/>
                  <w:vAlign w:val="center"/>
                </w:tcPr>
                <w:p>
                  <w:pPr>
                    <w:adjustRightInd w:val="0"/>
                    <w:jc w:val="center"/>
                    <w:rPr>
                      <w:snapToGrid w:val="0"/>
                      <w:kern w:val="0"/>
                    </w:rPr>
                  </w:pPr>
                  <w:r>
                    <w:rPr>
                      <w:snapToGrid w:val="0"/>
                      <w:kern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00" w:type="dxa"/>
                  <w:noWrap w:val="0"/>
                  <w:vAlign w:val="center"/>
                </w:tcPr>
                <w:p>
                  <w:pPr>
                    <w:adjustRightInd w:val="0"/>
                    <w:jc w:val="center"/>
                    <w:rPr>
                      <w:snapToGrid w:val="0"/>
                      <w:kern w:val="0"/>
                    </w:rPr>
                  </w:pPr>
                  <w:r>
                    <w:rPr>
                      <w:snapToGrid w:val="0"/>
                      <w:kern w:val="0"/>
                    </w:rPr>
                    <w:t xml:space="preserve">100-500万元 </w:t>
                  </w:r>
                </w:p>
              </w:tc>
              <w:tc>
                <w:tcPr>
                  <w:tcW w:w="1980" w:type="dxa"/>
                  <w:noWrap w:val="0"/>
                  <w:vAlign w:val="center"/>
                </w:tcPr>
                <w:p>
                  <w:pPr>
                    <w:adjustRightInd w:val="0"/>
                    <w:jc w:val="center"/>
                    <w:rPr>
                      <w:snapToGrid w:val="0"/>
                      <w:kern w:val="0"/>
                    </w:rPr>
                  </w:pPr>
                  <w:r>
                    <w:rPr>
                      <w:snapToGrid w:val="0"/>
                      <w:kern w:val="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00" w:type="dxa"/>
                  <w:noWrap w:val="0"/>
                  <w:vAlign w:val="center"/>
                </w:tcPr>
                <w:p>
                  <w:pPr>
                    <w:adjustRightInd w:val="0"/>
                    <w:jc w:val="center"/>
                    <w:rPr>
                      <w:snapToGrid w:val="0"/>
                      <w:kern w:val="0"/>
                    </w:rPr>
                  </w:pPr>
                  <w:r>
                    <w:rPr>
                      <w:snapToGrid w:val="0"/>
                      <w:kern w:val="0"/>
                    </w:rPr>
                    <w:t xml:space="preserve">500-1000万元 </w:t>
                  </w:r>
                </w:p>
              </w:tc>
              <w:tc>
                <w:tcPr>
                  <w:tcW w:w="1980" w:type="dxa"/>
                  <w:noWrap w:val="0"/>
                  <w:vAlign w:val="center"/>
                </w:tcPr>
                <w:p>
                  <w:pPr>
                    <w:adjustRightInd w:val="0"/>
                    <w:jc w:val="center"/>
                    <w:rPr>
                      <w:snapToGrid w:val="0"/>
                      <w:kern w:val="0"/>
                    </w:rPr>
                  </w:pPr>
                  <w:r>
                    <w:rPr>
                      <w:snapToGrid w:val="0"/>
                      <w:kern w:val="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00" w:type="dxa"/>
                  <w:noWrap w:val="0"/>
                  <w:vAlign w:val="center"/>
                </w:tcPr>
                <w:p>
                  <w:pPr>
                    <w:adjustRightInd w:val="0"/>
                    <w:jc w:val="center"/>
                    <w:rPr>
                      <w:snapToGrid w:val="0"/>
                      <w:kern w:val="0"/>
                    </w:rPr>
                  </w:pPr>
                  <w:r>
                    <w:rPr>
                      <w:snapToGrid w:val="0"/>
                      <w:kern w:val="0"/>
                    </w:rPr>
                    <w:t xml:space="preserve">1000-5000万元 </w:t>
                  </w:r>
                </w:p>
              </w:tc>
              <w:tc>
                <w:tcPr>
                  <w:tcW w:w="1980" w:type="dxa"/>
                  <w:noWrap w:val="0"/>
                  <w:vAlign w:val="center"/>
                </w:tcPr>
                <w:p>
                  <w:pPr>
                    <w:adjustRightInd w:val="0"/>
                    <w:jc w:val="center"/>
                    <w:rPr>
                      <w:snapToGrid w:val="0"/>
                      <w:kern w:val="0"/>
                    </w:rPr>
                  </w:pPr>
                  <w:r>
                    <w:rPr>
                      <w:snapToGrid w:val="0"/>
                      <w:kern w:val="0"/>
                    </w:rPr>
                    <w:t>0.5%</w:t>
                  </w:r>
                </w:p>
              </w:tc>
            </w:tr>
          </w:tbl>
          <w:p>
            <w:pPr>
              <w:snapToGrid w:val="0"/>
              <w:spacing w:line="300" w:lineRule="auto"/>
              <w:rPr>
                <w:snapToGrid w:val="0"/>
                <w:kern w:val="0"/>
              </w:rPr>
            </w:pPr>
            <w:r>
              <w:rPr>
                <w:snapToGrid w:val="0"/>
                <w:kern w:val="0"/>
              </w:rPr>
              <w:t>结算方式及时间：领取中标通知书时由中标人一次性向采购代理机构付清。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snapToGrid w:val="0"/>
              <w:spacing w:line="300" w:lineRule="auto"/>
              <w:jc w:val="center"/>
              <w:rPr>
                <w:b/>
                <w:snapToGrid w:val="0"/>
                <w:kern w:val="0"/>
                <w:szCs w:val="21"/>
              </w:rPr>
            </w:pPr>
            <w:r>
              <w:rPr>
                <w:b/>
                <w:snapToGrid w:val="0"/>
                <w:kern w:val="0"/>
              </w:rPr>
              <w:t>★</w:t>
            </w:r>
            <w:r>
              <w:rPr>
                <w:b/>
                <w:snapToGrid w:val="0"/>
                <w:kern w:val="0"/>
                <w:szCs w:val="21"/>
              </w:rPr>
              <w:t>不可偏离项</w:t>
            </w:r>
          </w:p>
        </w:tc>
        <w:tc>
          <w:tcPr>
            <w:tcW w:w="7029" w:type="dxa"/>
            <w:noWrap w:val="0"/>
            <w:vAlign w:val="bottom"/>
          </w:tcPr>
          <w:p>
            <w:pPr>
              <w:snapToGrid w:val="0"/>
              <w:spacing w:line="300" w:lineRule="auto"/>
              <w:rPr>
                <w:b/>
                <w:snapToGrid w:val="0"/>
                <w:kern w:val="0"/>
              </w:rPr>
            </w:pPr>
            <w:r>
              <w:rPr>
                <w:b/>
                <w:snapToGrid w:val="0"/>
                <w:kern w:val="0"/>
              </w:rPr>
              <w:t>请供应商仔细阅读本招标文件，招标文件中带“★”标记的条款为实质性内容，供应商须对带“★”标记的条款作出实质性响应，否则做无效处理。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632" w:type="dxa"/>
            <w:noWrap w:val="0"/>
            <w:vAlign w:val="center"/>
          </w:tcPr>
          <w:p>
            <w:pPr>
              <w:numPr>
                <w:ilvl w:val="0"/>
                <w:numId w:val="2"/>
              </w:numPr>
              <w:tabs>
                <w:tab w:val="left" w:pos="217"/>
              </w:tabs>
              <w:adjustRightInd w:val="0"/>
              <w:snapToGrid w:val="0"/>
              <w:spacing w:line="300" w:lineRule="auto"/>
              <w:jc w:val="center"/>
              <w:rPr>
                <w:snapToGrid w:val="0"/>
                <w:kern w:val="0"/>
                <w:szCs w:val="21"/>
              </w:rPr>
            </w:pPr>
          </w:p>
        </w:tc>
        <w:tc>
          <w:tcPr>
            <w:tcW w:w="1609" w:type="dxa"/>
            <w:noWrap w:val="0"/>
            <w:vAlign w:val="center"/>
          </w:tcPr>
          <w:p>
            <w:pPr>
              <w:jc w:val="center"/>
              <w:rPr>
                <w:szCs w:val="21"/>
              </w:rPr>
            </w:pPr>
            <w:r>
              <w:rPr>
                <w:szCs w:val="21"/>
              </w:rPr>
              <w:t>解释</w:t>
            </w:r>
          </w:p>
        </w:tc>
        <w:tc>
          <w:tcPr>
            <w:tcW w:w="7029" w:type="dxa"/>
            <w:noWrap w:val="0"/>
            <w:vAlign w:val="center"/>
          </w:tcPr>
          <w:p>
            <w:pPr>
              <w:rPr>
                <w:szCs w:val="21"/>
              </w:rPr>
            </w:pPr>
            <w:r>
              <w:rPr>
                <w:szCs w:val="21"/>
              </w:rPr>
              <w:t>本招标文件的解释权属于采购人。</w:t>
            </w:r>
          </w:p>
        </w:tc>
      </w:tr>
    </w:tbl>
    <w:p>
      <w:r>
        <w:t>注：以上内容如有变化将另行书面通知。如通知其中某一内容发生变化，其余未提及的将不作变动。</w:t>
      </w:r>
    </w:p>
    <w:p>
      <w:pPr>
        <w:spacing w:before="120" w:beforeLines="50" w:line="360" w:lineRule="auto"/>
        <w:jc w:val="center"/>
        <w:outlineLvl w:val="1"/>
        <w:rPr>
          <w:b/>
          <w:sz w:val="24"/>
        </w:rPr>
        <w:sectPr>
          <w:footerReference r:id="rId12" w:type="default"/>
          <w:pgSz w:w="11906" w:h="16838"/>
          <w:pgMar w:top="1418" w:right="1418" w:bottom="1134" w:left="1418" w:header="851" w:footer="680" w:gutter="0"/>
          <w:pgNumType w:fmt="decimalFullWidth"/>
          <w:cols w:space="720" w:num="1"/>
          <w:docGrid w:linePitch="312" w:charSpace="0"/>
        </w:sectPr>
      </w:pPr>
    </w:p>
    <w:p>
      <w:pPr>
        <w:spacing w:before="120" w:beforeLines="50"/>
        <w:jc w:val="center"/>
        <w:outlineLvl w:val="1"/>
        <w:rPr>
          <w:b/>
          <w:sz w:val="24"/>
        </w:rPr>
      </w:pPr>
      <w:bookmarkStart w:id="7" w:name="_Toc9087"/>
      <w:r>
        <w:rPr>
          <w:b/>
          <w:sz w:val="24"/>
        </w:rPr>
        <w:t>二、投标须知</w:t>
      </w:r>
      <w:bookmarkEnd w:id="7"/>
    </w:p>
    <w:p>
      <w:pPr>
        <w:spacing w:after="60" w:afterLines="25" w:line="520" w:lineRule="exact"/>
        <w:ind w:firstLine="424" w:firstLineChars="176"/>
        <w:jc w:val="left"/>
        <w:outlineLvl w:val="2"/>
        <w:rPr>
          <w:b/>
          <w:bCs/>
          <w:sz w:val="24"/>
        </w:rPr>
      </w:pPr>
      <w:r>
        <w:rPr>
          <w:b/>
          <w:bCs/>
          <w:sz w:val="24"/>
        </w:rPr>
        <w:t>(一)总则</w:t>
      </w:r>
      <w:bookmarkEnd w:id="5"/>
    </w:p>
    <w:p>
      <w:pPr>
        <w:pStyle w:val="73"/>
        <w:spacing w:before="0"/>
        <w:ind w:firstLine="420"/>
        <w:rPr>
          <w:sz w:val="21"/>
          <w:szCs w:val="21"/>
        </w:rPr>
      </w:pPr>
      <w:bookmarkStart w:id="8" w:name="_Hlt74730295"/>
      <w:bookmarkEnd w:id="8"/>
      <w:bookmarkStart w:id="9" w:name="_Hlt74714665"/>
      <w:bookmarkEnd w:id="9"/>
      <w:bookmarkStart w:id="10" w:name="_Hlt74730112"/>
      <w:bookmarkStart w:id="11" w:name="_Hlt74730208"/>
      <w:r>
        <w:rPr>
          <w:sz w:val="21"/>
          <w:szCs w:val="21"/>
        </w:rPr>
        <w:t>本次招标工作是按照《中华人民共和国政府采购法》、《中华人民共和国政府采购法实施条例》、《政府采购货物和服务招标投标管理办法》等相关法律法规组织和实施，并由浙江省政府采购监督管理部门指导和监督。</w:t>
      </w:r>
    </w:p>
    <w:p>
      <w:pPr>
        <w:pStyle w:val="73"/>
        <w:spacing w:before="0"/>
        <w:ind w:firstLine="422"/>
        <w:rPr>
          <w:b/>
          <w:sz w:val="21"/>
          <w:szCs w:val="21"/>
        </w:rPr>
      </w:pPr>
      <w:r>
        <w:rPr>
          <w:b/>
          <w:sz w:val="21"/>
          <w:szCs w:val="21"/>
        </w:rPr>
        <w:t>1．适用范围</w:t>
      </w:r>
    </w:p>
    <w:p>
      <w:pPr>
        <w:pStyle w:val="73"/>
        <w:spacing w:before="0"/>
        <w:ind w:firstLine="420"/>
        <w:rPr>
          <w:sz w:val="21"/>
          <w:szCs w:val="21"/>
        </w:rPr>
      </w:pPr>
      <w:r>
        <w:rPr>
          <w:sz w:val="21"/>
          <w:szCs w:val="21"/>
        </w:rPr>
        <w:t>1.1 本招标文件仅适用于本次招标项目。</w:t>
      </w:r>
    </w:p>
    <w:p>
      <w:pPr>
        <w:pStyle w:val="73"/>
        <w:spacing w:before="0"/>
        <w:ind w:firstLine="420"/>
        <w:rPr>
          <w:sz w:val="21"/>
          <w:szCs w:val="21"/>
        </w:rPr>
      </w:pPr>
      <w:r>
        <w:rPr>
          <w:sz w:val="21"/>
          <w:szCs w:val="21"/>
        </w:rPr>
        <w:t>1.2 本项目采购方式为公开招标。</w:t>
      </w:r>
    </w:p>
    <w:p>
      <w:pPr>
        <w:pStyle w:val="73"/>
        <w:spacing w:before="0"/>
        <w:ind w:firstLine="422"/>
        <w:rPr>
          <w:b/>
          <w:sz w:val="21"/>
          <w:szCs w:val="21"/>
        </w:rPr>
      </w:pPr>
      <w:r>
        <w:rPr>
          <w:b/>
          <w:sz w:val="21"/>
          <w:szCs w:val="21"/>
        </w:rPr>
        <w:t>2．定义</w:t>
      </w:r>
    </w:p>
    <w:p>
      <w:pPr>
        <w:pStyle w:val="73"/>
        <w:spacing w:before="0"/>
        <w:ind w:firstLine="420"/>
        <w:rPr>
          <w:sz w:val="21"/>
          <w:szCs w:val="21"/>
        </w:rPr>
      </w:pPr>
      <w:r>
        <w:rPr>
          <w:sz w:val="21"/>
          <w:szCs w:val="21"/>
        </w:rPr>
        <w:t>2.1 “采购人”系指新昌县公安局（合同中的甲方）。</w:t>
      </w:r>
    </w:p>
    <w:p>
      <w:pPr>
        <w:pStyle w:val="73"/>
        <w:spacing w:before="0"/>
        <w:ind w:firstLine="420"/>
        <w:rPr>
          <w:sz w:val="21"/>
          <w:szCs w:val="21"/>
        </w:rPr>
      </w:pPr>
      <w:r>
        <w:rPr>
          <w:sz w:val="21"/>
          <w:szCs w:val="21"/>
        </w:rPr>
        <w:t>2.2 “采购代理机构”系指华信咨询设计研究院有限公司。</w:t>
      </w:r>
    </w:p>
    <w:p>
      <w:pPr>
        <w:pStyle w:val="73"/>
        <w:spacing w:before="0"/>
        <w:ind w:firstLine="420"/>
        <w:rPr>
          <w:sz w:val="21"/>
          <w:szCs w:val="21"/>
        </w:rPr>
      </w:pPr>
      <w:r>
        <w:rPr>
          <w:sz w:val="21"/>
          <w:szCs w:val="21"/>
        </w:rPr>
        <w:t>2.3 “监督管理部门”系指新昌县财政局。</w:t>
      </w:r>
    </w:p>
    <w:p>
      <w:pPr>
        <w:pStyle w:val="73"/>
        <w:spacing w:before="0"/>
        <w:ind w:firstLine="420"/>
        <w:rPr>
          <w:sz w:val="21"/>
          <w:szCs w:val="21"/>
        </w:rPr>
      </w:pPr>
      <w:r>
        <w:rPr>
          <w:sz w:val="21"/>
          <w:szCs w:val="21"/>
        </w:rPr>
        <w:t>2.4 “供应商”系指响应本次招标，参加本次投标的供应商。经评标产生并经批准的供应商为中标人；经公示无异议，并签订合同后的中标人为本项目的中标人（合同中的乙方）。</w:t>
      </w:r>
    </w:p>
    <w:p>
      <w:pPr>
        <w:pStyle w:val="73"/>
        <w:spacing w:before="0"/>
        <w:ind w:firstLine="420"/>
        <w:rPr>
          <w:sz w:val="21"/>
          <w:szCs w:val="21"/>
        </w:rPr>
      </w:pPr>
      <w:r>
        <w:rPr>
          <w:sz w:val="21"/>
          <w:szCs w:val="21"/>
        </w:rPr>
        <w:t>2.5 “服务”系指招标文件或合同规定供应商须承担的服务。</w:t>
      </w:r>
    </w:p>
    <w:p>
      <w:pPr>
        <w:tabs>
          <w:tab w:val="left" w:pos="3780"/>
        </w:tabs>
        <w:spacing w:line="360" w:lineRule="auto"/>
        <w:ind w:firstLine="422" w:firstLineChars="200"/>
        <w:rPr>
          <w:b/>
          <w:szCs w:val="21"/>
        </w:rPr>
      </w:pPr>
      <w:r>
        <w:rPr>
          <w:b/>
          <w:szCs w:val="21"/>
        </w:rPr>
        <w:t>3．合格的供应商</w:t>
      </w:r>
    </w:p>
    <w:p>
      <w:pPr>
        <w:tabs>
          <w:tab w:val="left" w:pos="3780"/>
        </w:tabs>
        <w:spacing w:line="360" w:lineRule="auto"/>
        <w:ind w:firstLine="420" w:firstLineChars="200"/>
        <w:rPr>
          <w:szCs w:val="21"/>
        </w:rPr>
      </w:pPr>
      <w:r>
        <w:rPr>
          <w:szCs w:val="21"/>
        </w:rPr>
        <w:t>3.1 合格的供应商，详见招标公告中规定的供应商必须具备的资格条件并经评标委员会审查通过的。</w:t>
      </w:r>
    </w:p>
    <w:p>
      <w:pPr>
        <w:tabs>
          <w:tab w:val="left" w:pos="3780"/>
        </w:tabs>
        <w:spacing w:line="360" w:lineRule="auto"/>
        <w:ind w:firstLine="422" w:firstLineChars="200"/>
        <w:rPr>
          <w:b/>
          <w:szCs w:val="21"/>
        </w:rPr>
      </w:pPr>
      <w:r>
        <w:rPr>
          <w:b/>
          <w:szCs w:val="21"/>
        </w:rPr>
        <w:t>4．相关说明</w:t>
      </w:r>
    </w:p>
    <w:p>
      <w:pPr>
        <w:tabs>
          <w:tab w:val="left" w:pos="3780"/>
        </w:tabs>
        <w:spacing w:line="360" w:lineRule="auto"/>
        <w:ind w:firstLine="420" w:firstLineChars="200"/>
        <w:rPr>
          <w:szCs w:val="21"/>
        </w:rPr>
      </w:pPr>
      <w:r>
        <w:rPr>
          <w:szCs w:val="21"/>
        </w:rPr>
        <w:t>4.1供应商一旦参与本次招标活动，即被视为接受了本招标文件的所有内容。</w:t>
      </w:r>
    </w:p>
    <w:p>
      <w:pPr>
        <w:tabs>
          <w:tab w:val="left" w:pos="3780"/>
        </w:tabs>
        <w:spacing w:line="360" w:lineRule="auto"/>
        <w:ind w:firstLine="420" w:firstLineChars="200"/>
        <w:rPr>
          <w:szCs w:val="21"/>
        </w:rPr>
      </w:pPr>
      <w:r>
        <w:rPr>
          <w:szCs w:val="21"/>
        </w:rPr>
        <w:t>4.2投标费用。供应商应承担其参加投标所涉及的一切费用，不管投标结果如何，采购人对这些费用不负任何责任。</w:t>
      </w:r>
    </w:p>
    <w:p>
      <w:pPr>
        <w:tabs>
          <w:tab w:val="left" w:pos="3780"/>
        </w:tabs>
        <w:spacing w:line="360" w:lineRule="auto"/>
        <w:ind w:firstLine="420" w:firstLineChars="200"/>
        <w:rPr>
          <w:szCs w:val="21"/>
        </w:rPr>
      </w:pPr>
      <w:r>
        <w:rPr>
          <w:szCs w:val="21"/>
        </w:rPr>
        <w:t>4.3潜在供应商领取招标文件后，必须按照国家《保密法》以及保密工作的相关规定，对招标文件内容应</w:t>
      </w:r>
      <w:r>
        <w:rPr>
          <w:kern w:val="0"/>
          <w:szCs w:val="21"/>
        </w:rPr>
        <w:t>承担保密义务，</w:t>
      </w:r>
      <w:r>
        <w:rPr>
          <w:szCs w:val="21"/>
        </w:rPr>
        <w:t>维护采购人的权益，</w:t>
      </w:r>
      <w:r>
        <w:rPr>
          <w:kern w:val="0"/>
          <w:szCs w:val="21"/>
        </w:rPr>
        <w:t>发生</w:t>
      </w:r>
      <w:r>
        <w:rPr>
          <w:szCs w:val="21"/>
        </w:rPr>
        <w:t>窃、泄密事件潜在供应商</w:t>
      </w:r>
      <w:r>
        <w:rPr>
          <w:kern w:val="0"/>
          <w:szCs w:val="21"/>
        </w:rPr>
        <w:t>应承担相应的法律责任。</w:t>
      </w:r>
    </w:p>
    <w:p>
      <w:pPr>
        <w:tabs>
          <w:tab w:val="left" w:pos="3780"/>
        </w:tabs>
        <w:spacing w:line="360" w:lineRule="auto"/>
        <w:ind w:firstLine="420" w:firstLineChars="200"/>
        <w:rPr>
          <w:szCs w:val="21"/>
        </w:rPr>
      </w:pPr>
      <w:r>
        <w:rPr>
          <w:szCs w:val="21"/>
        </w:rPr>
        <w:t>4.4供应商在投标活动中提供任何虚假材料或从事其他违法活动的,其投标无效，并报监管部门查处。</w:t>
      </w:r>
    </w:p>
    <w:p>
      <w:pPr>
        <w:tabs>
          <w:tab w:val="left" w:pos="3780"/>
        </w:tabs>
        <w:spacing w:line="360" w:lineRule="auto"/>
        <w:ind w:firstLine="420" w:firstLineChars="200"/>
        <w:rPr>
          <w:szCs w:val="21"/>
        </w:rPr>
      </w:pPr>
      <w:r>
        <w:rPr>
          <w:szCs w:val="21"/>
        </w:rPr>
        <w:t>4.5供应商应仔细阅读招标文件的所有内容，按照招标文件的要求提交投标文件。投标文件应对招标文件的要求做出实质性响应，并对所提供的全部资料的真实性承担法律责任。</w:t>
      </w:r>
    </w:p>
    <w:p>
      <w:pPr>
        <w:tabs>
          <w:tab w:val="left" w:pos="3780"/>
        </w:tabs>
        <w:spacing w:line="360" w:lineRule="auto"/>
        <w:ind w:firstLine="420" w:firstLineChars="200"/>
        <w:rPr>
          <w:szCs w:val="21"/>
        </w:rPr>
      </w:pPr>
      <w:r>
        <w:rPr>
          <w:szCs w:val="21"/>
        </w:rPr>
        <w:t>4.6供应商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bookmarkEnd w:id="10"/>
    <w:bookmarkEnd w:id="11"/>
    <w:p>
      <w:pPr>
        <w:spacing w:after="60" w:afterLines="25" w:line="520" w:lineRule="exact"/>
        <w:ind w:firstLine="424" w:firstLineChars="176"/>
        <w:jc w:val="left"/>
        <w:outlineLvl w:val="2"/>
        <w:rPr>
          <w:b/>
          <w:bCs/>
          <w:sz w:val="24"/>
        </w:rPr>
      </w:pPr>
      <w:bookmarkStart w:id="12" w:name="_Hlt75236290"/>
      <w:bookmarkEnd w:id="12"/>
      <w:bookmarkStart w:id="13" w:name="_Hlt74707468"/>
      <w:bookmarkEnd w:id="13"/>
      <w:bookmarkStart w:id="14" w:name="_Hlt68072990"/>
      <w:bookmarkEnd w:id="14"/>
      <w:bookmarkStart w:id="15" w:name="_Hlt74729768"/>
      <w:bookmarkEnd w:id="15"/>
      <w:bookmarkStart w:id="16" w:name="_Hlt68057669"/>
      <w:bookmarkEnd w:id="16"/>
      <w:bookmarkStart w:id="17" w:name="_Toc91899879"/>
      <w:r>
        <w:rPr>
          <w:b/>
          <w:bCs/>
          <w:sz w:val="24"/>
        </w:rPr>
        <w:t>(二)招标文件</w:t>
      </w:r>
      <w:bookmarkEnd w:id="17"/>
    </w:p>
    <w:p>
      <w:pPr>
        <w:tabs>
          <w:tab w:val="left" w:pos="3780"/>
        </w:tabs>
        <w:spacing w:line="360" w:lineRule="auto"/>
        <w:ind w:firstLine="422" w:firstLineChars="200"/>
        <w:rPr>
          <w:b/>
          <w:szCs w:val="21"/>
        </w:rPr>
      </w:pPr>
      <w:bookmarkStart w:id="18" w:name="_Toc91899880"/>
      <w:bookmarkStart w:id="19" w:name="_Hlt74730307"/>
      <w:r>
        <w:rPr>
          <w:b/>
          <w:szCs w:val="21"/>
        </w:rPr>
        <w:t>5．招标文件的构成</w:t>
      </w:r>
      <w:bookmarkEnd w:id="18"/>
    </w:p>
    <w:bookmarkEnd w:id="19"/>
    <w:p>
      <w:pPr>
        <w:tabs>
          <w:tab w:val="left" w:pos="3780"/>
        </w:tabs>
        <w:spacing w:line="360" w:lineRule="auto"/>
        <w:ind w:firstLine="420" w:firstLineChars="200"/>
        <w:rPr>
          <w:szCs w:val="21"/>
        </w:rPr>
      </w:pPr>
      <w:r>
        <w:rPr>
          <w:szCs w:val="21"/>
        </w:rPr>
        <w:t>5.1 本招标文件包括目录所示内容及所有按本须知第6、7条发出的补充资料。</w:t>
      </w:r>
    </w:p>
    <w:p>
      <w:pPr>
        <w:tabs>
          <w:tab w:val="left" w:pos="3780"/>
        </w:tabs>
        <w:spacing w:line="360" w:lineRule="auto"/>
        <w:ind w:firstLine="420" w:firstLineChars="200"/>
        <w:rPr>
          <w:szCs w:val="21"/>
        </w:rPr>
      </w:pPr>
      <w:r>
        <w:rPr>
          <w:szCs w:val="21"/>
        </w:rPr>
        <w:t>5.2 除上述所列内容外，采购人和采购代理机构的任何工作人员对供应商所作的任何口头解释、介绍、答复，仅供供应商参考，对采购人、采购代理机构和供应商无任何约束力。</w:t>
      </w:r>
    </w:p>
    <w:p>
      <w:pPr>
        <w:tabs>
          <w:tab w:val="left" w:pos="3780"/>
        </w:tabs>
        <w:spacing w:line="360" w:lineRule="auto"/>
        <w:ind w:firstLine="420" w:firstLineChars="200"/>
        <w:rPr>
          <w:szCs w:val="21"/>
        </w:rPr>
      </w:pPr>
      <w:r>
        <w:rPr>
          <w:szCs w:val="21"/>
        </w:rPr>
        <w:t>5.3 招标文件是招标过程进行的有效依据，也是中标后签订合同的依据，对双方均具有约束力，凡不遵守招标文件规定或对招标文件的实质性内容不响应的，将可能被拒绝或以无效标处理。</w:t>
      </w:r>
    </w:p>
    <w:p>
      <w:pPr>
        <w:tabs>
          <w:tab w:val="left" w:pos="3780"/>
        </w:tabs>
        <w:spacing w:line="360" w:lineRule="auto"/>
        <w:ind w:firstLine="420" w:firstLineChars="200"/>
        <w:rPr>
          <w:szCs w:val="21"/>
        </w:rPr>
      </w:pPr>
      <w:r>
        <w:rPr>
          <w:szCs w:val="21"/>
        </w:rPr>
        <w:t>5.4 本招标文件由采购人或采购代理机构依据相关法律、法规、规章、省市规定及招标文件进行解释。</w:t>
      </w:r>
    </w:p>
    <w:p>
      <w:pPr>
        <w:tabs>
          <w:tab w:val="left" w:pos="3780"/>
        </w:tabs>
        <w:spacing w:line="360" w:lineRule="auto"/>
        <w:ind w:firstLine="420" w:firstLineChars="200"/>
        <w:rPr>
          <w:szCs w:val="21"/>
        </w:rPr>
      </w:pPr>
      <w:r>
        <w:rPr>
          <w:szCs w:val="21"/>
        </w:rPr>
        <w:t>5.5供应商获取招标文件后，应认真审阅招标文件中所有的内容。如有残缺应在领到招标文件后3日内向采购人及采购代理机构提出，否则，由此引起的投标损失自负；如果供应商的投标文件没有按照招标文件要求提交全部资料或者投标文件没有对招标文件做出实质性响应，其风险应由供应商自行承担，其投标亦有可能被拒绝。</w:t>
      </w:r>
    </w:p>
    <w:p>
      <w:pPr>
        <w:tabs>
          <w:tab w:val="left" w:pos="3780"/>
        </w:tabs>
        <w:spacing w:line="360" w:lineRule="auto"/>
        <w:ind w:firstLine="422" w:firstLineChars="200"/>
        <w:rPr>
          <w:b/>
          <w:szCs w:val="21"/>
        </w:rPr>
      </w:pPr>
      <w:r>
        <w:rPr>
          <w:b/>
          <w:szCs w:val="21"/>
        </w:rPr>
        <w:t>6．招标文件的澄清</w:t>
      </w:r>
    </w:p>
    <w:p>
      <w:pPr>
        <w:tabs>
          <w:tab w:val="left" w:pos="3780"/>
        </w:tabs>
        <w:spacing w:line="360" w:lineRule="auto"/>
        <w:ind w:firstLine="420" w:firstLineChars="200"/>
        <w:rPr>
          <w:szCs w:val="21"/>
        </w:rPr>
      </w:pPr>
      <w:r>
        <w:rPr>
          <w:szCs w:val="21"/>
        </w:rPr>
        <w:t>6.1 供应商在收到招标文件后，若有问题需要澄清或认为有必要与采购人进行技术交流，应按前附表规定的时间和方式提出。截止期后的疑问将不予受理、答复。</w:t>
      </w:r>
    </w:p>
    <w:p>
      <w:pPr>
        <w:tabs>
          <w:tab w:val="left" w:pos="3780"/>
        </w:tabs>
        <w:spacing w:line="360" w:lineRule="auto"/>
        <w:ind w:firstLine="420" w:firstLineChars="200"/>
        <w:rPr>
          <w:szCs w:val="21"/>
        </w:rPr>
      </w:pPr>
      <w:r>
        <w:rPr>
          <w:szCs w:val="21"/>
        </w:rPr>
        <w:t>6.2 供应商要求解释或澄清的问题应以书面形式送达，并加盖公章、写明日期。</w:t>
      </w:r>
    </w:p>
    <w:p>
      <w:pPr>
        <w:tabs>
          <w:tab w:val="left" w:pos="3780"/>
        </w:tabs>
        <w:spacing w:line="360" w:lineRule="auto"/>
        <w:ind w:firstLine="420" w:firstLineChars="200"/>
        <w:rPr>
          <w:szCs w:val="21"/>
        </w:rPr>
      </w:pPr>
      <w:r>
        <w:rPr>
          <w:szCs w:val="21"/>
        </w:rPr>
        <w:t>6.3 所有要求解释或澄清的问题都予以解答，答疑文件与补充文件一起以书面形式告知所有购买招标文件的供应商。</w:t>
      </w:r>
    </w:p>
    <w:p>
      <w:pPr>
        <w:tabs>
          <w:tab w:val="left" w:pos="3780"/>
        </w:tabs>
        <w:spacing w:line="360" w:lineRule="auto"/>
        <w:ind w:firstLine="422" w:firstLineChars="200"/>
        <w:rPr>
          <w:b/>
          <w:szCs w:val="21"/>
        </w:rPr>
      </w:pPr>
      <w:r>
        <w:rPr>
          <w:b/>
          <w:szCs w:val="21"/>
        </w:rPr>
        <w:t>7．招标文件的修改</w:t>
      </w:r>
    </w:p>
    <w:p>
      <w:pPr>
        <w:tabs>
          <w:tab w:val="left" w:pos="3780"/>
        </w:tabs>
        <w:spacing w:line="360" w:lineRule="auto"/>
        <w:ind w:firstLine="420" w:firstLineChars="200"/>
        <w:rPr>
          <w:szCs w:val="21"/>
        </w:rPr>
      </w:pPr>
      <w:r>
        <w:rPr>
          <w:szCs w:val="21"/>
        </w:rPr>
        <w:t>7.1 在投标截止期前，由于各种原因，不论是自己主动提出还是答复供应商的澄清要求，采购人可能会以补充文件的形式修改或完善招标文件。</w:t>
      </w:r>
    </w:p>
    <w:p>
      <w:pPr>
        <w:tabs>
          <w:tab w:val="left" w:pos="3780"/>
        </w:tabs>
        <w:spacing w:line="360" w:lineRule="auto"/>
        <w:ind w:firstLine="420" w:firstLineChars="200"/>
        <w:rPr>
          <w:szCs w:val="21"/>
        </w:rPr>
      </w:pPr>
      <w:r>
        <w:rPr>
          <w:szCs w:val="21"/>
        </w:rPr>
        <w:t>7.2 招标文件的修改将以书面形式，包括邮寄、传真和电传，通知所有购买招标文件的供应商，并对其具有约束力。供应商在收到上述通知后，应在24小时内向采购代理机构回函确认。</w:t>
      </w:r>
    </w:p>
    <w:p>
      <w:pPr>
        <w:tabs>
          <w:tab w:val="left" w:pos="3780"/>
        </w:tabs>
        <w:spacing w:line="360" w:lineRule="auto"/>
        <w:ind w:firstLine="420" w:firstLineChars="200"/>
        <w:rPr>
          <w:szCs w:val="21"/>
        </w:rPr>
      </w:pPr>
      <w:r>
        <w:rPr>
          <w:szCs w:val="21"/>
        </w:rPr>
        <w:t>7.3 在补充文件发布后，如果供应商认为制作投标文件的时间不充分的，必须在收到补充文件24小时内通知采购人和采购代理机构。否则，视同供应商有充足时间编制投标文件。</w:t>
      </w:r>
    </w:p>
    <w:p>
      <w:pPr>
        <w:tabs>
          <w:tab w:val="left" w:pos="3780"/>
        </w:tabs>
        <w:spacing w:line="360" w:lineRule="auto"/>
        <w:ind w:firstLine="420" w:firstLineChars="200"/>
        <w:rPr>
          <w:szCs w:val="21"/>
        </w:rPr>
      </w:pPr>
      <w:r>
        <w:rPr>
          <w:szCs w:val="21"/>
        </w:rPr>
        <w:t>7.4 为使供应商编写投标文件时有充分的时间对招标文件的修改部分进行研究，采购人有权推迟投标截至时间和开标日期，并将此变更书面通知所有购买同一招标文件的供应商。</w:t>
      </w:r>
    </w:p>
    <w:p>
      <w:pPr>
        <w:tabs>
          <w:tab w:val="left" w:pos="3780"/>
        </w:tabs>
        <w:spacing w:line="360" w:lineRule="auto"/>
        <w:ind w:firstLine="420" w:firstLineChars="200"/>
        <w:rPr>
          <w:szCs w:val="21"/>
        </w:rPr>
      </w:pPr>
      <w:r>
        <w:rPr>
          <w:szCs w:val="21"/>
        </w:rPr>
        <w:t>7.5 招标文件澄清、答复、修改、补充的内容为招标文件的组成部分。当招标文件与招标文件的答复、澄清、修改、补充通知就同一内容的表述不一致时，以最后发出的书面文件为准。</w:t>
      </w:r>
    </w:p>
    <w:p>
      <w:pPr>
        <w:tabs>
          <w:tab w:val="left" w:pos="3780"/>
        </w:tabs>
        <w:spacing w:line="360" w:lineRule="auto"/>
        <w:ind w:firstLine="420" w:firstLineChars="200"/>
        <w:rPr>
          <w:szCs w:val="21"/>
        </w:rPr>
      </w:pPr>
      <w:r>
        <w:rPr>
          <w:szCs w:val="21"/>
        </w:rPr>
        <w:t>7.6 招标文件的澄清、答复、修改或补充都应该通过本代理机构以法定形式发布，除此以外的发布不属于招标文件的组成部分。</w:t>
      </w:r>
    </w:p>
    <w:p>
      <w:pPr>
        <w:tabs>
          <w:tab w:val="left" w:pos="3780"/>
        </w:tabs>
        <w:spacing w:line="360" w:lineRule="auto"/>
        <w:ind w:firstLine="420" w:firstLineChars="200"/>
        <w:rPr>
          <w:szCs w:val="21"/>
        </w:rPr>
      </w:pPr>
      <w:r>
        <w:rPr>
          <w:szCs w:val="21"/>
        </w:rPr>
        <w:t>7.7 在招标文件发售截止后，若有潜在供应商提出要求获取招标文件的，采购代理机构或采购人将允许其获取，但该供应商如对招标文件有异议的，应于自招标文件领取截止时间之日起七个工作日内以书面形式向采购代理机构提出。</w:t>
      </w:r>
    </w:p>
    <w:p>
      <w:pPr>
        <w:spacing w:after="60" w:afterLines="25" w:line="520" w:lineRule="exact"/>
        <w:ind w:firstLine="424" w:firstLineChars="176"/>
        <w:jc w:val="left"/>
        <w:outlineLvl w:val="2"/>
        <w:rPr>
          <w:b/>
          <w:bCs/>
          <w:sz w:val="24"/>
        </w:rPr>
      </w:pPr>
      <w:bookmarkStart w:id="20" w:name="_Toc371408097"/>
      <w:bookmarkStart w:id="21" w:name="_Toc364420749"/>
      <w:r>
        <w:rPr>
          <w:b/>
          <w:bCs/>
          <w:sz w:val="24"/>
        </w:rPr>
        <w:t>(三)投标文件的编制</w:t>
      </w:r>
      <w:bookmarkEnd w:id="20"/>
      <w:bookmarkEnd w:id="21"/>
    </w:p>
    <w:p>
      <w:pPr>
        <w:tabs>
          <w:tab w:val="left" w:pos="3780"/>
        </w:tabs>
        <w:spacing w:line="360" w:lineRule="auto"/>
        <w:ind w:firstLine="422" w:firstLineChars="200"/>
        <w:rPr>
          <w:b/>
          <w:szCs w:val="21"/>
        </w:rPr>
      </w:pPr>
      <w:r>
        <w:rPr>
          <w:b/>
          <w:szCs w:val="21"/>
        </w:rPr>
        <w:t>供应商应认真阅读招标文件中所有的事项、格式、条款和技术要求等。如果供应商没有按照招标文件要求和规定编制投标文件及提交全部资料，或者投标没有对招标文件中各方面作出实质性响应，其风险应由供应商承担。</w:t>
      </w:r>
    </w:p>
    <w:p>
      <w:pPr>
        <w:tabs>
          <w:tab w:val="left" w:pos="3780"/>
        </w:tabs>
        <w:spacing w:line="360" w:lineRule="auto"/>
        <w:ind w:firstLine="422" w:firstLineChars="200"/>
        <w:rPr>
          <w:b/>
          <w:szCs w:val="21"/>
        </w:rPr>
      </w:pPr>
      <w:r>
        <w:rPr>
          <w:b/>
          <w:szCs w:val="21"/>
        </w:rPr>
        <w:t>8．投标文件的语言及计量单位</w:t>
      </w:r>
    </w:p>
    <w:p>
      <w:pPr>
        <w:tabs>
          <w:tab w:val="left" w:pos="3780"/>
        </w:tabs>
        <w:spacing w:line="360" w:lineRule="auto"/>
        <w:ind w:firstLine="420" w:firstLineChars="200"/>
        <w:rPr>
          <w:szCs w:val="21"/>
        </w:rPr>
      </w:pPr>
      <w:r>
        <w:rPr>
          <w:szCs w:val="21"/>
        </w:rPr>
        <w:t>8.1 投标文件及供应商与采购人之间与投标有关的来往通知、函件和文件均应使用简体中文。除签名、盖章、专用名称等特殊情形外，以中文汉语以外的文字表述的投标文件视同未提供。供应商提交的支持文件和印刷的文献可以用另一种语言，但相应内容应附有中文翻译文本，在解释投标文件时以中文翻译文本为准。</w:t>
      </w:r>
    </w:p>
    <w:p>
      <w:pPr>
        <w:tabs>
          <w:tab w:val="left" w:pos="3780"/>
        </w:tabs>
        <w:spacing w:line="360" w:lineRule="auto"/>
        <w:ind w:firstLine="420" w:firstLineChars="200"/>
        <w:rPr>
          <w:szCs w:val="21"/>
        </w:rPr>
      </w:pPr>
      <w:r>
        <w:rPr>
          <w:szCs w:val="21"/>
        </w:rPr>
        <w:t>8.2 除招标文件另有规定外，投标文件所使用的计量单位，均须采用中华人民共和国法定计量单位，</w:t>
      </w:r>
      <w:r>
        <w:rPr>
          <w:b/>
          <w:szCs w:val="21"/>
        </w:rPr>
        <w:t>否则视同未响应。</w:t>
      </w:r>
    </w:p>
    <w:p>
      <w:pPr>
        <w:tabs>
          <w:tab w:val="left" w:pos="3780"/>
        </w:tabs>
        <w:spacing w:line="360" w:lineRule="auto"/>
        <w:ind w:firstLine="422" w:firstLineChars="200"/>
        <w:rPr>
          <w:b/>
          <w:szCs w:val="21"/>
        </w:rPr>
      </w:pPr>
      <w:r>
        <w:rPr>
          <w:b/>
          <w:szCs w:val="21"/>
        </w:rPr>
        <w:t>9．投标文件构成</w:t>
      </w:r>
    </w:p>
    <w:p>
      <w:pPr>
        <w:tabs>
          <w:tab w:val="left" w:pos="3780"/>
        </w:tabs>
        <w:spacing w:line="360" w:lineRule="auto"/>
        <w:ind w:firstLine="420" w:firstLineChars="200"/>
        <w:rPr>
          <w:b/>
          <w:szCs w:val="21"/>
        </w:rPr>
      </w:pPr>
      <w:r>
        <w:rPr>
          <w:szCs w:val="21"/>
        </w:rPr>
        <w:t>供应商向采购人递交的每一标项的投标文件，均由报价文件、商务文件及技术文件三部分组成。</w:t>
      </w:r>
      <w:r>
        <w:rPr>
          <w:b/>
          <w:szCs w:val="21"/>
        </w:rPr>
        <w:t>第一册为：报价文件，第二册为：商务文件和技术文件，第三册为：资格审查文件。</w:t>
      </w:r>
    </w:p>
    <w:p>
      <w:pPr>
        <w:tabs>
          <w:tab w:val="left" w:pos="3780"/>
        </w:tabs>
        <w:spacing w:line="360" w:lineRule="auto"/>
        <w:ind w:firstLine="422" w:firstLineChars="200"/>
        <w:rPr>
          <w:b/>
          <w:szCs w:val="21"/>
        </w:rPr>
      </w:pPr>
      <w:r>
        <w:rPr>
          <w:b/>
          <w:szCs w:val="21"/>
        </w:rPr>
        <w:t>9.1报价文件：</w:t>
      </w:r>
    </w:p>
    <w:p>
      <w:pPr>
        <w:tabs>
          <w:tab w:val="left" w:pos="3780"/>
        </w:tabs>
        <w:spacing w:line="360" w:lineRule="auto"/>
        <w:ind w:firstLine="420" w:firstLineChars="200"/>
        <w:rPr>
          <w:szCs w:val="21"/>
        </w:rPr>
      </w:pPr>
      <w:r>
        <w:rPr>
          <w:szCs w:val="21"/>
        </w:rPr>
        <w:t>（1）投标函；</w:t>
      </w:r>
    </w:p>
    <w:p>
      <w:pPr>
        <w:tabs>
          <w:tab w:val="left" w:pos="3780"/>
        </w:tabs>
        <w:spacing w:line="360" w:lineRule="auto"/>
        <w:ind w:firstLine="420" w:firstLineChars="200"/>
        <w:rPr>
          <w:szCs w:val="21"/>
        </w:rPr>
      </w:pPr>
      <w:r>
        <w:rPr>
          <w:szCs w:val="21"/>
        </w:rPr>
        <w:t>（2）开标一览表；</w:t>
      </w:r>
    </w:p>
    <w:p>
      <w:pPr>
        <w:tabs>
          <w:tab w:val="left" w:pos="3780"/>
        </w:tabs>
        <w:spacing w:line="360" w:lineRule="auto"/>
        <w:ind w:firstLine="420" w:firstLineChars="200"/>
        <w:rPr>
          <w:szCs w:val="21"/>
        </w:rPr>
      </w:pPr>
      <w:r>
        <w:rPr>
          <w:szCs w:val="21"/>
        </w:rPr>
        <w:t>（3）分项报价表；</w:t>
      </w:r>
    </w:p>
    <w:p>
      <w:pPr>
        <w:tabs>
          <w:tab w:val="left" w:pos="3780"/>
        </w:tabs>
        <w:spacing w:line="360" w:lineRule="auto"/>
        <w:ind w:firstLine="420" w:firstLineChars="200"/>
        <w:rPr>
          <w:szCs w:val="21"/>
        </w:rPr>
      </w:pPr>
      <w:r>
        <w:rPr>
          <w:szCs w:val="21"/>
        </w:rPr>
        <w:t>（4）招标文件中要求的或供应商认为针对报价需要说明的其他文件及资料</w:t>
      </w:r>
    </w:p>
    <w:p>
      <w:pPr>
        <w:tabs>
          <w:tab w:val="left" w:pos="3780"/>
        </w:tabs>
        <w:spacing w:line="360" w:lineRule="auto"/>
        <w:ind w:firstLine="422" w:firstLineChars="200"/>
        <w:rPr>
          <w:b/>
          <w:szCs w:val="21"/>
        </w:rPr>
      </w:pPr>
      <w:r>
        <w:rPr>
          <w:b/>
          <w:szCs w:val="21"/>
        </w:rPr>
        <w:t>9.2商务文件：</w:t>
      </w:r>
    </w:p>
    <w:p>
      <w:pPr>
        <w:tabs>
          <w:tab w:val="left" w:pos="3780"/>
        </w:tabs>
        <w:spacing w:line="360" w:lineRule="auto"/>
        <w:ind w:firstLine="420" w:firstLineChars="200"/>
        <w:rPr>
          <w:szCs w:val="21"/>
        </w:rPr>
      </w:pPr>
      <w:r>
        <w:rPr>
          <w:szCs w:val="21"/>
        </w:rPr>
        <w:t>（1）法定代表人资格证明书及法定代表人授权书，同时须附法定代表人和授权代表的有效身份证复印件（法定代表人直接参加投标并对相应文件签字的，只需提供前者）；</w:t>
      </w:r>
    </w:p>
    <w:p>
      <w:pPr>
        <w:pStyle w:val="9"/>
        <w:kinsoku w:val="0"/>
        <w:overflowPunct w:val="0"/>
        <w:spacing w:after="0" w:line="360" w:lineRule="auto"/>
        <w:ind w:firstLine="525" w:firstLineChars="250"/>
        <w:rPr>
          <w:szCs w:val="21"/>
        </w:rPr>
      </w:pPr>
      <w:r>
        <w:rPr>
          <w:szCs w:val="21"/>
        </w:rPr>
        <w:t>（2）合同（商务）条款偏离表；</w:t>
      </w:r>
    </w:p>
    <w:p>
      <w:pPr>
        <w:pStyle w:val="9"/>
        <w:kinsoku w:val="0"/>
        <w:overflowPunct w:val="0"/>
        <w:spacing w:after="0" w:line="360" w:lineRule="auto"/>
        <w:ind w:firstLine="525" w:firstLineChars="250"/>
        <w:rPr>
          <w:szCs w:val="21"/>
        </w:rPr>
      </w:pPr>
      <w:r>
        <w:t>如果供应商在本偏离表中注明无偏离，评标结束后、签订采购合同前又认为其实际产品与招标商务需求不一致的，并以此为由拒不与采购人按采购需求与响应承诺签订政府采购合同的，供应商有未按照招标文件确定的事项签订政府采购合同的情形，依照政府采购法第七十七条 第一款的规定将被追究法律责任。</w:t>
      </w:r>
    </w:p>
    <w:p>
      <w:pPr>
        <w:pStyle w:val="9"/>
        <w:kinsoku w:val="0"/>
        <w:overflowPunct w:val="0"/>
        <w:spacing w:after="0" w:line="360" w:lineRule="auto"/>
        <w:ind w:firstLine="525" w:firstLineChars="250"/>
        <w:rPr>
          <w:szCs w:val="21"/>
        </w:rPr>
      </w:pPr>
      <w:r>
        <w:rPr>
          <w:szCs w:val="21"/>
        </w:rPr>
        <w:t>（3）公司介绍及供应商基本情况表；</w:t>
      </w:r>
    </w:p>
    <w:p>
      <w:pPr>
        <w:pStyle w:val="9"/>
        <w:kinsoku w:val="0"/>
        <w:overflowPunct w:val="0"/>
        <w:spacing w:after="0" w:line="360" w:lineRule="auto"/>
        <w:ind w:firstLine="525" w:firstLineChars="250"/>
        <w:rPr>
          <w:szCs w:val="21"/>
        </w:rPr>
      </w:pPr>
      <w:r>
        <w:rPr>
          <w:szCs w:val="21"/>
        </w:rPr>
        <w:t>（4）供应商的小微企业证明（如有）；</w:t>
      </w:r>
    </w:p>
    <w:p>
      <w:pPr>
        <w:pStyle w:val="9"/>
        <w:kinsoku w:val="0"/>
        <w:overflowPunct w:val="0"/>
        <w:spacing w:after="0" w:line="360" w:lineRule="auto"/>
        <w:ind w:firstLine="525" w:firstLineChars="250"/>
        <w:rPr>
          <w:spacing w:val="-10"/>
          <w:szCs w:val="21"/>
        </w:rPr>
      </w:pPr>
      <w:r>
        <w:rPr>
          <w:szCs w:val="21"/>
        </w:rPr>
        <w:t>（5）</w:t>
      </w:r>
      <w:r>
        <w:rPr>
          <w:spacing w:val="-10"/>
          <w:szCs w:val="21"/>
        </w:rPr>
        <w:t>供应商省级以上监狱管理局、戒毒管理局(含新疆生产建设兵团) 出具的属于监狱企业的证明文件（如有）；</w:t>
      </w:r>
    </w:p>
    <w:p>
      <w:pPr>
        <w:pStyle w:val="9"/>
        <w:kinsoku w:val="0"/>
        <w:overflowPunct w:val="0"/>
        <w:spacing w:after="0" w:line="360" w:lineRule="auto"/>
        <w:ind w:firstLine="525" w:firstLineChars="250"/>
        <w:rPr>
          <w:spacing w:val="-10"/>
          <w:szCs w:val="21"/>
        </w:rPr>
      </w:pPr>
      <w:r>
        <w:rPr>
          <w:szCs w:val="21"/>
        </w:rPr>
        <w:t>（6）</w:t>
      </w:r>
      <w:r>
        <w:rPr>
          <w:spacing w:val="-10"/>
          <w:szCs w:val="21"/>
        </w:rPr>
        <w:t>《残疾人福利性单位声明函》（如有）；</w:t>
      </w:r>
    </w:p>
    <w:p>
      <w:pPr>
        <w:tabs>
          <w:tab w:val="left" w:pos="3780"/>
        </w:tabs>
        <w:spacing w:line="360" w:lineRule="auto"/>
        <w:ind w:firstLine="525" w:firstLineChars="250"/>
        <w:rPr>
          <w:szCs w:val="21"/>
        </w:rPr>
      </w:pPr>
      <w:r>
        <w:rPr>
          <w:szCs w:val="21"/>
        </w:rPr>
        <w:t>（7）廉政承诺书；</w:t>
      </w:r>
    </w:p>
    <w:p>
      <w:pPr>
        <w:tabs>
          <w:tab w:val="left" w:pos="3780"/>
        </w:tabs>
        <w:spacing w:line="360" w:lineRule="auto"/>
        <w:ind w:firstLine="525" w:firstLineChars="250"/>
        <w:rPr>
          <w:szCs w:val="21"/>
        </w:rPr>
      </w:pPr>
      <w:r>
        <w:rPr>
          <w:szCs w:val="21"/>
        </w:rPr>
        <w:t>（8）投标人资质；</w:t>
      </w:r>
    </w:p>
    <w:p>
      <w:pPr>
        <w:tabs>
          <w:tab w:val="left" w:pos="3780"/>
        </w:tabs>
        <w:spacing w:line="360" w:lineRule="auto"/>
        <w:ind w:firstLine="525" w:firstLineChars="250"/>
        <w:rPr>
          <w:szCs w:val="21"/>
        </w:rPr>
      </w:pPr>
      <w:r>
        <w:rPr>
          <w:szCs w:val="21"/>
        </w:rPr>
        <w:t>（9）招标文件中要求的或供应商认为需要的其他商务文件、说明</w:t>
      </w:r>
    </w:p>
    <w:p>
      <w:pPr>
        <w:pStyle w:val="73"/>
        <w:spacing w:before="0"/>
        <w:ind w:firstLine="422"/>
        <w:rPr>
          <w:b/>
          <w:kern w:val="0"/>
          <w:sz w:val="21"/>
          <w:szCs w:val="21"/>
          <w:lang w:val="zh-CN"/>
        </w:rPr>
      </w:pPr>
      <w:r>
        <w:rPr>
          <w:b/>
          <w:kern w:val="0"/>
          <w:sz w:val="21"/>
          <w:szCs w:val="21"/>
          <w:lang w:val="zh-CN"/>
        </w:rPr>
        <w:t>9.3技术文件</w:t>
      </w:r>
    </w:p>
    <w:p>
      <w:pPr>
        <w:pStyle w:val="73"/>
        <w:spacing w:before="0"/>
        <w:ind w:firstLine="420"/>
        <w:rPr>
          <w:kern w:val="0"/>
          <w:sz w:val="21"/>
          <w:szCs w:val="21"/>
          <w:lang w:val="zh-CN"/>
        </w:rPr>
      </w:pPr>
      <w:r>
        <w:rPr>
          <w:kern w:val="0"/>
          <w:sz w:val="21"/>
          <w:szCs w:val="21"/>
          <w:lang w:val="zh-CN"/>
        </w:rPr>
        <w:t>（1）技术条款偏离说明；</w:t>
      </w:r>
    </w:p>
    <w:p>
      <w:pPr>
        <w:pStyle w:val="73"/>
        <w:spacing w:before="0"/>
        <w:ind w:firstLine="420"/>
        <w:rPr>
          <w:kern w:val="0"/>
          <w:sz w:val="21"/>
          <w:szCs w:val="21"/>
          <w:lang w:val="zh-CN"/>
        </w:rPr>
      </w:pPr>
      <w:r>
        <w:rPr>
          <w:kern w:val="0"/>
          <w:sz w:val="21"/>
          <w:szCs w:val="21"/>
          <w:lang w:val="zh-CN"/>
        </w:rPr>
        <w:t>如果供应商在本偏离表中注明无偏离，评标结束后、签订采购合同前又认为其实际产品与招标技术需求不一致的，并以此为由拒不与采购人按采购需求与响应承诺签订政府采购合同的，供应商有未按照招标文件确定的事项签订政府采购合同的情形，依照政府采购法第七十七条 第一款的规定将被追究法律责任。</w:t>
      </w:r>
    </w:p>
    <w:p>
      <w:pPr>
        <w:pStyle w:val="73"/>
        <w:spacing w:before="0"/>
        <w:ind w:firstLine="420"/>
        <w:rPr>
          <w:kern w:val="0"/>
          <w:sz w:val="21"/>
          <w:szCs w:val="21"/>
          <w:lang w:val="zh-CN"/>
        </w:rPr>
      </w:pPr>
      <w:r>
        <w:rPr>
          <w:kern w:val="0"/>
          <w:sz w:val="21"/>
          <w:szCs w:val="21"/>
          <w:lang w:val="zh-CN"/>
        </w:rPr>
        <w:t>（2）技术建议书；</w:t>
      </w:r>
    </w:p>
    <w:p>
      <w:pPr>
        <w:pStyle w:val="73"/>
        <w:spacing w:before="0"/>
        <w:ind w:firstLine="420"/>
        <w:rPr>
          <w:kern w:val="0"/>
          <w:sz w:val="21"/>
          <w:szCs w:val="21"/>
          <w:lang w:val="zh-CN"/>
        </w:rPr>
      </w:pPr>
      <w:r>
        <w:rPr>
          <w:kern w:val="0"/>
          <w:sz w:val="21"/>
          <w:szCs w:val="21"/>
          <w:lang w:val="zh-CN"/>
        </w:rPr>
        <w:t>（3）项目经验；</w:t>
      </w:r>
    </w:p>
    <w:p>
      <w:pPr>
        <w:pStyle w:val="73"/>
        <w:spacing w:before="0"/>
        <w:ind w:firstLine="420"/>
        <w:rPr>
          <w:kern w:val="0"/>
          <w:sz w:val="21"/>
          <w:szCs w:val="21"/>
          <w:lang w:val="zh-CN"/>
        </w:rPr>
      </w:pPr>
      <w:r>
        <w:rPr>
          <w:kern w:val="0"/>
          <w:sz w:val="21"/>
          <w:szCs w:val="21"/>
          <w:lang w:val="zh-CN"/>
        </w:rPr>
        <w:t>（4）有线、无线传输能力</w:t>
      </w:r>
    </w:p>
    <w:p>
      <w:pPr>
        <w:pStyle w:val="73"/>
        <w:spacing w:before="0"/>
        <w:ind w:firstLine="420"/>
        <w:rPr>
          <w:kern w:val="0"/>
          <w:sz w:val="21"/>
          <w:szCs w:val="21"/>
          <w:lang w:val="zh-CN"/>
        </w:rPr>
      </w:pPr>
      <w:r>
        <w:rPr>
          <w:kern w:val="0"/>
          <w:sz w:val="21"/>
          <w:szCs w:val="21"/>
          <w:lang w:val="zh-CN"/>
        </w:rPr>
        <w:t>（5）人脸识别系统资质</w:t>
      </w:r>
    </w:p>
    <w:p>
      <w:pPr>
        <w:pStyle w:val="73"/>
        <w:spacing w:before="0"/>
        <w:ind w:firstLine="420"/>
        <w:rPr>
          <w:kern w:val="0"/>
          <w:sz w:val="21"/>
          <w:szCs w:val="21"/>
          <w:lang w:val="zh-CN"/>
        </w:rPr>
      </w:pPr>
      <w:r>
        <w:rPr>
          <w:kern w:val="0"/>
          <w:sz w:val="21"/>
          <w:szCs w:val="21"/>
          <w:lang w:val="zh-CN"/>
        </w:rPr>
        <w:t>（6）投标产品环境、节能证明（如有）；</w:t>
      </w:r>
    </w:p>
    <w:p>
      <w:pPr>
        <w:pStyle w:val="73"/>
        <w:spacing w:before="0"/>
        <w:ind w:firstLine="420"/>
        <w:rPr>
          <w:kern w:val="0"/>
          <w:sz w:val="21"/>
          <w:szCs w:val="21"/>
          <w:lang w:val="zh-CN"/>
        </w:rPr>
      </w:pPr>
      <w:r>
        <w:rPr>
          <w:kern w:val="0"/>
          <w:sz w:val="21"/>
          <w:szCs w:val="21"/>
          <w:lang w:val="zh-CN"/>
        </w:rPr>
        <w:t>（7）招标文件中要求的或供应商认为需要的其他技术文件、说明</w:t>
      </w:r>
    </w:p>
    <w:p>
      <w:pPr>
        <w:pStyle w:val="73"/>
        <w:spacing w:before="0"/>
        <w:ind w:firstLine="422"/>
        <w:rPr>
          <w:b/>
          <w:kern w:val="0"/>
          <w:sz w:val="21"/>
          <w:szCs w:val="21"/>
          <w:lang w:val="zh-CN"/>
        </w:rPr>
      </w:pPr>
      <w:r>
        <w:rPr>
          <w:b/>
          <w:kern w:val="0"/>
          <w:sz w:val="21"/>
          <w:szCs w:val="21"/>
          <w:lang w:val="zh-CN"/>
        </w:rPr>
        <w:t>9.4 资格审查文件</w:t>
      </w:r>
    </w:p>
    <w:p>
      <w:pPr>
        <w:tabs>
          <w:tab w:val="left" w:pos="3360"/>
        </w:tabs>
        <w:spacing w:line="360" w:lineRule="auto"/>
        <w:ind w:firstLine="420" w:firstLineChars="200"/>
        <w:rPr>
          <w:szCs w:val="21"/>
        </w:rPr>
      </w:pPr>
      <w:r>
        <w:rPr>
          <w:szCs w:val="21"/>
        </w:rPr>
        <w:t>（1）资格审查申请函；</w:t>
      </w:r>
    </w:p>
    <w:p>
      <w:pPr>
        <w:tabs>
          <w:tab w:val="left" w:pos="3780"/>
        </w:tabs>
        <w:spacing w:line="360" w:lineRule="auto"/>
        <w:ind w:firstLine="420" w:firstLineChars="200"/>
        <w:rPr>
          <w:szCs w:val="21"/>
        </w:rPr>
      </w:pPr>
      <w:r>
        <w:rPr>
          <w:szCs w:val="21"/>
        </w:rPr>
        <w:t>（2）具有独立承担民事责任的能力；出具符合以下情况的证明材料复印件（五选一）：</w:t>
      </w:r>
    </w:p>
    <w:p>
      <w:pPr>
        <w:numPr>
          <w:ilvl w:val="0"/>
          <w:numId w:val="3"/>
        </w:numPr>
        <w:tabs>
          <w:tab w:val="left" w:pos="709"/>
          <w:tab w:val="left" w:pos="1134"/>
        </w:tabs>
        <w:spacing w:line="360" w:lineRule="auto"/>
        <w:ind w:left="0" w:firstLine="420"/>
        <w:rPr>
          <w:szCs w:val="21"/>
        </w:rPr>
      </w:pPr>
      <w:r>
        <w:rPr>
          <w:szCs w:val="21"/>
        </w:rPr>
        <w:t>如供应商是企业（包括合伙企业），提供在工商部门注册的有效“企业法人营业执照”或“营业执照”；</w:t>
      </w:r>
    </w:p>
    <w:p>
      <w:pPr>
        <w:numPr>
          <w:ilvl w:val="0"/>
          <w:numId w:val="3"/>
        </w:numPr>
        <w:tabs>
          <w:tab w:val="left" w:pos="709"/>
          <w:tab w:val="left" w:pos="1134"/>
        </w:tabs>
        <w:spacing w:line="360" w:lineRule="auto"/>
        <w:ind w:left="0" w:firstLine="420"/>
        <w:rPr>
          <w:szCs w:val="21"/>
        </w:rPr>
      </w:pPr>
      <w:r>
        <w:rPr>
          <w:szCs w:val="21"/>
        </w:rPr>
        <w:t>如供应商是事业单位，提供有效的“事业单位法人证书”；</w:t>
      </w:r>
    </w:p>
    <w:p>
      <w:pPr>
        <w:numPr>
          <w:ilvl w:val="0"/>
          <w:numId w:val="3"/>
        </w:numPr>
        <w:tabs>
          <w:tab w:val="left" w:pos="709"/>
          <w:tab w:val="left" w:pos="1134"/>
        </w:tabs>
        <w:spacing w:line="360" w:lineRule="auto"/>
        <w:ind w:left="0" w:firstLine="420"/>
        <w:rPr>
          <w:szCs w:val="21"/>
        </w:rPr>
      </w:pPr>
      <w:r>
        <w:rPr>
          <w:szCs w:val="21"/>
        </w:rPr>
        <w:t>如供应商是非企业专业服务机构的，提供执业许可证等证明文件；</w:t>
      </w:r>
    </w:p>
    <w:p>
      <w:pPr>
        <w:numPr>
          <w:ilvl w:val="0"/>
          <w:numId w:val="3"/>
        </w:numPr>
        <w:tabs>
          <w:tab w:val="left" w:pos="709"/>
          <w:tab w:val="left" w:pos="1134"/>
        </w:tabs>
        <w:spacing w:line="360" w:lineRule="auto"/>
        <w:ind w:left="0" w:firstLine="420"/>
        <w:rPr>
          <w:szCs w:val="21"/>
        </w:rPr>
      </w:pPr>
      <w:r>
        <w:rPr>
          <w:szCs w:val="21"/>
        </w:rPr>
        <w:t>如供应商是个体工商户，提供有效的“个体工商户营业执照”；</w:t>
      </w:r>
    </w:p>
    <w:p>
      <w:pPr>
        <w:numPr>
          <w:ilvl w:val="0"/>
          <w:numId w:val="3"/>
        </w:numPr>
        <w:tabs>
          <w:tab w:val="left" w:pos="709"/>
          <w:tab w:val="left" w:pos="1134"/>
        </w:tabs>
        <w:spacing w:line="360" w:lineRule="auto"/>
        <w:ind w:left="0" w:firstLine="420"/>
        <w:rPr>
          <w:szCs w:val="21"/>
        </w:rPr>
      </w:pPr>
      <w:r>
        <w:rPr>
          <w:szCs w:val="21"/>
        </w:rPr>
        <w:t>如供应商是自然人，提供有效的自然人身份证明（居民身份证正反面或公安机关出具的临时居民身份证正反面或港澳台胞证或护照）。</w:t>
      </w:r>
    </w:p>
    <w:p>
      <w:pPr>
        <w:tabs>
          <w:tab w:val="left" w:pos="3780"/>
        </w:tabs>
        <w:spacing w:line="360" w:lineRule="auto"/>
        <w:ind w:firstLine="525" w:firstLineChars="250"/>
        <w:rPr>
          <w:szCs w:val="21"/>
        </w:rPr>
      </w:pPr>
      <w:r>
        <w:rPr>
          <w:szCs w:val="21"/>
        </w:rPr>
        <w:t>（3）具有良好的商业信誉和健全的财务会计制度；</w:t>
      </w:r>
    </w:p>
    <w:p>
      <w:pPr>
        <w:numPr>
          <w:ilvl w:val="0"/>
          <w:numId w:val="4"/>
        </w:numPr>
        <w:tabs>
          <w:tab w:val="left" w:pos="709"/>
          <w:tab w:val="left" w:pos="1134"/>
        </w:tabs>
        <w:spacing w:line="360" w:lineRule="auto"/>
        <w:rPr>
          <w:szCs w:val="21"/>
        </w:rPr>
      </w:pPr>
      <w:r>
        <w:rPr>
          <w:szCs w:val="21"/>
        </w:rPr>
        <w:t>良好的商业信誉：</w:t>
      </w:r>
    </w:p>
    <w:p>
      <w:pPr>
        <w:tabs>
          <w:tab w:val="left" w:pos="3780"/>
        </w:tabs>
        <w:spacing w:line="360" w:lineRule="auto"/>
        <w:ind w:firstLine="475" w:firstLineChars="250"/>
        <w:rPr>
          <w:spacing w:val="-10"/>
          <w:szCs w:val="21"/>
        </w:rPr>
      </w:pPr>
      <w:r>
        <w:rPr>
          <w:spacing w:val="-10"/>
          <w:szCs w:val="21"/>
        </w:rPr>
        <w:t>未被“信用中国”（www.creditchina.gov.cn)、中国政府采购网（www.ccgp.gov.cn）列入失信被执行人、重大税收违法案件当事人名单、政府采购严重违法失信行为记录名单。【代理机构以开标当日查询“信用中国”网站（www.creditchina.gov.cn）、“中国政府采购网”（www.ccgp.gov.cn）结果为准】。</w:t>
      </w:r>
    </w:p>
    <w:p>
      <w:pPr>
        <w:tabs>
          <w:tab w:val="left" w:pos="3780"/>
        </w:tabs>
        <w:spacing w:line="360" w:lineRule="auto"/>
        <w:ind w:firstLine="475" w:firstLineChars="250"/>
        <w:rPr>
          <w:spacing w:val="-10"/>
          <w:szCs w:val="21"/>
        </w:rPr>
      </w:pPr>
      <w:r>
        <w:rPr>
          <w:spacing w:val="-10"/>
          <w:szCs w:val="21"/>
        </w:rPr>
        <w:t>对列入失信被执行人、重大税收违法案件当事人名单、政府采购严重违法失信行为记录名单的供应商，其投标将作无效标处理。</w:t>
      </w:r>
    </w:p>
    <w:p>
      <w:pPr>
        <w:tabs>
          <w:tab w:val="left" w:pos="3780"/>
        </w:tabs>
        <w:spacing w:line="360" w:lineRule="auto"/>
        <w:ind w:firstLine="475" w:firstLineChars="250"/>
        <w:rPr>
          <w:spacing w:val="-10"/>
          <w:szCs w:val="21"/>
        </w:rPr>
      </w:pPr>
      <w:r>
        <w:rPr>
          <w:spacing w:val="-10"/>
          <w:szCs w:val="21"/>
        </w:rPr>
        <w:t>若投标人未被列入“信用中国”或“中国政府采购网”网站，须提供情况说明，并承诺具有良好的信用记录，未被列入失信被执行人、重大税收违法案件当事人名单、政府采购严重违法失信行为记录名单（附承诺书原件并加盖公章，格式参照附6信用承诺书），否则其投标将作无效标处理。</w:t>
      </w:r>
    </w:p>
    <w:p>
      <w:pPr>
        <w:numPr>
          <w:ilvl w:val="0"/>
          <w:numId w:val="4"/>
        </w:numPr>
        <w:tabs>
          <w:tab w:val="left" w:pos="709"/>
          <w:tab w:val="left" w:pos="1134"/>
        </w:tabs>
        <w:spacing w:line="360" w:lineRule="auto"/>
        <w:rPr>
          <w:szCs w:val="21"/>
        </w:rPr>
      </w:pPr>
      <w:r>
        <w:rPr>
          <w:szCs w:val="21"/>
        </w:rPr>
        <w:t>健全的财务会计制度：</w:t>
      </w:r>
    </w:p>
    <w:p>
      <w:pPr>
        <w:tabs>
          <w:tab w:val="left" w:pos="3780"/>
        </w:tabs>
        <w:spacing w:line="360" w:lineRule="auto"/>
        <w:ind w:firstLine="475" w:firstLineChars="250"/>
        <w:rPr>
          <w:spacing w:val="-10"/>
          <w:szCs w:val="21"/>
        </w:rPr>
      </w:pPr>
      <w:r>
        <w:rPr>
          <w:spacing w:val="-10"/>
          <w:szCs w:val="21"/>
        </w:rPr>
        <w:t>出具符合以下情况的证明材料复印件（三选一）：</w:t>
      </w:r>
    </w:p>
    <w:p>
      <w:pPr>
        <w:tabs>
          <w:tab w:val="left" w:pos="3780"/>
        </w:tabs>
        <w:spacing w:line="360" w:lineRule="auto"/>
        <w:ind w:firstLine="477" w:firstLineChars="250"/>
        <w:rPr>
          <w:spacing w:val="-10"/>
          <w:szCs w:val="21"/>
        </w:rPr>
      </w:pPr>
      <w:r>
        <w:rPr>
          <w:b/>
          <w:spacing w:val="-10"/>
          <w:szCs w:val="21"/>
        </w:rPr>
        <w:t>供应商是法人的，</w:t>
      </w:r>
      <w:r>
        <w:rPr>
          <w:spacing w:val="-10"/>
          <w:szCs w:val="21"/>
        </w:rPr>
        <w:t>应提供最近一个年度经审计的财务报告，包括资产负债表、利润表、现金流量表(执行《小企业会计准则》的提供资产负债表和利润表两张基本报表），未经审计的，提供资产负债表、利润表或损益表。</w:t>
      </w:r>
    </w:p>
    <w:p>
      <w:pPr>
        <w:tabs>
          <w:tab w:val="left" w:pos="3780"/>
        </w:tabs>
        <w:spacing w:line="360" w:lineRule="auto"/>
        <w:ind w:firstLine="477" w:firstLineChars="250"/>
        <w:rPr>
          <w:spacing w:val="-10"/>
          <w:szCs w:val="21"/>
        </w:rPr>
      </w:pPr>
      <w:r>
        <w:rPr>
          <w:b/>
          <w:spacing w:val="-10"/>
          <w:szCs w:val="21"/>
        </w:rPr>
        <w:t>其他组织如没有经审计的财务报告的</w:t>
      </w:r>
      <w:r>
        <w:rPr>
          <w:spacing w:val="-10"/>
          <w:szCs w:val="21"/>
        </w:rPr>
        <w:t>，可以提供资产负债表、利润表、现金流量表。自然人提供近六个月银行流水单。</w:t>
      </w:r>
    </w:p>
    <w:p>
      <w:pPr>
        <w:tabs>
          <w:tab w:val="left" w:pos="3780"/>
        </w:tabs>
        <w:spacing w:line="360" w:lineRule="auto"/>
        <w:ind w:firstLine="477" w:firstLineChars="250"/>
        <w:rPr>
          <w:spacing w:val="-10"/>
          <w:szCs w:val="21"/>
        </w:rPr>
      </w:pPr>
      <w:r>
        <w:rPr>
          <w:b/>
          <w:spacing w:val="-10"/>
          <w:szCs w:val="21"/>
        </w:rPr>
        <w:t>新成立不足一年的公司</w:t>
      </w:r>
      <w:r>
        <w:rPr>
          <w:spacing w:val="-10"/>
          <w:szCs w:val="21"/>
        </w:rPr>
        <w:t>须出具情况说明、投标截止时间前一个月的资产负债表、利润表（或损益表）。</w:t>
      </w:r>
    </w:p>
    <w:p>
      <w:pPr>
        <w:tabs>
          <w:tab w:val="left" w:pos="3780"/>
        </w:tabs>
        <w:spacing w:line="360" w:lineRule="auto"/>
        <w:ind w:firstLine="420" w:firstLineChars="200"/>
        <w:rPr>
          <w:szCs w:val="21"/>
        </w:rPr>
      </w:pPr>
      <w:r>
        <w:rPr>
          <w:szCs w:val="21"/>
        </w:rPr>
        <w:t>（4）具有履行合同所必需的设备和专业技术能力；</w:t>
      </w:r>
    </w:p>
    <w:p>
      <w:pPr>
        <w:tabs>
          <w:tab w:val="left" w:pos="3780"/>
        </w:tabs>
        <w:spacing w:line="360" w:lineRule="auto"/>
        <w:ind w:firstLine="420" w:firstLineChars="200"/>
        <w:rPr>
          <w:szCs w:val="21"/>
        </w:rPr>
      </w:pPr>
      <w:r>
        <w:rPr>
          <w:szCs w:val="21"/>
        </w:rPr>
        <w:t>出具具有履行合同所必需的设备和专业技术能力的《承诺函》；（内容根据项目情况由供应商自定）</w:t>
      </w:r>
    </w:p>
    <w:p>
      <w:pPr>
        <w:tabs>
          <w:tab w:val="left" w:pos="3780"/>
        </w:tabs>
        <w:spacing w:line="360" w:lineRule="auto"/>
        <w:ind w:firstLine="420" w:firstLineChars="200"/>
        <w:rPr>
          <w:szCs w:val="21"/>
        </w:rPr>
      </w:pPr>
      <w:r>
        <w:rPr>
          <w:szCs w:val="21"/>
        </w:rPr>
        <w:t>特别说明：法律和国务院行政法规规定或授权有关部门规定供应商或产品进入市场须先行取得相关认证或许可的，供应商须在投标文件中提供相关的认证或许可证明材料。</w:t>
      </w:r>
    </w:p>
    <w:p>
      <w:pPr>
        <w:tabs>
          <w:tab w:val="left" w:pos="3780"/>
        </w:tabs>
        <w:spacing w:line="360" w:lineRule="auto"/>
        <w:ind w:firstLine="420" w:firstLineChars="200"/>
        <w:rPr>
          <w:szCs w:val="21"/>
        </w:rPr>
      </w:pPr>
      <w:r>
        <w:rPr>
          <w:szCs w:val="21"/>
        </w:rPr>
        <w:t>（5）有依法缴纳税收和社会保障资金的良好记录；</w:t>
      </w:r>
    </w:p>
    <w:p>
      <w:pPr>
        <w:tabs>
          <w:tab w:val="left" w:pos="3780"/>
        </w:tabs>
        <w:spacing w:line="360" w:lineRule="auto"/>
        <w:ind w:firstLine="420" w:firstLineChars="200"/>
        <w:rPr>
          <w:szCs w:val="21"/>
        </w:rPr>
      </w:pPr>
      <w:r>
        <w:rPr>
          <w:szCs w:val="21"/>
        </w:rPr>
        <w:t>须同时出具满足以下要求的证明材料复印件：</w:t>
      </w:r>
    </w:p>
    <w:p>
      <w:pPr>
        <w:numPr>
          <w:ilvl w:val="0"/>
          <w:numId w:val="5"/>
        </w:numPr>
        <w:tabs>
          <w:tab w:val="left" w:pos="709"/>
          <w:tab w:val="left" w:pos="1134"/>
        </w:tabs>
        <w:spacing w:line="360" w:lineRule="auto"/>
        <w:ind w:left="0" w:firstLine="475"/>
        <w:rPr>
          <w:szCs w:val="21"/>
        </w:rPr>
      </w:pPr>
      <w:r>
        <w:rPr>
          <w:szCs w:val="21"/>
        </w:rPr>
        <w:t>供应商须提供由税务部门出具的最近（投标截止期前6个月内任一期）缴纳增值税或企业所得税的纳税证明；“缴纳税收记录”为银行出具的缴税凭证或税务机关出具的证明（复印件，加盖公章）</w:t>
      </w:r>
    </w:p>
    <w:p>
      <w:pPr>
        <w:tabs>
          <w:tab w:val="left" w:pos="709"/>
          <w:tab w:val="left" w:pos="1134"/>
        </w:tabs>
        <w:spacing w:line="360" w:lineRule="auto"/>
        <w:ind w:firstLine="424" w:firstLineChars="202"/>
        <w:rPr>
          <w:szCs w:val="21"/>
        </w:rPr>
      </w:pPr>
      <w:r>
        <w:rPr>
          <w:szCs w:val="21"/>
        </w:rPr>
        <w:t>说明：a.企业成立不足三个月的，可以提供税务登记证复印件替代此项内容；</w:t>
      </w:r>
    </w:p>
    <w:p>
      <w:pPr>
        <w:tabs>
          <w:tab w:val="left" w:pos="709"/>
          <w:tab w:val="left" w:pos="1134"/>
        </w:tabs>
        <w:spacing w:line="360" w:lineRule="auto"/>
        <w:ind w:firstLine="424" w:firstLineChars="202"/>
        <w:rPr>
          <w:szCs w:val="21"/>
        </w:rPr>
      </w:pPr>
      <w:r>
        <w:rPr>
          <w:szCs w:val="21"/>
        </w:rPr>
        <w:t>b.特殊机构组织不能提供此项内容的，须提供有效的文件资料以证明该单位属于免税单位。</w:t>
      </w:r>
    </w:p>
    <w:p>
      <w:pPr>
        <w:numPr>
          <w:ilvl w:val="0"/>
          <w:numId w:val="5"/>
        </w:numPr>
        <w:tabs>
          <w:tab w:val="left" w:pos="709"/>
          <w:tab w:val="left" w:pos="1134"/>
        </w:tabs>
        <w:spacing w:line="360" w:lineRule="auto"/>
        <w:ind w:left="0" w:firstLine="475"/>
        <w:rPr>
          <w:szCs w:val="21"/>
        </w:rPr>
      </w:pPr>
      <w:r>
        <w:rPr>
          <w:szCs w:val="21"/>
        </w:rPr>
        <w:t>供应商须提供最近（投标截止期前6个月内任一期）缴纳社会保障资金的凭据（缴税付款凭证或社会保险缴纳证明）</w:t>
      </w:r>
    </w:p>
    <w:p>
      <w:pPr>
        <w:tabs>
          <w:tab w:val="left" w:pos="3780"/>
        </w:tabs>
        <w:spacing w:line="360" w:lineRule="auto"/>
        <w:ind w:firstLine="420" w:firstLineChars="200"/>
        <w:rPr>
          <w:szCs w:val="21"/>
        </w:rPr>
      </w:pPr>
      <w:r>
        <w:rPr>
          <w:szCs w:val="21"/>
        </w:rPr>
        <w:t xml:space="preserve">说明：a.社会保障资金缴纳记录是指社会统筹保险基金管理部门出具的基本养老保险对账单或加盖社会统筹保险基金管理部门公章的单位缴费明细，或企业缴费凭证（社保缴费发票或银行转账凭证等证明）。 </w:t>
      </w:r>
    </w:p>
    <w:p>
      <w:pPr>
        <w:tabs>
          <w:tab w:val="left" w:pos="3780"/>
        </w:tabs>
        <w:spacing w:line="360" w:lineRule="auto"/>
        <w:ind w:firstLine="420" w:firstLineChars="200"/>
        <w:rPr>
          <w:szCs w:val="21"/>
        </w:rPr>
      </w:pPr>
      <w:r>
        <w:rPr>
          <w:szCs w:val="21"/>
        </w:rPr>
        <w:t>b.供应商逐年缴纳社会保障资金的，可提供上年度企业缴费凭证复印件替代此项内容。</w:t>
      </w:r>
    </w:p>
    <w:p>
      <w:pPr>
        <w:tabs>
          <w:tab w:val="left" w:pos="3780"/>
        </w:tabs>
        <w:spacing w:line="360" w:lineRule="auto"/>
        <w:ind w:firstLine="420" w:firstLineChars="200"/>
        <w:rPr>
          <w:szCs w:val="21"/>
        </w:rPr>
      </w:pPr>
      <w:r>
        <w:rPr>
          <w:szCs w:val="21"/>
        </w:rPr>
        <w:t xml:space="preserve">c.企业成立不足三个月的，可以提供社会保险登记证复印件替代此项内容。 </w:t>
      </w:r>
    </w:p>
    <w:p>
      <w:pPr>
        <w:tabs>
          <w:tab w:val="left" w:pos="3780"/>
        </w:tabs>
        <w:spacing w:line="360" w:lineRule="auto"/>
        <w:ind w:firstLine="420" w:firstLineChars="200"/>
        <w:rPr>
          <w:szCs w:val="21"/>
        </w:rPr>
      </w:pPr>
      <w:r>
        <w:rPr>
          <w:szCs w:val="21"/>
        </w:rPr>
        <w:t>d.事业单位等机构组织不能提供此项内容的，须提供有效的文件资料以证明该单位不用进行社会保障资金缴纳。</w:t>
      </w:r>
    </w:p>
    <w:p>
      <w:pPr>
        <w:tabs>
          <w:tab w:val="left" w:pos="3780"/>
        </w:tabs>
        <w:spacing w:line="360" w:lineRule="auto"/>
        <w:ind w:firstLine="420" w:firstLineChars="200"/>
        <w:rPr>
          <w:szCs w:val="21"/>
        </w:rPr>
      </w:pPr>
      <w:r>
        <w:rPr>
          <w:szCs w:val="21"/>
        </w:rPr>
        <w:t>（6）参加政府采购活动前三年内，在经营活动中没有重大违法记录；</w:t>
      </w:r>
    </w:p>
    <w:p>
      <w:pPr>
        <w:pStyle w:val="9"/>
        <w:kinsoku w:val="0"/>
        <w:overflowPunct w:val="0"/>
        <w:spacing w:after="0" w:line="360" w:lineRule="auto"/>
        <w:ind w:firstLine="420" w:firstLineChars="200"/>
        <w:rPr>
          <w:szCs w:val="21"/>
        </w:rPr>
      </w:pPr>
      <w:r>
        <w:rPr>
          <w:szCs w:val="21"/>
        </w:rPr>
        <w:t>供应商参加政府采购活动前三年内，在经营活动中没有重大违法记录的书面声明；</w:t>
      </w:r>
    </w:p>
    <w:p>
      <w:pPr>
        <w:pStyle w:val="9"/>
        <w:kinsoku w:val="0"/>
        <w:overflowPunct w:val="0"/>
        <w:spacing w:after="0" w:line="360" w:lineRule="auto"/>
        <w:ind w:firstLine="420" w:firstLineChars="200"/>
        <w:rPr>
          <w:szCs w:val="21"/>
        </w:rPr>
      </w:pPr>
      <w:r>
        <w:rPr>
          <w:szCs w:val="21"/>
        </w:rPr>
        <w:t>（7）信用承诺书</w:t>
      </w:r>
    </w:p>
    <w:p>
      <w:pPr>
        <w:numPr>
          <w:ilvl w:val="0"/>
          <w:numId w:val="6"/>
        </w:numPr>
        <w:tabs>
          <w:tab w:val="left" w:pos="709"/>
          <w:tab w:val="left" w:pos="1134"/>
        </w:tabs>
        <w:spacing w:line="360" w:lineRule="auto"/>
        <w:ind w:left="0" w:firstLine="475"/>
        <w:rPr>
          <w:szCs w:val="21"/>
        </w:rPr>
      </w:pPr>
      <w:r>
        <w:rPr>
          <w:szCs w:val="21"/>
        </w:rPr>
        <w:t>“信用中国”网站的网页截屏中须显示供应商名称、查询时间（显示的查询时间范围须在本项目招标公告发布之日至投标截止日之间）、信用记录情况等主要内容。</w:t>
      </w:r>
    </w:p>
    <w:p>
      <w:pPr>
        <w:numPr>
          <w:ilvl w:val="0"/>
          <w:numId w:val="6"/>
        </w:numPr>
        <w:tabs>
          <w:tab w:val="left" w:pos="709"/>
          <w:tab w:val="left" w:pos="1134"/>
        </w:tabs>
        <w:spacing w:line="360" w:lineRule="auto"/>
        <w:ind w:left="0" w:firstLine="475"/>
        <w:rPr>
          <w:szCs w:val="21"/>
        </w:rPr>
      </w:pPr>
      <w:r>
        <w:rPr>
          <w:szCs w:val="21"/>
        </w:rPr>
        <w:t>中国政府采购网的网页截屏中须显示供应商名称、查询时间（显示的查询时间范围须在本项目招标公告发布之日至投标截止日之间）及政府采购严重违法失信行为情况。</w:t>
      </w:r>
    </w:p>
    <w:p>
      <w:pPr>
        <w:tabs>
          <w:tab w:val="left" w:pos="709"/>
          <w:tab w:val="left" w:pos="1134"/>
        </w:tabs>
        <w:spacing w:line="360" w:lineRule="auto"/>
        <w:ind w:firstLine="474" w:firstLineChars="226"/>
        <w:rPr>
          <w:szCs w:val="21"/>
        </w:rPr>
      </w:pPr>
      <w:r>
        <w:rPr>
          <w:szCs w:val="21"/>
        </w:rPr>
        <w:t>未列入失信名单的查询后显示“没有该企业的相关记录”、招标供应商名称及查询时间。</w:t>
      </w:r>
    </w:p>
    <w:p>
      <w:pPr>
        <w:tabs>
          <w:tab w:val="left" w:pos="709"/>
          <w:tab w:val="left" w:pos="1134"/>
        </w:tabs>
        <w:spacing w:line="360" w:lineRule="auto"/>
        <w:ind w:firstLine="474" w:firstLineChars="226"/>
        <w:rPr>
          <w:szCs w:val="21"/>
        </w:rPr>
      </w:pPr>
      <w:r>
        <w:rPr>
          <w:szCs w:val="21"/>
        </w:rPr>
        <w:t>被列入失信名单的查询后显示相关处罚信息。</w:t>
      </w:r>
    </w:p>
    <w:p>
      <w:pPr>
        <w:numPr>
          <w:ilvl w:val="0"/>
          <w:numId w:val="6"/>
        </w:numPr>
        <w:tabs>
          <w:tab w:val="left" w:pos="709"/>
          <w:tab w:val="left" w:pos="1134"/>
        </w:tabs>
        <w:spacing w:line="360" w:lineRule="auto"/>
        <w:ind w:left="0" w:firstLine="475"/>
        <w:rPr>
          <w:szCs w:val="21"/>
        </w:rPr>
      </w:pPr>
      <w:r>
        <w:rPr>
          <w:szCs w:val="21"/>
        </w:rPr>
        <w:t>如因供应商所属行业性质、网站信息收录、改版或供应商申报等其他客观原因，供应商无法提供上述截屏或提供的网页截屏未明确显示上述规定内容的，供应商应如实提供相关说明，评标时保留审核查询该供应商实际信用情况的权利，并根据供应商的说明或评标时查询到的实际信用情况等判定其是否符合财政部通知及招标文件的要求。</w:t>
      </w:r>
    </w:p>
    <w:p>
      <w:pPr>
        <w:pStyle w:val="9"/>
        <w:kinsoku w:val="0"/>
        <w:overflowPunct w:val="0"/>
        <w:spacing w:after="0" w:line="360" w:lineRule="auto"/>
        <w:ind w:firstLine="380" w:firstLineChars="200"/>
        <w:rPr>
          <w:kern w:val="0"/>
          <w:szCs w:val="21"/>
          <w:lang w:val="zh-CN"/>
        </w:rPr>
      </w:pPr>
      <w:r>
        <w:rPr>
          <w:spacing w:val="-10"/>
          <w:szCs w:val="21"/>
        </w:rPr>
        <w:t>（8）</w:t>
      </w:r>
      <w:r>
        <w:rPr>
          <w:szCs w:val="21"/>
        </w:rPr>
        <w:t>招标文件中要求的或供应商认为需要的其他资格审查文件、说明。</w:t>
      </w:r>
    </w:p>
    <w:p>
      <w:pPr>
        <w:pStyle w:val="73"/>
        <w:spacing w:before="0"/>
        <w:ind w:firstLine="422"/>
        <w:rPr>
          <w:kern w:val="0"/>
          <w:sz w:val="21"/>
          <w:szCs w:val="21"/>
          <w:lang w:val="zh-CN"/>
        </w:rPr>
      </w:pPr>
      <w:r>
        <w:rPr>
          <w:b/>
          <w:kern w:val="0"/>
          <w:sz w:val="21"/>
          <w:szCs w:val="21"/>
          <w:lang w:val="zh-CN"/>
        </w:rPr>
        <w:t>9.5 以上内容按照招标文件第五章附件所附格式填写。</w:t>
      </w:r>
      <w:r>
        <w:rPr>
          <w:kern w:val="0"/>
          <w:sz w:val="21"/>
          <w:szCs w:val="21"/>
          <w:lang w:val="zh-CN"/>
        </w:rPr>
        <w:t>没有提供格式的，供应商根据实际情况自行设计并编制。</w:t>
      </w:r>
    </w:p>
    <w:p>
      <w:pPr>
        <w:pStyle w:val="73"/>
        <w:spacing w:before="0"/>
        <w:ind w:firstLine="422"/>
        <w:rPr>
          <w:b/>
          <w:kern w:val="0"/>
          <w:sz w:val="21"/>
          <w:szCs w:val="21"/>
          <w:lang w:val="zh-CN"/>
        </w:rPr>
      </w:pPr>
      <w:r>
        <w:rPr>
          <w:b/>
          <w:kern w:val="0"/>
          <w:sz w:val="21"/>
          <w:szCs w:val="21"/>
          <w:lang w:val="zh-CN"/>
        </w:rPr>
        <w:t>10．投标函</w:t>
      </w:r>
    </w:p>
    <w:p>
      <w:pPr>
        <w:pStyle w:val="73"/>
        <w:spacing w:before="0"/>
        <w:ind w:firstLine="420"/>
        <w:rPr>
          <w:kern w:val="0"/>
          <w:sz w:val="21"/>
          <w:szCs w:val="21"/>
          <w:lang w:val="zh-CN"/>
        </w:rPr>
      </w:pPr>
      <w:r>
        <w:rPr>
          <w:kern w:val="0"/>
          <w:sz w:val="21"/>
          <w:szCs w:val="21"/>
          <w:lang w:val="zh-CN"/>
        </w:rPr>
        <w:t>10.1 供应商应完整地填写招标文件中提供的投标函和投标相关附件。</w:t>
      </w:r>
    </w:p>
    <w:p>
      <w:pPr>
        <w:pStyle w:val="73"/>
        <w:spacing w:before="0"/>
        <w:ind w:firstLine="420"/>
        <w:rPr>
          <w:kern w:val="0"/>
          <w:sz w:val="21"/>
          <w:szCs w:val="21"/>
          <w:lang w:val="zh-CN"/>
        </w:rPr>
      </w:pPr>
      <w:r>
        <w:rPr>
          <w:kern w:val="0"/>
          <w:sz w:val="21"/>
          <w:szCs w:val="21"/>
          <w:lang w:val="zh-CN"/>
        </w:rPr>
        <w:t>10.2 投标文件应当对招标文件中有关投标有效期、采购需求等实质性内容作出响应。供应商在满足招标文件实质性要求的基础上，可以提出比招标文件要求更有利于采购人的承诺。</w:t>
      </w:r>
    </w:p>
    <w:p>
      <w:pPr>
        <w:pStyle w:val="73"/>
        <w:spacing w:before="0"/>
        <w:ind w:firstLine="422"/>
        <w:rPr>
          <w:b/>
          <w:kern w:val="0"/>
          <w:sz w:val="21"/>
          <w:szCs w:val="21"/>
          <w:lang w:val="zh-CN"/>
        </w:rPr>
      </w:pPr>
      <w:r>
        <w:rPr>
          <w:b/>
          <w:kern w:val="0"/>
          <w:sz w:val="21"/>
          <w:szCs w:val="21"/>
          <w:lang w:val="zh-CN"/>
        </w:rPr>
        <w:t>11.供应商报价</w:t>
      </w:r>
    </w:p>
    <w:p>
      <w:pPr>
        <w:pStyle w:val="73"/>
        <w:spacing w:before="0"/>
        <w:ind w:firstLine="420"/>
        <w:rPr>
          <w:kern w:val="0"/>
          <w:sz w:val="21"/>
          <w:szCs w:val="21"/>
          <w:lang w:val="zh-CN"/>
        </w:rPr>
      </w:pPr>
      <w:r>
        <w:rPr>
          <w:kern w:val="0"/>
          <w:sz w:val="21"/>
          <w:szCs w:val="21"/>
          <w:lang w:val="zh-CN"/>
        </w:rPr>
        <w:t>11.1标的物</w:t>
      </w:r>
    </w:p>
    <w:p>
      <w:pPr>
        <w:pStyle w:val="73"/>
        <w:spacing w:before="0"/>
        <w:ind w:firstLine="420"/>
        <w:rPr>
          <w:kern w:val="0"/>
          <w:sz w:val="21"/>
          <w:szCs w:val="21"/>
          <w:lang w:val="zh-CN"/>
        </w:rPr>
      </w:pPr>
      <w:r>
        <w:rPr>
          <w:kern w:val="0"/>
          <w:sz w:val="21"/>
          <w:szCs w:val="21"/>
          <w:lang w:val="zh-CN"/>
        </w:rPr>
        <w:t>具体服务要求详见招标文件第三部分。</w:t>
      </w:r>
    </w:p>
    <w:p>
      <w:pPr>
        <w:pStyle w:val="73"/>
        <w:spacing w:before="0"/>
        <w:ind w:firstLine="420"/>
        <w:rPr>
          <w:kern w:val="0"/>
          <w:sz w:val="21"/>
          <w:szCs w:val="21"/>
          <w:lang w:val="zh-CN"/>
        </w:rPr>
      </w:pPr>
      <w:r>
        <w:rPr>
          <w:kern w:val="0"/>
          <w:sz w:val="21"/>
          <w:szCs w:val="21"/>
          <w:lang w:val="zh-CN"/>
        </w:rPr>
        <w:t>11.2报价</w:t>
      </w:r>
    </w:p>
    <w:p>
      <w:pPr>
        <w:pStyle w:val="73"/>
        <w:spacing w:before="0"/>
        <w:ind w:firstLine="420"/>
        <w:rPr>
          <w:kern w:val="0"/>
          <w:sz w:val="21"/>
          <w:szCs w:val="21"/>
          <w:lang w:val="zh-CN"/>
        </w:rPr>
      </w:pPr>
      <w:r>
        <w:rPr>
          <w:kern w:val="0"/>
          <w:sz w:val="21"/>
          <w:szCs w:val="21"/>
          <w:lang w:val="zh-CN"/>
        </w:rPr>
        <w:t>（1）本项目除甲方提供合同约定的配合内容外，其他均由乙方完成。</w:t>
      </w:r>
    </w:p>
    <w:p>
      <w:pPr>
        <w:pStyle w:val="73"/>
        <w:spacing w:before="0"/>
        <w:ind w:firstLine="420"/>
        <w:rPr>
          <w:kern w:val="0"/>
          <w:sz w:val="21"/>
          <w:szCs w:val="21"/>
          <w:lang w:val="zh-CN"/>
        </w:rPr>
      </w:pPr>
      <w:r>
        <w:rPr>
          <w:kern w:val="0"/>
          <w:sz w:val="21"/>
          <w:szCs w:val="21"/>
          <w:lang w:val="zh-CN"/>
        </w:rPr>
        <w:t>（2）本项目各标项的合同价是完成本项目采购范围及建设期的全部内容，包括本次采购的服务、固定费用（人工成本和管理成本）、利润、税金、政策性文件规定及合同包含的所有风险及责任等本项目实施所需的各项应有费用。</w:t>
      </w:r>
      <w:r>
        <w:rPr>
          <w:b/>
          <w:kern w:val="0"/>
          <w:sz w:val="21"/>
          <w:szCs w:val="21"/>
          <w:lang w:val="zh-CN"/>
        </w:rPr>
        <w:t>投标人须充分考虑实际服务内容和需求，针对自身实际情况，核算所需的成本及合理的利润，自行报价。</w:t>
      </w:r>
    </w:p>
    <w:p>
      <w:pPr>
        <w:pStyle w:val="73"/>
        <w:spacing w:before="0"/>
        <w:ind w:firstLine="420"/>
        <w:rPr>
          <w:kern w:val="0"/>
          <w:sz w:val="21"/>
          <w:szCs w:val="21"/>
          <w:lang w:val="zh-CN"/>
        </w:rPr>
      </w:pPr>
      <w:r>
        <w:rPr>
          <w:kern w:val="0"/>
          <w:sz w:val="21"/>
          <w:szCs w:val="21"/>
          <w:lang w:val="zh-CN"/>
        </w:rPr>
        <w:t>（3）采购人要求分类报价是为了方便采购，但在任何情况下不限制采购人其认为最合适的条款签订合同的权力。报价应按不同费用构成分开填写，具体详见“投标文件格式”。</w:t>
      </w:r>
    </w:p>
    <w:p>
      <w:pPr>
        <w:pStyle w:val="73"/>
        <w:spacing w:before="0"/>
        <w:ind w:firstLine="420"/>
        <w:rPr>
          <w:kern w:val="0"/>
          <w:sz w:val="21"/>
          <w:szCs w:val="21"/>
          <w:lang w:val="zh-CN"/>
        </w:rPr>
      </w:pPr>
      <w:r>
        <w:rPr>
          <w:kern w:val="0"/>
          <w:sz w:val="21"/>
          <w:szCs w:val="21"/>
          <w:lang w:val="zh-CN"/>
        </w:rPr>
        <w:t>（4）每项采购内容只允许有一个报价，有选择的报价采购人将不予接受。本项目只允许一次报价，不允许以开标后调整的报价作为评标的依据（但按本招标文件投标须知投标文件错误的修正并经评标委员会认定或经供应商确认同意的除外）。</w:t>
      </w:r>
    </w:p>
    <w:p>
      <w:pPr>
        <w:pStyle w:val="73"/>
        <w:spacing w:before="0"/>
        <w:ind w:firstLine="420"/>
        <w:rPr>
          <w:kern w:val="0"/>
          <w:sz w:val="21"/>
          <w:szCs w:val="21"/>
          <w:lang w:val="zh-CN"/>
        </w:rPr>
      </w:pPr>
      <w:r>
        <w:rPr>
          <w:kern w:val="0"/>
          <w:sz w:val="21"/>
          <w:szCs w:val="21"/>
          <w:lang w:val="zh-CN"/>
        </w:rPr>
        <w:t>11.3其它费用处理</w:t>
      </w:r>
    </w:p>
    <w:p>
      <w:pPr>
        <w:pStyle w:val="73"/>
        <w:spacing w:before="0"/>
        <w:ind w:firstLine="420"/>
        <w:rPr>
          <w:kern w:val="0"/>
          <w:sz w:val="21"/>
          <w:szCs w:val="21"/>
          <w:lang w:val="zh-CN"/>
        </w:rPr>
      </w:pPr>
      <w:r>
        <w:rPr>
          <w:kern w:val="0"/>
          <w:sz w:val="21"/>
          <w:szCs w:val="21"/>
          <w:lang w:val="zh-CN"/>
        </w:rPr>
        <w:t>招标文件未列明，而供应商认为必需的费用也包含在合同价内。</w:t>
      </w:r>
    </w:p>
    <w:p>
      <w:pPr>
        <w:pStyle w:val="73"/>
        <w:spacing w:before="0"/>
        <w:ind w:firstLine="420"/>
        <w:rPr>
          <w:kern w:val="0"/>
          <w:sz w:val="21"/>
          <w:szCs w:val="21"/>
          <w:lang w:val="zh-CN"/>
        </w:rPr>
      </w:pPr>
      <w:r>
        <w:rPr>
          <w:kern w:val="0"/>
          <w:sz w:val="21"/>
          <w:szCs w:val="21"/>
          <w:lang w:val="zh-CN"/>
        </w:rPr>
        <w:t>11.4货币</w:t>
      </w:r>
    </w:p>
    <w:p>
      <w:pPr>
        <w:pStyle w:val="73"/>
        <w:spacing w:before="0"/>
        <w:ind w:firstLine="420"/>
        <w:rPr>
          <w:kern w:val="0"/>
          <w:sz w:val="21"/>
          <w:szCs w:val="21"/>
          <w:lang w:val="zh-CN"/>
        </w:rPr>
      </w:pPr>
      <w:r>
        <w:rPr>
          <w:kern w:val="0"/>
          <w:sz w:val="21"/>
          <w:szCs w:val="21"/>
          <w:lang w:val="zh-CN"/>
        </w:rPr>
        <w:t>投标文件中价格全部采用人民币报价。</w:t>
      </w:r>
      <w:bookmarkStart w:id="22" w:name="_Hlt75236011"/>
      <w:bookmarkEnd w:id="22"/>
      <w:bookmarkStart w:id="23" w:name="_Toc91899884"/>
    </w:p>
    <w:bookmarkEnd w:id="23"/>
    <w:p>
      <w:pPr>
        <w:pStyle w:val="73"/>
        <w:spacing w:before="0"/>
        <w:ind w:firstLine="422"/>
        <w:rPr>
          <w:b/>
          <w:kern w:val="0"/>
          <w:sz w:val="21"/>
          <w:szCs w:val="21"/>
          <w:lang w:val="zh-CN"/>
        </w:rPr>
      </w:pPr>
      <w:bookmarkStart w:id="24" w:name="_Toc91899887"/>
      <w:r>
        <w:rPr>
          <w:b/>
          <w:kern w:val="0"/>
          <w:sz w:val="21"/>
          <w:szCs w:val="21"/>
          <w:lang w:val="zh-CN"/>
        </w:rPr>
        <w:t>12. 投标有效期</w:t>
      </w:r>
    </w:p>
    <w:p>
      <w:pPr>
        <w:pStyle w:val="73"/>
        <w:spacing w:before="0"/>
        <w:ind w:firstLine="420"/>
        <w:rPr>
          <w:kern w:val="0"/>
          <w:sz w:val="21"/>
          <w:szCs w:val="21"/>
          <w:lang w:val="zh-CN"/>
        </w:rPr>
      </w:pPr>
      <w:r>
        <w:rPr>
          <w:kern w:val="0"/>
          <w:sz w:val="21"/>
          <w:szCs w:val="21"/>
          <w:lang w:val="zh-CN"/>
        </w:rPr>
        <w:t>12.1投标文件合格投递后，自投标截止日期起，至前附表第16项所列的日期内有效。</w:t>
      </w:r>
    </w:p>
    <w:p>
      <w:pPr>
        <w:pStyle w:val="73"/>
        <w:spacing w:before="0"/>
        <w:ind w:firstLine="420"/>
        <w:rPr>
          <w:kern w:val="0"/>
          <w:sz w:val="21"/>
          <w:szCs w:val="21"/>
          <w:lang w:val="zh-CN"/>
        </w:rPr>
      </w:pPr>
      <w:r>
        <w:rPr>
          <w:kern w:val="0"/>
          <w:sz w:val="21"/>
          <w:szCs w:val="21"/>
          <w:lang w:val="zh-CN"/>
        </w:rPr>
        <w:t>12.2在原定投标有效期满之前，如果出现特殊情况，采购人可以以书面形式向供应商提出延长投标有效期的要求。这种要求与答复均应采用书面形式如传真或信件等。供应商可以拒绝接受采购人的这种要求而放弃投标。接受延长投标有效期的供应商将不会被要求和允许修正其投标。同时受投标有限期约束的所有权力和义务均延长至新的有限期。</w:t>
      </w:r>
    </w:p>
    <w:p>
      <w:pPr>
        <w:pStyle w:val="73"/>
        <w:spacing w:before="0"/>
        <w:ind w:firstLine="420"/>
        <w:rPr>
          <w:kern w:val="0"/>
          <w:sz w:val="21"/>
          <w:szCs w:val="21"/>
          <w:lang w:val="zh-CN"/>
        </w:rPr>
      </w:pPr>
      <w:r>
        <w:rPr>
          <w:kern w:val="0"/>
          <w:sz w:val="21"/>
          <w:szCs w:val="21"/>
          <w:lang w:val="zh-CN"/>
        </w:rPr>
        <w:t>12.3 中标人的投标文件自开标之日起至合同履行完毕止均应保持有效。</w:t>
      </w:r>
    </w:p>
    <w:p>
      <w:pPr>
        <w:pStyle w:val="73"/>
        <w:spacing w:before="0"/>
        <w:ind w:firstLine="422"/>
        <w:rPr>
          <w:b/>
          <w:kern w:val="0"/>
          <w:sz w:val="21"/>
          <w:szCs w:val="21"/>
          <w:lang w:val="zh-CN"/>
        </w:rPr>
      </w:pPr>
      <w:r>
        <w:rPr>
          <w:b/>
          <w:kern w:val="0"/>
          <w:sz w:val="21"/>
          <w:szCs w:val="21"/>
          <w:lang w:val="zh-CN"/>
        </w:rPr>
        <w:t>13. 投标保证金</w:t>
      </w:r>
    </w:p>
    <w:p>
      <w:pPr>
        <w:pStyle w:val="73"/>
        <w:spacing w:before="0"/>
        <w:ind w:firstLine="420"/>
        <w:rPr>
          <w:kern w:val="0"/>
          <w:sz w:val="21"/>
          <w:szCs w:val="21"/>
          <w:lang w:val="zh-CN"/>
        </w:rPr>
      </w:pPr>
      <w:r>
        <w:rPr>
          <w:kern w:val="0"/>
          <w:sz w:val="21"/>
          <w:szCs w:val="21"/>
          <w:lang w:val="zh-CN"/>
        </w:rPr>
        <w:t>本项目不收取投标保证金。</w:t>
      </w:r>
    </w:p>
    <w:p>
      <w:pPr>
        <w:pStyle w:val="73"/>
        <w:spacing w:before="0"/>
        <w:ind w:firstLine="422"/>
        <w:rPr>
          <w:b/>
          <w:kern w:val="0"/>
          <w:sz w:val="21"/>
          <w:szCs w:val="21"/>
          <w:lang w:val="zh-CN"/>
        </w:rPr>
      </w:pPr>
      <w:r>
        <w:rPr>
          <w:b/>
          <w:kern w:val="0"/>
          <w:sz w:val="21"/>
          <w:szCs w:val="21"/>
          <w:lang w:val="zh-CN"/>
        </w:rPr>
        <w:t>14. 投标文件的编制</w:t>
      </w:r>
    </w:p>
    <w:bookmarkEnd w:id="24"/>
    <w:p>
      <w:pPr>
        <w:pStyle w:val="73"/>
        <w:spacing w:before="0"/>
        <w:ind w:firstLine="420"/>
        <w:rPr>
          <w:sz w:val="21"/>
          <w:szCs w:val="21"/>
        </w:rPr>
      </w:pPr>
      <w:bookmarkStart w:id="25" w:name="_Hlt68403820"/>
      <w:bookmarkEnd w:id="25"/>
      <w:bookmarkStart w:id="26" w:name="_Hlt68072998"/>
      <w:bookmarkEnd w:id="26"/>
      <w:bookmarkStart w:id="27" w:name="_Hlt68073093"/>
      <w:bookmarkEnd w:id="27"/>
      <w:bookmarkStart w:id="28" w:name="_Toc86216991"/>
      <w:bookmarkStart w:id="29" w:name="_Toc91899892"/>
      <w:r>
        <w:rPr>
          <w:sz w:val="21"/>
          <w:szCs w:val="21"/>
        </w:rPr>
        <w:t>14.1“电子加密投标文件”：</w:t>
      </w:r>
    </w:p>
    <w:p>
      <w:pPr>
        <w:pStyle w:val="73"/>
        <w:spacing w:before="0"/>
        <w:ind w:firstLine="420"/>
        <w:rPr>
          <w:sz w:val="21"/>
          <w:szCs w:val="21"/>
        </w:rPr>
      </w:pPr>
      <w:r>
        <w:rPr>
          <w:sz w:val="21"/>
          <w:szCs w:val="21"/>
        </w:rPr>
        <w:t>（1）“电子加密投标文件”是指通过“政采云电子交易客户端”完成投标文件编制后生成并加密的数据电文形式的投标文件。</w:t>
      </w:r>
    </w:p>
    <w:p>
      <w:pPr>
        <w:pStyle w:val="73"/>
        <w:spacing w:before="0"/>
        <w:ind w:firstLine="420"/>
        <w:rPr>
          <w:sz w:val="21"/>
          <w:szCs w:val="21"/>
        </w:rPr>
      </w:pPr>
      <w:r>
        <w:rPr>
          <w:sz w:val="21"/>
          <w:szCs w:val="21"/>
        </w:rPr>
        <w:t>（2）供应商应先安装“政采云电子交易客户端”，并按照本招标文件和“政府采购云平台”的要求，通过“政采云电子交易客户端”编制并加密投标文件。</w:t>
      </w:r>
    </w:p>
    <w:p>
      <w:pPr>
        <w:pStyle w:val="73"/>
        <w:spacing w:before="0"/>
        <w:ind w:firstLine="420"/>
        <w:rPr>
          <w:sz w:val="21"/>
          <w:szCs w:val="21"/>
        </w:rPr>
      </w:pPr>
      <w:r>
        <w:rPr>
          <w:sz w:val="21"/>
          <w:szCs w:val="21"/>
        </w:rPr>
        <w:t>14.2“电子备份投标文件”：</w:t>
      </w:r>
    </w:p>
    <w:p>
      <w:pPr>
        <w:pStyle w:val="73"/>
        <w:spacing w:before="0"/>
        <w:ind w:firstLine="420"/>
        <w:rPr>
          <w:sz w:val="21"/>
          <w:szCs w:val="21"/>
        </w:rPr>
      </w:pPr>
      <w:r>
        <w:rPr>
          <w:sz w:val="21"/>
          <w:szCs w:val="21"/>
        </w:rPr>
        <w:t>（1）“电子备份投标文件”是指与“电子加密投标文件”同时生成的数据电文形式的电子文件。</w:t>
      </w:r>
    </w:p>
    <w:p>
      <w:pPr>
        <w:pStyle w:val="73"/>
        <w:spacing w:before="0"/>
        <w:ind w:firstLine="420"/>
        <w:rPr>
          <w:sz w:val="21"/>
          <w:szCs w:val="21"/>
        </w:rPr>
      </w:pPr>
      <w:r>
        <w:rPr>
          <w:sz w:val="21"/>
          <w:szCs w:val="21"/>
        </w:rPr>
        <w:t>（2）供应商可自主选择是否编制“电子备份投标文件”。</w:t>
      </w:r>
    </w:p>
    <w:p>
      <w:pPr>
        <w:pStyle w:val="73"/>
        <w:spacing w:before="0"/>
        <w:ind w:firstLine="420"/>
        <w:rPr>
          <w:sz w:val="21"/>
          <w:szCs w:val="21"/>
        </w:rPr>
      </w:pPr>
      <w:r>
        <w:rPr>
          <w:sz w:val="21"/>
          <w:szCs w:val="21"/>
        </w:rPr>
        <w:t>（3）其他方式编制的备份投标文件视为无效备份投标文件。</w:t>
      </w:r>
    </w:p>
    <w:p>
      <w:pPr>
        <w:spacing w:after="60" w:afterLines="25" w:line="520" w:lineRule="exact"/>
        <w:ind w:firstLine="424" w:firstLineChars="176"/>
        <w:jc w:val="left"/>
        <w:outlineLvl w:val="2"/>
        <w:rPr>
          <w:b/>
          <w:bCs/>
          <w:sz w:val="24"/>
        </w:rPr>
      </w:pPr>
      <w:r>
        <w:rPr>
          <w:b/>
          <w:bCs/>
          <w:sz w:val="24"/>
        </w:rPr>
        <w:t>(四)投标文件的递交</w:t>
      </w:r>
      <w:bookmarkEnd w:id="28"/>
    </w:p>
    <w:p>
      <w:pPr>
        <w:pStyle w:val="73"/>
        <w:spacing w:before="0"/>
        <w:ind w:firstLine="422"/>
        <w:rPr>
          <w:b/>
          <w:kern w:val="0"/>
          <w:sz w:val="21"/>
          <w:szCs w:val="21"/>
          <w:lang w:val="zh-CN"/>
        </w:rPr>
      </w:pPr>
      <w:r>
        <w:rPr>
          <w:b/>
          <w:kern w:val="0"/>
          <w:sz w:val="21"/>
          <w:szCs w:val="21"/>
          <w:lang w:val="zh-CN"/>
        </w:rPr>
        <w:t>15. 投标文件的密封与标志</w:t>
      </w:r>
    </w:p>
    <w:p>
      <w:pPr>
        <w:pStyle w:val="73"/>
        <w:spacing w:before="0"/>
        <w:ind w:firstLine="420"/>
        <w:rPr>
          <w:sz w:val="21"/>
          <w:szCs w:val="21"/>
        </w:rPr>
      </w:pPr>
      <w:r>
        <w:rPr>
          <w:sz w:val="21"/>
          <w:szCs w:val="21"/>
        </w:rPr>
        <w:t>15.1“电子加密投标文件”的递交：在线上传递交。</w:t>
      </w:r>
    </w:p>
    <w:p>
      <w:pPr>
        <w:pStyle w:val="73"/>
        <w:spacing w:before="0"/>
        <w:ind w:firstLine="420"/>
        <w:rPr>
          <w:sz w:val="21"/>
          <w:szCs w:val="21"/>
        </w:rPr>
      </w:pPr>
      <w:r>
        <w:rPr>
          <w:sz w:val="21"/>
          <w:szCs w:val="21"/>
        </w:rPr>
        <w:t>（1）供应商应在投标截止时间前将“电子加密投标文件”成功上传递交至“政</w:t>
      </w:r>
    </w:p>
    <w:p>
      <w:pPr>
        <w:pStyle w:val="73"/>
        <w:spacing w:before="0"/>
        <w:ind w:firstLine="420"/>
        <w:rPr>
          <w:sz w:val="21"/>
          <w:szCs w:val="21"/>
        </w:rPr>
      </w:pPr>
      <w:r>
        <w:rPr>
          <w:sz w:val="21"/>
          <w:szCs w:val="21"/>
        </w:rPr>
        <w:t>府采购云平台”，否则投标无效。</w:t>
      </w:r>
    </w:p>
    <w:p>
      <w:pPr>
        <w:pStyle w:val="73"/>
        <w:spacing w:before="0"/>
        <w:ind w:firstLine="420"/>
        <w:rPr>
          <w:sz w:val="21"/>
          <w:szCs w:val="21"/>
        </w:rPr>
      </w:pPr>
      <w:r>
        <w:rPr>
          <w:sz w:val="21"/>
          <w:szCs w:val="21"/>
        </w:rPr>
        <w:t>（2）“电子加密投标文件”成功上传递交后，供应商可自行打印投标文件接</w:t>
      </w:r>
    </w:p>
    <w:p>
      <w:pPr>
        <w:pStyle w:val="73"/>
        <w:spacing w:before="0"/>
        <w:ind w:firstLine="420"/>
        <w:rPr>
          <w:sz w:val="21"/>
          <w:szCs w:val="21"/>
        </w:rPr>
      </w:pPr>
      <w:r>
        <w:rPr>
          <w:sz w:val="21"/>
          <w:szCs w:val="21"/>
        </w:rPr>
        <w:t>收回执。</w:t>
      </w:r>
    </w:p>
    <w:p>
      <w:pPr>
        <w:pStyle w:val="73"/>
        <w:spacing w:before="0"/>
        <w:ind w:firstLine="420"/>
        <w:rPr>
          <w:sz w:val="21"/>
          <w:szCs w:val="21"/>
        </w:rPr>
      </w:pPr>
      <w:r>
        <w:rPr>
          <w:sz w:val="21"/>
          <w:szCs w:val="21"/>
        </w:rPr>
        <w:t>15.2“电子备份投标文件”的密封、包装和递交：</w:t>
      </w:r>
    </w:p>
    <w:p>
      <w:pPr>
        <w:pStyle w:val="73"/>
        <w:spacing w:before="0"/>
        <w:ind w:firstLine="420"/>
        <w:rPr>
          <w:sz w:val="21"/>
          <w:szCs w:val="21"/>
        </w:rPr>
      </w:pPr>
      <w:r>
        <w:rPr>
          <w:sz w:val="21"/>
          <w:szCs w:val="21"/>
        </w:rPr>
        <w:t>（1）供应商可自主选择是否递交“电子备份投标文件”。</w:t>
      </w:r>
    </w:p>
    <w:p>
      <w:pPr>
        <w:pStyle w:val="73"/>
        <w:spacing w:before="0"/>
        <w:ind w:firstLine="420"/>
        <w:rPr>
          <w:sz w:val="21"/>
          <w:szCs w:val="21"/>
        </w:rPr>
      </w:pPr>
      <w:r>
        <w:rPr>
          <w:sz w:val="21"/>
          <w:szCs w:val="21"/>
        </w:rPr>
        <w:t>（2）“电子备份投标文件”存入U盘（一份）。</w:t>
      </w:r>
    </w:p>
    <w:p>
      <w:pPr>
        <w:pStyle w:val="73"/>
        <w:spacing w:before="0"/>
        <w:ind w:firstLine="420"/>
        <w:rPr>
          <w:sz w:val="21"/>
          <w:szCs w:val="21"/>
        </w:rPr>
      </w:pPr>
      <w:r>
        <w:rPr>
          <w:sz w:val="21"/>
          <w:szCs w:val="21"/>
        </w:rPr>
        <w:t>（3）“电子备份投标文件” 应当在投标截止时间前以邮寄或送达方式递交。</w:t>
      </w:r>
    </w:p>
    <w:p>
      <w:pPr>
        <w:pStyle w:val="73"/>
        <w:spacing w:before="0"/>
        <w:ind w:firstLine="420"/>
        <w:rPr>
          <w:sz w:val="21"/>
          <w:szCs w:val="21"/>
        </w:rPr>
      </w:pPr>
      <w:r>
        <w:rPr>
          <w:sz w:val="21"/>
          <w:szCs w:val="21"/>
        </w:rPr>
        <w:t>（4）“电子备投标应文件”应当密封包装，并在包装上标注项目编号、采购项目名称、投标单位名称并加盖公章（详见第六章投标件格式）。没有密封包装或者逾期送达至新昌县公安局的“电子备份投标文件”将不予接收。</w:t>
      </w:r>
    </w:p>
    <w:p>
      <w:pPr>
        <w:pStyle w:val="73"/>
        <w:spacing w:before="0"/>
        <w:ind w:firstLine="422"/>
        <w:rPr>
          <w:b/>
          <w:kern w:val="0"/>
          <w:sz w:val="21"/>
          <w:szCs w:val="21"/>
          <w:lang w:val="zh-CN"/>
        </w:rPr>
      </w:pPr>
      <w:r>
        <w:rPr>
          <w:b/>
          <w:kern w:val="0"/>
          <w:sz w:val="21"/>
          <w:szCs w:val="21"/>
          <w:lang w:val="zh-CN"/>
        </w:rPr>
        <w:t>16. 投标截止时间</w:t>
      </w:r>
    </w:p>
    <w:p>
      <w:pPr>
        <w:pStyle w:val="73"/>
        <w:snapToGrid w:val="0"/>
        <w:spacing w:before="0"/>
        <w:ind w:firstLine="420"/>
        <w:rPr>
          <w:sz w:val="21"/>
          <w:szCs w:val="21"/>
        </w:rPr>
      </w:pPr>
      <w:r>
        <w:rPr>
          <w:sz w:val="21"/>
          <w:szCs w:val="21"/>
        </w:rPr>
        <w:t>16.1 供应商应按前附表规定的日期、时间和地点递交投标文件。</w:t>
      </w:r>
      <w:r>
        <w:rPr>
          <w:bCs/>
          <w:sz w:val="21"/>
          <w:szCs w:val="21"/>
        </w:rPr>
        <w:t>逾期送达将予以拒收。</w:t>
      </w:r>
    </w:p>
    <w:p>
      <w:pPr>
        <w:pStyle w:val="73"/>
        <w:snapToGrid w:val="0"/>
        <w:spacing w:before="0"/>
        <w:ind w:firstLine="420"/>
        <w:rPr>
          <w:sz w:val="21"/>
          <w:szCs w:val="21"/>
        </w:rPr>
      </w:pPr>
      <w:r>
        <w:rPr>
          <w:sz w:val="21"/>
          <w:szCs w:val="21"/>
        </w:rPr>
        <w:t>16.2 采购人收到投标文件的时间不得迟于供应商须知前附表中规定的投标截止时间。</w:t>
      </w:r>
    </w:p>
    <w:p>
      <w:pPr>
        <w:pStyle w:val="73"/>
        <w:snapToGrid w:val="0"/>
        <w:spacing w:before="0"/>
        <w:ind w:firstLine="420"/>
        <w:rPr>
          <w:sz w:val="21"/>
          <w:szCs w:val="21"/>
        </w:rPr>
      </w:pPr>
      <w:r>
        <w:rPr>
          <w:sz w:val="21"/>
          <w:szCs w:val="21"/>
        </w:rPr>
        <w:t>16.3 采购人可以按本须知第7条规定，通过修改招标文件适当延长投标截止日期。在此情况下，采购人与供应商受投标截止期制约的所有权利和义务均应延长至新的截止期。</w:t>
      </w:r>
    </w:p>
    <w:p>
      <w:pPr>
        <w:pStyle w:val="73"/>
        <w:spacing w:before="0"/>
        <w:ind w:firstLine="422"/>
        <w:rPr>
          <w:b/>
          <w:kern w:val="0"/>
          <w:sz w:val="21"/>
          <w:szCs w:val="21"/>
          <w:lang w:val="zh-CN"/>
        </w:rPr>
      </w:pPr>
      <w:r>
        <w:rPr>
          <w:b/>
          <w:kern w:val="0"/>
          <w:sz w:val="21"/>
          <w:szCs w:val="21"/>
          <w:lang w:val="zh-CN"/>
        </w:rPr>
        <w:t>17. 投标文件的修改与撤回</w:t>
      </w:r>
    </w:p>
    <w:bookmarkEnd w:id="29"/>
    <w:p>
      <w:pPr>
        <w:adjustRightInd w:val="0"/>
        <w:snapToGrid w:val="0"/>
        <w:spacing w:line="360" w:lineRule="auto"/>
        <w:ind w:firstLine="420" w:firstLineChars="200"/>
        <w:rPr>
          <w:szCs w:val="21"/>
        </w:rPr>
      </w:pPr>
      <w:r>
        <w:rPr>
          <w:szCs w:val="21"/>
        </w:rPr>
        <w:t>17.1供应商在投标截止时间前可以补充、修改或者撤回投标文件。</w:t>
      </w:r>
    </w:p>
    <w:p>
      <w:pPr>
        <w:adjustRightInd w:val="0"/>
        <w:snapToGrid w:val="0"/>
        <w:spacing w:line="360" w:lineRule="auto"/>
        <w:ind w:firstLine="420" w:firstLineChars="200"/>
        <w:rPr>
          <w:szCs w:val="21"/>
        </w:rPr>
      </w:pPr>
      <w:r>
        <w:rPr>
          <w:szCs w:val="21"/>
        </w:rPr>
        <w:t>17.2补充或者修改投标文件的，应当先行撤回原投标文件，补充、修改后重新上传递交。</w:t>
      </w:r>
    </w:p>
    <w:p>
      <w:pPr>
        <w:adjustRightInd w:val="0"/>
        <w:snapToGrid w:val="0"/>
        <w:spacing w:line="360" w:lineRule="auto"/>
        <w:ind w:firstLine="420" w:firstLineChars="200"/>
        <w:rPr>
          <w:szCs w:val="21"/>
        </w:rPr>
      </w:pPr>
      <w:r>
        <w:rPr>
          <w:szCs w:val="21"/>
        </w:rPr>
        <w:t>17.3投标截止时间前未完成上传的，视为撤回投标文件。</w:t>
      </w:r>
    </w:p>
    <w:p>
      <w:pPr>
        <w:adjustRightInd w:val="0"/>
        <w:snapToGrid w:val="0"/>
        <w:spacing w:line="360" w:lineRule="auto"/>
        <w:ind w:firstLine="422" w:firstLineChars="200"/>
        <w:rPr>
          <w:b/>
          <w:snapToGrid w:val="0"/>
          <w:kern w:val="0"/>
          <w:szCs w:val="21"/>
        </w:rPr>
      </w:pPr>
      <w:r>
        <w:rPr>
          <w:b/>
          <w:kern w:val="0"/>
          <w:szCs w:val="21"/>
          <w:lang w:val="zh-CN"/>
        </w:rPr>
        <w:t>18.</w:t>
      </w:r>
      <w:r>
        <w:rPr>
          <w:b/>
          <w:snapToGrid w:val="0"/>
          <w:kern w:val="0"/>
          <w:szCs w:val="21"/>
        </w:rPr>
        <w:t xml:space="preserve"> 无效投标的认定</w:t>
      </w:r>
    </w:p>
    <w:p>
      <w:pPr>
        <w:pStyle w:val="73"/>
        <w:snapToGrid w:val="0"/>
        <w:spacing w:before="0"/>
        <w:ind w:firstLine="420"/>
        <w:rPr>
          <w:sz w:val="21"/>
          <w:szCs w:val="21"/>
        </w:rPr>
      </w:pPr>
      <w:r>
        <w:rPr>
          <w:sz w:val="21"/>
          <w:szCs w:val="21"/>
        </w:rPr>
        <w:t>实质上没有响应招标文件要求的投标将被视为无效投标。供应商不得通过修正或撤销不满足要求的偏离或保留从而使其投标成为实质上响应的投标，但经评标委员会认定属于供应商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spacing w:after="60" w:afterLines="25" w:line="520" w:lineRule="exact"/>
        <w:ind w:firstLine="424" w:firstLineChars="176"/>
        <w:jc w:val="left"/>
        <w:outlineLvl w:val="2"/>
        <w:rPr>
          <w:b/>
          <w:bCs/>
          <w:sz w:val="24"/>
        </w:rPr>
      </w:pPr>
      <w:bookmarkStart w:id="30" w:name="_Toc91899897"/>
      <w:r>
        <w:rPr>
          <w:b/>
          <w:bCs/>
          <w:sz w:val="24"/>
        </w:rPr>
        <w:t>(五)开标</w:t>
      </w:r>
      <w:bookmarkEnd w:id="30"/>
      <w:r>
        <w:rPr>
          <w:b/>
          <w:bCs/>
          <w:sz w:val="24"/>
        </w:rPr>
        <w:t>与评标</w:t>
      </w:r>
    </w:p>
    <w:p>
      <w:pPr>
        <w:pStyle w:val="73"/>
        <w:spacing w:before="0"/>
        <w:ind w:firstLine="422"/>
        <w:rPr>
          <w:b/>
          <w:kern w:val="0"/>
          <w:sz w:val="21"/>
          <w:szCs w:val="21"/>
          <w:lang w:val="zh-CN"/>
        </w:rPr>
      </w:pPr>
      <w:r>
        <w:rPr>
          <w:b/>
          <w:kern w:val="0"/>
          <w:sz w:val="21"/>
          <w:szCs w:val="21"/>
          <w:lang w:val="zh-CN"/>
        </w:rPr>
        <w:t>19.开标</w:t>
      </w:r>
    </w:p>
    <w:p>
      <w:pPr>
        <w:pStyle w:val="73"/>
        <w:snapToGrid w:val="0"/>
        <w:spacing w:before="0"/>
        <w:ind w:firstLine="420"/>
        <w:rPr>
          <w:sz w:val="21"/>
          <w:szCs w:val="21"/>
        </w:rPr>
      </w:pPr>
      <w:r>
        <w:rPr>
          <w:sz w:val="21"/>
          <w:szCs w:val="21"/>
        </w:rPr>
        <w:t>19.1开标第一阶段</w:t>
      </w:r>
    </w:p>
    <w:p>
      <w:pPr>
        <w:pStyle w:val="73"/>
        <w:snapToGrid w:val="0"/>
        <w:spacing w:before="0"/>
        <w:ind w:firstLine="420"/>
        <w:rPr>
          <w:sz w:val="21"/>
          <w:szCs w:val="21"/>
        </w:rPr>
      </w:pPr>
      <w:r>
        <w:rPr>
          <w:sz w:val="21"/>
          <w:szCs w:val="21"/>
        </w:rPr>
        <w:t>（1）向各投标供应商发出电子加密投标文件【开始解密】通知，各投标供应商代表应当在接到解密通知后30分钟内自行完成“电子加密投标文件”的在线解密。投标供应商在规定的时间内无法完成“电子加密投标文件”解密的，如投标供应商按规定递交 “电子备份投标文件”的，则由采购组织机构按“政府采购云平台”操作规范将“电子备份投标文件”上传至“政府采购云平台”。上传成功后，以“电子备份投标文件”参与评标，“电子加密投标文件”自动失效。如投标供应商未按规定递交“电子备份投标文件”的，视为投标文件撤回。</w:t>
      </w:r>
    </w:p>
    <w:p>
      <w:pPr>
        <w:pStyle w:val="73"/>
        <w:snapToGrid w:val="0"/>
        <w:spacing w:before="0"/>
        <w:ind w:firstLine="420"/>
        <w:rPr>
          <w:sz w:val="21"/>
          <w:szCs w:val="21"/>
        </w:rPr>
      </w:pPr>
      <w:r>
        <w:rPr>
          <w:sz w:val="21"/>
          <w:szCs w:val="21"/>
        </w:rPr>
        <w:t>（2）开启资格证明文件、商务技术文件。</w:t>
      </w:r>
    </w:p>
    <w:p>
      <w:pPr>
        <w:pStyle w:val="73"/>
        <w:snapToGrid w:val="0"/>
        <w:spacing w:before="0"/>
        <w:ind w:firstLine="420"/>
        <w:rPr>
          <w:sz w:val="21"/>
          <w:szCs w:val="21"/>
        </w:rPr>
      </w:pPr>
      <w:r>
        <w:rPr>
          <w:sz w:val="21"/>
          <w:szCs w:val="21"/>
        </w:rPr>
        <w:t>（3）进行资格审查。对通过资格审查的投标供应商进行符合性审查、商务技术评审；</w:t>
      </w:r>
    </w:p>
    <w:p>
      <w:pPr>
        <w:pStyle w:val="73"/>
        <w:snapToGrid w:val="0"/>
        <w:spacing w:before="0"/>
        <w:ind w:firstLine="420"/>
        <w:rPr>
          <w:sz w:val="21"/>
          <w:szCs w:val="21"/>
        </w:rPr>
      </w:pPr>
      <w:r>
        <w:rPr>
          <w:sz w:val="21"/>
          <w:szCs w:val="21"/>
        </w:rPr>
        <w:t>19.2开标第二阶段</w:t>
      </w:r>
    </w:p>
    <w:p>
      <w:pPr>
        <w:pStyle w:val="73"/>
        <w:snapToGrid w:val="0"/>
        <w:spacing w:before="0"/>
        <w:ind w:firstLine="420"/>
        <w:rPr>
          <w:sz w:val="21"/>
          <w:szCs w:val="21"/>
        </w:rPr>
      </w:pPr>
      <w:r>
        <w:rPr>
          <w:sz w:val="21"/>
          <w:szCs w:val="21"/>
        </w:rPr>
        <w:t>（1）资格审查、符合性审查、商务技术评审结束后，进入开标第二阶段。</w:t>
      </w:r>
    </w:p>
    <w:p>
      <w:pPr>
        <w:pStyle w:val="73"/>
        <w:snapToGrid w:val="0"/>
        <w:spacing w:before="0"/>
        <w:ind w:firstLine="420"/>
        <w:rPr>
          <w:sz w:val="21"/>
          <w:szCs w:val="21"/>
        </w:rPr>
      </w:pPr>
      <w:r>
        <w:rPr>
          <w:sz w:val="21"/>
          <w:szCs w:val="21"/>
        </w:rPr>
        <w:t>（2）通过电子交易平台公布无效供应商名单及导致无效的原因；公布有效供应商的名单及其资信商务得分、技术得分。</w:t>
      </w:r>
    </w:p>
    <w:p>
      <w:pPr>
        <w:pStyle w:val="73"/>
        <w:snapToGrid w:val="0"/>
        <w:spacing w:before="0"/>
        <w:ind w:firstLine="420"/>
        <w:rPr>
          <w:sz w:val="21"/>
          <w:szCs w:val="21"/>
        </w:rPr>
      </w:pPr>
      <w:r>
        <w:rPr>
          <w:sz w:val="21"/>
          <w:szCs w:val="21"/>
        </w:rPr>
        <w:t>（3）开启有效供应商的《报价文件》，系统形成开标记录。</w:t>
      </w:r>
    </w:p>
    <w:p>
      <w:pPr>
        <w:pStyle w:val="73"/>
        <w:snapToGrid w:val="0"/>
        <w:spacing w:before="0"/>
        <w:ind w:firstLine="420"/>
        <w:rPr>
          <w:sz w:val="21"/>
          <w:szCs w:val="21"/>
        </w:rPr>
      </w:pPr>
      <w:r>
        <w:rPr>
          <w:sz w:val="21"/>
          <w:szCs w:val="21"/>
        </w:rPr>
        <w:t>（4）价格评审。价格评审结束后，通过电子交易平台公布中标候选供应商名单。</w:t>
      </w:r>
    </w:p>
    <w:p>
      <w:pPr>
        <w:pStyle w:val="73"/>
        <w:spacing w:before="0"/>
        <w:ind w:firstLine="422"/>
        <w:rPr>
          <w:b/>
          <w:kern w:val="0"/>
          <w:sz w:val="21"/>
          <w:szCs w:val="21"/>
          <w:lang w:val="zh-CN"/>
        </w:rPr>
      </w:pPr>
      <w:r>
        <w:rPr>
          <w:b/>
          <w:kern w:val="0"/>
          <w:sz w:val="21"/>
          <w:szCs w:val="21"/>
          <w:lang w:val="zh-CN"/>
        </w:rPr>
        <w:t>20.评标</w:t>
      </w:r>
    </w:p>
    <w:p>
      <w:pPr>
        <w:pStyle w:val="73"/>
        <w:spacing w:before="0"/>
        <w:ind w:firstLine="422"/>
        <w:rPr>
          <w:b/>
          <w:kern w:val="0"/>
          <w:sz w:val="21"/>
          <w:szCs w:val="21"/>
          <w:lang w:val="zh-CN"/>
        </w:rPr>
      </w:pPr>
      <w:r>
        <w:rPr>
          <w:b/>
          <w:kern w:val="0"/>
          <w:sz w:val="21"/>
          <w:szCs w:val="21"/>
          <w:lang w:val="zh-CN"/>
        </w:rPr>
        <w:t>20.1 评标组织</w:t>
      </w:r>
    </w:p>
    <w:p>
      <w:pPr>
        <w:pStyle w:val="73"/>
        <w:snapToGrid w:val="0"/>
        <w:spacing w:before="0"/>
        <w:ind w:firstLine="420"/>
        <w:rPr>
          <w:sz w:val="21"/>
          <w:szCs w:val="21"/>
        </w:rPr>
      </w:pPr>
      <w:r>
        <w:rPr>
          <w:sz w:val="21"/>
          <w:szCs w:val="21"/>
        </w:rPr>
        <w:t>评标工作由采购人负责组织，依法组建由5人及以上奇数人员组成的评标委员会，负责对投标文件进行审查、质询、评审等。评标委员会由政府采购相关专家等组成，其中政府采购专家不得少于成员总数的三分之二。</w:t>
      </w:r>
    </w:p>
    <w:p>
      <w:pPr>
        <w:pStyle w:val="73"/>
        <w:snapToGrid w:val="0"/>
        <w:spacing w:before="0"/>
        <w:ind w:firstLine="420"/>
        <w:rPr>
          <w:sz w:val="21"/>
          <w:szCs w:val="21"/>
        </w:rPr>
      </w:pPr>
      <w:r>
        <w:rPr>
          <w:sz w:val="21"/>
          <w:szCs w:val="21"/>
        </w:rPr>
        <w:t>评标工作将在严格保密的情况下进行，评标委员会成员名单在定标前将保密。</w:t>
      </w:r>
    </w:p>
    <w:p>
      <w:pPr>
        <w:pStyle w:val="73"/>
        <w:spacing w:before="0"/>
        <w:ind w:firstLine="422"/>
        <w:rPr>
          <w:b/>
          <w:kern w:val="0"/>
          <w:sz w:val="21"/>
          <w:szCs w:val="21"/>
          <w:lang w:val="zh-CN"/>
        </w:rPr>
      </w:pPr>
      <w:r>
        <w:rPr>
          <w:b/>
          <w:kern w:val="0"/>
          <w:sz w:val="21"/>
          <w:szCs w:val="21"/>
          <w:lang w:val="zh-CN"/>
        </w:rPr>
        <w:t>20.2评标纪律</w:t>
      </w:r>
    </w:p>
    <w:p>
      <w:pPr>
        <w:adjustRightInd w:val="0"/>
        <w:snapToGrid w:val="0"/>
        <w:spacing w:line="360" w:lineRule="auto"/>
        <w:ind w:firstLine="420" w:firstLineChars="200"/>
        <w:rPr>
          <w:snapToGrid w:val="0"/>
          <w:kern w:val="0"/>
          <w:szCs w:val="21"/>
        </w:rPr>
      </w:pPr>
      <w:r>
        <w:rPr>
          <w:snapToGrid w:val="0"/>
          <w:kern w:val="0"/>
          <w:szCs w:val="21"/>
        </w:rPr>
        <w:t>（1）评标是招标工作的重要环节，评标工作在评标委员会内独立进行。评标委员会将按照评标原则的要求，公正、平等地对待所有供应商。</w:t>
      </w:r>
    </w:p>
    <w:p>
      <w:pPr>
        <w:adjustRightInd w:val="0"/>
        <w:snapToGrid w:val="0"/>
        <w:spacing w:line="360" w:lineRule="auto"/>
        <w:ind w:firstLine="420" w:firstLineChars="200"/>
        <w:rPr>
          <w:snapToGrid w:val="0"/>
          <w:kern w:val="0"/>
          <w:szCs w:val="21"/>
        </w:rPr>
      </w:pPr>
      <w:r>
        <w:rPr>
          <w:snapToGrid w:val="0"/>
          <w:kern w:val="0"/>
          <w:szCs w:val="21"/>
        </w:rPr>
        <w:t>（2）所有评标人员应忠于职守、廉洁自律、秉公办事、不徇私情。</w:t>
      </w:r>
    </w:p>
    <w:p>
      <w:pPr>
        <w:adjustRightInd w:val="0"/>
        <w:snapToGrid w:val="0"/>
        <w:spacing w:line="360" w:lineRule="auto"/>
        <w:ind w:firstLine="420" w:firstLineChars="200"/>
        <w:rPr>
          <w:snapToGrid w:val="0"/>
          <w:kern w:val="0"/>
          <w:szCs w:val="21"/>
        </w:rPr>
      </w:pPr>
      <w:r>
        <w:rPr>
          <w:snapToGrid w:val="0"/>
          <w:kern w:val="0"/>
          <w:szCs w:val="21"/>
        </w:rPr>
        <w:t>（3）评标人员不得接受或参加供应商或与投标有关的单位、组织或个人的有碍公务的宴请、娱乐活动等，不得以任何形式弄虚作假。</w:t>
      </w:r>
    </w:p>
    <w:p>
      <w:pPr>
        <w:adjustRightInd w:val="0"/>
        <w:snapToGrid w:val="0"/>
        <w:spacing w:line="360" w:lineRule="auto"/>
        <w:ind w:firstLine="420" w:firstLineChars="200"/>
        <w:rPr>
          <w:snapToGrid w:val="0"/>
          <w:kern w:val="0"/>
          <w:szCs w:val="21"/>
        </w:rPr>
      </w:pPr>
      <w:r>
        <w:rPr>
          <w:snapToGrid w:val="0"/>
          <w:kern w:val="0"/>
          <w:szCs w:val="21"/>
        </w:rPr>
        <w:t>（4）评标期间，评标人员不得随意出入评标地点、与外界通讯、会客等。</w:t>
      </w:r>
    </w:p>
    <w:p>
      <w:pPr>
        <w:adjustRightInd w:val="0"/>
        <w:snapToGrid w:val="0"/>
        <w:spacing w:line="360" w:lineRule="auto"/>
        <w:ind w:firstLine="420" w:firstLineChars="200"/>
        <w:rPr>
          <w:snapToGrid w:val="0"/>
          <w:kern w:val="0"/>
          <w:szCs w:val="21"/>
        </w:rPr>
      </w:pPr>
      <w:r>
        <w:rPr>
          <w:snapToGrid w:val="0"/>
          <w:kern w:val="0"/>
          <w:szCs w:val="21"/>
        </w:rPr>
        <w:t>（5）在投标文件的审查、澄清、评价和比较以及授予合同的过程中，供应商对采购人、采购代理机构人员及评标委员会成员施加影响的任何行为，都将导致被取消投标资格。</w:t>
      </w:r>
    </w:p>
    <w:p>
      <w:pPr>
        <w:adjustRightInd w:val="0"/>
        <w:snapToGrid w:val="0"/>
        <w:spacing w:line="360" w:lineRule="auto"/>
        <w:ind w:firstLine="420" w:firstLineChars="200"/>
        <w:rPr>
          <w:snapToGrid w:val="0"/>
          <w:kern w:val="0"/>
          <w:szCs w:val="21"/>
        </w:rPr>
      </w:pPr>
      <w:r>
        <w:rPr>
          <w:snapToGrid w:val="0"/>
          <w:kern w:val="0"/>
          <w:szCs w:val="21"/>
        </w:rPr>
        <w:t>（6）为保证评标的公正性，在评标过程中，评标委员会成员不得与供应商或与中标结果有利害关系的人进行私下接触。在评标工作结束后，凡与评标情况有接触的任何人，不得将评标情况扩散出评标委员会以外。</w:t>
      </w:r>
    </w:p>
    <w:p>
      <w:pPr>
        <w:adjustRightInd w:val="0"/>
        <w:snapToGrid w:val="0"/>
        <w:spacing w:line="360" w:lineRule="auto"/>
        <w:ind w:firstLine="420" w:firstLineChars="200"/>
        <w:rPr>
          <w:snapToGrid w:val="0"/>
          <w:kern w:val="0"/>
          <w:szCs w:val="21"/>
        </w:rPr>
      </w:pPr>
      <w:r>
        <w:rPr>
          <w:snapToGrid w:val="0"/>
          <w:kern w:val="0"/>
          <w:szCs w:val="21"/>
        </w:rPr>
        <w:t>（7）评标过程中，当发表结论性意见时，先听取专家评委意见，用户评委随后发表意见；评标专家对供应商的优劣情况，以及认为差异较大的情况等，应以书面意见作出真实、专业、诚恳负责的表述，不得违背客观、公正的原则。</w:t>
      </w:r>
    </w:p>
    <w:p>
      <w:pPr>
        <w:adjustRightInd w:val="0"/>
        <w:snapToGrid w:val="0"/>
        <w:spacing w:line="360" w:lineRule="auto"/>
        <w:ind w:firstLine="420" w:firstLineChars="200"/>
        <w:rPr>
          <w:snapToGrid w:val="0"/>
          <w:kern w:val="0"/>
          <w:szCs w:val="21"/>
        </w:rPr>
      </w:pPr>
      <w:r>
        <w:rPr>
          <w:snapToGrid w:val="0"/>
          <w:kern w:val="0"/>
          <w:szCs w:val="21"/>
        </w:rPr>
        <w:t>（8）评标结束后，各评标人员应将全部资料整理上交采购人，严禁将评标过程中的任何资料带出评标现场向供应商或其他单位提供。</w:t>
      </w:r>
    </w:p>
    <w:p>
      <w:pPr>
        <w:adjustRightInd w:val="0"/>
        <w:snapToGrid w:val="0"/>
        <w:spacing w:line="360" w:lineRule="auto"/>
        <w:ind w:firstLine="420" w:firstLineChars="200"/>
        <w:rPr>
          <w:snapToGrid w:val="0"/>
          <w:kern w:val="0"/>
          <w:szCs w:val="21"/>
        </w:rPr>
      </w:pPr>
      <w:r>
        <w:rPr>
          <w:snapToGrid w:val="0"/>
          <w:kern w:val="0"/>
          <w:szCs w:val="21"/>
        </w:rPr>
        <w:t>（9）在中标结果公布前应对评标委员会成员名单予以保密。</w:t>
      </w:r>
    </w:p>
    <w:p>
      <w:pPr>
        <w:adjustRightInd w:val="0"/>
        <w:snapToGrid w:val="0"/>
        <w:spacing w:line="360" w:lineRule="auto"/>
        <w:ind w:firstLine="420" w:firstLineChars="200"/>
        <w:rPr>
          <w:snapToGrid w:val="0"/>
          <w:kern w:val="0"/>
          <w:szCs w:val="21"/>
        </w:rPr>
      </w:pPr>
      <w:r>
        <w:rPr>
          <w:snapToGrid w:val="0"/>
          <w:kern w:val="0"/>
          <w:szCs w:val="21"/>
        </w:rPr>
        <w:t>（10）评标委员会对各供应商的商业秘密予以保密。</w:t>
      </w:r>
    </w:p>
    <w:p>
      <w:pPr>
        <w:adjustRightInd w:val="0"/>
        <w:snapToGrid w:val="0"/>
        <w:spacing w:line="360" w:lineRule="auto"/>
        <w:ind w:firstLine="420" w:firstLineChars="200"/>
        <w:rPr>
          <w:snapToGrid w:val="0"/>
          <w:kern w:val="0"/>
          <w:szCs w:val="21"/>
        </w:rPr>
      </w:pPr>
      <w:r>
        <w:rPr>
          <w:snapToGrid w:val="0"/>
          <w:kern w:val="0"/>
          <w:szCs w:val="21"/>
        </w:rPr>
        <w:t>（11）评标委员会成员应当客观、公正地履行职责，遵守职业道德，对所提出的评审意见承担个人责任。</w:t>
      </w:r>
    </w:p>
    <w:p>
      <w:pPr>
        <w:adjustRightInd w:val="0"/>
        <w:snapToGrid w:val="0"/>
        <w:spacing w:line="360" w:lineRule="auto"/>
        <w:ind w:firstLine="420" w:firstLineChars="200"/>
        <w:rPr>
          <w:snapToGrid w:val="0"/>
          <w:kern w:val="0"/>
          <w:szCs w:val="21"/>
        </w:rPr>
      </w:pPr>
      <w:r>
        <w:rPr>
          <w:snapToGrid w:val="0"/>
          <w:kern w:val="0"/>
          <w:szCs w:val="21"/>
        </w:rPr>
        <w:t>（12）在整个评标过程中，供应商企图影响招标结果的任何活动，可能导致其投标失败。如有违法行为，将依法追究其法律责任。</w:t>
      </w:r>
    </w:p>
    <w:p>
      <w:pPr>
        <w:pStyle w:val="73"/>
        <w:spacing w:before="0"/>
        <w:ind w:firstLine="422"/>
        <w:rPr>
          <w:b/>
          <w:kern w:val="0"/>
          <w:sz w:val="21"/>
          <w:szCs w:val="21"/>
          <w:lang w:val="zh-CN"/>
        </w:rPr>
      </w:pPr>
      <w:r>
        <w:rPr>
          <w:b/>
          <w:kern w:val="0"/>
          <w:sz w:val="21"/>
          <w:szCs w:val="21"/>
          <w:lang w:val="zh-CN"/>
        </w:rPr>
        <w:t>20.3评标办法</w:t>
      </w:r>
    </w:p>
    <w:p>
      <w:pPr>
        <w:pStyle w:val="73"/>
        <w:snapToGrid w:val="0"/>
        <w:spacing w:before="0"/>
        <w:ind w:firstLine="420"/>
        <w:rPr>
          <w:sz w:val="21"/>
          <w:szCs w:val="21"/>
        </w:rPr>
      </w:pPr>
      <w:r>
        <w:rPr>
          <w:sz w:val="21"/>
          <w:szCs w:val="21"/>
        </w:rPr>
        <w:t>本项目采用不公开方式评标，评标的依据为招标文件和投标文件。本次评标采用综合评分法，按标项分别进行评分，具体详见招标文件第六章“评标办法”。</w:t>
      </w:r>
    </w:p>
    <w:p>
      <w:pPr>
        <w:pStyle w:val="73"/>
        <w:spacing w:before="0"/>
        <w:ind w:firstLine="422"/>
        <w:rPr>
          <w:b/>
          <w:kern w:val="0"/>
          <w:sz w:val="21"/>
          <w:szCs w:val="21"/>
          <w:lang w:val="zh-CN"/>
        </w:rPr>
      </w:pPr>
      <w:r>
        <w:rPr>
          <w:b/>
          <w:kern w:val="0"/>
          <w:sz w:val="21"/>
          <w:szCs w:val="21"/>
          <w:lang w:val="zh-CN"/>
        </w:rPr>
        <w:t>20.4 评标程序</w:t>
      </w:r>
    </w:p>
    <w:p>
      <w:pPr>
        <w:pStyle w:val="73"/>
        <w:snapToGrid w:val="0"/>
        <w:spacing w:before="0"/>
        <w:ind w:firstLine="420"/>
        <w:rPr>
          <w:sz w:val="21"/>
          <w:szCs w:val="21"/>
        </w:rPr>
      </w:pPr>
      <w:r>
        <w:rPr>
          <w:sz w:val="21"/>
          <w:szCs w:val="21"/>
        </w:rPr>
        <w:t>（1）在评标专家中推选评标委员会组长。</w:t>
      </w:r>
    </w:p>
    <w:p>
      <w:pPr>
        <w:pStyle w:val="73"/>
        <w:snapToGrid w:val="0"/>
        <w:spacing w:before="0"/>
        <w:ind w:firstLine="420"/>
        <w:rPr>
          <w:sz w:val="21"/>
          <w:szCs w:val="21"/>
        </w:rPr>
      </w:pPr>
      <w:r>
        <w:rPr>
          <w:sz w:val="21"/>
          <w:szCs w:val="21"/>
        </w:rPr>
        <w:t>（2）评标委员会组长召集成员认真阅读招标文件以及相关补充、质疑、答复文件、项目书面说明等材料，熟悉采购项目的基本概况，采购项目的质量要求、数量、主要技术标准或服务需求，采购合同主要条款，投标无效情形，评标方法、评标依据、评标标准等。</w:t>
      </w:r>
    </w:p>
    <w:p>
      <w:pPr>
        <w:pStyle w:val="73"/>
        <w:snapToGrid w:val="0"/>
        <w:spacing w:before="0"/>
        <w:ind w:firstLine="420"/>
        <w:rPr>
          <w:sz w:val="21"/>
          <w:szCs w:val="21"/>
        </w:rPr>
      </w:pPr>
      <w:r>
        <w:rPr>
          <w:sz w:val="21"/>
          <w:szCs w:val="21"/>
        </w:rPr>
        <w:t>（3）采购人或者招标代理机构按标项对各投标人的资格进行审查，投标人资格条件不符合招标文件要求的投标无效，不再进入符合性审查。</w:t>
      </w:r>
    </w:p>
    <w:p>
      <w:pPr>
        <w:pStyle w:val="73"/>
        <w:snapToGrid w:val="0"/>
        <w:spacing w:before="0"/>
        <w:ind w:firstLine="420"/>
        <w:rPr>
          <w:sz w:val="21"/>
          <w:szCs w:val="21"/>
        </w:rPr>
      </w:pPr>
      <w:r>
        <w:rPr>
          <w:sz w:val="21"/>
          <w:szCs w:val="21"/>
        </w:rPr>
        <w:t>（4）评标委员会对各标项的投标文件的符合性进行审查，确定是否对招标文件作出了实质性响应。实质上没有响应招标文件要求的投标将被视为无效投标，不再进入下一阶段的评审。</w:t>
      </w:r>
    </w:p>
    <w:p>
      <w:pPr>
        <w:pStyle w:val="73"/>
        <w:snapToGrid w:val="0"/>
        <w:spacing w:before="0"/>
        <w:ind w:firstLine="420"/>
        <w:rPr>
          <w:sz w:val="21"/>
          <w:szCs w:val="21"/>
        </w:rPr>
      </w:pPr>
      <w:r>
        <w:rPr>
          <w:sz w:val="21"/>
          <w:szCs w:val="21"/>
        </w:rPr>
        <w:t>（5）评标专家按招标文件规定的评标方法和评标标准，依法独立对各标项的供应商投标文件进行评估、比较，并给予评价或打分，不受任何单位和个人的干预。</w:t>
      </w:r>
    </w:p>
    <w:p>
      <w:pPr>
        <w:pStyle w:val="73"/>
        <w:snapToGrid w:val="0"/>
        <w:spacing w:before="0"/>
        <w:ind w:firstLine="420"/>
        <w:rPr>
          <w:sz w:val="21"/>
          <w:szCs w:val="21"/>
        </w:rPr>
      </w:pPr>
      <w:r>
        <w:rPr>
          <w:sz w:val="21"/>
          <w:szCs w:val="21"/>
        </w:rPr>
        <w:t>（6）各投标人的得分为所有评委的有效评分的算术平均数，由指定专人进行计算复核。</w:t>
      </w:r>
    </w:p>
    <w:p>
      <w:pPr>
        <w:pStyle w:val="73"/>
        <w:snapToGrid w:val="0"/>
        <w:spacing w:before="0"/>
        <w:ind w:firstLine="420"/>
        <w:rPr>
          <w:sz w:val="21"/>
          <w:szCs w:val="21"/>
        </w:rPr>
      </w:pPr>
      <w:r>
        <w:rPr>
          <w:sz w:val="21"/>
          <w:szCs w:val="21"/>
        </w:rPr>
        <w:t>（7）评标委员会完成评标后，评标专家对各部分得分汇总，计算出各标项的最终得分。评标委员会按评标原则分别推荐各标项的中标候选人，同时起草评标报告。</w:t>
      </w:r>
    </w:p>
    <w:p>
      <w:pPr>
        <w:pStyle w:val="73"/>
        <w:snapToGrid w:val="0"/>
        <w:spacing w:before="0"/>
        <w:ind w:firstLine="420"/>
        <w:rPr>
          <w:sz w:val="21"/>
          <w:szCs w:val="21"/>
        </w:rPr>
      </w:pPr>
      <w:r>
        <w:rPr>
          <w:sz w:val="21"/>
          <w:szCs w:val="21"/>
        </w:rPr>
        <w:t>评标报告是评标委员会根据全体评标成员签字的原始评标记录和评标结果编写的报告，其主要内容包括：</w:t>
      </w:r>
    </w:p>
    <w:p>
      <w:pPr>
        <w:pStyle w:val="73"/>
        <w:snapToGrid w:val="0"/>
        <w:spacing w:before="0"/>
        <w:ind w:firstLine="420"/>
        <w:rPr>
          <w:sz w:val="21"/>
          <w:szCs w:val="21"/>
        </w:rPr>
      </w:pPr>
      <w:r>
        <w:rPr>
          <w:sz w:val="21"/>
          <w:szCs w:val="21"/>
        </w:rPr>
        <w:t>①招标公告刊登的媒体名称、开标日期和地点；</w:t>
      </w:r>
    </w:p>
    <w:p>
      <w:pPr>
        <w:pStyle w:val="73"/>
        <w:snapToGrid w:val="0"/>
        <w:spacing w:before="0"/>
        <w:ind w:firstLine="420"/>
        <w:rPr>
          <w:sz w:val="21"/>
          <w:szCs w:val="21"/>
        </w:rPr>
      </w:pPr>
      <w:r>
        <w:rPr>
          <w:sz w:val="21"/>
          <w:szCs w:val="21"/>
        </w:rPr>
        <w:t>②购买招标文件的供应商名单和评标委员会成员名单；</w:t>
      </w:r>
    </w:p>
    <w:p>
      <w:pPr>
        <w:pStyle w:val="73"/>
        <w:snapToGrid w:val="0"/>
        <w:spacing w:before="0"/>
        <w:ind w:firstLine="420"/>
        <w:rPr>
          <w:sz w:val="21"/>
          <w:szCs w:val="21"/>
        </w:rPr>
      </w:pPr>
      <w:r>
        <w:rPr>
          <w:sz w:val="21"/>
          <w:szCs w:val="21"/>
        </w:rPr>
        <w:t>③评标方法和标准；</w:t>
      </w:r>
    </w:p>
    <w:p>
      <w:pPr>
        <w:pStyle w:val="73"/>
        <w:snapToGrid w:val="0"/>
        <w:spacing w:before="0"/>
        <w:ind w:firstLine="420"/>
        <w:rPr>
          <w:sz w:val="21"/>
          <w:szCs w:val="21"/>
        </w:rPr>
      </w:pPr>
      <w:r>
        <w:rPr>
          <w:sz w:val="21"/>
          <w:szCs w:val="21"/>
        </w:rPr>
        <w:t>④开标记录和评标情况及说明，包括投标无效供应商名单及原因；</w:t>
      </w:r>
    </w:p>
    <w:p>
      <w:pPr>
        <w:pStyle w:val="73"/>
        <w:snapToGrid w:val="0"/>
        <w:spacing w:before="0"/>
        <w:ind w:firstLine="420"/>
        <w:rPr>
          <w:sz w:val="21"/>
          <w:szCs w:val="21"/>
        </w:rPr>
      </w:pPr>
      <w:r>
        <w:rPr>
          <w:sz w:val="21"/>
          <w:szCs w:val="21"/>
        </w:rPr>
        <w:t>⑤评标结果和中标候选人排序；</w:t>
      </w:r>
    </w:p>
    <w:p>
      <w:pPr>
        <w:pStyle w:val="73"/>
        <w:snapToGrid w:val="0"/>
        <w:spacing w:before="0"/>
        <w:ind w:firstLine="420"/>
        <w:rPr>
          <w:sz w:val="21"/>
          <w:szCs w:val="21"/>
        </w:rPr>
      </w:pPr>
      <w:r>
        <w:rPr>
          <w:sz w:val="21"/>
          <w:szCs w:val="21"/>
        </w:rPr>
        <w:t>⑥评标委员会的授标建议。</w:t>
      </w:r>
    </w:p>
    <w:p>
      <w:pPr>
        <w:pStyle w:val="73"/>
        <w:spacing w:before="0"/>
        <w:ind w:firstLine="422"/>
        <w:rPr>
          <w:b/>
          <w:kern w:val="0"/>
          <w:sz w:val="21"/>
          <w:szCs w:val="21"/>
          <w:lang w:val="zh-CN"/>
        </w:rPr>
      </w:pPr>
      <w:r>
        <w:rPr>
          <w:b/>
          <w:kern w:val="0"/>
          <w:sz w:val="21"/>
          <w:szCs w:val="21"/>
          <w:lang w:val="zh-CN"/>
        </w:rPr>
        <w:t>20.5澄清有关问题</w:t>
      </w:r>
    </w:p>
    <w:p>
      <w:pPr>
        <w:pStyle w:val="73"/>
        <w:snapToGrid w:val="0"/>
        <w:spacing w:before="0"/>
        <w:ind w:firstLine="420"/>
        <w:rPr>
          <w:sz w:val="21"/>
          <w:szCs w:val="21"/>
        </w:rPr>
      </w:pPr>
      <w:r>
        <w:rPr>
          <w:sz w:val="21"/>
          <w:szCs w:val="21"/>
        </w:rPr>
        <w:t>对投标文件中含义不明确、同类问题表述不一致或者有明显文字和计算错误的内容，评标委员会可以书面形式（应当由评标委员会专家签字）要求供应商作出必要的澄清、说明或者纠正。评标委员会的澄清内容及投标人的澄清、说明或者补正均通过电子交易平台交换数据电文。</w:t>
      </w:r>
    </w:p>
    <w:p>
      <w:pPr>
        <w:pStyle w:val="73"/>
        <w:snapToGrid w:val="0"/>
        <w:spacing w:before="0"/>
        <w:ind w:firstLine="420"/>
        <w:rPr>
          <w:sz w:val="21"/>
          <w:szCs w:val="21"/>
        </w:rPr>
      </w:pPr>
      <w:r>
        <w:rPr>
          <w:sz w:val="21"/>
          <w:szCs w:val="21"/>
        </w:rPr>
        <w:t>供应商接到评标委员会或评标委员会授权的评标工作人员的澄清要求或通知的电话后,请在规定时间之内赶到通知的指定地点接受澄清,如未能在规定时间之内达到指定地点的，视同该供应商自动放弃对投标文件的澄清,评标委员会对此所作的评标结果,其风险由供应商自行承担。</w:t>
      </w:r>
    </w:p>
    <w:p>
      <w:pPr>
        <w:pStyle w:val="73"/>
        <w:spacing w:before="0"/>
        <w:ind w:firstLine="422"/>
        <w:rPr>
          <w:b/>
          <w:kern w:val="0"/>
          <w:sz w:val="21"/>
          <w:szCs w:val="21"/>
          <w:lang w:val="zh-CN"/>
        </w:rPr>
      </w:pPr>
      <w:r>
        <w:rPr>
          <w:b/>
          <w:kern w:val="0"/>
          <w:sz w:val="21"/>
          <w:szCs w:val="21"/>
          <w:lang w:val="zh-CN"/>
        </w:rPr>
        <w:t>20.6错误修正</w:t>
      </w:r>
    </w:p>
    <w:p>
      <w:pPr>
        <w:pStyle w:val="73"/>
        <w:snapToGrid w:val="0"/>
        <w:spacing w:before="0"/>
        <w:ind w:firstLine="420"/>
        <w:rPr>
          <w:sz w:val="21"/>
          <w:szCs w:val="21"/>
        </w:rPr>
      </w:pPr>
      <w:r>
        <w:rPr>
          <w:sz w:val="21"/>
          <w:szCs w:val="21"/>
        </w:rPr>
        <w:t>投标文件如果出现计算或表达上的错误，按照下列规定修正：</w:t>
      </w:r>
    </w:p>
    <w:p>
      <w:pPr>
        <w:pStyle w:val="73"/>
        <w:snapToGrid w:val="0"/>
        <w:spacing w:before="0"/>
        <w:ind w:firstLine="420"/>
        <w:rPr>
          <w:sz w:val="21"/>
          <w:szCs w:val="21"/>
        </w:rPr>
      </w:pPr>
      <w:r>
        <w:rPr>
          <w:sz w:val="21"/>
          <w:szCs w:val="21"/>
        </w:rPr>
        <w:t>(1)投标文件中开标一览表(报价表)内容与投标文件中相应内容不一致的，以开标一览表(报价表)为准；</w:t>
      </w:r>
    </w:p>
    <w:p>
      <w:pPr>
        <w:pStyle w:val="73"/>
        <w:snapToGrid w:val="0"/>
        <w:spacing w:before="0"/>
        <w:ind w:firstLine="420"/>
        <w:rPr>
          <w:sz w:val="21"/>
          <w:szCs w:val="21"/>
        </w:rPr>
      </w:pPr>
      <w:r>
        <w:rPr>
          <w:sz w:val="21"/>
          <w:szCs w:val="21"/>
        </w:rPr>
        <w:t>(2)大写金额和小写金额不一致的，以大写金额为准；</w:t>
      </w:r>
    </w:p>
    <w:p>
      <w:pPr>
        <w:pStyle w:val="73"/>
        <w:snapToGrid w:val="0"/>
        <w:spacing w:before="0"/>
        <w:ind w:firstLine="420"/>
        <w:rPr>
          <w:sz w:val="21"/>
          <w:szCs w:val="21"/>
        </w:rPr>
      </w:pPr>
      <w:r>
        <w:rPr>
          <w:sz w:val="21"/>
          <w:szCs w:val="21"/>
        </w:rPr>
        <w:t>(3)单价金额小数点或者百分比有明显错位的，以开标一览表的总价为准，并修改单价；</w:t>
      </w:r>
    </w:p>
    <w:p>
      <w:pPr>
        <w:pStyle w:val="73"/>
        <w:snapToGrid w:val="0"/>
        <w:spacing w:before="0"/>
        <w:ind w:firstLine="420"/>
        <w:rPr>
          <w:sz w:val="21"/>
          <w:szCs w:val="21"/>
        </w:rPr>
      </w:pPr>
      <w:r>
        <w:rPr>
          <w:sz w:val="21"/>
          <w:szCs w:val="21"/>
        </w:rPr>
        <w:t>(4)投标总价与按单价汇总金额不一致的，以单价金额计算总价结果为准。</w:t>
      </w:r>
    </w:p>
    <w:p>
      <w:pPr>
        <w:pStyle w:val="73"/>
        <w:snapToGrid w:val="0"/>
        <w:spacing w:before="0"/>
        <w:ind w:firstLine="420"/>
        <w:rPr>
          <w:sz w:val="21"/>
          <w:szCs w:val="21"/>
        </w:rPr>
      </w:pPr>
      <w:r>
        <w:rPr>
          <w:sz w:val="21"/>
          <w:szCs w:val="21"/>
        </w:rPr>
        <w:t>同时出现两种以上不一致的，按照前款规定的顺序修正。修正后的报价按照财政部公布第87号令 《政府采购货物和服务招标投标管理办法》第五十一条第二款的规定经供应商确认后产生约束力。供应商不确认的，其投标无效。</w:t>
      </w:r>
    </w:p>
    <w:p>
      <w:pPr>
        <w:pStyle w:val="73"/>
        <w:spacing w:before="0"/>
        <w:ind w:firstLine="422"/>
        <w:rPr>
          <w:b/>
          <w:kern w:val="0"/>
          <w:sz w:val="21"/>
          <w:szCs w:val="21"/>
          <w:lang w:val="zh-CN"/>
        </w:rPr>
      </w:pPr>
      <w:r>
        <w:rPr>
          <w:b/>
          <w:kern w:val="0"/>
          <w:sz w:val="21"/>
          <w:szCs w:val="21"/>
          <w:lang w:val="zh-CN"/>
        </w:rPr>
        <w:t>21．废标</w:t>
      </w:r>
    </w:p>
    <w:p>
      <w:pPr>
        <w:pStyle w:val="73"/>
        <w:snapToGrid w:val="0"/>
        <w:spacing w:before="0"/>
        <w:ind w:firstLine="420"/>
        <w:rPr>
          <w:sz w:val="21"/>
          <w:szCs w:val="21"/>
        </w:rPr>
      </w:pPr>
      <w:r>
        <w:rPr>
          <w:sz w:val="21"/>
          <w:szCs w:val="21"/>
        </w:rPr>
        <w:t>21.1标项出现下列情形之一的，该标项应予以废标（未开标的应当终止该标项的开标）：</w:t>
      </w:r>
    </w:p>
    <w:p>
      <w:pPr>
        <w:pStyle w:val="73"/>
        <w:snapToGrid w:val="0"/>
        <w:spacing w:before="0"/>
        <w:ind w:firstLine="420"/>
        <w:rPr>
          <w:sz w:val="21"/>
          <w:szCs w:val="21"/>
        </w:rPr>
      </w:pPr>
      <w:r>
        <w:rPr>
          <w:sz w:val="21"/>
          <w:szCs w:val="21"/>
        </w:rPr>
        <w:t>（1）标项一：投标截止时间后参加该标项投标的供应商不足三家的；</w:t>
      </w:r>
    </w:p>
    <w:p>
      <w:pPr>
        <w:pStyle w:val="73"/>
        <w:snapToGrid w:val="0"/>
        <w:spacing w:before="0"/>
        <w:ind w:firstLine="420"/>
        <w:rPr>
          <w:sz w:val="21"/>
          <w:szCs w:val="21"/>
        </w:rPr>
      </w:pPr>
      <w:r>
        <w:rPr>
          <w:sz w:val="21"/>
          <w:szCs w:val="21"/>
        </w:rPr>
        <w:t>（2）标项一：未通过初步审查的供应商或者对招标文件作实质响应的供应商不足三家的；</w:t>
      </w:r>
    </w:p>
    <w:p>
      <w:pPr>
        <w:pStyle w:val="73"/>
        <w:snapToGrid w:val="0"/>
        <w:spacing w:before="0"/>
        <w:ind w:firstLine="420"/>
        <w:rPr>
          <w:sz w:val="21"/>
          <w:szCs w:val="21"/>
        </w:rPr>
      </w:pPr>
      <w:r>
        <w:rPr>
          <w:sz w:val="21"/>
          <w:szCs w:val="21"/>
        </w:rPr>
        <w:t xml:space="preserve">（3）出现影响采购公正的违法、违规行为的； </w:t>
      </w:r>
    </w:p>
    <w:p>
      <w:pPr>
        <w:pStyle w:val="73"/>
        <w:snapToGrid w:val="0"/>
        <w:spacing w:before="0"/>
        <w:ind w:firstLine="420"/>
        <w:rPr>
          <w:sz w:val="21"/>
          <w:szCs w:val="21"/>
        </w:rPr>
      </w:pPr>
      <w:r>
        <w:rPr>
          <w:sz w:val="21"/>
          <w:szCs w:val="21"/>
        </w:rPr>
        <w:t xml:space="preserve">（4）供应商的报价均超过了采购预算，采购人不能支付的； </w:t>
      </w:r>
    </w:p>
    <w:p>
      <w:pPr>
        <w:pStyle w:val="73"/>
        <w:snapToGrid w:val="0"/>
        <w:spacing w:before="0"/>
        <w:ind w:firstLine="420"/>
        <w:rPr>
          <w:sz w:val="21"/>
          <w:szCs w:val="21"/>
        </w:rPr>
      </w:pPr>
      <w:r>
        <w:rPr>
          <w:sz w:val="21"/>
          <w:szCs w:val="21"/>
        </w:rPr>
        <w:t>（5）因重大变故，采购任务取消的。</w:t>
      </w:r>
    </w:p>
    <w:p>
      <w:pPr>
        <w:pStyle w:val="73"/>
        <w:snapToGrid w:val="0"/>
        <w:spacing w:before="0"/>
        <w:ind w:firstLine="420"/>
        <w:rPr>
          <w:sz w:val="21"/>
          <w:szCs w:val="21"/>
        </w:rPr>
      </w:pPr>
      <w:r>
        <w:rPr>
          <w:sz w:val="21"/>
          <w:szCs w:val="21"/>
        </w:rPr>
        <w:t>21.2 废标后，采购人应当重新组织招标；或者经主管部门批准，采取其他方式组织采购。</w:t>
      </w:r>
    </w:p>
    <w:p>
      <w:pPr>
        <w:spacing w:after="60" w:afterLines="25" w:line="520" w:lineRule="exact"/>
        <w:ind w:firstLine="424" w:firstLineChars="176"/>
        <w:jc w:val="left"/>
        <w:outlineLvl w:val="2"/>
        <w:rPr>
          <w:b/>
          <w:bCs/>
          <w:sz w:val="24"/>
        </w:rPr>
      </w:pPr>
      <w:r>
        <w:rPr>
          <w:b/>
          <w:bCs/>
          <w:sz w:val="24"/>
        </w:rPr>
        <w:t>(六)确定中标人及授予合同</w:t>
      </w:r>
    </w:p>
    <w:p>
      <w:pPr>
        <w:pStyle w:val="73"/>
        <w:spacing w:before="0"/>
        <w:ind w:firstLine="422"/>
        <w:rPr>
          <w:b/>
          <w:kern w:val="0"/>
          <w:sz w:val="21"/>
          <w:szCs w:val="21"/>
          <w:lang w:val="zh-CN"/>
        </w:rPr>
      </w:pPr>
      <w:r>
        <w:rPr>
          <w:b/>
          <w:kern w:val="0"/>
          <w:sz w:val="21"/>
          <w:szCs w:val="21"/>
          <w:lang w:val="zh-CN"/>
        </w:rPr>
        <w:t>22．中标人的确定</w:t>
      </w:r>
    </w:p>
    <w:p>
      <w:pPr>
        <w:pStyle w:val="73"/>
        <w:snapToGrid w:val="0"/>
        <w:spacing w:before="0"/>
        <w:ind w:firstLine="420"/>
        <w:rPr>
          <w:sz w:val="21"/>
          <w:szCs w:val="21"/>
        </w:rPr>
      </w:pPr>
      <w:r>
        <w:rPr>
          <w:sz w:val="21"/>
          <w:szCs w:val="21"/>
        </w:rPr>
        <w:t>22.1 采购人按照评标报告中推荐的各标项中标候选人顺序确定各标项的中标人。</w:t>
      </w:r>
    </w:p>
    <w:p>
      <w:pPr>
        <w:pStyle w:val="73"/>
        <w:snapToGrid w:val="0"/>
        <w:spacing w:before="0"/>
        <w:ind w:firstLine="420"/>
        <w:rPr>
          <w:sz w:val="21"/>
          <w:szCs w:val="21"/>
        </w:rPr>
      </w:pPr>
      <w:r>
        <w:rPr>
          <w:sz w:val="21"/>
          <w:szCs w:val="21"/>
        </w:rPr>
        <w:t>22.2 中标人确定后，中标结果将在发布招标公告的同一媒体上公告。</w:t>
      </w:r>
    </w:p>
    <w:p>
      <w:pPr>
        <w:pStyle w:val="73"/>
        <w:snapToGrid w:val="0"/>
        <w:spacing w:before="0"/>
        <w:ind w:firstLine="420"/>
        <w:rPr>
          <w:sz w:val="21"/>
          <w:szCs w:val="21"/>
        </w:rPr>
      </w:pPr>
      <w:r>
        <w:rPr>
          <w:sz w:val="21"/>
          <w:szCs w:val="21"/>
        </w:rPr>
        <w:t>22.3 供应商对中标公告有异议的，可以以书面形式向采购人提出质疑，但需对质疑内容的真实性承担责任。对质疑答复不满的，可以在答复期满后十五个工作日内向同级政府采购监督管理部门投诉。</w:t>
      </w:r>
    </w:p>
    <w:p>
      <w:pPr>
        <w:pStyle w:val="73"/>
        <w:spacing w:before="0"/>
        <w:ind w:firstLine="422"/>
        <w:rPr>
          <w:b/>
          <w:kern w:val="0"/>
          <w:sz w:val="21"/>
          <w:szCs w:val="21"/>
          <w:lang w:val="zh-CN"/>
        </w:rPr>
      </w:pPr>
      <w:r>
        <w:rPr>
          <w:b/>
          <w:kern w:val="0"/>
          <w:sz w:val="21"/>
          <w:szCs w:val="21"/>
          <w:lang w:val="zh-CN"/>
        </w:rPr>
        <w:t>23．合同授予</w:t>
      </w:r>
    </w:p>
    <w:p>
      <w:pPr>
        <w:pStyle w:val="73"/>
        <w:snapToGrid w:val="0"/>
        <w:spacing w:before="0"/>
        <w:ind w:firstLine="420"/>
        <w:rPr>
          <w:sz w:val="21"/>
          <w:szCs w:val="21"/>
        </w:rPr>
      </w:pPr>
      <w:r>
        <w:rPr>
          <w:sz w:val="21"/>
          <w:szCs w:val="21"/>
        </w:rPr>
        <w:t>23.1 本项目的合同将授予按本须知第22.1款所确定的中标人。</w:t>
      </w:r>
    </w:p>
    <w:p>
      <w:pPr>
        <w:pStyle w:val="73"/>
        <w:snapToGrid w:val="0"/>
        <w:spacing w:before="0"/>
        <w:ind w:firstLine="420"/>
        <w:rPr>
          <w:sz w:val="21"/>
          <w:szCs w:val="21"/>
        </w:rPr>
      </w:pPr>
      <w:r>
        <w:rPr>
          <w:sz w:val="21"/>
          <w:szCs w:val="21"/>
        </w:rPr>
        <w:t>23.2 中标人因不可抗力或者自身原因不能履行合同的，采购人可以与排位在中标人之后的第一位的中标候选人签订合同，以此类推。推荐中标候选人均放弃中标的，依法重新组织招标或经批准按其他方式执行。</w:t>
      </w:r>
    </w:p>
    <w:p>
      <w:pPr>
        <w:pStyle w:val="73"/>
        <w:spacing w:before="0"/>
        <w:ind w:firstLine="422"/>
        <w:rPr>
          <w:b/>
          <w:kern w:val="0"/>
          <w:sz w:val="21"/>
          <w:szCs w:val="21"/>
          <w:lang w:val="zh-CN"/>
        </w:rPr>
      </w:pPr>
      <w:r>
        <w:rPr>
          <w:b/>
          <w:kern w:val="0"/>
          <w:sz w:val="21"/>
          <w:szCs w:val="21"/>
          <w:lang w:val="zh-CN"/>
        </w:rPr>
        <w:t>24．签订合同</w:t>
      </w:r>
    </w:p>
    <w:p>
      <w:pPr>
        <w:pStyle w:val="73"/>
        <w:snapToGrid w:val="0"/>
        <w:spacing w:before="0"/>
        <w:ind w:firstLine="420"/>
        <w:rPr>
          <w:sz w:val="21"/>
          <w:szCs w:val="21"/>
        </w:rPr>
      </w:pPr>
      <w:r>
        <w:rPr>
          <w:sz w:val="21"/>
          <w:szCs w:val="21"/>
        </w:rPr>
        <w:t>24.1 中标人应按中标通知书规定的时间与采购人签订合同，并提交履约保证金。中标人在领取中标通知书时须向采购人提供一份关于本项目在实施过程中的相关人员的通讯录作为合同附件。</w:t>
      </w:r>
    </w:p>
    <w:p>
      <w:pPr>
        <w:pStyle w:val="73"/>
        <w:snapToGrid w:val="0"/>
        <w:spacing w:before="0"/>
        <w:ind w:firstLine="420"/>
        <w:rPr>
          <w:sz w:val="21"/>
          <w:szCs w:val="21"/>
        </w:rPr>
      </w:pPr>
      <w:r>
        <w:rPr>
          <w:sz w:val="21"/>
          <w:szCs w:val="21"/>
        </w:rPr>
        <w:t>24.2 招标文件、中标人的投标文件及投标修改文件、评标过程中有关澄清文件及经供应商法定代表人或授权代表签字确认的询标回复和承诺及中标通知书均作为合同组成部分。</w:t>
      </w:r>
    </w:p>
    <w:p>
      <w:pPr>
        <w:pStyle w:val="73"/>
        <w:spacing w:before="0"/>
        <w:ind w:firstLine="422"/>
        <w:rPr>
          <w:b/>
          <w:kern w:val="0"/>
          <w:sz w:val="21"/>
          <w:szCs w:val="21"/>
          <w:lang w:val="zh-CN"/>
        </w:rPr>
      </w:pPr>
      <w:r>
        <w:rPr>
          <w:b/>
          <w:kern w:val="0"/>
          <w:sz w:val="21"/>
          <w:szCs w:val="21"/>
          <w:lang w:val="zh-CN"/>
        </w:rPr>
        <w:t>25．履约保证</w:t>
      </w:r>
    </w:p>
    <w:p>
      <w:pPr>
        <w:pStyle w:val="73"/>
        <w:snapToGrid w:val="0"/>
        <w:spacing w:before="0"/>
        <w:ind w:firstLine="420"/>
        <w:rPr>
          <w:sz w:val="21"/>
          <w:szCs w:val="21"/>
        </w:rPr>
      </w:pPr>
      <w:r>
        <w:rPr>
          <w:sz w:val="21"/>
          <w:szCs w:val="21"/>
        </w:rPr>
        <w:t>25.1 中标人在收到中标通知书之日起5个工作日内且在合同签订前，须向采购人提交</w:t>
      </w:r>
      <w:r>
        <w:rPr>
          <w:sz w:val="21"/>
          <w:szCs w:val="21"/>
          <w:u w:val="single"/>
        </w:rPr>
        <w:t xml:space="preserve"> 按投标须知前附表规定的金额  </w:t>
      </w:r>
      <w:r>
        <w:rPr>
          <w:sz w:val="21"/>
          <w:szCs w:val="21"/>
        </w:rPr>
        <w:t>的履约保证金。履约保证金以现金支票或转账支票或电汇或银行汇票形式支付。</w:t>
      </w:r>
    </w:p>
    <w:p>
      <w:pPr>
        <w:pStyle w:val="73"/>
        <w:snapToGrid w:val="0"/>
        <w:spacing w:before="0"/>
        <w:ind w:firstLine="420"/>
        <w:rPr>
          <w:sz w:val="21"/>
          <w:szCs w:val="21"/>
        </w:rPr>
      </w:pPr>
      <w:r>
        <w:rPr>
          <w:sz w:val="21"/>
          <w:szCs w:val="21"/>
        </w:rPr>
        <w:t>25.2 如果中标人没有按照上述第24或25.1条规定执行，采购人将有充分理由取消该中标决定。在此情况下，采购人可将合同标授予下一个中标候选人。</w:t>
      </w:r>
    </w:p>
    <w:p>
      <w:pPr>
        <w:pStyle w:val="73"/>
        <w:spacing w:before="0"/>
        <w:ind w:firstLine="422"/>
        <w:rPr>
          <w:b/>
          <w:kern w:val="0"/>
          <w:sz w:val="21"/>
          <w:szCs w:val="21"/>
          <w:lang w:val="zh-CN"/>
        </w:rPr>
      </w:pPr>
      <w:r>
        <w:rPr>
          <w:b/>
          <w:kern w:val="0"/>
          <w:sz w:val="21"/>
          <w:szCs w:val="21"/>
          <w:lang w:val="zh-CN"/>
        </w:rPr>
        <w:t>26.采购结束</w:t>
      </w:r>
    </w:p>
    <w:p>
      <w:pPr>
        <w:pStyle w:val="73"/>
        <w:snapToGrid w:val="0"/>
        <w:spacing w:before="0"/>
        <w:ind w:firstLine="420"/>
        <w:rPr>
          <w:sz w:val="21"/>
          <w:szCs w:val="21"/>
        </w:rPr>
      </w:pPr>
      <w:r>
        <w:rPr>
          <w:sz w:val="21"/>
          <w:szCs w:val="21"/>
        </w:rPr>
        <w:t>26.1 中标人与采购人签订合同生效后即为采购结束。</w:t>
      </w:r>
    </w:p>
    <w:p>
      <w:pPr>
        <w:pStyle w:val="73"/>
        <w:snapToGrid w:val="0"/>
        <w:spacing w:before="0"/>
        <w:ind w:firstLine="420"/>
        <w:rPr>
          <w:sz w:val="21"/>
          <w:szCs w:val="21"/>
        </w:rPr>
      </w:pPr>
      <w:r>
        <w:rPr>
          <w:sz w:val="21"/>
          <w:szCs w:val="21"/>
        </w:rPr>
        <w:t>26.2 本项目的投标文件不予退回。</w:t>
      </w:r>
    </w:p>
    <w:p>
      <w:pPr>
        <w:spacing w:after="60" w:afterLines="25" w:line="520" w:lineRule="exact"/>
        <w:ind w:firstLine="424" w:firstLineChars="176"/>
        <w:jc w:val="left"/>
        <w:outlineLvl w:val="2"/>
        <w:rPr>
          <w:b/>
          <w:bCs/>
          <w:sz w:val="24"/>
        </w:rPr>
      </w:pPr>
      <w:r>
        <w:rPr>
          <w:b/>
          <w:bCs/>
          <w:sz w:val="24"/>
        </w:rPr>
        <w:t>(七)其他</w:t>
      </w:r>
    </w:p>
    <w:p>
      <w:pPr>
        <w:pStyle w:val="73"/>
        <w:snapToGrid w:val="0"/>
        <w:spacing w:before="0"/>
        <w:ind w:firstLine="420"/>
        <w:rPr>
          <w:sz w:val="21"/>
          <w:szCs w:val="21"/>
        </w:rPr>
      </w:pPr>
      <w:r>
        <w:rPr>
          <w:sz w:val="21"/>
          <w:szCs w:val="21"/>
        </w:rPr>
        <w:t>采购过程中出现以下情形，导致电子交易平台无法正常运行，或者无法保证电子交易的公平、 公正和安全时，采购组织机构将中止电子交易活动：</w:t>
      </w:r>
    </w:p>
    <w:p>
      <w:pPr>
        <w:pStyle w:val="73"/>
        <w:snapToGrid w:val="0"/>
        <w:spacing w:before="0"/>
        <w:ind w:firstLine="420"/>
        <w:rPr>
          <w:sz w:val="21"/>
          <w:szCs w:val="21"/>
        </w:rPr>
      </w:pPr>
      <w:r>
        <w:rPr>
          <w:sz w:val="21"/>
          <w:szCs w:val="21"/>
        </w:rPr>
        <w:t xml:space="preserve">（一）电子交易平台发生故障而无法登录访问的； </w:t>
      </w:r>
    </w:p>
    <w:p>
      <w:pPr>
        <w:pStyle w:val="73"/>
        <w:snapToGrid w:val="0"/>
        <w:spacing w:before="0"/>
        <w:ind w:firstLine="420"/>
        <w:rPr>
          <w:sz w:val="21"/>
          <w:szCs w:val="21"/>
        </w:rPr>
      </w:pPr>
      <w:r>
        <w:rPr>
          <w:sz w:val="21"/>
          <w:szCs w:val="21"/>
        </w:rPr>
        <w:t>（二）电子交易平台应用或数据库出现错误，不能进行正常操作的；</w:t>
      </w:r>
    </w:p>
    <w:p>
      <w:pPr>
        <w:pStyle w:val="73"/>
        <w:snapToGrid w:val="0"/>
        <w:spacing w:before="0"/>
        <w:ind w:firstLine="420"/>
        <w:rPr>
          <w:sz w:val="21"/>
          <w:szCs w:val="21"/>
        </w:rPr>
      </w:pPr>
      <w:r>
        <w:rPr>
          <w:sz w:val="21"/>
          <w:szCs w:val="21"/>
        </w:rPr>
        <w:t xml:space="preserve">（三）电子交易平台发现严重安全漏洞，有潜在泄密危险的； </w:t>
      </w:r>
    </w:p>
    <w:p>
      <w:pPr>
        <w:pStyle w:val="73"/>
        <w:snapToGrid w:val="0"/>
        <w:spacing w:before="0"/>
        <w:ind w:firstLine="420"/>
        <w:rPr>
          <w:sz w:val="21"/>
          <w:szCs w:val="21"/>
        </w:rPr>
      </w:pPr>
      <w:r>
        <w:rPr>
          <w:sz w:val="21"/>
          <w:szCs w:val="21"/>
        </w:rPr>
        <w:t xml:space="preserve">（四）病毒发作导致不能进行正常操作的； </w:t>
      </w:r>
    </w:p>
    <w:p>
      <w:pPr>
        <w:pStyle w:val="73"/>
        <w:snapToGrid w:val="0"/>
        <w:spacing w:before="0"/>
        <w:ind w:firstLine="420"/>
        <w:rPr>
          <w:sz w:val="21"/>
          <w:szCs w:val="21"/>
        </w:rPr>
      </w:pPr>
      <w:r>
        <w:rPr>
          <w:sz w:val="21"/>
          <w:szCs w:val="21"/>
        </w:rPr>
        <w:t xml:space="preserve">（五）其他无法保证电子交易的公平、公正和安全的情况。 </w:t>
      </w:r>
    </w:p>
    <w:p>
      <w:pPr>
        <w:pStyle w:val="73"/>
        <w:snapToGrid w:val="0"/>
        <w:spacing w:before="0"/>
        <w:ind w:firstLine="420"/>
        <w:rPr>
          <w:sz w:val="21"/>
          <w:szCs w:val="21"/>
        </w:rPr>
      </w:pPr>
      <w:r>
        <w:rPr>
          <w:sz w:val="21"/>
          <w:szCs w:val="21"/>
        </w:rPr>
        <w:t>出现前款规定情形，不影响采购公平、公正性的，采购组织机构将待上述情形消除后继续组织电 子交易活动，也可以决定某些环节以纸质形式进行；影响或可能影响采购公平、公正性的，将重新采 购</w:t>
      </w:r>
    </w:p>
    <w:p>
      <w:bookmarkStart w:id="31" w:name="_Toc36110187"/>
      <w:bookmarkStart w:id="32" w:name="_Toc91899912"/>
    </w:p>
    <w:p>
      <w:pPr>
        <w:pStyle w:val="2"/>
        <w:numPr>
          <w:ilvl w:val="0"/>
          <w:numId w:val="0"/>
        </w:numPr>
        <w:spacing w:before="0" w:after="0" w:line="360" w:lineRule="auto"/>
        <w:jc w:val="center"/>
        <w:rPr>
          <w:sz w:val="28"/>
          <w:szCs w:val="28"/>
        </w:rPr>
        <w:sectPr>
          <w:headerReference r:id="rId13" w:type="default"/>
          <w:footerReference r:id="rId14" w:type="default"/>
          <w:pgSz w:w="11910" w:h="16840"/>
          <w:pgMar w:top="1440" w:right="1559" w:bottom="1440" w:left="1797" w:header="879" w:footer="737" w:gutter="0"/>
          <w:pgNumType w:fmt="decimalFullWidth"/>
          <w:cols w:space="720" w:num="1"/>
          <w:docGrid w:linePitch="286" w:charSpace="0"/>
        </w:sectPr>
      </w:pPr>
    </w:p>
    <w:p>
      <w:pPr>
        <w:pStyle w:val="2"/>
        <w:numPr>
          <w:ilvl w:val="0"/>
          <w:numId w:val="0"/>
        </w:numPr>
        <w:spacing w:before="0" w:after="0" w:line="360" w:lineRule="auto"/>
        <w:jc w:val="center"/>
        <w:rPr>
          <w:sz w:val="28"/>
          <w:szCs w:val="28"/>
        </w:rPr>
      </w:pPr>
      <w:bookmarkStart w:id="33" w:name="_Toc4913"/>
      <w:r>
        <w:rPr>
          <w:sz w:val="28"/>
          <w:szCs w:val="28"/>
        </w:rPr>
        <w:t>第三章  服务需求</w:t>
      </w:r>
      <w:bookmarkEnd w:id="33"/>
    </w:p>
    <w:p>
      <w:pPr>
        <w:spacing w:before="120" w:beforeLines="50" w:after="120" w:afterLines="50"/>
        <w:outlineLvl w:val="1"/>
        <w:rPr>
          <w:b/>
          <w:sz w:val="28"/>
          <w:szCs w:val="28"/>
        </w:rPr>
      </w:pPr>
      <w:bookmarkStart w:id="34" w:name="_Toc28617"/>
      <w:bookmarkStart w:id="35" w:name="_Toc520711779"/>
      <w:bookmarkStart w:id="36" w:name="_Toc491075497"/>
      <w:bookmarkStart w:id="37" w:name="_Toc516069173"/>
      <w:r>
        <w:rPr>
          <w:b/>
          <w:sz w:val="28"/>
          <w:szCs w:val="28"/>
        </w:rPr>
        <w:t>一、项目背景、建设目标、内容、周期</w:t>
      </w:r>
      <w:bookmarkEnd w:id="34"/>
      <w:bookmarkEnd w:id="35"/>
      <w:bookmarkEnd w:id="36"/>
      <w:bookmarkEnd w:id="37"/>
    </w:p>
    <w:p>
      <w:pPr>
        <w:spacing w:before="240" w:beforeLines="100" w:line="360" w:lineRule="auto"/>
        <w:ind w:right="-57" w:rightChars="-27" w:firstLine="422" w:firstLineChars="200"/>
        <w:rPr>
          <w:b/>
          <w:szCs w:val="21"/>
        </w:rPr>
      </w:pPr>
      <w:r>
        <w:rPr>
          <w:b/>
          <w:szCs w:val="21"/>
        </w:rPr>
        <w:t>1、项目背景</w:t>
      </w:r>
    </w:p>
    <w:p>
      <w:pPr>
        <w:spacing w:line="360" w:lineRule="auto"/>
        <w:ind w:firstLine="420" w:firstLineChars="200"/>
        <w:jc w:val="left"/>
        <w:rPr>
          <w:szCs w:val="21"/>
        </w:rPr>
      </w:pPr>
      <w:r>
        <w:rPr>
          <w:szCs w:val="21"/>
        </w:rPr>
        <w:t>智慧**是基于当前互联网与物联网的技术融合，运用大数据和云计算等智能平台进行分析和处理，旨在构建更加全面的监控体系，加强治安防控，提高刑侦与各部门对视图信息的应用效果。升级完善公安局人像识别系统建设，提升新昌县公安局整体的科技信息化建设工作。</w:t>
      </w:r>
    </w:p>
    <w:p>
      <w:pPr>
        <w:spacing w:line="360" w:lineRule="auto"/>
        <w:ind w:right="-57" w:rightChars="-27" w:firstLine="422" w:firstLineChars="200"/>
        <w:rPr>
          <w:b/>
          <w:szCs w:val="21"/>
        </w:rPr>
      </w:pPr>
      <w:r>
        <w:rPr>
          <w:b/>
          <w:szCs w:val="21"/>
        </w:rPr>
        <w:t>2、建设目标</w:t>
      </w:r>
    </w:p>
    <w:p>
      <w:pPr>
        <w:spacing w:line="360" w:lineRule="auto"/>
        <w:ind w:firstLine="420" w:firstLineChars="200"/>
        <w:jc w:val="left"/>
        <w:rPr>
          <w:szCs w:val="21"/>
        </w:rPr>
      </w:pPr>
      <w:r>
        <w:rPr>
          <w:szCs w:val="21"/>
        </w:rPr>
        <w:t>本系统建设以服务实战为最终目标，统筹规划、统一标准建设高清人脸抓拍机、升级扩容开放共享的人脸识别作战平台，服务于治安、刑侦、交通、情报等各警种。充分利用智能识别、大数据、云存储等先进技术，广泛地覆盖社会和政府等各种人员卡口重点场所，建设互联互通的耦合式系统架构，充分利用既有数据价值。与公安各系统平台广泛对接，实现业务流程化处理，实现事情、事中、事后一体化操作流程。</w:t>
      </w:r>
    </w:p>
    <w:p>
      <w:pPr>
        <w:spacing w:line="360" w:lineRule="auto"/>
        <w:ind w:right="-57" w:rightChars="-27" w:firstLine="422" w:firstLineChars="200"/>
        <w:rPr>
          <w:b/>
          <w:szCs w:val="21"/>
        </w:rPr>
      </w:pPr>
      <w:r>
        <w:rPr>
          <w:b/>
          <w:szCs w:val="21"/>
        </w:rPr>
        <w:t>3、建设内容</w:t>
      </w:r>
    </w:p>
    <w:p>
      <w:pPr>
        <w:spacing w:line="360" w:lineRule="auto"/>
        <w:ind w:firstLine="420" w:firstLineChars="200"/>
        <w:jc w:val="left"/>
        <w:rPr>
          <w:szCs w:val="21"/>
        </w:rPr>
      </w:pPr>
      <w:r>
        <w:rPr>
          <w:szCs w:val="21"/>
        </w:rPr>
        <w:t>本次项目主要包括</w:t>
      </w:r>
      <w:r>
        <w:rPr>
          <w:szCs w:val="21"/>
        </w:rPr>
        <w:sym w:font="Wingdings" w:char="F081"/>
      </w:r>
      <w:r>
        <w:rPr>
          <w:szCs w:val="21"/>
        </w:rPr>
        <w:t>504个第四、五期社会治安高清监控点位前端及后端设备的升级改造；</w:t>
      </w:r>
      <w:r>
        <w:rPr>
          <w:szCs w:val="21"/>
        </w:rPr>
        <w:sym w:font="Wingdings" w:char="F082"/>
      </w:r>
      <w:r>
        <w:rPr>
          <w:szCs w:val="21"/>
        </w:rPr>
        <w:t>新增1130路智能人脸抓拍设备；</w:t>
      </w:r>
      <w:r>
        <w:rPr>
          <w:szCs w:val="21"/>
        </w:rPr>
        <w:sym w:font="Wingdings" w:char="F083"/>
      </w:r>
      <w:r>
        <w:rPr>
          <w:szCs w:val="21"/>
        </w:rPr>
        <w:t>人脸识别系统。</w:t>
      </w:r>
      <w:r>
        <w:rPr>
          <w:kern w:val="0"/>
          <w:szCs w:val="21"/>
        </w:rPr>
        <w:t>其中包含423路枪机、21路球机、60路抓拍机改造以及1130路的人脸抓拍设备新建，并且对现有视频云存储进行扩容升级，点位视频录像到统一的云存储管理进行集中存储。</w:t>
      </w:r>
    </w:p>
    <w:p>
      <w:pPr>
        <w:spacing w:line="360" w:lineRule="auto"/>
        <w:ind w:firstLine="420" w:firstLineChars="200"/>
        <w:jc w:val="left"/>
        <w:rPr>
          <w:szCs w:val="21"/>
        </w:rPr>
      </w:pPr>
      <w:r>
        <w:rPr>
          <w:szCs w:val="21"/>
        </w:rPr>
        <w:t>视频存储时间不少于30天，涉及**的视频存储不少于90天，图片存储时间不少于2年，结构化数据存储不少于2年。同时扩容升级人像系统建设，实现1130路图片流的接入解析，实现布控预警、频次分析等功能应用，同时满足与市局的视图信息数据交互。</w:t>
      </w:r>
    </w:p>
    <w:p>
      <w:pPr>
        <w:spacing w:line="360" w:lineRule="auto"/>
        <w:ind w:firstLine="420" w:firstLineChars="200"/>
        <w:jc w:val="left"/>
        <w:rPr>
          <w:szCs w:val="21"/>
        </w:rPr>
      </w:pPr>
      <w:r>
        <w:rPr>
          <w:szCs w:val="21"/>
        </w:rPr>
        <w:t>除前端设备外还需同时配套杆件、辅材、取电、链路、施工等各项建设。后端升级扩容现有人像平台软件模块服务器资源，提升整体系统接入及实战能力。</w:t>
      </w:r>
    </w:p>
    <w:p>
      <w:pPr>
        <w:spacing w:line="360" w:lineRule="auto"/>
        <w:ind w:right="-57" w:rightChars="-27" w:firstLine="422" w:firstLineChars="200"/>
        <w:rPr>
          <w:b/>
          <w:szCs w:val="21"/>
        </w:rPr>
      </w:pPr>
      <w:r>
        <w:rPr>
          <w:b/>
          <w:szCs w:val="21"/>
        </w:rPr>
        <w:t>4、建设周期</w:t>
      </w:r>
    </w:p>
    <w:p>
      <w:pPr>
        <w:spacing w:line="360" w:lineRule="auto"/>
        <w:ind w:firstLine="420" w:firstLineChars="200"/>
        <w:jc w:val="left"/>
        <w:rPr>
          <w:szCs w:val="21"/>
        </w:rPr>
      </w:pPr>
      <w:r>
        <w:rPr>
          <w:szCs w:val="21"/>
        </w:rPr>
        <w:t>须在2020年12月10日前完成建设需求分析、系统建设设计、设备采购、设备安装及调试、系统集成等全部工程并交付甲方使用。</w:t>
      </w:r>
    </w:p>
    <w:p>
      <w:pPr>
        <w:numPr>
          <w:ilvl w:val="0"/>
          <w:numId w:val="7"/>
        </w:numPr>
        <w:spacing w:line="360" w:lineRule="auto"/>
        <w:ind w:firstLine="422" w:firstLineChars="200"/>
        <w:jc w:val="left"/>
        <w:rPr>
          <w:b/>
          <w:szCs w:val="21"/>
        </w:rPr>
      </w:pPr>
      <w:r>
        <w:rPr>
          <w:b/>
          <w:szCs w:val="21"/>
        </w:rPr>
        <w:t>服务期及产权归属</w:t>
      </w:r>
    </w:p>
    <w:p>
      <w:pPr>
        <w:spacing w:line="360" w:lineRule="auto"/>
        <w:ind w:firstLine="420" w:firstLineChars="200"/>
        <w:jc w:val="left"/>
        <w:rPr>
          <w:rStyle w:val="27"/>
        </w:rPr>
      </w:pPr>
      <w:r>
        <w:rPr>
          <w:szCs w:val="21"/>
        </w:rPr>
        <w:t>服务期终验后5年。</w:t>
      </w:r>
      <w:r>
        <w:rPr>
          <w:bCs/>
          <w:szCs w:val="21"/>
        </w:rPr>
        <w:t>项目建设完成后，本项目采购清单涉及的建设期设备资产由乙方移交给甲方，设备所有权归甲方所有，服务期（终验后5年内）的维保工作由乙方负责。</w:t>
      </w:r>
    </w:p>
    <w:p>
      <w:pPr>
        <w:spacing w:line="360" w:lineRule="auto"/>
        <w:ind w:right="-57" w:rightChars="-27" w:firstLine="422" w:firstLineChars="200"/>
        <w:rPr>
          <w:b/>
          <w:szCs w:val="21"/>
        </w:rPr>
      </w:pPr>
      <w:r>
        <w:rPr>
          <w:b/>
          <w:szCs w:val="21"/>
        </w:rPr>
        <w:t>6、传输网络</w:t>
      </w:r>
    </w:p>
    <w:p>
      <w:pPr>
        <w:spacing w:line="360" w:lineRule="auto"/>
        <w:ind w:firstLine="422" w:firstLineChars="200"/>
        <w:rPr>
          <w:b/>
          <w:szCs w:val="21"/>
        </w:rPr>
      </w:pPr>
      <w:r>
        <w:rPr>
          <w:b/>
          <w:szCs w:val="21"/>
        </w:rPr>
        <w:t>视频前端光缆传输要求</w:t>
      </w:r>
    </w:p>
    <w:p>
      <w:pPr>
        <w:spacing w:line="360" w:lineRule="auto"/>
        <w:ind w:firstLine="420" w:firstLineChars="200"/>
        <w:rPr>
          <w:szCs w:val="21"/>
        </w:rPr>
      </w:pPr>
      <w:r>
        <w:rPr>
          <w:szCs w:val="21"/>
        </w:rPr>
        <w:t>本系统视频前端摄像机统一接至中标人机房，保证每个点位传输网络为50兆专线。投标人负责解决前端至机房的网络设备和机房内部至存储的网络设备，机房内部核心交换机需最低满足万兆交换机技术规范中的要求，如果万兆交换机实际不能满足正常的网络带宽要求，中标人需无偿供应相关网络交换设备，保证正常的网络运行访问。</w:t>
      </w:r>
    </w:p>
    <w:p>
      <w:pPr>
        <w:spacing w:before="120" w:beforeLines="50" w:line="360" w:lineRule="auto"/>
        <w:ind w:right="-57" w:rightChars="-27" w:firstLine="422" w:firstLineChars="200"/>
        <w:rPr>
          <w:b/>
          <w:szCs w:val="21"/>
        </w:rPr>
      </w:pPr>
      <w:r>
        <w:rPr>
          <w:b/>
          <w:szCs w:val="21"/>
        </w:rPr>
        <w:t>特别提示：</w:t>
      </w:r>
    </w:p>
    <w:p>
      <w:pPr>
        <w:spacing w:line="360" w:lineRule="auto"/>
        <w:ind w:firstLine="422" w:firstLineChars="200"/>
        <w:jc w:val="left"/>
        <w:rPr>
          <w:szCs w:val="21"/>
        </w:rPr>
      </w:pPr>
      <w:r>
        <w:rPr>
          <w:b/>
          <w:szCs w:val="21"/>
        </w:rPr>
        <w:t>本项目产品的详细指标见各部分的“项目清单”，针对采购要求如实描述是否偏离；若存在负偏离专家有权对投标文件做无效标处理</w:t>
      </w:r>
      <w:r>
        <w:rPr>
          <w:szCs w:val="21"/>
        </w:rPr>
        <w:t>。</w:t>
      </w:r>
    </w:p>
    <w:p>
      <w:pPr>
        <w:spacing w:line="360" w:lineRule="auto"/>
        <w:ind w:firstLine="420" w:firstLineChars="200"/>
        <w:jc w:val="left"/>
        <w:rPr>
          <w:szCs w:val="21"/>
        </w:rPr>
      </w:pPr>
      <w:r>
        <w:rPr>
          <w:szCs w:val="21"/>
        </w:rPr>
        <w:t>采购单位有权要求对中标产品进行必要测试，对中标产品指标进行抽样检测，中标人须无偿提供检测样品。如果提供的产品不符合招标要求，投标人将依据政府采购相关法律及文件规定作出处罚。如有必要，采购人保留另行组织采购部分直至全部设备的权利。</w:t>
      </w:r>
    </w:p>
    <w:p>
      <w:pPr>
        <w:numPr>
          <w:ilvl w:val="0"/>
          <w:numId w:val="8"/>
        </w:numPr>
        <w:spacing w:before="120" w:beforeLines="50" w:after="120" w:afterLines="50"/>
        <w:outlineLvl w:val="1"/>
        <w:rPr>
          <w:b/>
          <w:sz w:val="28"/>
          <w:szCs w:val="28"/>
        </w:rPr>
      </w:pPr>
      <w:bookmarkStart w:id="38" w:name="_Toc13219"/>
      <w:r>
        <w:rPr>
          <w:b/>
          <w:sz w:val="28"/>
          <w:szCs w:val="28"/>
        </w:rPr>
        <w:t>采购清单</w:t>
      </w:r>
      <w:bookmarkEnd w:id="38"/>
    </w:p>
    <w:tbl>
      <w:tblPr>
        <w:tblStyle w:val="21"/>
        <w:tblW w:w="5134" w:type="pct"/>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70"/>
        <w:gridCol w:w="1486"/>
        <w:gridCol w:w="6231"/>
        <w:gridCol w:w="488"/>
        <w:gridCol w:w="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blHeader/>
        </w:trPr>
        <w:tc>
          <w:tcPr>
            <w:tcW w:w="252" w:type="pct"/>
            <w:noWrap/>
            <w:tcMar>
              <w:top w:w="15" w:type="dxa"/>
              <w:left w:w="15" w:type="dxa"/>
              <w:right w:w="15" w:type="dxa"/>
            </w:tcMar>
            <w:vAlign w:val="center"/>
          </w:tcPr>
          <w:p>
            <w:pPr>
              <w:widowControl/>
              <w:jc w:val="center"/>
              <w:textAlignment w:val="center"/>
              <w:rPr>
                <w:b/>
                <w:bCs/>
                <w:szCs w:val="21"/>
              </w:rPr>
            </w:pPr>
            <w:r>
              <w:rPr>
                <w:b/>
                <w:bCs/>
                <w:szCs w:val="21"/>
              </w:rPr>
              <w:t>序号</w:t>
            </w:r>
          </w:p>
        </w:tc>
        <w:tc>
          <w:tcPr>
            <w:tcW w:w="795" w:type="pct"/>
            <w:noWrap w:val="0"/>
            <w:tcMar>
              <w:top w:w="15" w:type="dxa"/>
              <w:left w:w="15" w:type="dxa"/>
              <w:right w:w="15" w:type="dxa"/>
            </w:tcMar>
            <w:vAlign w:val="center"/>
          </w:tcPr>
          <w:p>
            <w:pPr>
              <w:widowControl/>
              <w:jc w:val="center"/>
              <w:textAlignment w:val="center"/>
              <w:rPr>
                <w:b/>
                <w:bCs/>
                <w:szCs w:val="21"/>
              </w:rPr>
            </w:pPr>
            <w:r>
              <w:rPr>
                <w:b/>
                <w:bCs/>
                <w:szCs w:val="21"/>
              </w:rPr>
              <w:t>设备名称</w:t>
            </w:r>
          </w:p>
        </w:tc>
        <w:tc>
          <w:tcPr>
            <w:tcW w:w="3334" w:type="pct"/>
            <w:noWrap w:val="0"/>
            <w:tcMar>
              <w:top w:w="15" w:type="dxa"/>
              <w:left w:w="15" w:type="dxa"/>
              <w:right w:w="15" w:type="dxa"/>
            </w:tcMar>
            <w:vAlign w:val="center"/>
          </w:tcPr>
          <w:p>
            <w:pPr>
              <w:widowControl/>
              <w:jc w:val="center"/>
              <w:textAlignment w:val="center"/>
              <w:rPr>
                <w:b/>
                <w:bCs/>
                <w:szCs w:val="21"/>
              </w:rPr>
            </w:pPr>
            <w:r>
              <w:rPr>
                <w:b/>
                <w:bCs/>
                <w:szCs w:val="21"/>
              </w:rPr>
              <w:t>技术规格</w:t>
            </w:r>
          </w:p>
        </w:tc>
        <w:tc>
          <w:tcPr>
            <w:tcW w:w="261" w:type="pct"/>
            <w:noWrap/>
            <w:tcMar>
              <w:top w:w="15" w:type="dxa"/>
              <w:left w:w="15" w:type="dxa"/>
              <w:right w:w="15" w:type="dxa"/>
            </w:tcMar>
            <w:vAlign w:val="center"/>
          </w:tcPr>
          <w:p>
            <w:pPr>
              <w:widowControl/>
              <w:jc w:val="center"/>
              <w:textAlignment w:val="center"/>
              <w:rPr>
                <w:b/>
                <w:bCs/>
                <w:szCs w:val="21"/>
              </w:rPr>
            </w:pPr>
            <w:r>
              <w:rPr>
                <w:b/>
                <w:bCs/>
                <w:szCs w:val="21"/>
              </w:rPr>
              <w:t>单位</w:t>
            </w:r>
          </w:p>
        </w:tc>
        <w:tc>
          <w:tcPr>
            <w:tcW w:w="356" w:type="pct"/>
            <w:noWrap/>
            <w:tcMar>
              <w:top w:w="15" w:type="dxa"/>
              <w:left w:w="15" w:type="dxa"/>
              <w:right w:w="15" w:type="dxa"/>
            </w:tcMar>
            <w:vAlign w:val="center"/>
          </w:tcPr>
          <w:p>
            <w:pPr>
              <w:widowControl/>
              <w:jc w:val="center"/>
              <w:textAlignment w:val="center"/>
              <w:rPr>
                <w:b/>
                <w:bCs/>
                <w:szCs w:val="21"/>
              </w:rPr>
            </w:pPr>
            <w:r>
              <w:rPr>
                <w:b/>
                <w:bCs/>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000" w:type="pct"/>
            <w:gridSpan w:val="5"/>
            <w:noWrap/>
            <w:tcMar>
              <w:top w:w="15" w:type="dxa"/>
              <w:left w:w="15" w:type="dxa"/>
              <w:right w:w="15" w:type="dxa"/>
            </w:tcMar>
            <w:vAlign w:val="center"/>
          </w:tcPr>
          <w:p>
            <w:pPr>
              <w:widowControl/>
              <w:ind w:firstLine="211" w:firstLineChars="100"/>
              <w:jc w:val="left"/>
              <w:textAlignment w:val="center"/>
              <w:rPr>
                <w:szCs w:val="21"/>
              </w:rPr>
            </w:pPr>
            <w:r>
              <w:rPr>
                <w:b/>
                <w:bCs/>
                <w:szCs w:val="21"/>
              </w:rPr>
              <w:t>一、建设期清单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1</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400万星光级筒型网络摄像机</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400万星光级1/1.8” CMOS AI抓拍筒型网络摄像机</w:t>
            </w:r>
            <w:r>
              <w:rPr>
                <w:kern w:val="0"/>
                <w:szCs w:val="21"/>
                <w:lang w:bidi="ar"/>
              </w:rPr>
              <w:br w:type="textWrapping"/>
            </w:r>
            <w:r>
              <w:rPr>
                <w:kern w:val="0"/>
                <w:szCs w:val="21"/>
                <w:lang w:bidi="ar"/>
              </w:rPr>
              <w:t xml:space="preserve">"最低照度:彩色:≤0.0005Lux;  </w:t>
            </w:r>
            <w:r>
              <w:rPr>
                <w:kern w:val="0"/>
                <w:szCs w:val="21"/>
                <w:lang w:bidi="ar"/>
              </w:rPr>
              <w:br w:type="textWrapping"/>
            </w:r>
            <w:r>
              <w:rPr>
                <w:kern w:val="0"/>
                <w:szCs w:val="21"/>
                <w:lang w:bidi="ar"/>
              </w:rPr>
              <w:t>黑白:≤0.0001 Lux, 0 Lux with IR"</w:t>
            </w:r>
            <w:r>
              <w:rPr>
                <w:kern w:val="0"/>
                <w:szCs w:val="21"/>
                <w:lang w:bidi="ar"/>
              </w:rPr>
              <w:br w:type="textWrapping"/>
            </w:r>
            <w:r>
              <w:rPr>
                <w:kern w:val="0"/>
                <w:szCs w:val="21"/>
                <w:lang w:bidi="ar"/>
              </w:rPr>
              <w:t>镜头:（变焦）2.8-12mm</w:t>
            </w:r>
            <w:r>
              <w:rPr>
                <w:kern w:val="0"/>
                <w:szCs w:val="21"/>
                <w:lang w:bidi="ar"/>
              </w:rPr>
              <w:br w:type="textWrapping"/>
            </w:r>
            <w:r>
              <w:rPr>
                <w:kern w:val="0"/>
                <w:szCs w:val="21"/>
                <w:lang w:bidi="ar"/>
              </w:rPr>
              <w:t>视频压缩标准:H.265/H.264 / MJPEG</w:t>
            </w:r>
            <w:r>
              <w:rPr>
                <w:kern w:val="0"/>
                <w:szCs w:val="21"/>
                <w:lang w:bidi="ar"/>
              </w:rPr>
              <w:br w:type="textWrapping"/>
            </w:r>
            <w:r>
              <w:rPr>
                <w:kern w:val="0"/>
                <w:szCs w:val="21"/>
                <w:lang w:bidi="ar"/>
              </w:rPr>
              <w:t>最大图像尺寸:不低于2650×1440</w:t>
            </w:r>
            <w:r>
              <w:rPr>
                <w:kern w:val="0"/>
                <w:szCs w:val="21"/>
                <w:lang w:bidi="ar"/>
              </w:rPr>
              <w:br w:type="textWrapping"/>
            </w:r>
            <w:r>
              <w:rPr>
                <w:kern w:val="0"/>
                <w:szCs w:val="21"/>
                <w:lang w:bidi="ar"/>
              </w:rPr>
              <w:t>功耗: Max： 16.0W;</w:t>
            </w:r>
            <w:r>
              <w:rPr>
                <w:kern w:val="0"/>
                <w:szCs w:val="21"/>
                <w:lang w:bidi="ar"/>
              </w:rPr>
              <w:br w:type="textWrapping"/>
            </w:r>
            <w:r>
              <w:rPr>
                <w:kern w:val="0"/>
                <w:szCs w:val="21"/>
                <w:lang w:bidi="ar"/>
              </w:rPr>
              <w:t>防护等级:IP66</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423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2</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400万高清智能球机</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传感器类型: 1/1.8＂ progressive scan CMOS，双sensor架构</w:t>
            </w:r>
            <w:r>
              <w:rPr>
                <w:kern w:val="0"/>
                <w:szCs w:val="21"/>
                <w:lang w:bidi="ar"/>
              </w:rPr>
              <w:br w:type="textWrapping"/>
            </w:r>
            <w:r>
              <w:rPr>
                <w:kern w:val="0"/>
                <w:szCs w:val="21"/>
                <w:lang w:bidi="ar"/>
              </w:rPr>
              <w:t>最低照度 彩色：≤0.0004Lux ，黑白：≤0.0001Lux ，0Lux with IR</w:t>
            </w:r>
            <w:r>
              <w:rPr>
                <w:kern w:val="0"/>
                <w:szCs w:val="21"/>
                <w:lang w:bidi="ar"/>
              </w:rPr>
              <w:br w:type="textWrapping"/>
            </w:r>
            <w:r>
              <w:rPr>
                <w:kern w:val="0"/>
                <w:szCs w:val="21"/>
                <w:lang w:bidi="ar"/>
              </w:rPr>
              <w:t>光学变倍: 35倍</w:t>
            </w:r>
            <w:r>
              <w:rPr>
                <w:kern w:val="0"/>
                <w:szCs w:val="21"/>
                <w:lang w:bidi="ar"/>
              </w:rPr>
              <w:br w:type="textWrapping"/>
            </w:r>
            <w:r>
              <w:rPr>
                <w:kern w:val="0"/>
                <w:szCs w:val="21"/>
                <w:lang w:bidi="ar"/>
              </w:rPr>
              <w:t>焦距: 5.9-206.5mm</w:t>
            </w:r>
            <w:r>
              <w:rPr>
                <w:kern w:val="0"/>
                <w:szCs w:val="21"/>
                <w:lang w:bidi="ar"/>
              </w:rPr>
              <w:br w:type="textWrapping"/>
            </w:r>
            <w:r>
              <w:rPr>
                <w:kern w:val="0"/>
                <w:szCs w:val="21"/>
                <w:lang w:bidi="ar"/>
              </w:rPr>
              <w:t>水平范围: 360°</w:t>
            </w:r>
            <w:r>
              <w:rPr>
                <w:kern w:val="0"/>
                <w:szCs w:val="21"/>
                <w:lang w:bidi="ar"/>
              </w:rPr>
              <w:br w:type="textWrapping"/>
            </w:r>
            <w:r>
              <w:rPr>
                <w:kern w:val="0"/>
                <w:szCs w:val="21"/>
                <w:lang w:bidi="ar"/>
              </w:rPr>
              <w:t>垂直范围: -25°-90°(自动翻转)</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3</w:t>
            </w:r>
          </w:p>
        </w:tc>
        <w:tc>
          <w:tcPr>
            <w:tcW w:w="795" w:type="pct"/>
            <w:noWrap w:val="0"/>
            <w:tcMar>
              <w:top w:w="15" w:type="dxa"/>
              <w:left w:w="15" w:type="dxa"/>
              <w:right w:w="15" w:type="dxa"/>
            </w:tcMar>
            <w:vAlign w:val="center"/>
          </w:tcPr>
          <w:p>
            <w:pPr>
              <w:widowControl/>
              <w:jc w:val="center"/>
              <w:textAlignment w:val="center"/>
              <w:rPr>
                <w:szCs w:val="21"/>
              </w:rPr>
            </w:pPr>
            <w:r>
              <w:t>900</w:t>
            </w:r>
            <w:r>
              <w:rPr>
                <w:rFonts w:hint="eastAsia"/>
              </w:rPr>
              <w:t>万低照度人车一体机</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车辆人脸卡口抓拍单元</w:t>
            </w:r>
            <w:r>
              <w:rPr>
                <w:kern w:val="0"/>
                <w:szCs w:val="21"/>
                <w:lang w:bidi="ar"/>
              </w:rPr>
              <w:br w:type="textWrapping"/>
            </w:r>
            <w:r>
              <w:rPr>
                <w:kern w:val="0"/>
                <w:szCs w:val="21"/>
                <w:lang w:bidi="ar"/>
              </w:rPr>
              <w:t>包含摄像机、高清镜头、室外防护罩、补光灯、散热部件、电源适配器、安装万向节等</w:t>
            </w:r>
            <w:r>
              <w:rPr>
                <w:kern w:val="0"/>
                <w:szCs w:val="21"/>
                <w:lang w:bidi="ar"/>
              </w:rPr>
              <w:br w:type="textWrapping"/>
            </w:r>
            <w:r>
              <w:rPr>
                <w:kern w:val="0"/>
                <w:szCs w:val="21"/>
                <w:lang w:bidi="ar"/>
              </w:rPr>
              <w:t>像素：900W</w:t>
            </w:r>
            <w:r>
              <w:rPr>
                <w:kern w:val="0"/>
                <w:szCs w:val="21"/>
                <w:lang w:bidi="ar"/>
              </w:rPr>
              <w:br w:type="textWrapping"/>
            </w:r>
            <w:r>
              <w:rPr>
                <w:kern w:val="0"/>
                <w:szCs w:val="21"/>
                <w:lang w:bidi="ar"/>
              </w:rPr>
              <w:t>分辨率：4096(H)×2160(V)</w:t>
            </w:r>
            <w:r>
              <w:rPr>
                <w:kern w:val="0"/>
                <w:szCs w:val="21"/>
                <w:lang w:bidi="ar"/>
              </w:rPr>
              <w:br w:type="textWrapping"/>
            </w:r>
            <w:r>
              <w:rPr>
                <w:kern w:val="0"/>
                <w:szCs w:val="21"/>
                <w:lang w:bidi="ar"/>
              </w:rPr>
              <w:t>帧率：≤25fps</w:t>
            </w:r>
            <w:r>
              <w:rPr>
                <w:kern w:val="0"/>
                <w:szCs w:val="21"/>
                <w:lang w:bidi="ar"/>
              </w:rPr>
              <w:br w:type="textWrapping"/>
            </w:r>
            <w:r>
              <w:rPr>
                <w:kern w:val="0"/>
                <w:szCs w:val="21"/>
                <w:lang w:bidi="ar"/>
              </w:rPr>
              <w:t>感光器件：1英寸全局曝光CMOS（*2）或不低于此性能要求</w:t>
            </w:r>
            <w:r>
              <w:rPr>
                <w:kern w:val="0"/>
                <w:szCs w:val="21"/>
                <w:lang w:bidi="ar"/>
              </w:rPr>
              <w:br w:type="textWrapping"/>
            </w:r>
            <w:r>
              <w:rPr>
                <w:kern w:val="0"/>
                <w:szCs w:val="21"/>
                <w:lang w:bidi="ar"/>
              </w:rPr>
              <w:t>视频压缩标准：H.265/H.264/MJPEG</w:t>
            </w:r>
            <w:r>
              <w:rPr>
                <w:kern w:val="0"/>
                <w:szCs w:val="21"/>
                <w:lang w:bidi="ar"/>
              </w:rPr>
              <w:br w:type="textWrapping"/>
            </w:r>
            <w:r>
              <w:rPr>
                <w:kern w:val="0"/>
                <w:szCs w:val="21"/>
                <w:lang w:bidi="ar"/>
              </w:rPr>
              <w:t>图像输出格式：JPEG</w:t>
            </w:r>
            <w:r>
              <w:rPr>
                <w:kern w:val="0"/>
                <w:szCs w:val="21"/>
                <w:lang w:bidi="ar"/>
              </w:rPr>
              <w:br w:type="textWrapping"/>
            </w:r>
            <w:r>
              <w:rPr>
                <w:kern w:val="0"/>
                <w:szCs w:val="21"/>
                <w:lang w:bidi="ar"/>
              </w:rPr>
              <w:t>功耗：＜20W</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4</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爆闪灯</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24颗大功率进口LED灯珠，支持LED频闪，白光气体爆闪，红外气体爆闪。可覆盖1个车道</w:t>
            </w:r>
            <w:r>
              <w:rPr>
                <w:kern w:val="0"/>
                <w:szCs w:val="21"/>
                <w:lang w:bidi="ar"/>
              </w:rPr>
              <w:br w:type="textWrapping"/>
            </w:r>
            <w:r>
              <w:rPr>
                <w:kern w:val="0"/>
                <w:szCs w:val="21"/>
                <w:lang w:bidi="ar"/>
              </w:rPr>
              <w:t>采用24颗原装进口高亮度LED芯片，寿命长，稳定性好，发光效率高</w:t>
            </w:r>
            <w:r>
              <w:rPr>
                <w:kern w:val="0"/>
                <w:szCs w:val="21"/>
                <w:lang w:bidi="ar"/>
              </w:rPr>
              <w:br w:type="textWrapping"/>
            </w:r>
            <w:r>
              <w:rPr>
                <w:kern w:val="0"/>
                <w:szCs w:val="21"/>
                <w:lang w:bidi="ar"/>
              </w:rPr>
              <w:t>采用步进电机功能，实现红外滤片的切换</w:t>
            </w:r>
            <w:r>
              <w:rPr>
                <w:kern w:val="0"/>
                <w:szCs w:val="21"/>
                <w:lang w:bidi="ar"/>
              </w:rPr>
              <w:br w:type="textWrapping"/>
            </w:r>
            <w:r>
              <w:rPr>
                <w:kern w:val="0"/>
                <w:szCs w:val="21"/>
                <w:lang w:bidi="ar"/>
              </w:rPr>
              <w:t>气体光源回电时间小于67ms，支持超速连拍，</w:t>
            </w:r>
            <w:r>
              <w:rPr>
                <w:kern w:val="0"/>
                <w:szCs w:val="21"/>
                <w:lang w:bidi="ar"/>
              </w:rPr>
              <w:br w:type="textWrapping"/>
            </w:r>
            <w:r>
              <w:rPr>
                <w:kern w:val="0"/>
                <w:szCs w:val="21"/>
                <w:lang w:bidi="ar"/>
              </w:rPr>
              <w:t>气体补光控制具有峰值抑制功能</w:t>
            </w:r>
            <w:r>
              <w:rPr>
                <w:kern w:val="0"/>
                <w:szCs w:val="21"/>
                <w:lang w:bidi="ar"/>
              </w:rPr>
              <w:br w:type="textWrapping"/>
            </w:r>
            <w:r>
              <w:rPr>
                <w:kern w:val="0"/>
                <w:szCs w:val="21"/>
                <w:lang w:bidi="ar"/>
              </w:rPr>
              <w:t>支持LED灯频闪、白光气体爆闪，红外气体爆闪</w:t>
            </w:r>
            <w:r>
              <w:rPr>
                <w:kern w:val="0"/>
                <w:szCs w:val="21"/>
                <w:lang w:bidi="ar"/>
              </w:rPr>
              <w:br w:type="textWrapping"/>
            </w:r>
            <w:r>
              <w:rPr>
                <w:kern w:val="0"/>
                <w:szCs w:val="21"/>
                <w:lang w:bidi="ar"/>
              </w:rPr>
              <w:t>结构采用IP65设计，增加透气孔，保持内外压强均衡，可靠防水、防尘</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5</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恒定补光灯</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原装进口大功率LED</w:t>
            </w:r>
            <w:r>
              <w:rPr>
                <w:kern w:val="0"/>
                <w:szCs w:val="21"/>
                <w:lang w:bidi="ar"/>
              </w:rPr>
              <w:br w:type="textWrapping"/>
            </w:r>
            <w:r>
              <w:rPr>
                <w:kern w:val="0"/>
                <w:szCs w:val="21"/>
                <w:lang w:bidi="ar"/>
              </w:rPr>
              <w:t>LED灯珠数量：16颗</w:t>
            </w:r>
            <w:r>
              <w:rPr>
                <w:kern w:val="0"/>
                <w:szCs w:val="21"/>
                <w:lang w:bidi="ar"/>
              </w:rPr>
              <w:br w:type="textWrapping"/>
            </w:r>
            <w:r>
              <w:rPr>
                <w:kern w:val="0"/>
                <w:szCs w:val="21"/>
                <w:lang w:bidi="ar"/>
              </w:rPr>
              <w:t>发光角度：40°</w:t>
            </w:r>
            <w:r>
              <w:rPr>
                <w:kern w:val="0"/>
                <w:szCs w:val="21"/>
                <w:lang w:bidi="ar"/>
              </w:rPr>
              <w:br w:type="textWrapping"/>
            </w:r>
            <w:r>
              <w:rPr>
                <w:kern w:val="0"/>
                <w:szCs w:val="21"/>
                <w:lang w:bidi="ar"/>
              </w:rPr>
              <w:t>最佳补光距离：16米-25米</w:t>
            </w:r>
            <w:r>
              <w:rPr>
                <w:kern w:val="0"/>
                <w:szCs w:val="21"/>
                <w:lang w:bidi="ar"/>
              </w:rPr>
              <w:br w:type="textWrapping"/>
            </w:r>
            <w:r>
              <w:rPr>
                <w:kern w:val="0"/>
                <w:szCs w:val="21"/>
                <w:lang w:bidi="ar"/>
              </w:rPr>
              <w:t>触发方式：光敏控制</w:t>
            </w:r>
            <w:r>
              <w:rPr>
                <w:kern w:val="0"/>
                <w:szCs w:val="21"/>
                <w:lang w:bidi="ar"/>
              </w:rPr>
              <w:br w:type="textWrapping"/>
            </w:r>
            <w:r>
              <w:rPr>
                <w:kern w:val="0"/>
                <w:szCs w:val="21"/>
                <w:lang w:bidi="ar"/>
              </w:rPr>
              <w:t>防护等级：IP66</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6</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云存储管理节点</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处理器：64位多核处理器（核数≧20）</w:t>
            </w:r>
            <w:r>
              <w:rPr>
                <w:kern w:val="0"/>
                <w:szCs w:val="21"/>
                <w:lang w:bidi="ar"/>
              </w:rPr>
              <w:br w:type="textWrapping"/>
            </w:r>
            <w:r>
              <w:rPr>
                <w:kern w:val="0"/>
                <w:szCs w:val="21"/>
                <w:lang w:bidi="ar"/>
              </w:rPr>
              <w:t>内存：DDR4，标配64GB内存，最大可扩展至256GB</w:t>
            </w:r>
            <w:r>
              <w:rPr>
                <w:kern w:val="0"/>
                <w:szCs w:val="21"/>
                <w:lang w:bidi="ar"/>
              </w:rPr>
              <w:br w:type="textWrapping"/>
            </w:r>
            <w:r>
              <w:rPr>
                <w:kern w:val="0"/>
                <w:szCs w:val="21"/>
                <w:lang w:bidi="ar"/>
              </w:rPr>
              <w:t>内置SSD硬盘：标配3个热插拔960GB SSD硬盘</w:t>
            </w:r>
            <w:r>
              <w:rPr>
                <w:kern w:val="0"/>
                <w:szCs w:val="21"/>
                <w:lang w:bidi="ar"/>
              </w:rPr>
              <w:br w:type="textWrapping"/>
            </w:r>
            <w:r>
              <w:rPr>
                <w:kern w:val="0"/>
                <w:szCs w:val="21"/>
                <w:lang w:bidi="ar"/>
              </w:rPr>
              <w:t>网口：2个千兆网口，可扩展20个千兆网口或10个万兆网口</w:t>
            </w:r>
            <w:r>
              <w:rPr>
                <w:kern w:val="0"/>
                <w:szCs w:val="21"/>
                <w:lang w:bidi="ar"/>
              </w:rPr>
              <w:br w:type="textWrapping"/>
            </w:r>
            <w:r>
              <w:rPr>
                <w:kern w:val="0"/>
                <w:szCs w:val="21"/>
                <w:lang w:bidi="ar"/>
              </w:rPr>
              <w:t>其它接口：1个RJ-45网络接口、6个USB 3.0接口、1个VGA接口</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7</w:t>
            </w:r>
          </w:p>
        </w:tc>
        <w:tc>
          <w:tcPr>
            <w:tcW w:w="795" w:type="pct"/>
            <w:noWrap w:val="0"/>
            <w:tcMar>
              <w:top w:w="15" w:type="dxa"/>
              <w:left w:w="15" w:type="dxa"/>
              <w:right w:w="15" w:type="dxa"/>
            </w:tcMar>
            <w:vAlign w:val="center"/>
          </w:tcPr>
          <w:p>
            <w:pPr>
              <w:widowControl/>
              <w:jc w:val="center"/>
              <w:textAlignment w:val="center"/>
              <w:rPr>
                <w:kern w:val="0"/>
                <w:szCs w:val="21"/>
                <w:lang w:bidi="ar"/>
              </w:rPr>
            </w:pPr>
            <w:r>
              <w:rPr>
                <w:kern w:val="0"/>
                <w:szCs w:val="21"/>
                <w:lang w:bidi="ar"/>
              </w:rPr>
              <w:t>800万人脸抓</w:t>
            </w:r>
          </w:p>
          <w:p>
            <w:pPr>
              <w:widowControl/>
              <w:jc w:val="center"/>
              <w:textAlignment w:val="center"/>
              <w:rPr>
                <w:szCs w:val="21"/>
              </w:rPr>
            </w:pPr>
            <w:r>
              <w:rPr>
                <w:kern w:val="0"/>
                <w:szCs w:val="21"/>
                <w:lang w:bidi="ar"/>
              </w:rPr>
              <w:t>拍机</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800万 1/1.8" 星光级CMOS AI护罩一体化网络摄像机</w:t>
            </w:r>
            <w:r>
              <w:rPr>
                <w:kern w:val="0"/>
                <w:szCs w:val="21"/>
                <w:lang w:bidi="ar"/>
              </w:rPr>
              <w:br w:type="textWrapping"/>
            </w:r>
            <w:r>
              <w:rPr>
                <w:kern w:val="0"/>
                <w:szCs w:val="21"/>
                <w:lang w:bidi="ar"/>
              </w:rPr>
              <w:t>支持三种智能资源模式切换：混合目标检测-全结构化模式（默认）、混合目标检测-比对模式，人脸抓拍</w:t>
            </w:r>
            <w:r>
              <w:rPr>
                <w:kern w:val="0"/>
                <w:szCs w:val="21"/>
                <w:lang w:bidi="ar"/>
              </w:rPr>
              <w:br w:type="textWrapping"/>
            </w:r>
            <w:r>
              <w:rPr>
                <w:kern w:val="0"/>
                <w:szCs w:val="21"/>
                <w:lang w:bidi="ar"/>
              </w:rPr>
              <w:t>支持同时检测并且跟踪抓拍60张人脸</w:t>
            </w:r>
            <w:r>
              <w:rPr>
                <w:kern w:val="0"/>
                <w:szCs w:val="21"/>
                <w:lang w:bidi="ar"/>
              </w:rPr>
              <w:br w:type="textWrapping"/>
            </w:r>
            <w:r>
              <w:rPr>
                <w:kern w:val="0"/>
                <w:szCs w:val="21"/>
                <w:lang w:bidi="ar"/>
              </w:rPr>
              <w:t>混合目标检测(全结构化模式)：</w:t>
            </w:r>
            <w:r>
              <w:rPr>
                <w:kern w:val="0"/>
                <w:szCs w:val="21"/>
                <w:lang w:bidi="ar"/>
              </w:rPr>
              <w:br w:type="textWrapping"/>
            </w:r>
            <w:r>
              <w:rPr>
                <w:kern w:val="0"/>
                <w:szCs w:val="21"/>
                <w:lang w:bidi="ar"/>
              </w:rPr>
              <w:t>a) 抓拍人体：支持上衣颜色、下装颜色、性别、戴眼镜、背包、拎东西、戴帽子、戴口罩、长短袖、裤裙、发型属性识别</w:t>
            </w:r>
            <w:r>
              <w:rPr>
                <w:kern w:val="0"/>
                <w:szCs w:val="21"/>
                <w:lang w:bidi="ar"/>
              </w:rPr>
              <w:br w:type="textWrapping"/>
            </w:r>
            <w:r>
              <w:rPr>
                <w:kern w:val="0"/>
                <w:szCs w:val="21"/>
                <w:lang w:bidi="ar"/>
              </w:rPr>
              <w:t>b) 抓拍人脸：支持对运动人脸进行抓拍</w:t>
            </w:r>
            <w:r>
              <w:rPr>
                <w:kern w:val="0"/>
                <w:szCs w:val="21"/>
                <w:lang w:bidi="ar"/>
              </w:rPr>
              <w:br w:type="textWrapping"/>
            </w:r>
            <w:r>
              <w:rPr>
                <w:kern w:val="0"/>
                <w:szCs w:val="21"/>
                <w:lang w:bidi="ar"/>
              </w:rPr>
              <w:t>c) 抓拍非机动车：支持上衣颜色、性别、戴眼镜、背包、戴帽子、戴口罩、长短袖、发型、骑车类型、骑车人数属性识别</w:t>
            </w:r>
            <w:r>
              <w:rPr>
                <w:kern w:val="0"/>
                <w:szCs w:val="21"/>
                <w:lang w:bidi="ar"/>
              </w:rPr>
              <w:br w:type="textWrapping"/>
            </w:r>
            <w:r>
              <w:rPr>
                <w:kern w:val="0"/>
                <w:szCs w:val="21"/>
                <w:lang w:bidi="ar"/>
              </w:rPr>
              <w:t>d) 抓拍机动车：支持车牌识别并抓拍。支持车型、车牌颜色、车身颜色、车牌类型、子品牌车身颜色属性识别</w:t>
            </w:r>
            <w:r>
              <w:rPr>
                <w:kern w:val="0"/>
                <w:szCs w:val="21"/>
                <w:lang w:bidi="ar"/>
              </w:rPr>
              <w:br w:type="textWrapping"/>
            </w:r>
            <w:r>
              <w:rPr>
                <w:kern w:val="0"/>
                <w:szCs w:val="21"/>
                <w:lang w:bidi="ar"/>
              </w:rPr>
              <w:t>人脸抓拍（正脸抓拍）：</w:t>
            </w:r>
            <w:r>
              <w:rPr>
                <w:kern w:val="0"/>
                <w:szCs w:val="21"/>
                <w:lang w:bidi="ar"/>
              </w:rPr>
              <w:br w:type="textWrapping"/>
            </w:r>
            <w:r>
              <w:rPr>
                <w:kern w:val="0"/>
                <w:szCs w:val="21"/>
                <w:lang w:bidi="ar"/>
              </w:rPr>
              <w:t>a) 支持对运动人脸进行检测、跟踪、抓拍、评分、筛选，输出最优的人脸</w:t>
            </w:r>
            <w:r>
              <w:rPr>
                <w:kern w:val="0"/>
                <w:szCs w:val="21"/>
                <w:lang w:bidi="ar"/>
              </w:rPr>
              <w:br w:type="textWrapping"/>
            </w:r>
            <w:r>
              <w:rPr>
                <w:kern w:val="0"/>
                <w:szCs w:val="21"/>
                <w:lang w:bidi="ar"/>
              </w:rPr>
              <w:t>b) 支持人脸去误报、快速抓拍人脸</w:t>
            </w:r>
            <w:r>
              <w:rPr>
                <w:kern w:val="0"/>
                <w:szCs w:val="21"/>
                <w:lang w:bidi="ar"/>
              </w:rPr>
              <w:br w:type="textWrapping"/>
            </w:r>
            <w:r>
              <w:rPr>
                <w:kern w:val="0"/>
                <w:szCs w:val="21"/>
                <w:lang w:bidi="ar"/>
              </w:rPr>
              <w:t>c) 支持快速抓拍和最佳抓拍两种模式，并支持2种模式同时开启</w:t>
            </w:r>
            <w:r>
              <w:rPr>
                <w:kern w:val="0"/>
                <w:szCs w:val="21"/>
                <w:lang w:bidi="ar"/>
              </w:rPr>
              <w:br w:type="textWrapping"/>
            </w:r>
            <w:r>
              <w:rPr>
                <w:kern w:val="0"/>
                <w:szCs w:val="21"/>
                <w:lang w:bidi="ar"/>
              </w:rPr>
              <w:t>混合目标检测（比对模式）：</w:t>
            </w:r>
            <w:r>
              <w:rPr>
                <w:kern w:val="0"/>
                <w:szCs w:val="21"/>
                <w:lang w:bidi="ar"/>
              </w:rPr>
              <w:br w:type="textWrapping"/>
            </w:r>
            <w:r>
              <w:rPr>
                <w:kern w:val="0"/>
                <w:szCs w:val="21"/>
                <w:lang w:bidi="ar"/>
              </w:rPr>
              <w:t>a) 支持前端人脸比对</w:t>
            </w:r>
            <w:r>
              <w:rPr>
                <w:kern w:val="0"/>
                <w:szCs w:val="21"/>
                <w:lang w:bidi="ar"/>
              </w:rPr>
              <w:br w:type="textWrapping"/>
            </w:r>
            <w:r>
              <w:rPr>
                <w:kern w:val="0"/>
                <w:szCs w:val="21"/>
                <w:lang w:bidi="ar"/>
              </w:rPr>
              <w:t>b) 支持最多3个人脸库的管理</w:t>
            </w:r>
            <w:r>
              <w:rPr>
                <w:kern w:val="0"/>
                <w:szCs w:val="21"/>
                <w:lang w:bidi="ar"/>
              </w:rPr>
              <w:br w:type="textWrapping"/>
            </w:r>
            <w:r>
              <w:rPr>
                <w:kern w:val="0"/>
                <w:szCs w:val="21"/>
                <w:lang w:bidi="ar"/>
              </w:rPr>
              <w:t>c) 支持最多9万张人脸的导入</w:t>
            </w:r>
            <w:r>
              <w:rPr>
                <w:kern w:val="0"/>
                <w:szCs w:val="21"/>
                <w:lang w:bidi="ar"/>
              </w:rPr>
              <w:br w:type="textWrapping"/>
            </w:r>
            <w:r>
              <w:rPr>
                <w:kern w:val="0"/>
                <w:szCs w:val="21"/>
                <w:lang w:bidi="ar"/>
              </w:rPr>
              <w:t>d) 支持合计人脸库的存储空间最大3GB，单张人脸不超过300KB</w:t>
            </w:r>
            <w:r>
              <w:rPr>
                <w:kern w:val="0"/>
                <w:szCs w:val="21"/>
                <w:lang w:bidi="ar"/>
              </w:rPr>
              <w:br w:type="textWrapping"/>
            </w:r>
            <w:r>
              <w:rPr>
                <w:kern w:val="0"/>
                <w:szCs w:val="21"/>
                <w:lang w:bidi="ar"/>
              </w:rPr>
              <w:t>e) 支持不同人脸库不同时间布防</w:t>
            </w:r>
            <w:r>
              <w:rPr>
                <w:kern w:val="0"/>
                <w:szCs w:val="21"/>
                <w:lang w:bidi="ar"/>
              </w:rPr>
              <w:br w:type="textWrapping"/>
            </w:r>
            <w:r>
              <w:rPr>
                <w:kern w:val="0"/>
                <w:szCs w:val="21"/>
                <w:lang w:bidi="ar"/>
              </w:rPr>
              <w:t>f) 支持黑名单比对成功报警输出。</w:t>
            </w:r>
            <w:r>
              <w:rPr>
                <w:kern w:val="0"/>
                <w:szCs w:val="21"/>
                <w:lang w:bidi="ar"/>
              </w:rPr>
              <w:br w:type="textWrapping"/>
            </w:r>
            <w:r>
              <w:rPr>
                <w:kern w:val="0"/>
                <w:szCs w:val="21"/>
                <w:lang w:bidi="ar"/>
              </w:rPr>
              <w:t>g) 支持人脸瞳距20像素以上的人脸检测</w:t>
            </w:r>
            <w:r>
              <w:rPr>
                <w:kern w:val="0"/>
                <w:szCs w:val="21"/>
                <w:lang w:bidi="ar"/>
              </w:rPr>
              <w:br w:type="textWrapping"/>
            </w:r>
            <w:r>
              <w:rPr>
                <w:kern w:val="0"/>
                <w:szCs w:val="21"/>
                <w:lang w:bidi="ar"/>
              </w:rPr>
              <w:t>h) 支持人脸快速比对多种比对方式设置</w:t>
            </w:r>
            <w:r>
              <w:rPr>
                <w:kern w:val="0"/>
                <w:szCs w:val="21"/>
                <w:lang w:bidi="ar"/>
              </w:rPr>
              <w:br w:type="textWrapping"/>
            </w:r>
            <w:r>
              <w:rPr>
                <w:kern w:val="0"/>
                <w:szCs w:val="21"/>
                <w:lang w:bidi="ar"/>
              </w:rPr>
              <w:t>支持背景大图图片字符叠加功能，支持设备编号、抓拍时间、监测点信息</w:t>
            </w:r>
            <w:r>
              <w:rPr>
                <w:kern w:val="0"/>
                <w:szCs w:val="21"/>
                <w:lang w:bidi="ar"/>
              </w:rPr>
              <w:br w:type="textWrapping"/>
            </w:r>
            <w:r>
              <w:rPr>
                <w:kern w:val="0"/>
                <w:szCs w:val="21"/>
                <w:lang w:bidi="ar"/>
              </w:rPr>
              <w:t>最低照度: 彩色:≤0.0005 Lux; 黑白:0.0001 Lux; 0 Lux with IR</w:t>
            </w:r>
            <w:r>
              <w:rPr>
                <w:kern w:val="0"/>
                <w:szCs w:val="21"/>
                <w:lang w:bidi="ar"/>
              </w:rPr>
              <w:br w:type="textWrapping"/>
            </w:r>
            <w:r>
              <w:rPr>
                <w:kern w:val="0"/>
                <w:szCs w:val="21"/>
                <w:lang w:bidi="ar"/>
              </w:rPr>
              <w:t>镜头: 12-32mm,水平视场角：37.0°~11.5°，垂直视场角：20.2°~6.5°，对角线视场角：43.2°13.2°</w:t>
            </w:r>
            <w:r>
              <w:rPr>
                <w:kern w:val="0"/>
                <w:szCs w:val="21"/>
                <w:lang w:bidi="ar"/>
              </w:rPr>
              <w:br w:type="textWrapping"/>
            </w:r>
            <w:r>
              <w:rPr>
                <w:kern w:val="0"/>
                <w:szCs w:val="21"/>
                <w:lang w:bidi="ar"/>
              </w:rPr>
              <w:t>宽动态: 120dB</w:t>
            </w:r>
            <w:r>
              <w:rPr>
                <w:kern w:val="0"/>
                <w:szCs w:val="21"/>
                <w:lang w:bidi="ar"/>
              </w:rPr>
              <w:br w:type="textWrapping"/>
            </w:r>
            <w:r>
              <w:rPr>
                <w:kern w:val="0"/>
                <w:szCs w:val="21"/>
                <w:lang w:bidi="ar"/>
              </w:rPr>
              <w:t>视频压缩标准: H.265/H.264 / MJPEG</w:t>
            </w:r>
            <w:r>
              <w:rPr>
                <w:kern w:val="0"/>
                <w:szCs w:val="21"/>
                <w:lang w:bidi="ar"/>
              </w:rPr>
              <w:br w:type="textWrapping"/>
            </w:r>
            <w:r>
              <w:rPr>
                <w:kern w:val="0"/>
                <w:szCs w:val="21"/>
                <w:lang w:bidi="ar"/>
              </w:rPr>
              <w:t>最大图像尺寸: 3840×2160</w:t>
            </w:r>
            <w:r>
              <w:rPr>
                <w:kern w:val="0"/>
                <w:szCs w:val="21"/>
                <w:lang w:bidi="ar"/>
              </w:rPr>
              <w:br w:type="textWrapping"/>
            </w:r>
            <w:r>
              <w:rPr>
                <w:kern w:val="0"/>
                <w:szCs w:val="21"/>
                <w:lang w:bidi="ar"/>
              </w:rPr>
              <w:t>存储功能: 支持Micro SD(即TF卡)/Micro SDHC /Micro SDXC卡(256G)断网本地存储及断网续传,NAS(NFS,SMB/CIFS均支持)</w:t>
            </w:r>
            <w:r>
              <w:rPr>
                <w:kern w:val="0"/>
                <w:szCs w:val="21"/>
                <w:lang w:bidi="ar"/>
              </w:rPr>
              <w:br w:type="textWrapping"/>
            </w:r>
            <w:r>
              <w:rPr>
                <w:kern w:val="0"/>
                <w:szCs w:val="21"/>
                <w:lang w:bidi="ar"/>
              </w:rPr>
              <w:t>接口类型: 内插线</w:t>
            </w:r>
            <w:r>
              <w:rPr>
                <w:kern w:val="0"/>
                <w:szCs w:val="21"/>
                <w:lang w:bidi="ar"/>
              </w:rPr>
              <w:br w:type="textWrapping"/>
            </w:r>
            <w:r>
              <w:rPr>
                <w:kern w:val="0"/>
                <w:szCs w:val="21"/>
                <w:lang w:bidi="ar"/>
              </w:rPr>
              <w:t>通讯接口: 1个RJ45 10M / 100M /1000M自适应以太网口；1个RS485；1个RS232</w:t>
            </w:r>
            <w:r>
              <w:rPr>
                <w:kern w:val="0"/>
                <w:szCs w:val="21"/>
                <w:lang w:bidi="ar"/>
              </w:rPr>
              <w:br w:type="textWrapping"/>
            </w:r>
            <w:r>
              <w:rPr>
                <w:kern w:val="0"/>
                <w:szCs w:val="21"/>
                <w:lang w:bidi="ar"/>
              </w:rPr>
              <w:t>扩展接口: 具有2路3.5mm音频输入(Line in)、1路输出接口； 1路内置microphone、3对报警输入/输出接口(报警输出最大支持AC/DC 24V 1A )</w:t>
            </w:r>
            <w:r>
              <w:rPr>
                <w:kern w:val="0"/>
                <w:szCs w:val="21"/>
                <w:lang w:bidi="ar"/>
              </w:rPr>
              <w:br w:type="textWrapping"/>
            </w:r>
            <w:r>
              <w:rPr>
                <w:kern w:val="0"/>
                <w:szCs w:val="21"/>
                <w:lang w:bidi="ar"/>
              </w:rPr>
              <w:t>工作温度和湿度: -30℃~60℃,湿度小于95%(无凝结)；</w:t>
            </w:r>
            <w:r>
              <w:rPr>
                <w:kern w:val="0"/>
                <w:szCs w:val="21"/>
                <w:lang w:bidi="ar"/>
              </w:rPr>
              <w:br w:type="textWrapping"/>
            </w:r>
            <w:r>
              <w:rPr>
                <w:kern w:val="0"/>
                <w:szCs w:val="21"/>
                <w:lang w:bidi="ar"/>
              </w:rPr>
              <w:t>电源供应: AC：24V±20% 摄像机出厂自带适配器</w:t>
            </w:r>
            <w:r>
              <w:rPr>
                <w:kern w:val="0"/>
                <w:szCs w:val="21"/>
                <w:lang w:bidi="ar"/>
              </w:rPr>
              <w:br w:type="textWrapping"/>
            </w:r>
            <w:r>
              <w:rPr>
                <w:kern w:val="0"/>
                <w:szCs w:val="21"/>
                <w:lang w:bidi="ar"/>
              </w:rPr>
              <w:t>电源接口类型: 两芯接口</w:t>
            </w:r>
            <w:r>
              <w:rPr>
                <w:kern w:val="0"/>
                <w:szCs w:val="21"/>
                <w:lang w:bidi="ar"/>
              </w:rPr>
              <w:br w:type="textWrapping"/>
            </w:r>
            <w:r>
              <w:rPr>
                <w:kern w:val="0"/>
                <w:szCs w:val="21"/>
                <w:lang w:bidi="ar"/>
              </w:rPr>
              <w:t>功耗:Max：37.9W</w:t>
            </w:r>
            <w:r>
              <w:rPr>
                <w:kern w:val="0"/>
                <w:szCs w:val="21"/>
                <w:lang w:bidi="ar"/>
              </w:rPr>
              <w:br w:type="textWrapping"/>
            </w:r>
            <w:r>
              <w:rPr>
                <w:kern w:val="0"/>
                <w:szCs w:val="21"/>
                <w:lang w:bidi="ar"/>
              </w:rPr>
              <w:t>补光距离: 混合补光: 普通监控：80m; 人脸抓拍：15m</w:t>
            </w:r>
            <w:r>
              <w:rPr>
                <w:kern w:val="0"/>
                <w:szCs w:val="21"/>
                <w:lang w:bidi="ar"/>
              </w:rPr>
              <w:br w:type="textWrapping"/>
            </w:r>
            <w:r>
              <w:rPr>
                <w:kern w:val="0"/>
                <w:szCs w:val="21"/>
                <w:lang w:bidi="ar"/>
              </w:rPr>
              <w:t>红外波长: 750nm</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8</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双镜头智能人脸抓拍机</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 xml:space="preserve">400万 1/1.8” CMOS </w:t>
            </w:r>
            <w:r>
              <w:rPr>
                <w:rFonts w:hint="eastAsia"/>
              </w:rPr>
              <w:t>全彩双镜头人脸抓拍一体机</w:t>
            </w:r>
            <w:r>
              <w:rPr>
                <w:kern w:val="0"/>
                <w:szCs w:val="21"/>
                <w:lang w:bidi="ar"/>
              </w:rPr>
              <w:br w:type="textWrapping"/>
            </w:r>
            <w:r>
              <w:rPr>
                <w:rFonts w:hint="eastAsia"/>
              </w:rPr>
              <w:t>双镜头一体机</w:t>
            </w:r>
            <w:r>
              <w:rPr>
                <w:kern w:val="0"/>
                <w:szCs w:val="21"/>
                <w:lang w:bidi="ar"/>
              </w:rPr>
              <w:t>摄像机一通道看细节，一通道看全景，采用</w:t>
            </w:r>
            <w:r>
              <w:rPr>
                <w:rFonts w:hint="eastAsia"/>
              </w:rPr>
              <w:t>双镜头一体机</w:t>
            </w:r>
            <w:r>
              <w:rPr>
                <w:kern w:val="0"/>
                <w:szCs w:val="21"/>
                <w:lang w:bidi="ar"/>
              </w:rPr>
              <w:t>设计，由双镜头相机与高性能GPU模块组成，聚合多种专为复杂场景设计的深度学习算法，实现全结构化数据精准采集，具备多场景数据融合分析能力，实现全方位态势感知</w:t>
            </w:r>
            <w:r>
              <w:rPr>
                <w:kern w:val="0"/>
                <w:szCs w:val="21"/>
                <w:lang w:bidi="ar"/>
              </w:rPr>
              <w:br w:type="textWrapping"/>
            </w:r>
            <w:r>
              <w:rPr>
                <w:kern w:val="0"/>
                <w:szCs w:val="21"/>
                <w:lang w:bidi="ar"/>
              </w:rPr>
              <w:t>支持三种智能资源模式切换：混合目标检测-全结构化模式（默认）、混合目标检测-比对模式，人脸抓拍</w:t>
            </w:r>
            <w:r>
              <w:rPr>
                <w:kern w:val="0"/>
                <w:szCs w:val="21"/>
                <w:lang w:bidi="ar"/>
              </w:rPr>
              <w:br w:type="textWrapping"/>
            </w:r>
            <w:r>
              <w:rPr>
                <w:kern w:val="0"/>
                <w:szCs w:val="21"/>
                <w:lang w:bidi="ar"/>
              </w:rPr>
              <w:t>混合目标检测(抓拍+属性并发提取)：</w:t>
            </w:r>
            <w:r>
              <w:rPr>
                <w:kern w:val="0"/>
                <w:szCs w:val="21"/>
                <w:lang w:bidi="ar"/>
              </w:rPr>
              <w:br w:type="textWrapping"/>
            </w:r>
            <w:r>
              <w:rPr>
                <w:kern w:val="0"/>
                <w:szCs w:val="21"/>
                <w:lang w:bidi="ar"/>
              </w:rPr>
              <w:t>a)抓拍人体：支持上衣颜色、下装颜色、性别、戴眼镜、背包、拎东西、戴帽子、戴口罩、长短袖、裤裙、发型属性识别</w:t>
            </w:r>
            <w:r>
              <w:rPr>
                <w:kern w:val="0"/>
                <w:szCs w:val="21"/>
                <w:lang w:bidi="ar"/>
              </w:rPr>
              <w:br w:type="textWrapping"/>
            </w:r>
            <w:r>
              <w:rPr>
                <w:kern w:val="0"/>
                <w:szCs w:val="21"/>
                <w:lang w:bidi="ar"/>
              </w:rPr>
              <w:t>b)抓拍人脸：支持对运动人脸进行抓拍</w:t>
            </w:r>
            <w:r>
              <w:rPr>
                <w:kern w:val="0"/>
                <w:szCs w:val="21"/>
                <w:lang w:bidi="ar"/>
              </w:rPr>
              <w:br w:type="textWrapping"/>
            </w:r>
            <w:r>
              <w:rPr>
                <w:kern w:val="0"/>
                <w:szCs w:val="21"/>
                <w:lang w:bidi="ar"/>
              </w:rPr>
              <w:t>c)抓拍非机动车：支持上衣颜色、性别、戴眼镜、背包、戴帽子、戴口罩、长短袖、发型、骑车类型、骑车人数属性识别</w:t>
            </w:r>
            <w:r>
              <w:rPr>
                <w:kern w:val="0"/>
                <w:szCs w:val="21"/>
                <w:lang w:bidi="ar"/>
              </w:rPr>
              <w:br w:type="textWrapping"/>
            </w:r>
            <w:r>
              <w:rPr>
                <w:kern w:val="0"/>
                <w:szCs w:val="21"/>
                <w:lang w:bidi="ar"/>
              </w:rPr>
              <w:t>d)抓拍机动车：支持车牌识别并抓拍。支持车型、车牌颜色、车身颜色、车牌类型、子品牌车身颜色属性识别</w:t>
            </w:r>
            <w:r>
              <w:rPr>
                <w:kern w:val="0"/>
                <w:szCs w:val="21"/>
                <w:lang w:bidi="ar"/>
              </w:rPr>
              <w:br w:type="textWrapping"/>
            </w:r>
            <w:r>
              <w:rPr>
                <w:kern w:val="0"/>
                <w:szCs w:val="21"/>
                <w:lang w:bidi="ar"/>
              </w:rPr>
              <w:t>人脸抓拍（正脸抓拍）：</w:t>
            </w:r>
            <w:r>
              <w:rPr>
                <w:kern w:val="0"/>
                <w:szCs w:val="21"/>
                <w:lang w:bidi="ar"/>
              </w:rPr>
              <w:br w:type="textWrapping"/>
            </w:r>
            <w:r>
              <w:rPr>
                <w:kern w:val="0"/>
                <w:szCs w:val="21"/>
                <w:lang w:bidi="ar"/>
              </w:rPr>
              <w:t>a)支持最多120个/帧人脸检测</w:t>
            </w:r>
            <w:r>
              <w:rPr>
                <w:kern w:val="0"/>
                <w:szCs w:val="21"/>
                <w:lang w:bidi="ar"/>
              </w:rPr>
              <w:br w:type="textWrapping"/>
            </w:r>
            <w:r>
              <w:rPr>
                <w:kern w:val="0"/>
                <w:szCs w:val="21"/>
                <w:lang w:bidi="ar"/>
              </w:rPr>
              <w:t>b)支持对运动人脸进行检测、跟踪、抓拍、评分、筛选，输出最优的人脸</w:t>
            </w:r>
            <w:r>
              <w:rPr>
                <w:kern w:val="0"/>
                <w:szCs w:val="21"/>
                <w:lang w:bidi="ar"/>
              </w:rPr>
              <w:br w:type="textWrapping"/>
            </w:r>
            <w:r>
              <w:rPr>
                <w:kern w:val="0"/>
                <w:szCs w:val="21"/>
                <w:lang w:bidi="ar"/>
              </w:rPr>
              <w:t>c)支持人脸去误报、快速抓拍人脸</w:t>
            </w:r>
            <w:r>
              <w:rPr>
                <w:kern w:val="0"/>
                <w:szCs w:val="21"/>
                <w:lang w:bidi="ar"/>
              </w:rPr>
              <w:br w:type="textWrapping"/>
            </w:r>
            <w:r>
              <w:rPr>
                <w:kern w:val="0"/>
                <w:szCs w:val="21"/>
                <w:lang w:bidi="ar"/>
              </w:rPr>
              <w:t>混合目标检测（比对模式）：</w:t>
            </w:r>
            <w:r>
              <w:rPr>
                <w:kern w:val="0"/>
                <w:szCs w:val="21"/>
                <w:lang w:bidi="ar"/>
              </w:rPr>
              <w:br w:type="textWrapping"/>
            </w:r>
            <w:r>
              <w:rPr>
                <w:kern w:val="0"/>
                <w:szCs w:val="21"/>
                <w:lang w:bidi="ar"/>
              </w:rPr>
              <w:t>a)支持前端人脸比对</w:t>
            </w:r>
            <w:r>
              <w:rPr>
                <w:kern w:val="0"/>
                <w:szCs w:val="21"/>
                <w:lang w:bidi="ar"/>
              </w:rPr>
              <w:br w:type="textWrapping"/>
            </w:r>
            <w:r>
              <w:rPr>
                <w:kern w:val="0"/>
                <w:szCs w:val="21"/>
                <w:lang w:bidi="ar"/>
              </w:rPr>
              <w:t>b)支持最多10个人脸库的管理</w:t>
            </w:r>
            <w:r>
              <w:rPr>
                <w:kern w:val="0"/>
                <w:szCs w:val="21"/>
                <w:lang w:bidi="ar"/>
              </w:rPr>
              <w:br w:type="textWrapping"/>
            </w:r>
            <w:r>
              <w:rPr>
                <w:kern w:val="0"/>
                <w:szCs w:val="21"/>
                <w:lang w:bidi="ar"/>
              </w:rPr>
              <w:t>c)支持最多15万张人脸的导入</w:t>
            </w:r>
            <w:r>
              <w:rPr>
                <w:kern w:val="0"/>
                <w:szCs w:val="21"/>
                <w:lang w:bidi="ar"/>
              </w:rPr>
              <w:br w:type="textWrapping"/>
            </w:r>
            <w:r>
              <w:rPr>
                <w:kern w:val="0"/>
                <w:szCs w:val="21"/>
                <w:lang w:bidi="ar"/>
              </w:rPr>
              <w:t>d)支持合计人脸库的存储空间最大3GB，单张人脸不超过300KB</w:t>
            </w:r>
            <w:r>
              <w:rPr>
                <w:kern w:val="0"/>
                <w:szCs w:val="21"/>
                <w:lang w:bidi="ar"/>
              </w:rPr>
              <w:br w:type="textWrapping"/>
            </w:r>
            <w:r>
              <w:rPr>
                <w:kern w:val="0"/>
                <w:szCs w:val="21"/>
                <w:lang w:bidi="ar"/>
              </w:rPr>
              <w:t>e)支持不同人脸库不同时间布防</w:t>
            </w:r>
            <w:r>
              <w:rPr>
                <w:kern w:val="0"/>
                <w:szCs w:val="21"/>
                <w:lang w:bidi="ar"/>
              </w:rPr>
              <w:br w:type="textWrapping"/>
            </w:r>
            <w:r>
              <w:rPr>
                <w:kern w:val="0"/>
                <w:szCs w:val="21"/>
                <w:lang w:bidi="ar"/>
              </w:rPr>
              <w:t>f)支持黑名单比对成功报警输出</w:t>
            </w:r>
            <w:r>
              <w:rPr>
                <w:kern w:val="0"/>
                <w:szCs w:val="21"/>
                <w:lang w:bidi="ar"/>
              </w:rPr>
              <w:br w:type="textWrapping"/>
            </w:r>
            <w:r>
              <w:rPr>
                <w:kern w:val="0"/>
                <w:szCs w:val="21"/>
                <w:lang w:bidi="ar"/>
              </w:rPr>
              <w:t>g)支持人脸瞳距20像素以上的人脸检测</w:t>
            </w:r>
            <w:r>
              <w:rPr>
                <w:kern w:val="0"/>
                <w:szCs w:val="21"/>
                <w:lang w:bidi="ar"/>
              </w:rPr>
              <w:br w:type="textWrapping"/>
            </w:r>
            <w:r>
              <w:rPr>
                <w:kern w:val="0"/>
                <w:szCs w:val="21"/>
                <w:lang w:bidi="ar"/>
              </w:rPr>
              <w:t>h)支持人脸快速比对多种比对方式设置</w:t>
            </w:r>
            <w:r>
              <w:rPr>
                <w:kern w:val="0"/>
                <w:szCs w:val="21"/>
                <w:lang w:bidi="ar"/>
              </w:rPr>
              <w:br w:type="textWrapping"/>
            </w:r>
            <w:r>
              <w:rPr>
                <w:kern w:val="0"/>
                <w:szCs w:val="21"/>
                <w:lang w:bidi="ar"/>
              </w:rPr>
              <w:t>最低照度:</w:t>
            </w:r>
            <w:r>
              <w:rPr>
                <w:kern w:val="0"/>
                <w:szCs w:val="21"/>
                <w:lang w:bidi="ar"/>
              </w:rPr>
              <w:br w:type="textWrapping"/>
            </w:r>
            <w:r>
              <w:rPr>
                <w:kern w:val="0"/>
                <w:szCs w:val="21"/>
                <w:lang w:bidi="ar"/>
              </w:rPr>
              <w:t>通道1：彩色: ≤0.0005Lux ; 黑白: ≤0.0001 Lux , 0 Lux with IR</w:t>
            </w:r>
            <w:r>
              <w:rPr>
                <w:kern w:val="0"/>
                <w:szCs w:val="21"/>
                <w:lang w:bidi="ar"/>
              </w:rPr>
              <w:br w:type="textWrapping"/>
            </w:r>
            <w:r>
              <w:rPr>
                <w:kern w:val="0"/>
                <w:szCs w:val="21"/>
                <w:lang w:bidi="ar"/>
              </w:rPr>
              <w:t>通道2：彩色:≤ 0.0005Lux ; 黑白: ≤0.0001 Lux , 0 Lux with IR</w:t>
            </w:r>
            <w:r>
              <w:rPr>
                <w:kern w:val="0"/>
                <w:szCs w:val="21"/>
                <w:lang w:bidi="ar"/>
              </w:rPr>
              <w:br w:type="textWrapping"/>
            </w:r>
            <w:r>
              <w:rPr>
                <w:kern w:val="0"/>
                <w:szCs w:val="21"/>
                <w:lang w:bidi="ar"/>
              </w:rPr>
              <w:t>宽动态:120DB</w:t>
            </w:r>
            <w:r>
              <w:rPr>
                <w:kern w:val="0"/>
                <w:szCs w:val="21"/>
                <w:lang w:bidi="ar"/>
              </w:rPr>
              <w:br w:type="textWrapping"/>
            </w:r>
            <w:r>
              <w:rPr>
                <w:kern w:val="0"/>
                <w:szCs w:val="21"/>
                <w:lang w:bidi="ar"/>
              </w:rPr>
              <w:t>焦距&amp;视场角:</w:t>
            </w:r>
            <w:r>
              <w:rPr>
                <w:kern w:val="0"/>
                <w:szCs w:val="21"/>
                <w:lang w:bidi="ar"/>
              </w:rPr>
              <w:br w:type="textWrapping"/>
            </w:r>
            <w:r>
              <w:rPr>
                <w:kern w:val="0"/>
                <w:szCs w:val="21"/>
                <w:lang w:bidi="ar"/>
              </w:rPr>
              <w:t>通道1：12-32mm,水平视场角：37.0º~11.5º，垂直视场角：20.2º~6.5°，对角线视场角：43.2º~13.2°</w:t>
            </w:r>
            <w:r>
              <w:rPr>
                <w:kern w:val="0"/>
                <w:szCs w:val="21"/>
                <w:lang w:bidi="ar"/>
              </w:rPr>
              <w:br w:type="textWrapping"/>
            </w:r>
            <w:r>
              <w:rPr>
                <w:kern w:val="0"/>
                <w:szCs w:val="21"/>
                <w:lang w:bidi="ar"/>
              </w:rPr>
              <w:t>通道2：≤5mm定焦，水平视场角：89°，垂直视场角：46.5°，对角线视场角：105°</w:t>
            </w:r>
            <w:r>
              <w:rPr>
                <w:kern w:val="0"/>
                <w:szCs w:val="21"/>
                <w:lang w:bidi="ar"/>
              </w:rPr>
              <w:br w:type="textWrapping"/>
            </w:r>
            <w:r>
              <w:rPr>
                <w:kern w:val="0"/>
                <w:szCs w:val="21"/>
                <w:lang w:bidi="ar"/>
              </w:rPr>
              <w:t>波长范围:750nm</w:t>
            </w:r>
            <w:r>
              <w:rPr>
                <w:kern w:val="0"/>
                <w:szCs w:val="21"/>
                <w:lang w:bidi="ar"/>
              </w:rPr>
              <w:br w:type="textWrapping"/>
            </w:r>
            <w:r>
              <w:rPr>
                <w:kern w:val="0"/>
                <w:szCs w:val="21"/>
                <w:lang w:bidi="ar"/>
              </w:rPr>
              <w:t>补光距离:</w:t>
            </w:r>
            <w:r>
              <w:rPr>
                <w:kern w:val="0"/>
                <w:szCs w:val="21"/>
                <w:lang w:bidi="ar"/>
              </w:rPr>
              <w:br w:type="textWrapping"/>
            </w:r>
            <w:r>
              <w:rPr>
                <w:kern w:val="0"/>
                <w:szCs w:val="21"/>
                <w:lang w:bidi="ar"/>
              </w:rPr>
              <w:t>通道1：混合补光（750+白光）; 人脸：20米，普通监控：80米</w:t>
            </w:r>
            <w:r>
              <w:rPr>
                <w:kern w:val="0"/>
                <w:szCs w:val="21"/>
                <w:lang w:bidi="ar"/>
              </w:rPr>
              <w:br w:type="textWrapping"/>
            </w:r>
            <w:r>
              <w:rPr>
                <w:kern w:val="0"/>
                <w:szCs w:val="21"/>
                <w:lang w:bidi="ar"/>
              </w:rPr>
              <w:t>通道2：暖白光; 普通监控：30米</w:t>
            </w:r>
            <w:r>
              <w:rPr>
                <w:kern w:val="0"/>
                <w:szCs w:val="21"/>
                <w:lang w:bidi="ar"/>
              </w:rPr>
              <w:br w:type="textWrapping"/>
            </w:r>
            <w:r>
              <w:rPr>
                <w:kern w:val="0"/>
                <w:szCs w:val="21"/>
                <w:lang w:bidi="ar"/>
              </w:rPr>
              <w:t>最大图像尺寸:</w:t>
            </w:r>
            <w:r>
              <w:rPr>
                <w:kern w:val="0"/>
                <w:szCs w:val="21"/>
                <w:lang w:bidi="ar"/>
              </w:rPr>
              <w:br w:type="textWrapping"/>
            </w:r>
            <w:r>
              <w:rPr>
                <w:kern w:val="0"/>
                <w:szCs w:val="21"/>
                <w:lang w:bidi="ar"/>
              </w:rPr>
              <w:t>通道1：2560 × 1440</w:t>
            </w:r>
            <w:r>
              <w:rPr>
                <w:kern w:val="0"/>
                <w:szCs w:val="21"/>
                <w:lang w:bidi="ar"/>
              </w:rPr>
              <w:br w:type="textWrapping"/>
            </w:r>
            <w:r>
              <w:rPr>
                <w:kern w:val="0"/>
                <w:szCs w:val="21"/>
                <w:lang w:bidi="ar"/>
              </w:rPr>
              <w:t>通道2：2560 × 1440</w:t>
            </w:r>
            <w:r>
              <w:rPr>
                <w:kern w:val="0"/>
                <w:szCs w:val="21"/>
                <w:lang w:bidi="ar"/>
              </w:rPr>
              <w:br w:type="textWrapping"/>
            </w:r>
            <w:r>
              <w:rPr>
                <w:kern w:val="0"/>
                <w:szCs w:val="21"/>
                <w:lang w:bidi="ar"/>
              </w:rPr>
              <w:t>视频压缩标准:H.265/H.264 / MJPEG</w:t>
            </w:r>
            <w:r>
              <w:rPr>
                <w:kern w:val="0"/>
                <w:szCs w:val="21"/>
                <w:lang w:bidi="ar"/>
              </w:rPr>
              <w:br w:type="textWrapping"/>
            </w:r>
            <w:r>
              <w:rPr>
                <w:kern w:val="0"/>
                <w:szCs w:val="21"/>
                <w:lang w:bidi="ar"/>
              </w:rPr>
              <w:t>图像增强:背光补偿，强光抑制，透雾,电子防抖,3D降噪</w:t>
            </w:r>
            <w:r>
              <w:rPr>
                <w:kern w:val="0"/>
                <w:szCs w:val="21"/>
                <w:lang w:bidi="ar"/>
              </w:rPr>
              <w:br w:type="textWrapping"/>
            </w:r>
            <w:r>
              <w:rPr>
                <w:kern w:val="0"/>
                <w:szCs w:val="21"/>
                <w:lang w:bidi="ar"/>
              </w:rPr>
              <w:t>报警:3 输入，2 输出(报警输出最大支持AC/DC24V 1A)</w:t>
            </w:r>
            <w:r>
              <w:rPr>
                <w:kern w:val="0"/>
                <w:szCs w:val="21"/>
                <w:lang w:bidi="ar"/>
              </w:rPr>
              <w:br w:type="textWrapping"/>
            </w:r>
            <w:r>
              <w:rPr>
                <w:kern w:val="0"/>
                <w:szCs w:val="21"/>
                <w:lang w:bidi="ar"/>
              </w:rPr>
              <w:t>音频:2 输入(Line in)（3.5mm）(最大输入幅值：3.3Vpp,输入阻抗：4.7KΩ，接口类型：非平衡)，1 输出（3.5mm）(最大输出幅值：3.3Vpp,输出阻抗：100Ω，接口类型：非平衡)；2 microphone；1路扬声器输出</w:t>
            </w:r>
            <w:r>
              <w:rPr>
                <w:kern w:val="0"/>
                <w:szCs w:val="21"/>
                <w:lang w:bidi="ar"/>
              </w:rPr>
              <w:br w:type="textWrapping"/>
            </w:r>
            <w:r>
              <w:rPr>
                <w:kern w:val="0"/>
                <w:szCs w:val="21"/>
                <w:lang w:bidi="ar"/>
              </w:rPr>
              <w:t>RS485:RS-485；</w:t>
            </w:r>
            <w:r>
              <w:rPr>
                <w:kern w:val="0"/>
                <w:szCs w:val="21"/>
                <w:lang w:bidi="ar"/>
              </w:rPr>
              <w:br w:type="textWrapping"/>
            </w:r>
            <w:r>
              <w:rPr>
                <w:kern w:val="0"/>
                <w:szCs w:val="21"/>
                <w:lang w:bidi="ar"/>
              </w:rPr>
              <w:t>SD卡扩展:内置Micro SD(即TF卡)/Micro SDHC/Micro SDXC 插槽, 最大支持256 GB</w:t>
            </w:r>
            <w:r>
              <w:rPr>
                <w:kern w:val="0"/>
                <w:szCs w:val="21"/>
                <w:lang w:bidi="ar"/>
              </w:rPr>
              <w:br w:type="textWrapping"/>
            </w:r>
            <w:r>
              <w:rPr>
                <w:kern w:val="0"/>
                <w:szCs w:val="21"/>
                <w:lang w:bidi="ar"/>
              </w:rPr>
              <w:t>复位:支持</w:t>
            </w:r>
            <w:r>
              <w:rPr>
                <w:kern w:val="0"/>
                <w:szCs w:val="21"/>
                <w:lang w:bidi="ar"/>
              </w:rPr>
              <w:br w:type="textWrapping"/>
            </w:r>
            <w:r>
              <w:rPr>
                <w:kern w:val="0"/>
                <w:szCs w:val="21"/>
                <w:lang w:bidi="ar"/>
              </w:rPr>
              <w:t>网络:1个RJ45 10M / 100M /1000M自适应以太网口</w:t>
            </w:r>
            <w:r>
              <w:rPr>
                <w:kern w:val="0"/>
                <w:szCs w:val="21"/>
                <w:lang w:bidi="ar"/>
              </w:rPr>
              <w:br w:type="textWrapping"/>
            </w:r>
            <w:r>
              <w:rPr>
                <w:kern w:val="0"/>
                <w:szCs w:val="21"/>
                <w:lang w:bidi="ar"/>
              </w:rPr>
              <w:t>电源输出:DC12V 200mA</w:t>
            </w:r>
            <w:r>
              <w:rPr>
                <w:kern w:val="0"/>
                <w:szCs w:val="21"/>
                <w:lang w:bidi="ar"/>
              </w:rPr>
              <w:br w:type="textWrapping"/>
            </w:r>
            <w:r>
              <w:rPr>
                <w:kern w:val="0"/>
                <w:szCs w:val="21"/>
                <w:lang w:bidi="ar"/>
              </w:rPr>
              <w:t>加热器:支持加热去雾功能</w:t>
            </w:r>
            <w:r>
              <w:rPr>
                <w:kern w:val="0"/>
                <w:szCs w:val="21"/>
                <w:lang w:bidi="ar"/>
              </w:rPr>
              <w:br w:type="textWrapping"/>
            </w:r>
            <w:r>
              <w:rPr>
                <w:kern w:val="0"/>
                <w:szCs w:val="21"/>
                <w:lang w:bidi="ar"/>
              </w:rPr>
              <w:t>支持视频输出调试；</w:t>
            </w:r>
            <w:r>
              <w:rPr>
                <w:kern w:val="0"/>
                <w:szCs w:val="21"/>
                <w:lang w:bidi="ar"/>
              </w:rPr>
              <w:br w:type="textWrapping"/>
            </w:r>
            <w:r>
              <w:rPr>
                <w:kern w:val="0"/>
                <w:szCs w:val="21"/>
                <w:lang w:bidi="ar"/>
              </w:rPr>
              <w:t>存储温湿度: -30℃~60℃；湿度小于95%(无凝结)；</w:t>
            </w:r>
            <w:r>
              <w:rPr>
                <w:kern w:val="0"/>
                <w:szCs w:val="21"/>
                <w:lang w:bidi="ar"/>
              </w:rPr>
              <w:br w:type="textWrapping"/>
            </w:r>
            <w:r>
              <w:rPr>
                <w:kern w:val="0"/>
                <w:szCs w:val="21"/>
                <w:lang w:bidi="ar"/>
              </w:rPr>
              <w:t>启动及工作温湿度: -30℃~60℃；湿度小于95%(无凝结)；</w:t>
            </w:r>
            <w:r>
              <w:rPr>
                <w:kern w:val="0"/>
                <w:szCs w:val="21"/>
                <w:lang w:bidi="ar"/>
              </w:rPr>
              <w:br w:type="textWrapping"/>
            </w:r>
            <w:r>
              <w:rPr>
                <w:kern w:val="0"/>
                <w:szCs w:val="21"/>
                <w:lang w:bidi="ar"/>
              </w:rPr>
              <w:t>供电方式: 24V±20%</w:t>
            </w:r>
            <w:r>
              <w:rPr>
                <w:kern w:val="0"/>
                <w:szCs w:val="21"/>
                <w:lang w:bidi="ar"/>
              </w:rPr>
              <w:br w:type="textWrapping"/>
            </w:r>
            <w:r>
              <w:rPr>
                <w:kern w:val="0"/>
                <w:szCs w:val="21"/>
                <w:lang w:bidi="ar"/>
              </w:rPr>
              <w:t>功耗:Max：40 W</w:t>
            </w:r>
            <w:r>
              <w:rPr>
                <w:kern w:val="0"/>
                <w:szCs w:val="21"/>
                <w:lang w:bidi="ar"/>
              </w:rPr>
              <w:br w:type="textWrapping"/>
            </w:r>
            <w:r>
              <w:rPr>
                <w:kern w:val="0"/>
                <w:szCs w:val="21"/>
                <w:lang w:bidi="ar"/>
              </w:rPr>
              <w:t>外壳材质:金属、塑料</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8"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9</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900万人车一体机</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【车辆人脸】【CMOS】高清抓拍单元</w:t>
            </w:r>
            <w:r>
              <w:rPr>
                <w:kern w:val="0"/>
                <w:szCs w:val="21"/>
                <w:lang w:bidi="ar"/>
              </w:rPr>
              <w:br w:type="textWrapping"/>
            </w:r>
            <w:r>
              <w:rPr>
                <w:kern w:val="0"/>
                <w:szCs w:val="21"/>
                <w:lang w:bidi="ar"/>
              </w:rPr>
              <w:t>卡口抓拍单元，支持900万覆盖两车道，卡口混合车道应用，支持全结构化的机动车、非机动车和行人的抓拍和分析。支持闪光灯和LED频闪灯同步补光；</w:t>
            </w:r>
            <w:r>
              <w:rPr>
                <w:kern w:val="0"/>
                <w:szCs w:val="21"/>
                <w:lang w:bidi="ar"/>
              </w:rPr>
              <w:br w:type="textWrapping"/>
            </w:r>
            <w:r>
              <w:rPr>
                <w:kern w:val="0"/>
                <w:szCs w:val="21"/>
                <w:lang w:bidi="ar"/>
              </w:rPr>
              <w:t>使用闪光灯补光时，抓拍图片可看清司乘人员人脸；</w:t>
            </w:r>
            <w:r>
              <w:rPr>
                <w:kern w:val="0"/>
                <w:szCs w:val="21"/>
                <w:lang w:bidi="ar"/>
              </w:rPr>
              <w:br w:type="textWrapping"/>
            </w:r>
            <w:r>
              <w:rPr>
                <w:kern w:val="0"/>
                <w:szCs w:val="21"/>
                <w:lang w:bidi="ar"/>
              </w:rPr>
              <w:t>包含摄像机（内置偏振镜）、高清镜头、室外防护罩、散热部件、补光灯、电源适配器、相机内置防雷模块、安装万向节等</w:t>
            </w:r>
            <w:r>
              <w:rPr>
                <w:kern w:val="0"/>
                <w:szCs w:val="21"/>
                <w:lang w:bidi="ar"/>
              </w:rPr>
              <w:br w:type="textWrapping"/>
            </w:r>
            <w:r>
              <w:rPr>
                <w:kern w:val="0"/>
                <w:szCs w:val="21"/>
                <w:lang w:bidi="ar"/>
              </w:rPr>
              <w:t>像素：900W</w:t>
            </w:r>
            <w:r>
              <w:rPr>
                <w:kern w:val="0"/>
                <w:szCs w:val="21"/>
                <w:lang w:bidi="ar"/>
              </w:rPr>
              <w:br w:type="textWrapping"/>
            </w:r>
            <w:r>
              <w:rPr>
                <w:kern w:val="0"/>
                <w:szCs w:val="21"/>
                <w:lang w:bidi="ar"/>
              </w:rPr>
              <w:t>分辨率：支持4096*2160</w:t>
            </w:r>
            <w:r>
              <w:rPr>
                <w:kern w:val="0"/>
                <w:szCs w:val="21"/>
                <w:lang w:bidi="ar"/>
              </w:rPr>
              <w:br w:type="textWrapping"/>
            </w:r>
            <w:r>
              <w:rPr>
                <w:kern w:val="0"/>
                <w:szCs w:val="21"/>
                <w:lang w:bidi="ar"/>
              </w:rPr>
              <w:t>帧率：25fps</w:t>
            </w:r>
            <w:r>
              <w:rPr>
                <w:kern w:val="0"/>
                <w:szCs w:val="21"/>
                <w:lang w:bidi="ar"/>
              </w:rPr>
              <w:br w:type="textWrapping"/>
            </w:r>
            <w:r>
              <w:rPr>
                <w:kern w:val="0"/>
                <w:szCs w:val="21"/>
                <w:lang w:bidi="ar"/>
              </w:rPr>
              <w:t>图像传感器：CMOS传感器</w:t>
            </w:r>
            <w:r>
              <w:rPr>
                <w:kern w:val="0"/>
                <w:szCs w:val="21"/>
                <w:lang w:bidi="ar"/>
              </w:rPr>
              <w:br w:type="textWrapping"/>
            </w:r>
            <w:r>
              <w:rPr>
                <w:kern w:val="0"/>
                <w:szCs w:val="21"/>
                <w:lang w:bidi="ar"/>
              </w:rPr>
              <w:t>镜头：50mm镜头或按实际需求配置</w:t>
            </w:r>
            <w:r>
              <w:rPr>
                <w:kern w:val="0"/>
                <w:szCs w:val="21"/>
                <w:lang w:bidi="ar"/>
              </w:rPr>
              <w:br w:type="textWrapping"/>
            </w:r>
            <w:r>
              <w:rPr>
                <w:kern w:val="0"/>
                <w:szCs w:val="21"/>
                <w:lang w:bidi="ar"/>
              </w:rPr>
              <w:t xml:space="preserve">照度：彩色:0.01Lux  黑色:0.008Lux  </w:t>
            </w:r>
            <w:r>
              <w:rPr>
                <w:kern w:val="0"/>
                <w:szCs w:val="21"/>
                <w:lang w:bidi="ar"/>
              </w:rPr>
              <w:br w:type="textWrapping"/>
            </w:r>
            <w:r>
              <w:rPr>
                <w:kern w:val="0"/>
                <w:szCs w:val="21"/>
                <w:lang w:bidi="ar"/>
              </w:rPr>
              <w:t>视频压缩标准：H.265/H.264/MJPEG</w:t>
            </w:r>
            <w:r>
              <w:rPr>
                <w:kern w:val="0"/>
                <w:szCs w:val="21"/>
                <w:lang w:bidi="ar"/>
              </w:rPr>
              <w:br w:type="textWrapping"/>
            </w:r>
            <w:r>
              <w:rPr>
                <w:kern w:val="0"/>
                <w:szCs w:val="21"/>
                <w:lang w:bidi="ar"/>
              </w:rPr>
              <w:t>图像输出格式：JPEG</w:t>
            </w:r>
            <w:r>
              <w:rPr>
                <w:kern w:val="0"/>
                <w:szCs w:val="21"/>
                <w:lang w:bidi="ar"/>
              </w:rPr>
              <w:br w:type="textWrapping"/>
            </w:r>
            <w:r>
              <w:rPr>
                <w:kern w:val="0"/>
                <w:szCs w:val="21"/>
                <w:lang w:bidi="ar"/>
              </w:rPr>
              <w:t>输出：电平量信号自动光圈镜头：支持</w:t>
            </w:r>
            <w:r>
              <w:rPr>
                <w:kern w:val="0"/>
                <w:szCs w:val="21"/>
                <w:lang w:bidi="ar"/>
              </w:rPr>
              <w:br w:type="textWrapping"/>
            </w:r>
            <w:r>
              <w:rPr>
                <w:kern w:val="0"/>
                <w:szCs w:val="21"/>
                <w:lang w:bidi="ar"/>
              </w:rPr>
              <w:t>工作电压：100VAC～240VAC；；频率：48Hz～52Hz；</w:t>
            </w:r>
            <w:r>
              <w:rPr>
                <w:kern w:val="0"/>
                <w:szCs w:val="21"/>
                <w:lang w:bidi="ar"/>
              </w:rPr>
              <w:br w:type="textWrapping"/>
            </w:r>
            <w:r>
              <w:rPr>
                <w:kern w:val="0"/>
                <w:szCs w:val="21"/>
                <w:lang w:bidi="ar"/>
              </w:rPr>
              <w:t>功耗：20W MAX</w:t>
            </w:r>
            <w:r>
              <w:rPr>
                <w:kern w:val="0"/>
                <w:szCs w:val="21"/>
                <w:lang w:bidi="ar"/>
              </w:rPr>
              <w:br w:type="textWrapping"/>
            </w:r>
            <w:r>
              <w:rPr>
                <w:kern w:val="0"/>
                <w:szCs w:val="21"/>
                <w:lang w:bidi="ar"/>
              </w:rPr>
              <w:t>支持智能识别功能：机动车违章检测：机动车超速、压线、逆行、禁止大货车等违法行为</w:t>
            </w:r>
            <w:r>
              <w:rPr>
                <w:kern w:val="0"/>
                <w:szCs w:val="21"/>
                <w:lang w:bidi="ar"/>
              </w:rPr>
              <w:br w:type="textWrapping"/>
            </w:r>
            <w:r>
              <w:rPr>
                <w:kern w:val="0"/>
                <w:szCs w:val="21"/>
                <w:lang w:bidi="ar"/>
              </w:rPr>
              <w:t>非机动车管控：非机动车载人、不戴头盔、逆行、占用机动车道等违法行为</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10</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全景动态人脸抓拍</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400万1/1.8" CMOS全景摄像机】人脸抓拍：支持对运动人脸进行检测、跟踪、抓拍、评分、筛选，输出最优的人脸。支持人脸去误报、快速抓拍人脸。</w:t>
            </w:r>
            <w:r>
              <w:rPr>
                <w:kern w:val="0"/>
                <w:szCs w:val="21"/>
                <w:lang w:bidi="ar"/>
              </w:rPr>
              <w:br w:type="textWrapping"/>
            </w:r>
            <w:r>
              <w:rPr>
                <w:kern w:val="0"/>
                <w:szCs w:val="21"/>
                <w:lang w:bidi="ar"/>
              </w:rPr>
              <w:t>支持快速抓拍和最佳抓拍两种模式，并支持2种模式同时开启。</w:t>
            </w:r>
            <w:r>
              <w:rPr>
                <w:kern w:val="0"/>
                <w:szCs w:val="21"/>
                <w:lang w:bidi="ar"/>
              </w:rPr>
              <w:br w:type="textWrapping"/>
            </w:r>
            <w:r>
              <w:rPr>
                <w:kern w:val="0"/>
                <w:szCs w:val="21"/>
                <w:lang w:bidi="ar"/>
              </w:rPr>
              <w:t>传感器类型: 【全景】1/1.8＂ progressive scan CMOS； 1/1.8＂ progressive scan CMOS</w:t>
            </w:r>
            <w:r>
              <w:rPr>
                <w:kern w:val="0"/>
                <w:szCs w:val="21"/>
                <w:lang w:bidi="ar"/>
              </w:rPr>
              <w:br w:type="textWrapping"/>
            </w:r>
            <w:r>
              <w:rPr>
                <w:kern w:val="0"/>
                <w:szCs w:val="21"/>
                <w:lang w:bidi="ar"/>
              </w:rPr>
              <w:t>最低照度: 【全景】彩色：≤0.0005 Lux ，黑白：≤0.0001Lux；【细节】彩色：≤0.001Lux，黑白：≤0.0005Lux</w:t>
            </w:r>
            <w:r>
              <w:rPr>
                <w:kern w:val="0"/>
                <w:szCs w:val="21"/>
                <w:lang w:bidi="ar"/>
              </w:rPr>
              <w:br w:type="textWrapping"/>
            </w:r>
            <w:r>
              <w:rPr>
                <w:kern w:val="0"/>
                <w:szCs w:val="21"/>
                <w:lang w:bidi="ar"/>
              </w:rPr>
              <w:t>宽动态: 120dB超宽动态</w:t>
            </w:r>
            <w:r>
              <w:rPr>
                <w:kern w:val="0"/>
                <w:szCs w:val="21"/>
                <w:lang w:bidi="ar"/>
              </w:rPr>
              <w:br w:type="textWrapping"/>
            </w:r>
            <w:r>
              <w:rPr>
                <w:kern w:val="0"/>
                <w:szCs w:val="21"/>
                <w:lang w:bidi="ar"/>
              </w:rPr>
              <w:t>焦距: 【全景】定焦6mm，【细节】变焦13-52mm，4倍光学变倍</w:t>
            </w:r>
            <w:r>
              <w:rPr>
                <w:kern w:val="0"/>
                <w:szCs w:val="21"/>
                <w:lang w:bidi="ar"/>
              </w:rPr>
              <w:br w:type="textWrapping"/>
            </w:r>
            <w:r>
              <w:rPr>
                <w:kern w:val="0"/>
                <w:szCs w:val="21"/>
                <w:lang w:bidi="ar"/>
              </w:rPr>
              <w:t>近摄距: 【细节】10-1500mm（广角-望远）</w:t>
            </w:r>
            <w:r>
              <w:rPr>
                <w:kern w:val="0"/>
                <w:szCs w:val="21"/>
                <w:lang w:bidi="ar"/>
              </w:rPr>
              <w:br w:type="textWrapping"/>
            </w:r>
            <w:r>
              <w:rPr>
                <w:kern w:val="0"/>
                <w:szCs w:val="21"/>
                <w:lang w:bidi="ar"/>
              </w:rPr>
              <w:t>主码流帧率分辨率: 50Hz：25fps（2560×1440）; 60Hz：30fps（2560×1440）</w:t>
            </w:r>
            <w:r>
              <w:rPr>
                <w:kern w:val="0"/>
                <w:szCs w:val="21"/>
                <w:lang w:bidi="ar"/>
              </w:rPr>
              <w:br w:type="textWrapping"/>
            </w:r>
            <w:r>
              <w:rPr>
                <w:kern w:val="0"/>
                <w:szCs w:val="21"/>
                <w:lang w:bidi="ar"/>
              </w:rPr>
              <w:t>视频压缩标准: H.265，H.264，MJPEG</w:t>
            </w:r>
            <w:r>
              <w:rPr>
                <w:kern w:val="0"/>
                <w:szCs w:val="21"/>
                <w:lang w:bidi="ar"/>
              </w:rPr>
              <w:br w:type="textWrapping"/>
            </w:r>
            <w:r>
              <w:rPr>
                <w:kern w:val="0"/>
                <w:szCs w:val="21"/>
                <w:lang w:bidi="ar"/>
              </w:rPr>
              <w:t>网络存储: NAS（NFS，SMB/CIFS）</w:t>
            </w:r>
            <w:r>
              <w:rPr>
                <w:kern w:val="0"/>
                <w:szCs w:val="21"/>
                <w:lang w:bidi="ar"/>
              </w:rPr>
              <w:br w:type="textWrapping"/>
            </w:r>
            <w:r>
              <w:rPr>
                <w:kern w:val="0"/>
                <w:szCs w:val="21"/>
                <w:lang w:bidi="ar"/>
              </w:rPr>
              <w:t>电流及功耗: 1.67A 60W</w:t>
            </w:r>
            <w:r>
              <w:rPr>
                <w:kern w:val="0"/>
                <w:szCs w:val="21"/>
                <w:lang w:bidi="ar"/>
              </w:rPr>
              <w:br w:type="textWrapping"/>
            </w:r>
            <w:r>
              <w:rPr>
                <w:kern w:val="0"/>
                <w:szCs w:val="21"/>
                <w:lang w:bidi="ar"/>
              </w:rPr>
              <w:t>防护: IP66</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11</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爆闪灯</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24颗大功率进口LED灯珠，支持LED频闪，白光气体爆闪，红外气体爆闪。可覆盖1个车道</w:t>
            </w:r>
            <w:r>
              <w:rPr>
                <w:kern w:val="0"/>
                <w:szCs w:val="21"/>
                <w:lang w:bidi="ar"/>
              </w:rPr>
              <w:br w:type="textWrapping"/>
            </w:r>
            <w:r>
              <w:rPr>
                <w:kern w:val="0"/>
                <w:szCs w:val="21"/>
                <w:lang w:bidi="ar"/>
              </w:rPr>
              <w:t>采用24颗原装进口高亮度LED芯片，寿命长，稳定性好，发光效率高</w:t>
            </w:r>
            <w:r>
              <w:rPr>
                <w:kern w:val="0"/>
                <w:szCs w:val="21"/>
                <w:lang w:bidi="ar"/>
              </w:rPr>
              <w:br w:type="textWrapping"/>
            </w:r>
            <w:r>
              <w:rPr>
                <w:kern w:val="0"/>
                <w:szCs w:val="21"/>
                <w:lang w:bidi="ar"/>
              </w:rPr>
              <w:t>采用步进电机功能，实现红外滤片的切换</w:t>
            </w:r>
            <w:r>
              <w:rPr>
                <w:kern w:val="0"/>
                <w:szCs w:val="21"/>
                <w:lang w:bidi="ar"/>
              </w:rPr>
              <w:br w:type="textWrapping"/>
            </w:r>
            <w:r>
              <w:rPr>
                <w:kern w:val="0"/>
                <w:szCs w:val="21"/>
                <w:lang w:bidi="ar"/>
              </w:rPr>
              <w:t>气体光源回电时间小于67ms，支持超速连拍，</w:t>
            </w:r>
            <w:r>
              <w:rPr>
                <w:kern w:val="0"/>
                <w:szCs w:val="21"/>
                <w:lang w:bidi="ar"/>
              </w:rPr>
              <w:br w:type="textWrapping"/>
            </w:r>
            <w:r>
              <w:rPr>
                <w:kern w:val="0"/>
                <w:szCs w:val="21"/>
                <w:lang w:bidi="ar"/>
              </w:rPr>
              <w:t>气体补光控制具有峰值抑制功能</w:t>
            </w:r>
            <w:r>
              <w:rPr>
                <w:kern w:val="0"/>
                <w:szCs w:val="21"/>
                <w:lang w:bidi="ar"/>
              </w:rPr>
              <w:br w:type="textWrapping"/>
            </w:r>
            <w:r>
              <w:rPr>
                <w:kern w:val="0"/>
                <w:szCs w:val="21"/>
                <w:lang w:bidi="ar"/>
              </w:rPr>
              <w:t>支持LED灯频闪、白光气体爆闪，红外气体爆闪</w:t>
            </w:r>
            <w:r>
              <w:rPr>
                <w:kern w:val="0"/>
                <w:szCs w:val="21"/>
                <w:lang w:bidi="ar"/>
              </w:rPr>
              <w:br w:type="textWrapping"/>
            </w:r>
            <w:r>
              <w:rPr>
                <w:kern w:val="0"/>
                <w:szCs w:val="21"/>
                <w:lang w:bidi="ar"/>
              </w:rPr>
              <w:t>结构采用IP65设计，增加透气孔，保持内外压强均衡，可靠防水、防尘</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12</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补光灯</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LED常亮灯</w:t>
            </w:r>
            <w:r>
              <w:rPr>
                <w:kern w:val="0"/>
                <w:szCs w:val="21"/>
                <w:lang w:bidi="ar"/>
              </w:rPr>
              <w:br w:type="textWrapping"/>
            </w:r>
            <w:r>
              <w:rPr>
                <w:kern w:val="0"/>
                <w:szCs w:val="21"/>
                <w:lang w:bidi="ar"/>
              </w:rPr>
              <w:t>光源类型：原装进口大功率LED</w:t>
            </w:r>
            <w:r>
              <w:rPr>
                <w:kern w:val="0"/>
                <w:szCs w:val="21"/>
                <w:lang w:bidi="ar"/>
              </w:rPr>
              <w:br w:type="textWrapping"/>
            </w:r>
            <w:r>
              <w:rPr>
                <w:kern w:val="0"/>
                <w:szCs w:val="21"/>
                <w:lang w:bidi="ar"/>
              </w:rPr>
              <w:t>LED灯珠数量：16颗</w:t>
            </w:r>
            <w:r>
              <w:rPr>
                <w:kern w:val="0"/>
                <w:szCs w:val="21"/>
                <w:lang w:bidi="ar"/>
              </w:rPr>
              <w:br w:type="textWrapping"/>
            </w:r>
            <w:r>
              <w:rPr>
                <w:kern w:val="0"/>
                <w:szCs w:val="21"/>
                <w:lang w:bidi="ar"/>
              </w:rPr>
              <w:t>发光角度：40°</w:t>
            </w:r>
            <w:r>
              <w:rPr>
                <w:kern w:val="0"/>
                <w:szCs w:val="21"/>
                <w:lang w:bidi="ar"/>
              </w:rPr>
              <w:br w:type="textWrapping"/>
            </w:r>
            <w:r>
              <w:rPr>
                <w:kern w:val="0"/>
                <w:szCs w:val="21"/>
                <w:lang w:bidi="ar"/>
              </w:rPr>
              <w:t>触发方式：光敏控制</w:t>
            </w:r>
            <w:r>
              <w:rPr>
                <w:kern w:val="0"/>
                <w:szCs w:val="21"/>
                <w:lang w:bidi="ar"/>
              </w:rPr>
              <w:br w:type="textWrapping"/>
            </w:r>
            <w:r>
              <w:rPr>
                <w:kern w:val="0"/>
                <w:szCs w:val="21"/>
                <w:lang w:bidi="ar"/>
              </w:rPr>
              <w:t>防护等级：IP66。</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13</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人脸监控立杆及预埋件</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定制，根据现场安装高度2.5米-5米，防锈防腐。不得低于国家或行业规定相关要求。</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14</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人脸监控基础开挖与浇筑</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定制，根据现场安装杆件制作基础大小0.6米*0.6米*0.6米-1.0米*1.0米*1.1米。不得低于国家或行业规定相关要求。</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15</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人车卡口杆件及预埋件</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定制，根据现场安装高度6.5米，防锈防腐。不得低于国家或行业规定相关要求。</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16</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人车卡口基础开挖与浇筑</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定制，根据现场安装杆件制作基础大小1.0米*1.0米*1.2米。不得低于国家或行业规定相关要求。</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17</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挑臂支架</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定制，长度0.5米-4米，防锈防腐。不得低于国家或行业规定相关要求。</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根</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18</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吊装支架</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定制，挑臂长度根据各路口实际长度0.5米-1.2米，防锈防腐。不得低于国家或行业规定相关要求。</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根</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19</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设备箱</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定制，防水、散热。不得低于国家或行业规定相关要求。</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个</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20</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电源防雷器</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最大持续工作电压Uc：275V，</w:t>
            </w:r>
            <w:r>
              <w:rPr>
                <w:kern w:val="0"/>
                <w:szCs w:val="21"/>
                <w:lang w:bidi="ar"/>
              </w:rPr>
              <w:br w:type="textWrapping"/>
            </w:r>
            <w:r>
              <w:rPr>
                <w:kern w:val="0"/>
                <w:szCs w:val="21"/>
                <w:lang w:bidi="ar"/>
              </w:rPr>
              <w:t>额定工作电压Un：单相220V/50Hz，</w:t>
            </w:r>
            <w:r>
              <w:rPr>
                <w:kern w:val="0"/>
                <w:szCs w:val="21"/>
                <w:lang w:bidi="ar"/>
              </w:rPr>
              <w:br w:type="textWrapping"/>
            </w:r>
            <w:r>
              <w:rPr>
                <w:kern w:val="0"/>
                <w:szCs w:val="21"/>
                <w:lang w:bidi="ar"/>
              </w:rPr>
              <w:t>最大放电电流Imax（8/20μs）：20KA，</w:t>
            </w:r>
            <w:r>
              <w:rPr>
                <w:kern w:val="0"/>
                <w:szCs w:val="21"/>
                <w:lang w:bidi="ar"/>
              </w:rPr>
              <w:br w:type="textWrapping"/>
            </w:r>
            <w:r>
              <w:rPr>
                <w:kern w:val="0"/>
                <w:szCs w:val="21"/>
                <w:lang w:bidi="ar"/>
              </w:rPr>
              <w:t>标称放电电流In（8/20μs）：10KA，</w:t>
            </w:r>
            <w:r>
              <w:rPr>
                <w:kern w:val="0"/>
                <w:szCs w:val="21"/>
                <w:lang w:bidi="ar"/>
              </w:rPr>
              <w:br w:type="textWrapping"/>
            </w:r>
            <w:r>
              <w:rPr>
                <w:kern w:val="0"/>
                <w:szCs w:val="21"/>
                <w:lang w:bidi="ar"/>
              </w:rPr>
              <w:t>电压保护水平Up：1.25KV，</w:t>
            </w:r>
            <w:r>
              <w:rPr>
                <w:kern w:val="0"/>
                <w:szCs w:val="21"/>
                <w:lang w:bidi="ar"/>
              </w:rPr>
              <w:br w:type="textWrapping"/>
            </w:r>
            <w:r>
              <w:rPr>
                <w:kern w:val="0"/>
                <w:szCs w:val="21"/>
                <w:lang w:bidi="ar"/>
              </w:rPr>
              <w:t>响应时间Ta：25ns。</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个</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21</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铭牌</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监控警示牌，标识点位信息</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22</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辅材</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各类抱箍、空开及各类接插件等</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23</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前端设备安装调试</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前端设备调试，各类抱箍、支架、空开及各类接插件等</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24</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电源接入</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PE管埋地敷设和手孔的设置，道路、绿化挖掘的修复及赔偿、电源接入等。</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25</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云存储磁盘阵列</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机架式/64位多核处理器/16GB缓存/支持SATA硬盘/6个千兆网口/冗余电源/支持网络RAID/总容量≥384T企业级硬盘；</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1"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26</w:t>
            </w:r>
          </w:p>
        </w:tc>
        <w:tc>
          <w:tcPr>
            <w:tcW w:w="795" w:type="pct"/>
            <w:vMerge w:val="restart"/>
            <w:noWrap w:val="0"/>
            <w:tcMar>
              <w:top w:w="15" w:type="dxa"/>
              <w:left w:w="15" w:type="dxa"/>
              <w:right w:w="15" w:type="dxa"/>
            </w:tcMar>
            <w:vAlign w:val="center"/>
          </w:tcPr>
          <w:p>
            <w:pPr>
              <w:widowControl/>
              <w:jc w:val="center"/>
              <w:textAlignment w:val="center"/>
              <w:rPr>
                <w:szCs w:val="21"/>
              </w:rPr>
            </w:pPr>
            <w:r>
              <w:rPr>
                <w:kern w:val="0"/>
                <w:szCs w:val="21"/>
                <w:lang w:bidi="ar"/>
              </w:rPr>
              <w:t>超融合桌面云</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1.配置2*英特尔至强银牌4214（2.2GHz，12Core）；</w:t>
            </w:r>
            <w:r>
              <w:rPr>
                <w:kern w:val="0"/>
                <w:szCs w:val="21"/>
                <w:lang w:bidi="ar"/>
              </w:rPr>
              <w:br w:type="textWrapping"/>
            </w:r>
            <w:r>
              <w:rPr>
                <w:kern w:val="0"/>
                <w:szCs w:val="21"/>
                <w:lang w:bidi="ar"/>
              </w:rPr>
              <w:t>2.配置6*32G内存；</w:t>
            </w:r>
            <w:r>
              <w:rPr>
                <w:kern w:val="0"/>
                <w:szCs w:val="21"/>
                <w:lang w:bidi="ar"/>
              </w:rPr>
              <w:br w:type="textWrapping"/>
            </w:r>
            <w:r>
              <w:rPr>
                <w:kern w:val="0"/>
                <w:szCs w:val="21"/>
                <w:lang w:bidi="ar"/>
              </w:rPr>
              <w:t>3.配置2*600G SAS盘，1*1.6T NVME SSD盘，8*2T SATA盘，RAID卡-2G cache带掉电保护；</w:t>
            </w:r>
            <w:r>
              <w:rPr>
                <w:kern w:val="0"/>
                <w:szCs w:val="21"/>
                <w:lang w:bidi="ar"/>
              </w:rPr>
              <w:br w:type="textWrapping"/>
            </w:r>
            <w:r>
              <w:rPr>
                <w:kern w:val="0"/>
                <w:szCs w:val="21"/>
                <w:lang w:bidi="ar"/>
              </w:rPr>
              <w:t>4.配置2*GE+2*10GE光口（带光模块）；</w:t>
            </w:r>
            <w:r>
              <w:rPr>
                <w:kern w:val="0"/>
                <w:szCs w:val="21"/>
                <w:lang w:bidi="ar"/>
              </w:rPr>
              <w:br w:type="textWrapping"/>
            </w:r>
            <w:r>
              <w:rPr>
                <w:kern w:val="0"/>
                <w:szCs w:val="21"/>
                <w:lang w:bidi="ar"/>
              </w:rPr>
              <w:t>5.提供铂金超高效率冗余电源，电源效率≥94%；</w:t>
            </w:r>
            <w:r>
              <w:rPr>
                <w:kern w:val="0"/>
                <w:szCs w:val="21"/>
                <w:lang w:bidi="ar"/>
              </w:rPr>
              <w:br w:type="textWrapping"/>
            </w:r>
            <w:r>
              <w:rPr>
                <w:kern w:val="0"/>
                <w:szCs w:val="21"/>
                <w:lang w:bidi="ar"/>
              </w:rPr>
              <w:t>6.满配冗余风扇,支持单风扇失效；</w:t>
            </w:r>
            <w:r>
              <w:rPr>
                <w:kern w:val="0"/>
                <w:szCs w:val="21"/>
                <w:lang w:bidi="ar"/>
              </w:rPr>
              <w:br w:type="textWrapping"/>
            </w:r>
            <w:r>
              <w:rPr>
                <w:kern w:val="0"/>
                <w:szCs w:val="21"/>
                <w:lang w:bidi="ar"/>
              </w:rPr>
              <w:t>7.重建1TB数据小于30分钟（主存储介质为机械硬盘）</w:t>
            </w:r>
            <w:r>
              <w:rPr>
                <w:kern w:val="0"/>
                <w:szCs w:val="21"/>
                <w:lang w:bidi="ar"/>
              </w:rPr>
              <w:br w:type="textWrapping"/>
            </w:r>
            <w:r>
              <w:rPr>
                <w:kern w:val="0"/>
                <w:szCs w:val="21"/>
                <w:lang w:bidi="ar"/>
              </w:rPr>
              <w:t>8.服务器管理系统支持国产自研管理芯片</w:t>
            </w:r>
            <w:r>
              <w:rPr>
                <w:kern w:val="0"/>
                <w:szCs w:val="21"/>
                <w:lang w:bidi="ar"/>
              </w:rPr>
              <w:br w:type="textWrapping"/>
            </w:r>
            <w:r>
              <w:rPr>
                <w:kern w:val="0"/>
                <w:szCs w:val="21"/>
                <w:lang w:bidi="ar"/>
              </w:rPr>
              <w:t>9.无需外置SAN存储，存储系统为分布式Server SAN架构，同一节点内计算存储融合，可配置2副本或3副本，满足不同可靠性要求的业务场景</w:t>
            </w:r>
            <w:r>
              <w:rPr>
                <w:kern w:val="0"/>
                <w:szCs w:val="21"/>
                <w:lang w:bidi="ar"/>
              </w:rPr>
              <w:br w:type="textWrapping"/>
            </w:r>
            <w:r>
              <w:rPr>
                <w:kern w:val="0"/>
                <w:szCs w:val="21"/>
                <w:lang w:bidi="ar"/>
              </w:rPr>
              <w:t>10.配置超融合存储软件授权</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4"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27</w:t>
            </w:r>
          </w:p>
        </w:tc>
        <w:tc>
          <w:tcPr>
            <w:tcW w:w="795" w:type="pct"/>
            <w:vMerge w:val="continue"/>
            <w:noWrap w:val="0"/>
            <w:tcMar>
              <w:top w:w="15" w:type="dxa"/>
              <w:left w:w="15" w:type="dxa"/>
              <w:right w:w="15" w:type="dxa"/>
            </w:tcMar>
            <w:vAlign w:val="center"/>
          </w:tcPr>
          <w:p>
            <w:pPr>
              <w:jc w:val="center"/>
              <w:rPr>
                <w:szCs w:val="21"/>
              </w:rPr>
            </w:pP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1.配置桌面云软件许可-20每用户许可；</w:t>
            </w:r>
            <w:r>
              <w:rPr>
                <w:kern w:val="0"/>
                <w:szCs w:val="21"/>
                <w:lang w:bidi="ar"/>
              </w:rPr>
              <w:br w:type="textWrapping"/>
            </w:r>
            <w:r>
              <w:rPr>
                <w:kern w:val="0"/>
                <w:szCs w:val="21"/>
                <w:lang w:bidi="ar"/>
              </w:rPr>
              <w:t>2.支持采用同一个桌面虚拟化传输协议实现VDI/SBC在固定和移动接入场景下的功能；</w:t>
            </w:r>
            <w:r>
              <w:rPr>
                <w:kern w:val="0"/>
                <w:szCs w:val="21"/>
                <w:lang w:bidi="ar"/>
              </w:rPr>
              <w:br w:type="textWrapping"/>
            </w:r>
            <w:r>
              <w:rPr>
                <w:kern w:val="0"/>
                <w:szCs w:val="21"/>
                <w:lang w:bidi="ar"/>
              </w:rPr>
              <w:t>3.支持GPU直通、GPU硬件虚拟化高清图形方案。</w:t>
            </w:r>
            <w:r>
              <w:rPr>
                <w:kern w:val="0"/>
                <w:szCs w:val="21"/>
                <w:lang w:bidi="ar"/>
              </w:rPr>
              <w:br w:type="textWrapping"/>
            </w:r>
            <w:r>
              <w:rPr>
                <w:kern w:val="0"/>
                <w:szCs w:val="21"/>
                <w:lang w:bidi="ar"/>
              </w:rPr>
              <w:t>4.支持基于软件的桌面负载均衡和接入网关集群；</w:t>
            </w:r>
            <w:r>
              <w:rPr>
                <w:kern w:val="0"/>
                <w:szCs w:val="21"/>
                <w:lang w:bidi="ar"/>
              </w:rPr>
              <w:br w:type="textWrapping"/>
            </w:r>
            <w:r>
              <w:rPr>
                <w:kern w:val="0"/>
                <w:szCs w:val="21"/>
                <w:lang w:bidi="ar"/>
              </w:rPr>
              <w:t>5.支持瘦客户端的集中管理，瘦客户端维护管理系统支持对瘦客户端进行远程集中维护、集中配置、部署管理、安全管理、资产管理和性能监控以及安全认证等。</w:t>
            </w:r>
            <w:r>
              <w:rPr>
                <w:kern w:val="0"/>
                <w:szCs w:val="21"/>
                <w:lang w:bidi="ar"/>
              </w:rPr>
              <w:br w:type="textWrapping"/>
            </w:r>
            <w:r>
              <w:rPr>
                <w:kern w:val="0"/>
                <w:szCs w:val="21"/>
                <w:lang w:bidi="ar"/>
              </w:rPr>
              <w:t>6.支持4K桌面显示和4K视频播放；</w:t>
            </w:r>
            <w:r>
              <w:rPr>
                <w:kern w:val="0"/>
                <w:szCs w:val="21"/>
                <w:lang w:bidi="ar"/>
              </w:rPr>
              <w:br w:type="textWrapping"/>
            </w:r>
            <w:r>
              <w:rPr>
                <w:kern w:val="0"/>
                <w:szCs w:val="21"/>
                <w:lang w:bidi="ar"/>
              </w:rPr>
              <w:t>7.支持VIP桌面，通过为VIP桌面提供CPU、内存等资源保障和实时看护，为VIP用户提供更好的桌面体验；</w:t>
            </w:r>
            <w:r>
              <w:rPr>
                <w:kern w:val="0"/>
                <w:szCs w:val="21"/>
                <w:lang w:bidi="ar"/>
              </w:rPr>
              <w:br w:type="textWrapping"/>
            </w:r>
            <w:r>
              <w:rPr>
                <w:kern w:val="0"/>
                <w:szCs w:val="21"/>
                <w:lang w:bidi="ar"/>
              </w:rPr>
              <w:t>8.提供用户自助维护通道。当虚拟桌面登录出现异常时，可通过此维护通道自行维护解决部分虚拟桌面登录使用问题；</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28</w:t>
            </w:r>
          </w:p>
        </w:tc>
        <w:tc>
          <w:tcPr>
            <w:tcW w:w="795" w:type="pct"/>
            <w:vMerge w:val="continue"/>
            <w:noWrap w:val="0"/>
            <w:tcMar>
              <w:top w:w="15" w:type="dxa"/>
              <w:left w:w="15" w:type="dxa"/>
              <w:right w:w="15" w:type="dxa"/>
            </w:tcMar>
            <w:vAlign w:val="center"/>
          </w:tcPr>
          <w:p>
            <w:pPr>
              <w:jc w:val="center"/>
              <w:rPr>
                <w:szCs w:val="21"/>
              </w:rPr>
            </w:pP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瘦客户机-瑞芯微 RK3288 1.8GHz(四核)-1G DDR3-4G eMMC-无-1000M-(DVI-I)-Linux中文自由版-CT3200,含DVI-I转VGA头和壁挂，通过CCC、CQC认证</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个</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9"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29</w:t>
            </w:r>
          </w:p>
        </w:tc>
        <w:tc>
          <w:tcPr>
            <w:tcW w:w="795" w:type="pct"/>
            <w:vMerge w:val="restart"/>
            <w:noWrap w:val="0"/>
            <w:tcMar>
              <w:top w:w="15" w:type="dxa"/>
              <w:left w:w="15" w:type="dxa"/>
              <w:right w:w="15" w:type="dxa"/>
            </w:tcMar>
            <w:vAlign w:val="center"/>
          </w:tcPr>
          <w:p>
            <w:pPr>
              <w:widowControl/>
              <w:jc w:val="center"/>
              <w:textAlignment w:val="center"/>
              <w:rPr>
                <w:szCs w:val="21"/>
              </w:rPr>
            </w:pPr>
            <w:r>
              <w:rPr>
                <w:kern w:val="0"/>
                <w:szCs w:val="21"/>
                <w:lang w:bidi="ar"/>
              </w:rPr>
              <w:t>人脸比对服务</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业务服务模块（视频专网）</w:t>
            </w:r>
            <w:r>
              <w:rPr>
                <w:kern w:val="0"/>
                <w:szCs w:val="21"/>
                <w:lang w:bidi="ar"/>
              </w:rPr>
              <w:br w:type="textWrapping"/>
            </w:r>
            <w:r>
              <w:rPr>
                <w:kern w:val="0"/>
                <w:szCs w:val="21"/>
                <w:lang w:bidi="ar"/>
              </w:rPr>
              <w:t xml:space="preserve">CPU：Intel XEON E5-2630 V4 *1 </w:t>
            </w:r>
            <w:r>
              <w:rPr>
                <w:kern w:val="0"/>
                <w:szCs w:val="21"/>
                <w:lang w:bidi="ar"/>
              </w:rPr>
              <w:br w:type="textWrapping"/>
            </w:r>
            <w:r>
              <w:rPr>
                <w:kern w:val="0"/>
                <w:szCs w:val="21"/>
                <w:lang w:bidi="ar"/>
              </w:rPr>
              <w:t>内存：16G DDR4 *8</w:t>
            </w:r>
            <w:r>
              <w:rPr>
                <w:kern w:val="0"/>
                <w:szCs w:val="21"/>
                <w:lang w:bidi="ar"/>
              </w:rPr>
              <w:br w:type="textWrapping"/>
            </w:r>
            <w:r>
              <w:rPr>
                <w:kern w:val="0"/>
                <w:szCs w:val="21"/>
                <w:lang w:bidi="ar"/>
              </w:rPr>
              <w:t xml:space="preserve">板载网卡：板载1000M网卡*2 </w:t>
            </w:r>
            <w:r>
              <w:rPr>
                <w:kern w:val="0"/>
                <w:szCs w:val="21"/>
                <w:lang w:bidi="ar"/>
              </w:rPr>
              <w:br w:type="textWrapping"/>
            </w:r>
            <w:r>
              <w:rPr>
                <w:kern w:val="0"/>
                <w:szCs w:val="21"/>
                <w:lang w:bidi="ar"/>
              </w:rPr>
              <w:t>万兆网卡：双口万兆光口卡，含光模块×2</w:t>
            </w:r>
            <w:r>
              <w:rPr>
                <w:kern w:val="0"/>
                <w:szCs w:val="21"/>
                <w:lang w:bidi="ar"/>
              </w:rPr>
              <w:br w:type="textWrapping"/>
            </w:r>
            <w:r>
              <w:rPr>
                <w:kern w:val="0"/>
                <w:szCs w:val="21"/>
                <w:lang w:bidi="ar"/>
              </w:rPr>
              <w:t xml:space="preserve">电源：冗余双电550W </w:t>
            </w:r>
            <w:r>
              <w:rPr>
                <w:kern w:val="0"/>
                <w:szCs w:val="21"/>
                <w:lang w:bidi="ar"/>
              </w:rPr>
              <w:br w:type="textWrapping"/>
            </w:r>
            <w:r>
              <w:rPr>
                <w:kern w:val="0"/>
                <w:szCs w:val="21"/>
                <w:lang w:bidi="ar"/>
              </w:rPr>
              <w:t>硬盘：4T  7.2k 3.5“ SATA  6G*4（做RAID5）+ 480 GB SSD*1</w:t>
            </w:r>
            <w:r>
              <w:rPr>
                <w:kern w:val="0"/>
                <w:szCs w:val="21"/>
                <w:lang w:bidi="ar"/>
              </w:rPr>
              <w:br w:type="textWrapping"/>
            </w:r>
            <w:r>
              <w:rPr>
                <w:kern w:val="0"/>
                <w:szCs w:val="21"/>
                <w:lang w:bidi="ar"/>
              </w:rPr>
              <w:t>RAID卡：8口，支持RAID 0,1,5,6,10,50,60,JBOD</w:t>
            </w:r>
            <w:r>
              <w:rPr>
                <w:kern w:val="0"/>
                <w:szCs w:val="21"/>
                <w:lang w:bidi="ar"/>
              </w:rPr>
              <w:br w:type="textWrapping"/>
            </w:r>
            <w:r>
              <w:rPr>
                <w:kern w:val="0"/>
                <w:szCs w:val="21"/>
                <w:lang w:bidi="ar"/>
              </w:rPr>
              <w:t>软件适配：</w:t>
            </w:r>
            <w:r>
              <w:rPr>
                <w:kern w:val="0"/>
                <w:szCs w:val="21"/>
                <w:lang w:bidi="ar"/>
              </w:rPr>
              <w:br w:type="textWrapping"/>
            </w:r>
            <w:r>
              <w:rPr>
                <w:kern w:val="0"/>
                <w:szCs w:val="21"/>
                <w:lang w:bidi="ar"/>
              </w:rPr>
              <w:t>1、部署控制业务服务，对计算服务器进行集群控制，并贴合**实战业务规律，将常规研判流程梳理并串联，全局携图跳转，流畅切换业务。</w:t>
            </w:r>
            <w:r>
              <w:rPr>
                <w:kern w:val="0"/>
                <w:szCs w:val="21"/>
                <w:lang w:bidi="ar"/>
              </w:rPr>
              <w:br w:type="textWrapping"/>
            </w:r>
            <w:r>
              <w:rPr>
                <w:kern w:val="0"/>
                <w:szCs w:val="21"/>
                <w:lang w:bidi="ar"/>
              </w:rPr>
              <w:t>2、采用微服务架构，以分布式、去中心化为核心，将业务系统按照功能逻辑组件化、服务化。各组件之间以RESTful接口形式进行调用。原有的单个业务系统拆分为多个可以独立开发、设计、运行和运维的小应用，这些小应用之间通过服务完成交互和集成。</w:t>
            </w:r>
            <w:r>
              <w:rPr>
                <w:kern w:val="0"/>
                <w:szCs w:val="21"/>
                <w:lang w:bidi="ar"/>
              </w:rPr>
              <w:br w:type="textWrapping"/>
            </w:r>
            <w:r>
              <w:rPr>
                <w:kern w:val="0"/>
                <w:szCs w:val="21"/>
                <w:lang w:bidi="ar"/>
              </w:rPr>
              <w:t>3、将数据划分为实时数据和离线数据。业务展示类的实时数据集群存储，检索类的实时数据会同步搜索集群。分析类的离线数据通过底层大数据平台和任务调度框架进行存储分析。</w:t>
            </w:r>
            <w:r>
              <w:rPr>
                <w:kern w:val="0"/>
                <w:szCs w:val="21"/>
                <w:lang w:bidi="ar"/>
              </w:rPr>
              <w:br w:type="textWrapping"/>
            </w:r>
            <w:r>
              <w:rPr>
                <w:kern w:val="0"/>
                <w:szCs w:val="21"/>
                <w:lang w:bidi="ar"/>
              </w:rPr>
              <w:t>4、系统服务实现容器化部署，可动态扩容。一份代码，可在多处部署。服务的配置由配置中心统一管理，动态获取更新。</w:t>
            </w:r>
            <w:r>
              <w:rPr>
                <w:kern w:val="0"/>
                <w:szCs w:val="21"/>
                <w:lang w:bidi="ar"/>
              </w:rPr>
              <w:br w:type="textWrapping"/>
            </w:r>
            <w:r>
              <w:rPr>
                <w:kern w:val="0"/>
                <w:szCs w:val="21"/>
                <w:lang w:bidi="ar"/>
              </w:rPr>
              <w:t>5、可作为跨网闸数据传输适配器，支持跨网数据透传，含数据接入模块、网摘穿透模块数据处理模块、运维模块，含监控统计数据存储、日志存储。                                                                                                6.包含人脸授权</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8"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30</w:t>
            </w:r>
          </w:p>
        </w:tc>
        <w:tc>
          <w:tcPr>
            <w:tcW w:w="795" w:type="pct"/>
            <w:vMerge w:val="continue"/>
            <w:noWrap w:val="0"/>
            <w:tcMar>
              <w:top w:w="15" w:type="dxa"/>
              <w:left w:w="15" w:type="dxa"/>
              <w:right w:w="15" w:type="dxa"/>
            </w:tcMar>
            <w:vAlign w:val="center"/>
          </w:tcPr>
          <w:p>
            <w:pPr>
              <w:jc w:val="center"/>
              <w:rPr>
                <w:szCs w:val="21"/>
              </w:rPr>
            </w:pP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计算服务模块（视频专网）</w:t>
            </w:r>
            <w:r>
              <w:rPr>
                <w:kern w:val="0"/>
                <w:szCs w:val="21"/>
                <w:lang w:bidi="ar"/>
              </w:rPr>
              <w:br w:type="textWrapping"/>
            </w:r>
            <w:r>
              <w:rPr>
                <w:kern w:val="0"/>
                <w:szCs w:val="21"/>
                <w:lang w:bidi="ar"/>
              </w:rPr>
              <w:t>CPU：Intel XEON 2680 v4*2</w:t>
            </w:r>
            <w:r>
              <w:rPr>
                <w:kern w:val="0"/>
                <w:szCs w:val="21"/>
                <w:lang w:bidi="ar"/>
              </w:rPr>
              <w:br w:type="textWrapping"/>
            </w:r>
            <w:r>
              <w:rPr>
                <w:kern w:val="0"/>
                <w:szCs w:val="21"/>
                <w:lang w:bidi="ar"/>
              </w:rPr>
              <w:t>内存：32G DDR4*16</w:t>
            </w:r>
            <w:r>
              <w:rPr>
                <w:kern w:val="0"/>
                <w:szCs w:val="21"/>
                <w:lang w:bidi="ar"/>
              </w:rPr>
              <w:br w:type="textWrapping"/>
            </w:r>
            <w:r>
              <w:rPr>
                <w:kern w:val="0"/>
                <w:szCs w:val="21"/>
                <w:lang w:bidi="ar"/>
              </w:rPr>
              <w:t>硬盘：2T  10k 2.5“ SATA  12G*23（RAID5）+ 480 GB SSD*1</w:t>
            </w:r>
            <w:r>
              <w:rPr>
                <w:kern w:val="0"/>
                <w:szCs w:val="21"/>
                <w:lang w:bidi="ar"/>
              </w:rPr>
              <w:br w:type="textWrapping"/>
            </w:r>
            <w:r>
              <w:rPr>
                <w:kern w:val="0"/>
                <w:szCs w:val="21"/>
                <w:lang w:bidi="ar"/>
              </w:rPr>
              <w:t xml:space="preserve">板载网卡：板载1000M网卡*2 </w:t>
            </w:r>
            <w:r>
              <w:rPr>
                <w:kern w:val="0"/>
                <w:szCs w:val="21"/>
                <w:lang w:bidi="ar"/>
              </w:rPr>
              <w:br w:type="textWrapping"/>
            </w:r>
            <w:r>
              <w:rPr>
                <w:kern w:val="0"/>
                <w:szCs w:val="21"/>
                <w:lang w:bidi="ar"/>
              </w:rPr>
              <w:t>万兆网卡：双口万兆光口卡，含光模块×2</w:t>
            </w:r>
            <w:r>
              <w:rPr>
                <w:kern w:val="0"/>
                <w:szCs w:val="21"/>
                <w:lang w:bidi="ar"/>
              </w:rPr>
              <w:br w:type="textWrapping"/>
            </w:r>
            <w:r>
              <w:rPr>
                <w:kern w:val="0"/>
                <w:szCs w:val="21"/>
                <w:lang w:bidi="ar"/>
              </w:rPr>
              <w:t>电源：1600W 铂金2+2冗余电源</w:t>
            </w:r>
            <w:r>
              <w:rPr>
                <w:kern w:val="0"/>
                <w:szCs w:val="21"/>
                <w:lang w:bidi="ar"/>
              </w:rPr>
              <w:br w:type="textWrapping"/>
            </w:r>
            <w:r>
              <w:rPr>
                <w:kern w:val="0"/>
                <w:szCs w:val="21"/>
                <w:lang w:bidi="ar"/>
              </w:rPr>
              <w:t>GPU卡：Tesla P4*8</w:t>
            </w:r>
            <w:r>
              <w:rPr>
                <w:kern w:val="0"/>
                <w:szCs w:val="21"/>
                <w:lang w:bidi="ar"/>
              </w:rPr>
              <w:br w:type="textWrapping"/>
            </w:r>
            <w:r>
              <w:rPr>
                <w:kern w:val="0"/>
                <w:szCs w:val="21"/>
                <w:lang w:bidi="ar"/>
              </w:rPr>
              <w:t>RAID卡：24口，支持RAID 0,1,5,6,10,50,60,JBOD</w:t>
            </w:r>
            <w:r>
              <w:rPr>
                <w:kern w:val="0"/>
                <w:szCs w:val="21"/>
                <w:lang w:bidi="ar"/>
              </w:rPr>
              <w:br w:type="textWrapping"/>
            </w:r>
            <w:r>
              <w:rPr>
                <w:kern w:val="0"/>
                <w:szCs w:val="21"/>
                <w:lang w:bidi="ar"/>
              </w:rPr>
              <w:t>软件适配：</w:t>
            </w:r>
            <w:r>
              <w:rPr>
                <w:kern w:val="0"/>
                <w:szCs w:val="21"/>
                <w:lang w:bidi="ar"/>
              </w:rPr>
              <w:br w:type="textWrapping"/>
            </w:r>
            <w:r>
              <w:rPr>
                <w:kern w:val="0"/>
                <w:szCs w:val="21"/>
                <w:lang w:bidi="ar"/>
              </w:rPr>
              <w:t>1、提升接入能力，集成IOT，支持多级集群。系统支持万路级别的卡口接入能力，支持平滑升级、动态扩容，保障系统的可靠、稳定运行。</w:t>
            </w:r>
            <w:r>
              <w:rPr>
                <w:kern w:val="0"/>
                <w:szCs w:val="21"/>
                <w:lang w:bidi="ar"/>
              </w:rPr>
              <w:br w:type="textWrapping"/>
            </w:r>
            <w:r>
              <w:rPr>
                <w:kern w:val="0"/>
                <w:szCs w:val="21"/>
                <w:lang w:bidi="ar"/>
              </w:rPr>
              <w:t>2、提升大数据分析技术，构建同行分析、落脚点分析、区域碰撞、视频找人、人员聚类等数十种贴合实战的人像技战法，覆盖各个研判场景。算法成熟稳定，秒级计算碰撞，助力人员信息深度研判挖掘。</w:t>
            </w:r>
            <w:r>
              <w:rPr>
                <w:kern w:val="0"/>
                <w:szCs w:val="21"/>
                <w:lang w:bidi="ar"/>
              </w:rPr>
              <w:br w:type="textWrapping"/>
            </w:r>
            <w:r>
              <w:rPr>
                <w:kern w:val="0"/>
                <w:szCs w:val="21"/>
                <w:lang w:bidi="ar"/>
              </w:rPr>
              <w:t>3、性能指标：同一画面内检测识别人脸数量不低于100；可识别人脸最低分辨率（即两眼之间的距离）25像素。</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31</w:t>
            </w:r>
          </w:p>
        </w:tc>
        <w:tc>
          <w:tcPr>
            <w:tcW w:w="795" w:type="pct"/>
            <w:vMerge w:val="continue"/>
            <w:noWrap w:val="0"/>
            <w:tcMar>
              <w:top w:w="15" w:type="dxa"/>
              <w:left w:w="15" w:type="dxa"/>
              <w:right w:w="15" w:type="dxa"/>
            </w:tcMar>
            <w:vAlign w:val="center"/>
          </w:tcPr>
          <w:p>
            <w:pPr>
              <w:jc w:val="center"/>
              <w:rPr>
                <w:szCs w:val="21"/>
              </w:rPr>
            </w:pP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路人检索服务模块（视频专网）</w:t>
            </w:r>
            <w:r>
              <w:rPr>
                <w:kern w:val="0"/>
                <w:szCs w:val="21"/>
                <w:lang w:bidi="ar"/>
              </w:rPr>
              <w:br w:type="textWrapping"/>
            </w:r>
            <w:r>
              <w:rPr>
                <w:kern w:val="0"/>
                <w:szCs w:val="21"/>
                <w:lang w:bidi="ar"/>
              </w:rPr>
              <w:t xml:space="preserve">CPU：Intel XEON E5-2630 V4 *2 </w:t>
            </w:r>
            <w:r>
              <w:rPr>
                <w:kern w:val="0"/>
                <w:szCs w:val="21"/>
                <w:lang w:bidi="ar"/>
              </w:rPr>
              <w:br w:type="textWrapping"/>
            </w:r>
            <w:r>
              <w:rPr>
                <w:kern w:val="0"/>
                <w:szCs w:val="21"/>
                <w:lang w:bidi="ar"/>
              </w:rPr>
              <w:t>内存：32G DDR4 *8</w:t>
            </w:r>
            <w:r>
              <w:rPr>
                <w:kern w:val="0"/>
                <w:szCs w:val="21"/>
                <w:lang w:bidi="ar"/>
              </w:rPr>
              <w:br w:type="textWrapping"/>
            </w:r>
            <w:r>
              <w:rPr>
                <w:kern w:val="0"/>
                <w:szCs w:val="21"/>
                <w:lang w:bidi="ar"/>
              </w:rPr>
              <w:t xml:space="preserve">网卡：板载1000M网卡*2 </w:t>
            </w:r>
            <w:r>
              <w:rPr>
                <w:kern w:val="0"/>
                <w:szCs w:val="21"/>
                <w:lang w:bidi="ar"/>
              </w:rPr>
              <w:br w:type="textWrapping"/>
            </w:r>
            <w:r>
              <w:rPr>
                <w:kern w:val="0"/>
                <w:szCs w:val="21"/>
                <w:lang w:bidi="ar"/>
              </w:rPr>
              <w:t xml:space="preserve">电源：冗余双电550W </w:t>
            </w:r>
            <w:r>
              <w:rPr>
                <w:kern w:val="0"/>
                <w:szCs w:val="21"/>
                <w:lang w:bidi="ar"/>
              </w:rPr>
              <w:br w:type="textWrapping"/>
            </w:r>
            <w:r>
              <w:rPr>
                <w:kern w:val="0"/>
                <w:szCs w:val="21"/>
                <w:lang w:bidi="ar"/>
              </w:rPr>
              <w:t>硬盘：8T  7.2k 3.5“ SATA  6G*8（做RAID5）+  480 GB SSD*1</w:t>
            </w:r>
            <w:r>
              <w:rPr>
                <w:kern w:val="0"/>
                <w:szCs w:val="21"/>
                <w:lang w:bidi="ar"/>
              </w:rPr>
              <w:br w:type="textWrapping"/>
            </w:r>
            <w:r>
              <w:rPr>
                <w:kern w:val="0"/>
                <w:szCs w:val="21"/>
                <w:lang w:bidi="ar"/>
              </w:rPr>
              <w:t>RAID卡：8口，支持RAID 0,1,5,6,10,50,60,JBOD</w:t>
            </w:r>
            <w:r>
              <w:rPr>
                <w:kern w:val="0"/>
                <w:szCs w:val="21"/>
                <w:lang w:bidi="ar"/>
              </w:rPr>
              <w:br w:type="textWrapping"/>
            </w:r>
            <w:r>
              <w:rPr>
                <w:kern w:val="0"/>
                <w:szCs w:val="21"/>
                <w:lang w:bidi="ar"/>
              </w:rPr>
              <w:t>软件适配：</w:t>
            </w:r>
            <w:r>
              <w:rPr>
                <w:kern w:val="0"/>
                <w:szCs w:val="21"/>
                <w:lang w:bidi="ar"/>
              </w:rPr>
              <w:br w:type="textWrapping"/>
            </w:r>
            <w:r>
              <w:rPr>
                <w:kern w:val="0"/>
                <w:szCs w:val="21"/>
                <w:lang w:bidi="ar"/>
              </w:rPr>
              <w:t>1、亿级底库或路人抓拍库规模下，秒级返回检索结果，首位精准匹配。 1亿底库规模，首位命中率96%、TOP10命中率99%，TOP100命中率99.99%；有脸搜人脸，无脸搜人体，极速确定身份。</w:t>
            </w:r>
            <w:r>
              <w:rPr>
                <w:kern w:val="0"/>
                <w:szCs w:val="21"/>
                <w:lang w:bidi="ar"/>
              </w:rPr>
              <w:br w:type="textWrapping"/>
            </w:r>
            <w:r>
              <w:rPr>
                <w:kern w:val="0"/>
                <w:szCs w:val="21"/>
                <w:lang w:bidi="ar"/>
              </w:rPr>
              <w:t>2、性能指标：路人库属性检索响应时间（20亿规模下）1并发95% &lt; 1s，10并发95% &lt; 2秒。</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3"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32</w:t>
            </w:r>
          </w:p>
        </w:tc>
        <w:tc>
          <w:tcPr>
            <w:tcW w:w="795" w:type="pct"/>
            <w:vMerge w:val="continue"/>
            <w:noWrap w:val="0"/>
            <w:tcMar>
              <w:top w:w="15" w:type="dxa"/>
              <w:left w:w="15" w:type="dxa"/>
              <w:right w:w="15" w:type="dxa"/>
            </w:tcMar>
            <w:vAlign w:val="center"/>
          </w:tcPr>
          <w:p>
            <w:pPr>
              <w:jc w:val="center"/>
              <w:rPr>
                <w:szCs w:val="21"/>
              </w:rPr>
            </w:pP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视图库存储服务模块（视频专网）</w:t>
            </w:r>
            <w:r>
              <w:rPr>
                <w:kern w:val="0"/>
                <w:szCs w:val="21"/>
                <w:lang w:bidi="ar"/>
              </w:rPr>
              <w:br w:type="textWrapping"/>
            </w:r>
            <w:r>
              <w:rPr>
                <w:kern w:val="0"/>
                <w:szCs w:val="21"/>
                <w:lang w:bidi="ar"/>
              </w:rPr>
              <w:t xml:space="preserve">CPU：Intel XEON E5-2630 V4 *1 </w:t>
            </w:r>
            <w:r>
              <w:rPr>
                <w:kern w:val="0"/>
                <w:szCs w:val="21"/>
                <w:lang w:bidi="ar"/>
              </w:rPr>
              <w:br w:type="textWrapping"/>
            </w:r>
            <w:r>
              <w:rPr>
                <w:kern w:val="0"/>
                <w:szCs w:val="21"/>
                <w:lang w:bidi="ar"/>
              </w:rPr>
              <w:t>内存：128G</w:t>
            </w:r>
            <w:r>
              <w:rPr>
                <w:kern w:val="0"/>
                <w:szCs w:val="21"/>
                <w:lang w:bidi="ar"/>
              </w:rPr>
              <w:br w:type="textWrapping"/>
            </w:r>
            <w:r>
              <w:rPr>
                <w:kern w:val="0"/>
                <w:szCs w:val="21"/>
                <w:lang w:bidi="ar"/>
              </w:rPr>
              <w:t>硬盘：24块8TB 3.5' 7.2K+1块 480 GB SSD</w:t>
            </w:r>
            <w:r>
              <w:rPr>
                <w:kern w:val="0"/>
                <w:szCs w:val="21"/>
                <w:lang w:bidi="ar"/>
              </w:rPr>
              <w:br w:type="textWrapping"/>
            </w:r>
            <w:r>
              <w:rPr>
                <w:kern w:val="0"/>
                <w:szCs w:val="21"/>
                <w:lang w:bidi="ar"/>
              </w:rPr>
              <w:t xml:space="preserve">板载网卡：板载1000M网卡*2 </w:t>
            </w:r>
            <w:r>
              <w:rPr>
                <w:kern w:val="0"/>
                <w:szCs w:val="21"/>
                <w:lang w:bidi="ar"/>
              </w:rPr>
              <w:br w:type="textWrapping"/>
            </w:r>
            <w:r>
              <w:rPr>
                <w:kern w:val="0"/>
                <w:szCs w:val="21"/>
                <w:lang w:bidi="ar"/>
              </w:rPr>
              <w:t>万兆网卡：双口万兆光口卡，含光模块×2</w:t>
            </w:r>
            <w:r>
              <w:rPr>
                <w:kern w:val="0"/>
                <w:szCs w:val="21"/>
                <w:lang w:bidi="ar"/>
              </w:rPr>
              <w:br w:type="textWrapping"/>
            </w:r>
            <w:r>
              <w:rPr>
                <w:kern w:val="0"/>
                <w:szCs w:val="21"/>
                <w:lang w:bidi="ar"/>
              </w:rPr>
              <w:t>电源：冗余双电800W</w:t>
            </w:r>
            <w:r>
              <w:rPr>
                <w:kern w:val="0"/>
                <w:szCs w:val="21"/>
                <w:lang w:bidi="ar"/>
              </w:rPr>
              <w:br w:type="textWrapping"/>
            </w:r>
            <w:r>
              <w:rPr>
                <w:kern w:val="0"/>
                <w:szCs w:val="21"/>
                <w:lang w:bidi="ar"/>
              </w:rPr>
              <w:t>RAID卡：8口，支持RAID 0,1,5,6,10,50,60,JBOD</w:t>
            </w:r>
            <w:r>
              <w:rPr>
                <w:kern w:val="0"/>
                <w:szCs w:val="21"/>
                <w:lang w:bidi="ar"/>
              </w:rPr>
              <w:br w:type="textWrapping"/>
            </w:r>
            <w:r>
              <w:rPr>
                <w:kern w:val="0"/>
                <w:szCs w:val="21"/>
                <w:lang w:bidi="ar"/>
              </w:rPr>
              <w:t>软件适配：</w:t>
            </w:r>
            <w:r>
              <w:rPr>
                <w:kern w:val="0"/>
                <w:szCs w:val="21"/>
                <w:lang w:bidi="ar"/>
              </w:rPr>
              <w:br w:type="textWrapping"/>
            </w:r>
            <w:r>
              <w:rPr>
                <w:kern w:val="0"/>
                <w:szCs w:val="21"/>
                <w:lang w:bidi="ar"/>
              </w:rPr>
              <w:t>1、包含视频管理服务，一方面与服务端的接口统一，减少服务端与前端交互的工作量和复杂度，屏蔽了前端视频流与服务端连接的限制，解耦了服务端与前端的直接相关；另一方面有利于前端的扩展，新型前端挂载后，服务端就可以直接应用。</w:t>
            </w:r>
            <w:r>
              <w:rPr>
                <w:kern w:val="0"/>
                <w:szCs w:val="21"/>
                <w:lang w:bidi="ar"/>
              </w:rPr>
              <w:br w:type="textWrapping"/>
            </w:r>
            <w:r>
              <w:rPr>
                <w:kern w:val="0"/>
                <w:szCs w:val="21"/>
                <w:lang w:bidi="ar"/>
              </w:rPr>
              <w:t>2、统一承接视图资源的接入、存储、转发、共享等流程。通过采集接口采集遵循GAT1400规范的采集设备、平台，对视图资源进行存储，通过级联接口实现单网上下级和平级双网视图库服务的级联，通过数据服务接口实现对公安应用平台和解析平台资源共享。</w:t>
            </w:r>
            <w:r>
              <w:rPr>
                <w:kern w:val="0"/>
                <w:szCs w:val="21"/>
                <w:lang w:bidi="ar"/>
              </w:rPr>
              <w:br w:type="textWrapping"/>
            </w:r>
            <w:r>
              <w:rPr>
                <w:kern w:val="0"/>
                <w:szCs w:val="21"/>
                <w:lang w:bidi="ar"/>
              </w:rPr>
              <w:t>3、性能指标：支持多副本、纠删码最大支持不少于100亿文件，支持平滑扩展；单一属性条件检索不高于800ms，复合属性条件检索不高于1600ms。                                                                                               4.包含人脸授权</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33</w:t>
            </w:r>
          </w:p>
        </w:tc>
        <w:tc>
          <w:tcPr>
            <w:tcW w:w="795" w:type="pct"/>
            <w:vMerge w:val="continue"/>
            <w:noWrap w:val="0"/>
            <w:tcMar>
              <w:top w:w="15" w:type="dxa"/>
              <w:left w:w="15" w:type="dxa"/>
              <w:right w:w="15" w:type="dxa"/>
            </w:tcMar>
            <w:vAlign w:val="center"/>
          </w:tcPr>
          <w:p>
            <w:pPr>
              <w:jc w:val="center"/>
              <w:rPr>
                <w:szCs w:val="21"/>
              </w:rPr>
            </w:pP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业务配套服务模块（内网）</w:t>
            </w:r>
            <w:r>
              <w:rPr>
                <w:kern w:val="0"/>
                <w:szCs w:val="21"/>
                <w:lang w:bidi="ar"/>
              </w:rPr>
              <w:br w:type="textWrapping"/>
            </w:r>
            <w:r>
              <w:rPr>
                <w:kern w:val="0"/>
                <w:szCs w:val="21"/>
                <w:lang w:bidi="ar"/>
              </w:rPr>
              <w:t xml:space="preserve">CPU：Intel XEON E5-2630 V4 *1 </w:t>
            </w:r>
            <w:r>
              <w:rPr>
                <w:kern w:val="0"/>
                <w:szCs w:val="21"/>
                <w:lang w:bidi="ar"/>
              </w:rPr>
              <w:br w:type="textWrapping"/>
            </w:r>
            <w:r>
              <w:rPr>
                <w:kern w:val="0"/>
                <w:szCs w:val="21"/>
                <w:lang w:bidi="ar"/>
              </w:rPr>
              <w:t>内存：16G DDR4 *8</w:t>
            </w:r>
            <w:r>
              <w:rPr>
                <w:kern w:val="0"/>
                <w:szCs w:val="21"/>
                <w:lang w:bidi="ar"/>
              </w:rPr>
              <w:br w:type="textWrapping"/>
            </w:r>
            <w:r>
              <w:rPr>
                <w:kern w:val="0"/>
                <w:szCs w:val="21"/>
                <w:lang w:bidi="ar"/>
              </w:rPr>
              <w:t xml:space="preserve">板载网卡：板载1000M网卡*2 </w:t>
            </w:r>
            <w:r>
              <w:rPr>
                <w:kern w:val="0"/>
                <w:szCs w:val="21"/>
                <w:lang w:bidi="ar"/>
              </w:rPr>
              <w:br w:type="textWrapping"/>
            </w:r>
            <w:r>
              <w:rPr>
                <w:kern w:val="0"/>
                <w:szCs w:val="21"/>
                <w:lang w:bidi="ar"/>
              </w:rPr>
              <w:t>万兆网卡：双口万兆光口卡，含光模块×2</w:t>
            </w:r>
            <w:r>
              <w:rPr>
                <w:kern w:val="0"/>
                <w:szCs w:val="21"/>
                <w:lang w:bidi="ar"/>
              </w:rPr>
              <w:br w:type="textWrapping"/>
            </w:r>
            <w:r>
              <w:rPr>
                <w:kern w:val="0"/>
                <w:szCs w:val="21"/>
                <w:lang w:bidi="ar"/>
              </w:rPr>
              <w:t xml:space="preserve">电源：冗余双电550W </w:t>
            </w:r>
            <w:r>
              <w:rPr>
                <w:kern w:val="0"/>
                <w:szCs w:val="21"/>
                <w:lang w:bidi="ar"/>
              </w:rPr>
              <w:br w:type="textWrapping"/>
            </w:r>
            <w:r>
              <w:rPr>
                <w:kern w:val="0"/>
                <w:szCs w:val="21"/>
                <w:lang w:bidi="ar"/>
              </w:rPr>
              <w:t>硬盘：4T  7.2k 3.5“ SATA  6G*4（做RAID5）+ 480 GB SSD*1</w:t>
            </w:r>
            <w:r>
              <w:rPr>
                <w:kern w:val="0"/>
                <w:szCs w:val="21"/>
                <w:lang w:bidi="ar"/>
              </w:rPr>
              <w:br w:type="textWrapping"/>
            </w:r>
            <w:r>
              <w:rPr>
                <w:kern w:val="0"/>
                <w:szCs w:val="21"/>
                <w:lang w:bidi="ar"/>
              </w:rPr>
              <w:t>RAID卡：8口，支持RAID 0,1,5,6,10,50,60,JBOD</w:t>
            </w:r>
            <w:r>
              <w:rPr>
                <w:kern w:val="0"/>
                <w:szCs w:val="21"/>
                <w:lang w:bidi="ar"/>
              </w:rPr>
              <w:br w:type="textWrapping"/>
            </w:r>
            <w:r>
              <w:rPr>
                <w:kern w:val="0"/>
                <w:szCs w:val="21"/>
                <w:lang w:bidi="ar"/>
              </w:rPr>
              <w:t>软件适配：</w:t>
            </w:r>
            <w:r>
              <w:rPr>
                <w:kern w:val="0"/>
                <w:szCs w:val="21"/>
                <w:lang w:bidi="ar"/>
              </w:rPr>
              <w:br w:type="textWrapping"/>
            </w:r>
            <w:r>
              <w:rPr>
                <w:kern w:val="0"/>
                <w:szCs w:val="21"/>
                <w:lang w:bidi="ar"/>
              </w:rPr>
              <w:t>1、部署控制业务服务，对计算服务器进行集群控制，并贴合**实战业务规律，将常规研判流程梳理并串联，全局携图跳转，流畅切换业务。</w:t>
            </w:r>
            <w:r>
              <w:rPr>
                <w:kern w:val="0"/>
                <w:szCs w:val="21"/>
                <w:lang w:bidi="ar"/>
              </w:rPr>
              <w:br w:type="textWrapping"/>
            </w:r>
            <w:r>
              <w:rPr>
                <w:kern w:val="0"/>
                <w:szCs w:val="21"/>
                <w:lang w:bidi="ar"/>
              </w:rPr>
              <w:t>2、采用微服务架构，以分布式、去中心化为核心，将业务系统按照功能逻辑组件化、服务化。各组件之间以RESTful接口形式进行调用。原有的单个业务系统拆分为多个可以独立开发、设计、运行和运维的小应用，这些小应用之间通过服务完成交互和集成。</w:t>
            </w:r>
            <w:r>
              <w:rPr>
                <w:kern w:val="0"/>
                <w:szCs w:val="21"/>
                <w:lang w:bidi="ar"/>
              </w:rPr>
              <w:br w:type="textWrapping"/>
            </w:r>
            <w:r>
              <w:rPr>
                <w:kern w:val="0"/>
                <w:szCs w:val="21"/>
                <w:lang w:bidi="ar"/>
              </w:rPr>
              <w:t>3、将数据划分为实时数据和离线数据。业务展示类的实时数据集群存储，检索类的实时数据会同步搜索集群。分析类的离线数据通过底层大数据平台和任务调度框架进行存储分析。</w:t>
            </w:r>
            <w:r>
              <w:rPr>
                <w:kern w:val="0"/>
                <w:szCs w:val="21"/>
                <w:lang w:bidi="ar"/>
              </w:rPr>
              <w:br w:type="textWrapping"/>
            </w:r>
            <w:r>
              <w:rPr>
                <w:kern w:val="0"/>
                <w:szCs w:val="21"/>
                <w:lang w:bidi="ar"/>
              </w:rPr>
              <w:t>4、系统服务实现容器化部署，可动态扩容。一份代码，可在多处部署。服务的配置由配置中心统一管理，动态获取更新。</w:t>
            </w:r>
            <w:r>
              <w:rPr>
                <w:kern w:val="0"/>
                <w:szCs w:val="21"/>
                <w:lang w:bidi="ar"/>
              </w:rPr>
              <w:br w:type="textWrapping"/>
            </w:r>
            <w:r>
              <w:rPr>
                <w:kern w:val="0"/>
                <w:szCs w:val="21"/>
                <w:lang w:bidi="ar"/>
              </w:rPr>
              <w:t>5、可作为跨网闸数据传输适配器，支持跨网数据透传，含数据接入模块、网摘穿透模块数据处理模块、运维模块，含监控统计数据存储、日志存储。</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6"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34</w:t>
            </w:r>
          </w:p>
        </w:tc>
        <w:tc>
          <w:tcPr>
            <w:tcW w:w="795" w:type="pct"/>
            <w:vMerge w:val="continue"/>
            <w:noWrap w:val="0"/>
            <w:tcMar>
              <w:top w:w="15" w:type="dxa"/>
              <w:left w:w="15" w:type="dxa"/>
              <w:right w:w="15" w:type="dxa"/>
            </w:tcMar>
            <w:vAlign w:val="center"/>
          </w:tcPr>
          <w:p>
            <w:pPr>
              <w:jc w:val="center"/>
              <w:rPr>
                <w:szCs w:val="21"/>
              </w:rPr>
            </w:pP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 xml:space="preserve">路人检索服务模块（内网CPU：Intel XEON E5-2630 V4 *2 </w:t>
            </w:r>
            <w:r>
              <w:rPr>
                <w:kern w:val="0"/>
                <w:szCs w:val="21"/>
                <w:lang w:bidi="ar"/>
              </w:rPr>
              <w:br w:type="textWrapping"/>
            </w:r>
            <w:r>
              <w:rPr>
                <w:kern w:val="0"/>
                <w:szCs w:val="21"/>
                <w:lang w:bidi="ar"/>
              </w:rPr>
              <w:t>内存：32G DDR4 *8</w:t>
            </w:r>
            <w:r>
              <w:rPr>
                <w:kern w:val="0"/>
                <w:szCs w:val="21"/>
                <w:lang w:bidi="ar"/>
              </w:rPr>
              <w:br w:type="textWrapping"/>
            </w:r>
            <w:r>
              <w:rPr>
                <w:kern w:val="0"/>
                <w:szCs w:val="21"/>
                <w:lang w:bidi="ar"/>
              </w:rPr>
              <w:t xml:space="preserve">网卡：板载1000M网卡*2 </w:t>
            </w:r>
            <w:r>
              <w:rPr>
                <w:kern w:val="0"/>
                <w:szCs w:val="21"/>
                <w:lang w:bidi="ar"/>
              </w:rPr>
              <w:br w:type="textWrapping"/>
            </w:r>
            <w:r>
              <w:rPr>
                <w:kern w:val="0"/>
                <w:szCs w:val="21"/>
                <w:lang w:bidi="ar"/>
              </w:rPr>
              <w:t xml:space="preserve">电源：冗余双电550W </w:t>
            </w:r>
            <w:r>
              <w:rPr>
                <w:kern w:val="0"/>
                <w:szCs w:val="21"/>
                <w:lang w:bidi="ar"/>
              </w:rPr>
              <w:br w:type="textWrapping"/>
            </w:r>
            <w:r>
              <w:rPr>
                <w:kern w:val="0"/>
                <w:szCs w:val="21"/>
                <w:lang w:bidi="ar"/>
              </w:rPr>
              <w:t>硬盘：8T  7.2k 3.5“ SATA  6G*8（做RAID5）+  480 GB SSD*1</w:t>
            </w:r>
            <w:r>
              <w:rPr>
                <w:kern w:val="0"/>
                <w:szCs w:val="21"/>
                <w:lang w:bidi="ar"/>
              </w:rPr>
              <w:br w:type="textWrapping"/>
            </w:r>
            <w:r>
              <w:rPr>
                <w:kern w:val="0"/>
                <w:szCs w:val="21"/>
                <w:lang w:bidi="ar"/>
              </w:rPr>
              <w:t>RAID卡：8口，支持RAID 0,1,5,6,10,50,60,JBOD</w:t>
            </w:r>
            <w:r>
              <w:rPr>
                <w:kern w:val="0"/>
                <w:szCs w:val="21"/>
                <w:lang w:bidi="ar"/>
              </w:rPr>
              <w:br w:type="textWrapping"/>
            </w:r>
            <w:r>
              <w:rPr>
                <w:kern w:val="0"/>
                <w:szCs w:val="21"/>
                <w:lang w:bidi="ar"/>
              </w:rPr>
              <w:t>软件适配：</w:t>
            </w:r>
            <w:r>
              <w:rPr>
                <w:kern w:val="0"/>
                <w:szCs w:val="21"/>
                <w:lang w:bidi="ar"/>
              </w:rPr>
              <w:br w:type="textWrapping"/>
            </w:r>
            <w:r>
              <w:rPr>
                <w:kern w:val="0"/>
                <w:szCs w:val="21"/>
                <w:lang w:bidi="ar"/>
              </w:rPr>
              <w:t>1、亿级底库或路人抓拍库规模下，秒级返回检索结果，首位精准匹配。 1亿底库规模，首位命中率96%、TOP10命中率99%，TOP100命中率99.99%；有脸搜人脸，无脸搜人体，极速确定身份。</w:t>
            </w:r>
            <w:r>
              <w:rPr>
                <w:kern w:val="0"/>
                <w:szCs w:val="21"/>
                <w:lang w:bidi="ar"/>
              </w:rPr>
              <w:br w:type="textWrapping"/>
            </w:r>
            <w:r>
              <w:rPr>
                <w:kern w:val="0"/>
                <w:szCs w:val="21"/>
                <w:lang w:bidi="ar"/>
              </w:rPr>
              <w:t>2、性能指标：路人库属性检索响应时间（20亿规模下）1并发95% &lt;1s，10并发95% &lt;2秒。）</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6"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35</w:t>
            </w:r>
          </w:p>
        </w:tc>
        <w:tc>
          <w:tcPr>
            <w:tcW w:w="795" w:type="pct"/>
            <w:vMerge w:val="continue"/>
            <w:noWrap w:val="0"/>
            <w:tcMar>
              <w:top w:w="15" w:type="dxa"/>
              <w:left w:w="15" w:type="dxa"/>
              <w:right w:w="15" w:type="dxa"/>
            </w:tcMar>
            <w:vAlign w:val="center"/>
          </w:tcPr>
          <w:p>
            <w:pPr>
              <w:jc w:val="center"/>
              <w:rPr>
                <w:szCs w:val="21"/>
              </w:rPr>
            </w:pP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底库检索服务模块（内网）</w:t>
            </w:r>
            <w:r>
              <w:rPr>
                <w:kern w:val="0"/>
                <w:szCs w:val="21"/>
                <w:lang w:bidi="ar"/>
              </w:rPr>
              <w:br w:type="textWrapping"/>
            </w:r>
            <w:r>
              <w:rPr>
                <w:kern w:val="0"/>
                <w:szCs w:val="21"/>
                <w:lang w:bidi="ar"/>
              </w:rPr>
              <w:t xml:space="preserve">CPU：Intel XEON E5-2630 V4 *2 </w:t>
            </w:r>
            <w:r>
              <w:rPr>
                <w:kern w:val="0"/>
                <w:szCs w:val="21"/>
                <w:lang w:bidi="ar"/>
              </w:rPr>
              <w:br w:type="textWrapping"/>
            </w:r>
            <w:r>
              <w:rPr>
                <w:kern w:val="0"/>
                <w:szCs w:val="21"/>
                <w:lang w:bidi="ar"/>
              </w:rPr>
              <w:t>内存：32G DDR4 *8</w:t>
            </w:r>
            <w:r>
              <w:rPr>
                <w:kern w:val="0"/>
                <w:szCs w:val="21"/>
                <w:lang w:bidi="ar"/>
              </w:rPr>
              <w:br w:type="textWrapping"/>
            </w:r>
            <w:r>
              <w:rPr>
                <w:kern w:val="0"/>
                <w:szCs w:val="21"/>
                <w:lang w:bidi="ar"/>
              </w:rPr>
              <w:t xml:space="preserve">板载网卡：板载1000M网卡*2 </w:t>
            </w:r>
            <w:r>
              <w:rPr>
                <w:kern w:val="0"/>
                <w:szCs w:val="21"/>
                <w:lang w:bidi="ar"/>
              </w:rPr>
              <w:br w:type="textWrapping"/>
            </w:r>
            <w:r>
              <w:rPr>
                <w:kern w:val="0"/>
                <w:szCs w:val="21"/>
                <w:lang w:bidi="ar"/>
              </w:rPr>
              <w:t>万兆网卡：双口万兆光口卡，含光模块×2（可选配电口intel/X540-T2）</w:t>
            </w:r>
            <w:r>
              <w:rPr>
                <w:kern w:val="0"/>
                <w:szCs w:val="21"/>
                <w:lang w:bidi="ar"/>
              </w:rPr>
              <w:br w:type="textWrapping"/>
            </w:r>
            <w:r>
              <w:rPr>
                <w:kern w:val="0"/>
                <w:szCs w:val="21"/>
                <w:lang w:bidi="ar"/>
              </w:rPr>
              <w:t xml:space="preserve">电源：冗余双电800W </w:t>
            </w:r>
            <w:r>
              <w:rPr>
                <w:kern w:val="0"/>
                <w:szCs w:val="21"/>
                <w:lang w:bidi="ar"/>
              </w:rPr>
              <w:br w:type="textWrapping"/>
            </w:r>
            <w:r>
              <w:rPr>
                <w:kern w:val="0"/>
                <w:szCs w:val="21"/>
                <w:lang w:bidi="ar"/>
              </w:rPr>
              <w:t>GPU卡:RTX 2070(colorful turbo)*2</w:t>
            </w:r>
            <w:r>
              <w:rPr>
                <w:kern w:val="0"/>
                <w:szCs w:val="21"/>
                <w:lang w:bidi="ar"/>
              </w:rPr>
              <w:br w:type="textWrapping"/>
            </w:r>
            <w:r>
              <w:rPr>
                <w:kern w:val="0"/>
                <w:szCs w:val="21"/>
                <w:lang w:bidi="ar"/>
              </w:rPr>
              <w:t>硬盘：8T  7.2k 3.5“ SATA  6G *8（做RAID5）+  480 GB SSD*1</w:t>
            </w:r>
            <w:r>
              <w:rPr>
                <w:kern w:val="0"/>
                <w:szCs w:val="21"/>
                <w:lang w:bidi="ar"/>
              </w:rPr>
              <w:br w:type="textWrapping"/>
            </w:r>
            <w:r>
              <w:rPr>
                <w:kern w:val="0"/>
                <w:szCs w:val="21"/>
                <w:lang w:bidi="ar"/>
              </w:rPr>
              <w:t>RAID卡：8口，支持RAID 0,1,5,6,10,50,60,JBOD</w:t>
            </w:r>
            <w:r>
              <w:rPr>
                <w:kern w:val="0"/>
                <w:szCs w:val="21"/>
                <w:lang w:bidi="ar"/>
              </w:rPr>
              <w:br w:type="textWrapping"/>
            </w:r>
            <w:r>
              <w:rPr>
                <w:kern w:val="0"/>
                <w:szCs w:val="21"/>
                <w:lang w:bidi="ar"/>
              </w:rPr>
              <w:t>软件适配：</w:t>
            </w:r>
            <w:r>
              <w:rPr>
                <w:kern w:val="0"/>
                <w:szCs w:val="21"/>
                <w:lang w:bidi="ar"/>
              </w:rPr>
              <w:br w:type="textWrapping"/>
            </w:r>
            <w:r>
              <w:rPr>
                <w:kern w:val="0"/>
                <w:szCs w:val="21"/>
                <w:lang w:bidi="ar"/>
              </w:rPr>
              <w:t>1、提升静态大库及布控库等检索能力。</w:t>
            </w:r>
            <w:r>
              <w:rPr>
                <w:kern w:val="0"/>
                <w:szCs w:val="21"/>
                <w:lang w:bidi="ar"/>
              </w:rPr>
              <w:br w:type="textWrapping"/>
            </w:r>
            <w:r>
              <w:rPr>
                <w:kern w:val="0"/>
                <w:szCs w:val="21"/>
                <w:lang w:bidi="ar"/>
              </w:rPr>
              <w:t>2、提供静态1：1能力，支持两张图片1:1比对。支持一张图片与一个身份证号比对。</w:t>
            </w:r>
            <w:r>
              <w:rPr>
                <w:kern w:val="0"/>
                <w:szCs w:val="21"/>
                <w:lang w:bidi="ar"/>
              </w:rPr>
              <w:br w:type="textWrapping"/>
            </w:r>
            <w:r>
              <w:rPr>
                <w:kern w:val="0"/>
                <w:szCs w:val="21"/>
                <w:lang w:bidi="ar"/>
              </w:rPr>
              <w:t>3、提供底库碰撞能力，实现单库或多库进行碰撞返回单人多身份信息，用于判定身份洗白等身份筛查。</w:t>
            </w:r>
            <w:r>
              <w:rPr>
                <w:kern w:val="0"/>
                <w:szCs w:val="21"/>
                <w:lang w:bidi="ar"/>
              </w:rPr>
              <w:br w:type="textWrapping"/>
            </w:r>
            <w:r>
              <w:rPr>
                <w:kern w:val="0"/>
                <w:szCs w:val="21"/>
                <w:lang w:bidi="ar"/>
              </w:rPr>
              <w:t>4、支持多人人像检索功能，帮助用户在指定底库中查找与上传人像相似的人脸。</w:t>
            </w:r>
            <w:r>
              <w:rPr>
                <w:kern w:val="0"/>
                <w:szCs w:val="21"/>
                <w:lang w:bidi="ar"/>
              </w:rPr>
              <w:br w:type="textWrapping"/>
            </w:r>
            <w:r>
              <w:rPr>
                <w:kern w:val="0"/>
                <w:szCs w:val="21"/>
                <w:lang w:bidi="ar"/>
              </w:rPr>
              <w:t>5、性能指标：批量入库性能不低于400张/S；底库人像属性检索&lt; 3s；底库1：N 检索&lt; 1s。</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36</w:t>
            </w:r>
          </w:p>
        </w:tc>
        <w:tc>
          <w:tcPr>
            <w:tcW w:w="795" w:type="pct"/>
            <w:vMerge w:val="continue"/>
            <w:noWrap w:val="0"/>
            <w:tcMar>
              <w:top w:w="15" w:type="dxa"/>
              <w:left w:w="15" w:type="dxa"/>
              <w:right w:w="15" w:type="dxa"/>
            </w:tcMar>
            <w:vAlign w:val="center"/>
          </w:tcPr>
          <w:p>
            <w:pPr>
              <w:jc w:val="center"/>
              <w:rPr>
                <w:szCs w:val="21"/>
              </w:rPr>
            </w:pP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视图库存储服务模块（内网）</w:t>
            </w:r>
            <w:r>
              <w:rPr>
                <w:kern w:val="0"/>
                <w:szCs w:val="21"/>
                <w:lang w:bidi="ar"/>
              </w:rPr>
              <w:br w:type="textWrapping"/>
            </w:r>
            <w:r>
              <w:rPr>
                <w:kern w:val="0"/>
                <w:szCs w:val="21"/>
                <w:lang w:bidi="ar"/>
              </w:rPr>
              <w:t xml:space="preserve">CPU：Intel XEON E5-2630 V4 *1 </w:t>
            </w:r>
            <w:r>
              <w:rPr>
                <w:kern w:val="0"/>
                <w:szCs w:val="21"/>
                <w:lang w:bidi="ar"/>
              </w:rPr>
              <w:br w:type="textWrapping"/>
            </w:r>
            <w:r>
              <w:rPr>
                <w:kern w:val="0"/>
                <w:szCs w:val="21"/>
                <w:lang w:bidi="ar"/>
              </w:rPr>
              <w:t>内存：128G</w:t>
            </w:r>
            <w:r>
              <w:rPr>
                <w:kern w:val="0"/>
                <w:szCs w:val="21"/>
                <w:lang w:bidi="ar"/>
              </w:rPr>
              <w:br w:type="textWrapping"/>
            </w:r>
            <w:r>
              <w:rPr>
                <w:kern w:val="0"/>
                <w:szCs w:val="21"/>
                <w:lang w:bidi="ar"/>
              </w:rPr>
              <w:t>硬盘：24块8TB 3.5' 7.2K+1块 480 GB SSD</w:t>
            </w:r>
            <w:r>
              <w:rPr>
                <w:kern w:val="0"/>
                <w:szCs w:val="21"/>
                <w:lang w:bidi="ar"/>
              </w:rPr>
              <w:br w:type="textWrapping"/>
            </w:r>
            <w:r>
              <w:rPr>
                <w:kern w:val="0"/>
                <w:szCs w:val="21"/>
                <w:lang w:bidi="ar"/>
              </w:rPr>
              <w:t xml:space="preserve">板载网卡：板载1000M网卡*2 </w:t>
            </w:r>
            <w:r>
              <w:rPr>
                <w:kern w:val="0"/>
                <w:szCs w:val="21"/>
                <w:lang w:bidi="ar"/>
              </w:rPr>
              <w:br w:type="textWrapping"/>
            </w:r>
            <w:r>
              <w:rPr>
                <w:kern w:val="0"/>
                <w:szCs w:val="21"/>
                <w:lang w:bidi="ar"/>
              </w:rPr>
              <w:t>万兆网卡：双口万兆光口卡，含光模块×2</w:t>
            </w:r>
            <w:r>
              <w:rPr>
                <w:kern w:val="0"/>
                <w:szCs w:val="21"/>
                <w:lang w:bidi="ar"/>
              </w:rPr>
              <w:br w:type="textWrapping"/>
            </w:r>
            <w:r>
              <w:rPr>
                <w:kern w:val="0"/>
                <w:szCs w:val="21"/>
                <w:lang w:bidi="ar"/>
              </w:rPr>
              <w:t>电源：冗余双电800W</w:t>
            </w:r>
            <w:r>
              <w:rPr>
                <w:kern w:val="0"/>
                <w:szCs w:val="21"/>
                <w:lang w:bidi="ar"/>
              </w:rPr>
              <w:br w:type="textWrapping"/>
            </w:r>
            <w:r>
              <w:rPr>
                <w:kern w:val="0"/>
                <w:szCs w:val="21"/>
                <w:lang w:bidi="ar"/>
              </w:rPr>
              <w:t>RAID卡：8口，支持RAID 0,1,5,6,10,50,60,JBOD</w:t>
            </w:r>
            <w:r>
              <w:rPr>
                <w:kern w:val="0"/>
                <w:szCs w:val="21"/>
                <w:lang w:bidi="ar"/>
              </w:rPr>
              <w:br w:type="textWrapping"/>
            </w:r>
            <w:r>
              <w:rPr>
                <w:kern w:val="0"/>
                <w:szCs w:val="21"/>
                <w:lang w:bidi="ar"/>
              </w:rPr>
              <w:t>软件适配：</w:t>
            </w:r>
            <w:r>
              <w:rPr>
                <w:kern w:val="0"/>
                <w:szCs w:val="21"/>
                <w:lang w:bidi="ar"/>
              </w:rPr>
              <w:br w:type="textWrapping"/>
            </w:r>
            <w:r>
              <w:rPr>
                <w:kern w:val="0"/>
                <w:szCs w:val="21"/>
                <w:lang w:bidi="ar"/>
              </w:rPr>
              <w:t>1、包含视频管理服务，一方面与服务端的接口统一，减少服务端与前端交互的工作量和复杂度，屏蔽了前端视频流与服务端连接的限制，解耦了服务端与前端的直接相关；另一方面有利于前端的扩展，新型前端挂载后，服务端就可以直接应用。</w:t>
            </w:r>
            <w:r>
              <w:rPr>
                <w:kern w:val="0"/>
                <w:szCs w:val="21"/>
                <w:lang w:bidi="ar"/>
              </w:rPr>
              <w:br w:type="textWrapping"/>
            </w:r>
            <w:r>
              <w:rPr>
                <w:kern w:val="0"/>
                <w:szCs w:val="21"/>
                <w:lang w:bidi="ar"/>
              </w:rPr>
              <w:t>2、统一承接视图资源的接入、存储、转发、共享等流程。通过采集接口采集遵循GAT1400规范的采集设备、平台，对视图资源进行存储，通过级联接口实现单网上下级和平级双网视图库服务的级联，通过数据服务接口实现对公安应用平台和解析平台资源共享。</w:t>
            </w:r>
            <w:r>
              <w:rPr>
                <w:kern w:val="0"/>
                <w:szCs w:val="21"/>
                <w:lang w:bidi="ar"/>
              </w:rPr>
              <w:br w:type="textWrapping"/>
            </w:r>
            <w:r>
              <w:rPr>
                <w:kern w:val="0"/>
                <w:szCs w:val="21"/>
                <w:lang w:bidi="ar"/>
              </w:rPr>
              <w:t>3、性能指标：支持多副本、纠删码最大支持不少于100亿文件，支持平滑扩展；单一属性条件检索不高于800ms，复合属性条件检索不高于1600ms。</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37</w:t>
            </w:r>
          </w:p>
        </w:tc>
        <w:tc>
          <w:tcPr>
            <w:tcW w:w="795" w:type="pct"/>
            <w:vMerge w:val="continue"/>
            <w:noWrap w:val="0"/>
            <w:tcMar>
              <w:top w:w="15" w:type="dxa"/>
              <w:left w:w="15" w:type="dxa"/>
              <w:right w:w="15" w:type="dxa"/>
            </w:tcMar>
            <w:vAlign w:val="center"/>
          </w:tcPr>
          <w:p>
            <w:pPr>
              <w:jc w:val="center"/>
              <w:rPr>
                <w:szCs w:val="21"/>
              </w:rPr>
            </w:pP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视图库存储服务模块（VPN专网）</w:t>
            </w:r>
            <w:r>
              <w:rPr>
                <w:kern w:val="0"/>
                <w:szCs w:val="21"/>
                <w:lang w:bidi="ar"/>
              </w:rPr>
              <w:br w:type="textWrapping"/>
            </w:r>
            <w:r>
              <w:rPr>
                <w:kern w:val="0"/>
                <w:szCs w:val="21"/>
                <w:lang w:bidi="ar"/>
              </w:rPr>
              <w:t xml:space="preserve">CPU：Intel XEON E5-2630 V4 *1 </w:t>
            </w:r>
            <w:r>
              <w:rPr>
                <w:kern w:val="0"/>
                <w:szCs w:val="21"/>
                <w:lang w:bidi="ar"/>
              </w:rPr>
              <w:br w:type="textWrapping"/>
            </w:r>
            <w:r>
              <w:rPr>
                <w:kern w:val="0"/>
                <w:szCs w:val="21"/>
                <w:lang w:bidi="ar"/>
              </w:rPr>
              <w:t>内存：128G</w:t>
            </w:r>
            <w:r>
              <w:rPr>
                <w:kern w:val="0"/>
                <w:szCs w:val="21"/>
                <w:lang w:bidi="ar"/>
              </w:rPr>
              <w:br w:type="textWrapping"/>
            </w:r>
            <w:r>
              <w:rPr>
                <w:kern w:val="0"/>
                <w:szCs w:val="21"/>
                <w:lang w:bidi="ar"/>
              </w:rPr>
              <w:t>硬盘：24块8TB 3.5' 7.2K+1块 480 GB SSD</w:t>
            </w:r>
            <w:r>
              <w:rPr>
                <w:kern w:val="0"/>
                <w:szCs w:val="21"/>
                <w:lang w:bidi="ar"/>
              </w:rPr>
              <w:br w:type="textWrapping"/>
            </w:r>
            <w:r>
              <w:rPr>
                <w:kern w:val="0"/>
                <w:szCs w:val="21"/>
                <w:lang w:bidi="ar"/>
              </w:rPr>
              <w:t xml:space="preserve">板载网卡：板载1000M网卡*2 </w:t>
            </w:r>
            <w:r>
              <w:rPr>
                <w:kern w:val="0"/>
                <w:szCs w:val="21"/>
                <w:lang w:bidi="ar"/>
              </w:rPr>
              <w:br w:type="textWrapping"/>
            </w:r>
            <w:r>
              <w:rPr>
                <w:kern w:val="0"/>
                <w:szCs w:val="21"/>
                <w:lang w:bidi="ar"/>
              </w:rPr>
              <w:t>万兆网卡：双口万兆光口卡，含光模块×2</w:t>
            </w:r>
            <w:r>
              <w:rPr>
                <w:kern w:val="0"/>
                <w:szCs w:val="21"/>
                <w:lang w:bidi="ar"/>
              </w:rPr>
              <w:br w:type="textWrapping"/>
            </w:r>
            <w:r>
              <w:rPr>
                <w:kern w:val="0"/>
                <w:szCs w:val="21"/>
                <w:lang w:bidi="ar"/>
              </w:rPr>
              <w:t>电源：冗余双电800W</w:t>
            </w:r>
            <w:r>
              <w:rPr>
                <w:kern w:val="0"/>
                <w:szCs w:val="21"/>
                <w:lang w:bidi="ar"/>
              </w:rPr>
              <w:br w:type="textWrapping"/>
            </w:r>
            <w:r>
              <w:rPr>
                <w:kern w:val="0"/>
                <w:szCs w:val="21"/>
                <w:lang w:bidi="ar"/>
              </w:rPr>
              <w:t>RAID卡：8口，支持RAID 0,1,5,6,10,50,60,JBOD</w:t>
            </w:r>
            <w:r>
              <w:rPr>
                <w:kern w:val="0"/>
                <w:szCs w:val="21"/>
                <w:lang w:bidi="ar"/>
              </w:rPr>
              <w:br w:type="textWrapping"/>
            </w:r>
            <w:r>
              <w:rPr>
                <w:kern w:val="0"/>
                <w:szCs w:val="21"/>
                <w:lang w:bidi="ar"/>
              </w:rPr>
              <w:t>软件适配：</w:t>
            </w:r>
            <w:r>
              <w:rPr>
                <w:kern w:val="0"/>
                <w:szCs w:val="21"/>
                <w:lang w:bidi="ar"/>
              </w:rPr>
              <w:br w:type="textWrapping"/>
            </w:r>
            <w:r>
              <w:rPr>
                <w:kern w:val="0"/>
                <w:szCs w:val="21"/>
                <w:lang w:bidi="ar"/>
              </w:rPr>
              <w:t>1、包含视频管理服务，一方面与服务端的接口统一，减少服务端与前端交互的工作量和复杂度，屏蔽了前端视频流与服务端连接的限制，解耦了服务端与前端的直接相关；另一方面有利于前端的扩展，新型前端挂载后，服务端就可以直接应用。</w:t>
            </w:r>
            <w:r>
              <w:rPr>
                <w:kern w:val="0"/>
                <w:szCs w:val="21"/>
                <w:lang w:bidi="ar"/>
              </w:rPr>
              <w:br w:type="textWrapping"/>
            </w:r>
            <w:r>
              <w:rPr>
                <w:kern w:val="0"/>
                <w:szCs w:val="21"/>
                <w:lang w:bidi="ar"/>
              </w:rPr>
              <w:t>2、统一承接视图资源的接入、存储、转发、共享等流程。通过采集接口采集遵循GAT1400规范的采集设备、平台，对视图资源进行存储，通过级联接口实现单网上下级和平级双网视图库服务的级联，通过数据服务接口实现对公安应用平台和解析平台资源共享。</w:t>
            </w:r>
            <w:r>
              <w:rPr>
                <w:kern w:val="0"/>
                <w:szCs w:val="21"/>
                <w:lang w:bidi="ar"/>
              </w:rPr>
              <w:br w:type="textWrapping"/>
            </w:r>
            <w:r>
              <w:rPr>
                <w:kern w:val="0"/>
                <w:szCs w:val="21"/>
                <w:lang w:bidi="ar"/>
              </w:rPr>
              <w:t>3、性能指标：支持多副本、纠删码最大支持不少于100亿文件，支持平滑扩展；单一属性条件检索不高于800ms，复合属性条件检索不高于1600ms。</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5"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38</w:t>
            </w:r>
          </w:p>
        </w:tc>
        <w:tc>
          <w:tcPr>
            <w:tcW w:w="795" w:type="pct"/>
            <w:vMerge w:val="continue"/>
            <w:noWrap w:val="0"/>
            <w:tcMar>
              <w:top w:w="15" w:type="dxa"/>
              <w:left w:w="15" w:type="dxa"/>
              <w:right w:w="15" w:type="dxa"/>
            </w:tcMar>
            <w:vAlign w:val="center"/>
          </w:tcPr>
          <w:p>
            <w:pPr>
              <w:jc w:val="center"/>
              <w:rPr>
                <w:szCs w:val="21"/>
              </w:rPr>
            </w:pP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业务服务模块（VPN专网）</w:t>
            </w:r>
            <w:r>
              <w:rPr>
                <w:kern w:val="0"/>
                <w:szCs w:val="21"/>
                <w:lang w:bidi="ar"/>
              </w:rPr>
              <w:br w:type="textWrapping"/>
            </w:r>
            <w:r>
              <w:rPr>
                <w:kern w:val="0"/>
                <w:szCs w:val="21"/>
                <w:lang w:bidi="ar"/>
              </w:rPr>
              <w:t xml:space="preserve">CPU：Intel XEON E5-2630 V4 *1 </w:t>
            </w:r>
            <w:r>
              <w:rPr>
                <w:kern w:val="0"/>
                <w:szCs w:val="21"/>
                <w:lang w:bidi="ar"/>
              </w:rPr>
              <w:br w:type="textWrapping"/>
            </w:r>
            <w:r>
              <w:rPr>
                <w:kern w:val="0"/>
                <w:szCs w:val="21"/>
                <w:lang w:bidi="ar"/>
              </w:rPr>
              <w:t>内存：16G DDR4 *8</w:t>
            </w:r>
            <w:r>
              <w:rPr>
                <w:kern w:val="0"/>
                <w:szCs w:val="21"/>
                <w:lang w:bidi="ar"/>
              </w:rPr>
              <w:br w:type="textWrapping"/>
            </w:r>
            <w:r>
              <w:rPr>
                <w:kern w:val="0"/>
                <w:szCs w:val="21"/>
                <w:lang w:bidi="ar"/>
              </w:rPr>
              <w:t xml:space="preserve">板载网卡：板载1000M网卡*2 </w:t>
            </w:r>
            <w:r>
              <w:rPr>
                <w:kern w:val="0"/>
                <w:szCs w:val="21"/>
                <w:lang w:bidi="ar"/>
              </w:rPr>
              <w:br w:type="textWrapping"/>
            </w:r>
            <w:r>
              <w:rPr>
                <w:kern w:val="0"/>
                <w:szCs w:val="21"/>
                <w:lang w:bidi="ar"/>
              </w:rPr>
              <w:t>万兆网卡：双口万兆光口卡，含光模块×2</w:t>
            </w:r>
            <w:r>
              <w:rPr>
                <w:kern w:val="0"/>
                <w:szCs w:val="21"/>
                <w:lang w:bidi="ar"/>
              </w:rPr>
              <w:br w:type="textWrapping"/>
            </w:r>
            <w:r>
              <w:rPr>
                <w:kern w:val="0"/>
                <w:szCs w:val="21"/>
                <w:lang w:bidi="ar"/>
              </w:rPr>
              <w:t xml:space="preserve">电源：冗余双电550W </w:t>
            </w:r>
            <w:r>
              <w:rPr>
                <w:kern w:val="0"/>
                <w:szCs w:val="21"/>
                <w:lang w:bidi="ar"/>
              </w:rPr>
              <w:br w:type="textWrapping"/>
            </w:r>
            <w:r>
              <w:rPr>
                <w:kern w:val="0"/>
                <w:szCs w:val="21"/>
                <w:lang w:bidi="ar"/>
              </w:rPr>
              <w:t>硬盘：4T  7.2k 3.5“ SATA  6G*4（做RAID5）+ 480 GB SSD*1</w:t>
            </w:r>
            <w:r>
              <w:rPr>
                <w:kern w:val="0"/>
                <w:szCs w:val="21"/>
                <w:lang w:bidi="ar"/>
              </w:rPr>
              <w:br w:type="textWrapping"/>
            </w:r>
            <w:r>
              <w:rPr>
                <w:kern w:val="0"/>
                <w:szCs w:val="21"/>
                <w:lang w:bidi="ar"/>
              </w:rPr>
              <w:t>RAID卡：8口，支持RAID 0,1,5,6,10,50,60,JBOD</w:t>
            </w:r>
            <w:r>
              <w:rPr>
                <w:kern w:val="0"/>
                <w:szCs w:val="21"/>
                <w:lang w:bidi="ar"/>
              </w:rPr>
              <w:br w:type="textWrapping"/>
            </w:r>
            <w:r>
              <w:rPr>
                <w:kern w:val="0"/>
                <w:szCs w:val="21"/>
                <w:lang w:bidi="ar"/>
              </w:rPr>
              <w:t>软件适配：</w:t>
            </w:r>
            <w:r>
              <w:rPr>
                <w:kern w:val="0"/>
                <w:szCs w:val="21"/>
                <w:lang w:bidi="ar"/>
              </w:rPr>
              <w:br w:type="textWrapping"/>
            </w:r>
            <w:r>
              <w:rPr>
                <w:kern w:val="0"/>
                <w:szCs w:val="21"/>
                <w:lang w:bidi="ar"/>
              </w:rPr>
              <w:t>1、部署控制业务服务，对计算服务器进行集群控制，并贴合**实战业务规律，将常规研判流程梳理并串联，全局携图跳转，流畅切换业务。</w:t>
            </w:r>
            <w:r>
              <w:rPr>
                <w:kern w:val="0"/>
                <w:szCs w:val="21"/>
                <w:lang w:bidi="ar"/>
              </w:rPr>
              <w:br w:type="textWrapping"/>
            </w:r>
            <w:r>
              <w:rPr>
                <w:kern w:val="0"/>
                <w:szCs w:val="21"/>
                <w:lang w:bidi="ar"/>
              </w:rPr>
              <w:t>2、采用微服务架构，以分布式、去中心化为核心，将业务系统按照功能逻辑组件化、服务化。各组件之间以RESTful接口形式进行调用。原有的单个业务系统拆分为多个可以独立开发、设计、运行和运维的小应用，这些小应用之间通过服务完成交互和集成。</w:t>
            </w:r>
            <w:r>
              <w:rPr>
                <w:kern w:val="0"/>
                <w:szCs w:val="21"/>
                <w:lang w:bidi="ar"/>
              </w:rPr>
              <w:br w:type="textWrapping"/>
            </w:r>
            <w:r>
              <w:rPr>
                <w:kern w:val="0"/>
                <w:szCs w:val="21"/>
                <w:lang w:bidi="ar"/>
              </w:rPr>
              <w:t>3、将数据划分为实时数据和离线数据。业务展示类的实时数据集群存储，检索类的实时数据会同步搜索集群。分析类的离线数据通过底层大数据平台和任务调度框架进行存储分析。</w:t>
            </w:r>
            <w:r>
              <w:rPr>
                <w:kern w:val="0"/>
                <w:szCs w:val="21"/>
                <w:lang w:bidi="ar"/>
              </w:rPr>
              <w:br w:type="textWrapping"/>
            </w:r>
            <w:r>
              <w:rPr>
                <w:kern w:val="0"/>
                <w:szCs w:val="21"/>
                <w:lang w:bidi="ar"/>
              </w:rPr>
              <w:t>4、系统服务实现容器化部署，可动态扩容。一份代码，可在多处部署。服务的配置由配置中心统一管理，动态获取更新。</w:t>
            </w:r>
            <w:r>
              <w:rPr>
                <w:kern w:val="0"/>
                <w:szCs w:val="21"/>
                <w:lang w:bidi="ar"/>
              </w:rPr>
              <w:br w:type="textWrapping"/>
            </w:r>
            <w:r>
              <w:rPr>
                <w:kern w:val="0"/>
                <w:szCs w:val="21"/>
                <w:lang w:bidi="ar"/>
              </w:rPr>
              <w:t>5、可作为跨网闸数据传输适配器，支持跨网数据透传，含数据接入模块、网摘穿透模块数据处理模块、运维模块，含监控统计数据存储、日志存储。</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套</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39</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布控球</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包含：布控球主机、电池（可拆卸）、220V电源适配器、10芯航插转接线；</w:t>
            </w:r>
            <w:r>
              <w:rPr>
                <w:kern w:val="0"/>
                <w:szCs w:val="21"/>
                <w:lang w:bidi="ar"/>
              </w:rPr>
              <w:br w:type="textWrapping"/>
            </w:r>
            <w:r>
              <w:rPr>
                <w:kern w:val="0"/>
                <w:szCs w:val="21"/>
                <w:lang w:bidi="ar"/>
              </w:rPr>
              <w:t>传感器：200W像素，1/2.8" Progressive Scan CMOS</w:t>
            </w:r>
            <w:r>
              <w:rPr>
                <w:kern w:val="0"/>
                <w:szCs w:val="21"/>
                <w:lang w:bidi="ar"/>
              </w:rPr>
              <w:br w:type="textWrapping"/>
            </w:r>
            <w:r>
              <w:rPr>
                <w:kern w:val="0"/>
                <w:szCs w:val="21"/>
                <w:lang w:bidi="ar"/>
              </w:rPr>
              <w:t>最小照度：彩色：0.05Lux @ (F1.6，AGC ON)，黑白：0.01Lux @(F1.6，AGC ON)</w:t>
            </w:r>
            <w:r>
              <w:rPr>
                <w:kern w:val="0"/>
                <w:szCs w:val="21"/>
                <w:lang w:bidi="ar"/>
              </w:rPr>
              <w:br w:type="textWrapping"/>
            </w:r>
            <w:r>
              <w:rPr>
                <w:kern w:val="0"/>
                <w:szCs w:val="21"/>
                <w:lang w:bidi="ar"/>
              </w:rPr>
              <w:t>焦距：4.5-135mm</w:t>
            </w:r>
            <w:r>
              <w:rPr>
                <w:kern w:val="0"/>
                <w:szCs w:val="21"/>
                <w:lang w:bidi="ar"/>
              </w:rPr>
              <w:br w:type="textWrapping"/>
            </w:r>
            <w:r>
              <w:rPr>
                <w:kern w:val="0"/>
                <w:szCs w:val="21"/>
                <w:lang w:bidi="ar"/>
              </w:rPr>
              <w:t>电子快门：1/1秒 ~ 1/30,000秒</w:t>
            </w:r>
            <w:r>
              <w:rPr>
                <w:kern w:val="0"/>
                <w:szCs w:val="21"/>
                <w:lang w:bidi="ar"/>
              </w:rPr>
              <w:br w:type="textWrapping"/>
            </w:r>
            <w:r>
              <w:rPr>
                <w:kern w:val="0"/>
                <w:szCs w:val="21"/>
                <w:lang w:bidi="ar"/>
              </w:rPr>
              <w:t>变倍：光学变倍30倍，数字变倍16倍</w:t>
            </w:r>
            <w:r>
              <w:rPr>
                <w:kern w:val="0"/>
                <w:szCs w:val="21"/>
                <w:lang w:bidi="ar"/>
              </w:rPr>
              <w:br w:type="textWrapping"/>
            </w:r>
            <w:r>
              <w:rPr>
                <w:kern w:val="0"/>
                <w:szCs w:val="21"/>
                <w:lang w:bidi="ar"/>
              </w:rPr>
              <w:t>水平旋转角度：360°</w:t>
            </w:r>
            <w:r>
              <w:rPr>
                <w:kern w:val="0"/>
                <w:szCs w:val="21"/>
                <w:lang w:bidi="ar"/>
              </w:rPr>
              <w:br w:type="textWrapping"/>
            </w:r>
            <w:r>
              <w:rPr>
                <w:kern w:val="0"/>
                <w:szCs w:val="21"/>
                <w:lang w:bidi="ar"/>
              </w:rPr>
              <w:t>垂直旋转角度：-20°~90°</w:t>
            </w:r>
            <w:r>
              <w:rPr>
                <w:kern w:val="0"/>
                <w:szCs w:val="21"/>
                <w:lang w:bidi="ar"/>
              </w:rPr>
              <w:br w:type="textWrapping"/>
            </w:r>
            <w:r>
              <w:rPr>
                <w:kern w:val="0"/>
                <w:szCs w:val="21"/>
                <w:lang w:bidi="ar"/>
              </w:rPr>
              <w:t>存储：支持双TF卡存储，单卡最大支持256GB</w:t>
            </w:r>
            <w:r>
              <w:rPr>
                <w:kern w:val="0"/>
                <w:szCs w:val="21"/>
                <w:lang w:bidi="ar"/>
              </w:rPr>
              <w:br w:type="textWrapping"/>
            </w:r>
            <w:r>
              <w:rPr>
                <w:kern w:val="0"/>
                <w:szCs w:val="21"/>
                <w:lang w:bidi="ar"/>
              </w:rPr>
              <w:t>网络：全网通，默认单张SIM卡，可支持三SIM卡</w:t>
            </w:r>
            <w:r>
              <w:rPr>
                <w:kern w:val="0"/>
                <w:szCs w:val="21"/>
                <w:lang w:bidi="ar"/>
              </w:rPr>
              <w:br w:type="textWrapping"/>
            </w:r>
            <w:r>
              <w:rPr>
                <w:kern w:val="0"/>
                <w:szCs w:val="21"/>
                <w:lang w:bidi="ar"/>
              </w:rPr>
              <w:t>定位：支持GPS/北斗双模定位</w:t>
            </w:r>
            <w:r>
              <w:rPr>
                <w:kern w:val="0"/>
                <w:szCs w:val="21"/>
                <w:lang w:bidi="ar"/>
              </w:rPr>
              <w:br w:type="textWrapping"/>
            </w:r>
            <w:r>
              <w:rPr>
                <w:kern w:val="0"/>
                <w:szCs w:val="21"/>
                <w:lang w:bidi="ar"/>
              </w:rPr>
              <w:t>蓝牙：BT4.0</w:t>
            </w:r>
            <w:r>
              <w:rPr>
                <w:kern w:val="0"/>
                <w:szCs w:val="21"/>
                <w:lang w:bidi="ar"/>
              </w:rPr>
              <w:br w:type="textWrapping"/>
            </w:r>
            <w:r>
              <w:rPr>
                <w:kern w:val="0"/>
                <w:szCs w:val="21"/>
                <w:lang w:bidi="ar"/>
              </w:rPr>
              <w:t>电源供应：DC 12V</w:t>
            </w:r>
            <w:r>
              <w:rPr>
                <w:kern w:val="0"/>
                <w:szCs w:val="21"/>
                <w:lang w:bidi="ar"/>
              </w:rPr>
              <w:br w:type="textWrapping"/>
            </w:r>
            <w:r>
              <w:rPr>
                <w:kern w:val="0"/>
                <w:szCs w:val="21"/>
                <w:lang w:bidi="ar"/>
              </w:rPr>
              <w:t>音频输入输出：LINE IN 、LINE OUT（需选配九芯航插线）</w:t>
            </w:r>
            <w:r>
              <w:rPr>
                <w:kern w:val="0"/>
                <w:szCs w:val="21"/>
                <w:lang w:bidi="ar"/>
              </w:rPr>
              <w:br w:type="textWrapping"/>
            </w:r>
            <w:r>
              <w:rPr>
                <w:kern w:val="0"/>
                <w:szCs w:val="21"/>
                <w:lang w:bidi="ar"/>
              </w:rPr>
              <w:t>电池容量：13400 mAh</w:t>
            </w:r>
            <w:r>
              <w:rPr>
                <w:kern w:val="0"/>
                <w:szCs w:val="21"/>
                <w:lang w:bidi="ar"/>
              </w:rPr>
              <w:br w:type="textWrapping"/>
            </w:r>
            <w:r>
              <w:rPr>
                <w:kern w:val="0"/>
                <w:szCs w:val="21"/>
                <w:lang w:bidi="ar"/>
              </w:rPr>
              <w:t>WiFi：802.11a/b/g/n/ac，支持WIFI热点，可通过平板/手机控制</w:t>
            </w:r>
            <w:r>
              <w:rPr>
                <w:kern w:val="0"/>
                <w:szCs w:val="21"/>
                <w:lang w:bidi="ar"/>
              </w:rPr>
              <w:br w:type="textWrapping"/>
            </w:r>
            <w:r>
              <w:rPr>
                <w:kern w:val="0"/>
                <w:szCs w:val="21"/>
                <w:lang w:bidi="ar"/>
              </w:rPr>
              <w:t>视频编码：H.264、H.265</w:t>
            </w:r>
            <w:r>
              <w:rPr>
                <w:kern w:val="0"/>
                <w:szCs w:val="21"/>
                <w:lang w:bidi="ar"/>
              </w:rPr>
              <w:br w:type="textWrapping"/>
            </w:r>
            <w:r>
              <w:rPr>
                <w:kern w:val="0"/>
                <w:szCs w:val="21"/>
                <w:lang w:bidi="ar"/>
              </w:rPr>
              <w:t>防护等级：IP66</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台</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5000" w:type="pct"/>
            <w:gridSpan w:val="5"/>
            <w:noWrap/>
            <w:tcMar>
              <w:top w:w="15" w:type="dxa"/>
              <w:left w:w="15" w:type="dxa"/>
              <w:right w:w="15" w:type="dxa"/>
            </w:tcMar>
            <w:vAlign w:val="center"/>
          </w:tcPr>
          <w:p>
            <w:pPr>
              <w:widowControl/>
              <w:ind w:firstLine="211" w:firstLineChars="100"/>
              <w:jc w:val="left"/>
              <w:textAlignment w:val="center"/>
              <w:rPr>
                <w:szCs w:val="21"/>
              </w:rPr>
            </w:pPr>
            <w:r>
              <w:rPr>
                <w:b/>
                <w:bCs/>
                <w:szCs w:val="21"/>
              </w:rPr>
              <w:t>二、服务期费用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1</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前后端设备维护费</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1）建立专门的运维服务管理机构，设立专门的技术服务队伍，配备专业维护人员。</w:t>
            </w:r>
            <w:r>
              <w:rPr>
                <w:kern w:val="0"/>
                <w:szCs w:val="21"/>
                <w:lang w:bidi="ar"/>
              </w:rPr>
              <w:br w:type="textWrapping"/>
            </w:r>
            <w:r>
              <w:rPr>
                <w:kern w:val="0"/>
                <w:szCs w:val="21"/>
                <w:lang w:bidi="ar"/>
              </w:rPr>
              <w:t>2）建立各项运维服务流程，按照流程要求提供高质量、响应快的服务。3)服务响应时间要求：</w:t>
            </w:r>
            <w:r>
              <w:rPr>
                <w:kern w:val="0"/>
                <w:szCs w:val="21"/>
                <w:lang w:bidi="ar"/>
              </w:rPr>
              <w:br w:type="textWrapping"/>
            </w:r>
            <w:r>
              <w:rPr>
                <w:kern w:val="0"/>
                <w:szCs w:val="21"/>
                <w:lang w:bidi="ar"/>
              </w:rPr>
              <w:t>提供7×24小时服务承诺。提供5年全天候7×24小时的故障维护服务和技术业务咨询服务，并有专业的技术人员负责及时解决系统出现的任何故障；</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年</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2</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光缆链路费</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运营商链路（单点需≥50M带宽，保证监控不卡顿，如设备高码流请自行提高带宽）。</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年</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3</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前端工业用电电费</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5年/点。</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项</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4</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前端设备维护费</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1）建立专门的运维服务管理机构，设立专门的技术服务队伍，配备专业维护人员。</w:t>
            </w:r>
            <w:r>
              <w:rPr>
                <w:kern w:val="0"/>
                <w:szCs w:val="21"/>
                <w:lang w:bidi="ar"/>
              </w:rPr>
              <w:br w:type="textWrapping"/>
            </w:r>
            <w:r>
              <w:rPr>
                <w:kern w:val="0"/>
                <w:szCs w:val="21"/>
                <w:lang w:bidi="ar"/>
              </w:rPr>
              <w:t>2）建立各项运维服务流程，按照流程要求提供高质量、响应快的服务。3)服务响应时间要求：</w:t>
            </w:r>
            <w:r>
              <w:rPr>
                <w:kern w:val="0"/>
                <w:szCs w:val="21"/>
                <w:lang w:bidi="ar"/>
              </w:rPr>
              <w:br w:type="textWrapping"/>
            </w:r>
            <w:r>
              <w:rPr>
                <w:kern w:val="0"/>
                <w:szCs w:val="21"/>
                <w:lang w:bidi="ar"/>
              </w:rPr>
              <w:t>提供7×24小时服务承诺。提供</w:t>
            </w:r>
            <w:r>
              <w:rPr>
                <w:rFonts w:hint="eastAsia"/>
                <w:kern w:val="0"/>
                <w:szCs w:val="21"/>
                <w:lang w:bidi="ar"/>
              </w:rPr>
              <w:t>5</w:t>
            </w:r>
            <w:r>
              <w:rPr>
                <w:kern w:val="0"/>
                <w:szCs w:val="21"/>
                <w:lang w:bidi="ar"/>
              </w:rPr>
              <w:t>年全天候7×24小时的故障维护服务和技术业务咨询服务，并有专业的技术人员负责及时解决系统出现的任何故障；共计1130个点。</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年</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5</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光缆链路费</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运营商链路（单点需≥50M带宽，保证监控不卡顿，如设备高码流请自行提高带宽），共计1130个点。</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年</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6</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前端工业用电电费</w:t>
            </w:r>
          </w:p>
        </w:tc>
        <w:tc>
          <w:tcPr>
            <w:tcW w:w="3334" w:type="pct"/>
            <w:noWrap w:val="0"/>
            <w:tcMar>
              <w:top w:w="15" w:type="dxa"/>
              <w:left w:w="15" w:type="dxa"/>
              <w:right w:w="15" w:type="dxa"/>
            </w:tcMar>
            <w:vAlign w:val="center"/>
          </w:tcPr>
          <w:p>
            <w:pPr>
              <w:widowControl/>
              <w:jc w:val="left"/>
              <w:textAlignment w:val="center"/>
              <w:rPr>
                <w:szCs w:val="21"/>
              </w:rPr>
            </w:pPr>
            <w:r>
              <w:rPr>
                <w:kern w:val="0"/>
                <w:szCs w:val="21"/>
                <w:lang w:bidi="ar"/>
              </w:rPr>
              <w:t>5年/点。</w:t>
            </w: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项</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1130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2" w:type="pct"/>
            <w:noWrap/>
            <w:tcMar>
              <w:top w:w="15" w:type="dxa"/>
              <w:left w:w="15" w:type="dxa"/>
              <w:right w:w="15" w:type="dxa"/>
            </w:tcMar>
            <w:vAlign w:val="center"/>
          </w:tcPr>
          <w:p>
            <w:pPr>
              <w:widowControl/>
              <w:jc w:val="center"/>
              <w:textAlignment w:val="center"/>
              <w:rPr>
                <w:szCs w:val="21"/>
              </w:rPr>
            </w:pPr>
            <w:r>
              <w:rPr>
                <w:kern w:val="0"/>
                <w:szCs w:val="21"/>
                <w:lang w:bidi="ar"/>
              </w:rPr>
              <w:t>7</w:t>
            </w:r>
          </w:p>
        </w:tc>
        <w:tc>
          <w:tcPr>
            <w:tcW w:w="795" w:type="pct"/>
            <w:noWrap w:val="0"/>
            <w:tcMar>
              <w:top w:w="15" w:type="dxa"/>
              <w:left w:w="15" w:type="dxa"/>
              <w:right w:w="15" w:type="dxa"/>
            </w:tcMar>
            <w:vAlign w:val="center"/>
          </w:tcPr>
          <w:p>
            <w:pPr>
              <w:widowControl/>
              <w:jc w:val="center"/>
              <w:textAlignment w:val="center"/>
              <w:rPr>
                <w:szCs w:val="21"/>
              </w:rPr>
            </w:pPr>
            <w:r>
              <w:rPr>
                <w:kern w:val="0"/>
                <w:szCs w:val="21"/>
                <w:lang w:bidi="ar"/>
              </w:rPr>
              <w:t>机房工业电费</w:t>
            </w:r>
          </w:p>
        </w:tc>
        <w:tc>
          <w:tcPr>
            <w:tcW w:w="3334" w:type="pct"/>
            <w:noWrap w:val="0"/>
            <w:tcMar>
              <w:top w:w="15" w:type="dxa"/>
              <w:left w:w="15" w:type="dxa"/>
              <w:right w:w="15" w:type="dxa"/>
            </w:tcMar>
            <w:vAlign w:val="center"/>
          </w:tcPr>
          <w:p>
            <w:pPr>
              <w:jc w:val="left"/>
              <w:rPr>
                <w:szCs w:val="21"/>
              </w:rPr>
            </w:pPr>
          </w:p>
        </w:tc>
        <w:tc>
          <w:tcPr>
            <w:tcW w:w="261" w:type="pct"/>
            <w:noWrap/>
            <w:tcMar>
              <w:top w:w="15" w:type="dxa"/>
              <w:left w:w="15" w:type="dxa"/>
              <w:right w:w="15" w:type="dxa"/>
            </w:tcMar>
            <w:vAlign w:val="center"/>
          </w:tcPr>
          <w:p>
            <w:pPr>
              <w:widowControl/>
              <w:jc w:val="center"/>
              <w:textAlignment w:val="center"/>
              <w:rPr>
                <w:szCs w:val="21"/>
              </w:rPr>
            </w:pPr>
            <w:r>
              <w:rPr>
                <w:kern w:val="0"/>
                <w:szCs w:val="21"/>
                <w:lang w:bidi="ar"/>
              </w:rPr>
              <w:t>年</w:t>
            </w:r>
          </w:p>
        </w:tc>
        <w:tc>
          <w:tcPr>
            <w:tcW w:w="356" w:type="pct"/>
            <w:noWrap/>
            <w:tcMar>
              <w:top w:w="15" w:type="dxa"/>
              <w:left w:w="15" w:type="dxa"/>
              <w:right w:w="15" w:type="dxa"/>
            </w:tcMar>
            <w:vAlign w:val="center"/>
          </w:tcPr>
          <w:p>
            <w:pPr>
              <w:widowControl/>
              <w:jc w:val="center"/>
              <w:textAlignment w:val="center"/>
              <w:rPr>
                <w:szCs w:val="21"/>
              </w:rPr>
            </w:pPr>
            <w:r>
              <w:rPr>
                <w:kern w:val="0"/>
                <w:szCs w:val="21"/>
                <w:lang w:bidi="ar"/>
              </w:rPr>
              <w:t>5</w:t>
            </w:r>
          </w:p>
        </w:tc>
      </w:tr>
    </w:tbl>
    <w:p>
      <w:pPr>
        <w:spacing w:before="120" w:beforeLines="50" w:after="120" w:afterLines="50"/>
        <w:outlineLvl w:val="1"/>
        <w:rPr>
          <w:b/>
          <w:sz w:val="28"/>
          <w:szCs w:val="28"/>
        </w:rPr>
      </w:pPr>
      <w:bookmarkStart w:id="39" w:name="_Toc1314"/>
      <w:r>
        <w:rPr>
          <w:b/>
          <w:sz w:val="28"/>
          <w:szCs w:val="28"/>
        </w:rPr>
        <w:t>三、质量及技术服务</w:t>
      </w:r>
      <w:bookmarkEnd w:id="39"/>
    </w:p>
    <w:p>
      <w:pPr>
        <w:snapToGrid w:val="0"/>
        <w:spacing w:line="360" w:lineRule="auto"/>
        <w:ind w:firstLine="480"/>
        <w:rPr>
          <w:sz w:val="24"/>
        </w:rPr>
      </w:pPr>
      <w:r>
        <w:rPr>
          <w:b/>
          <w:sz w:val="24"/>
        </w:rPr>
        <w:t>★</w:t>
      </w:r>
      <w:r>
        <w:rPr>
          <w:sz w:val="24"/>
        </w:rPr>
        <w:t>1、投标人须保证所提供产品符合国家有关规定。投标人须保证所提供产品具有合法的版权或使用权，本项目采购的产品，如在本项目范围内使用过程中出现版权或使用权纠纷，应由中标人负责，采购人不承担责任。</w:t>
      </w:r>
    </w:p>
    <w:p>
      <w:pPr>
        <w:adjustRightInd w:val="0"/>
        <w:snapToGrid w:val="0"/>
        <w:spacing w:line="360" w:lineRule="auto"/>
        <w:ind w:firstLine="420" w:firstLineChars="175"/>
        <w:rPr>
          <w:sz w:val="24"/>
        </w:rPr>
      </w:pPr>
      <w:r>
        <w:rPr>
          <w:sz w:val="24"/>
        </w:rPr>
        <w:t>2、投标人必须保证解决项目所涉及的技术问题，如因技术原因无法满足用户需求，由此产生的风险由投标方承担。</w:t>
      </w:r>
    </w:p>
    <w:p>
      <w:pPr>
        <w:snapToGrid w:val="0"/>
        <w:spacing w:line="360" w:lineRule="auto"/>
        <w:ind w:firstLine="480"/>
        <w:rPr>
          <w:sz w:val="24"/>
        </w:rPr>
      </w:pPr>
      <w:r>
        <w:rPr>
          <w:sz w:val="24"/>
        </w:rPr>
        <w:t>3、投标人应确保其技术建议以及所提供产品的完整性、实用性，保证全部系统及时投入正常运行。否则若出现因投标人提供的产品不满足要求、不合理，或者其所提供的技术支持和服务不全面，而导致系统无法实现或不能完全实现的状况，投标人负全部责任。</w:t>
      </w:r>
    </w:p>
    <w:p>
      <w:pPr>
        <w:snapToGrid w:val="0"/>
        <w:spacing w:line="360" w:lineRule="auto"/>
        <w:ind w:firstLine="480"/>
        <w:rPr>
          <w:b/>
          <w:sz w:val="24"/>
        </w:rPr>
      </w:pPr>
      <w:r>
        <w:rPr>
          <w:b/>
          <w:sz w:val="24"/>
        </w:rPr>
        <w:t>4、如果系统在质保期内发生故障，投标人在1小时内响应维护服务，2小时内到达现场维修，免费上门服务，故障修复时间不得大于24小时，包括免费提供相同功能的设备供采购人使用，直至故障设备修复为止，否则采购人将自行采取必要的措施，由此产生风险和费用由投标人承担。</w:t>
      </w:r>
    </w:p>
    <w:p>
      <w:pPr>
        <w:spacing w:line="360" w:lineRule="auto"/>
        <w:ind w:firstLine="482" w:firstLineChars="200"/>
        <w:rPr>
          <w:b/>
          <w:sz w:val="24"/>
          <w:lang w:val="zh-CN"/>
        </w:rPr>
      </w:pPr>
      <w:r>
        <w:rPr>
          <w:b/>
          <w:sz w:val="24"/>
        </w:rPr>
        <w:t>5、</w:t>
      </w:r>
      <w:r>
        <w:rPr>
          <w:b/>
          <w:sz w:val="24"/>
          <w:lang w:val="zh-CN"/>
        </w:rPr>
        <w:t>特别提示</w:t>
      </w:r>
    </w:p>
    <w:p>
      <w:pPr>
        <w:spacing w:line="360" w:lineRule="auto"/>
        <w:ind w:firstLine="482" w:firstLineChars="200"/>
        <w:rPr>
          <w:sz w:val="28"/>
          <w:szCs w:val="28"/>
        </w:rPr>
      </w:pPr>
      <w:r>
        <w:rPr>
          <w:b/>
          <w:sz w:val="24"/>
        </w:rPr>
        <w:t>★本次为交钥匙项目，一切与本项目有关的内容均由中标人负责，中标人有义务保证采购人系统的完整性，如项目实施过程中因缺少设备、配件或服务导致采购人系统无法正常运行，中标人须无偿提供</w:t>
      </w:r>
      <w:r>
        <w:rPr>
          <w:b/>
          <w:sz w:val="24"/>
          <w:lang w:val="zh-CN"/>
        </w:rPr>
        <w:t>。</w:t>
      </w:r>
    </w:p>
    <w:p>
      <w:pPr>
        <w:spacing w:line="360" w:lineRule="auto"/>
        <w:ind w:firstLine="562" w:firstLineChars="200"/>
        <w:outlineLvl w:val="1"/>
        <w:rPr>
          <w:b/>
          <w:sz w:val="28"/>
          <w:szCs w:val="28"/>
        </w:rPr>
      </w:pPr>
      <w:bookmarkStart w:id="40" w:name="_Toc519080790"/>
      <w:bookmarkStart w:id="41" w:name="_Toc31669"/>
      <w:bookmarkStart w:id="42" w:name="_Toc516069195"/>
      <w:bookmarkStart w:id="43" w:name="_Toc491075506"/>
      <w:r>
        <w:rPr>
          <w:b/>
          <w:sz w:val="28"/>
          <w:szCs w:val="28"/>
        </w:rPr>
        <w:t>四、项目的工作内容及成果</w:t>
      </w:r>
      <w:bookmarkEnd w:id="40"/>
      <w:bookmarkEnd w:id="41"/>
      <w:bookmarkEnd w:id="42"/>
      <w:bookmarkEnd w:id="43"/>
    </w:p>
    <w:p>
      <w:pPr>
        <w:spacing w:line="360" w:lineRule="auto"/>
        <w:ind w:firstLine="520" w:firstLineChars="217"/>
        <w:rPr>
          <w:sz w:val="24"/>
        </w:rPr>
      </w:pPr>
      <w:r>
        <w:rPr>
          <w:sz w:val="24"/>
        </w:rPr>
        <w:t>1、按照招标文件要求对全部设备的型号、规格、数量、外型、包装及资料（如保修单、随箱介质）进行验收。测试中出现性能指标或功能上不符合招标文件和合同要求时，采购单位有拒收的权利。如果出现不符合招标文件和合同要求的严重质量问题时，采购单位保留索赔权利。</w:t>
      </w:r>
    </w:p>
    <w:p>
      <w:pPr>
        <w:spacing w:line="360" w:lineRule="auto"/>
        <w:rPr>
          <w:sz w:val="24"/>
        </w:rPr>
      </w:pPr>
      <w:r>
        <w:rPr>
          <w:sz w:val="24"/>
        </w:rPr>
        <w:t xml:space="preserve">    2、技术文档需求</w:t>
      </w:r>
    </w:p>
    <w:p>
      <w:pPr>
        <w:spacing w:line="360" w:lineRule="auto"/>
        <w:ind w:firstLine="520" w:firstLineChars="217"/>
        <w:rPr>
          <w:sz w:val="24"/>
        </w:rPr>
      </w:pPr>
      <w:r>
        <w:rPr>
          <w:sz w:val="24"/>
        </w:rPr>
        <w:t>中标人在工程开始和结束时应向用户提供下述技术文档：</w:t>
      </w:r>
    </w:p>
    <w:p>
      <w:pPr>
        <w:spacing w:line="360" w:lineRule="auto"/>
        <w:ind w:firstLine="520" w:firstLineChars="217"/>
        <w:rPr>
          <w:sz w:val="24"/>
        </w:rPr>
      </w:pPr>
      <w:r>
        <w:rPr>
          <w:sz w:val="24"/>
        </w:rPr>
        <w:t>（1）产品安装、运行、使用、测试、诊断和维修的技术文件。</w:t>
      </w:r>
    </w:p>
    <w:p>
      <w:pPr>
        <w:spacing w:line="360" w:lineRule="auto"/>
        <w:ind w:firstLine="520" w:firstLineChars="217"/>
        <w:rPr>
          <w:sz w:val="24"/>
        </w:rPr>
      </w:pPr>
      <w:r>
        <w:rPr>
          <w:sz w:val="24"/>
        </w:rPr>
        <w:t>（2）设备及软件产品配置计划（包括配置图和配件清单）。</w:t>
      </w:r>
    </w:p>
    <w:p>
      <w:pPr>
        <w:spacing w:line="360" w:lineRule="auto"/>
        <w:ind w:firstLine="520" w:firstLineChars="217"/>
        <w:rPr>
          <w:sz w:val="24"/>
        </w:rPr>
      </w:pPr>
      <w:r>
        <w:rPr>
          <w:sz w:val="24"/>
        </w:rPr>
        <w:t>（3）所购设备及软件的安装指南、使用手册、许可证、介质。</w:t>
      </w:r>
    </w:p>
    <w:p>
      <w:pPr>
        <w:rPr>
          <w:sz w:val="28"/>
          <w:szCs w:val="28"/>
        </w:rPr>
        <w:sectPr>
          <w:pgSz w:w="11906" w:h="16838"/>
          <w:pgMar w:top="1418" w:right="1418" w:bottom="1134" w:left="1418" w:header="851" w:footer="680" w:gutter="0"/>
          <w:pgNumType w:fmt="decimalFullWidth"/>
          <w:cols w:space="720" w:num="1"/>
          <w:docGrid w:linePitch="312" w:charSpace="0"/>
        </w:sectPr>
      </w:pPr>
    </w:p>
    <w:p>
      <w:pPr>
        <w:pStyle w:val="2"/>
        <w:numPr>
          <w:ilvl w:val="0"/>
          <w:numId w:val="0"/>
        </w:numPr>
        <w:spacing w:before="0" w:after="0" w:line="360" w:lineRule="auto"/>
        <w:jc w:val="center"/>
        <w:rPr>
          <w:sz w:val="28"/>
          <w:szCs w:val="28"/>
        </w:rPr>
      </w:pPr>
      <w:bookmarkStart w:id="44" w:name="_Toc20541"/>
      <w:r>
        <w:rPr>
          <w:sz w:val="28"/>
          <w:szCs w:val="28"/>
        </w:rPr>
        <w:t>第四章  采购合同主要条款</w:t>
      </w:r>
      <w:bookmarkEnd w:id="44"/>
    </w:p>
    <w:p>
      <w:pPr>
        <w:pStyle w:val="9"/>
        <w:spacing w:after="0" w:line="360" w:lineRule="auto"/>
        <w:ind w:left="108" w:right="147" w:firstLine="420"/>
      </w:pPr>
      <w:bookmarkStart w:id="45" w:name="_Hlt75236193"/>
      <w:bookmarkEnd w:id="45"/>
      <w:r>
        <w:t>合同将由新昌县公安局（以下简称甲方）与各标项经评审最终确定的中标人（以下简称乙方）结合本项目具体情况协商后签订。</w:t>
      </w:r>
    </w:p>
    <w:p>
      <w:pPr>
        <w:pStyle w:val="9"/>
        <w:spacing w:after="0" w:line="360" w:lineRule="auto"/>
        <w:ind w:left="108" w:right="147" w:firstLine="420"/>
      </w:pPr>
      <w:r>
        <w:t>以下为采购人提出涉及乙方的主要条款，供应商在投标文件中应对其进行确认或拒绝。如供应商在其投标文件中未做拒绝或提出修改要求的，采购人将视作认同。</w:t>
      </w:r>
    </w:p>
    <w:p>
      <w:pPr>
        <w:spacing w:line="360" w:lineRule="auto"/>
        <w:ind w:firstLine="422" w:firstLineChars="200"/>
        <w:rPr>
          <w:b/>
        </w:rPr>
      </w:pPr>
      <w:r>
        <w:rPr>
          <w:b/>
        </w:rPr>
        <w:t>特别提示：供应商以正式签订合同为准，合同条款的具体内容应严格按照招标文件、投标文件、采购结果及中标人的承诺来拟订。</w:t>
      </w:r>
    </w:p>
    <w:p>
      <w:pPr>
        <w:spacing w:line="360" w:lineRule="auto"/>
        <w:rPr>
          <w:b/>
        </w:rPr>
      </w:pPr>
    </w:p>
    <w:p>
      <w:pPr>
        <w:spacing w:line="420" w:lineRule="exact"/>
        <w:jc w:val="left"/>
        <w:rPr>
          <w:sz w:val="28"/>
        </w:rPr>
      </w:pPr>
      <w:r>
        <w:rPr>
          <w:sz w:val="28"/>
        </w:rPr>
        <w:t>甲方合同编号【</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w:t>
      </w:r>
    </w:p>
    <w:p>
      <w:pPr>
        <w:spacing w:line="420" w:lineRule="exact"/>
        <w:jc w:val="left"/>
        <w:rPr>
          <w:sz w:val="28"/>
        </w:rPr>
      </w:pPr>
      <w:r>
        <w:rPr>
          <w:sz w:val="28"/>
        </w:rPr>
        <w:t>乙方合同编号【</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w:t>
      </w:r>
    </w:p>
    <w:p>
      <w:pPr>
        <w:jc w:val="center"/>
        <w:rPr>
          <w:b/>
          <w:sz w:val="32"/>
        </w:rPr>
      </w:pPr>
    </w:p>
    <w:p>
      <w:pPr>
        <w:jc w:val="center"/>
        <w:rPr>
          <w:b/>
          <w:sz w:val="32"/>
        </w:rPr>
      </w:pPr>
    </w:p>
    <w:p>
      <w:pPr>
        <w:rPr>
          <w:b/>
          <w:sz w:val="32"/>
        </w:rPr>
      </w:pPr>
    </w:p>
    <w:p>
      <w:pPr>
        <w:jc w:val="center"/>
        <w:rPr>
          <w:rFonts w:eastAsia="方正兰亭黑简体"/>
          <w:bCs/>
          <w:sz w:val="32"/>
          <w:szCs w:val="32"/>
        </w:rPr>
      </w:pPr>
      <w:r>
        <w:rPr>
          <w:rFonts w:eastAsia="方正兰亭黑简体"/>
          <w:bCs/>
          <w:sz w:val="32"/>
          <w:szCs w:val="32"/>
        </w:rPr>
        <w:t>新昌县智慧**建设项目—社会治安动态视频监控系统四、五期升级改造+人脸识别监控项目</w:t>
      </w:r>
    </w:p>
    <w:p>
      <w:pPr>
        <w:rPr>
          <w:sz w:val="32"/>
        </w:rPr>
      </w:pPr>
    </w:p>
    <w:p>
      <w:pP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r>
        <w:rPr>
          <w:b/>
          <w:sz w:val="32"/>
        </w:rPr>
        <w:t>2020年      月     日</w:t>
      </w:r>
    </w:p>
    <w:p>
      <w:pPr>
        <w:jc w:val="center"/>
        <w:rPr>
          <w:b/>
          <w:sz w:val="32"/>
        </w:rPr>
      </w:pPr>
      <w:r>
        <w:rPr>
          <w:b/>
          <w:sz w:val="32"/>
        </w:rPr>
        <w:br w:type="page"/>
      </w:r>
    </w:p>
    <w:p>
      <w:pPr>
        <w:spacing w:line="360" w:lineRule="auto"/>
      </w:pPr>
      <w:r>
        <w:t>本协议由甲、乙双方于2020年</w:t>
      </w:r>
      <w:r>
        <w:rPr>
          <w:u w:val="single"/>
        </w:rPr>
        <w:t xml:space="preserve">     </w:t>
      </w:r>
      <w:r>
        <w:t>月</w:t>
      </w:r>
      <w:r>
        <w:rPr>
          <w:u w:val="single"/>
        </w:rPr>
        <w:t xml:space="preserve">     </w:t>
      </w:r>
      <w:r>
        <w:t>日在新昌县公安局签订。</w:t>
      </w:r>
    </w:p>
    <w:p>
      <w:pPr>
        <w:spacing w:line="360" w:lineRule="auto"/>
        <w:rPr>
          <w:b/>
        </w:rPr>
      </w:pPr>
      <w:r>
        <w:rPr>
          <w:b/>
        </w:rPr>
        <w:t>甲方：新昌县公安局</w:t>
      </w:r>
    </w:p>
    <w:p>
      <w:pPr>
        <w:spacing w:line="360" w:lineRule="auto"/>
        <w:rPr>
          <w:b/>
        </w:rPr>
      </w:pPr>
      <w:r>
        <w:rPr>
          <w:b/>
        </w:rPr>
        <w:t xml:space="preserve">乙方： </w:t>
      </w:r>
    </w:p>
    <w:p>
      <w:pPr>
        <w:spacing w:line="360" w:lineRule="auto"/>
      </w:pPr>
    </w:p>
    <w:p>
      <w:pPr>
        <w:spacing w:line="360" w:lineRule="auto"/>
        <w:ind w:firstLine="435"/>
        <w:rPr>
          <w:szCs w:val="21"/>
        </w:rPr>
      </w:pPr>
      <w:r>
        <w:rPr>
          <w:szCs w:val="21"/>
        </w:rPr>
        <w:t>根据2020年“新昌县智慧**建设项目—社会治安动态视频监控系统四、五期升级改造+人脸识别监控项目”招标方案的相关规定，由乙方承担甲方的“新昌县智慧**建设项目—社会治安动态视频监控系统四、五期升级改造+人脸识别监控项目工程建设任务。根据《中华人民共和国合同法》的有关规定，甲乙双方经友好协商签订本合同。</w:t>
      </w:r>
    </w:p>
    <w:p>
      <w:pPr>
        <w:spacing w:line="360" w:lineRule="auto"/>
        <w:rPr>
          <w:b/>
          <w:szCs w:val="21"/>
        </w:rPr>
      </w:pPr>
      <w:r>
        <w:rPr>
          <w:b/>
          <w:szCs w:val="21"/>
        </w:rPr>
        <w:t>第一条  项目内容</w:t>
      </w:r>
    </w:p>
    <w:p>
      <w:pPr>
        <w:spacing w:line="360" w:lineRule="auto"/>
        <w:ind w:firstLine="420" w:firstLineChars="200"/>
        <w:rPr>
          <w:strike/>
          <w:szCs w:val="21"/>
        </w:rPr>
      </w:pPr>
      <w:r>
        <w:rPr>
          <w:szCs w:val="21"/>
        </w:rPr>
        <w:t>乙方是“新昌县智慧**建设项目—社会治安动态视频监控系统四、五期升级改造+人脸识别监控项目的总建设方。</w:t>
      </w:r>
    </w:p>
    <w:p>
      <w:pPr>
        <w:spacing w:line="360" w:lineRule="auto"/>
        <w:ind w:firstLine="420" w:firstLineChars="200"/>
        <w:rPr>
          <w:szCs w:val="21"/>
        </w:rPr>
      </w:pPr>
      <w:r>
        <w:rPr>
          <w:szCs w:val="21"/>
        </w:rPr>
        <w:t>1.1 甲乙双方本着诚信、平等、互利的原则签订本协议，并相互尊重，共同协商处理在合作中出现的问题，不断拓宽业务合作范畴；</w:t>
      </w:r>
    </w:p>
    <w:p>
      <w:pPr>
        <w:spacing w:line="360" w:lineRule="auto"/>
        <w:ind w:firstLine="420" w:firstLineChars="200"/>
        <w:jc w:val="left"/>
        <w:rPr>
          <w:szCs w:val="21"/>
        </w:rPr>
      </w:pPr>
      <w:r>
        <w:rPr>
          <w:szCs w:val="21"/>
        </w:rPr>
        <w:t>1.2 甲方委托乙方负责建设的“新昌县智慧**建设项目—社会治安动态视频监控系统四、五期升级改造+人脸识别监控项目，本次项目主要包括</w:t>
      </w:r>
      <w:r>
        <w:rPr>
          <w:szCs w:val="21"/>
        </w:rPr>
        <w:sym w:font="Wingdings" w:char="F081"/>
      </w:r>
      <w:r>
        <w:rPr>
          <w:szCs w:val="21"/>
        </w:rPr>
        <w:t>504个第四、五期社会治安高清监控点位前端及后端设备的升级改造；</w:t>
      </w:r>
      <w:r>
        <w:rPr>
          <w:szCs w:val="21"/>
        </w:rPr>
        <w:sym w:font="Wingdings" w:char="F082"/>
      </w:r>
      <w:r>
        <w:rPr>
          <w:szCs w:val="21"/>
        </w:rPr>
        <w:t>新增1130路智能人脸抓拍设备；</w:t>
      </w:r>
      <w:r>
        <w:rPr>
          <w:szCs w:val="21"/>
        </w:rPr>
        <w:sym w:font="Wingdings" w:char="F083"/>
      </w:r>
      <w:r>
        <w:rPr>
          <w:szCs w:val="21"/>
        </w:rPr>
        <w:t>人脸识别系统。</w:t>
      </w:r>
      <w:r>
        <w:rPr>
          <w:kern w:val="0"/>
          <w:szCs w:val="21"/>
        </w:rPr>
        <w:t>其中包含423路枪机、21路球机、60路抓拍机改造以及1130路的人脸抓拍设备新建，并且对现有视频云存储进行扩容升级，点位视频录像到统一的云存储管理进行集中存储。</w:t>
      </w:r>
      <w:r>
        <w:rPr>
          <w:szCs w:val="21"/>
        </w:rPr>
        <w:t>乙方还须提供“新昌县智慧**建设项目—社会治安动态视频监控系统四、五期升级改造+人脸识别监控项目的光缆传输线路或无线传输、用电线路与电费以及相关设备集成建设、维护、业务开通、业务调整等相关服务；</w:t>
      </w:r>
    </w:p>
    <w:p>
      <w:pPr>
        <w:spacing w:line="360" w:lineRule="auto"/>
        <w:ind w:firstLine="420" w:firstLineChars="200"/>
        <w:rPr>
          <w:szCs w:val="21"/>
        </w:rPr>
      </w:pPr>
      <w:r>
        <w:rPr>
          <w:szCs w:val="21"/>
        </w:rPr>
        <w:t>1.3 “新昌县智慧**建设项目—社会治安动态视频监控系统四、五期升级改造+人脸识别监控项目，由乙方工程人员负责深化设计、施工、调试、开通等。</w:t>
      </w:r>
    </w:p>
    <w:p>
      <w:pPr>
        <w:spacing w:line="360" w:lineRule="auto"/>
        <w:rPr>
          <w:b/>
          <w:szCs w:val="21"/>
        </w:rPr>
      </w:pPr>
      <w:r>
        <w:rPr>
          <w:b/>
          <w:szCs w:val="21"/>
        </w:rPr>
        <w:t>第二条  双方权利和义务</w:t>
      </w:r>
    </w:p>
    <w:p>
      <w:pPr>
        <w:spacing w:line="360" w:lineRule="auto"/>
        <w:ind w:firstLine="420" w:firstLineChars="200"/>
        <w:rPr>
          <w:szCs w:val="21"/>
        </w:rPr>
      </w:pPr>
      <w:r>
        <w:rPr>
          <w:szCs w:val="21"/>
        </w:rPr>
        <w:t>2.1 甲方权利</w:t>
      </w:r>
    </w:p>
    <w:p>
      <w:pPr>
        <w:spacing w:line="360" w:lineRule="auto"/>
        <w:ind w:firstLine="420" w:firstLineChars="200"/>
        <w:rPr>
          <w:szCs w:val="21"/>
        </w:rPr>
      </w:pPr>
      <w:r>
        <w:rPr>
          <w:szCs w:val="21"/>
        </w:rPr>
        <w:t>2.1.1“新昌县智慧**建设项目—社会治安动态视频监控系统四、五期升级改造+人脸识别监控项目中图像数据，未经甲方同意，乙方不得私自泄露、转让给第三方使用；</w:t>
      </w:r>
    </w:p>
    <w:p>
      <w:pPr>
        <w:spacing w:line="360" w:lineRule="auto"/>
        <w:ind w:firstLine="420" w:firstLineChars="200"/>
        <w:rPr>
          <w:szCs w:val="21"/>
        </w:rPr>
      </w:pPr>
      <w:r>
        <w:rPr>
          <w:szCs w:val="21"/>
        </w:rPr>
        <w:t>2.1.2甲方对乙方负责建设的技术平台不能正常运行或因平台技术维护原因造成图像数据丢失有权要求乙方及时改进，对由此造成的损失双方予以协商解决。如遇乙方光纤链路改造等，乙方应提前七天通知甲方，说明可能造成的影响和范围，因此造成的图像数据丢失，损失由双方予以协商解决。乙方在光纤链路改造时要精心规划，合理安排割接方案，尽量减少对甲方使用的影响。</w:t>
      </w:r>
    </w:p>
    <w:p>
      <w:pPr>
        <w:spacing w:line="360" w:lineRule="auto"/>
        <w:ind w:firstLine="420" w:firstLineChars="200"/>
        <w:rPr>
          <w:szCs w:val="21"/>
        </w:rPr>
      </w:pPr>
      <w:r>
        <w:rPr>
          <w:szCs w:val="21"/>
        </w:rPr>
        <w:t>2.1.3此项目为社会治安动态监控专用系统，以后其他场所的接入必须由甲方组织实施，乙方积极做好配合工作。</w:t>
      </w:r>
    </w:p>
    <w:p>
      <w:pPr>
        <w:spacing w:line="360" w:lineRule="auto"/>
        <w:ind w:firstLine="420" w:firstLineChars="200"/>
        <w:rPr>
          <w:szCs w:val="21"/>
        </w:rPr>
      </w:pPr>
      <w:r>
        <w:rPr>
          <w:szCs w:val="21"/>
        </w:rPr>
        <w:t>2.2 甲方的义务</w:t>
      </w:r>
    </w:p>
    <w:p>
      <w:pPr>
        <w:spacing w:line="360" w:lineRule="auto"/>
        <w:ind w:firstLine="420" w:firstLineChars="200"/>
        <w:rPr>
          <w:szCs w:val="21"/>
        </w:rPr>
      </w:pPr>
      <w:r>
        <w:rPr>
          <w:szCs w:val="21"/>
        </w:rPr>
        <w:t>2.2.1合理使用相关的电路与设备，不得将用于“新昌县智慧**建设项目—社会治安动态视频监控系统四、五期升级改造+人脸识别监控项目归属乙方的电路与设备进行经营性活动或转租、转让给其他任何单位或个人使用。（政府调用除外）</w:t>
      </w:r>
    </w:p>
    <w:p>
      <w:pPr>
        <w:spacing w:line="360" w:lineRule="auto"/>
        <w:ind w:firstLine="420" w:firstLineChars="200"/>
        <w:rPr>
          <w:szCs w:val="21"/>
        </w:rPr>
      </w:pPr>
      <w:r>
        <w:rPr>
          <w:szCs w:val="21"/>
        </w:rPr>
        <w:t>2.2.2甲方应当遵守双方商定的本协议资费标准；</w:t>
      </w:r>
    </w:p>
    <w:p>
      <w:pPr>
        <w:spacing w:line="360" w:lineRule="auto"/>
        <w:ind w:firstLine="420" w:firstLineChars="200"/>
        <w:rPr>
          <w:szCs w:val="21"/>
        </w:rPr>
      </w:pPr>
      <w:r>
        <w:rPr>
          <w:szCs w:val="21"/>
        </w:rPr>
        <w:t>2.2.3甲方应根据合同规定按时交纳相关费用；</w:t>
      </w:r>
    </w:p>
    <w:p>
      <w:pPr>
        <w:spacing w:line="360" w:lineRule="auto"/>
        <w:ind w:firstLine="420" w:firstLineChars="200"/>
        <w:rPr>
          <w:szCs w:val="21"/>
        </w:rPr>
      </w:pPr>
      <w:r>
        <w:rPr>
          <w:szCs w:val="21"/>
        </w:rPr>
        <w:t>2.2.4乙方负责进行“新昌县智慧**建设项目—社会治安动态视频监控系统四、五期升级改造+人脸识别监控项目安装工作中的相关协调事宜和各项准备工作，甲方应积极协助。主要包括：</w:t>
      </w:r>
    </w:p>
    <w:p>
      <w:pPr>
        <w:autoSpaceDE w:val="0"/>
        <w:autoSpaceDN w:val="0"/>
        <w:adjustRightInd w:val="0"/>
        <w:spacing w:line="360" w:lineRule="auto"/>
        <w:ind w:firstLine="420" w:firstLineChars="200"/>
        <w:jc w:val="left"/>
        <w:rPr>
          <w:bCs/>
          <w:kern w:val="0"/>
          <w:szCs w:val="21"/>
        </w:rPr>
      </w:pPr>
      <w:r>
        <w:rPr>
          <w:bCs/>
          <w:kern w:val="0"/>
          <w:szCs w:val="21"/>
        </w:rPr>
        <w:t>（1）入网的组织、协调、勘查工作；保证其入网的各机构配合乙方的安装调测工作；</w:t>
      </w:r>
    </w:p>
    <w:p>
      <w:pPr>
        <w:autoSpaceDE w:val="0"/>
        <w:autoSpaceDN w:val="0"/>
        <w:adjustRightInd w:val="0"/>
        <w:spacing w:line="360" w:lineRule="auto"/>
        <w:ind w:firstLine="420" w:firstLineChars="200"/>
        <w:jc w:val="left"/>
        <w:rPr>
          <w:szCs w:val="21"/>
        </w:rPr>
      </w:pPr>
      <w:r>
        <w:rPr>
          <w:szCs w:val="21"/>
        </w:rPr>
        <w:t>（2）协助乙方进行相关部门的协调工作。</w:t>
      </w:r>
    </w:p>
    <w:p>
      <w:pPr>
        <w:spacing w:line="360" w:lineRule="auto"/>
        <w:ind w:firstLine="420" w:firstLineChars="200"/>
        <w:rPr>
          <w:szCs w:val="21"/>
        </w:rPr>
      </w:pPr>
      <w:r>
        <w:rPr>
          <w:szCs w:val="21"/>
        </w:rPr>
        <w:t>2.3 乙方的权利</w:t>
      </w:r>
    </w:p>
    <w:p>
      <w:pPr>
        <w:spacing w:line="360" w:lineRule="auto"/>
        <w:ind w:firstLine="420" w:firstLineChars="200"/>
        <w:rPr>
          <w:szCs w:val="21"/>
        </w:rPr>
      </w:pPr>
      <w:r>
        <w:rPr>
          <w:szCs w:val="21"/>
        </w:rPr>
        <w:t>2.3.1乙方有权按照与甲方签署的合同，收取相关费用，以保证新昌县智慧**建设项目—社会治安动态视频监控系统四、五期升级改造+人脸识别监控项目的正常运营；</w:t>
      </w:r>
    </w:p>
    <w:p>
      <w:pPr>
        <w:spacing w:line="360" w:lineRule="auto"/>
        <w:ind w:firstLine="420" w:firstLineChars="200"/>
        <w:rPr>
          <w:szCs w:val="21"/>
        </w:rPr>
      </w:pPr>
      <w:r>
        <w:rPr>
          <w:szCs w:val="21"/>
        </w:rPr>
        <w:t>2.3.2如甲方在签署合同后，非乙方原因不能按时履行付款义务，乙方按照本合同约定，有权停止欠费方使用本合同中的服务和业务，并有权对所欠费用进行追缴；催讨欠费的标准为“每月须支付费用”乘以“未履行合同月份”。</w:t>
      </w:r>
    </w:p>
    <w:p>
      <w:pPr>
        <w:spacing w:line="360" w:lineRule="auto"/>
        <w:ind w:firstLine="420" w:firstLineChars="200"/>
        <w:rPr>
          <w:szCs w:val="21"/>
        </w:rPr>
      </w:pPr>
      <w:r>
        <w:rPr>
          <w:szCs w:val="21"/>
        </w:rPr>
        <w:t>2.4 乙方的义务</w:t>
      </w:r>
    </w:p>
    <w:p>
      <w:pPr>
        <w:spacing w:line="360" w:lineRule="auto"/>
        <w:ind w:firstLine="420" w:firstLineChars="200"/>
        <w:rPr>
          <w:szCs w:val="21"/>
        </w:rPr>
      </w:pPr>
      <w:r>
        <w:rPr>
          <w:szCs w:val="21"/>
        </w:rPr>
        <w:t>2.4.1乙方应严格按照甲方要求,对前端监控点、道路卡口的立杆进行抗台防雷深化设计，符合国家相关的技术标准和规范要求，规范施工。本合同合作期内如发生安全事故，如立杆倒塌、设备掉落等原因造成人员伤亡、财产损失，责任全部由乙方承担。</w:t>
      </w:r>
    </w:p>
    <w:p>
      <w:pPr>
        <w:spacing w:line="360" w:lineRule="auto"/>
        <w:rPr>
          <w:szCs w:val="21"/>
        </w:rPr>
      </w:pPr>
      <w:r>
        <w:rPr>
          <w:szCs w:val="21"/>
        </w:rPr>
        <w:t xml:space="preserve">    2.4.2乙方应按照甲方要求，建立光纤承载专用网络，达到与公安内网互联的安全性要求。</w:t>
      </w:r>
    </w:p>
    <w:p>
      <w:pPr>
        <w:spacing w:line="360" w:lineRule="auto"/>
        <w:ind w:firstLine="424" w:firstLineChars="202"/>
        <w:rPr>
          <w:szCs w:val="21"/>
        </w:rPr>
      </w:pPr>
      <w:r>
        <w:rPr>
          <w:szCs w:val="21"/>
        </w:rPr>
        <w:t>2.4.3乙方在系统建成后，应通过网管系统或管理平台向甲方提供系统运行日报告，内容包括网络运行情况和线路通断率等。每个月输出月报告。</w:t>
      </w:r>
    </w:p>
    <w:p>
      <w:pPr>
        <w:spacing w:line="360" w:lineRule="auto"/>
        <w:ind w:firstLine="420" w:firstLineChars="200"/>
        <w:rPr>
          <w:szCs w:val="21"/>
        </w:rPr>
      </w:pPr>
      <w:r>
        <w:rPr>
          <w:szCs w:val="21"/>
        </w:rPr>
        <w:t>2.4.4 乙方必须在签订合同后</w:t>
      </w:r>
      <w:r>
        <w:rPr>
          <w:szCs w:val="21"/>
          <w:u w:val="single"/>
        </w:rPr>
        <w:t>2020年12月10日前</w:t>
      </w:r>
      <w:r>
        <w:rPr>
          <w:szCs w:val="21"/>
        </w:rPr>
        <w:t>完成新昌县智慧**建设项目—社会治安动态视频监控系统四、五期升级改造+人脸识别监控项目工程整体安装调试工作，在工程安装调试完工后，乙方向甲方递交验收报告。</w:t>
      </w:r>
    </w:p>
    <w:p>
      <w:pPr>
        <w:spacing w:line="360" w:lineRule="auto"/>
        <w:ind w:firstLine="420" w:firstLineChars="200"/>
        <w:rPr>
          <w:szCs w:val="21"/>
        </w:rPr>
      </w:pPr>
      <w:r>
        <w:rPr>
          <w:szCs w:val="21"/>
        </w:rPr>
        <w:t>2.4.5 乙方所提供的通讯线路和设备质量应符合国家相关主管部门的质量标准和技术要求，满足甲方通讯需求。</w:t>
      </w:r>
    </w:p>
    <w:p>
      <w:pPr>
        <w:spacing w:line="360" w:lineRule="auto"/>
        <w:ind w:firstLine="420" w:firstLineChars="200"/>
        <w:rPr>
          <w:szCs w:val="21"/>
        </w:rPr>
      </w:pPr>
      <w:r>
        <w:rPr>
          <w:szCs w:val="21"/>
        </w:rPr>
        <w:t>2.4.6乙方负责建立健全新昌县智慧**建设项目—社会治安动态视频监控系统四、五期升级改造+人脸识别监控项目的技术档案和维护档案并提供给甲方；</w:t>
      </w:r>
    </w:p>
    <w:p>
      <w:pPr>
        <w:spacing w:line="360" w:lineRule="auto"/>
        <w:ind w:firstLine="420" w:firstLineChars="200"/>
        <w:rPr>
          <w:szCs w:val="21"/>
        </w:rPr>
      </w:pPr>
      <w:r>
        <w:rPr>
          <w:szCs w:val="21"/>
        </w:rPr>
        <w:t>2.4.7 乙方须指定专门的联络人，负责新昌县智慧**建设项目—社会治安动态视频监控系统四、五期升级改造+人脸识别监控项目的技术咨询、业务开通、平台维护的接洽工作；</w:t>
      </w:r>
    </w:p>
    <w:p>
      <w:pPr>
        <w:spacing w:line="360" w:lineRule="auto"/>
        <w:ind w:firstLine="420" w:firstLineChars="200"/>
        <w:rPr>
          <w:szCs w:val="21"/>
        </w:rPr>
      </w:pPr>
      <w:r>
        <w:rPr>
          <w:szCs w:val="21"/>
        </w:rPr>
        <w:t>2.4.8乙方必须建立完善的本地化专业服务队伍，至少包括管理负责人、联络人员、档案管理员、服务总工程师、足够专业的前端现场服务工程师和中心网络维护工程师，充足的维修技术人员。工程师应受过专业培训，能独立处理一般的技术故障。以上人员必须常住新昌本地。乙方应与系统主控设备厂家签订技术支持协定，确保系统出现的任何故障都能及时修复。</w:t>
      </w:r>
    </w:p>
    <w:p>
      <w:pPr>
        <w:spacing w:line="360" w:lineRule="auto"/>
        <w:ind w:firstLine="420" w:firstLineChars="200"/>
        <w:rPr>
          <w:szCs w:val="21"/>
        </w:rPr>
      </w:pPr>
      <w:r>
        <w:rPr>
          <w:szCs w:val="21"/>
        </w:rPr>
        <w:t>2.4.9乙方应在新昌配备足够的施工器材（包括交通工具及登高设备等），保证项目安装维护人员及时施工，保证平时安全、及时的维修服务。</w:t>
      </w:r>
    </w:p>
    <w:p>
      <w:pPr>
        <w:spacing w:line="360" w:lineRule="auto"/>
        <w:ind w:firstLine="420" w:firstLineChars="200"/>
        <w:rPr>
          <w:szCs w:val="21"/>
        </w:rPr>
      </w:pPr>
      <w:r>
        <w:rPr>
          <w:szCs w:val="21"/>
        </w:rPr>
        <w:t>2.4.10乙方应配备足够的备品备件，保证及时维修和更换设备。</w:t>
      </w:r>
    </w:p>
    <w:p>
      <w:pPr>
        <w:spacing w:line="360" w:lineRule="auto"/>
        <w:ind w:firstLine="420" w:firstLineChars="200"/>
        <w:rPr>
          <w:szCs w:val="21"/>
        </w:rPr>
      </w:pPr>
      <w:r>
        <w:rPr>
          <w:szCs w:val="21"/>
        </w:rPr>
        <w:t>2.4.11乙方联络人员每天定时联系监控中心值班人员，了解统计系统运行情况，接受临时保修要求，记录并向管理负责人汇报，管理负责人及时安排相关人员进行维修。每次维修行为要有维修单，详细记录保修时间、修复时间、保障情况、处理办法和结果，维修单要由甲方书面确认。</w:t>
      </w:r>
    </w:p>
    <w:p>
      <w:pPr>
        <w:spacing w:line="360" w:lineRule="auto"/>
        <w:ind w:firstLine="420" w:firstLineChars="200"/>
        <w:rPr>
          <w:szCs w:val="21"/>
        </w:rPr>
      </w:pPr>
      <w:r>
        <w:rPr>
          <w:szCs w:val="21"/>
        </w:rPr>
        <w:t>2.4.12乙方应定期对系统进行全面维护，须每月进行一次定期巡检（监控主机、存储主机运行状态、性能变化；机箱、镜头、护罩等除尘；摄像机取景范围的调整；管道、线缆的检查等等并解决存在的问题），每次巡检要有详细记录并由甲方书面确认。</w:t>
      </w:r>
    </w:p>
    <w:p>
      <w:pPr>
        <w:spacing w:line="360" w:lineRule="auto"/>
        <w:ind w:firstLine="420" w:firstLineChars="200"/>
        <w:rPr>
          <w:szCs w:val="21"/>
        </w:rPr>
      </w:pPr>
      <w:r>
        <w:rPr>
          <w:szCs w:val="21"/>
        </w:rPr>
        <w:t>2.4.13 乙方为甲方提供及时优质的售后服务，乙方须定期对所有监控点位的视频防尘罩进行清洗，并检查、清除视频摄像头、补光灯周围的障碍物。乙方将维护情况于次日书面反馈给甲方。</w:t>
      </w:r>
    </w:p>
    <w:p>
      <w:pPr>
        <w:spacing w:line="360" w:lineRule="auto"/>
        <w:ind w:firstLine="420" w:firstLineChars="200"/>
        <w:rPr>
          <w:szCs w:val="21"/>
        </w:rPr>
      </w:pPr>
      <w:r>
        <w:rPr>
          <w:szCs w:val="21"/>
        </w:rPr>
        <w:t>2.4.14 乙方将提供每周7×24小时热线电话服务，并确定专人联系；保证合同期内甲方能正常使用该系统；</w:t>
      </w:r>
    </w:p>
    <w:p>
      <w:pPr>
        <w:spacing w:line="360" w:lineRule="auto"/>
        <w:ind w:firstLine="420" w:firstLineChars="200"/>
        <w:rPr>
          <w:szCs w:val="21"/>
        </w:rPr>
      </w:pPr>
      <w:r>
        <w:rPr>
          <w:szCs w:val="21"/>
        </w:rPr>
        <w:t>2.4.15如果系统在质保期内发生故障，投标人在1小时内响应维护服务,2小时内到达现场维修，免费上门服务，故障修复时间不得大于24小时，包括免费提供相同功能的设备供采购人使用，直至故障设备修复为止，否则采购人将自行采取必要的措施，由此产生风险和费用由乙方承担。</w:t>
      </w:r>
    </w:p>
    <w:p>
      <w:pPr>
        <w:spacing w:line="360" w:lineRule="auto"/>
        <w:ind w:firstLine="420" w:firstLineChars="200"/>
        <w:rPr>
          <w:szCs w:val="21"/>
        </w:rPr>
      </w:pPr>
      <w:r>
        <w:rPr>
          <w:szCs w:val="21"/>
        </w:rPr>
        <w:t>2.4.16在有突发性或群体性社会事件或其他重大事件发生时，乙方接到甲方通知后30分钟内必须到现场提供技术服务。</w:t>
      </w:r>
    </w:p>
    <w:p>
      <w:pPr>
        <w:spacing w:line="360" w:lineRule="auto"/>
        <w:ind w:firstLine="420" w:firstLineChars="200"/>
        <w:rPr>
          <w:szCs w:val="21"/>
        </w:rPr>
      </w:pPr>
      <w:r>
        <w:rPr>
          <w:szCs w:val="21"/>
        </w:rPr>
        <w:t>2.4.18 乙方必须保证社会治安动态监控专用系统的安全，不得用于其他接入；</w:t>
      </w:r>
    </w:p>
    <w:p>
      <w:pPr>
        <w:spacing w:line="360" w:lineRule="auto"/>
        <w:ind w:firstLine="420" w:firstLineChars="200"/>
        <w:rPr>
          <w:b/>
          <w:szCs w:val="21"/>
        </w:rPr>
      </w:pPr>
      <w:r>
        <w:rPr>
          <w:szCs w:val="21"/>
        </w:rPr>
        <w:t>2.4.19甲方提出移换监控点位，乙方须在30日内完成，甲方有义务配合乙方做好交通、道路、接电、场管等相关部门的协调工作，每年5％的点位移换费用由乙方承担，超过部分由甲方承担。</w:t>
      </w:r>
    </w:p>
    <w:p>
      <w:pPr>
        <w:spacing w:line="360" w:lineRule="auto"/>
        <w:rPr>
          <w:b/>
          <w:szCs w:val="21"/>
        </w:rPr>
      </w:pPr>
      <w:r>
        <w:rPr>
          <w:b/>
          <w:szCs w:val="21"/>
        </w:rPr>
        <w:t>第三条  总价、付款方式</w:t>
      </w:r>
    </w:p>
    <w:p>
      <w:pPr>
        <w:spacing w:line="360" w:lineRule="auto"/>
        <w:rPr>
          <w:vanish/>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szCs w:val="21"/>
        </w:rPr>
      </w:pPr>
      <w:r>
        <w:rPr>
          <w:szCs w:val="21"/>
        </w:rPr>
        <w:t>1、履约保证金：本项目设置履约保证金，乙方应于中标通知书发出之日起5个工作日内（时间）向甲方提交履约保证金五十万元（可提供履约保函）。履约保证金在建设项目验收合格之日起一个月（时间）退还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szCs w:val="21"/>
        </w:rPr>
      </w:pPr>
      <w:r>
        <w:rPr>
          <w:szCs w:val="21"/>
        </w:rPr>
        <w:t>2、本项目合同总价为</w:t>
      </w:r>
      <w:r>
        <w:rPr>
          <w:szCs w:val="21"/>
          <w:u w:val="single"/>
        </w:rPr>
        <w:t xml:space="preserve">        元</w:t>
      </w:r>
      <w:r>
        <w:rPr>
          <w:szCs w:val="21"/>
        </w:rPr>
        <w:t>（大写：</w:t>
      </w:r>
      <w:r>
        <w:rPr>
          <w:szCs w:val="21"/>
          <w:u w:val="single"/>
        </w:rPr>
        <w:t xml:space="preserve">        </w:t>
      </w:r>
      <w:r>
        <w:rPr>
          <w:szCs w:val="21"/>
        </w:rPr>
        <w:t>）。包括建设期费用</w:t>
      </w:r>
      <w:r>
        <w:rPr>
          <w:szCs w:val="21"/>
          <w:u w:val="single"/>
        </w:rPr>
        <w:t xml:space="preserve">      元</w:t>
      </w:r>
      <w:r>
        <w:rPr>
          <w:szCs w:val="21"/>
        </w:rPr>
        <w:t>（大写：</w:t>
      </w:r>
      <w:r>
        <w:rPr>
          <w:szCs w:val="21"/>
          <w:u w:val="single"/>
        </w:rPr>
        <w:t xml:space="preserve">        </w:t>
      </w:r>
      <w:r>
        <w:rPr>
          <w:szCs w:val="21"/>
        </w:rPr>
        <w:t>），服务期费用为</w:t>
      </w:r>
      <w:r>
        <w:rPr>
          <w:szCs w:val="21"/>
          <w:u w:val="single"/>
        </w:rPr>
        <w:t xml:space="preserve">        元</w:t>
      </w:r>
      <w:r>
        <w:rPr>
          <w:szCs w:val="21"/>
        </w:rPr>
        <w:t>（大写：</w:t>
      </w:r>
      <w:r>
        <w:rPr>
          <w:szCs w:val="21"/>
          <w:u w:val="single"/>
        </w:rPr>
        <w:t xml:space="preserve">        </w:t>
      </w:r>
      <w:r>
        <w:rPr>
          <w:szCs w:val="21"/>
        </w:rPr>
        <w:t>），其中设备集成安装包括504路视频改造点位的前后端设备采购及安装调试、1130路人脸识别抓拍点位前后端设备采购及安装调试、人脸比对服务系统采购安装调试，整体项目的用电线路及相关设备集成建设。售后维护主要包括504路视频改造点位及1130路人脸光缆传输线路月租费、电费、维护费；在乙方履行规定的售后服务、保证甲方正常使用的前提下，支付方式如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szCs w:val="21"/>
        </w:rPr>
      </w:pPr>
      <w:r>
        <w:rPr>
          <w:szCs w:val="21"/>
        </w:rPr>
        <w:t>（1）合同签订后一个月内，甲方支付建设期合同价的30%；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szCs w:val="21"/>
        </w:rPr>
      </w:pPr>
      <w:r>
        <w:rPr>
          <w:szCs w:val="21"/>
        </w:rPr>
        <w:t>（2）终验并审计完成后一个月内，甲方支付至建设期审计总价的100%；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szCs w:val="21"/>
        </w:rPr>
      </w:pPr>
      <w:r>
        <w:rPr>
          <w:szCs w:val="21"/>
        </w:rPr>
        <w:t xml:space="preserve">（3）期内（终验后5年内），服务期费用每半年结算一次，即每半年支付 </w:t>
      </w:r>
      <w:r>
        <w:rPr>
          <w:szCs w:val="21"/>
          <w:u w:val="single"/>
        </w:rPr>
        <w:t xml:space="preserve">        </w:t>
      </w:r>
      <w:r>
        <w:rPr>
          <w:szCs w:val="21"/>
        </w:rPr>
        <w:t>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szCs w:val="21"/>
        </w:rPr>
      </w:pPr>
      <w:r>
        <w:rPr>
          <w:szCs w:val="21"/>
        </w:rPr>
        <w:t>合同期内所有费用均包含在上述费用内（除每年超过5%的点位移位费用外）。明细费用详见投标文件清单。</w:t>
      </w:r>
    </w:p>
    <w:p>
      <w:pPr>
        <w:spacing w:line="360" w:lineRule="auto"/>
        <w:rPr>
          <w:b/>
          <w:szCs w:val="21"/>
        </w:rPr>
      </w:pPr>
      <w:r>
        <w:rPr>
          <w:b/>
          <w:szCs w:val="21"/>
        </w:rPr>
        <w:t>第四条  安装设备的标准、项目的实施</w:t>
      </w:r>
    </w:p>
    <w:p>
      <w:pPr>
        <w:spacing w:line="360" w:lineRule="auto"/>
        <w:ind w:firstLine="420" w:firstLineChars="200"/>
        <w:rPr>
          <w:szCs w:val="21"/>
        </w:rPr>
      </w:pPr>
      <w:r>
        <w:rPr>
          <w:szCs w:val="21"/>
        </w:rPr>
        <w:t>4.1 保证新昌县智慧**建设项目—社会治安动态视频监控系统四、五期升级改造+人脸识别监控项目的所有设备符合国家主管部门规定的质量标准和技术要求，保证符合相关的技术标准和规范。</w:t>
      </w:r>
    </w:p>
    <w:p>
      <w:pPr>
        <w:spacing w:line="360" w:lineRule="auto"/>
        <w:ind w:firstLine="420" w:firstLineChars="200"/>
        <w:rPr>
          <w:szCs w:val="21"/>
        </w:rPr>
      </w:pPr>
      <w:r>
        <w:rPr>
          <w:szCs w:val="21"/>
        </w:rPr>
        <w:t xml:space="preserve">4.2 工程实施地点：甲方指定的工程实施地点。 </w:t>
      </w:r>
    </w:p>
    <w:p>
      <w:pPr>
        <w:spacing w:line="360" w:lineRule="auto"/>
        <w:ind w:firstLine="420" w:firstLineChars="200"/>
        <w:rPr>
          <w:szCs w:val="21"/>
        </w:rPr>
      </w:pPr>
      <w:r>
        <w:rPr>
          <w:szCs w:val="21"/>
        </w:rPr>
        <w:t xml:space="preserve">4.3 项目工期要求： </w:t>
      </w:r>
    </w:p>
    <w:p>
      <w:pPr>
        <w:spacing w:line="360" w:lineRule="auto"/>
        <w:ind w:firstLine="420" w:firstLineChars="200"/>
        <w:rPr>
          <w:szCs w:val="21"/>
        </w:rPr>
      </w:pPr>
      <w:r>
        <w:rPr>
          <w:szCs w:val="21"/>
        </w:rPr>
        <w:t>（1）乙方在合同签订后</w:t>
      </w:r>
      <w:r>
        <w:rPr>
          <w:szCs w:val="21"/>
          <w:u w:val="single"/>
        </w:rPr>
        <w:t xml:space="preserve">     </w:t>
      </w:r>
      <w:r>
        <w:rPr>
          <w:szCs w:val="21"/>
        </w:rPr>
        <w:t>内会同甲方</w:t>
      </w:r>
      <w:r>
        <w:rPr>
          <w:kern w:val="0"/>
          <w:szCs w:val="21"/>
          <w:lang w:val="zh-CN"/>
        </w:rPr>
        <w:t>对拟装监控点位和卡口进行详细勘察、设计,并绘制详细的施工图。</w:t>
      </w:r>
    </w:p>
    <w:p>
      <w:pPr>
        <w:spacing w:line="360" w:lineRule="auto"/>
        <w:ind w:firstLine="420" w:firstLineChars="200"/>
        <w:rPr>
          <w:szCs w:val="21"/>
        </w:rPr>
      </w:pPr>
      <w:r>
        <w:rPr>
          <w:szCs w:val="21"/>
        </w:rPr>
        <w:t>（2）乙方必须在合同签订后</w:t>
      </w:r>
      <w:r>
        <w:rPr>
          <w:szCs w:val="21"/>
          <w:u w:val="single"/>
        </w:rPr>
        <w:t xml:space="preserve">         </w:t>
      </w:r>
      <w:r>
        <w:rPr>
          <w:szCs w:val="21"/>
        </w:rPr>
        <w:t>内完成整个系统的设备供货、系统建设和初步验收，整个系统试运行1个月后完成项目的培训、终验收。</w:t>
      </w:r>
    </w:p>
    <w:p>
      <w:pPr>
        <w:spacing w:line="360" w:lineRule="auto"/>
        <w:ind w:firstLine="420" w:firstLineChars="200"/>
        <w:rPr>
          <w:szCs w:val="21"/>
        </w:rPr>
      </w:pPr>
      <w:r>
        <w:rPr>
          <w:szCs w:val="21"/>
        </w:rPr>
        <w:t>（3）服务期：合同期限自整个系统终验收通过之日开始计算,为期5年。</w:t>
      </w:r>
    </w:p>
    <w:p>
      <w:pPr>
        <w:spacing w:line="360" w:lineRule="auto"/>
        <w:ind w:firstLine="420" w:firstLineChars="200"/>
        <w:rPr>
          <w:szCs w:val="21"/>
        </w:rPr>
      </w:pPr>
      <w:r>
        <w:rPr>
          <w:szCs w:val="21"/>
        </w:rPr>
        <w:t>4.4新昌县智慧**建设项目—社会治安动态视频监控系统四、五期升级改造+人脸识别监控系统，</w:t>
      </w:r>
      <w:r>
        <w:rPr>
          <w:bCs/>
          <w:szCs w:val="21"/>
        </w:rPr>
        <w:t>项目建设完成后，本项目采购清单涉及的建设期设备资产由乙方移交给甲方，设备所有权归甲方所有，服务期（终验后5年内）的维保工作由乙方负责。</w:t>
      </w:r>
    </w:p>
    <w:p>
      <w:pPr>
        <w:spacing w:line="360" w:lineRule="auto"/>
        <w:rPr>
          <w:b/>
          <w:szCs w:val="21"/>
        </w:rPr>
      </w:pPr>
      <w:r>
        <w:rPr>
          <w:b/>
          <w:szCs w:val="21"/>
        </w:rPr>
        <w:t>第五条  保密事项</w:t>
      </w:r>
    </w:p>
    <w:p>
      <w:pPr>
        <w:spacing w:line="360" w:lineRule="auto"/>
        <w:ind w:firstLine="420" w:firstLineChars="200"/>
        <w:rPr>
          <w:szCs w:val="21"/>
        </w:rPr>
      </w:pPr>
      <w:r>
        <w:rPr>
          <w:szCs w:val="21"/>
        </w:rPr>
        <w:t>5.1 未经对方书面许可，任何一方不得向第三方提供或披露与对方业务有关的资料和信息，法律另有规定的除外。</w:t>
      </w:r>
    </w:p>
    <w:p>
      <w:pPr>
        <w:spacing w:line="360" w:lineRule="auto"/>
        <w:ind w:firstLine="420" w:firstLineChars="200"/>
        <w:rPr>
          <w:szCs w:val="21"/>
        </w:rPr>
      </w:pPr>
      <w:r>
        <w:rPr>
          <w:szCs w:val="21"/>
        </w:rPr>
        <w:t>5.2 双方均有义务为对方保守商业机密、公众秘密。</w:t>
      </w:r>
    </w:p>
    <w:p>
      <w:pPr>
        <w:spacing w:line="360" w:lineRule="auto"/>
        <w:rPr>
          <w:b/>
          <w:szCs w:val="21"/>
        </w:rPr>
      </w:pPr>
      <w:r>
        <w:rPr>
          <w:b/>
          <w:szCs w:val="21"/>
        </w:rPr>
        <w:t>第六条　违约责任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kern w:val="0"/>
          <w:szCs w:val="21"/>
        </w:rPr>
      </w:pPr>
      <w:r>
        <w:rPr>
          <w:szCs w:val="21"/>
        </w:rPr>
        <w:t>6.1乙方未在甲方规定时间内完成系统建设，不能让甲方使用高清视频监控系统，每超过一天按20000元/日向甲方支付违约金（遇到自然灾害等不可抗拒事故除外）。</w:t>
      </w:r>
      <w:r>
        <w:rPr>
          <w:kern w:val="0"/>
          <w:szCs w:val="21"/>
        </w:rPr>
        <w:t xml:space="preserve">逾期超过约定日期20个工作日不能交货的，甲方可解除本合同。乙方因逾期交货或因其他违约行为导致甲方解除合同的，乙方应向甲方支付合同总值5%的违约金，若造成甲方损失超过违约金的，超出部分由乙方继续承担赔偿责任。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szCs w:val="21"/>
        </w:rPr>
      </w:pPr>
      <w:r>
        <w:rPr>
          <w:kern w:val="0"/>
          <w:szCs w:val="21"/>
        </w:rPr>
        <w:t>6. 2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line="360" w:lineRule="auto"/>
        <w:ind w:firstLine="420" w:firstLineChars="200"/>
        <w:rPr>
          <w:szCs w:val="21"/>
        </w:rPr>
      </w:pPr>
      <w:r>
        <w:rPr>
          <w:szCs w:val="21"/>
        </w:rPr>
        <w:t>6.3售后服务的完好标准：以前端到中心，在传输、存储、回放等方面同时符合要求为标准。乙方未能达到上述标准的视为发生故障。</w:t>
      </w:r>
    </w:p>
    <w:p>
      <w:pPr>
        <w:spacing w:line="360" w:lineRule="auto"/>
        <w:ind w:firstLine="420" w:firstLineChars="200"/>
        <w:rPr>
          <w:b/>
          <w:szCs w:val="21"/>
        </w:rPr>
      </w:pPr>
      <w:r>
        <w:rPr>
          <w:szCs w:val="21"/>
        </w:rPr>
        <w:t>6.4监控故障发生后，乙方技术工程师在每天8:00～18:00期间在1小时内到达现场，其余期间2小时到达现场。到达现场后4小时内排除设备故障。对于因特殊情况(如遇道路施工、交通事故造成立杆断裂等)无法按时排除故障，必须在7日内解决，设备修复费用由乙方承担。如乙方不能按照故障修复时限承诺要求提供服务，甲方有权扣除乙方相关费用，超过规定修复时限24小时内修复的，扣其点位的费用为200元/点位；超过24小时的扣除该监控点位的费用为600元/点位；如一年内点位图像质量累计超过360小时（15天）不合格，扣除该监控点位的费用为7200元/点位。</w:t>
      </w:r>
    </w:p>
    <w:p>
      <w:pPr>
        <w:spacing w:line="360" w:lineRule="auto"/>
        <w:rPr>
          <w:b/>
          <w:szCs w:val="21"/>
        </w:rPr>
      </w:pPr>
      <w:r>
        <w:rPr>
          <w:b/>
          <w:szCs w:val="21"/>
        </w:rPr>
        <w:t>第七条  争议解决</w:t>
      </w:r>
    </w:p>
    <w:p>
      <w:pPr>
        <w:spacing w:line="360" w:lineRule="auto"/>
        <w:ind w:firstLine="420" w:firstLineChars="200"/>
        <w:rPr>
          <w:szCs w:val="21"/>
        </w:rPr>
      </w:pPr>
      <w:r>
        <w:rPr>
          <w:szCs w:val="21"/>
        </w:rPr>
        <w:t>7.1 双方一致同意建立协商制度，加强日常情况沟通，及时处理各项问题。</w:t>
      </w:r>
    </w:p>
    <w:p>
      <w:pPr>
        <w:spacing w:line="360" w:lineRule="auto"/>
        <w:ind w:firstLine="420" w:firstLineChars="200"/>
        <w:rPr>
          <w:b/>
          <w:szCs w:val="21"/>
        </w:rPr>
      </w:pPr>
      <w:r>
        <w:rPr>
          <w:szCs w:val="21"/>
        </w:rPr>
        <w:t>7.2 双方因本合同的履行而发生的争议，应由双方友好协商解决。协商不成，任何一方均可向新昌县人民法院提起诉讼。在诉讼期间，本合同不涉及争议的条款仍须履行。</w:t>
      </w:r>
    </w:p>
    <w:p>
      <w:pPr>
        <w:spacing w:line="360" w:lineRule="auto"/>
        <w:rPr>
          <w:b/>
          <w:szCs w:val="21"/>
        </w:rPr>
      </w:pPr>
      <w:r>
        <w:rPr>
          <w:b/>
          <w:szCs w:val="21"/>
        </w:rPr>
        <w:t>第八条  免责条款</w:t>
      </w:r>
    </w:p>
    <w:p>
      <w:pPr>
        <w:spacing w:line="360" w:lineRule="auto"/>
        <w:ind w:firstLine="420" w:firstLineChars="200"/>
        <w:rPr>
          <w:b/>
          <w:szCs w:val="21"/>
        </w:rPr>
      </w:pPr>
      <w:r>
        <w:rPr>
          <w:szCs w:val="21"/>
        </w:rPr>
        <w:t>因不可抗力导致甲乙双方或一方不能履行或不能完全履行本合同项下有关义务时，双方相互不承担违约责任。但遇有不可抗力的一方或双方应于不可抗力发生后15日内将情况告知对方，并提供有关部门的证明。在不可抗力影响消除后的合理时间内，一方或双方应当继续履行合同。由于不可抗力导致合同不能或者没有必要继续履行的，本合同可由双方协商解除。</w:t>
      </w:r>
    </w:p>
    <w:p>
      <w:pPr>
        <w:spacing w:line="360" w:lineRule="auto"/>
        <w:rPr>
          <w:b/>
          <w:szCs w:val="21"/>
        </w:rPr>
      </w:pPr>
      <w:r>
        <w:rPr>
          <w:b/>
          <w:szCs w:val="21"/>
        </w:rPr>
        <w:t>第九条  合同的有效期限</w:t>
      </w:r>
    </w:p>
    <w:p>
      <w:pPr>
        <w:spacing w:line="360" w:lineRule="auto"/>
        <w:ind w:firstLine="420" w:firstLineChars="200"/>
        <w:jc w:val="left"/>
        <w:rPr>
          <w:szCs w:val="21"/>
        </w:rPr>
      </w:pPr>
      <w:r>
        <w:rPr>
          <w:szCs w:val="21"/>
        </w:rPr>
        <w:t>本合同执行有效期为五年，按本项目竣工验收合格后起算，到实际使用满五年止,合同自签署之日起有效。</w:t>
      </w:r>
    </w:p>
    <w:p>
      <w:pPr>
        <w:spacing w:line="360" w:lineRule="auto"/>
        <w:rPr>
          <w:b/>
          <w:szCs w:val="21"/>
        </w:rPr>
      </w:pPr>
      <w:r>
        <w:rPr>
          <w:b/>
          <w:szCs w:val="21"/>
        </w:rPr>
        <w:t>第十条  附  则</w:t>
      </w:r>
    </w:p>
    <w:p>
      <w:pPr>
        <w:spacing w:line="360" w:lineRule="auto"/>
        <w:ind w:firstLine="420" w:firstLineChars="200"/>
        <w:rPr>
          <w:szCs w:val="21"/>
        </w:rPr>
      </w:pPr>
      <w:r>
        <w:rPr>
          <w:szCs w:val="21"/>
        </w:rPr>
        <w:t>10.1本合同约定不明或与《新昌县智慧**建设项目—社会治安动态视频监控系统四、五期升级改造+人脸识别监控项目》招标方案的相关规定不一致的，均以《新昌县智慧**建设项目—社会治安动态视频监控系统四、五期升级改造+人脸识别监控项目》招标方案的相关规定作为执行依据。</w:t>
      </w:r>
    </w:p>
    <w:p>
      <w:pPr>
        <w:spacing w:line="360" w:lineRule="auto"/>
        <w:ind w:firstLine="420" w:firstLineChars="200"/>
        <w:rPr>
          <w:szCs w:val="21"/>
        </w:rPr>
      </w:pPr>
      <w:r>
        <w:rPr>
          <w:szCs w:val="21"/>
        </w:rPr>
        <w:t>10.2《新昌县智慧**建设项目—社会治安动态视频监控系统四、五期升级改造+人脸识别监控项目》招标文件和投标文件作为本协议的一部分，具有同等的法律效力。</w:t>
      </w:r>
    </w:p>
    <w:p>
      <w:pPr>
        <w:spacing w:line="360" w:lineRule="auto"/>
        <w:ind w:firstLine="420" w:firstLineChars="200"/>
        <w:rPr>
          <w:szCs w:val="21"/>
        </w:rPr>
      </w:pPr>
      <w:r>
        <w:rPr>
          <w:szCs w:val="21"/>
        </w:rPr>
        <w:t>10.3 本合同所有附件作为合同不可分割的组成部分，与合同正文具有同等法律效力。</w:t>
      </w:r>
    </w:p>
    <w:p>
      <w:pPr>
        <w:spacing w:line="360" w:lineRule="auto"/>
        <w:ind w:firstLine="420" w:firstLineChars="200"/>
        <w:rPr>
          <w:szCs w:val="21"/>
        </w:rPr>
      </w:pPr>
      <w:r>
        <w:rPr>
          <w:szCs w:val="21"/>
        </w:rPr>
        <w:t>10.4本合同一式八份，甲方执三份，乙方执四份，代理公司备案一份。</w:t>
      </w:r>
    </w:p>
    <w:p>
      <w:pPr>
        <w:spacing w:line="360" w:lineRule="auto"/>
        <w:ind w:firstLine="420" w:firstLineChars="200"/>
        <w:rPr>
          <w:szCs w:val="21"/>
        </w:rPr>
      </w:pPr>
      <w:r>
        <w:rPr>
          <w:szCs w:val="21"/>
        </w:rPr>
        <w:t>10.5本合同未尽事宜由甲乙双方协商解决。</w:t>
      </w:r>
    </w:p>
    <w:p>
      <w:pPr>
        <w:spacing w:line="360" w:lineRule="auto"/>
        <w:ind w:firstLine="420" w:firstLineChars="200"/>
        <w:rPr>
          <w:szCs w:val="21"/>
        </w:rPr>
      </w:pPr>
      <w:r>
        <w:rPr>
          <w:szCs w:val="21"/>
        </w:rPr>
        <w:t>10.6 本合同自双方法定代表或委托代理人签字并加盖公章之日起生效。</w:t>
      </w:r>
    </w:p>
    <w:p>
      <w:pPr>
        <w:rPr>
          <w:szCs w:val="21"/>
        </w:rPr>
      </w:pPr>
    </w:p>
    <w:p>
      <w:pPr>
        <w:rPr>
          <w:szCs w:val="21"/>
        </w:rPr>
      </w:pPr>
      <w:r>
        <w:rPr>
          <w:szCs w:val="21"/>
        </w:rPr>
        <w:t>以下无正文</w:t>
      </w:r>
    </w:p>
    <w:p>
      <w:pPr>
        <w:rPr>
          <w:szCs w:val="21"/>
        </w:rPr>
      </w:pPr>
    </w:p>
    <w:p>
      <w:pPr>
        <w:rPr>
          <w:szCs w:val="21"/>
        </w:rPr>
      </w:pPr>
    </w:p>
    <w:p>
      <w:pPr>
        <w:rPr>
          <w:szCs w:val="21"/>
        </w:rPr>
      </w:pPr>
    </w:p>
    <w:p>
      <w:pPr>
        <w:rPr>
          <w:szCs w:val="21"/>
        </w:rPr>
      </w:pPr>
    </w:p>
    <w:p>
      <w:pPr>
        <w:widowControl/>
        <w:jc w:val="left"/>
        <w:rPr>
          <w:szCs w:val="21"/>
        </w:rPr>
      </w:pPr>
      <w:r>
        <w:rPr>
          <w:szCs w:val="21"/>
        </w:rPr>
        <w:br w:type="page"/>
      </w:r>
      <w:r>
        <w:rPr>
          <w:szCs w:val="21"/>
        </w:rPr>
        <w:t>签字页</w:t>
      </w:r>
    </w:p>
    <w:p>
      <w:pPr>
        <w:rPr>
          <w:szCs w:val="21"/>
        </w:rPr>
      </w:pPr>
    </w:p>
    <w:p>
      <w:pPr>
        <w:rPr>
          <w:szCs w:val="21"/>
        </w:rPr>
      </w:pPr>
      <w:r>
        <w:rPr>
          <w:szCs w:val="21"/>
        </w:rPr>
        <w:t>此页无正文</w:t>
      </w:r>
    </w:p>
    <w:p>
      <w:pPr>
        <w:rPr>
          <w:szCs w:val="21"/>
        </w:rPr>
      </w:pPr>
    </w:p>
    <w:p>
      <w:pPr>
        <w:rPr>
          <w:szCs w:val="21"/>
        </w:rPr>
      </w:pPr>
    </w:p>
    <w:p>
      <w:pPr>
        <w:rPr>
          <w:szCs w:val="21"/>
        </w:rPr>
      </w:pPr>
      <w:r>
        <w:rPr>
          <w:szCs w:val="21"/>
        </w:rPr>
        <w:t>合同名称【新昌县智慧**建设项目—社会治安动态视频监控系统四、五期升级改造+人脸识别监控项目合同】</w:t>
      </w:r>
    </w:p>
    <w:p>
      <w:pPr>
        <w:rPr>
          <w:szCs w:val="21"/>
        </w:rPr>
      </w:pPr>
    </w:p>
    <w:p>
      <w:pPr>
        <w:rPr>
          <w:szCs w:val="21"/>
        </w:rPr>
      </w:pPr>
    </w:p>
    <w:p>
      <w:pPr>
        <w:rPr>
          <w:szCs w:val="21"/>
        </w:rPr>
      </w:pPr>
    </w:p>
    <w:p>
      <w:pPr>
        <w:spacing w:line="360" w:lineRule="auto"/>
        <w:rPr>
          <w:szCs w:val="21"/>
        </w:rPr>
      </w:pPr>
      <w:r>
        <w:rPr>
          <w:szCs w:val="21"/>
        </w:rPr>
        <w:t>甲方单位：新昌县公安局（盖章）</w:t>
      </w:r>
    </w:p>
    <w:p>
      <w:pPr>
        <w:spacing w:line="360" w:lineRule="auto"/>
        <w:rPr>
          <w:szCs w:val="21"/>
        </w:rPr>
      </w:pPr>
      <w:r>
        <w:rPr>
          <w:szCs w:val="21"/>
        </w:rPr>
        <w:t xml:space="preserve">法定代表人（授权人）： </w:t>
      </w:r>
    </w:p>
    <w:p>
      <w:pPr>
        <w:tabs>
          <w:tab w:val="left" w:pos="4889"/>
        </w:tabs>
        <w:spacing w:line="360" w:lineRule="auto"/>
        <w:rPr>
          <w:szCs w:val="21"/>
        </w:rPr>
      </w:pPr>
      <w:r>
        <w:rPr>
          <w:szCs w:val="21"/>
        </w:rPr>
        <w:t>地  址： 新昌县南明街道人民中路212号</w:t>
      </w:r>
    </w:p>
    <w:p>
      <w:pPr>
        <w:tabs>
          <w:tab w:val="left" w:pos="4889"/>
        </w:tabs>
        <w:spacing w:line="360" w:lineRule="auto"/>
        <w:rPr>
          <w:szCs w:val="21"/>
        </w:rPr>
      </w:pPr>
      <w:r>
        <w:rPr>
          <w:szCs w:val="21"/>
        </w:rPr>
        <w:t>邮政编码：312500</w:t>
      </w:r>
    </w:p>
    <w:p>
      <w:pPr>
        <w:tabs>
          <w:tab w:val="left" w:pos="4889"/>
        </w:tabs>
        <w:spacing w:line="360" w:lineRule="auto"/>
        <w:rPr>
          <w:szCs w:val="21"/>
        </w:rPr>
      </w:pPr>
      <w:r>
        <w:rPr>
          <w:szCs w:val="21"/>
        </w:rPr>
        <w:t>电话：86624662</w:t>
      </w:r>
    </w:p>
    <w:p>
      <w:pPr>
        <w:rPr>
          <w:szCs w:val="21"/>
        </w:rPr>
      </w:pPr>
    </w:p>
    <w:p>
      <w:pPr>
        <w:rPr>
          <w:szCs w:val="21"/>
        </w:rPr>
      </w:pPr>
    </w:p>
    <w:p>
      <w:pPr>
        <w:rPr>
          <w:szCs w:val="21"/>
        </w:rPr>
      </w:pPr>
    </w:p>
    <w:p>
      <w:pPr>
        <w:spacing w:line="360" w:lineRule="auto"/>
        <w:rPr>
          <w:szCs w:val="21"/>
        </w:rPr>
      </w:pPr>
      <w:r>
        <w:rPr>
          <w:szCs w:val="21"/>
        </w:rPr>
        <w:t>乙方单位：                 （盖章）</w:t>
      </w:r>
    </w:p>
    <w:p>
      <w:pPr>
        <w:spacing w:line="360" w:lineRule="auto"/>
        <w:rPr>
          <w:szCs w:val="21"/>
        </w:rPr>
      </w:pPr>
      <w:r>
        <w:rPr>
          <w:szCs w:val="21"/>
        </w:rPr>
        <w:t xml:space="preserve">法定代表人（授权人）： </w:t>
      </w:r>
    </w:p>
    <w:p>
      <w:pPr>
        <w:spacing w:line="360" w:lineRule="auto"/>
        <w:rPr>
          <w:szCs w:val="21"/>
        </w:rPr>
      </w:pPr>
      <w:r>
        <w:rPr>
          <w:szCs w:val="21"/>
        </w:rPr>
        <w:t xml:space="preserve">地  址： </w:t>
      </w:r>
    </w:p>
    <w:p>
      <w:pPr>
        <w:spacing w:line="360" w:lineRule="auto"/>
        <w:rPr>
          <w:szCs w:val="21"/>
        </w:rPr>
      </w:pPr>
      <w:r>
        <w:rPr>
          <w:szCs w:val="21"/>
        </w:rPr>
        <w:t xml:space="preserve">邮政编码： </w:t>
      </w:r>
    </w:p>
    <w:p>
      <w:pPr>
        <w:spacing w:line="360" w:lineRule="auto"/>
        <w:rPr>
          <w:szCs w:val="21"/>
        </w:rPr>
      </w:pPr>
      <w:r>
        <w:rPr>
          <w:szCs w:val="21"/>
        </w:rPr>
        <w:t>电话：</w:t>
      </w:r>
    </w:p>
    <w:p>
      <w:pPr>
        <w:spacing w:line="360" w:lineRule="auto"/>
        <w:rPr>
          <w:szCs w:val="21"/>
        </w:rPr>
      </w:pPr>
      <w:r>
        <w:rPr>
          <w:szCs w:val="21"/>
        </w:rPr>
        <w:t xml:space="preserve">开户银行： </w:t>
      </w:r>
    </w:p>
    <w:p>
      <w:pPr>
        <w:rPr>
          <w:szCs w:val="21"/>
        </w:rPr>
      </w:pPr>
      <w:r>
        <w:rPr>
          <w:szCs w:val="21"/>
        </w:rPr>
        <w:t>帐号：</w:t>
      </w:r>
    </w:p>
    <w:p>
      <w:pPr>
        <w:autoSpaceDE w:val="0"/>
        <w:spacing w:line="360" w:lineRule="auto"/>
      </w:pPr>
    </w:p>
    <w:p>
      <w:pPr>
        <w:autoSpaceDE w:val="0"/>
        <w:spacing w:line="360" w:lineRule="auto"/>
        <w:rPr>
          <w:sz w:val="24"/>
        </w:rPr>
      </w:pPr>
      <w:r>
        <w:rPr>
          <w:b/>
          <w:sz w:val="28"/>
          <w:szCs w:val="28"/>
        </w:rPr>
        <w:t>以上合同条件及格式为样本，最终实际合同以甲方最终审核补充合同为准。</w:t>
      </w:r>
    </w:p>
    <w:p>
      <w:r>
        <w:rPr>
          <w:b/>
        </w:rPr>
        <w:br w:type="page"/>
      </w:r>
    </w:p>
    <w:p>
      <w:pPr>
        <w:pStyle w:val="2"/>
        <w:numPr>
          <w:ilvl w:val="0"/>
          <w:numId w:val="0"/>
        </w:numPr>
        <w:spacing w:before="0" w:after="0" w:line="360" w:lineRule="auto"/>
        <w:jc w:val="center"/>
        <w:rPr>
          <w:sz w:val="28"/>
          <w:szCs w:val="28"/>
        </w:rPr>
      </w:pPr>
      <w:bookmarkStart w:id="46" w:name="_Toc32144"/>
      <w:r>
        <w:rPr>
          <w:sz w:val="28"/>
          <w:szCs w:val="28"/>
        </w:rPr>
        <w:t>第五章  投标文件格式及其附件</w:t>
      </w:r>
      <w:bookmarkEnd w:id="46"/>
    </w:p>
    <w:p>
      <w:pPr>
        <w:pStyle w:val="73"/>
        <w:spacing w:before="0"/>
        <w:ind w:firstLine="422"/>
        <w:rPr>
          <w:b/>
          <w:kern w:val="0"/>
          <w:sz w:val="21"/>
          <w:szCs w:val="21"/>
          <w:lang w:val="zh-CN"/>
        </w:rPr>
      </w:pPr>
      <w:bookmarkStart w:id="47" w:name="_Toc86217004"/>
      <w:r>
        <w:rPr>
          <w:b/>
          <w:kern w:val="0"/>
          <w:sz w:val="21"/>
          <w:szCs w:val="21"/>
          <w:lang w:val="zh-CN"/>
        </w:rPr>
        <w:t>一、供应商提交投标文件须知：</w:t>
      </w:r>
    </w:p>
    <w:p>
      <w:pPr>
        <w:spacing w:line="360" w:lineRule="auto"/>
        <w:ind w:firstLine="420" w:firstLineChars="200"/>
        <w:rPr>
          <w:szCs w:val="21"/>
        </w:rPr>
      </w:pPr>
      <w:r>
        <w:rPr>
          <w:szCs w:val="21"/>
        </w:rPr>
        <w:t>1、供应商应严格按照以下顺序填写和提交下述规定的全部格式文件以及其他有关资料，混乱的编排导致投标文件被误读或评标委员会查找不到有效文件是供应商的风险。</w:t>
      </w:r>
    </w:p>
    <w:p>
      <w:pPr>
        <w:spacing w:line="360" w:lineRule="auto"/>
        <w:ind w:firstLine="420" w:firstLineChars="200"/>
        <w:rPr>
          <w:szCs w:val="21"/>
        </w:rPr>
      </w:pPr>
      <w:r>
        <w:rPr>
          <w:szCs w:val="21"/>
        </w:rPr>
        <w:t>2、所附表格中要求回答的全部问题、信息都必须正面回答。</w:t>
      </w:r>
    </w:p>
    <w:p>
      <w:pPr>
        <w:spacing w:line="360" w:lineRule="auto"/>
        <w:ind w:firstLine="420" w:firstLineChars="200"/>
        <w:rPr>
          <w:szCs w:val="21"/>
        </w:rPr>
      </w:pPr>
      <w:r>
        <w:rPr>
          <w:szCs w:val="21"/>
        </w:rPr>
        <w:t>3、本声明书的签字人应保证全部声明和问题的回答是真实的和准确的。</w:t>
      </w:r>
    </w:p>
    <w:p>
      <w:pPr>
        <w:spacing w:line="360" w:lineRule="auto"/>
        <w:ind w:firstLine="420" w:firstLineChars="200"/>
        <w:rPr>
          <w:szCs w:val="21"/>
        </w:rPr>
      </w:pPr>
      <w:r>
        <w:rPr>
          <w:szCs w:val="21"/>
        </w:rPr>
        <w:t>4、评标委员会将应用供应商提交的资料根据自己的判断和考虑决定供应商履行合同的合格性及能力。</w:t>
      </w:r>
    </w:p>
    <w:p>
      <w:pPr>
        <w:spacing w:line="360" w:lineRule="auto"/>
        <w:ind w:firstLine="420" w:firstLineChars="200"/>
        <w:rPr>
          <w:szCs w:val="21"/>
        </w:rPr>
      </w:pPr>
      <w:r>
        <w:rPr>
          <w:szCs w:val="21"/>
        </w:rPr>
        <w:t>5、供应商提交的材料将在一定期限内被保密保存，但不退还。</w:t>
      </w:r>
    </w:p>
    <w:p>
      <w:pPr>
        <w:spacing w:line="360" w:lineRule="auto"/>
        <w:ind w:firstLine="420" w:firstLineChars="200"/>
        <w:rPr>
          <w:szCs w:val="21"/>
        </w:rPr>
      </w:pPr>
      <w:r>
        <w:rPr>
          <w:szCs w:val="21"/>
        </w:rPr>
        <w:t>6、全部文件应按供应商须知中规定的语言提交。投标文件组成漏项或未按规定的格式编制，内容不全或内容字迹模糊辨认不清的情况，将有可能被评标委员会认定为投标无效。</w:t>
      </w:r>
    </w:p>
    <w:p>
      <w:pPr>
        <w:pStyle w:val="73"/>
        <w:spacing w:before="0"/>
        <w:ind w:firstLine="422"/>
        <w:rPr>
          <w:b/>
          <w:kern w:val="0"/>
          <w:sz w:val="21"/>
          <w:szCs w:val="21"/>
          <w:lang w:val="zh-CN"/>
        </w:rPr>
      </w:pPr>
      <w:r>
        <w:rPr>
          <w:b/>
          <w:kern w:val="0"/>
          <w:sz w:val="21"/>
          <w:szCs w:val="21"/>
          <w:lang w:val="zh-CN"/>
        </w:rPr>
        <w:t>二、投标文件编制格式及规范要求：</w:t>
      </w:r>
    </w:p>
    <w:p>
      <w:pPr>
        <w:spacing w:line="360" w:lineRule="auto"/>
        <w:ind w:firstLine="420" w:firstLineChars="200"/>
        <w:rPr>
          <w:szCs w:val="21"/>
        </w:rPr>
      </w:pPr>
      <w:r>
        <w:rPr>
          <w:szCs w:val="21"/>
        </w:rPr>
        <w:t>供应商</w:t>
      </w:r>
      <w:r>
        <w:rPr>
          <w:b/>
          <w:szCs w:val="21"/>
        </w:rPr>
        <w:t>编制投标文件</w:t>
      </w:r>
      <w:r>
        <w:rPr>
          <w:szCs w:val="21"/>
        </w:rPr>
        <w:t>，投标文件均包括：报价文件、技术文件及商务文件、资格审查文件三部分，各供应商在编制投标文件时请按照以下格式进行（投标单位根据需要可以自行增加，但不得更改或删减。</w:t>
      </w:r>
      <w:r>
        <w:rPr>
          <w:b/>
          <w:szCs w:val="21"/>
        </w:rPr>
        <w:t>第一册为：报价文件，第二册为：商务文件和技术文件，第三册为：资格审查文件。</w:t>
      </w:r>
    </w:p>
    <w:p/>
    <w:p/>
    <w:p/>
    <w:p>
      <w:pPr>
        <w:rPr>
          <w:kern w:val="0"/>
        </w:rPr>
      </w:pPr>
      <w:r>
        <w:br w:type="page"/>
      </w:r>
    </w:p>
    <w:p>
      <w:pPr>
        <w:snapToGrid w:val="0"/>
        <w:spacing w:before="120" w:beforeLines="50" w:after="50" w:line="360" w:lineRule="auto"/>
        <w:rPr>
          <w:b/>
          <w:bCs/>
          <w:sz w:val="24"/>
        </w:rPr>
      </w:pPr>
      <w:r>
        <w:rPr>
          <w:b/>
          <w:sz w:val="24"/>
        </w:rPr>
        <w:t>电子</w:t>
      </w:r>
      <w:r>
        <w:rPr>
          <w:b/>
          <w:sz w:val="24"/>
          <w:lang w:bidi="ar"/>
        </w:rPr>
        <w:t>备份投标文件</w:t>
      </w:r>
      <w:r>
        <w:rPr>
          <w:b/>
          <w:bCs/>
          <w:sz w:val="24"/>
        </w:rPr>
        <w:t>的外包装封面格式</w:t>
      </w:r>
    </w:p>
    <w:p>
      <w:pPr>
        <w:snapToGrid w:val="0"/>
        <w:spacing w:before="120" w:beforeLines="50" w:after="50" w:line="360" w:lineRule="auto"/>
        <w:jc w:val="center"/>
        <w:rPr>
          <w:b/>
          <w:bCs/>
          <w:sz w:val="52"/>
          <w:szCs w:val="52"/>
        </w:rPr>
      </w:pPr>
    </w:p>
    <w:p>
      <w:pPr>
        <w:snapToGrid w:val="0"/>
        <w:spacing w:before="120" w:beforeLines="50" w:after="50" w:line="360" w:lineRule="auto"/>
        <w:jc w:val="center"/>
        <w:rPr>
          <w:b/>
          <w:bCs/>
          <w:sz w:val="52"/>
          <w:szCs w:val="52"/>
        </w:rPr>
      </w:pPr>
      <w:r>
        <w:rPr>
          <w:b/>
          <w:bCs/>
          <w:sz w:val="52"/>
          <w:szCs w:val="52"/>
        </w:rPr>
        <w:t>电子备份投标文件</w:t>
      </w:r>
    </w:p>
    <w:p>
      <w:pPr>
        <w:snapToGrid w:val="0"/>
        <w:spacing w:before="120" w:beforeLines="50" w:after="50" w:line="360" w:lineRule="auto"/>
        <w:rPr>
          <w:bCs/>
          <w:sz w:val="24"/>
          <w:szCs w:val="20"/>
        </w:rPr>
      </w:pPr>
    </w:p>
    <w:p>
      <w:pPr>
        <w:snapToGrid w:val="0"/>
        <w:spacing w:before="120" w:beforeLines="50" w:after="50" w:line="360" w:lineRule="auto"/>
        <w:ind w:firstLine="1246" w:firstLineChars="445"/>
        <w:rPr>
          <w:bCs/>
          <w:sz w:val="28"/>
          <w:szCs w:val="28"/>
        </w:rPr>
      </w:pPr>
      <w:r>
        <w:rPr>
          <w:bCs/>
          <w:sz w:val="28"/>
          <w:szCs w:val="28"/>
        </w:rPr>
        <w:t xml:space="preserve">项目名称： </w:t>
      </w:r>
    </w:p>
    <w:p>
      <w:pPr>
        <w:snapToGrid w:val="0"/>
        <w:spacing w:before="120" w:beforeLines="50" w:after="50" w:line="360" w:lineRule="auto"/>
        <w:ind w:firstLine="560" w:firstLineChars="200"/>
        <w:rPr>
          <w:bCs/>
          <w:sz w:val="28"/>
          <w:szCs w:val="28"/>
        </w:rPr>
      </w:pPr>
      <w:r>
        <w:rPr>
          <w:bCs/>
          <w:sz w:val="28"/>
          <w:szCs w:val="28"/>
        </w:rPr>
        <w:t xml:space="preserve">     项目编号： </w:t>
      </w:r>
    </w:p>
    <w:p>
      <w:pPr>
        <w:snapToGrid w:val="0"/>
        <w:spacing w:before="120" w:beforeLines="50" w:after="50" w:line="360" w:lineRule="auto"/>
        <w:ind w:firstLine="560" w:firstLineChars="200"/>
        <w:rPr>
          <w:bCs/>
          <w:sz w:val="28"/>
          <w:szCs w:val="28"/>
        </w:rPr>
      </w:pPr>
      <w:r>
        <w:rPr>
          <w:bCs/>
          <w:sz w:val="28"/>
          <w:szCs w:val="28"/>
        </w:rPr>
        <w:t xml:space="preserve">     招标内容：</w:t>
      </w:r>
    </w:p>
    <w:p>
      <w:pPr>
        <w:snapToGrid w:val="0"/>
        <w:spacing w:before="120" w:beforeLines="50" w:after="50" w:line="360" w:lineRule="auto"/>
        <w:ind w:firstLine="560" w:firstLineChars="200"/>
        <w:rPr>
          <w:bCs/>
          <w:sz w:val="28"/>
          <w:szCs w:val="28"/>
        </w:rPr>
      </w:pPr>
      <w:r>
        <w:rPr>
          <w:bCs/>
          <w:sz w:val="28"/>
          <w:szCs w:val="28"/>
        </w:rPr>
        <w:t>或</w:t>
      </w:r>
    </w:p>
    <w:p>
      <w:pPr>
        <w:snapToGrid w:val="0"/>
        <w:spacing w:before="120" w:beforeLines="50" w:after="50" w:line="360" w:lineRule="auto"/>
        <w:ind w:firstLine="560" w:firstLineChars="200"/>
        <w:rPr>
          <w:bCs/>
          <w:sz w:val="28"/>
          <w:szCs w:val="28"/>
        </w:rPr>
      </w:pPr>
      <w:r>
        <w:rPr>
          <w:bCs/>
          <w:sz w:val="28"/>
          <w:szCs w:val="28"/>
        </w:rPr>
        <w:t xml:space="preserve">     标 项:</w:t>
      </w:r>
    </w:p>
    <w:p>
      <w:pPr>
        <w:snapToGrid w:val="0"/>
        <w:spacing w:before="120" w:beforeLines="50" w:after="50" w:line="360" w:lineRule="auto"/>
        <w:ind w:firstLine="1260" w:firstLineChars="450"/>
        <w:rPr>
          <w:bCs/>
          <w:sz w:val="28"/>
          <w:szCs w:val="28"/>
        </w:rPr>
      </w:pPr>
      <w:r>
        <w:rPr>
          <w:bCs/>
          <w:sz w:val="28"/>
          <w:szCs w:val="28"/>
        </w:rPr>
        <w:t>标项内容：</w:t>
      </w:r>
    </w:p>
    <w:p>
      <w:pPr>
        <w:pStyle w:val="6"/>
        <w:snapToGrid w:val="0"/>
        <w:spacing w:before="50" w:after="50" w:line="360" w:lineRule="auto"/>
        <w:ind w:firstLine="1260" w:firstLineChars="450"/>
        <w:rPr>
          <w:bCs/>
          <w:sz w:val="28"/>
          <w:szCs w:val="28"/>
        </w:rPr>
      </w:pPr>
    </w:p>
    <w:p>
      <w:pPr>
        <w:pStyle w:val="6"/>
        <w:snapToGrid w:val="0"/>
        <w:spacing w:before="50" w:after="50" w:line="360" w:lineRule="auto"/>
        <w:ind w:firstLine="1260" w:firstLineChars="450"/>
        <w:rPr>
          <w:bCs/>
          <w:sz w:val="28"/>
          <w:szCs w:val="28"/>
        </w:rPr>
      </w:pPr>
    </w:p>
    <w:p>
      <w:pPr>
        <w:pStyle w:val="6"/>
        <w:snapToGrid w:val="0"/>
        <w:spacing w:before="50" w:after="50" w:line="360" w:lineRule="auto"/>
        <w:ind w:firstLine="1260" w:firstLineChars="450"/>
        <w:rPr>
          <w:bCs/>
          <w:sz w:val="28"/>
          <w:szCs w:val="28"/>
        </w:rPr>
      </w:pPr>
    </w:p>
    <w:p>
      <w:pPr>
        <w:pStyle w:val="6"/>
        <w:snapToGrid w:val="0"/>
        <w:spacing w:before="50" w:after="50" w:line="360" w:lineRule="auto"/>
        <w:ind w:firstLine="1260" w:firstLineChars="450"/>
        <w:rPr>
          <w:bCs/>
          <w:sz w:val="28"/>
          <w:szCs w:val="28"/>
        </w:rPr>
      </w:pPr>
      <w:r>
        <w:rPr>
          <w:bCs/>
          <w:sz w:val="28"/>
          <w:szCs w:val="28"/>
        </w:rPr>
        <w:t>投标人名称：（盖章）</w:t>
      </w:r>
    </w:p>
    <w:p>
      <w:pPr>
        <w:pStyle w:val="6"/>
        <w:snapToGrid w:val="0"/>
        <w:spacing w:before="50" w:after="50" w:line="360" w:lineRule="auto"/>
        <w:ind w:firstLine="1260" w:firstLineChars="450"/>
        <w:rPr>
          <w:bCs/>
          <w:sz w:val="28"/>
          <w:szCs w:val="28"/>
        </w:rPr>
      </w:pPr>
      <w:r>
        <w:rPr>
          <w:bCs/>
          <w:sz w:val="28"/>
          <w:szCs w:val="28"/>
        </w:rPr>
        <w:t>投标人地址：</w:t>
      </w:r>
    </w:p>
    <w:p>
      <w:pPr>
        <w:pStyle w:val="6"/>
        <w:snapToGrid w:val="0"/>
        <w:spacing w:before="50" w:after="50" w:line="360" w:lineRule="auto"/>
        <w:ind w:firstLine="1260" w:firstLineChars="450"/>
        <w:rPr>
          <w:bCs/>
          <w:sz w:val="28"/>
          <w:szCs w:val="28"/>
        </w:rPr>
      </w:pPr>
      <w:r>
        <w:rPr>
          <w:bCs/>
          <w:sz w:val="28"/>
          <w:szCs w:val="28"/>
        </w:rPr>
        <w:t>在  年  月  日  时  分之前不得启封</w:t>
      </w:r>
    </w:p>
    <w:p>
      <w:pPr>
        <w:pStyle w:val="6"/>
        <w:snapToGrid w:val="0"/>
        <w:spacing w:before="50" w:after="50" w:line="360" w:lineRule="auto"/>
        <w:ind w:firstLine="1164" w:firstLineChars="416"/>
        <w:rPr>
          <w:sz w:val="28"/>
          <w:szCs w:val="28"/>
        </w:rPr>
      </w:pPr>
    </w:p>
    <w:p>
      <w:pPr>
        <w:snapToGrid w:val="0"/>
        <w:spacing w:before="120" w:beforeLines="50" w:after="50" w:line="360" w:lineRule="auto"/>
        <w:ind w:firstLine="645"/>
        <w:rPr>
          <w:sz w:val="24"/>
          <w:szCs w:val="20"/>
        </w:rPr>
      </w:pPr>
      <w:r>
        <w:rPr>
          <w:sz w:val="28"/>
          <w:szCs w:val="28"/>
        </w:rPr>
        <w:t xml:space="preserve">                        年  月  日</w:t>
      </w:r>
    </w:p>
    <w:p>
      <w:pPr>
        <w:snapToGrid w:val="0"/>
        <w:spacing w:before="120" w:beforeLines="50" w:after="50" w:line="360" w:lineRule="auto"/>
        <w:rPr>
          <w:b/>
          <w:bCs/>
          <w:sz w:val="24"/>
          <w:szCs w:val="20"/>
        </w:rPr>
      </w:pPr>
    </w:p>
    <w:p>
      <w:pPr>
        <w:snapToGrid w:val="0"/>
        <w:spacing w:before="120" w:beforeLines="50" w:after="50" w:line="360" w:lineRule="auto"/>
        <w:rPr>
          <w:b/>
          <w:sz w:val="24"/>
        </w:rPr>
      </w:pPr>
      <w:r>
        <w:rPr>
          <w:b/>
          <w:sz w:val="48"/>
          <w:szCs w:val="48"/>
        </w:rPr>
        <w:br w:type="page"/>
      </w:r>
      <w:bookmarkStart w:id="48" w:name="_Toc32101"/>
      <w:bookmarkStart w:id="49" w:name="_Toc27346"/>
      <w:r>
        <w:rPr>
          <w:b/>
          <w:sz w:val="24"/>
        </w:rPr>
        <w:t>投标文件封面（格式供参考）</w:t>
      </w:r>
      <w:bookmarkEnd w:id="48"/>
      <w:bookmarkEnd w:id="49"/>
    </w:p>
    <w:p>
      <w:pPr>
        <w:spacing w:line="360" w:lineRule="auto"/>
        <w:jc w:val="center"/>
        <w:rPr>
          <w:b/>
          <w:sz w:val="36"/>
          <w:szCs w:val="36"/>
        </w:rPr>
      </w:pPr>
      <w:bookmarkStart w:id="50" w:name="_Hlk7388348"/>
    </w:p>
    <w:p>
      <w:pPr>
        <w:spacing w:line="360" w:lineRule="auto"/>
        <w:jc w:val="center"/>
        <w:rPr>
          <w:b/>
          <w:sz w:val="36"/>
          <w:szCs w:val="36"/>
        </w:rPr>
      </w:pPr>
    </w:p>
    <w:p>
      <w:pPr>
        <w:spacing w:line="360" w:lineRule="auto"/>
        <w:jc w:val="center"/>
        <w:rPr>
          <w:b/>
          <w:sz w:val="36"/>
          <w:szCs w:val="36"/>
        </w:rPr>
      </w:pPr>
      <w:r>
        <w:rPr>
          <w:b/>
          <w:sz w:val="36"/>
          <w:szCs w:val="36"/>
        </w:rPr>
        <w:t>新昌县智慧**建设项目—社会治安动态视频监控系统四、五期升级改造+人脸识别监控项目</w:t>
      </w:r>
    </w:p>
    <w:bookmarkEnd w:id="50"/>
    <w:p/>
    <w:p>
      <w:pPr>
        <w:spacing w:line="360" w:lineRule="auto"/>
        <w:jc w:val="center"/>
        <w:rPr>
          <w:b/>
          <w:sz w:val="32"/>
          <w:szCs w:val="36"/>
        </w:rPr>
      </w:pPr>
      <w:r>
        <w:rPr>
          <w:b/>
          <w:sz w:val="32"/>
          <w:szCs w:val="36"/>
        </w:rPr>
        <w:t xml:space="preserve">采购项目编号： </w:t>
      </w:r>
    </w:p>
    <w:p>
      <w:pPr>
        <w:spacing w:line="360" w:lineRule="auto"/>
        <w:jc w:val="center"/>
        <w:rPr>
          <w:b/>
        </w:rPr>
      </w:pPr>
      <w:r>
        <w:rPr>
          <w:b/>
          <w:sz w:val="28"/>
          <w:szCs w:val="28"/>
        </w:rPr>
        <w:t>（第一册：     /第二册：      /第三册：  ）</w:t>
      </w:r>
    </w:p>
    <w:p>
      <w:pPr>
        <w:jc w:val="center"/>
        <w:rPr>
          <w:sz w:val="72"/>
          <w:szCs w:val="72"/>
        </w:rPr>
      </w:pPr>
      <w:r>
        <w:rPr>
          <w:sz w:val="72"/>
          <w:szCs w:val="72"/>
        </w:rPr>
        <w:t>投</w:t>
      </w:r>
    </w:p>
    <w:p>
      <w:pPr>
        <w:jc w:val="center"/>
        <w:rPr>
          <w:sz w:val="72"/>
          <w:szCs w:val="72"/>
        </w:rPr>
      </w:pPr>
      <w:r>
        <w:rPr>
          <w:sz w:val="72"/>
          <w:szCs w:val="72"/>
        </w:rPr>
        <w:t>标</w:t>
      </w:r>
    </w:p>
    <w:p>
      <w:pPr>
        <w:jc w:val="center"/>
        <w:rPr>
          <w:sz w:val="72"/>
          <w:szCs w:val="72"/>
        </w:rPr>
      </w:pPr>
      <w:r>
        <w:rPr>
          <w:sz w:val="72"/>
          <w:szCs w:val="72"/>
        </w:rPr>
        <w:t>文</w:t>
      </w:r>
    </w:p>
    <w:p>
      <w:pPr>
        <w:jc w:val="center"/>
        <w:rPr>
          <w:sz w:val="72"/>
          <w:szCs w:val="72"/>
        </w:rPr>
      </w:pPr>
      <w:r>
        <w:rPr>
          <w:sz w:val="72"/>
          <w:szCs w:val="72"/>
        </w:rPr>
        <w:t>件</w:t>
      </w:r>
    </w:p>
    <w:p>
      <w:pPr>
        <w:spacing w:line="360" w:lineRule="auto"/>
        <w:jc w:val="center"/>
      </w:pPr>
    </w:p>
    <w:p>
      <w:pPr>
        <w:spacing w:line="360" w:lineRule="auto"/>
        <w:ind w:firstLine="2100" w:firstLineChars="750"/>
        <w:rPr>
          <w:sz w:val="28"/>
          <w:szCs w:val="28"/>
        </w:rPr>
      </w:pPr>
      <w:r>
        <w:rPr>
          <w:sz w:val="28"/>
          <w:szCs w:val="28"/>
        </w:rPr>
        <w:t>供应商：（加盖单位公章）</w:t>
      </w:r>
    </w:p>
    <w:p>
      <w:pPr>
        <w:spacing w:line="360" w:lineRule="auto"/>
        <w:ind w:firstLine="2100" w:firstLineChars="750"/>
        <w:rPr>
          <w:sz w:val="28"/>
          <w:szCs w:val="28"/>
        </w:rPr>
      </w:pPr>
      <w:r>
        <w:rPr>
          <w:sz w:val="28"/>
          <w:szCs w:val="28"/>
        </w:rPr>
        <w:t>法定代表人或授权代表：（签字）</w:t>
      </w:r>
    </w:p>
    <w:p>
      <w:pPr>
        <w:spacing w:line="360" w:lineRule="auto"/>
        <w:ind w:left="3520" w:firstLine="140" w:firstLineChars="50"/>
        <w:rPr>
          <w:sz w:val="28"/>
          <w:szCs w:val="28"/>
        </w:rPr>
      </w:pPr>
      <w:r>
        <w:rPr>
          <w:sz w:val="28"/>
          <w:szCs w:val="28"/>
        </w:rPr>
        <w:t xml:space="preserve">年  月  日 </w:t>
      </w:r>
    </w:p>
    <w:p/>
    <w:p>
      <w:r>
        <w:br w:type="page"/>
      </w:r>
    </w:p>
    <w:p>
      <w:pPr>
        <w:spacing w:before="120" w:beforeLines="50" w:line="360" w:lineRule="auto"/>
        <w:jc w:val="left"/>
        <w:outlineLvl w:val="1"/>
        <w:rPr>
          <w:b/>
          <w:sz w:val="24"/>
        </w:rPr>
      </w:pPr>
      <w:bookmarkStart w:id="51" w:name="_Toc14785"/>
      <w:r>
        <w:rPr>
          <w:b/>
          <w:sz w:val="24"/>
        </w:rPr>
        <w:t>一、报价文件格式</w:t>
      </w:r>
      <w:bookmarkEnd w:id="51"/>
    </w:p>
    <w:p>
      <w:pPr>
        <w:spacing w:before="120" w:beforeLines="50" w:line="360" w:lineRule="auto"/>
        <w:jc w:val="center"/>
        <w:rPr>
          <w:b/>
          <w:sz w:val="32"/>
          <w:szCs w:val="32"/>
        </w:rPr>
      </w:pPr>
      <w:r>
        <w:rPr>
          <w:b/>
          <w:sz w:val="32"/>
          <w:szCs w:val="32"/>
        </w:rPr>
        <w:t>目 录</w:t>
      </w:r>
    </w:p>
    <w:p>
      <w:pPr>
        <w:numPr>
          <w:ilvl w:val="0"/>
          <w:numId w:val="9"/>
        </w:numPr>
        <w:spacing w:line="360" w:lineRule="auto"/>
        <w:ind w:left="0" w:firstLine="6"/>
        <w:rPr>
          <w:szCs w:val="21"/>
        </w:rPr>
      </w:pPr>
      <w:r>
        <w:rPr>
          <w:szCs w:val="21"/>
        </w:rPr>
        <w:t>投标函…………………………………………………………………………………（页码）</w:t>
      </w:r>
    </w:p>
    <w:p>
      <w:pPr>
        <w:numPr>
          <w:ilvl w:val="0"/>
          <w:numId w:val="9"/>
        </w:numPr>
        <w:spacing w:line="360" w:lineRule="auto"/>
        <w:ind w:left="0" w:firstLine="6"/>
        <w:rPr>
          <w:szCs w:val="21"/>
        </w:rPr>
      </w:pPr>
      <w:r>
        <w:rPr>
          <w:szCs w:val="21"/>
        </w:rPr>
        <w:t>开标一览表……………………………………………………………………………（页码）</w:t>
      </w:r>
    </w:p>
    <w:p>
      <w:pPr>
        <w:numPr>
          <w:ilvl w:val="0"/>
          <w:numId w:val="9"/>
        </w:numPr>
        <w:spacing w:line="360" w:lineRule="auto"/>
        <w:ind w:left="0" w:firstLine="6"/>
        <w:rPr>
          <w:szCs w:val="21"/>
        </w:rPr>
      </w:pPr>
      <w:r>
        <w:rPr>
          <w:szCs w:val="21"/>
        </w:rPr>
        <w:t>分项报价表……………………………………………………………………………（页码）</w:t>
      </w:r>
    </w:p>
    <w:p>
      <w:pPr>
        <w:numPr>
          <w:ilvl w:val="0"/>
          <w:numId w:val="9"/>
        </w:numPr>
        <w:rPr>
          <w:szCs w:val="21"/>
        </w:rPr>
      </w:pPr>
      <w:r>
        <w:rPr>
          <w:szCs w:val="21"/>
        </w:rPr>
        <w:t>招标文件中要求的或供应商认为针对报价需要说明的其他文件及资料…………（页码）</w:t>
      </w:r>
    </w:p>
    <w:p>
      <w:pPr>
        <w:rPr>
          <w:sz w:val="24"/>
        </w:rPr>
      </w:pPr>
    </w:p>
    <w:p>
      <w:pPr>
        <w:rPr>
          <w:sz w:val="24"/>
        </w:rPr>
      </w:pPr>
    </w:p>
    <w:p/>
    <w:p>
      <w:pPr>
        <w:numPr>
          <w:ilvl w:val="0"/>
          <w:numId w:val="10"/>
        </w:numPr>
        <w:spacing w:after="120" w:afterLines="50" w:line="520" w:lineRule="exact"/>
        <w:jc w:val="left"/>
        <w:outlineLvl w:val="2"/>
        <w:rPr>
          <w:b/>
          <w:bCs/>
          <w:sz w:val="24"/>
        </w:rPr>
      </w:pPr>
      <w:r>
        <w:br w:type="page"/>
      </w:r>
      <w:r>
        <w:rPr>
          <w:b/>
          <w:bCs/>
          <w:sz w:val="24"/>
        </w:rPr>
        <w:t>投标函</w:t>
      </w:r>
    </w:p>
    <w:p/>
    <w:p>
      <w:pPr>
        <w:spacing w:line="360" w:lineRule="auto"/>
        <w:rPr>
          <w:szCs w:val="21"/>
        </w:rPr>
      </w:pPr>
      <w:r>
        <w:rPr>
          <w:szCs w:val="21"/>
          <w:u w:val="single"/>
        </w:rPr>
        <w:t>新昌县公安局</w:t>
      </w:r>
      <w:r>
        <w:rPr>
          <w:szCs w:val="21"/>
        </w:rPr>
        <w:t>：</w:t>
      </w:r>
    </w:p>
    <w:p>
      <w:pPr>
        <w:spacing w:line="360" w:lineRule="auto"/>
        <w:ind w:firstLine="420" w:firstLineChars="200"/>
        <w:rPr>
          <w:szCs w:val="21"/>
        </w:rPr>
      </w:pPr>
      <w:r>
        <w:rPr>
          <w:szCs w:val="21"/>
        </w:rPr>
        <w:t xml:space="preserve"> </w:t>
      </w:r>
      <w:r>
        <w:rPr>
          <w:kern w:val="0"/>
          <w:szCs w:val="21"/>
          <w:u w:val="single"/>
          <w:lang w:val="zh-CN"/>
        </w:rPr>
        <w:t xml:space="preserve">                     </w:t>
      </w:r>
      <w:r>
        <w:rPr>
          <w:szCs w:val="21"/>
        </w:rPr>
        <w:t>(供应商全称)授权</w:t>
      </w:r>
      <w:r>
        <w:rPr>
          <w:kern w:val="0"/>
          <w:szCs w:val="21"/>
          <w:u w:val="single"/>
          <w:lang w:val="zh-CN"/>
        </w:rPr>
        <w:t xml:space="preserve">       </w:t>
      </w:r>
      <w:r>
        <w:rPr>
          <w:szCs w:val="21"/>
          <w:u w:val="single"/>
        </w:rPr>
        <w:t>(全权代表姓名)</w:t>
      </w:r>
      <w:r>
        <w:rPr>
          <w:kern w:val="0"/>
          <w:szCs w:val="21"/>
          <w:u w:val="single"/>
          <w:lang w:val="zh-CN"/>
        </w:rPr>
        <w:t xml:space="preserve">    </w:t>
      </w:r>
      <w:r>
        <w:rPr>
          <w:szCs w:val="21"/>
        </w:rPr>
        <w:t>(职务、职称)为全权代表，参加贵方组织的</w:t>
      </w:r>
      <w:r>
        <w:rPr>
          <w:szCs w:val="21"/>
          <w:u w:val="single"/>
        </w:rPr>
        <w:t>新昌县智慧**建设项目—社会治安动态视频监控系统四、五期升级改造+人脸识别监控项目</w:t>
      </w:r>
      <w:r>
        <w:rPr>
          <w:szCs w:val="21"/>
        </w:rPr>
        <w:t>(采购项目编号：         )招标的有关活动，并对此项目进行投标。为此：</w:t>
      </w:r>
    </w:p>
    <w:p>
      <w:pPr>
        <w:spacing w:line="360" w:lineRule="auto"/>
        <w:ind w:firstLine="420" w:firstLineChars="200"/>
        <w:rPr>
          <w:szCs w:val="21"/>
        </w:rPr>
      </w:pPr>
      <w:r>
        <w:rPr>
          <w:szCs w:val="21"/>
        </w:rPr>
        <w:t>1、我方已详细审查全部“招标文件”，包括修改、澄清文件（如有）以及全部参考资料和有关附件，已经了解我方对于招标文件、采购过程、采购结果有依法进行询问、质疑、投诉的权利及相关渠道和要求。</w:t>
      </w:r>
    </w:p>
    <w:p>
      <w:pPr>
        <w:spacing w:line="360" w:lineRule="auto"/>
        <w:ind w:firstLine="420" w:firstLineChars="200"/>
        <w:rPr>
          <w:szCs w:val="21"/>
        </w:rPr>
      </w:pPr>
      <w:r>
        <w:rPr>
          <w:szCs w:val="21"/>
        </w:rPr>
        <w:t>2、我方在投标之前已经与贵方进行了充分的沟通，完全理解并接受招标文件的各项规定和要求，对招标文件的合理性、合法性不再有异议。</w:t>
      </w:r>
    </w:p>
    <w:p>
      <w:pPr>
        <w:spacing w:line="360" w:lineRule="auto"/>
        <w:ind w:firstLine="420" w:firstLineChars="200"/>
        <w:rPr>
          <w:szCs w:val="21"/>
        </w:rPr>
      </w:pPr>
      <w:r>
        <w:rPr>
          <w:szCs w:val="21"/>
        </w:rPr>
        <w:t>3、本项目投标有效期为自投标截止之日起</w:t>
      </w:r>
      <w:r>
        <w:rPr>
          <w:szCs w:val="21"/>
          <w:u w:val="single"/>
        </w:rPr>
        <w:t xml:space="preserve"> 90 </w:t>
      </w:r>
      <w:r>
        <w:rPr>
          <w:szCs w:val="21"/>
        </w:rPr>
        <w:t>日历天。</w:t>
      </w:r>
    </w:p>
    <w:p>
      <w:pPr>
        <w:spacing w:line="360" w:lineRule="auto"/>
        <w:ind w:firstLine="420" w:firstLineChars="200"/>
        <w:rPr>
          <w:szCs w:val="21"/>
        </w:rPr>
      </w:pPr>
      <w:r>
        <w:rPr>
          <w:szCs w:val="21"/>
        </w:rPr>
        <w:t>4、我方同意在</w:t>
      </w:r>
      <w:r>
        <w:rPr>
          <w:bCs/>
          <w:kern w:val="44"/>
          <w:szCs w:val="21"/>
        </w:rPr>
        <w:t>投标须知及前附表</w:t>
      </w:r>
      <w:r>
        <w:rPr>
          <w:szCs w:val="21"/>
        </w:rPr>
        <w:t>规定的开标日期起遵守本投标文件中的承诺且在投标有效期满之前均具有约束力。</w:t>
      </w:r>
    </w:p>
    <w:p>
      <w:pPr>
        <w:spacing w:line="360" w:lineRule="auto"/>
        <w:ind w:firstLine="420" w:firstLineChars="200"/>
        <w:rPr>
          <w:szCs w:val="21"/>
        </w:rPr>
      </w:pPr>
      <w:r>
        <w:rPr>
          <w:szCs w:val="21"/>
        </w:rPr>
        <w:t>5、我方承诺已经具备《</w:t>
      </w:r>
      <w:r>
        <w:rPr>
          <w:bCs/>
          <w:kern w:val="44"/>
          <w:szCs w:val="21"/>
        </w:rPr>
        <w:t>中华人民共和国政府采购法》中</w:t>
      </w:r>
      <w:r>
        <w:rPr>
          <w:szCs w:val="21"/>
        </w:rPr>
        <w:t>规定的参加政府招标活动的供应商应当具备的条件：</w:t>
      </w:r>
    </w:p>
    <w:p>
      <w:pPr>
        <w:spacing w:line="360" w:lineRule="auto"/>
        <w:ind w:firstLine="420" w:firstLineChars="200"/>
        <w:rPr>
          <w:szCs w:val="21"/>
        </w:rPr>
      </w:pPr>
      <w:r>
        <w:rPr>
          <w:szCs w:val="21"/>
        </w:rPr>
        <w:t>(1)具有独立承担民事责任的能力；</w:t>
      </w:r>
    </w:p>
    <w:p>
      <w:pPr>
        <w:spacing w:line="360" w:lineRule="auto"/>
        <w:ind w:firstLine="420" w:firstLineChars="200"/>
        <w:rPr>
          <w:szCs w:val="21"/>
        </w:rPr>
      </w:pPr>
      <w:r>
        <w:rPr>
          <w:szCs w:val="21"/>
        </w:rPr>
        <w:t>(2)遵守国家法律、行政法规，具有良好的信誉和商业道德；</w:t>
      </w:r>
    </w:p>
    <w:p>
      <w:pPr>
        <w:spacing w:line="360" w:lineRule="auto"/>
        <w:ind w:firstLine="420" w:firstLineChars="200"/>
        <w:rPr>
          <w:szCs w:val="21"/>
        </w:rPr>
      </w:pPr>
      <w:r>
        <w:rPr>
          <w:szCs w:val="21"/>
        </w:rPr>
        <w:t>(3)具有履行合同的能力和良好的履行合同记录；</w:t>
      </w:r>
    </w:p>
    <w:p>
      <w:pPr>
        <w:spacing w:line="360" w:lineRule="auto"/>
        <w:ind w:firstLine="420" w:firstLineChars="200"/>
        <w:rPr>
          <w:szCs w:val="21"/>
        </w:rPr>
      </w:pPr>
      <w:r>
        <w:rPr>
          <w:szCs w:val="21"/>
        </w:rPr>
        <w:t>(4)良好的资金、财务状况；</w:t>
      </w:r>
    </w:p>
    <w:p>
      <w:pPr>
        <w:spacing w:line="360" w:lineRule="auto"/>
        <w:ind w:firstLine="420" w:firstLineChars="200"/>
        <w:rPr>
          <w:szCs w:val="21"/>
        </w:rPr>
      </w:pPr>
      <w:r>
        <w:rPr>
          <w:szCs w:val="21"/>
        </w:rPr>
        <w:t>(5)产品及生产所需装备符合中国政府规定的相应技术标准和环保标准；</w:t>
      </w:r>
    </w:p>
    <w:p>
      <w:pPr>
        <w:spacing w:line="360" w:lineRule="auto"/>
        <w:ind w:firstLine="420" w:firstLineChars="200"/>
        <w:rPr>
          <w:szCs w:val="21"/>
        </w:rPr>
      </w:pPr>
      <w:r>
        <w:rPr>
          <w:szCs w:val="21"/>
        </w:rPr>
        <w:t>(6)没有违反政府采购法规、政策的记录；</w:t>
      </w:r>
    </w:p>
    <w:p>
      <w:pPr>
        <w:spacing w:line="360" w:lineRule="auto"/>
        <w:ind w:firstLine="420" w:firstLineChars="200"/>
        <w:rPr>
          <w:szCs w:val="21"/>
        </w:rPr>
      </w:pPr>
      <w:r>
        <w:rPr>
          <w:szCs w:val="21"/>
        </w:rPr>
        <w:t>(7)没有发生重大经济纠纷和走私犯罪记录。</w:t>
      </w:r>
    </w:p>
    <w:p>
      <w:pPr>
        <w:spacing w:line="360" w:lineRule="auto"/>
        <w:ind w:firstLine="420" w:firstLineChars="200"/>
        <w:rPr>
          <w:szCs w:val="21"/>
        </w:rPr>
      </w:pPr>
      <w:r>
        <w:rPr>
          <w:szCs w:val="21"/>
        </w:rPr>
        <w:t>6、提供</w:t>
      </w:r>
      <w:r>
        <w:rPr>
          <w:bCs/>
          <w:kern w:val="44"/>
          <w:szCs w:val="21"/>
        </w:rPr>
        <w:t>编制和提交招标响应文件须知</w:t>
      </w:r>
      <w:r>
        <w:rPr>
          <w:szCs w:val="21"/>
        </w:rPr>
        <w:t>规定的全部投标文件。具体内容为：</w:t>
      </w:r>
    </w:p>
    <w:p>
      <w:pPr>
        <w:spacing w:line="360" w:lineRule="auto"/>
        <w:ind w:firstLine="420" w:firstLineChars="200"/>
        <w:rPr>
          <w:szCs w:val="21"/>
        </w:rPr>
      </w:pPr>
      <w:r>
        <w:rPr>
          <w:szCs w:val="21"/>
        </w:rPr>
        <w:t>(1)投标（开标）一览表、各项服务报价价格构成表及分析说明；</w:t>
      </w:r>
    </w:p>
    <w:p>
      <w:pPr>
        <w:spacing w:line="360" w:lineRule="auto"/>
        <w:ind w:firstLine="420" w:firstLineChars="200"/>
        <w:rPr>
          <w:szCs w:val="21"/>
        </w:rPr>
      </w:pPr>
      <w:r>
        <w:rPr>
          <w:szCs w:val="21"/>
        </w:rPr>
        <w:t>(2)资格审查文件、</w:t>
      </w:r>
      <w:r>
        <w:rPr>
          <w:kern w:val="0"/>
          <w:szCs w:val="21"/>
          <w:lang w:val="zh-CN"/>
        </w:rPr>
        <w:t>技术文件及</w:t>
      </w:r>
      <w:r>
        <w:rPr>
          <w:szCs w:val="21"/>
          <w:lang w:val="zh-CN"/>
        </w:rPr>
        <w:t>商务文件</w:t>
      </w:r>
      <w:r>
        <w:rPr>
          <w:szCs w:val="21"/>
        </w:rPr>
        <w:t>；</w:t>
      </w:r>
    </w:p>
    <w:p>
      <w:pPr>
        <w:spacing w:line="360" w:lineRule="auto"/>
        <w:ind w:firstLine="420" w:firstLineChars="200"/>
        <w:rPr>
          <w:szCs w:val="21"/>
        </w:rPr>
      </w:pPr>
      <w:r>
        <w:rPr>
          <w:bCs/>
          <w:kern w:val="44"/>
          <w:szCs w:val="21"/>
        </w:rPr>
        <w:t>(3)编制和提交招标响应文件须知</w:t>
      </w:r>
      <w:r>
        <w:rPr>
          <w:szCs w:val="21"/>
        </w:rPr>
        <w:t>要求供应商提交的全部文件。</w:t>
      </w:r>
    </w:p>
    <w:p>
      <w:pPr>
        <w:spacing w:line="360" w:lineRule="auto"/>
        <w:ind w:firstLine="420" w:firstLineChars="200"/>
        <w:rPr>
          <w:szCs w:val="21"/>
        </w:rPr>
      </w:pPr>
      <w:r>
        <w:rPr>
          <w:szCs w:val="21"/>
        </w:rPr>
        <w:t>7、报价格式详见开标一览表。</w:t>
      </w:r>
    </w:p>
    <w:p>
      <w:pPr>
        <w:spacing w:line="360" w:lineRule="auto"/>
        <w:ind w:firstLine="420" w:firstLineChars="200"/>
        <w:rPr>
          <w:szCs w:val="21"/>
        </w:rPr>
      </w:pPr>
      <w:r>
        <w:rPr>
          <w:szCs w:val="21"/>
        </w:rPr>
        <w:t>8、保证忠实地执行双方所签订的合同，并承担合同规定的责任和义务。</w:t>
      </w:r>
    </w:p>
    <w:p>
      <w:pPr>
        <w:spacing w:line="360" w:lineRule="auto"/>
        <w:ind w:firstLine="420" w:firstLineChars="200"/>
        <w:rPr>
          <w:szCs w:val="21"/>
        </w:rPr>
      </w:pPr>
      <w:r>
        <w:rPr>
          <w:szCs w:val="21"/>
        </w:rPr>
        <w:t>9、保证遵守招标文件中的其他有关规定。</w:t>
      </w:r>
    </w:p>
    <w:p>
      <w:pPr>
        <w:spacing w:line="360" w:lineRule="auto"/>
        <w:ind w:firstLine="420" w:firstLineChars="200"/>
        <w:rPr>
          <w:szCs w:val="21"/>
        </w:rPr>
      </w:pPr>
      <w:r>
        <w:rPr>
          <w:szCs w:val="21"/>
        </w:rPr>
        <w:t>10、我方完全理解贵方不一定要接受最低价的投标。</w:t>
      </w:r>
    </w:p>
    <w:p>
      <w:pPr>
        <w:spacing w:line="360" w:lineRule="auto"/>
        <w:ind w:firstLine="420" w:firstLineChars="200"/>
        <w:rPr>
          <w:szCs w:val="21"/>
        </w:rPr>
      </w:pPr>
      <w:r>
        <w:rPr>
          <w:szCs w:val="21"/>
        </w:rPr>
        <w:t>11、我方愿意向贵方提供任何与该项投标有关的数据、情况和技术资料。若贵方需要，我方愿意提供我方作出的一切承诺的证明材料。</w:t>
      </w:r>
    </w:p>
    <w:p>
      <w:pPr>
        <w:spacing w:line="360" w:lineRule="auto"/>
        <w:ind w:firstLine="420" w:firstLineChars="200"/>
        <w:rPr>
          <w:szCs w:val="21"/>
        </w:rPr>
      </w:pPr>
      <w:r>
        <w:rPr>
          <w:szCs w:val="21"/>
        </w:rPr>
        <w:t>12、我方将严格遵守《中华人民共和国政府采购法》第七十七条规定，供应商有下列情形之一的，处以招标金额5‰以上10‰以下的罚款，列入不良行为记录名单，在一至三年内禁止参加政府招标活动；有违法所得的，并处没收违法所得；情节严重的，由工商行政管理机关吊销营业执照；构成犯罪的，依法追究刑事责任：</w:t>
      </w:r>
    </w:p>
    <w:p>
      <w:pPr>
        <w:adjustRightInd w:val="0"/>
        <w:snapToGrid w:val="0"/>
        <w:spacing w:line="360" w:lineRule="auto"/>
        <w:ind w:firstLine="420" w:firstLineChars="200"/>
        <w:rPr>
          <w:szCs w:val="21"/>
        </w:rPr>
      </w:pPr>
      <w:r>
        <w:rPr>
          <w:szCs w:val="21"/>
        </w:rPr>
        <w:t>a)提供虚假材料谋取中标、中标的；</w:t>
      </w:r>
    </w:p>
    <w:p>
      <w:pPr>
        <w:adjustRightInd w:val="0"/>
        <w:snapToGrid w:val="0"/>
        <w:spacing w:line="360" w:lineRule="auto"/>
        <w:ind w:firstLine="420" w:firstLineChars="200"/>
        <w:rPr>
          <w:szCs w:val="21"/>
        </w:rPr>
      </w:pPr>
      <w:r>
        <w:rPr>
          <w:szCs w:val="21"/>
        </w:rPr>
        <w:t>b)采取不正当手段诋毁、排挤其他供应商的；</w:t>
      </w:r>
    </w:p>
    <w:p>
      <w:pPr>
        <w:adjustRightInd w:val="0"/>
        <w:snapToGrid w:val="0"/>
        <w:spacing w:line="360" w:lineRule="auto"/>
        <w:ind w:firstLine="420" w:firstLineChars="200"/>
        <w:rPr>
          <w:szCs w:val="21"/>
        </w:rPr>
      </w:pPr>
      <w:r>
        <w:rPr>
          <w:szCs w:val="21"/>
        </w:rPr>
        <w:t>c)与采购人、其它供应商或者招标代理机构恶意串通的；</w:t>
      </w:r>
    </w:p>
    <w:p>
      <w:pPr>
        <w:adjustRightInd w:val="0"/>
        <w:snapToGrid w:val="0"/>
        <w:spacing w:line="360" w:lineRule="auto"/>
        <w:ind w:firstLine="420" w:firstLineChars="200"/>
        <w:rPr>
          <w:szCs w:val="21"/>
        </w:rPr>
      </w:pPr>
      <w:r>
        <w:rPr>
          <w:szCs w:val="21"/>
        </w:rPr>
        <w:t>d)向采购人、招标代理机构行贿或者提供其他不正当利益的；</w:t>
      </w:r>
    </w:p>
    <w:p>
      <w:pPr>
        <w:adjustRightInd w:val="0"/>
        <w:snapToGrid w:val="0"/>
        <w:spacing w:line="360" w:lineRule="auto"/>
        <w:ind w:firstLine="420" w:firstLineChars="200"/>
        <w:rPr>
          <w:szCs w:val="21"/>
        </w:rPr>
      </w:pPr>
      <w:r>
        <w:rPr>
          <w:szCs w:val="21"/>
        </w:rPr>
        <w:t>e)在招标过程中与采购人进行协商谈判的；</w:t>
      </w:r>
    </w:p>
    <w:p>
      <w:pPr>
        <w:adjustRightInd w:val="0"/>
        <w:snapToGrid w:val="0"/>
        <w:spacing w:line="360" w:lineRule="auto"/>
        <w:ind w:firstLine="420" w:firstLineChars="200"/>
        <w:rPr>
          <w:szCs w:val="21"/>
        </w:rPr>
      </w:pPr>
      <w:r>
        <w:rPr>
          <w:szCs w:val="21"/>
        </w:rPr>
        <w:t>f)拒绝有关部门监督检查或提供虚假情况的。</w:t>
      </w:r>
    </w:p>
    <w:p>
      <w:pPr>
        <w:spacing w:line="360" w:lineRule="auto"/>
        <w:ind w:firstLine="420" w:firstLineChars="200"/>
        <w:rPr>
          <w:szCs w:val="21"/>
        </w:rPr>
      </w:pPr>
      <w:r>
        <w:rPr>
          <w:szCs w:val="21"/>
        </w:rPr>
        <w:t>有前款第a)至f)项情形之一的，中标无效。</w:t>
      </w:r>
    </w:p>
    <w:p>
      <w:pPr>
        <w:autoSpaceDE w:val="0"/>
        <w:autoSpaceDN w:val="0"/>
        <w:adjustRightInd w:val="0"/>
        <w:spacing w:line="360" w:lineRule="auto"/>
        <w:ind w:firstLine="420" w:firstLineChars="200"/>
        <w:rPr>
          <w:kern w:val="0"/>
          <w:szCs w:val="21"/>
          <w:lang w:val="zh-CN"/>
        </w:rPr>
      </w:pPr>
    </w:p>
    <w:p>
      <w:pPr>
        <w:autoSpaceDE w:val="0"/>
        <w:autoSpaceDN w:val="0"/>
        <w:adjustRightInd w:val="0"/>
        <w:spacing w:line="360" w:lineRule="auto"/>
        <w:ind w:firstLine="420" w:firstLineChars="200"/>
        <w:rPr>
          <w:kern w:val="0"/>
          <w:szCs w:val="21"/>
          <w:lang w:val="zh-CN"/>
        </w:rPr>
      </w:pPr>
    </w:p>
    <w:p>
      <w:pPr>
        <w:autoSpaceDE w:val="0"/>
        <w:autoSpaceDN w:val="0"/>
        <w:adjustRightInd w:val="0"/>
        <w:spacing w:line="360" w:lineRule="auto"/>
        <w:ind w:firstLine="420" w:firstLineChars="200"/>
        <w:rPr>
          <w:kern w:val="0"/>
          <w:szCs w:val="21"/>
          <w:u w:val="single"/>
          <w:lang w:val="zh-CN"/>
        </w:rPr>
      </w:pPr>
      <w:r>
        <w:rPr>
          <w:kern w:val="0"/>
          <w:szCs w:val="21"/>
          <w:lang w:val="zh-CN"/>
        </w:rPr>
        <w:t>投标人（盖章）：</w:t>
      </w:r>
      <w:r>
        <w:rPr>
          <w:kern w:val="0"/>
          <w:szCs w:val="21"/>
          <w:u w:val="single"/>
          <w:lang w:val="zh-CN"/>
        </w:rPr>
        <w:t xml:space="preserve">                  </w:t>
      </w:r>
      <w:r>
        <w:rPr>
          <w:kern w:val="0"/>
          <w:szCs w:val="21"/>
          <w:u w:val="single"/>
        </w:rPr>
        <w:t xml:space="preserve">                                </w:t>
      </w:r>
      <w:r>
        <w:rPr>
          <w:kern w:val="0"/>
          <w:szCs w:val="21"/>
          <w:u w:val="single"/>
          <w:lang w:val="zh-CN"/>
        </w:rPr>
        <w:t xml:space="preserve">   </w:t>
      </w:r>
    </w:p>
    <w:p>
      <w:pPr>
        <w:autoSpaceDE w:val="0"/>
        <w:autoSpaceDN w:val="0"/>
        <w:adjustRightInd w:val="0"/>
        <w:spacing w:line="360" w:lineRule="auto"/>
        <w:ind w:firstLine="420" w:firstLineChars="200"/>
        <w:rPr>
          <w:kern w:val="0"/>
          <w:szCs w:val="21"/>
        </w:rPr>
      </w:pPr>
      <w:r>
        <w:rPr>
          <w:kern w:val="0"/>
          <w:szCs w:val="21"/>
          <w:lang w:val="zh-CN"/>
        </w:rPr>
        <w:t xml:space="preserve">法定代表人或授权委托人（签字）：  </w:t>
      </w:r>
      <w:r>
        <w:rPr>
          <w:kern w:val="0"/>
          <w:szCs w:val="21"/>
          <w:u w:val="single"/>
          <w:lang w:val="zh-CN"/>
        </w:rPr>
        <w:t xml:space="preserve">             </w:t>
      </w:r>
      <w:r>
        <w:rPr>
          <w:kern w:val="0"/>
          <w:szCs w:val="21"/>
          <w:u w:val="single"/>
        </w:rPr>
        <w:t xml:space="preserve">                  </w:t>
      </w:r>
      <w:r>
        <w:rPr>
          <w:kern w:val="0"/>
          <w:szCs w:val="21"/>
          <w:u w:val="single"/>
          <w:lang w:val="zh-CN"/>
        </w:rPr>
        <w:t xml:space="preserve">    </w:t>
      </w:r>
      <w:r>
        <w:rPr>
          <w:kern w:val="0"/>
          <w:szCs w:val="21"/>
        </w:rPr>
        <w:tab/>
      </w:r>
    </w:p>
    <w:p>
      <w:pPr>
        <w:autoSpaceDE w:val="0"/>
        <w:autoSpaceDN w:val="0"/>
        <w:adjustRightInd w:val="0"/>
        <w:spacing w:line="360" w:lineRule="auto"/>
        <w:ind w:firstLine="420" w:firstLineChars="200"/>
        <w:rPr>
          <w:kern w:val="0"/>
          <w:szCs w:val="21"/>
        </w:rPr>
      </w:pPr>
      <w:r>
        <w:rPr>
          <w:kern w:val="0"/>
          <w:szCs w:val="21"/>
          <w:lang w:val="zh-CN"/>
        </w:rPr>
        <w:t>联系人：</w:t>
      </w:r>
      <w:r>
        <w:rPr>
          <w:kern w:val="0"/>
          <w:szCs w:val="21"/>
          <w:u w:val="single"/>
          <w:lang w:val="zh-CN"/>
        </w:rPr>
        <w:t xml:space="preserve">                        </w:t>
      </w:r>
      <w:r>
        <w:rPr>
          <w:kern w:val="0"/>
          <w:szCs w:val="21"/>
          <w:lang w:val="zh-CN"/>
        </w:rPr>
        <w:t xml:space="preserve">联系电话: </w:t>
      </w:r>
      <w:r>
        <w:rPr>
          <w:kern w:val="0"/>
          <w:szCs w:val="21"/>
          <w:u w:val="single"/>
          <w:lang w:val="zh-CN"/>
        </w:rPr>
        <w:t xml:space="preserve">                      </w:t>
      </w:r>
      <w:r>
        <w:rPr>
          <w:kern w:val="0"/>
          <w:szCs w:val="21"/>
          <w:u w:val="single"/>
        </w:rPr>
        <w:t xml:space="preserve"> </w:t>
      </w:r>
      <w:r>
        <w:rPr>
          <w:kern w:val="0"/>
          <w:szCs w:val="21"/>
          <w:u w:val="single"/>
          <w:lang w:val="zh-CN"/>
        </w:rPr>
        <w:t xml:space="preserve">    </w:t>
      </w:r>
    </w:p>
    <w:p>
      <w:pPr>
        <w:autoSpaceDE w:val="0"/>
        <w:autoSpaceDN w:val="0"/>
        <w:adjustRightInd w:val="0"/>
        <w:spacing w:line="360" w:lineRule="auto"/>
        <w:ind w:firstLine="420" w:firstLineChars="200"/>
        <w:rPr>
          <w:kern w:val="0"/>
          <w:szCs w:val="21"/>
        </w:rPr>
      </w:pPr>
      <w:r>
        <w:rPr>
          <w:kern w:val="0"/>
          <w:szCs w:val="21"/>
          <w:lang w:val="zh-CN"/>
        </w:rPr>
        <w:t>联系地址：</w:t>
      </w:r>
      <w:r>
        <w:rPr>
          <w:kern w:val="0"/>
          <w:szCs w:val="21"/>
          <w:u w:val="single"/>
          <w:lang w:val="zh-CN"/>
        </w:rPr>
        <w:t xml:space="preserve">                                                      </w:t>
      </w:r>
      <w:r>
        <w:rPr>
          <w:kern w:val="0"/>
          <w:szCs w:val="21"/>
          <w:u w:val="single"/>
        </w:rPr>
        <w:t xml:space="preserve"> </w:t>
      </w:r>
      <w:r>
        <w:rPr>
          <w:kern w:val="0"/>
          <w:szCs w:val="21"/>
          <w:u w:val="single"/>
          <w:lang w:val="zh-CN"/>
        </w:rPr>
        <w:t xml:space="preserve">    </w:t>
      </w:r>
    </w:p>
    <w:p>
      <w:pPr>
        <w:autoSpaceDE w:val="0"/>
        <w:autoSpaceDN w:val="0"/>
        <w:adjustRightInd w:val="0"/>
        <w:spacing w:line="360" w:lineRule="auto"/>
        <w:ind w:firstLine="420" w:firstLineChars="200"/>
        <w:rPr>
          <w:kern w:val="0"/>
          <w:szCs w:val="21"/>
          <w:u w:val="single"/>
          <w:lang w:val="zh-CN"/>
        </w:rPr>
      </w:pPr>
      <w:r>
        <w:rPr>
          <w:kern w:val="0"/>
          <w:szCs w:val="21"/>
          <w:lang w:val="zh-CN"/>
        </w:rPr>
        <w:t>邮政编码：</w:t>
      </w:r>
      <w:r>
        <w:rPr>
          <w:kern w:val="0"/>
          <w:szCs w:val="21"/>
          <w:u w:val="single"/>
          <w:lang w:val="zh-CN"/>
        </w:rPr>
        <w:t xml:space="preserve">                      </w:t>
      </w:r>
      <w:r>
        <w:rPr>
          <w:kern w:val="0"/>
          <w:szCs w:val="21"/>
          <w:lang w:val="zh-CN"/>
        </w:rPr>
        <w:t>传真号码：</w:t>
      </w:r>
      <w:r>
        <w:rPr>
          <w:kern w:val="0"/>
          <w:szCs w:val="21"/>
          <w:u w:val="single"/>
          <w:lang w:val="zh-CN"/>
        </w:rPr>
        <w:t xml:space="preserve">                      </w:t>
      </w:r>
      <w:r>
        <w:rPr>
          <w:kern w:val="0"/>
          <w:szCs w:val="21"/>
          <w:u w:val="single"/>
        </w:rPr>
        <w:t xml:space="preserve">  </w:t>
      </w:r>
      <w:r>
        <w:rPr>
          <w:kern w:val="0"/>
          <w:szCs w:val="21"/>
          <w:u w:val="single"/>
          <w:lang w:val="zh-CN"/>
        </w:rPr>
        <w:t xml:space="preserve">   </w:t>
      </w:r>
    </w:p>
    <w:p>
      <w:pPr>
        <w:autoSpaceDE w:val="0"/>
        <w:autoSpaceDN w:val="0"/>
        <w:adjustRightInd w:val="0"/>
        <w:spacing w:line="360" w:lineRule="auto"/>
        <w:ind w:firstLine="420" w:firstLineChars="200"/>
        <w:rPr>
          <w:kern w:val="0"/>
          <w:szCs w:val="21"/>
          <w:u w:val="single"/>
        </w:rPr>
      </w:pPr>
      <w:r>
        <w:rPr>
          <w:kern w:val="0"/>
          <w:szCs w:val="21"/>
          <w:lang w:val="zh-CN"/>
        </w:rPr>
        <w:t>投标人开户银行：</w:t>
      </w:r>
      <w:r>
        <w:rPr>
          <w:kern w:val="0"/>
          <w:szCs w:val="21"/>
          <w:u w:val="single"/>
          <w:lang w:val="zh-CN"/>
        </w:rPr>
        <w:t xml:space="preserve">                </w:t>
      </w:r>
      <w:r>
        <w:rPr>
          <w:kern w:val="0"/>
          <w:szCs w:val="21"/>
          <w:lang w:val="zh-CN"/>
        </w:rPr>
        <w:t>帐号：</w:t>
      </w:r>
      <w:r>
        <w:rPr>
          <w:kern w:val="0"/>
          <w:szCs w:val="21"/>
          <w:u w:val="single"/>
          <w:lang w:val="zh-CN"/>
        </w:rPr>
        <w:t xml:space="preserve">                          </w:t>
      </w:r>
      <w:r>
        <w:rPr>
          <w:kern w:val="0"/>
          <w:szCs w:val="21"/>
          <w:u w:val="single"/>
        </w:rPr>
        <w:t xml:space="preserve"> </w:t>
      </w:r>
      <w:r>
        <w:rPr>
          <w:kern w:val="0"/>
          <w:szCs w:val="21"/>
          <w:u w:val="single"/>
          <w:lang w:val="zh-CN"/>
        </w:rPr>
        <w:t xml:space="preserve">    </w:t>
      </w:r>
    </w:p>
    <w:p>
      <w:pPr>
        <w:spacing w:line="360" w:lineRule="auto"/>
        <w:ind w:firstLine="420" w:firstLineChars="200"/>
        <w:rPr>
          <w:szCs w:val="21"/>
        </w:rPr>
      </w:pPr>
      <w:r>
        <w:rPr>
          <w:kern w:val="0"/>
          <w:szCs w:val="21"/>
          <w:lang w:val="zh-CN"/>
        </w:rPr>
        <w:t>日</w:t>
      </w:r>
      <w:r>
        <w:rPr>
          <w:kern w:val="0"/>
          <w:szCs w:val="21"/>
        </w:rPr>
        <w:t xml:space="preserve">    </w:t>
      </w:r>
      <w:r>
        <w:rPr>
          <w:kern w:val="0"/>
          <w:szCs w:val="21"/>
          <w:lang w:val="zh-CN"/>
        </w:rPr>
        <w:t>期</w:t>
      </w:r>
      <w:r>
        <w:rPr>
          <w:kern w:val="0"/>
          <w:szCs w:val="21"/>
        </w:rPr>
        <w:t xml:space="preserve">： </w:t>
      </w:r>
      <w:r>
        <w:rPr>
          <w:kern w:val="0"/>
          <w:szCs w:val="21"/>
          <w:u w:val="single"/>
        </w:rPr>
        <w:t xml:space="preserve">       </w:t>
      </w:r>
      <w:r>
        <w:rPr>
          <w:kern w:val="0"/>
          <w:szCs w:val="21"/>
          <w:lang w:val="zh-CN"/>
        </w:rPr>
        <w:t>年</w:t>
      </w:r>
      <w:r>
        <w:rPr>
          <w:kern w:val="0"/>
          <w:szCs w:val="21"/>
          <w:u w:val="single"/>
        </w:rPr>
        <w:t xml:space="preserve">  </w:t>
      </w:r>
      <w:r>
        <w:rPr>
          <w:kern w:val="0"/>
          <w:szCs w:val="21"/>
          <w:u w:val="single"/>
        </w:rPr>
        <w:tab/>
      </w:r>
      <w:r>
        <w:rPr>
          <w:kern w:val="0"/>
          <w:szCs w:val="21"/>
          <w:lang w:val="zh-CN"/>
        </w:rPr>
        <w:t>月</w:t>
      </w:r>
      <w:r>
        <w:rPr>
          <w:kern w:val="0"/>
          <w:szCs w:val="21"/>
        </w:rPr>
        <w:t xml:space="preserve"> </w:t>
      </w:r>
      <w:r>
        <w:rPr>
          <w:kern w:val="0"/>
          <w:szCs w:val="21"/>
          <w:u w:val="single"/>
        </w:rPr>
        <w:tab/>
      </w:r>
      <w:r>
        <w:rPr>
          <w:kern w:val="0"/>
          <w:szCs w:val="21"/>
          <w:u w:val="single"/>
        </w:rPr>
        <w:tab/>
      </w:r>
      <w:r>
        <w:rPr>
          <w:kern w:val="0"/>
          <w:szCs w:val="21"/>
          <w:lang w:val="zh-CN"/>
        </w:rPr>
        <w:t>日</w:t>
      </w:r>
      <w:r>
        <w:rPr>
          <w:kern w:val="0"/>
          <w:szCs w:val="21"/>
        </w:rPr>
        <w:t xml:space="preserve"> </w:t>
      </w:r>
    </w:p>
    <w:p>
      <w:pPr>
        <w:spacing w:line="360" w:lineRule="auto"/>
        <w:ind w:firstLine="422" w:firstLineChars="200"/>
        <w:rPr>
          <w:b/>
          <w:szCs w:val="21"/>
        </w:rPr>
      </w:pPr>
    </w:p>
    <w:p>
      <w:pPr>
        <w:spacing w:line="360" w:lineRule="auto"/>
        <w:ind w:firstLine="422" w:firstLineChars="200"/>
        <w:rPr>
          <w:b/>
          <w:szCs w:val="21"/>
        </w:rPr>
      </w:pPr>
      <w:r>
        <w:rPr>
          <w:b/>
          <w:szCs w:val="21"/>
        </w:rPr>
        <w:t>注：未按照本投标函要求填报的将被视为非实质性响应投标，从而可能导致该投标被拒绝。</w:t>
      </w:r>
    </w:p>
    <w:p>
      <w:pPr>
        <w:spacing w:line="360" w:lineRule="auto"/>
        <w:ind w:firstLine="420" w:firstLineChars="200"/>
        <w:rPr>
          <w:szCs w:val="21"/>
        </w:rPr>
      </w:pPr>
    </w:p>
    <w:p>
      <w:pPr>
        <w:spacing w:line="360" w:lineRule="auto"/>
        <w:ind w:firstLine="420" w:firstLineChars="200"/>
        <w:rPr>
          <w:szCs w:val="21"/>
        </w:rPr>
      </w:pPr>
    </w:p>
    <w:p>
      <w:pPr>
        <w:numPr>
          <w:ilvl w:val="0"/>
          <w:numId w:val="10"/>
        </w:numPr>
        <w:spacing w:after="120" w:afterLines="50" w:line="520" w:lineRule="exact"/>
        <w:jc w:val="left"/>
        <w:outlineLvl w:val="2"/>
        <w:rPr>
          <w:b/>
          <w:bCs/>
          <w:sz w:val="24"/>
        </w:rPr>
      </w:pPr>
      <w:r>
        <w:br w:type="page"/>
      </w:r>
      <w:bookmarkEnd w:id="47"/>
      <w:r>
        <w:t xml:space="preserve"> </w:t>
      </w:r>
      <w:r>
        <w:rPr>
          <w:b/>
          <w:bCs/>
          <w:sz w:val="24"/>
        </w:rPr>
        <w:t>开标一览表</w:t>
      </w:r>
    </w:p>
    <w:p>
      <w:pPr>
        <w:adjustRightInd w:val="0"/>
        <w:snapToGrid w:val="0"/>
        <w:spacing w:line="360" w:lineRule="auto"/>
        <w:rPr>
          <w:szCs w:val="21"/>
          <w:u w:val="single"/>
        </w:rPr>
      </w:pPr>
    </w:p>
    <w:p>
      <w:pPr>
        <w:adjustRightInd w:val="0"/>
        <w:snapToGrid w:val="0"/>
        <w:spacing w:line="360" w:lineRule="auto"/>
        <w:rPr>
          <w:szCs w:val="21"/>
        </w:rPr>
      </w:pPr>
      <w:r>
        <w:rPr>
          <w:szCs w:val="21"/>
          <w:u w:val="single"/>
        </w:rPr>
        <w:t>新昌县公安局</w:t>
      </w:r>
      <w:r>
        <w:rPr>
          <w:szCs w:val="21"/>
        </w:rPr>
        <w:t>：</w:t>
      </w:r>
    </w:p>
    <w:p>
      <w:pPr>
        <w:adjustRightInd w:val="0"/>
        <w:snapToGrid w:val="0"/>
        <w:spacing w:line="360" w:lineRule="auto"/>
        <w:ind w:firstLine="420" w:firstLineChars="200"/>
        <w:rPr>
          <w:szCs w:val="21"/>
        </w:rPr>
      </w:pPr>
      <w:r>
        <w:rPr>
          <w:szCs w:val="21"/>
        </w:rPr>
        <w:t>按你方招标文件要求，我方，本投标文件签字方，谨此向你方发出要约如下：如你方接受本投标文件，我方承诺按照如下开标一览表的价格完成编号为</w:t>
      </w:r>
      <w:r>
        <w:rPr>
          <w:szCs w:val="21"/>
          <w:u w:val="single"/>
        </w:rPr>
        <w:t xml:space="preserve">                </w:t>
      </w:r>
      <w:r>
        <w:rPr>
          <w:szCs w:val="21"/>
        </w:rPr>
        <w:t>的招标文件（项目名称：</w:t>
      </w:r>
      <w:r>
        <w:rPr>
          <w:szCs w:val="21"/>
          <w:u w:val="single"/>
        </w:rPr>
        <w:t>新昌县智慧**建设项目—社会治安动态视频监控系统四、五期升级改造+人脸识别监控项目</w:t>
      </w:r>
      <w:r>
        <w:rPr>
          <w:szCs w:val="21"/>
        </w:rPr>
        <w:t>）之项目的实施。</w:t>
      </w:r>
    </w:p>
    <w:p>
      <w:pPr>
        <w:spacing w:before="120" w:beforeLines="50" w:line="360" w:lineRule="auto"/>
        <w:jc w:val="center"/>
        <w:rPr>
          <w:b/>
          <w:sz w:val="24"/>
          <w:szCs w:val="21"/>
        </w:rPr>
      </w:pPr>
      <w:r>
        <w:rPr>
          <w:b/>
          <w:sz w:val="24"/>
          <w:szCs w:val="21"/>
        </w:rPr>
        <w:t>开标一览表</w:t>
      </w:r>
    </w:p>
    <w:p>
      <w:pPr>
        <w:spacing w:line="360" w:lineRule="auto"/>
        <w:jc w:val="right"/>
        <w:rPr>
          <w:b/>
          <w:szCs w:val="21"/>
        </w:rPr>
      </w:pPr>
      <w:r>
        <w:rPr>
          <w:b/>
          <w:bCs/>
          <w:kern w:val="0"/>
          <w:szCs w:val="21"/>
          <w:lang w:val="zh-CN"/>
        </w:rPr>
        <w:t>（价格单位：元人民币）</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4247"/>
        <w:gridCol w:w="2548"/>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63" w:type="pct"/>
            <w:noWrap w:val="0"/>
            <w:vAlign w:val="center"/>
          </w:tcPr>
          <w:p>
            <w:pPr>
              <w:tabs>
                <w:tab w:val="left" w:pos="2670"/>
              </w:tabs>
              <w:adjustRightInd w:val="0"/>
              <w:spacing w:line="288" w:lineRule="auto"/>
              <w:jc w:val="center"/>
              <w:rPr>
                <w:b/>
                <w:bCs/>
                <w:szCs w:val="21"/>
                <w:lang w:val="zh-CN"/>
              </w:rPr>
            </w:pPr>
            <w:r>
              <w:rPr>
                <w:b/>
                <w:bCs/>
                <w:szCs w:val="21"/>
                <w:lang w:val="zh-CN"/>
              </w:rPr>
              <w:t>标项号</w:t>
            </w:r>
          </w:p>
        </w:tc>
        <w:tc>
          <w:tcPr>
            <w:tcW w:w="2287" w:type="pct"/>
            <w:noWrap w:val="0"/>
            <w:vAlign w:val="center"/>
          </w:tcPr>
          <w:p>
            <w:pPr>
              <w:tabs>
                <w:tab w:val="left" w:pos="2670"/>
              </w:tabs>
              <w:adjustRightInd w:val="0"/>
              <w:spacing w:line="288" w:lineRule="auto"/>
              <w:jc w:val="center"/>
              <w:rPr>
                <w:b/>
                <w:bCs/>
                <w:szCs w:val="21"/>
                <w:lang w:val="zh-CN"/>
              </w:rPr>
            </w:pPr>
            <w:r>
              <w:rPr>
                <w:b/>
                <w:bCs/>
                <w:szCs w:val="21"/>
                <w:lang w:val="zh-CN"/>
              </w:rPr>
              <w:t>标项内容</w:t>
            </w:r>
          </w:p>
        </w:tc>
        <w:tc>
          <w:tcPr>
            <w:tcW w:w="1372" w:type="pct"/>
            <w:noWrap w:val="0"/>
            <w:vAlign w:val="center"/>
          </w:tcPr>
          <w:p>
            <w:pPr>
              <w:tabs>
                <w:tab w:val="left" w:pos="2670"/>
              </w:tabs>
              <w:adjustRightInd w:val="0"/>
              <w:spacing w:line="288" w:lineRule="auto"/>
              <w:jc w:val="center"/>
              <w:rPr>
                <w:b/>
                <w:bCs/>
                <w:szCs w:val="21"/>
                <w:lang w:val="zh-CN"/>
              </w:rPr>
            </w:pPr>
            <w:r>
              <w:rPr>
                <w:b/>
                <w:bCs/>
                <w:szCs w:val="21"/>
                <w:lang w:val="zh-CN"/>
              </w:rPr>
              <w:t>投标报价（元）</w:t>
            </w:r>
          </w:p>
        </w:tc>
        <w:tc>
          <w:tcPr>
            <w:tcW w:w="678" w:type="pct"/>
            <w:noWrap w:val="0"/>
            <w:vAlign w:val="center"/>
          </w:tcPr>
          <w:p>
            <w:pPr>
              <w:tabs>
                <w:tab w:val="left" w:pos="2670"/>
              </w:tabs>
              <w:adjustRightInd w:val="0"/>
              <w:spacing w:line="288" w:lineRule="auto"/>
              <w:jc w:val="center"/>
              <w:rPr>
                <w:b/>
                <w:bCs/>
                <w:szCs w:val="21"/>
                <w:lang w:val="zh-CN"/>
              </w:rPr>
            </w:pPr>
            <w:r>
              <w:rPr>
                <w:b/>
                <w:bCs/>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pct"/>
            <w:noWrap w:val="0"/>
            <w:vAlign w:val="center"/>
          </w:tcPr>
          <w:p>
            <w:pPr>
              <w:tabs>
                <w:tab w:val="left" w:pos="2670"/>
              </w:tabs>
              <w:adjustRightInd w:val="0"/>
              <w:spacing w:line="288" w:lineRule="auto"/>
              <w:jc w:val="center"/>
              <w:rPr>
                <w:szCs w:val="21"/>
              </w:rPr>
            </w:pPr>
            <w:r>
              <w:rPr>
                <w:szCs w:val="21"/>
              </w:rPr>
              <w:t>1</w:t>
            </w:r>
          </w:p>
        </w:tc>
        <w:tc>
          <w:tcPr>
            <w:tcW w:w="2287" w:type="pct"/>
            <w:noWrap w:val="0"/>
            <w:vAlign w:val="center"/>
          </w:tcPr>
          <w:p>
            <w:pPr>
              <w:tabs>
                <w:tab w:val="left" w:pos="2670"/>
              </w:tabs>
              <w:adjustRightInd w:val="0"/>
              <w:spacing w:line="288" w:lineRule="auto"/>
              <w:jc w:val="center"/>
              <w:rPr>
                <w:szCs w:val="21"/>
              </w:rPr>
            </w:pPr>
            <w:r>
              <w:rPr>
                <w:szCs w:val="21"/>
              </w:rPr>
              <w:t>新昌县智慧**建设项目—社会治安动态视频监控系统四、五期升级改造+人脸识别监控项目</w:t>
            </w:r>
          </w:p>
        </w:tc>
        <w:tc>
          <w:tcPr>
            <w:tcW w:w="1372" w:type="pct"/>
            <w:noWrap w:val="0"/>
            <w:vAlign w:val="center"/>
          </w:tcPr>
          <w:p>
            <w:pPr>
              <w:tabs>
                <w:tab w:val="left" w:pos="2670"/>
              </w:tabs>
              <w:adjustRightInd w:val="0"/>
              <w:spacing w:line="288" w:lineRule="auto"/>
              <w:jc w:val="center"/>
              <w:rPr>
                <w:b/>
                <w:szCs w:val="21"/>
                <w:lang w:val="en-GB"/>
              </w:rPr>
            </w:pPr>
          </w:p>
        </w:tc>
        <w:tc>
          <w:tcPr>
            <w:tcW w:w="678" w:type="pct"/>
            <w:noWrap w:val="0"/>
            <w:vAlign w:val="center"/>
          </w:tcPr>
          <w:p>
            <w:pPr>
              <w:tabs>
                <w:tab w:val="left" w:pos="2670"/>
              </w:tabs>
              <w:adjustRightInd w:val="0"/>
              <w:spacing w:line="288" w:lineRule="auto"/>
              <w:rPr>
                <w:szCs w:val="21"/>
              </w:rPr>
            </w:pPr>
          </w:p>
        </w:tc>
      </w:tr>
    </w:tbl>
    <w:p>
      <w:pPr>
        <w:adjustRightInd w:val="0"/>
        <w:spacing w:line="360" w:lineRule="auto"/>
        <w:ind w:firstLine="420" w:firstLineChars="200"/>
        <w:rPr>
          <w:szCs w:val="21"/>
        </w:rPr>
      </w:pPr>
      <w:r>
        <w:rPr>
          <w:szCs w:val="21"/>
        </w:rPr>
        <w:t>注：1、本项目的合同价是完成本项目采购范围及建设期的全部内容，应是完成本项目采购范围及实施期的全部内容，包括供应商完成本项目所需的设备购置费、安装费、运输费、保险费等所需的成本支出、合理利润、应缴纳的税金等一切费用。</w:t>
      </w:r>
      <w:r>
        <w:rPr>
          <w:b/>
          <w:szCs w:val="21"/>
        </w:rPr>
        <w:t>投标人须充分考虑实际服务内容和需求，针对自身实际情况，核算所需的成本及合理的利润，自行报价。</w:t>
      </w:r>
    </w:p>
    <w:p>
      <w:pPr>
        <w:adjustRightInd w:val="0"/>
        <w:spacing w:line="360" w:lineRule="auto"/>
        <w:ind w:firstLine="424" w:firstLineChars="202"/>
        <w:rPr>
          <w:szCs w:val="21"/>
        </w:rPr>
      </w:pPr>
      <w:r>
        <w:rPr>
          <w:szCs w:val="21"/>
        </w:rPr>
        <w:t>2、本项目除甲方提供合同约定的配合内容外，其他均由乙方完成。</w:t>
      </w:r>
    </w:p>
    <w:p>
      <w:pPr>
        <w:adjustRightInd w:val="0"/>
        <w:spacing w:line="360" w:lineRule="auto"/>
        <w:ind w:firstLine="424" w:firstLineChars="202"/>
        <w:rPr>
          <w:szCs w:val="21"/>
        </w:rPr>
      </w:pPr>
      <w:r>
        <w:rPr>
          <w:szCs w:val="21"/>
        </w:rPr>
        <w:t>3、表中不得有给予采购人的赠品、回扣或者与本项目采购无关的其他商品、服务。</w:t>
      </w:r>
    </w:p>
    <w:p>
      <w:pPr>
        <w:adjustRightInd w:val="0"/>
        <w:spacing w:line="360" w:lineRule="auto"/>
        <w:ind w:firstLine="420" w:firstLineChars="200"/>
        <w:rPr>
          <w:szCs w:val="21"/>
        </w:rPr>
      </w:pPr>
      <w:r>
        <w:rPr>
          <w:szCs w:val="21"/>
        </w:rPr>
        <w:t>4、本招标文件及其所附文件涵盖了我方要约的全部内容。</w:t>
      </w:r>
    </w:p>
    <w:p>
      <w:pPr>
        <w:adjustRightInd w:val="0"/>
        <w:spacing w:line="360" w:lineRule="auto"/>
        <w:ind w:firstLine="420" w:firstLineChars="200"/>
        <w:rPr>
          <w:szCs w:val="21"/>
        </w:rPr>
      </w:pPr>
      <w:r>
        <w:rPr>
          <w:szCs w:val="21"/>
        </w:rPr>
        <w:t>（1）我方投标有效期（要约有效期）为自投标截止之日起90日历天；</w:t>
      </w:r>
    </w:p>
    <w:p>
      <w:pPr>
        <w:adjustRightInd w:val="0"/>
        <w:spacing w:line="360" w:lineRule="auto"/>
        <w:ind w:firstLine="420" w:firstLineChars="200"/>
        <w:rPr>
          <w:szCs w:val="21"/>
        </w:rPr>
      </w:pPr>
      <w:r>
        <w:rPr>
          <w:szCs w:val="21"/>
        </w:rPr>
        <w:t>（2）在投标有效期内，我方受投标文件之价目表上我方要约金额的约束。</w:t>
      </w:r>
    </w:p>
    <w:p>
      <w:pPr>
        <w:adjustRightInd w:val="0"/>
        <w:spacing w:line="360" w:lineRule="auto"/>
        <w:ind w:firstLine="420" w:firstLineChars="200"/>
        <w:rPr>
          <w:szCs w:val="21"/>
        </w:rPr>
      </w:pPr>
      <w:r>
        <w:rPr>
          <w:szCs w:val="21"/>
        </w:rPr>
        <w:t>5、本投标文件，你方之接受函，包括条款栏，标的规格要求栏和其它有关文件在内的投标文件对我们双方均具约束力。</w:t>
      </w:r>
    </w:p>
    <w:p>
      <w:pPr>
        <w:adjustRightInd w:val="0"/>
        <w:spacing w:line="360" w:lineRule="auto"/>
        <w:ind w:firstLine="420" w:firstLineChars="200"/>
        <w:rPr>
          <w:szCs w:val="21"/>
        </w:rPr>
      </w:pPr>
      <w:r>
        <w:rPr>
          <w:szCs w:val="21"/>
        </w:rPr>
        <w:t>6、根据具体情况而拒绝任一或所有投标文件完全取决于你方。你方没有义务一定要接受最低报价的投标文件或某一特定投标文件，也不需为拒绝某一投标文件作出任何解释。</w:t>
      </w:r>
    </w:p>
    <w:p>
      <w:pPr>
        <w:adjustRightInd w:val="0"/>
        <w:spacing w:line="360" w:lineRule="auto"/>
        <w:ind w:firstLine="420" w:firstLineChars="200"/>
        <w:rPr>
          <w:szCs w:val="21"/>
        </w:rPr>
      </w:pPr>
      <w:r>
        <w:rPr>
          <w:szCs w:val="21"/>
        </w:rPr>
        <w:t>7、另外，我方承诺还将就你方所要求的进一步信息提供给你方。</w:t>
      </w:r>
    </w:p>
    <w:p>
      <w:pPr>
        <w:autoSpaceDE w:val="0"/>
        <w:autoSpaceDN w:val="0"/>
        <w:adjustRightInd w:val="0"/>
        <w:spacing w:line="360" w:lineRule="auto"/>
        <w:ind w:firstLine="4158"/>
        <w:rPr>
          <w:kern w:val="0"/>
          <w:szCs w:val="21"/>
          <w:lang w:val="zh-CN"/>
        </w:rPr>
      </w:pPr>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rPr>
          <w:kern w:val="0"/>
          <w:szCs w:val="21"/>
          <w:lang w:val="zh-CN"/>
        </w:rPr>
      </w:pPr>
      <w:r>
        <w:rPr>
          <w:kern w:val="0"/>
          <w:szCs w:val="21"/>
          <w:lang w:val="zh-CN"/>
        </w:rPr>
        <w:t>日期： 年  月   日</w:t>
      </w:r>
    </w:p>
    <w:p>
      <w:pPr>
        <w:spacing w:line="360" w:lineRule="auto"/>
        <w:rPr>
          <w:kern w:val="0"/>
          <w:szCs w:val="21"/>
          <w:lang w:val="zh-CN"/>
        </w:rPr>
      </w:pPr>
    </w:p>
    <w:p>
      <w:pPr>
        <w:pStyle w:val="4"/>
        <w:rPr>
          <w:sz w:val="24"/>
        </w:rPr>
      </w:pPr>
      <w:r>
        <w:rPr>
          <w:sz w:val="21"/>
          <w:szCs w:val="24"/>
        </w:rPr>
        <w:t>（三）分项报价表</w:t>
      </w:r>
    </w:p>
    <w:tbl>
      <w:tblPr>
        <w:tblStyle w:val="21"/>
        <w:tblW w:w="501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7"/>
        <w:gridCol w:w="647"/>
        <w:gridCol w:w="3267"/>
        <w:gridCol w:w="824"/>
        <w:gridCol w:w="744"/>
        <w:gridCol w:w="1131"/>
        <w:gridCol w:w="1273"/>
        <w:gridCol w:w="8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310" w:type="pct"/>
            <w:vMerge w:val="restart"/>
            <w:noWrap/>
            <w:vAlign w:val="center"/>
          </w:tcPr>
          <w:p>
            <w:pPr>
              <w:widowControl/>
              <w:jc w:val="center"/>
              <w:rPr>
                <w:b/>
                <w:bCs/>
                <w:kern w:val="0"/>
                <w:sz w:val="18"/>
                <w:szCs w:val="18"/>
              </w:rPr>
            </w:pPr>
            <w:r>
              <w:rPr>
                <w:b/>
                <w:bCs/>
                <w:kern w:val="0"/>
                <w:sz w:val="18"/>
                <w:szCs w:val="18"/>
              </w:rPr>
              <w:t>序号</w:t>
            </w:r>
          </w:p>
        </w:tc>
        <w:tc>
          <w:tcPr>
            <w:tcW w:w="2100" w:type="pct"/>
            <w:gridSpan w:val="2"/>
            <w:vMerge w:val="restart"/>
            <w:noWrap w:val="0"/>
            <w:vAlign w:val="center"/>
          </w:tcPr>
          <w:p>
            <w:pPr>
              <w:widowControl/>
              <w:jc w:val="center"/>
              <w:rPr>
                <w:b/>
                <w:bCs/>
                <w:kern w:val="0"/>
                <w:sz w:val="18"/>
                <w:szCs w:val="18"/>
              </w:rPr>
            </w:pPr>
            <w:r>
              <w:rPr>
                <w:b/>
                <w:bCs/>
                <w:kern w:val="0"/>
                <w:sz w:val="18"/>
                <w:szCs w:val="18"/>
              </w:rPr>
              <w:t>设备名称</w:t>
            </w:r>
          </w:p>
        </w:tc>
        <w:tc>
          <w:tcPr>
            <w:tcW w:w="442" w:type="pct"/>
            <w:vMerge w:val="restart"/>
            <w:noWrap/>
            <w:vAlign w:val="center"/>
          </w:tcPr>
          <w:p>
            <w:pPr>
              <w:widowControl/>
              <w:jc w:val="center"/>
              <w:rPr>
                <w:b/>
                <w:bCs/>
                <w:kern w:val="0"/>
                <w:sz w:val="18"/>
                <w:szCs w:val="18"/>
              </w:rPr>
            </w:pPr>
            <w:r>
              <w:rPr>
                <w:b/>
                <w:bCs/>
                <w:kern w:val="0"/>
                <w:sz w:val="18"/>
                <w:szCs w:val="18"/>
              </w:rPr>
              <w:t>单位</w:t>
            </w:r>
          </w:p>
        </w:tc>
        <w:tc>
          <w:tcPr>
            <w:tcW w:w="399" w:type="pct"/>
            <w:vMerge w:val="restart"/>
            <w:noWrap/>
            <w:vAlign w:val="center"/>
          </w:tcPr>
          <w:p>
            <w:pPr>
              <w:widowControl/>
              <w:jc w:val="center"/>
              <w:rPr>
                <w:b/>
                <w:bCs/>
                <w:kern w:val="0"/>
                <w:sz w:val="18"/>
                <w:szCs w:val="18"/>
              </w:rPr>
            </w:pPr>
            <w:r>
              <w:rPr>
                <w:b/>
                <w:bCs/>
                <w:kern w:val="0"/>
                <w:sz w:val="18"/>
                <w:szCs w:val="18"/>
              </w:rPr>
              <w:t xml:space="preserve"> 数量 </w:t>
            </w:r>
          </w:p>
        </w:tc>
        <w:tc>
          <w:tcPr>
            <w:tcW w:w="607" w:type="pct"/>
            <w:vMerge w:val="restart"/>
            <w:noWrap/>
            <w:vAlign w:val="center"/>
          </w:tcPr>
          <w:p>
            <w:pPr>
              <w:widowControl/>
              <w:jc w:val="center"/>
              <w:rPr>
                <w:b/>
                <w:bCs/>
                <w:kern w:val="0"/>
                <w:sz w:val="18"/>
                <w:szCs w:val="18"/>
              </w:rPr>
            </w:pPr>
            <w:r>
              <w:rPr>
                <w:b/>
                <w:bCs/>
                <w:kern w:val="0"/>
                <w:sz w:val="18"/>
                <w:szCs w:val="18"/>
              </w:rPr>
              <w:t>单价（元）</w:t>
            </w:r>
          </w:p>
        </w:tc>
        <w:tc>
          <w:tcPr>
            <w:tcW w:w="683" w:type="pct"/>
            <w:vMerge w:val="restart"/>
            <w:noWrap/>
            <w:vAlign w:val="center"/>
          </w:tcPr>
          <w:p>
            <w:pPr>
              <w:widowControl/>
              <w:jc w:val="center"/>
              <w:rPr>
                <w:b/>
                <w:bCs/>
                <w:kern w:val="0"/>
                <w:sz w:val="18"/>
                <w:szCs w:val="18"/>
              </w:rPr>
            </w:pPr>
            <w:r>
              <w:rPr>
                <w:b/>
                <w:bCs/>
                <w:kern w:val="0"/>
                <w:sz w:val="18"/>
                <w:szCs w:val="18"/>
              </w:rPr>
              <w:t>总价（元）</w:t>
            </w:r>
          </w:p>
        </w:tc>
        <w:tc>
          <w:tcPr>
            <w:tcW w:w="456" w:type="pct"/>
            <w:vMerge w:val="restart"/>
            <w:noWrap w:val="0"/>
            <w:vAlign w:val="center"/>
          </w:tcPr>
          <w:p>
            <w:pPr>
              <w:widowControl/>
              <w:jc w:val="center"/>
              <w:rPr>
                <w:b/>
                <w:bCs/>
                <w:kern w:val="0"/>
                <w:sz w:val="18"/>
                <w:szCs w:val="18"/>
              </w:rPr>
            </w:pPr>
            <w:r>
              <w:rPr>
                <w:b/>
                <w:bCs/>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310" w:type="pct"/>
            <w:vMerge w:val="continue"/>
            <w:noWrap w:val="0"/>
            <w:vAlign w:val="center"/>
          </w:tcPr>
          <w:p>
            <w:pPr>
              <w:widowControl/>
              <w:jc w:val="left"/>
              <w:rPr>
                <w:b/>
                <w:bCs/>
                <w:kern w:val="0"/>
                <w:sz w:val="18"/>
                <w:szCs w:val="18"/>
              </w:rPr>
            </w:pPr>
          </w:p>
        </w:tc>
        <w:tc>
          <w:tcPr>
            <w:tcW w:w="2100" w:type="pct"/>
            <w:gridSpan w:val="2"/>
            <w:vMerge w:val="continue"/>
            <w:noWrap w:val="0"/>
            <w:vAlign w:val="center"/>
          </w:tcPr>
          <w:p>
            <w:pPr>
              <w:widowControl/>
              <w:jc w:val="left"/>
              <w:rPr>
                <w:b/>
                <w:bCs/>
                <w:kern w:val="0"/>
                <w:sz w:val="18"/>
                <w:szCs w:val="18"/>
              </w:rPr>
            </w:pPr>
          </w:p>
        </w:tc>
        <w:tc>
          <w:tcPr>
            <w:tcW w:w="442" w:type="pct"/>
            <w:vMerge w:val="continue"/>
            <w:noWrap w:val="0"/>
            <w:vAlign w:val="center"/>
          </w:tcPr>
          <w:p>
            <w:pPr>
              <w:widowControl/>
              <w:jc w:val="left"/>
              <w:rPr>
                <w:b/>
                <w:bCs/>
                <w:kern w:val="0"/>
                <w:sz w:val="18"/>
                <w:szCs w:val="18"/>
              </w:rPr>
            </w:pPr>
          </w:p>
        </w:tc>
        <w:tc>
          <w:tcPr>
            <w:tcW w:w="399" w:type="pct"/>
            <w:vMerge w:val="continue"/>
            <w:noWrap w:val="0"/>
            <w:vAlign w:val="center"/>
          </w:tcPr>
          <w:p>
            <w:pPr>
              <w:widowControl/>
              <w:jc w:val="left"/>
              <w:rPr>
                <w:b/>
                <w:bCs/>
                <w:kern w:val="0"/>
                <w:sz w:val="18"/>
                <w:szCs w:val="18"/>
              </w:rPr>
            </w:pPr>
          </w:p>
        </w:tc>
        <w:tc>
          <w:tcPr>
            <w:tcW w:w="607" w:type="pct"/>
            <w:vMerge w:val="continue"/>
            <w:noWrap w:val="0"/>
            <w:vAlign w:val="center"/>
          </w:tcPr>
          <w:p>
            <w:pPr>
              <w:widowControl/>
              <w:jc w:val="left"/>
              <w:rPr>
                <w:b/>
                <w:bCs/>
                <w:kern w:val="0"/>
                <w:sz w:val="18"/>
                <w:szCs w:val="18"/>
              </w:rPr>
            </w:pPr>
          </w:p>
        </w:tc>
        <w:tc>
          <w:tcPr>
            <w:tcW w:w="683" w:type="pct"/>
            <w:vMerge w:val="continue"/>
            <w:noWrap w:val="0"/>
            <w:vAlign w:val="center"/>
          </w:tcPr>
          <w:p>
            <w:pPr>
              <w:widowControl/>
              <w:jc w:val="left"/>
              <w:rPr>
                <w:b/>
                <w:bCs/>
                <w:kern w:val="0"/>
                <w:sz w:val="18"/>
                <w:szCs w:val="18"/>
              </w:rPr>
            </w:pPr>
          </w:p>
        </w:tc>
        <w:tc>
          <w:tcPr>
            <w:tcW w:w="456" w:type="pct"/>
            <w:vMerge w:val="continue"/>
            <w:noWrap w:val="0"/>
            <w:vAlign w:val="center"/>
          </w:tcPr>
          <w:p>
            <w:pPr>
              <w:widowControl/>
              <w:jc w:val="left"/>
              <w:rPr>
                <w:b/>
                <w:bCs/>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5000" w:type="pct"/>
            <w:gridSpan w:val="8"/>
            <w:noWrap w:val="0"/>
            <w:vAlign w:val="center"/>
          </w:tcPr>
          <w:p>
            <w:pPr>
              <w:widowControl/>
              <w:jc w:val="left"/>
              <w:rPr>
                <w:b/>
                <w:bCs/>
                <w:kern w:val="0"/>
                <w:sz w:val="18"/>
                <w:szCs w:val="18"/>
              </w:rPr>
            </w:pPr>
            <w:r>
              <w:rPr>
                <w:b/>
                <w:bCs/>
                <w:kern w:val="0"/>
                <w:sz w:val="18"/>
                <w:szCs w:val="18"/>
              </w:rPr>
              <w:t>一、建设期清单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1</w:t>
            </w:r>
          </w:p>
        </w:tc>
        <w:tc>
          <w:tcPr>
            <w:tcW w:w="2100" w:type="pct"/>
            <w:gridSpan w:val="2"/>
            <w:shd w:val="clear" w:color="000000" w:fill="FFFFFF"/>
            <w:noWrap w:val="0"/>
            <w:vAlign w:val="center"/>
          </w:tcPr>
          <w:p>
            <w:pPr>
              <w:widowControl/>
              <w:jc w:val="center"/>
              <w:rPr>
                <w:kern w:val="0"/>
                <w:sz w:val="18"/>
                <w:szCs w:val="18"/>
              </w:rPr>
            </w:pPr>
            <w:r>
              <w:rPr>
                <w:kern w:val="0"/>
                <w:sz w:val="18"/>
                <w:szCs w:val="18"/>
              </w:rPr>
              <w:t>400万星光级筒型网络摄像机</w:t>
            </w:r>
          </w:p>
        </w:tc>
        <w:tc>
          <w:tcPr>
            <w:tcW w:w="442" w:type="pct"/>
            <w:shd w:val="clear" w:color="000000" w:fill="FFFFFF"/>
            <w:noWrap/>
            <w:vAlign w:val="center"/>
          </w:tcPr>
          <w:p>
            <w:pPr>
              <w:widowControl/>
              <w:jc w:val="center"/>
              <w:rPr>
                <w:kern w:val="0"/>
                <w:sz w:val="18"/>
                <w:szCs w:val="18"/>
              </w:rPr>
            </w:pPr>
            <w:r>
              <w:rPr>
                <w:kern w:val="0"/>
                <w:sz w:val="18"/>
                <w:szCs w:val="18"/>
              </w:rPr>
              <w:t>台</w:t>
            </w:r>
          </w:p>
        </w:tc>
        <w:tc>
          <w:tcPr>
            <w:tcW w:w="399" w:type="pct"/>
            <w:shd w:val="clear" w:color="000000" w:fill="FFFFFF"/>
            <w:noWrap/>
            <w:vAlign w:val="center"/>
          </w:tcPr>
          <w:p>
            <w:pPr>
              <w:widowControl/>
              <w:jc w:val="center"/>
              <w:rPr>
                <w:kern w:val="0"/>
                <w:sz w:val="18"/>
                <w:szCs w:val="18"/>
              </w:rPr>
            </w:pPr>
            <w:r>
              <w:rPr>
                <w:kern w:val="0"/>
                <w:sz w:val="18"/>
                <w:szCs w:val="18"/>
              </w:rPr>
              <w:t>423</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2</w:t>
            </w:r>
          </w:p>
        </w:tc>
        <w:tc>
          <w:tcPr>
            <w:tcW w:w="2100" w:type="pct"/>
            <w:gridSpan w:val="2"/>
            <w:shd w:val="clear" w:color="000000" w:fill="FFFFFF"/>
            <w:noWrap w:val="0"/>
            <w:vAlign w:val="center"/>
          </w:tcPr>
          <w:p>
            <w:pPr>
              <w:widowControl/>
              <w:jc w:val="center"/>
              <w:rPr>
                <w:kern w:val="0"/>
                <w:sz w:val="18"/>
                <w:szCs w:val="18"/>
              </w:rPr>
            </w:pPr>
            <w:r>
              <w:rPr>
                <w:kern w:val="0"/>
                <w:sz w:val="18"/>
                <w:szCs w:val="18"/>
              </w:rPr>
              <w:t>400万高清智能球机</w:t>
            </w:r>
          </w:p>
        </w:tc>
        <w:tc>
          <w:tcPr>
            <w:tcW w:w="442" w:type="pct"/>
            <w:shd w:val="clear" w:color="000000" w:fill="FFFFFF"/>
            <w:noWrap/>
            <w:vAlign w:val="center"/>
          </w:tcPr>
          <w:p>
            <w:pPr>
              <w:widowControl/>
              <w:jc w:val="center"/>
              <w:rPr>
                <w:kern w:val="0"/>
                <w:sz w:val="18"/>
                <w:szCs w:val="18"/>
              </w:rPr>
            </w:pPr>
            <w:r>
              <w:rPr>
                <w:kern w:val="0"/>
                <w:sz w:val="18"/>
                <w:szCs w:val="18"/>
              </w:rPr>
              <w:t>台</w:t>
            </w:r>
          </w:p>
        </w:tc>
        <w:tc>
          <w:tcPr>
            <w:tcW w:w="399" w:type="pct"/>
            <w:shd w:val="clear" w:color="000000" w:fill="FFFFFF"/>
            <w:noWrap/>
            <w:vAlign w:val="center"/>
          </w:tcPr>
          <w:p>
            <w:pPr>
              <w:widowControl/>
              <w:jc w:val="center"/>
              <w:rPr>
                <w:kern w:val="0"/>
                <w:sz w:val="18"/>
                <w:szCs w:val="18"/>
              </w:rPr>
            </w:pPr>
            <w:r>
              <w:rPr>
                <w:kern w:val="0"/>
                <w:sz w:val="18"/>
                <w:szCs w:val="18"/>
              </w:rPr>
              <w:t>21</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3</w:t>
            </w:r>
          </w:p>
        </w:tc>
        <w:tc>
          <w:tcPr>
            <w:tcW w:w="2100" w:type="pct"/>
            <w:gridSpan w:val="2"/>
            <w:shd w:val="clear" w:color="000000" w:fill="FFFFFF"/>
            <w:noWrap w:val="0"/>
            <w:vAlign w:val="center"/>
          </w:tcPr>
          <w:p>
            <w:pPr>
              <w:widowControl/>
              <w:jc w:val="center"/>
              <w:rPr>
                <w:kern w:val="0"/>
                <w:sz w:val="18"/>
                <w:szCs w:val="18"/>
              </w:rPr>
            </w:pPr>
            <w:r>
              <w:rPr>
                <w:kern w:val="0"/>
                <w:sz w:val="18"/>
                <w:szCs w:val="18"/>
              </w:rPr>
              <w:t>900万环保人车一体机</w:t>
            </w:r>
          </w:p>
        </w:tc>
        <w:tc>
          <w:tcPr>
            <w:tcW w:w="442" w:type="pct"/>
            <w:shd w:val="clear" w:color="000000" w:fill="FFFFFF"/>
            <w:noWrap/>
            <w:vAlign w:val="center"/>
          </w:tcPr>
          <w:p>
            <w:pPr>
              <w:widowControl/>
              <w:jc w:val="center"/>
              <w:rPr>
                <w:kern w:val="0"/>
                <w:sz w:val="18"/>
                <w:szCs w:val="18"/>
              </w:rPr>
            </w:pPr>
            <w:r>
              <w:rPr>
                <w:kern w:val="0"/>
                <w:sz w:val="18"/>
                <w:szCs w:val="18"/>
              </w:rPr>
              <w:t>台</w:t>
            </w:r>
          </w:p>
        </w:tc>
        <w:tc>
          <w:tcPr>
            <w:tcW w:w="399" w:type="pct"/>
            <w:shd w:val="clear" w:color="000000" w:fill="FFFFFF"/>
            <w:noWrap/>
            <w:vAlign w:val="center"/>
          </w:tcPr>
          <w:p>
            <w:pPr>
              <w:widowControl/>
              <w:jc w:val="center"/>
              <w:rPr>
                <w:kern w:val="0"/>
                <w:sz w:val="18"/>
                <w:szCs w:val="18"/>
              </w:rPr>
            </w:pPr>
            <w:r>
              <w:rPr>
                <w:kern w:val="0"/>
                <w:sz w:val="18"/>
                <w:szCs w:val="18"/>
              </w:rPr>
              <w:t>60</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4</w:t>
            </w:r>
          </w:p>
        </w:tc>
        <w:tc>
          <w:tcPr>
            <w:tcW w:w="2100" w:type="pct"/>
            <w:gridSpan w:val="2"/>
            <w:shd w:val="clear" w:color="000000" w:fill="FFFFFF"/>
            <w:noWrap w:val="0"/>
            <w:vAlign w:val="center"/>
          </w:tcPr>
          <w:p>
            <w:pPr>
              <w:widowControl/>
              <w:jc w:val="center"/>
              <w:rPr>
                <w:kern w:val="0"/>
                <w:sz w:val="18"/>
                <w:szCs w:val="18"/>
              </w:rPr>
            </w:pPr>
            <w:r>
              <w:rPr>
                <w:kern w:val="0"/>
                <w:sz w:val="18"/>
                <w:szCs w:val="18"/>
              </w:rPr>
              <w:t>爆闪灯</w:t>
            </w:r>
          </w:p>
        </w:tc>
        <w:tc>
          <w:tcPr>
            <w:tcW w:w="442" w:type="pct"/>
            <w:shd w:val="clear" w:color="000000" w:fill="FFFFFF"/>
            <w:noWrap/>
            <w:vAlign w:val="center"/>
          </w:tcPr>
          <w:p>
            <w:pPr>
              <w:widowControl/>
              <w:jc w:val="center"/>
              <w:rPr>
                <w:kern w:val="0"/>
                <w:sz w:val="18"/>
                <w:szCs w:val="18"/>
              </w:rPr>
            </w:pPr>
            <w:r>
              <w:rPr>
                <w:kern w:val="0"/>
                <w:sz w:val="18"/>
                <w:szCs w:val="18"/>
              </w:rPr>
              <w:t>台</w:t>
            </w:r>
          </w:p>
        </w:tc>
        <w:tc>
          <w:tcPr>
            <w:tcW w:w="399" w:type="pct"/>
            <w:shd w:val="clear" w:color="000000" w:fill="FFFFFF"/>
            <w:noWrap/>
            <w:vAlign w:val="center"/>
          </w:tcPr>
          <w:p>
            <w:pPr>
              <w:widowControl/>
              <w:jc w:val="center"/>
              <w:rPr>
                <w:kern w:val="0"/>
                <w:sz w:val="18"/>
                <w:szCs w:val="18"/>
              </w:rPr>
            </w:pPr>
            <w:r>
              <w:rPr>
                <w:kern w:val="0"/>
                <w:sz w:val="18"/>
                <w:szCs w:val="18"/>
              </w:rPr>
              <w:t>120</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5</w:t>
            </w:r>
          </w:p>
        </w:tc>
        <w:tc>
          <w:tcPr>
            <w:tcW w:w="2100" w:type="pct"/>
            <w:gridSpan w:val="2"/>
            <w:shd w:val="clear" w:color="000000" w:fill="FFFFFF"/>
            <w:noWrap w:val="0"/>
            <w:vAlign w:val="center"/>
          </w:tcPr>
          <w:p>
            <w:pPr>
              <w:widowControl/>
              <w:jc w:val="center"/>
              <w:rPr>
                <w:kern w:val="0"/>
                <w:sz w:val="18"/>
                <w:szCs w:val="18"/>
              </w:rPr>
            </w:pPr>
            <w:r>
              <w:rPr>
                <w:kern w:val="0"/>
                <w:sz w:val="18"/>
                <w:szCs w:val="18"/>
              </w:rPr>
              <w:t>恒定补光灯</w:t>
            </w:r>
          </w:p>
        </w:tc>
        <w:tc>
          <w:tcPr>
            <w:tcW w:w="442" w:type="pct"/>
            <w:shd w:val="clear" w:color="000000" w:fill="FFFFFF"/>
            <w:noWrap/>
            <w:vAlign w:val="center"/>
          </w:tcPr>
          <w:p>
            <w:pPr>
              <w:widowControl/>
              <w:jc w:val="center"/>
              <w:rPr>
                <w:kern w:val="0"/>
                <w:sz w:val="18"/>
                <w:szCs w:val="18"/>
              </w:rPr>
            </w:pPr>
            <w:r>
              <w:rPr>
                <w:kern w:val="0"/>
                <w:sz w:val="18"/>
                <w:szCs w:val="18"/>
              </w:rPr>
              <w:t>台</w:t>
            </w:r>
          </w:p>
        </w:tc>
        <w:tc>
          <w:tcPr>
            <w:tcW w:w="399" w:type="pct"/>
            <w:shd w:val="clear" w:color="000000" w:fill="FFFFFF"/>
            <w:noWrap/>
            <w:vAlign w:val="center"/>
          </w:tcPr>
          <w:p>
            <w:pPr>
              <w:widowControl/>
              <w:jc w:val="center"/>
              <w:rPr>
                <w:kern w:val="0"/>
                <w:sz w:val="18"/>
                <w:szCs w:val="18"/>
              </w:rPr>
            </w:pPr>
            <w:r>
              <w:rPr>
                <w:kern w:val="0"/>
                <w:sz w:val="18"/>
                <w:szCs w:val="18"/>
              </w:rPr>
              <w:t>504</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6</w:t>
            </w:r>
          </w:p>
        </w:tc>
        <w:tc>
          <w:tcPr>
            <w:tcW w:w="2100" w:type="pct"/>
            <w:gridSpan w:val="2"/>
            <w:shd w:val="clear" w:color="000000" w:fill="FFFFFF"/>
            <w:noWrap w:val="0"/>
            <w:vAlign w:val="center"/>
          </w:tcPr>
          <w:p>
            <w:pPr>
              <w:widowControl/>
              <w:jc w:val="center"/>
              <w:rPr>
                <w:kern w:val="0"/>
                <w:sz w:val="18"/>
                <w:szCs w:val="18"/>
              </w:rPr>
            </w:pPr>
            <w:r>
              <w:rPr>
                <w:kern w:val="0"/>
                <w:sz w:val="18"/>
                <w:szCs w:val="18"/>
              </w:rPr>
              <w:t>云存储管理节点</w:t>
            </w:r>
          </w:p>
        </w:tc>
        <w:tc>
          <w:tcPr>
            <w:tcW w:w="442" w:type="pct"/>
            <w:shd w:val="clear" w:color="000000" w:fill="FFFFFF"/>
            <w:noWrap/>
            <w:vAlign w:val="center"/>
          </w:tcPr>
          <w:p>
            <w:pPr>
              <w:widowControl/>
              <w:jc w:val="center"/>
              <w:rPr>
                <w:kern w:val="0"/>
                <w:sz w:val="18"/>
                <w:szCs w:val="18"/>
              </w:rPr>
            </w:pPr>
            <w:r>
              <w:rPr>
                <w:kern w:val="0"/>
                <w:sz w:val="18"/>
                <w:szCs w:val="18"/>
              </w:rPr>
              <w:t>台</w:t>
            </w:r>
          </w:p>
        </w:tc>
        <w:tc>
          <w:tcPr>
            <w:tcW w:w="399" w:type="pct"/>
            <w:shd w:val="clear" w:color="000000" w:fill="FFFFFF"/>
            <w:noWrap/>
            <w:vAlign w:val="center"/>
          </w:tcPr>
          <w:p>
            <w:pPr>
              <w:widowControl/>
              <w:jc w:val="center"/>
              <w:rPr>
                <w:kern w:val="0"/>
                <w:sz w:val="18"/>
                <w:szCs w:val="18"/>
              </w:rPr>
            </w:pPr>
            <w:r>
              <w:rPr>
                <w:kern w:val="0"/>
                <w:sz w:val="18"/>
                <w:szCs w:val="18"/>
              </w:rPr>
              <w:t>3</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7</w:t>
            </w:r>
          </w:p>
        </w:tc>
        <w:tc>
          <w:tcPr>
            <w:tcW w:w="2100" w:type="pct"/>
            <w:gridSpan w:val="2"/>
            <w:shd w:val="clear" w:color="000000" w:fill="FFFFFF"/>
            <w:noWrap w:val="0"/>
            <w:vAlign w:val="center"/>
          </w:tcPr>
          <w:p>
            <w:pPr>
              <w:widowControl/>
              <w:jc w:val="center"/>
              <w:rPr>
                <w:kern w:val="0"/>
                <w:sz w:val="18"/>
                <w:szCs w:val="18"/>
              </w:rPr>
            </w:pPr>
            <w:r>
              <w:rPr>
                <w:kern w:val="0"/>
                <w:sz w:val="18"/>
                <w:szCs w:val="18"/>
              </w:rPr>
              <w:t>800万人脸抓拍机</w:t>
            </w:r>
          </w:p>
        </w:tc>
        <w:tc>
          <w:tcPr>
            <w:tcW w:w="442" w:type="pct"/>
            <w:shd w:val="clear" w:color="000000" w:fill="FFFFFF"/>
            <w:noWrap/>
            <w:vAlign w:val="center"/>
          </w:tcPr>
          <w:p>
            <w:pPr>
              <w:widowControl/>
              <w:jc w:val="center"/>
              <w:rPr>
                <w:kern w:val="0"/>
                <w:sz w:val="18"/>
                <w:szCs w:val="18"/>
              </w:rPr>
            </w:pPr>
            <w:r>
              <w:rPr>
                <w:kern w:val="0"/>
                <w:sz w:val="18"/>
                <w:szCs w:val="18"/>
              </w:rPr>
              <w:t>台</w:t>
            </w:r>
          </w:p>
        </w:tc>
        <w:tc>
          <w:tcPr>
            <w:tcW w:w="399" w:type="pct"/>
            <w:shd w:val="clear" w:color="000000" w:fill="FFFFFF"/>
            <w:noWrap/>
            <w:vAlign w:val="center"/>
          </w:tcPr>
          <w:p>
            <w:pPr>
              <w:widowControl/>
              <w:jc w:val="center"/>
              <w:rPr>
                <w:kern w:val="0"/>
                <w:sz w:val="18"/>
                <w:szCs w:val="18"/>
              </w:rPr>
            </w:pPr>
            <w:r>
              <w:rPr>
                <w:kern w:val="0"/>
                <w:sz w:val="18"/>
                <w:szCs w:val="18"/>
              </w:rPr>
              <w:t>686</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8</w:t>
            </w:r>
          </w:p>
        </w:tc>
        <w:tc>
          <w:tcPr>
            <w:tcW w:w="2100" w:type="pct"/>
            <w:gridSpan w:val="2"/>
            <w:shd w:val="clear" w:color="000000" w:fill="FFFFFF"/>
            <w:noWrap w:val="0"/>
            <w:vAlign w:val="center"/>
          </w:tcPr>
          <w:p>
            <w:pPr>
              <w:widowControl/>
              <w:jc w:val="center"/>
              <w:rPr>
                <w:kern w:val="0"/>
                <w:sz w:val="18"/>
                <w:szCs w:val="18"/>
              </w:rPr>
            </w:pPr>
            <w:r>
              <w:rPr>
                <w:kern w:val="0"/>
                <w:sz w:val="18"/>
                <w:szCs w:val="18"/>
              </w:rPr>
              <w:t>双镜头智能人脸抓拍机</w:t>
            </w:r>
          </w:p>
        </w:tc>
        <w:tc>
          <w:tcPr>
            <w:tcW w:w="442" w:type="pct"/>
            <w:shd w:val="clear" w:color="auto" w:fill="auto"/>
            <w:noWrap/>
            <w:vAlign w:val="center"/>
          </w:tcPr>
          <w:p>
            <w:pPr>
              <w:widowControl/>
              <w:jc w:val="center"/>
              <w:rPr>
                <w:kern w:val="0"/>
                <w:sz w:val="18"/>
                <w:szCs w:val="18"/>
              </w:rPr>
            </w:pPr>
            <w:r>
              <w:rPr>
                <w:kern w:val="0"/>
                <w:sz w:val="18"/>
                <w:szCs w:val="18"/>
              </w:rPr>
              <w:t>台</w:t>
            </w:r>
          </w:p>
        </w:tc>
        <w:tc>
          <w:tcPr>
            <w:tcW w:w="399" w:type="pct"/>
            <w:shd w:val="clear" w:color="auto" w:fill="auto"/>
            <w:noWrap/>
            <w:vAlign w:val="center"/>
          </w:tcPr>
          <w:p>
            <w:pPr>
              <w:widowControl/>
              <w:jc w:val="center"/>
              <w:rPr>
                <w:kern w:val="0"/>
                <w:sz w:val="18"/>
                <w:szCs w:val="18"/>
              </w:rPr>
            </w:pPr>
            <w:r>
              <w:rPr>
                <w:kern w:val="0"/>
                <w:sz w:val="18"/>
                <w:szCs w:val="18"/>
              </w:rPr>
              <w:t>220</w:t>
            </w:r>
          </w:p>
        </w:tc>
        <w:tc>
          <w:tcPr>
            <w:tcW w:w="607" w:type="pct"/>
            <w:shd w:val="clear" w:color="auto" w:fill="auto"/>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9</w:t>
            </w:r>
          </w:p>
        </w:tc>
        <w:tc>
          <w:tcPr>
            <w:tcW w:w="2100" w:type="pct"/>
            <w:gridSpan w:val="2"/>
            <w:shd w:val="clear" w:color="000000" w:fill="FFFFFF"/>
            <w:noWrap w:val="0"/>
            <w:vAlign w:val="center"/>
          </w:tcPr>
          <w:p>
            <w:pPr>
              <w:widowControl/>
              <w:jc w:val="center"/>
              <w:rPr>
                <w:kern w:val="0"/>
                <w:sz w:val="18"/>
                <w:szCs w:val="18"/>
              </w:rPr>
            </w:pPr>
            <w:r>
              <w:rPr>
                <w:kern w:val="0"/>
                <w:sz w:val="18"/>
                <w:szCs w:val="18"/>
              </w:rPr>
              <w:t>900万人车一体机</w:t>
            </w:r>
          </w:p>
        </w:tc>
        <w:tc>
          <w:tcPr>
            <w:tcW w:w="442" w:type="pct"/>
            <w:shd w:val="clear" w:color="auto" w:fill="auto"/>
            <w:noWrap/>
            <w:vAlign w:val="center"/>
          </w:tcPr>
          <w:p>
            <w:pPr>
              <w:widowControl/>
              <w:jc w:val="center"/>
              <w:rPr>
                <w:kern w:val="0"/>
                <w:sz w:val="18"/>
                <w:szCs w:val="18"/>
              </w:rPr>
            </w:pPr>
            <w:r>
              <w:rPr>
                <w:kern w:val="0"/>
                <w:sz w:val="18"/>
                <w:szCs w:val="18"/>
              </w:rPr>
              <w:t>台</w:t>
            </w:r>
          </w:p>
        </w:tc>
        <w:tc>
          <w:tcPr>
            <w:tcW w:w="399" w:type="pct"/>
            <w:shd w:val="clear" w:color="auto" w:fill="auto"/>
            <w:noWrap/>
            <w:vAlign w:val="center"/>
          </w:tcPr>
          <w:p>
            <w:pPr>
              <w:widowControl/>
              <w:jc w:val="center"/>
              <w:rPr>
                <w:kern w:val="0"/>
                <w:sz w:val="18"/>
                <w:szCs w:val="18"/>
              </w:rPr>
            </w:pPr>
            <w:r>
              <w:rPr>
                <w:kern w:val="0"/>
                <w:sz w:val="18"/>
                <w:szCs w:val="18"/>
              </w:rPr>
              <w:t>217</w:t>
            </w:r>
          </w:p>
        </w:tc>
        <w:tc>
          <w:tcPr>
            <w:tcW w:w="607" w:type="pct"/>
            <w:shd w:val="clear" w:color="auto" w:fill="auto"/>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10</w:t>
            </w:r>
          </w:p>
        </w:tc>
        <w:tc>
          <w:tcPr>
            <w:tcW w:w="2100" w:type="pct"/>
            <w:gridSpan w:val="2"/>
            <w:shd w:val="clear" w:color="000000" w:fill="FFFFFF"/>
            <w:noWrap w:val="0"/>
            <w:vAlign w:val="center"/>
          </w:tcPr>
          <w:p>
            <w:pPr>
              <w:widowControl/>
              <w:jc w:val="center"/>
              <w:rPr>
                <w:kern w:val="0"/>
                <w:sz w:val="18"/>
                <w:szCs w:val="18"/>
              </w:rPr>
            </w:pPr>
            <w:r>
              <w:rPr>
                <w:kern w:val="0"/>
                <w:sz w:val="18"/>
                <w:szCs w:val="18"/>
              </w:rPr>
              <w:t>全景动态人脸抓拍</w:t>
            </w:r>
          </w:p>
        </w:tc>
        <w:tc>
          <w:tcPr>
            <w:tcW w:w="442" w:type="pct"/>
            <w:shd w:val="clear" w:color="000000" w:fill="FFFFFF"/>
            <w:noWrap/>
            <w:vAlign w:val="center"/>
          </w:tcPr>
          <w:p>
            <w:pPr>
              <w:widowControl/>
              <w:jc w:val="center"/>
              <w:rPr>
                <w:kern w:val="0"/>
                <w:sz w:val="18"/>
                <w:szCs w:val="18"/>
              </w:rPr>
            </w:pPr>
            <w:r>
              <w:rPr>
                <w:kern w:val="0"/>
                <w:sz w:val="18"/>
                <w:szCs w:val="18"/>
              </w:rPr>
              <w:t>台</w:t>
            </w:r>
          </w:p>
        </w:tc>
        <w:tc>
          <w:tcPr>
            <w:tcW w:w="399" w:type="pct"/>
            <w:shd w:val="clear" w:color="000000" w:fill="FFFFFF"/>
            <w:noWrap/>
            <w:vAlign w:val="center"/>
          </w:tcPr>
          <w:p>
            <w:pPr>
              <w:widowControl/>
              <w:jc w:val="center"/>
              <w:rPr>
                <w:kern w:val="0"/>
                <w:sz w:val="18"/>
                <w:szCs w:val="18"/>
              </w:rPr>
            </w:pPr>
            <w:r>
              <w:rPr>
                <w:kern w:val="0"/>
                <w:sz w:val="18"/>
                <w:szCs w:val="18"/>
              </w:rPr>
              <w:t>7</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11</w:t>
            </w:r>
          </w:p>
        </w:tc>
        <w:tc>
          <w:tcPr>
            <w:tcW w:w="2100" w:type="pct"/>
            <w:gridSpan w:val="2"/>
            <w:shd w:val="clear" w:color="000000" w:fill="FFFFFF"/>
            <w:noWrap w:val="0"/>
            <w:vAlign w:val="center"/>
          </w:tcPr>
          <w:p>
            <w:pPr>
              <w:widowControl/>
              <w:jc w:val="center"/>
              <w:rPr>
                <w:kern w:val="0"/>
                <w:sz w:val="18"/>
                <w:szCs w:val="18"/>
              </w:rPr>
            </w:pPr>
            <w:r>
              <w:rPr>
                <w:kern w:val="0"/>
                <w:sz w:val="18"/>
                <w:szCs w:val="18"/>
              </w:rPr>
              <w:t>爆闪灯</w:t>
            </w:r>
          </w:p>
        </w:tc>
        <w:tc>
          <w:tcPr>
            <w:tcW w:w="442" w:type="pct"/>
            <w:shd w:val="clear" w:color="000000" w:fill="FFFFFF"/>
            <w:noWrap/>
            <w:vAlign w:val="center"/>
          </w:tcPr>
          <w:p>
            <w:pPr>
              <w:widowControl/>
              <w:jc w:val="center"/>
              <w:rPr>
                <w:kern w:val="0"/>
                <w:sz w:val="18"/>
                <w:szCs w:val="18"/>
              </w:rPr>
            </w:pPr>
            <w:r>
              <w:rPr>
                <w:kern w:val="0"/>
                <w:sz w:val="18"/>
                <w:szCs w:val="18"/>
              </w:rPr>
              <w:t>台</w:t>
            </w:r>
          </w:p>
        </w:tc>
        <w:tc>
          <w:tcPr>
            <w:tcW w:w="399" w:type="pct"/>
            <w:shd w:val="clear" w:color="000000" w:fill="FFFFFF"/>
            <w:noWrap/>
            <w:vAlign w:val="center"/>
          </w:tcPr>
          <w:p>
            <w:pPr>
              <w:widowControl/>
              <w:jc w:val="center"/>
              <w:rPr>
                <w:kern w:val="0"/>
                <w:sz w:val="18"/>
                <w:szCs w:val="18"/>
              </w:rPr>
            </w:pPr>
            <w:r>
              <w:rPr>
                <w:kern w:val="0"/>
                <w:sz w:val="18"/>
                <w:szCs w:val="18"/>
              </w:rPr>
              <w:t>434</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12</w:t>
            </w:r>
          </w:p>
        </w:tc>
        <w:tc>
          <w:tcPr>
            <w:tcW w:w="2100" w:type="pct"/>
            <w:gridSpan w:val="2"/>
            <w:shd w:val="clear" w:color="000000" w:fill="FFFFFF"/>
            <w:noWrap w:val="0"/>
            <w:vAlign w:val="center"/>
          </w:tcPr>
          <w:p>
            <w:pPr>
              <w:widowControl/>
              <w:jc w:val="center"/>
              <w:rPr>
                <w:kern w:val="0"/>
                <w:sz w:val="18"/>
                <w:szCs w:val="18"/>
              </w:rPr>
            </w:pPr>
            <w:r>
              <w:rPr>
                <w:kern w:val="0"/>
                <w:sz w:val="18"/>
                <w:szCs w:val="18"/>
              </w:rPr>
              <w:t>补光灯</w:t>
            </w:r>
          </w:p>
        </w:tc>
        <w:tc>
          <w:tcPr>
            <w:tcW w:w="442" w:type="pct"/>
            <w:shd w:val="clear" w:color="000000" w:fill="FFFFFF"/>
            <w:noWrap/>
            <w:vAlign w:val="center"/>
          </w:tcPr>
          <w:p>
            <w:pPr>
              <w:widowControl/>
              <w:jc w:val="center"/>
              <w:rPr>
                <w:kern w:val="0"/>
                <w:sz w:val="18"/>
                <w:szCs w:val="18"/>
              </w:rPr>
            </w:pPr>
            <w:r>
              <w:rPr>
                <w:kern w:val="0"/>
                <w:sz w:val="18"/>
                <w:szCs w:val="18"/>
              </w:rPr>
              <w:t>台</w:t>
            </w:r>
          </w:p>
        </w:tc>
        <w:tc>
          <w:tcPr>
            <w:tcW w:w="399" w:type="pct"/>
            <w:shd w:val="clear" w:color="000000" w:fill="FFFFFF"/>
            <w:noWrap/>
            <w:vAlign w:val="center"/>
          </w:tcPr>
          <w:p>
            <w:pPr>
              <w:widowControl/>
              <w:jc w:val="center"/>
              <w:rPr>
                <w:kern w:val="0"/>
                <w:sz w:val="18"/>
                <w:szCs w:val="18"/>
              </w:rPr>
            </w:pPr>
            <w:r>
              <w:rPr>
                <w:kern w:val="0"/>
                <w:sz w:val="18"/>
                <w:szCs w:val="18"/>
              </w:rPr>
              <w:t>1130</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13</w:t>
            </w:r>
          </w:p>
        </w:tc>
        <w:tc>
          <w:tcPr>
            <w:tcW w:w="2100" w:type="pct"/>
            <w:gridSpan w:val="2"/>
            <w:shd w:val="clear" w:color="000000" w:fill="FFFFFF"/>
            <w:noWrap w:val="0"/>
            <w:vAlign w:val="center"/>
          </w:tcPr>
          <w:p>
            <w:pPr>
              <w:widowControl/>
              <w:jc w:val="center"/>
              <w:rPr>
                <w:kern w:val="0"/>
                <w:sz w:val="18"/>
                <w:szCs w:val="18"/>
              </w:rPr>
            </w:pPr>
            <w:r>
              <w:rPr>
                <w:kern w:val="0"/>
                <w:sz w:val="18"/>
                <w:szCs w:val="18"/>
              </w:rPr>
              <w:t>人脸监控立杆及预埋件</w:t>
            </w:r>
          </w:p>
        </w:tc>
        <w:tc>
          <w:tcPr>
            <w:tcW w:w="442" w:type="pct"/>
            <w:shd w:val="clear" w:color="000000" w:fill="FFFFFF"/>
            <w:noWrap/>
            <w:vAlign w:val="center"/>
          </w:tcPr>
          <w:p>
            <w:pPr>
              <w:widowControl/>
              <w:jc w:val="center"/>
              <w:rPr>
                <w:kern w:val="0"/>
                <w:sz w:val="18"/>
                <w:szCs w:val="18"/>
              </w:rPr>
            </w:pPr>
            <w:r>
              <w:rPr>
                <w:kern w:val="0"/>
                <w:sz w:val="18"/>
                <w:szCs w:val="18"/>
              </w:rPr>
              <w:t>套</w:t>
            </w:r>
          </w:p>
        </w:tc>
        <w:tc>
          <w:tcPr>
            <w:tcW w:w="399" w:type="pct"/>
            <w:shd w:val="clear" w:color="000000" w:fill="FFFFFF"/>
            <w:noWrap/>
            <w:vAlign w:val="center"/>
          </w:tcPr>
          <w:p>
            <w:pPr>
              <w:widowControl/>
              <w:jc w:val="center"/>
              <w:rPr>
                <w:kern w:val="0"/>
                <w:sz w:val="18"/>
                <w:szCs w:val="18"/>
              </w:rPr>
            </w:pPr>
            <w:r>
              <w:rPr>
                <w:kern w:val="0"/>
                <w:sz w:val="18"/>
                <w:szCs w:val="18"/>
              </w:rPr>
              <w:t>465</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14</w:t>
            </w:r>
          </w:p>
        </w:tc>
        <w:tc>
          <w:tcPr>
            <w:tcW w:w="2100" w:type="pct"/>
            <w:gridSpan w:val="2"/>
            <w:shd w:val="clear" w:color="000000" w:fill="FFFFFF"/>
            <w:noWrap w:val="0"/>
            <w:vAlign w:val="center"/>
          </w:tcPr>
          <w:p>
            <w:pPr>
              <w:widowControl/>
              <w:jc w:val="center"/>
              <w:rPr>
                <w:kern w:val="0"/>
                <w:sz w:val="18"/>
                <w:szCs w:val="18"/>
              </w:rPr>
            </w:pPr>
            <w:r>
              <w:rPr>
                <w:kern w:val="0"/>
                <w:sz w:val="18"/>
                <w:szCs w:val="18"/>
              </w:rPr>
              <w:t>人脸监控基础开挖与浇筑</w:t>
            </w:r>
          </w:p>
        </w:tc>
        <w:tc>
          <w:tcPr>
            <w:tcW w:w="442" w:type="pct"/>
            <w:shd w:val="clear" w:color="auto" w:fill="auto"/>
            <w:noWrap/>
            <w:vAlign w:val="center"/>
          </w:tcPr>
          <w:p>
            <w:pPr>
              <w:widowControl/>
              <w:jc w:val="center"/>
              <w:rPr>
                <w:kern w:val="0"/>
                <w:sz w:val="18"/>
                <w:szCs w:val="18"/>
              </w:rPr>
            </w:pPr>
            <w:r>
              <w:rPr>
                <w:kern w:val="0"/>
                <w:sz w:val="18"/>
                <w:szCs w:val="18"/>
              </w:rPr>
              <w:t>套</w:t>
            </w:r>
          </w:p>
        </w:tc>
        <w:tc>
          <w:tcPr>
            <w:tcW w:w="399" w:type="pct"/>
            <w:shd w:val="clear" w:color="auto" w:fill="auto"/>
            <w:noWrap/>
            <w:vAlign w:val="center"/>
          </w:tcPr>
          <w:p>
            <w:pPr>
              <w:widowControl/>
              <w:jc w:val="center"/>
              <w:rPr>
                <w:kern w:val="0"/>
                <w:sz w:val="18"/>
                <w:szCs w:val="18"/>
              </w:rPr>
            </w:pPr>
            <w:r>
              <w:rPr>
                <w:kern w:val="0"/>
                <w:sz w:val="18"/>
                <w:szCs w:val="18"/>
              </w:rPr>
              <w:t>465</w:t>
            </w:r>
          </w:p>
        </w:tc>
        <w:tc>
          <w:tcPr>
            <w:tcW w:w="607" w:type="pct"/>
            <w:shd w:val="clear" w:color="auto" w:fill="auto"/>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15</w:t>
            </w:r>
          </w:p>
        </w:tc>
        <w:tc>
          <w:tcPr>
            <w:tcW w:w="2100" w:type="pct"/>
            <w:gridSpan w:val="2"/>
            <w:shd w:val="clear" w:color="000000" w:fill="FFFFFF"/>
            <w:noWrap w:val="0"/>
            <w:vAlign w:val="center"/>
          </w:tcPr>
          <w:p>
            <w:pPr>
              <w:widowControl/>
              <w:jc w:val="center"/>
              <w:rPr>
                <w:kern w:val="0"/>
                <w:sz w:val="18"/>
                <w:szCs w:val="18"/>
              </w:rPr>
            </w:pPr>
            <w:r>
              <w:rPr>
                <w:kern w:val="0"/>
                <w:sz w:val="18"/>
                <w:szCs w:val="18"/>
              </w:rPr>
              <w:t>人车卡口杆件及预埋件</w:t>
            </w:r>
          </w:p>
        </w:tc>
        <w:tc>
          <w:tcPr>
            <w:tcW w:w="442" w:type="pct"/>
            <w:shd w:val="clear" w:color="000000" w:fill="FFFFFF"/>
            <w:noWrap/>
            <w:vAlign w:val="center"/>
          </w:tcPr>
          <w:p>
            <w:pPr>
              <w:widowControl/>
              <w:jc w:val="center"/>
              <w:rPr>
                <w:kern w:val="0"/>
                <w:sz w:val="18"/>
                <w:szCs w:val="18"/>
              </w:rPr>
            </w:pPr>
            <w:r>
              <w:rPr>
                <w:kern w:val="0"/>
                <w:sz w:val="18"/>
                <w:szCs w:val="18"/>
              </w:rPr>
              <w:t>套</w:t>
            </w:r>
          </w:p>
        </w:tc>
        <w:tc>
          <w:tcPr>
            <w:tcW w:w="399" w:type="pct"/>
            <w:shd w:val="clear" w:color="000000" w:fill="FFFFFF"/>
            <w:noWrap/>
            <w:vAlign w:val="center"/>
          </w:tcPr>
          <w:p>
            <w:pPr>
              <w:widowControl/>
              <w:jc w:val="center"/>
              <w:rPr>
                <w:kern w:val="0"/>
                <w:sz w:val="18"/>
                <w:szCs w:val="18"/>
              </w:rPr>
            </w:pPr>
            <w:r>
              <w:rPr>
                <w:kern w:val="0"/>
                <w:sz w:val="18"/>
                <w:szCs w:val="18"/>
              </w:rPr>
              <w:t>70</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16</w:t>
            </w:r>
          </w:p>
        </w:tc>
        <w:tc>
          <w:tcPr>
            <w:tcW w:w="2100" w:type="pct"/>
            <w:gridSpan w:val="2"/>
            <w:shd w:val="clear" w:color="000000" w:fill="FFFFFF"/>
            <w:noWrap w:val="0"/>
            <w:vAlign w:val="center"/>
          </w:tcPr>
          <w:p>
            <w:pPr>
              <w:widowControl/>
              <w:jc w:val="center"/>
              <w:rPr>
                <w:kern w:val="0"/>
                <w:sz w:val="18"/>
                <w:szCs w:val="18"/>
              </w:rPr>
            </w:pPr>
            <w:r>
              <w:rPr>
                <w:kern w:val="0"/>
                <w:sz w:val="18"/>
                <w:szCs w:val="18"/>
              </w:rPr>
              <w:t>人车卡口基础开挖与浇筑</w:t>
            </w:r>
          </w:p>
        </w:tc>
        <w:tc>
          <w:tcPr>
            <w:tcW w:w="442" w:type="pct"/>
            <w:shd w:val="clear" w:color="000000" w:fill="FFFFFF"/>
            <w:noWrap/>
            <w:vAlign w:val="center"/>
          </w:tcPr>
          <w:p>
            <w:pPr>
              <w:widowControl/>
              <w:jc w:val="center"/>
              <w:rPr>
                <w:kern w:val="0"/>
                <w:sz w:val="18"/>
                <w:szCs w:val="18"/>
              </w:rPr>
            </w:pPr>
            <w:r>
              <w:rPr>
                <w:kern w:val="0"/>
                <w:sz w:val="18"/>
                <w:szCs w:val="18"/>
              </w:rPr>
              <w:t>套</w:t>
            </w:r>
          </w:p>
        </w:tc>
        <w:tc>
          <w:tcPr>
            <w:tcW w:w="399" w:type="pct"/>
            <w:shd w:val="clear" w:color="000000" w:fill="FFFFFF"/>
            <w:noWrap/>
            <w:vAlign w:val="center"/>
          </w:tcPr>
          <w:p>
            <w:pPr>
              <w:widowControl/>
              <w:jc w:val="center"/>
              <w:rPr>
                <w:kern w:val="0"/>
                <w:sz w:val="18"/>
                <w:szCs w:val="18"/>
              </w:rPr>
            </w:pPr>
            <w:r>
              <w:rPr>
                <w:kern w:val="0"/>
                <w:sz w:val="18"/>
                <w:szCs w:val="18"/>
              </w:rPr>
              <w:t>70</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17</w:t>
            </w:r>
          </w:p>
        </w:tc>
        <w:tc>
          <w:tcPr>
            <w:tcW w:w="2100" w:type="pct"/>
            <w:gridSpan w:val="2"/>
            <w:shd w:val="clear" w:color="000000" w:fill="FFFFFF"/>
            <w:noWrap w:val="0"/>
            <w:vAlign w:val="center"/>
          </w:tcPr>
          <w:p>
            <w:pPr>
              <w:widowControl/>
              <w:jc w:val="center"/>
              <w:rPr>
                <w:kern w:val="0"/>
                <w:sz w:val="18"/>
                <w:szCs w:val="18"/>
              </w:rPr>
            </w:pPr>
            <w:r>
              <w:rPr>
                <w:kern w:val="0"/>
                <w:sz w:val="18"/>
                <w:szCs w:val="18"/>
              </w:rPr>
              <w:t>挑臂支架</w:t>
            </w:r>
          </w:p>
        </w:tc>
        <w:tc>
          <w:tcPr>
            <w:tcW w:w="442" w:type="pct"/>
            <w:shd w:val="clear" w:color="000000" w:fill="FFFFFF"/>
            <w:noWrap/>
            <w:vAlign w:val="center"/>
          </w:tcPr>
          <w:p>
            <w:pPr>
              <w:widowControl/>
              <w:jc w:val="center"/>
              <w:rPr>
                <w:kern w:val="0"/>
                <w:sz w:val="18"/>
                <w:szCs w:val="18"/>
              </w:rPr>
            </w:pPr>
            <w:r>
              <w:rPr>
                <w:kern w:val="0"/>
                <w:sz w:val="18"/>
                <w:szCs w:val="18"/>
              </w:rPr>
              <w:t>根</w:t>
            </w:r>
          </w:p>
        </w:tc>
        <w:tc>
          <w:tcPr>
            <w:tcW w:w="399" w:type="pct"/>
            <w:shd w:val="clear" w:color="000000" w:fill="FFFFFF"/>
            <w:noWrap/>
            <w:vAlign w:val="center"/>
          </w:tcPr>
          <w:p>
            <w:pPr>
              <w:widowControl/>
              <w:jc w:val="center"/>
              <w:rPr>
                <w:kern w:val="0"/>
                <w:sz w:val="18"/>
                <w:szCs w:val="18"/>
              </w:rPr>
            </w:pPr>
            <w:r>
              <w:rPr>
                <w:kern w:val="0"/>
                <w:sz w:val="18"/>
                <w:szCs w:val="18"/>
              </w:rPr>
              <w:t>535</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18</w:t>
            </w:r>
          </w:p>
        </w:tc>
        <w:tc>
          <w:tcPr>
            <w:tcW w:w="2100" w:type="pct"/>
            <w:gridSpan w:val="2"/>
            <w:shd w:val="clear" w:color="000000" w:fill="FFFFFF"/>
            <w:noWrap w:val="0"/>
            <w:vAlign w:val="center"/>
          </w:tcPr>
          <w:p>
            <w:pPr>
              <w:widowControl/>
              <w:jc w:val="center"/>
              <w:rPr>
                <w:kern w:val="0"/>
                <w:sz w:val="18"/>
                <w:szCs w:val="18"/>
              </w:rPr>
            </w:pPr>
            <w:r>
              <w:rPr>
                <w:kern w:val="0"/>
                <w:sz w:val="18"/>
                <w:szCs w:val="18"/>
              </w:rPr>
              <w:t>吊装支架</w:t>
            </w:r>
          </w:p>
        </w:tc>
        <w:tc>
          <w:tcPr>
            <w:tcW w:w="442" w:type="pct"/>
            <w:shd w:val="clear" w:color="auto" w:fill="auto"/>
            <w:noWrap/>
            <w:vAlign w:val="center"/>
          </w:tcPr>
          <w:p>
            <w:pPr>
              <w:widowControl/>
              <w:jc w:val="center"/>
              <w:rPr>
                <w:kern w:val="0"/>
                <w:sz w:val="18"/>
                <w:szCs w:val="18"/>
              </w:rPr>
            </w:pPr>
            <w:r>
              <w:rPr>
                <w:kern w:val="0"/>
                <w:sz w:val="18"/>
                <w:szCs w:val="18"/>
              </w:rPr>
              <w:t>根</w:t>
            </w:r>
          </w:p>
        </w:tc>
        <w:tc>
          <w:tcPr>
            <w:tcW w:w="399" w:type="pct"/>
            <w:shd w:val="clear" w:color="auto" w:fill="auto"/>
            <w:noWrap/>
            <w:vAlign w:val="center"/>
          </w:tcPr>
          <w:p>
            <w:pPr>
              <w:widowControl/>
              <w:jc w:val="center"/>
              <w:rPr>
                <w:kern w:val="0"/>
                <w:sz w:val="18"/>
                <w:szCs w:val="18"/>
              </w:rPr>
            </w:pPr>
            <w:r>
              <w:rPr>
                <w:kern w:val="0"/>
                <w:sz w:val="18"/>
                <w:szCs w:val="18"/>
              </w:rPr>
              <w:t>50</w:t>
            </w:r>
          </w:p>
        </w:tc>
        <w:tc>
          <w:tcPr>
            <w:tcW w:w="607" w:type="pct"/>
            <w:shd w:val="clear" w:color="auto" w:fill="auto"/>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19</w:t>
            </w:r>
          </w:p>
        </w:tc>
        <w:tc>
          <w:tcPr>
            <w:tcW w:w="2100" w:type="pct"/>
            <w:gridSpan w:val="2"/>
            <w:shd w:val="clear" w:color="000000" w:fill="FFFFFF"/>
            <w:noWrap w:val="0"/>
            <w:vAlign w:val="center"/>
          </w:tcPr>
          <w:p>
            <w:pPr>
              <w:widowControl/>
              <w:jc w:val="center"/>
              <w:rPr>
                <w:kern w:val="0"/>
                <w:sz w:val="18"/>
                <w:szCs w:val="18"/>
              </w:rPr>
            </w:pPr>
            <w:r>
              <w:rPr>
                <w:kern w:val="0"/>
                <w:sz w:val="18"/>
                <w:szCs w:val="18"/>
              </w:rPr>
              <w:t>设备箱</w:t>
            </w:r>
          </w:p>
        </w:tc>
        <w:tc>
          <w:tcPr>
            <w:tcW w:w="442" w:type="pct"/>
            <w:shd w:val="clear" w:color="auto" w:fill="auto"/>
            <w:noWrap/>
            <w:vAlign w:val="center"/>
          </w:tcPr>
          <w:p>
            <w:pPr>
              <w:widowControl/>
              <w:jc w:val="center"/>
              <w:rPr>
                <w:kern w:val="0"/>
                <w:sz w:val="18"/>
                <w:szCs w:val="18"/>
              </w:rPr>
            </w:pPr>
            <w:r>
              <w:rPr>
                <w:kern w:val="0"/>
                <w:sz w:val="18"/>
                <w:szCs w:val="18"/>
              </w:rPr>
              <w:t>个</w:t>
            </w:r>
          </w:p>
        </w:tc>
        <w:tc>
          <w:tcPr>
            <w:tcW w:w="399" w:type="pct"/>
            <w:shd w:val="clear" w:color="auto" w:fill="auto"/>
            <w:noWrap/>
            <w:vAlign w:val="center"/>
          </w:tcPr>
          <w:p>
            <w:pPr>
              <w:widowControl/>
              <w:jc w:val="center"/>
              <w:rPr>
                <w:kern w:val="0"/>
                <w:sz w:val="18"/>
                <w:szCs w:val="18"/>
              </w:rPr>
            </w:pPr>
            <w:r>
              <w:rPr>
                <w:kern w:val="0"/>
                <w:sz w:val="18"/>
                <w:szCs w:val="18"/>
              </w:rPr>
              <w:t>1130</w:t>
            </w:r>
          </w:p>
        </w:tc>
        <w:tc>
          <w:tcPr>
            <w:tcW w:w="607" w:type="pct"/>
            <w:shd w:val="clear" w:color="auto" w:fill="auto"/>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20</w:t>
            </w:r>
          </w:p>
        </w:tc>
        <w:tc>
          <w:tcPr>
            <w:tcW w:w="2100" w:type="pct"/>
            <w:gridSpan w:val="2"/>
            <w:shd w:val="clear" w:color="000000" w:fill="FFFFFF"/>
            <w:noWrap w:val="0"/>
            <w:vAlign w:val="center"/>
          </w:tcPr>
          <w:p>
            <w:pPr>
              <w:widowControl/>
              <w:jc w:val="center"/>
              <w:rPr>
                <w:kern w:val="0"/>
                <w:sz w:val="18"/>
                <w:szCs w:val="18"/>
              </w:rPr>
            </w:pPr>
            <w:r>
              <w:rPr>
                <w:kern w:val="0"/>
                <w:sz w:val="18"/>
                <w:szCs w:val="18"/>
              </w:rPr>
              <w:t>电源防雷器</w:t>
            </w:r>
          </w:p>
        </w:tc>
        <w:tc>
          <w:tcPr>
            <w:tcW w:w="442" w:type="pct"/>
            <w:shd w:val="clear" w:color="000000" w:fill="FFFFFF"/>
            <w:noWrap/>
            <w:vAlign w:val="center"/>
          </w:tcPr>
          <w:p>
            <w:pPr>
              <w:widowControl/>
              <w:jc w:val="center"/>
              <w:rPr>
                <w:kern w:val="0"/>
                <w:sz w:val="18"/>
                <w:szCs w:val="18"/>
              </w:rPr>
            </w:pPr>
            <w:r>
              <w:rPr>
                <w:kern w:val="0"/>
                <w:sz w:val="18"/>
                <w:szCs w:val="18"/>
              </w:rPr>
              <w:t>个</w:t>
            </w:r>
          </w:p>
        </w:tc>
        <w:tc>
          <w:tcPr>
            <w:tcW w:w="399" w:type="pct"/>
            <w:shd w:val="clear" w:color="000000" w:fill="FFFFFF"/>
            <w:noWrap/>
            <w:vAlign w:val="center"/>
          </w:tcPr>
          <w:p>
            <w:pPr>
              <w:widowControl/>
              <w:jc w:val="center"/>
              <w:rPr>
                <w:kern w:val="0"/>
                <w:sz w:val="18"/>
                <w:szCs w:val="18"/>
              </w:rPr>
            </w:pPr>
            <w:r>
              <w:rPr>
                <w:kern w:val="0"/>
                <w:sz w:val="18"/>
                <w:szCs w:val="18"/>
              </w:rPr>
              <w:t>1130</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21</w:t>
            </w:r>
          </w:p>
        </w:tc>
        <w:tc>
          <w:tcPr>
            <w:tcW w:w="2100" w:type="pct"/>
            <w:gridSpan w:val="2"/>
            <w:shd w:val="clear" w:color="000000" w:fill="FFFFFF"/>
            <w:noWrap w:val="0"/>
            <w:vAlign w:val="center"/>
          </w:tcPr>
          <w:p>
            <w:pPr>
              <w:widowControl/>
              <w:jc w:val="center"/>
              <w:rPr>
                <w:kern w:val="0"/>
                <w:sz w:val="18"/>
                <w:szCs w:val="18"/>
              </w:rPr>
            </w:pPr>
            <w:r>
              <w:rPr>
                <w:kern w:val="0"/>
                <w:sz w:val="18"/>
                <w:szCs w:val="18"/>
              </w:rPr>
              <w:t>铭牌</w:t>
            </w:r>
          </w:p>
        </w:tc>
        <w:tc>
          <w:tcPr>
            <w:tcW w:w="442" w:type="pct"/>
            <w:shd w:val="clear" w:color="000000" w:fill="FFFFFF"/>
            <w:noWrap/>
            <w:vAlign w:val="center"/>
          </w:tcPr>
          <w:p>
            <w:pPr>
              <w:widowControl/>
              <w:jc w:val="center"/>
              <w:rPr>
                <w:kern w:val="0"/>
                <w:sz w:val="18"/>
                <w:szCs w:val="18"/>
              </w:rPr>
            </w:pPr>
            <w:r>
              <w:rPr>
                <w:kern w:val="0"/>
                <w:sz w:val="18"/>
                <w:szCs w:val="18"/>
              </w:rPr>
              <w:t>块</w:t>
            </w:r>
          </w:p>
        </w:tc>
        <w:tc>
          <w:tcPr>
            <w:tcW w:w="399" w:type="pct"/>
            <w:shd w:val="clear" w:color="000000" w:fill="FFFFFF"/>
            <w:noWrap/>
            <w:vAlign w:val="center"/>
          </w:tcPr>
          <w:p>
            <w:pPr>
              <w:widowControl/>
              <w:jc w:val="center"/>
              <w:rPr>
                <w:kern w:val="0"/>
                <w:sz w:val="18"/>
                <w:szCs w:val="18"/>
              </w:rPr>
            </w:pPr>
            <w:r>
              <w:rPr>
                <w:kern w:val="0"/>
                <w:sz w:val="18"/>
                <w:szCs w:val="18"/>
              </w:rPr>
              <w:t>1130</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22</w:t>
            </w:r>
          </w:p>
        </w:tc>
        <w:tc>
          <w:tcPr>
            <w:tcW w:w="2100" w:type="pct"/>
            <w:gridSpan w:val="2"/>
            <w:shd w:val="clear" w:color="000000" w:fill="FFFFFF"/>
            <w:noWrap w:val="0"/>
            <w:vAlign w:val="center"/>
          </w:tcPr>
          <w:p>
            <w:pPr>
              <w:widowControl/>
              <w:jc w:val="center"/>
              <w:rPr>
                <w:kern w:val="0"/>
                <w:sz w:val="18"/>
                <w:szCs w:val="18"/>
              </w:rPr>
            </w:pPr>
            <w:r>
              <w:rPr>
                <w:kern w:val="0"/>
                <w:sz w:val="18"/>
                <w:szCs w:val="18"/>
              </w:rPr>
              <w:t>辅材</w:t>
            </w:r>
          </w:p>
        </w:tc>
        <w:tc>
          <w:tcPr>
            <w:tcW w:w="442" w:type="pct"/>
            <w:shd w:val="clear" w:color="000000" w:fill="FFFFFF"/>
            <w:noWrap/>
            <w:vAlign w:val="center"/>
          </w:tcPr>
          <w:p>
            <w:pPr>
              <w:widowControl/>
              <w:jc w:val="center"/>
              <w:rPr>
                <w:kern w:val="0"/>
                <w:sz w:val="18"/>
                <w:szCs w:val="18"/>
              </w:rPr>
            </w:pPr>
            <w:r>
              <w:rPr>
                <w:kern w:val="0"/>
                <w:sz w:val="18"/>
                <w:szCs w:val="18"/>
              </w:rPr>
              <w:t>套</w:t>
            </w:r>
          </w:p>
        </w:tc>
        <w:tc>
          <w:tcPr>
            <w:tcW w:w="399" w:type="pct"/>
            <w:shd w:val="clear" w:color="000000" w:fill="FFFFFF"/>
            <w:noWrap/>
            <w:vAlign w:val="center"/>
          </w:tcPr>
          <w:p>
            <w:pPr>
              <w:widowControl/>
              <w:jc w:val="center"/>
              <w:rPr>
                <w:kern w:val="0"/>
                <w:sz w:val="18"/>
                <w:szCs w:val="18"/>
              </w:rPr>
            </w:pPr>
            <w:r>
              <w:rPr>
                <w:kern w:val="0"/>
                <w:sz w:val="18"/>
                <w:szCs w:val="18"/>
              </w:rPr>
              <w:t>1130</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23</w:t>
            </w:r>
          </w:p>
        </w:tc>
        <w:tc>
          <w:tcPr>
            <w:tcW w:w="2100" w:type="pct"/>
            <w:gridSpan w:val="2"/>
            <w:shd w:val="clear" w:color="000000" w:fill="FFFFFF"/>
            <w:noWrap w:val="0"/>
            <w:vAlign w:val="center"/>
          </w:tcPr>
          <w:p>
            <w:pPr>
              <w:widowControl/>
              <w:jc w:val="center"/>
              <w:rPr>
                <w:kern w:val="0"/>
                <w:sz w:val="18"/>
                <w:szCs w:val="18"/>
              </w:rPr>
            </w:pPr>
            <w:r>
              <w:rPr>
                <w:kern w:val="0"/>
                <w:sz w:val="18"/>
                <w:szCs w:val="18"/>
              </w:rPr>
              <w:t>前端设备安装调试</w:t>
            </w:r>
          </w:p>
        </w:tc>
        <w:tc>
          <w:tcPr>
            <w:tcW w:w="442" w:type="pct"/>
            <w:shd w:val="clear" w:color="000000" w:fill="FFFFFF"/>
            <w:noWrap/>
            <w:vAlign w:val="center"/>
          </w:tcPr>
          <w:p>
            <w:pPr>
              <w:widowControl/>
              <w:jc w:val="center"/>
              <w:rPr>
                <w:kern w:val="0"/>
                <w:sz w:val="18"/>
                <w:szCs w:val="18"/>
              </w:rPr>
            </w:pPr>
            <w:r>
              <w:rPr>
                <w:kern w:val="0"/>
                <w:sz w:val="18"/>
                <w:szCs w:val="18"/>
              </w:rPr>
              <w:t>套</w:t>
            </w:r>
          </w:p>
        </w:tc>
        <w:tc>
          <w:tcPr>
            <w:tcW w:w="399" w:type="pct"/>
            <w:shd w:val="clear" w:color="000000" w:fill="FFFFFF"/>
            <w:noWrap/>
            <w:vAlign w:val="center"/>
          </w:tcPr>
          <w:p>
            <w:pPr>
              <w:widowControl/>
              <w:jc w:val="center"/>
              <w:rPr>
                <w:kern w:val="0"/>
                <w:sz w:val="18"/>
                <w:szCs w:val="18"/>
              </w:rPr>
            </w:pPr>
            <w:r>
              <w:rPr>
                <w:kern w:val="0"/>
                <w:sz w:val="18"/>
                <w:szCs w:val="18"/>
              </w:rPr>
              <w:t>1130</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24</w:t>
            </w:r>
          </w:p>
        </w:tc>
        <w:tc>
          <w:tcPr>
            <w:tcW w:w="2100" w:type="pct"/>
            <w:gridSpan w:val="2"/>
            <w:shd w:val="clear" w:color="000000" w:fill="FFFFFF"/>
            <w:noWrap w:val="0"/>
            <w:vAlign w:val="center"/>
          </w:tcPr>
          <w:p>
            <w:pPr>
              <w:widowControl/>
              <w:jc w:val="center"/>
              <w:rPr>
                <w:kern w:val="0"/>
                <w:sz w:val="18"/>
                <w:szCs w:val="18"/>
              </w:rPr>
            </w:pPr>
            <w:r>
              <w:rPr>
                <w:kern w:val="0"/>
                <w:sz w:val="18"/>
                <w:szCs w:val="18"/>
              </w:rPr>
              <w:t>电源接入</w:t>
            </w:r>
          </w:p>
        </w:tc>
        <w:tc>
          <w:tcPr>
            <w:tcW w:w="442" w:type="pct"/>
            <w:shd w:val="clear" w:color="000000" w:fill="FFFFFF"/>
            <w:noWrap/>
            <w:vAlign w:val="center"/>
          </w:tcPr>
          <w:p>
            <w:pPr>
              <w:widowControl/>
              <w:jc w:val="center"/>
              <w:rPr>
                <w:kern w:val="0"/>
                <w:sz w:val="18"/>
                <w:szCs w:val="18"/>
              </w:rPr>
            </w:pPr>
            <w:r>
              <w:rPr>
                <w:kern w:val="0"/>
                <w:sz w:val="18"/>
                <w:szCs w:val="18"/>
              </w:rPr>
              <w:t>套</w:t>
            </w:r>
          </w:p>
        </w:tc>
        <w:tc>
          <w:tcPr>
            <w:tcW w:w="399" w:type="pct"/>
            <w:shd w:val="clear" w:color="000000" w:fill="FFFFFF"/>
            <w:noWrap/>
            <w:vAlign w:val="center"/>
          </w:tcPr>
          <w:p>
            <w:pPr>
              <w:widowControl/>
              <w:jc w:val="center"/>
              <w:rPr>
                <w:kern w:val="0"/>
                <w:sz w:val="18"/>
                <w:szCs w:val="18"/>
              </w:rPr>
            </w:pPr>
            <w:r>
              <w:rPr>
                <w:kern w:val="0"/>
                <w:sz w:val="18"/>
                <w:szCs w:val="18"/>
              </w:rPr>
              <w:t>1130</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25</w:t>
            </w:r>
          </w:p>
        </w:tc>
        <w:tc>
          <w:tcPr>
            <w:tcW w:w="2100" w:type="pct"/>
            <w:gridSpan w:val="2"/>
            <w:shd w:val="clear" w:color="000000" w:fill="FFFFFF"/>
            <w:noWrap w:val="0"/>
            <w:vAlign w:val="center"/>
          </w:tcPr>
          <w:p>
            <w:pPr>
              <w:widowControl/>
              <w:jc w:val="center"/>
              <w:rPr>
                <w:kern w:val="0"/>
                <w:sz w:val="18"/>
                <w:szCs w:val="18"/>
              </w:rPr>
            </w:pPr>
            <w:r>
              <w:rPr>
                <w:kern w:val="0"/>
                <w:sz w:val="18"/>
                <w:szCs w:val="18"/>
              </w:rPr>
              <w:t>云存储磁盘阵列</w:t>
            </w:r>
          </w:p>
        </w:tc>
        <w:tc>
          <w:tcPr>
            <w:tcW w:w="442" w:type="pct"/>
            <w:shd w:val="clear" w:color="000000" w:fill="FFFFFF"/>
            <w:noWrap/>
            <w:vAlign w:val="center"/>
          </w:tcPr>
          <w:p>
            <w:pPr>
              <w:widowControl/>
              <w:jc w:val="center"/>
              <w:rPr>
                <w:kern w:val="0"/>
                <w:sz w:val="18"/>
                <w:szCs w:val="18"/>
              </w:rPr>
            </w:pPr>
            <w:r>
              <w:rPr>
                <w:kern w:val="0"/>
                <w:sz w:val="18"/>
                <w:szCs w:val="18"/>
              </w:rPr>
              <w:t>台</w:t>
            </w:r>
          </w:p>
        </w:tc>
        <w:tc>
          <w:tcPr>
            <w:tcW w:w="399" w:type="pct"/>
            <w:shd w:val="clear" w:color="000000" w:fill="FFFFFF"/>
            <w:noWrap/>
            <w:vAlign w:val="center"/>
          </w:tcPr>
          <w:p>
            <w:pPr>
              <w:widowControl/>
              <w:jc w:val="center"/>
              <w:rPr>
                <w:kern w:val="0"/>
                <w:sz w:val="18"/>
                <w:szCs w:val="18"/>
              </w:rPr>
            </w:pPr>
            <w:r>
              <w:rPr>
                <w:kern w:val="0"/>
                <w:sz w:val="18"/>
                <w:szCs w:val="18"/>
              </w:rPr>
              <w:t>25</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vMerge w:val="restart"/>
            <w:shd w:val="clear" w:color="000000" w:fill="FFFFFF"/>
            <w:noWrap/>
            <w:vAlign w:val="center"/>
          </w:tcPr>
          <w:p>
            <w:pPr>
              <w:widowControl/>
              <w:jc w:val="center"/>
              <w:rPr>
                <w:kern w:val="0"/>
                <w:sz w:val="18"/>
                <w:szCs w:val="18"/>
              </w:rPr>
            </w:pPr>
            <w:r>
              <w:rPr>
                <w:kern w:val="0"/>
                <w:sz w:val="18"/>
                <w:szCs w:val="18"/>
              </w:rPr>
              <w:t>26</w:t>
            </w:r>
          </w:p>
        </w:tc>
        <w:tc>
          <w:tcPr>
            <w:tcW w:w="347" w:type="pct"/>
            <w:vMerge w:val="restart"/>
            <w:shd w:val="clear" w:color="000000" w:fill="FFFFFF"/>
            <w:noWrap w:val="0"/>
            <w:vAlign w:val="center"/>
          </w:tcPr>
          <w:p>
            <w:pPr>
              <w:widowControl/>
              <w:jc w:val="center"/>
              <w:rPr>
                <w:kern w:val="0"/>
                <w:sz w:val="18"/>
                <w:szCs w:val="18"/>
              </w:rPr>
            </w:pPr>
            <w:r>
              <w:rPr>
                <w:kern w:val="0"/>
                <w:sz w:val="18"/>
                <w:szCs w:val="18"/>
              </w:rPr>
              <w:t>超融合桌面云</w:t>
            </w:r>
          </w:p>
        </w:tc>
        <w:tc>
          <w:tcPr>
            <w:tcW w:w="1753" w:type="pct"/>
            <w:shd w:val="clear" w:color="000000" w:fill="FFFFFF"/>
            <w:noWrap w:val="0"/>
            <w:vAlign w:val="center"/>
          </w:tcPr>
          <w:p>
            <w:pPr>
              <w:widowControl/>
              <w:jc w:val="left"/>
              <w:rPr>
                <w:kern w:val="0"/>
                <w:sz w:val="18"/>
                <w:szCs w:val="18"/>
              </w:rPr>
            </w:pPr>
            <w:r>
              <w:rPr>
                <w:kern w:val="0"/>
                <w:sz w:val="18"/>
                <w:szCs w:val="18"/>
              </w:rPr>
              <w:t>1.配置2*英特尔至强银牌4214（2.2GHz，12Core）；</w:t>
            </w:r>
            <w:r>
              <w:rPr>
                <w:kern w:val="0"/>
                <w:sz w:val="18"/>
                <w:szCs w:val="18"/>
              </w:rPr>
              <w:br w:type="textWrapping"/>
            </w:r>
            <w:r>
              <w:rPr>
                <w:kern w:val="0"/>
                <w:sz w:val="18"/>
                <w:szCs w:val="18"/>
              </w:rPr>
              <w:t>2.配置6*32G内存；</w:t>
            </w:r>
            <w:r>
              <w:rPr>
                <w:kern w:val="0"/>
                <w:sz w:val="18"/>
                <w:szCs w:val="18"/>
              </w:rPr>
              <w:br w:type="textWrapping"/>
            </w:r>
            <w:r>
              <w:rPr>
                <w:kern w:val="0"/>
                <w:sz w:val="18"/>
                <w:szCs w:val="18"/>
              </w:rPr>
              <w:t>3.配置2*600G SAS盘，1*1.6T NVME SSD盘，8*2T SATA盘，RAID卡-2G cache带掉电保护；</w:t>
            </w:r>
            <w:r>
              <w:rPr>
                <w:kern w:val="0"/>
                <w:sz w:val="18"/>
                <w:szCs w:val="18"/>
              </w:rPr>
              <w:br w:type="textWrapping"/>
            </w:r>
            <w:r>
              <w:rPr>
                <w:kern w:val="0"/>
                <w:sz w:val="18"/>
                <w:szCs w:val="18"/>
              </w:rPr>
              <w:t>4.配置2*GE+2*10GE光口（带光模块）；</w:t>
            </w:r>
            <w:r>
              <w:rPr>
                <w:kern w:val="0"/>
                <w:sz w:val="18"/>
                <w:szCs w:val="18"/>
              </w:rPr>
              <w:br w:type="textWrapping"/>
            </w:r>
            <w:r>
              <w:rPr>
                <w:kern w:val="0"/>
                <w:sz w:val="18"/>
                <w:szCs w:val="18"/>
              </w:rPr>
              <w:t>5.提供铂金超高效率冗余电源，电源效率≥94%；</w:t>
            </w:r>
            <w:r>
              <w:rPr>
                <w:kern w:val="0"/>
                <w:sz w:val="18"/>
                <w:szCs w:val="18"/>
              </w:rPr>
              <w:br w:type="textWrapping"/>
            </w:r>
            <w:r>
              <w:rPr>
                <w:kern w:val="0"/>
                <w:sz w:val="18"/>
                <w:szCs w:val="18"/>
              </w:rPr>
              <w:t>6.满配冗余风扇,支持单风扇失效；</w:t>
            </w:r>
            <w:r>
              <w:rPr>
                <w:kern w:val="0"/>
                <w:sz w:val="18"/>
                <w:szCs w:val="18"/>
              </w:rPr>
              <w:br w:type="textWrapping"/>
            </w:r>
            <w:r>
              <w:rPr>
                <w:kern w:val="0"/>
                <w:sz w:val="18"/>
                <w:szCs w:val="18"/>
              </w:rPr>
              <w:t>7.重建1TB数据小于30分钟（主存储介质为机械硬盘）</w:t>
            </w:r>
            <w:r>
              <w:rPr>
                <w:kern w:val="0"/>
                <w:sz w:val="18"/>
                <w:szCs w:val="18"/>
              </w:rPr>
              <w:br w:type="textWrapping"/>
            </w:r>
            <w:r>
              <w:rPr>
                <w:kern w:val="0"/>
                <w:sz w:val="18"/>
                <w:szCs w:val="18"/>
              </w:rPr>
              <w:t>8.服务器管理系统支持国产自研管理芯片</w:t>
            </w:r>
            <w:r>
              <w:rPr>
                <w:kern w:val="0"/>
                <w:sz w:val="18"/>
                <w:szCs w:val="18"/>
              </w:rPr>
              <w:br w:type="textWrapping"/>
            </w:r>
            <w:r>
              <w:rPr>
                <w:kern w:val="0"/>
                <w:sz w:val="18"/>
                <w:szCs w:val="18"/>
              </w:rPr>
              <w:t>9.无需外置SAN存储，存储系统为分布式Server SAN架构，同一节点内计算存储融合，可配置2副本或3副本，满足不同可靠性要求的业务场景</w:t>
            </w:r>
            <w:r>
              <w:rPr>
                <w:kern w:val="0"/>
                <w:sz w:val="18"/>
                <w:szCs w:val="18"/>
              </w:rPr>
              <w:br w:type="textWrapping"/>
            </w:r>
            <w:r>
              <w:rPr>
                <w:kern w:val="0"/>
                <w:sz w:val="18"/>
                <w:szCs w:val="18"/>
              </w:rPr>
              <w:t>10.配置超融合存储软件授权</w:t>
            </w:r>
          </w:p>
        </w:tc>
        <w:tc>
          <w:tcPr>
            <w:tcW w:w="442" w:type="pct"/>
            <w:shd w:val="clear" w:color="000000" w:fill="FFFFFF"/>
            <w:noWrap/>
            <w:vAlign w:val="center"/>
          </w:tcPr>
          <w:p>
            <w:pPr>
              <w:widowControl/>
              <w:jc w:val="center"/>
              <w:rPr>
                <w:kern w:val="0"/>
                <w:sz w:val="18"/>
                <w:szCs w:val="18"/>
              </w:rPr>
            </w:pPr>
            <w:r>
              <w:rPr>
                <w:kern w:val="0"/>
                <w:sz w:val="18"/>
                <w:szCs w:val="18"/>
              </w:rPr>
              <w:t>台</w:t>
            </w:r>
          </w:p>
        </w:tc>
        <w:tc>
          <w:tcPr>
            <w:tcW w:w="399" w:type="pct"/>
            <w:shd w:val="clear" w:color="000000" w:fill="FFFFFF"/>
            <w:noWrap/>
            <w:vAlign w:val="center"/>
          </w:tcPr>
          <w:p>
            <w:pPr>
              <w:widowControl/>
              <w:jc w:val="center"/>
              <w:rPr>
                <w:kern w:val="0"/>
                <w:sz w:val="18"/>
                <w:szCs w:val="18"/>
              </w:rPr>
            </w:pPr>
            <w:r>
              <w:rPr>
                <w:kern w:val="0"/>
                <w:sz w:val="18"/>
                <w:szCs w:val="18"/>
              </w:rPr>
              <w:t>3</w:t>
            </w:r>
          </w:p>
        </w:tc>
        <w:tc>
          <w:tcPr>
            <w:tcW w:w="607" w:type="pct"/>
            <w:shd w:val="clear" w:color="000000" w:fill="FFFFFF"/>
            <w:noWrap/>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lef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7" w:hRule="exact"/>
        </w:trPr>
        <w:tc>
          <w:tcPr>
            <w:tcW w:w="310" w:type="pct"/>
            <w:vMerge w:val="continue"/>
            <w:shd w:val="clear" w:color="auto" w:fill="auto"/>
            <w:noWrap w:val="0"/>
            <w:vAlign w:val="center"/>
          </w:tcPr>
          <w:p>
            <w:pPr>
              <w:widowControl/>
              <w:jc w:val="left"/>
              <w:rPr>
                <w:kern w:val="0"/>
                <w:sz w:val="18"/>
                <w:szCs w:val="18"/>
              </w:rPr>
            </w:pPr>
          </w:p>
        </w:tc>
        <w:tc>
          <w:tcPr>
            <w:tcW w:w="347" w:type="pct"/>
            <w:vMerge w:val="continue"/>
            <w:shd w:val="clear" w:color="auto" w:fill="auto"/>
            <w:noWrap w:val="0"/>
            <w:vAlign w:val="center"/>
          </w:tcPr>
          <w:p>
            <w:pPr>
              <w:widowControl/>
              <w:jc w:val="left"/>
              <w:rPr>
                <w:kern w:val="0"/>
                <w:sz w:val="18"/>
                <w:szCs w:val="18"/>
              </w:rPr>
            </w:pPr>
          </w:p>
        </w:tc>
        <w:tc>
          <w:tcPr>
            <w:tcW w:w="1753" w:type="pct"/>
            <w:shd w:val="clear" w:color="000000" w:fill="FFFFFF"/>
            <w:noWrap w:val="0"/>
            <w:vAlign w:val="center"/>
          </w:tcPr>
          <w:p>
            <w:pPr>
              <w:widowControl/>
              <w:jc w:val="left"/>
              <w:rPr>
                <w:kern w:val="0"/>
                <w:sz w:val="18"/>
                <w:szCs w:val="18"/>
              </w:rPr>
            </w:pPr>
            <w:r>
              <w:rPr>
                <w:kern w:val="0"/>
                <w:sz w:val="18"/>
                <w:szCs w:val="18"/>
              </w:rPr>
              <w:t>1.配置桌面云软件许可-20每用户许可；2.支持采用同一个桌面虚拟化传输协议实现VDI/SBC在固定和移动接入场景下的功能；3.支持GPU直通、GPU硬件虚拟化高清图形方案。4.支持基于软件的桌面负载均衡和接入网关集群；5.支持瘦客户端的集中管理，瘦客户端维护管理系统支持对瘦客户端进行远程集中维护、集中配置、部署管理、安全管理、资产管理和性能监控以及安全认证等。6.支持4K桌面显示和4K视频播放；7.支持VIP桌面，通过为VIP桌面提供CPU、内存等资源保障和实时看护，为VIP用户提供更好的桌面体验；8.提供用户自助维护通道。当虚拟桌面登录出现异常时，可通过此维护通道自行维护解决部分虚拟桌面登录使用问题；</w:t>
            </w:r>
          </w:p>
        </w:tc>
        <w:tc>
          <w:tcPr>
            <w:tcW w:w="442" w:type="pct"/>
            <w:shd w:val="clear" w:color="000000" w:fill="FFFFFF"/>
            <w:noWrap/>
            <w:vAlign w:val="center"/>
          </w:tcPr>
          <w:p>
            <w:pPr>
              <w:widowControl/>
              <w:jc w:val="center"/>
              <w:rPr>
                <w:kern w:val="0"/>
                <w:sz w:val="18"/>
                <w:szCs w:val="18"/>
              </w:rPr>
            </w:pPr>
            <w:r>
              <w:rPr>
                <w:kern w:val="0"/>
                <w:sz w:val="18"/>
                <w:szCs w:val="18"/>
              </w:rPr>
              <w:t>套</w:t>
            </w:r>
          </w:p>
        </w:tc>
        <w:tc>
          <w:tcPr>
            <w:tcW w:w="399" w:type="pct"/>
            <w:shd w:val="clear" w:color="000000" w:fill="FFFFFF"/>
            <w:noWrap/>
            <w:vAlign w:val="center"/>
          </w:tcPr>
          <w:p>
            <w:pPr>
              <w:widowControl/>
              <w:jc w:val="center"/>
              <w:rPr>
                <w:kern w:val="0"/>
                <w:sz w:val="18"/>
                <w:szCs w:val="18"/>
              </w:rPr>
            </w:pPr>
            <w:r>
              <w:rPr>
                <w:kern w:val="0"/>
                <w:sz w:val="18"/>
                <w:szCs w:val="18"/>
              </w:rPr>
              <w:t>1</w:t>
            </w:r>
          </w:p>
        </w:tc>
        <w:tc>
          <w:tcPr>
            <w:tcW w:w="607" w:type="pct"/>
            <w:shd w:val="clear" w:color="000000" w:fill="FFFFFF"/>
            <w:noWrap/>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lef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exact"/>
        </w:trPr>
        <w:tc>
          <w:tcPr>
            <w:tcW w:w="310" w:type="pct"/>
            <w:vMerge w:val="continue"/>
            <w:shd w:val="clear" w:color="auto" w:fill="auto"/>
            <w:noWrap w:val="0"/>
            <w:vAlign w:val="center"/>
          </w:tcPr>
          <w:p>
            <w:pPr>
              <w:widowControl/>
              <w:jc w:val="left"/>
              <w:rPr>
                <w:kern w:val="0"/>
                <w:sz w:val="18"/>
                <w:szCs w:val="18"/>
              </w:rPr>
            </w:pPr>
          </w:p>
        </w:tc>
        <w:tc>
          <w:tcPr>
            <w:tcW w:w="347" w:type="pct"/>
            <w:vMerge w:val="continue"/>
            <w:shd w:val="clear" w:color="auto" w:fill="auto"/>
            <w:noWrap w:val="0"/>
            <w:vAlign w:val="center"/>
          </w:tcPr>
          <w:p>
            <w:pPr>
              <w:widowControl/>
              <w:jc w:val="left"/>
              <w:rPr>
                <w:kern w:val="0"/>
                <w:sz w:val="18"/>
                <w:szCs w:val="18"/>
              </w:rPr>
            </w:pPr>
          </w:p>
        </w:tc>
        <w:tc>
          <w:tcPr>
            <w:tcW w:w="1753" w:type="pct"/>
            <w:shd w:val="clear" w:color="000000" w:fill="FFFFFF"/>
            <w:noWrap w:val="0"/>
            <w:vAlign w:val="center"/>
          </w:tcPr>
          <w:p>
            <w:pPr>
              <w:widowControl/>
              <w:jc w:val="left"/>
              <w:rPr>
                <w:kern w:val="0"/>
                <w:sz w:val="18"/>
                <w:szCs w:val="18"/>
              </w:rPr>
            </w:pPr>
            <w:r>
              <w:rPr>
                <w:kern w:val="0"/>
                <w:sz w:val="18"/>
                <w:szCs w:val="18"/>
              </w:rPr>
              <w:t>瘦客户机-瑞芯微 RK3288 1.8GHz(四核)-1G DDR3-4G eMMC-无-1000M-(DVI-I)-Linux中文自由版-CT3200,含DVI-I转VGA头和壁挂，通过CCC、CQC认证</w:t>
            </w:r>
          </w:p>
        </w:tc>
        <w:tc>
          <w:tcPr>
            <w:tcW w:w="442" w:type="pct"/>
            <w:shd w:val="clear" w:color="000000" w:fill="FFFFFF"/>
            <w:noWrap/>
            <w:vAlign w:val="center"/>
          </w:tcPr>
          <w:p>
            <w:pPr>
              <w:widowControl/>
              <w:jc w:val="center"/>
              <w:rPr>
                <w:kern w:val="0"/>
                <w:sz w:val="18"/>
                <w:szCs w:val="18"/>
              </w:rPr>
            </w:pPr>
            <w:r>
              <w:rPr>
                <w:kern w:val="0"/>
                <w:sz w:val="18"/>
                <w:szCs w:val="18"/>
              </w:rPr>
              <w:t>个</w:t>
            </w:r>
          </w:p>
        </w:tc>
        <w:tc>
          <w:tcPr>
            <w:tcW w:w="399" w:type="pct"/>
            <w:shd w:val="clear" w:color="000000" w:fill="FFFFFF"/>
            <w:noWrap/>
            <w:vAlign w:val="center"/>
          </w:tcPr>
          <w:p>
            <w:pPr>
              <w:widowControl/>
              <w:jc w:val="center"/>
              <w:rPr>
                <w:kern w:val="0"/>
                <w:sz w:val="18"/>
                <w:szCs w:val="18"/>
              </w:rPr>
            </w:pPr>
            <w:r>
              <w:rPr>
                <w:kern w:val="0"/>
                <w:sz w:val="18"/>
                <w:szCs w:val="18"/>
              </w:rPr>
              <w:t>20</w:t>
            </w:r>
          </w:p>
        </w:tc>
        <w:tc>
          <w:tcPr>
            <w:tcW w:w="607" w:type="pct"/>
            <w:shd w:val="clear" w:color="000000" w:fill="FFFFFF"/>
            <w:noWrap/>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lef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27</w:t>
            </w:r>
          </w:p>
        </w:tc>
        <w:tc>
          <w:tcPr>
            <w:tcW w:w="347" w:type="pct"/>
            <w:vMerge w:val="restart"/>
            <w:shd w:val="clear" w:color="auto" w:fill="auto"/>
            <w:noWrap w:val="0"/>
            <w:vAlign w:val="center"/>
          </w:tcPr>
          <w:p>
            <w:pPr>
              <w:widowControl/>
              <w:jc w:val="center"/>
              <w:rPr>
                <w:kern w:val="0"/>
                <w:sz w:val="18"/>
                <w:szCs w:val="18"/>
              </w:rPr>
            </w:pPr>
            <w:r>
              <w:rPr>
                <w:kern w:val="0"/>
                <w:sz w:val="18"/>
                <w:szCs w:val="18"/>
              </w:rPr>
              <w:t>人脸比对服务</w:t>
            </w:r>
          </w:p>
        </w:tc>
        <w:tc>
          <w:tcPr>
            <w:tcW w:w="1753" w:type="pct"/>
            <w:shd w:val="clear" w:color="auto" w:fill="auto"/>
            <w:noWrap w:val="0"/>
            <w:vAlign w:val="center"/>
          </w:tcPr>
          <w:p>
            <w:pPr>
              <w:widowControl/>
              <w:jc w:val="center"/>
              <w:rPr>
                <w:kern w:val="0"/>
                <w:sz w:val="18"/>
                <w:szCs w:val="18"/>
              </w:rPr>
            </w:pPr>
            <w:r>
              <w:rPr>
                <w:kern w:val="0"/>
                <w:sz w:val="18"/>
                <w:szCs w:val="18"/>
              </w:rPr>
              <w:t>业务服务模块（视频专网）</w:t>
            </w:r>
          </w:p>
        </w:tc>
        <w:tc>
          <w:tcPr>
            <w:tcW w:w="442" w:type="pct"/>
            <w:shd w:val="clear" w:color="auto" w:fill="auto"/>
            <w:noWrap/>
            <w:vAlign w:val="center"/>
          </w:tcPr>
          <w:p>
            <w:pPr>
              <w:widowControl/>
              <w:jc w:val="center"/>
              <w:rPr>
                <w:kern w:val="0"/>
                <w:sz w:val="18"/>
                <w:szCs w:val="18"/>
              </w:rPr>
            </w:pPr>
            <w:r>
              <w:rPr>
                <w:kern w:val="0"/>
                <w:sz w:val="18"/>
                <w:szCs w:val="18"/>
              </w:rPr>
              <w:t>套</w:t>
            </w:r>
          </w:p>
        </w:tc>
        <w:tc>
          <w:tcPr>
            <w:tcW w:w="399" w:type="pct"/>
            <w:shd w:val="clear" w:color="auto" w:fill="auto"/>
            <w:noWrap/>
            <w:vAlign w:val="center"/>
          </w:tcPr>
          <w:p>
            <w:pPr>
              <w:widowControl/>
              <w:jc w:val="center"/>
              <w:rPr>
                <w:kern w:val="0"/>
                <w:sz w:val="18"/>
                <w:szCs w:val="18"/>
              </w:rPr>
            </w:pPr>
            <w:r>
              <w:rPr>
                <w:kern w:val="0"/>
                <w:sz w:val="18"/>
                <w:szCs w:val="18"/>
              </w:rPr>
              <w:t>4</w:t>
            </w:r>
          </w:p>
        </w:tc>
        <w:tc>
          <w:tcPr>
            <w:tcW w:w="607" w:type="pct"/>
            <w:shd w:val="clear" w:color="auto" w:fill="auto"/>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28</w:t>
            </w:r>
          </w:p>
        </w:tc>
        <w:tc>
          <w:tcPr>
            <w:tcW w:w="347" w:type="pct"/>
            <w:vMerge w:val="continue"/>
            <w:shd w:val="clear" w:color="auto" w:fill="auto"/>
            <w:noWrap w:val="0"/>
            <w:vAlign w:val="center"/>
          </w:tcPr>
          <w:p>
            <w:pPr>
              <w:widowControl/>
              <w:jc w:val="left"/>
              <w:rPr>
                <w:kern w:val="0"/>
                <w:sz w:val="18"/>
                <w:szCs w:val="18"/>
              </w:rPr>
            </w:pPr>
          </w:p>
        </w:tc>
        <w:tc>
          <w:tcPr>
            <w:tcW w:w="1753" w:type="pct"/>
            <w:shd w:val="clear" w:color="auto" w:fill="auto"/>
            <w:noWrap w:val="0"/>
            <w:vAlign w:val="center"/>
          </w:tcPr>
          <w:p>
            <w:pPr>
              <w:widowControl/>
              <w:jc w:val="center"/>
              <w:rPr>
                <w:kern w:val="0"/>
                <w:sz w:val="18"/>
                <w:szCs w:val="18"/>
              </w:rPr>
            </w:pPr>
            <w:r>
              <w:rPr>
                <w:kern w:val="0"/>
                <w:sz w:val="18"/>
                <w:szCs w:val="18"/>
              </w:rPr>
              <w:t>计算服务模块（视频专网）</w:t>
            </w:r>
          </w:p>
        </w:tc>
        <w:tc>
          <w:tcPr>
            <w:tcW w:w="442" w:type="pct"/>
            <w:shd w:val="clear" w:color="000000" w:fill="FFFFFF"/>
            <w:noWrap/>
            <w:vAlign w:val="center"/>
          </w:tcPr>
          <w:p>
            <w:pPr>
              <w:widowControl/>
              <w:jc w:val="center"/>
              <w:rPr>
                <w:kern w:val="0"/>
                <w:sz w:val="18"/>
                <w:szCs w:val="18"/>
              </w:rPr>
            </w:pPr>
            <w:r>
              <w:rPr>
                <w:kern w:val="0"/>
                <w:sz w:val="18"/>
                <w:szCs w:val="18"/>
              </w:rPr>
              <w:t>套</w:t>
            </w:r>
          </w:p>
        </w:tc>
        <w:tc>
          <w:tcPr>
            <w:tcW w:w="399" w:type="pct"/>
            <w:shd w:val="clear" w:color="000000" w:fill="FFFFFF"/>
            <w:noWrap/>
            <w:vAlign w:val="center"/>
          </w:tcPr>
          <w:p>
            <w:pPr>
              <w:widowControl/>
              <w:jc w:val="center"/>
              <w:rPr>
                <w:kern w:val="0"/>
                <w:sz w:val="18"/>
                <w:szCs w:val="18"/>
              </w:rPr>
            </w:pPr>
            <w:r>
              <w:rPr>
                <w:kern w:val="0"/>
                <w:sz w:val="18"/>
                <w:szCs w:val="18"/>
              </w:rPr>
              <w:t>3</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29</w:t>
            </w:r>
          </w:p>
        </w:tc>
        <w:tc>
          <w:tcPr>
            <w:tcW w:w="347" w:type="pct"/>
            <w:vMerge w:val="continue"/>
            <w:shd w:val="clear" w:color="auto" w:fill="auto"/>
            <w:noWrap w:val="0"/>
            <w:vAlign w:val="center"/>
          </w:tcPr>
          <w:p>
            <w:pPr>
              <w:widowControl/>
              <w:jc w:val="left"/>
              <w:rPr>
                <w:kern w:val="0"/>
                <w:sz w:val="18"/>
                <w:szCs w:val="18"/>
              </w:rPr>
            </w:pPr>
          </w:p>
        </w:tc>
        <w:tc>
          <w:tcPr>
            <w:tcW w:w="1753" w:type="pct"/>
            <w:shd w:val="clear" w:color="auto" w:fill="auto"/>
            <w:noWrap w:val="0"/>
            <w:vAlign w:val="center"/>
          </w:tcPr>
          <w:p>
            <w:pPr>
              <w:widowControl/>
              <w:jc w:val="center"/>
              <w:rPr>
                <w:kern w:val="0"/>
                <w:sz w:val="18"/>
                <w:szCs w:val="18"/>
              </w:rPr>
            </w:pPr>
            <w:r>
              <w:rPr>
                <w:kern w:val="0"/>
                <w:sz w:val="18"/>
                <w:szCs w:val="18"/>
              </w:rPr>
              <w:t>路人检索服务模块（视频专网）</w:t>
            </w:r>
          </w:p>
        </w:tc>
        <w:tc>
          <w:tcPr>
            <w:tcW w:w="442" w:type="pct"/>
            <w:shd w:val="clear" w:color="auto" w:fill="auto"/>
            <w:noWrap/>
            <w:vAlign w:val="center"/>
          </w:tcPr>
          <w:p>
            <w:pPr>
              <w:widowControl/>
              <w:jc w:val="center"/>
              <w:rPr>
                <w:kern w:val="0"/>
                <w:sz w:val="18"/>
                <w:szCs w:val="18"/>
              </w:rPr>
            </w:pPr>
            <w:r>
              <w:rPr>
                <w:kern w:val="0"/>
                <w:sz w:val="18"/>
                <w:szCs w:val="18"/>
              </w:rPr>
              <w:t>套</w:t>
            </w:r>
          </w:p>
        </w:tc>
        <w:tc>
          <w:tcPr>
            <w:tcW w:w="399" w:type="pct"/>
            <w:shd w:val="clear" w:color="auto" w:fill="auto"/>
            <w:noWrap/>
            <w:vAlign w:val="center"/>
          </w:tcPr>
          <w:p>
            <w:pPr>
              <w:widowControl/>
              <w:jc w:val="center"/>
              <w:rPr>
                <w:kern w:val="0"/>
                <w:sz w:val="18"/>
                <w:szCs w:val="18"/>
              </w:rPr>
            </w:pPr>
            <w:r>
              <w:rPr>
                <w:kern w:val="0"/>
                <w:sz w:val="18"/>
                <w:szCs w:val="18"/>
              </w:rPr>
              <w:t>1</w:t>
            </w:r>
          </w:p>
        </w:tc>
        <w:tc>
          <w:tcPr>
            <w:tcW w:w="607" w:type="pct"/>
            <w:shd w:val="clear" w:color="auto" w:fill="auto"/>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30</w:t>
            </w:r>
          </w:p>
        </w:tc>
        <w:tc>
          <w:tcPr>
            <w:tcW w:w="347" w:type="pct"/>
            <w:vMerge w:val="continue"/>
            <w:shd w:val="clear" w:color="auto" w:fill="auto"/>
            <w:noWrap w:val="0"/>
            <w:vAlign w:val="center"/>
          </w:tcPr>
          <w:p>
            <w:pPr>
              <w:widowControl/>
              <w:jc w:val="left"/>
              <w:rPr>
                <w:kern w:val="0"/>
                <w:sz w:val="18"/>
                <w:szCs w:val="18"/>
              </w:rPr>
            </w:pPr>
          </w:p>
        </w:tc>
        <w:tc>
          <w:tcPr>
            <w:tcW w:w="1753" w:type="pct"/>
            <w:shd w:val="clear" w:color="auto" w:fill="auto"/>
            <w:noWrap w:val="0"/>
            <w:vAlign w:val="center"/>
          </w:tcPr>
          <w:p>
            <w:pPr>
              <w:widowControl/>
              <w:jc w:val="center"/>
              <w:rPr>
                <w:kern w:val="0"/>
                <w:sz w:val="18"/>
                <w:szCs w:val="18"/>
              </w:rPr>
            </w:pPr>
            <w:r>
              <w:rPr>
                <w:kern w:val="0"/>
                <w:sz w:val="18"/>
                <w:szCs w:val="18"/>
              </w:rPr>
              <w:t>视图库存储服务模块（视频专网）</w:t>
            </w:r>
          </w:p>
        </w:tc>
        <w:tc>
          <w:tcPr>
            <w:tcW w:w="442" w:type="pct"/>
            <w:shd w:val="clear" w:color="000000" w:fill="FFFFFF"/>
            <w:noWrap/>
            <w:vAlign w:val="center"/>
          </w:tcPr>
          <w:p>
            <w:pPr>
              <w:widowControl/>
              <w:jc w:val="center"/>
              <w:rPr>
                <w:kern w:val="0"/>
                <w:sz w:val="18"/>
                <w:szCs w:val="18"/>
              </w:rPr>
            </w:pPr>
            <w:r>
              <w:rPr>
                <w:kern w:val="0"/>
                <w:sz w:val="18"/>
                <w:szCs w:val="18"/>
              </w:rPr>
              <w:t>套</w:t>
            </w:r>
          </w:p>
        </w:tc>
        <w:tc>
          <w:tcPr>
            <w:tcW w:w="399" w:type="pct"/>
            <w:shd w:val="clear" w:color="000000" w:fill="FFFFFF"/>
            <w:noWrap/>
            <w:vAlign w:val="center"/>
          </w:tcPr>
          <w:p>
            <w:pPr>
              <w:widowControl/>
              <w:jc w:val="center"/>
              <w:rPr>
                <w:kern w:val="0"/>
                <w:sz w:val="18"/>
                <w:szCs w:val="18"/>
              </w:rPr>
            </w:pPr>
            <w:r>
              <w:rPr>
                <w:kern w:val="0"/>
                <w:sz w:val="18"/>
                <w:szCs w:val="18"/>
              </w:rPr>
              <w:t>6</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31</w:t>
            </w:r>
          </w:p>
        </w:tc>
        <w:tc>
          <w:tcPr>
            <w:tcW w:w="347" w:type="pct"/>
            <w:vMerge w:val="continue"/>
            <w:shd w:val="clear" w:color="auto" w:fill="auto"/>
            <w:noWrap w:val="0"/>
            <w:vAlign w:val="center"/>
          </w:tcPr>
          <w:p>
            <w:pPr>
              <w:widowControl/>
              <w:jc w:val="left"/>
              <w:rPr>
                <w:kern w:val="0"/>
                <w:sz w:val="18"/>
                <w:szCs w:val="18"/>
              </w:rPr>
            </w:pPr>
          </w:p>
        </w:tc>
        <w:tc>
          <w:tcPr>
            <w:tcW w:w="1753" w:type="pct"/>
            <w:shd w:val="clear" w:color="auto" w:fill="auto"/>
            <w:noWrap w:val="0"/>
            <w:vAlign w:val="center"/>
          </w:tcPr>
          <w:p>
            <w:pPr>
              <w:widowControl/>
              <w:jc w:val="center"/>
              <w:rPr>
                <w:kern w:val="0"/>
                <w:sz w:val="18"/>
                <w:szCs w:val="18"/>
              </w:rPr>
            </w:pPr>
            <w:r>
              <w:rPr>
                <w:kern w:val="0"/>
                <w:sz w:val="18"/>
                <w:szCs w:val="18"/>
              </w:rPr>
              <w:t>业务配套服务模块（内网）</w:t>
            </w:r>
          </w:p>
        </w:tc>
        <w:tc>
          <w:tcPr>
            <w:tcW w:w="442" w:type="pct"/>
            <w:shd w:val="clear" w:color="auto" w:fill="auto"/>
            <w:noWrap/>
            <w:vAlign w:val="center"/>
          </w:tcPr>
          <w:p>
            <w:pPr>
              <w:widowControl/>
              <w:jc w:val="center"/>
              <w:rPr>
                <w:kern w:val="0"/>
                <w:sz w:val="18"/>
                <w:szCs w:val="18"/>
              </w:rPr>
            </w:pPr>
            <w:r>
              <w:rPr>
                <w:kern w:val="0"/>
                <w:sz w:val="18"/>
                <w:szCs w:val="18"/>
              </w:rPr>
              <w:t>套</w:t>
            </w:r>
          </w:p>
        </w:tc>
        <w:tc>
          <w:tcPr>
            <w:tcW w:w="399" w:type="pct"/>
            <w:shd w:val="clear" w:color="auto" w:fill="auto"/>
            <w:noWrap/>
            <w:vAlign w:val="center"/>
          </w:tcPr>
          <w:p>
            <w:pPr>
              <w:widowControl/>
              <w:jc w:val="center"/>
              <w:rPr>
                <w:kern w:val="0"/>
                <w:sz w:val="18"/>
                <w:szCs w:val="18"/>
              </w:rPr>
            </w:pPr>
            <w:r>
              <w:rPr>
                <w:kern w:val="0"/>
                <w:sz w:val="18"/>
                <w:szCs w:val="18"/>
              </w:rPr>
              <w:t>3</w:t>
            </w:r>
          </w:p>
        </w:tc>
        <w:tc>
          <w:tcPr>
            <w:tcW w:w="607" w:type="pct"/>
            <w:shd w:val="clear" w:color="auto" w:fill="auto"/>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32</w:t>
            </w:r>
          </w:p>
        </w:tc>
        <w:tc>
          <w:tcPr>
            <w:tcW w:w="347" w:type="pct"/>
            <w:vMerge w:val="continue"/>
            <w:shd w:val="clear" w:color="auto" w:fill="auto"/>
            <w:noWrap w:val="0"/>
            <w:vAlign w:val="center"/>
          </w:tcPr>
          <w:p>
            <w:pPr>
              <w:widowControl/>
              <w:jc w:val="left"/>
              <w:rPr>
                <w:kern w:val="0"/>
                <w:sz w:val="18"/>
                <w:szCs w:val="18"/>
              </w:rPr>
            </w:pPr>
          </w:p>
        </w:tc>
        <w:tc>
          <w:tcPr>
            <w:tcW w:w="1753" w:type="pct"/>
            <w:shd w:val="clear" w:color="auto" w:fill="auto"/>
            <w:noWrap w:val="0"/>
            <w:vAlign w:val="center"/>
          </w:tcPr>
          <w:p>
            <w:pPr>
              <w:widowControl/>
              <w:jc w:val="center"/>
              <w:rPr>
                <w:kern w:val="0"/>
                <w:sz w:val="18"/>
                <w:szCs w:val="18"/>
              </w:rPr>
            </w:pPr>
            <w:r>
              <w:rPr>
                <w:kern w:val="0"/>
                <w:sz w:val="18"/>
                <w:szCs w:val="18"/>
              </w:rPr>
              <w:t>路人检索服务模块（内网）</w:t>
            </w:r>
          </w:p>
        </w:tc>
        <w:tc>
          <w:tcPr>
            <w:tcW w:w="442" w:type="pct"/>
            <w:shd w:val="clear" w:color="auto" w:fill="auto"/>
            <w:noWrap/>
            <w:vAlign w:val="center"/>
          </w:tcPr>
          <w:p>
            <w:pPr>
              <w:widowControl/>
              <w:jc w:val="center"/>
              <w:rPr>
                <w:kern w:val="0"/>
                <w:sz w:val="18"/>
                <w:szCs w:val="18"/>
              </w:rPr>
            </w:pPr>
            <w:r>
              <w:rPr>
                <w:kern w:val="0"/>
                <w:sz w:val="18"/>
                <w:szCs w:val="18"/>
              </w:rPr>
              <w:t>套</w:t>
            </w:r>
          </w:p>
        </w:tc>
        <w:tc>
          <w:tcPr>
            <w:tcW w:w="399" w:type="pct"/>
            <w:shd w:val="clear" w:color="auto" w:fill="auto"/>
            <w:noWrap/>
            <w:vAlign w:val="center"/>
          </w:tcPr>
          <w:p>
            <w:pPr>
              <w:widowControl/>
              <w:jc w:val="center"/>
              <w:rPr>
                <w:kern w:val="0"/>
                <w:sz w:val="18"/>
                <w:szCs w:val="18"/>
              </w:rPr>
            </w:pPr>
            <w:r>
              <w:rPr>
                <w:kern w:val="0"/>
                <w:sz w:val="18"/>
                <w:szCs w:val="18"/>
              </w:rPr>
              <w:t>2</w:t>
            </w:r>
          </w:p>
        </w:tc>
        <w:tc>
          <w:tcPr>
            <w:tcW w:w="607" w:type="pct"/>
            <w:shd w:val="clear" w:color="auto" w:fill="auto"/>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33</w:t>
            </w:r>
          </w:p>
        </w:tc>
        <w:tc>
          <w:tcPr>
            <w:tcW w:w="347" w:type="pct"/>
            <w:vMerge w:val="continue"/>
            <w:shd w:val="clear" w:color="auto" w:fill="auto"/>
            <w:noWrap w:val="0"/>
            <w:vAlign w:val="center"/>
          </w:tcPr>
          <w:p>
            <w:pPr>
              <w:widowControl/>
              <w:jc w:val="left"/>
              <w:rPr>
                <w:kern w:val="0"/>
                <w:sz w:val="18"/>
                <w:szCs w:val="18"/>
              </w:rPr>
            </w:pPr>
          </w:p>
        </w:tc>
        <w:tc>
          <w:tcPr>
            <w:tcW w:w="1753" w:type="pct"/>
            <w:shd w:val="clear" w:color="auto" w:fill="auto"/>
            <w:noWrap w:val="0"/>
            <w:vAlign w:val="center"/>
          </w:tcPr>
          <w:p>
            <w:pPr>
              <w:widowControl/>
              <w:jc w:val="center"/>
              <w:rPr>
                <w:kern w:val="0"/>
                <w:sz w:val="18"/>
                <w:szCs w:val="18"/>
              </w:rPr>
            </w:pPr>
            <w:r>
              <w:rPr>
                <w:kern w:val="0"/>
                <w:sz w:val="18"/>
                <w:szCs w:val="18"/>
              </w:rPr>
              <w:t>底库检索服务模块（内网）</w:t>
            </w:r>
          </w:p>
        </w:tc>
        <w:tc>
          <w:tcPr>
            <w:tcW w:w="442" w:type="pct"/>
            <w:shd w:val="clear" w:color="auto" w:fill="auto"/>
            <w:noWrap/>
            <w:vAlign w:val="center"/>
          </w:tcPr>
          <w:p>
            <w:pPr>
              <w:widowControl/>
              <w:jc w:val="center"/>
              <w:rPr>
                <w:kern w:val="0"/>
                <w:sz w:val="18"/>
                <w:szCs w:val="18"/>
              </w:rPr>
            </w:pPr>
            <w:r>
              <w:rPr>
                <w:kern w:val="0"/>
                <w:sz w:val="18"/>
                <w:szCs w:val="18"/>
              </w:rPr>
              <w:t>套</w:t>
            </w:r>
          </w:p>
        </w:tc>
        <w:tc>
          <w:tcPr>
            <w:tcW w:w="399" w:type="pct"/>
            <w:shd w:val="clear" w:color="auto" w:fill="auto"/>
            <w:noWrap/>
            <w:vAlign w:val="center"/>
          </w:tcPr>
          <w:p>
            <w:pPr>
              <w:widowControl/>
              <w:jc w:val="center"/>
              <w:rPr>
                <w:kern w:val="0"/>
                <w:sz w:val="18"/>
                <w:szCs w:val="18"/>
              </w:rPr>
            </w:pPr>
            <w:r>
              <w:rPr>
                <w:kern w:val="0"/>
                <w:sz w:val="18"/>
                <w:szCs w:val="18"/>
              </w:rPr>
              <w:t>1</w:t>
            </w:r>
          </w:p>
        </w:tc>
        <w:tc>
          <w:tcPr>
            <w:tcW w:w="607" w:type="pct"/>
            <w:shd w:val="clear" w:color="auto" w:fill="auto"/>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34</w:t>
            </w:r>
          </w:p>
        </w:tc>
        <w:tc>
          <w:tcPr>
            <w:tcW w:w="347" w:type="pct"/>
            <w:vMerge w:val="continue"/>
            <w:shd w:val="clear" w:color="auto" w:fill="auto"/>
            <w:noWrap w:val="0"/>
            <w:vAlign w:val="center"/>
          </w:tcPr>
          <w:p>
            <w:pPr>
              <w:widowControl/>
              <w:jc w:val="left"/>
              <w:rPr>
                <w:kern w:val="0"/>
                <w:sz w:val="18"/>
                <w:szCs w:val="18"/>
              </w:rPr>
            </w:pPr>
          </w:p>
        </w:tc>
        <w:tc>
          <w:tcPr>
            <w:tcW w:w="1753" w:type="pct"/>
            <w:shd w:val="clear" w:color="auto" w:fill="auto"/>
            <w:noWrap w:val="0"/>
            <w:vAlign w:val="center"/>
          </w:tcPr>
          <w:p>
            <w:pPr>
              <w:widowControl/>
              <w:jc w:val="center"/>
              <w:rPr>
                <w:kern w:val="0"/>
                <w:sz w:val="18"/>
                <w:szCs w:val="18"/>
              </w:rPr>
            </w:pPr>
            <w:r>
              <w:rPr>
                <w:kern w:val="0"/>
                <w:sz w:val="18"/>
                <w:szCs w:val="18"/>
              </w:rPr>
              <w:t>视图库存储服务模块（内网）</w:t>
            </w:r>
          </w:p>
        </w:tc>
        <w:tc>
          <w:tcPr>
            <w:tcW w:w="442" w:type="pct"/>
            <w:shd w:val="clear" w:color="auto" w:fill="auto"/>
            <w:noWrap/>
            <w:vAlign w:val="center"/>
          </w:tcPr>
          <w:p>
            <w:pPr>
              <w:widowControl/>
              <w:jc w:val="center"/>
              <w:rPr>
                <w:kern w:val="0"/>
                <w:sz w:val="18"/>
                <w:szCs w:val="18"/>
              </w:rPr>
            </w:pPr>
            <w:r>
              <w:rPr>
                <w:kern w:val="0"/>
                <w:sz w:val="18"/>
                <w:szCs w:val="18"/>
              </w:rPr>
              <w:t>套</w:t>
            </w:r>
          </w:p>
        </w:tc>
        <w:tc>
          <w:tcPr>
            <w:tcW w:w="399" w:type="pct"/>
            <w:shd w:val="clear" w:color="auto" w:fill="auto"/>
            <w:noWrap/>
            <w:vAlign w:val="center"/>
          </w:tcPr>
          <w:p>
            <w:pPr>
              <w:widowControl/>
              <w:jc w:val="center"/>
              <w:rPr>
                <w:kern w:val="0"/>
                <w:sz w:val="18"/>
                <w:szCs w:val="18"/>
              </w:rPr>
            </w:pPr>
            <w:r>
              <w:rPr>
                <w:kern w:val="0"/>
                <w:sz w:val="18"/>
                <w:szCs w:val="18"/>
              </w:rPr>
              <w:t>2</w:t>
            </w:r>
          </w:p>
        </w:tc>
        <w:tc>
          <w:tcPr>
            <w:tcW w:w="607" w:type="pct"/>
            <w:shd w:val="clear" w:color="auto" w:fill="auto"/>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35</w:t>
            </w:r>
          </w:p>
        </w:tc>
        <w:tc>
          <w:tcPr>
            <w:tcW w:w="347" w:type="pct"/>
            <w:vMerge w:val="continue"/>
            <w:shd w:val="clear" w:color="auto" w:fill="auto"/>
            <w:noWrap w:val="0"/>
            <w:vAlign w:val="center"/>
          </w:tcPr>
          <w:p>
            <w:pPr>
              <w:widowControl/>
              <w:jc w:val="left"/>
              <w:rPr>
                <w:kern w:val="0"/>
                <w:sz w:val="18"/>
                <w:szCs w:val="18"/>
              </w:rPr>
            </w:pPr>
          </w:p>
        </w:tc>
        <w:tc>
          <w:tcPr>
            <w:tcW w:w="1753" w:type="pct"/>
            <w:shd w:val="clear" w:color="auto" w:fill="auto"/>
            <w:noWrap w:val="0"/>
            <w:vAlign w:val="center"/>
          </w:tcPr>
          <w:p>
            <w:pPr>
              <w:widowControl/>
              <w:jc w:val="center"/>
              <w:rPr>
                <w:kern w:val="0"/>
                <w:sz w:val="18"/>
                <w:szCs w:val="18"/>
              </w:rPr>
            </w:pPr>
            <w:r>
              <w:rPr>
                <w:kern w:val="0"/>
                <w:sz w:val="18"/>
                <w:szCs w:val="18"/>
              </w:rPr>
              <w:t>视图库存储服务模块（VPN专网）</w:t>
            </w:r>
          </w:p>
        </w:tc>
        <w:tc>
          <w:tcPr>
            <w:tcW w:w="442" w:type="pct"/>
            <w:shd w:val="clear" w:color="000000" w:fill="FFFFFF"/>
            <w:noWrap/>
            <w:vAlign w:val="center"/>
          </w:tcPr>
          <w:p>
            <w:pPr>
              <w:widowControl/>
              <w:jc w:val="center"/>
              <w:rPr>
                <w:kern w:val="0"/>
                <w:sz w:val="18"/>
                <w:szCs w:val="18"/>
              </w:rPr>
            </w:pPr>
            <w:r>
              <w:rPr>
                <w:kern w:val="0"/>
                <w:sz w:val="18"/>
                <w:szCs w:val="18"/>
              </w:rPr>
              <w:t>套</w:t>
            </w:r>
          </w:p>
        </w:tc>
        <w:tc>
          <w:tcPr>
            <w:tcW w:w="399" w:type="pct"/>
            <w:shd w:val="clear" w:color="000000" w:fill="FFFFFF"/>
            <w:noWrap/>
            <w:vAlign w:val="center"/>
          </w:tcPr>
          <w:p>
            <w:pPr>
              <w:widowControl/>
              <w:jc w:val="center"/>
              <w:rPr>
                <w:kern w:val="0"/>
                <w:sz w:val="18"/>
                <w:szCs w:val="18"/>
              </w:rPr>
            </w:pPr>
            <w:r>
              <w:rPr>
                <w:kern w:val="0"/>
                <w:sz w:val="18"/>
                <w:szCs w:val="18"/>
              </w:rPr>
              <w:t>1</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36</w:t>
            </w:r>
          </w:p>
        </w:tc>
        <w:tc>
          <w:tcPr>
            <w:tcW w:w="347" w:type="pct"/>
            <w:vMerge w:val="continue"/>
            <w:shd w:val="clear" w:color="auto" w:fill="auto"/>
            <w:noWrap w:val="0"/>
            <w:vAlign w:val="center"/>
          </w:tcPr>
          <w:p>
            <w:pPr>
              <w:widowControl/>
              <w:jc w:val="left"/>
              <w:rPr>
                <w:kern w:val="0"/>
                <w:sz w:val="18"/>
                <w:szCs w:val="18"/>
              </w:rPr>
            </w:pPr>
          </w:p>
        </w:tc>
        <w:tc>
          <w:tcPr>
            <w:tcW w:w="1753" w:type="pct"/>
            <w:shd w:val="clear" w:color="auto" w:fill="auto"/>
            <w:noWrap w:val="0"/>
            <w:vAlign w:val="center"/>
          </w:tcPr>
          <w:p>
            <w:pPr>
              <w:widowControl/>
              <w:jc w:val="center"/>
              <w:rPr>
                <w:kern w:val="0"/>
                <w:sz w:val="18"/>
                <w:szCs w:val="18"/>
              </w:rPr>
            </w:pPr>
            <w:r>
              <w:rPr>
                <w:kern w:val="0"/>
                <w:sz w:val="18"/>
                <w:szCs w:val="18"/>
              </w:rPr>
              <w:t>业务服务模块（VPN专网）</w:t>
            </w:r>
          </w:p>
        </w:tc>
        <w:tc>
          <w:tcPr>
            <w:tcW w:w="442" w:type="pct"/>
            <w:shd w:val="clear" w:color="auto" w:fill="auto"/>
            <w:noWrap/>
            <w:vAlign w:val="center"/>
          </w:tcPr>
          <w:p>
            <w:pPr>
              <w:widowControl/>
              <w:jc w:val="center"/>
              <w:rPr>
                <w:kern w:val="0"/>
                <w:sz w:val="18"/>
                <w:szCs w:val="18"/>
              </w:rPr>
            </w:pPr>
            <w:r>
              <w:rPr>
                <w:kern w:val="0"/>
                <w:sz w:val="18"/>
                <w:szCs w:val="18"/>
              </w:rPr>
              <w:t>套</w:t>
            </w:r>
          </w:p>
        </w:tc>
        <w:tc>
          <w:tcPr>
            <w:tcW w:w="399" w:type="pct"/>
            <w:shd w:val="clear" w:color="auto" w:fill="auto"/>
            <w:noWrap/>
            <w:vAlign w:val="center"/>
          </w:tcPr>
          <w:p>
            <w:pPr>
              <w:widowControl/>
              <w:jc w:val="center"/>
              <w:rPr>
                <w:kern w:val="0"/>
                <w:sz w:val="18"/>
                <w:szCs w:val="18"/>
              </w:rPr>
            </w:pPr>
            <w:r>
              <w:rPr>
                <w:kern w:val="0"/>
                <w:sz w:val="18"/>
                <w:szCs w:val="18"/>
              </w:rPr>
              <w:t>1</w:t>
            </w:r>
          </w:p>
        </w:tc>
        <w:tc>
          <w:tcPr>
            <w:tcW w:w="607" w:type="pct"/>
            <w:shd w:val="clear" w:color="auto" w:fill="auto"/>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37</w:t>
            </w:r>
          </w:p>
        </w:tc>
        <w:tc>
          <w:tcPr>
            <w:tcW w:w="2100" w:type="pct"/>
            <w:gridSpan w:val="2"/>
            <w:shd w:val="clear" w:color="auto" w:fill="auto"/>
            <w:noWrap w:val="0"/>
            <w:vAlign w:val="center"/>
          </w:tcPr>
          <w:p>
            <w:pPr>
              <w:widowControl/>
              <w:jc w:val="center"/>
              <w:rPr>
                <w:kern w:val="0"/>
                <w:sz w:val="18"/>
                <w:szCs w:val="18"/>
              </w:rPr>
            </w:pPr>
            <w:r>
              <w:rPr>
                <w:kern w:val="0"/>
                <w:sz w:val="18"/>
                <w:szCs w:val="18"/>
              </w:rPr>
              <w:t>布控球</w:t>
            </w:r>
          </w:p>
        </w:tc>
        <w:tc>
          <w:tcPr>
            <w:tcW w:w="442" w:type="pct"/>
            <w:shd w:val="clear" w:color="auto" w:fill="auto"/>
            <w:noWrap/>
            <w:vAlign w:val="center"/>
          </w:tcPr>
          <w:p>
            <w:pPr>
              <w:widowControl/>
              <w:jc w:val="center"/>
              <w:rPr>
                <w:kern w:val="0"/>
                <w:sz w:val="18"/>
                <w:szCs w:val="18"/>
              </w:rPr>
            </w:pPr>
            <w:r>
              <w:rPr>
                <w:kern w:val="0"/>
                <w:sz w:val="18"/>
                <w:szCs w:val="18"/>
              </w:rPr>
              <w:t>台</w:t>
            </w:r>
          </w:p>
        </w:tc>
        <w:tc>
          <w:tcPr>
            <w:tcW w:w="399" w:type="pct"/>
            <w:shd w:val="clear" w:color="auto" w:fill="auto"/>
            <w:noWrap/>
            <w:vAlign w:val="center"/>
          </w:tcPr>
          <w:p>
            <w:pPr>
              <w:widowControl/>
              <w:jc w:val="center"/>
              <w:rPr>
                <w:kern w:val="0"/>
                <w:sz w:val="18"/>
                <w:szCs w:val="18"/>
              </w:rPr>
            </w:pPr>
            <w:r>
              <w:rPr>
                <w:kern w:val="0"/>
                <w:sz w:val="18"/>
                <w:szCs w:val="18"/>
              </w:rPr>
              <w:t>10</w:t>
            </w:r>
          </w:p>
        </w:tc>
        <w:tc>
          <w:tcPr>
            <w:tcW w:w="607" w:type="pct"/>
            <w:shd w:val="clear" w:color="auto" w:fill="auto"/>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b/>
                <w:bCs/>
                <w:kern w:val="0"/>
                <w:sz w:val="18"/>
                <w:szCs w:val="18"/>
              </w:rPr>
            </w:pPr>
            <w:r>
              <w:rPr>
                <w:b/>
                <w:bCs/>
                <w:kern w:val="0"/>
                <w:sz w:val="18"/>
                <w:szCs w:val="18"/>
              </w:rPr>
              <w:t>38</w:t>
            </w:r>
          </w:p>
        </w:tc>
        <w:tc>
          <w:tcPr>
            <w:tcW w:w="2100" w:type="pct"/>
            <w:gridSpan w:val="2"/>
            <w:shd w:val="clear" w:color="auto" w:fill="auto"/>
            <w:noWrap/>
            <w:vAlign w:val="center"/>
          </w:tcPr>
          <w:p>
            <w:pPr>
              <w:widowControl/>
              <w:jc w:val="center"/>
              <w:rPr>
                <w:b/>
                <w:bCs/>
                <w:kern w:val="0"/>
                <w:sz w:val="18"/>
                <w:szCs w:val="18"/>
              </w:rPr>
            </w:pPr>
            <w:r>
              <w:rPr>
                <w:b/>
                <w:bCs/>
                <w:kern w:val="0"/>
                <w:sz w:val="18"/>
                <w:szCs w:val="18"/>
              </w:rPr>
              <w:t>建设期费用小计</w:t>
            </w:r>
          </w:p>
        </w:tc>
        <w:tc>
          <w:tcPr>
            <w:tcW w:w="442" w:type="pct"/>
            <w:shd w:val="clear" w:color="auto" w:fill="auto"/>
            <w:noWrap/>
            <w:vAlign w:val="center"/>
          </w:tcPr>
          <w:p>
            <w:pPr>
              <w:widowControl/>
              <w:jc w:val="center"/>
              <w:rPr>
                <w:b/>
                <w:bCs/>
                <w:kern w:val="0"/>
                <w:sz w:val="18"/>
                <w:szCs w:val="18"/>
              </w:rPr>
            </w:pPr>
          </w:p>
        </w:tc>
        <w:tc>
          <w:tcPr>
            <w:tcW w:w="399" w:type="pct"/>
            <w:shd w:val="clear" w:color="auto" w:fill="auto"/>
            <w:noWrap/>
            <w:vAlign w:val="center"/>
          </w:tcPr>
          <w:p>
            <w:pPr>
              <w:widowControl/>
              <w:jc w:val="center"/>
              <w:rPr>
                <w:kern w:val="0"/>
                <w:sz w:val="18"/>
                <w:szCs w:val="18"/>
              </w:rPr>
            </w:pPr>
          </w:p>
        </w:tc>
        <w:tc>
          <w:tcPr>
            <w:tcW w:w="607" w:type="pct"/>
            <w:shd w:val="clear" w:color="auto" w:fill="auto"/>
            <w:noWrap w:val="0"/>
            <w:vAlign w:val="center"/>
          </w:tcPr>
          <w:p>
            <w:pPr>
              <w:widowControl/>
              <w:jc w:val="left"/>
              <w:rPr>
                <w:kern w:val="0"/>
                <w:sz w:val="18"/>
                <w:szCs w:val="18"/>
              </w:rPr>
            </w:pPr>
          </w:p>
        </w:tc>
        <w:tc>
          <w:tcPr>
            <w:tcW w:w="683" w:type="pct"/>
            <w:shd w:val="clear" w:color="000000" w:fill="FFFFFF"/>
            <w:noWrap w:val="0"/>
            <w:vAlign w:val="center"/>
          </w:tcPr>
          <w:p>
            <w:pPr>
              <w:widowControl/>
              <w:jc w:val="left"/>
              <w:rPr>
                <w:kern w:val="0"/>
                <w:sz w:val="18"/>
                <w:szCs w:val="18"/>
              </w:rPr>
            </w:pPr>
          </w:p>
        </w:tc>
        <w:tc>
          <w:tcPr>
            <w:tcW w:w="456" w:type="pct"/>
            <w:noWrap w:val="0"/>
            <w:vAlign w:val="center"/>
          </w:tcPr>
          <w:p>
            <w:pPr>
              <w:widowControl/>
              <w:jc w:val="righ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5000" w:type="pct"/>
            <w:gridSpan w:val="8"/>
            <w:noWrap/>
            <w:vAlign w:val="center"/>
          </w:tcPr>
          <w:p>
            <w:pPr>
              <w:widowControl/>
              <w:jc w:val="left"/>
              <w:rPr>
                <w:b/>
                <w:bCs/>
                <w:kern w:val="0"/>
                <w:sz w:val="18"/>
                <w:szCs w:val="18"/>
              </w:rPr>
            </w:pPr>
            <w:r>
              <w:rPr>
                <w:b/>
                <w:bCs/>
                <w:kern w:val="0"/>
                <w:sz w:val="18"/>
                <w:szCs w:val="18"/>
              </w:rPr>
              <w:t>二、服务期清单</w:t>
            </w:r>
          </w:p>
          <w:p>
            <w:pPr>
              <w:widowControl/>
              <w:jc w:val="righ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39</w:t>
            </w:r>
          </w:p>
        </w:tc>
        <w:tc>
          <w:tcPr>
            <w:tcW w:w="2100" w:type="pct"/>
            <w:gridSpan w:val="2"/>
            <w:shd w:val="clear" w:color="auto" w:fill="auto"/>
            <w:noWrap w:val="0"/>
            <w:vAlign w:val="center"/>
          </w:tcPr>
          <w:p>
            <w:pPr>
              <w:widowControl/>
              <w:jc w:val="center"/>
              <w:rPr>
                <w:kern w:val="0"/>
                <w:sz w:val="18"/>
                <w:szCs w:val="18"/>
              </w:rPr>
            </w:pPr>
            <w:r>
              <w:rPr>
                <w:kern w:val="0"/>
                <w:sz w:val="18"/>
                <w:szCs w:val="18"/>
              </w:rPr>
              <w:t>前后端设备维护费</w:t>
            </w:r>
          </w:p>
        </w:tc>
        <w:tc>
          <w:tcPr>
            <w:tcW w:w="442" w:type="pct"/>
            <w:shd w:val="clear" w:color="auto" w:fill="auto"/>
            <w:noWrap/>
            <w:vAlign w:val="center"/>
          </w:tcPr>
          <w:p>
            <w:pPr>
              <w:widowControl/>
              <w:jc w:val="center"/>
              <w:rPr>
                <w:kern w:val="0"/>
                <w:sz w:val="18"/>
                <w:szCs w:val="18"/>
              </w:rPr>
            </w:pPr>
            <w:r>
              <w:rPr>
                <w:kern w:val="0"/>
                <w:sz w:val="18"/>
                <w:szCs w:val="18"/>
              </w:rPr>
              <w:t>年</w:t>
            </w:r>
          </w:p>
        </w:tc>
        <w:tc>
          <w:tcPr>
            <w:tcW w:w="399" w:type="pct"/>
            <w:shd w:val="clear" w:color="auto" w:fill="auto"/>
            <w:noWrap/>
            <w:vAlign w:val="center"/>
          </w:tcPr>
          <w:p>
            <w:pPr>
              <w:widowControl/>
              <w:jc w:val="center"/>
              <w:rPr>
                <w:kern w:val="0"/>
                <w:sz w:val="18"/>
                <w:szCs w:val="18"/>
              </w:rPr>
            </w:pPr>
            <w:r>
              <w:rPr>
                <w:kern w:val="0"/>
                <w:sz w:val="18"/>
                <w:szCs w:val="18"/>
              </w:rPr>
              <w:t>5</w:t>
            </w:r>
          </w:p>
        </w:tc>
        <w:tc>
          <w:tcPr>
            <w:tcW w:w="607" w:type="pct"/>
            <w:shd w:val="clear" w:color="auto" w:fill="auto"/>
            <w:noWrap w:val="0"/>
            <w:vAlign w:val="center"/>
          </w:tcPr>
          <w:p>
            <w:pPr>
              <w:widowControl/>
              <w:jc w:val="left"/>
              <w:rPr>
                <w:kern w:val="0"/>
                <w:sz w:val="18"/>
                <w:szCs w:val="18"/>
              </w:rPr>
            </w:pPr>
          </w:p>
        </w:tc>
        <w:tc>
          <w:tcPr>
            <w:tcW w:w="683" w:type="pct"/>
            <w:shd w:val="clear" w:color="000000" w:fill="FFFFFF"/>
            <w:noWrap w:val="0"/>
            <w:vAlign w:val="center"/>
          </w:tcPr>
          <w:p>
            <w:pPr>
              <w:widowControl/>
              <w:jc w:val="left"/>
              <w:rPr>
                <w:kern w:val="0"/>
                <w:sz w:val="18"/>
                <w:szCs w:val="18"/>
              </w:rPr>
            </w:pPr>
          </w:p>
        </w:tc>
        <w:tc>
          <w:tcPr>
            <w:tcW w:w="456" w:type="pct"/>
            <w:noWrap w:val="0"/>
            <w:vAlign w:val="center"/>
          </w:tcPr>
          <w:p>
            <w:pPr>
              <w:widowControl/>
              <w:jc w:val="righ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40</w:t>
            </w:r>
          </w:p>
        </w:tc>
        <w:tc>
          <w:tcPr>
            <w:tcW w:w="2100" w:type="pct"/>
            <w:gridSpan w:val="2"/>
            <w:shd w:val="clear" w:color="auto" w:fill="auto"/>
            <w:noWrap w:val="0"/>
            <w:vAlign w:val="center"/>
          </w:tcPr>
          <w:p>
            <w:pPr>
              <w:widowControl/>
              <w:jc w:val="center"/>
              <w:rPr>
                <w:kern w:val="0"/>
                <w:sz w:val="18"/>
                <w:szCs w:val="18"/>
              </w:rPr>
            </w:pPr>
            <w:r>
              <w:rPr>
                <w:kern w:val="0"/>
                <w:sz w:val="18"/>
                <w:szCs w:val="18"/>
              </w:rPr>
              <w:t>光缆链路费</w:t>
            </w:r>
          </w:p>
        </w:tc>
        <w:tc>
          <w:tcPr>
            <w:tcW w:w="442" w:type="pct"/>
            <w:shd w:val="clear" w:color="auto" w:fill="auto"/>
            <w:noWrap/>
            <w:vAlign w:val="center"/>
          </w:tcPr>
          <w:p>
            <w:pPr>
              <w:widowControl/>
              <w:jc w:val="center"/>
              <w:rPr>
                <w:kern w:val="0"/>
                <w:sz w:val="18"/>
                <w:szCs w:val="18"/>
              </w:rPr>
            </w:pPr>
            <w:r>
              <w:rPr>
                <w:kern w:val="0"/>
                <w:sz w:val="18"/>
                <w:szCs w:val="18"/>
              </w:rPr>
              <w:t>年</w:t>
            </w:r>
          </w:p>
        </w:tc>
        <w:tc>
          <w:tcPr>
            <w:tcW w:w="399" w:type="pct"/>
            <w:shd w:val="clear" w:color="auto" w:fill="auto"/>
            <w:noWrap/>
            <w:vAlign w:val="center"/>
          </w:tcPr>
          <w:p>
            <w:pPr>
              <w:widowControl/>
              <w:jc w:val="center"/>
              <w:rPr>
                <w:kern w:val="0"/>
                <w:sz w:val="18"/>
                <w:szCs w:val="18"/>
              </w:rPr>
            </w:pPr>
            <w:r>
              <w:rPr>
                <w:kern w:val="0"/>
                <w:sz w:val="18"/>
                <w:szCs w:val="18"/>
              </w:rPr>
              <w:t>5</w:t>
            </w:r>
          </w:p>
        </w:tc>
        <w:tc>
          <w:tcPr>
            <w:tcW w:w="607" w:type="pct"/>
            <w:shd w:val="clear" w:color="auto" w:fill="auto"/>
            <w:noWrap w:val="0"/>
            <w:vAlign w:val="center"/>
          </w:tcPr>
          <w:p>
            <w:pPr>
              <w:widowControl/>
              <w:jc w:val="left"/>
              <w:rPr>
                <w:kern w:val="0"/>
                <w:sz w:val="18"/>
                <w:szCs w:val="18"/>
              </w:rPr>
            </w:pPr>
          </w:p>
        </w:tc>
        <w:tc>
          <w:tcPr>
            <w:tcW w:w="683" w:type="pct"/>
            <w:shd w:val="clear" w:color="000000" w:fill="FFFFFF"/>
            <w:noWrap w:val="0"/>
            <w:vAlign w:val="center"/>
          </w:tcPr>
          <w:p>
            <w:pPr>
              <w:widowControl/>
              <w:jc w:val="left"/>
              <w:rPr>
                <w:kern w:val="0"/>
                <w:sz w:val="18"/>
                <w:szCs w:val="18"/>
              </w:rPr>
            </w:pPr>
          </w:p>
        </w:tc>
        <w:tc>
          <w:tcPr>
            <w:tcW w:w="456" w:type="pct"/>
            <w:noWrap w:val="0"/>
            <w:vAlign w:val="center"/>
          </w:tcPr>
          <w:p>
            <w:pPr>
              <w:widowControl/>
              <w:jc w:val="righ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41</w:t>
            </w:r>
          </w:p>
        </w:tc>
        <w:tc>
          <w:tcPr>
            <w:tcW w:w="2100" w:type="pct"/>
            <w:gridSpan w:val="2"/>
            <w:shd w:val="clear" w:color="auto" w:fill="auto"/>
            <w:noWrap w:val="0"/>
            <w:vAlign w:val="center"/>
          </w:tcPr>
          <w:p>
            <w:pPr>
              <w:widowControl/>
              <w:jc w:val="center"/>
              <w:rPr>
                <w:kern w:val="0"/>
                <w:sz w:val="18"/>
                <w:szCs w:val="18"/>
              </w:rPr>
            </w:pPr>
            <w:r>
              <w:rPr>
                <w:kern w:val="0"/>
                <w:sz w:val="18"/>
                <w:szCs w:val="18"/>
              </w:rPr>
              <w:t>前端工业用电电费</w:t>
            </w:r>
          </w:p>
        </w:tc>
        <w:tc>
          <w:tcPr>
            <w:tcW w:w="442" w:type="pct"/>
            <w:shd w:val="clear" w:color="auto" w:fill="auto"/>
            <w:noWrap/>
            <w:vAlign w:val="center"/>
          </w:tcPr>
          <w:p>
            <w:pPr>
              <w:widowControl/>
              <w:jc w:val="center"/>
              <w:rPr>
                <w:kern w:val="0"/>
                <w:sz w:val="18"/>
                <w:szCs w:val="18"/>
              </w:rPr>
            </w:pPr>
            <w:r>
              <w:rPr>
                <w:kern w:val="0"/>
                <w:sz w:val="18"/>
                <w:szCs w:val="18"/>
              </w:rPr>
              <w:t>项</w:t>
            </w:r>
          </w:p>
        </w:tc>
        <w:tc>
          <w:tcPr>
            <w:tcW w:w="399" w:type="pct"/>
            <w:shd w:val="clear" w:color="auto" w:fill="auto"/>
            <w:noWrap/>
            <w:vAlign w:val="center"/>
          </w:tcPr>
          <w:p>
            <w:pPr>
              <w:widowControl/>
              <w:jc w:val="center"/>
              <w:rPr>
                <w:kern w:val="0"/>
                <w:sz w:val="18"/>
                <w:szCs w:val="18"/>
              </w:rPr>
            </w:pPr>
            <w:r>
              <w:rPr>
                <w:kern w:val="0"/>
                <w:sz w:val="18"/>
                <w:szCs w:val="18"/>
              </w:rPr>
              <w:t>504</w:t>
            </w:r>
          </w:p>
        </w:tc>
        <w:tc>
          <w:tcPr>
            <w:tcW w:w="607" w:type="pct"/>
            <w:shd w:val="clear" w:color="auto" w:fill="auto"/>
            <w:noWrap w:val="0"/>
            <w:vAlign w:val="center"/>
          </w:tcPr>
          <w:p>
            <w:pPr>
              <w:widowControl/>
              <w:jc w:val="left"/>
              <w:rPr>
                <w:kern w:val="0"/>
                <w:sz w:val="18"/>
                <w:szCs w:val="18"/>
              </w:rPr>
            </w:pPr>
          </w:p>
        </w:tc>
        <w:tc>
          <w:tcPr>
            <w:tcW w:w="683" w:type="pct"/>
            <w:shd w:val="clear" w:color="000000" w:fill="FFFFFF"/>
            <w:noWrap w:val="0"/>
            <w:vAlign w:val="center"/>
          </w:tcPr>
          <w:p>
            <w:pPr>
              <w:widowControl/>
              <w:jc w:val="left"/>
              <w:rPr>
                <w:kern w:val="0"/>
                <w:sz w:val="18"/>
                <w:szCs w:val="18"/>
              </w:rPr>
            </w:pPr>
          </w:p>
        </w:tc>
        <w:tc>
          <w:tcPr>
            <w:tcW w:w="456" w:type="pct"/>
            <w:noWrap w:val="0"/>
            <w:vAlign w:val="center"/>
          </w:tcPr>
          <w:p>
            <w:pPr>
              <w:widowControl/>
              <w:jc w:val="righ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42</w:t>
            </w:r>
          </w:p>
        </w:tc>
        <w:tc>
          <w:tcPr>
            <w:tcW w:w="2100" w:type="pct"/>
            <w:gridSpan w:val="2"/>
            <w:shd w:val="clear" w:color="auto" w:fill="auto"/>
            <w:noWrap w:val="0"/>
            <w:vAlign w:val="center"/>
          </w:tcPr>
          <w:p>
            <w:pPr>
              <w:widowControl/>
              <w:jc w:val="center"/>
              <w:rPr>
                <w:kern w:val="0"/>
                <w:sz w:val="18"/>
                <w:szCs w:val="18"/>
              </w:rPr>
            </w:pPr>
            <w:r>
              <w:rPr>
                <w:kern w:val="0"/>
                <w:sz w:val="18"/>
                <w:szCs w:val="18"/>
              </w:rPr>
              <w:t>前端设备维护费</w:t>
            </w:r>
          </w:p>
        </w:tc>
        <w:tc>
          <w:tcPr>
            <w:tcW w:w="442" w:type="pct"/>
            <w:shd w:val="clear" w:color="000000" w:fill="FFFFFF"/>
            <w:noWrap/>
            <w:vAlign w:val="center"/>
          </w:tcPr>
          <w:p>
            <w:pPr>
              <w:widowControl/>
              <w:jc w:val="center"/>
              <w:rPr>
                <w:kern w:val="0"/>
                <w:sz w:val="18"/>
                <w:szCs w:val="18"/>
              </w:rPr>
            </w:pPr>
            <w:r>
              <w:rPr>
                <w:kern w:val="0"/>
                <w:sz w:val="18"/>
                <w:szCs w:val="18"/>
              </w:rPr>
              <w:t>年</w:t>
            </w:r>
          </w:p>
        </w:tc>
        <w:tc>
          <w:tcPr>
            <w:tcW w:w="399" w:type="pct"/>
            <w:shd w:val="clear" w:color="000000" w:fill="FFFFFF"/>
            <w:noWrap/>
            <w:vAlign w:val="center"/>
          </w:tcPr>
          <w:p>
            <w:pPr>
              <w:widowControl/>
              <w:jc w:val="center"/>
              <w:rPr>
                <w:kern w:val="0"/>
                <w:sz w:val="18"/>
                <w:szCs w:val="18"/>
              </w:rPr>
            </w:pPr>
            <w:r>
              <w:rPr>
                <w:kern w:val="0"/>
                <w:sz w:val="18"/>
                <w:szCs w:val="18"/>
              </w:rPr>
              <w:t>5</w:t>
            </w:r>
          </w:p>
        </w:tc>
        <w:tc>
          <w:tcPr>
            <w:tcW w:w="607" w:type="pct"/>
            <w:shd w:val="clear" w:color="000000" w:fill="FFFFFF"/>
            <w:noWrap/>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43</w:t>
            </w:r>
          </w:p>
        </w:tc>
        <w:tc>
          <w:tcPr>
            <w:tcW w:w="2100" w:type="pct"/>
            <w:gridSpan w:val="2"/>
            <w:shd w:val="clear" w:color="auto" w:fill="auto"/>
            <w:noWrap w:val="0"/>
            <w:vAlign w:val="center"/>
          </w:tcPr>
          <w:p>
            <w:pPr>
              <w:widowControl/>
              <w:jc w:val="center"/>
              <w:rPr>
                <w:kern w:val="0"/>
                <w:sz w:val="18"/>
                <w:szCs w:val="18"/>
              </w:rPr>
            </w:pPr>
            <w:r>
              <w:rPr>
                <w:kern w:val="0"/>
                <w:sz w:val="18"/>
                <w:szCs w:val="18"/>
              </w:rPr>
              <w:t>光缆链路费</w:t>
            </w:r>
          </w:p>
        </w:tc>
        <w:tc>
          <w:tcPr>
            <w:tcW w:w="442" w:type="pct"/>
            <w:shd w:val="clear" w:color="000000" w:fill="FFFFFF"/>
            <w:noWrap/>
            <w:vAlign w:val="center"/>
          </w:tcPr>
          <w:p>
            <w:pPr>
              <w:widowControl/>
              <w:jc w:val="center"/>
              <w:rPr>
                <w:kern w:val="0"/>
                <w:sz w:val="18"/>
                <w:szCs w:val="18"/>
              </w:rPr>
            </w:pPr>
            <w:r>
              <w:rPr>
                <w:kern w:val="0"/>
                <w:sz w:val="18"/>
                <w:szCs w:val="18"/>
              </w:rPr>
              <w:t>年</w:t>
            </w:r>
          </w:p>
        </w:tc>
        <w:tc>
          <w:tcPr>
            <w:tcW w:w="399" w:type="pct"/>
            <w:shd w:val="clear" w:color="000000" w:fill="FFFFFF"/>
            <w:noWrap/>
            <w:vAlign w:val="center"/>
          </w:tcPr>
          <w:p>
            <w:pPr>
              <w:widowControl/>
              <w:jc w:val="center"/>
              <w:rPr>
                <w:kern w:val="0"/>
                <w:sz w:val="18"/>
                <w:szCs w:val="18"/>
              </w:rPr>
            </w:pPr>
            <w:r>
              <w:rPr>
                <w:kern w:val="0"/>
                <w:sz w:val="18"/>
                <w:szCs w:val="18"/>
              </w:rPr>
              <w:t>5</w:t>
            </w:r>
          </w:p>
        </w:tc>
        <w:tc>
          <w:tcPr>
            <w:tcW w:w="607" w:type="pct"/>
            <w:shd w:val="clear" w:color="000000" w:fill="FFFFFF"/>
            <w:noWrap/>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44</w:t>
            </w:r>
          </w:p>
        </w:tc>
        <w:tc>
          <w:tcPr>
            <w:tcW w:w="2100" w:type="pct"/>
            <w:gridSpan w:val="2"/>
            <w:shd w:val="clear" w:color="auto" w:fill="auto"/>
            <w:noWrap w:val="0"/>
            <w:vAlign w:val="center"/>
          </w:tcPr>
          <w:p>
            <w:pPr>
              <w:widowControl/>
              <w:jc w:val="center"/>
              <w:rPr>
                <w:kern w:val="0"/>
                <w:sz w:val="18"/>
                <w:szCs w:val="18"/>
              </w:rPr>
            </w:pPr>
            <w:r>
              <w:rPr>
                <w:kern w:val="0"/>
                <w:sz w:val="18"/>
                <w:szCs w:val="18"/>
              </w:rPr>
              <w:t>前端工业用电电费</w:t>
            </w:r>
          </w:p>
        </w:tc>
        <w:tc>
          <w:tcPr>
            <w:tcW w:w="442" w:type="pct"/>
            <w:shd w:val="clear" w:color="000000" w:fill="FFFFFF"/>
            <w:noWrap/>
            <w:vAlign w:val="center"/>
          </w:tcPr>
          <w:p>
            <w:pPr>
              <w:widowControl/>
              <w:jc w:val="center"/>
              <w:rPr>
                <w:kern w:val="0"/>
                <w:sz w:val="18"/>
                <w:szCs w:val="18"/>
              </w:rPr>
            </w:pPr>
            <w:r>
              <w:rPr>
                <w:kern w:val="0"/>
                <w:sz w:val="18"/>
                <w:szCs w:val="18"/>
              </w:rPr>
              <w:t>项</w:t>
            </w:r>
          </w:p>
        </w:tc>
        <w:tc>
          <w:tcPr>
            <w:tcW w:w="399" w:type="pct"/>
            <w:shd w:val="clear" w:color="000000" w:fill="FFFFFF"/>
            <w:noWrap/>
            <w:vAlign w:val="center"/>
          </w:tcPr>
          <w:p>
            <w:pPr>
              <w:widowControl/>
              <w:jc w:val="center"/>
              <w:rPr>
                <w:kern w:val="0"/>
                <w:sz w:val="18"/>
                <w:szCs w:val="18"/>
              </w:rPr>
            </w:pPr>
            <w:r>
              <w:rPr>
                <w:kern w:val="0"/>
                <w:sz w:val="18"/>
                <w:szCs w:val="18"/>
              </w:rPr>
              <w:t>1130</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45</w:t>
            </w:r>
          </w:p>
        </w:tc>
        <w:tc>
          <w:tcPr>
            <w:tcW w:w="2100" w:type="pct"/>
            <w:gridSpan w:val="2"/>
            <w:shd w:val="clear" w:color="auto" w:fill="auto"/>
            <w:noWrap w:val="0"/>
            <w:vAlign w:val="center"/>
          </w:tcPr>
          <w:p>
            <w:pPr>
              <w:widowControl/>
              <w:jc w:val="center"/>
              <w:rPr>
                <w:kern w:val="0"/>
                <w:sz w:val="18"/>
                <w:szCs w:val="18"/>
              </w:rPr>
            </w:pPr>
            <w:r>
              <w:rPr>
                <w:kern w:val="0"/>
                <w:sz w:val="18"/>
                <w:szCs w:val="18"/>
              </w:rPr>
              <w:t>机房工业电费</w:t>
            </w:r>
          </w:p>
        </w:tc>
        <w:tc>
          <w:tcPr>
            <w:tcW w:w="442" w:type="pct"/>
            <w:shd w:val="clear" w:color="000000" w:fill="FFFFFF"/>
            <w:noWrap/>
            <w:vAlign w:val="center"/>
          </w:tcPr>
          <w:p>
            <w:pPr>
              <w:widowControl/>
              <w:jc w:val="center"/>
              <w:rPr>
                <w:kern w:val="0"/>
                <w:sz w:val="18"/>
                <w:szCs w:val="18"/>
              </w:rPr>
            </w:pPr>
            <w:r>
              <w:rPr>
                <w:kern w:val="0"/>
                <w:sz w:val="18"/>
                <w:szCs w:val="18"/>
              </w:rPr>
              <w:t>年</w:t>
            </w:r>
          </w:p>
        </w:tc>
        <w:tc>
          <w:tcPr>
            <w:tcW w:w="399" w:type="pct"/>
            <w:shd w:val="clear" w:color="000000" w:fill="FFFFFF"/>
            <w:noWrap/>
            <w:vAlign w:val="center"/>
          </w:tcPr>
          <w:p>
            <w:pPr>
              <w:widowControl/>
              <w:jc w:val="center"/>
              <w:rPr>
                <w:kern w:val="0"/>
                <w:sz w:val="18"/>
                <w:szCs w:val="18"/>
              </w:rPr>
            </w:pPr>
            <w:r>
              <w:rPr>
                <w:kern w:val="0"/>
                <w:sz w:val="18"/>
                <w:szCs w:val="18"/>
              </w:rPr>
              <w:t>5</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kern w:val="0"/>
                <w:sz w:val="18"/>
                <w:szCs w:val="18"/>
              </w:rPr>
            </w:pPr>
            <w:r>
              <w:rPr>
                <w:kern w:val="0"/>
                <w:sz w:val="18"/>
                <w:szCs w:val="18"/>
              </w:rPr>
              <w:t>46</w:t>
            </w:r>
          </w:p>
        </w:tc>
        <w:tc>
          <w:tcPr>
            <w:tcW w:w="2100" w:type="pct"/>
            <w:gridSpan w:val="2"/>
            <w:shd w:val="clear" w:color="auto" w:fill="auto"/>
            <w:noWrap/>
            <w:vAlign w:val="center"/>
          </w:tcPr>
          <w:p>
            <w:pPr>
              <w:widowControl/>
              <w:jc w:val="center"/>
              <w:rPr>
                <w:b/>
                <w:bCs/>
                <w:kern w:val="0"/>
                <w:sz w:val="18"/>
                <w:szCs w:val="18"/>
              </w:rPr>
            </w:pPr>
            <w:r>
              <w:rPr>
                <w:b/>
                <w:bCs/>
                <w:kern w:val="0"/>
                <w:sz w:val="18"/>
                <w:szCs w:val="18"/>
              </w:rPr>
              <w:t>服务期费用小计</w:t>
            </w:r>
          </w:p>
        </w:tc>
        <w:tc>
          <w:tcPr>
            <w:tcW w:w="442" w:type="pct"/>
            <w:shd w:val="clear" w:color="000000" w:fill="FFFFFF"/>
            <w:noWrap/>
            <w:vAlign w:val="center"/>
          </w:tcPr>
          <w:p>
            <w:pPr>
              <w:widowControl/>
              <w:jc w:val="center"/>
              <w:rPr>
                <w:kern w:val="0"/>
                <w:sz w:val="18"/>
                <w:szCs w:val="18"/>
              </w:rPr>
            </w:pPr>
          </w:p>
        </w:tc>
        <w:tc>
          <w:tcPr>
            <w:tcW w:w="399" w:type="pct"/>
            <w:shd w:val="clear" w:color="000000" w:fill="FFFFFF"/>
            <w:noWrap/>
            <w:vAlign w:val="center"/>
          </w:tcPr>
          <w:p>
            <w:pPr>
              <w:widowControl/>
              <w:jc w:val="center"/>
              <w:rPr>
                <w:kern w:val="0"/>
                <w:sz w:val="18"/>
                <w:szCs w:val="18"/>
              </w:rPr>
            </w:pPr>
          </w:p>
        </w:tc>
        <w:tc>
          <w:tcPr>
            <w:tcW w:w="607" w:type="pct"/>
            <w:shd w:val="clear" w:color="000000" w:fill="FFFFFF"/>
            <w:noWrap w:val="0"/>
            <w:vAlign w:val="center"/>
          </w:tcPr>
          <w:p>
            <w:pPr>
              <w:widowControl/>
              <w:jc w:val="left"/>
              <w:rPr>
                <w:kern w:val="0"/>
                <w:sz w:val="18"/>
                <w:szCs w:val="18"/>
              </w:rPr>
            </w:pPr>
          </w:p>
        </w:tc>
        <w:tc>
          <w:tcPr>
            <w:tcW w:w="683" w:type="pct"/>
            <w:shd w:val="clear" w:color="000000" w:fill="FFFFFF"/>
            <w:noWrap w:val="0"/>
            <w:vAlign w:val="center"/>
          </w:tcPr>
          <w:p>
            <w:pPr>
              <w:widowControl/>
              <w:jc w:val="left"/>
              <w:rPr>
                <w:kern w:val="0"/>
                <w:sz w:val="18"/>
                <w:szCs w:val="18"/>
              </w:rPr>
            </w:pPr>
          </w:p>
        </w:tc>
        <w:tc>
          <w:tcPr>
            <w:tcW w:w="456" w:type="pct"/>
            <w:shd w:val="clear" w:color="000000" w:fill="FFFFFF"/>
            <w:noWrap w:val="0"/>
            <w:vAlign w:val="center"/>
          </w:tcPr>
          <w:p>
            <w:pPr>
              <w:widowControl/>
              <w:jc w:val="righ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310" w:type="pct"/>
            <w:shd w:val="clear" w:color="auto" w:fill="auto"/>
            <w:noWrap/>
            <w:vAlign w:val="center"/>
          </w:tcPr>
          <w:p>
            <w:pPr>
              <w:widowControl/>
              <w:jc w:val="center"/>
              <w:rPr>
                <w:b/>
                <w:bCs/>
                <w:kern w:val="0"/>
                <w:sz w:val="18"/>
                <w:szCs w:val="18"/>
              </w:rPr>
            </w:pPr>
            <w:r>
              <w:rPr>
                <w:b/>
                <w:bCs/>
                <w:kern w:val="0"/>
                <w:sz w:val="18"/>
                <w:szCs w:val="18"/>
              </w:rPr>
              <w:t>47</w:t>
            </w:r>
          </w:p>
        </w:tc>
        <w:tc>
          <w:tcPr>
            <w:tcW w:w="2100" w:type="pct"/>
            <w:gridSpan w:val="2"/>
            <w:shd w:val="clear" w:color="auto" w:fill="auto"/>
            <w:noWrap/>
            <w:vAlign w:val="center"/>
          </w:tcPr>
          <w:p>
            <w:pPr>
              <w:widowControl/>
              <w:jc w:val="center"/>
              <w:rPr>
                <w:b/>
                <w:bCs/>
                <w:kern w:val="0"/>
                <w:sz w:val="18"/>
                <w:szCs w:val="18"/>
              </w:rPr>
            </w:pPr>
            <w:r>
              <w:rPr>
                <w:b/>
                <w:bCs/>
                <w:kern w:val="0"/>
                <w:sz w:val="18"/>
                <w:szCs w:val="18"/>
              </w:rPr>
              <w:t>合计（38+46）</w:t>
            </w:r>
          </w:p>
        </w:tc>
        <w:tc>
          <w:tcPr>
            <w:tcW w:w="442" w:type="pct"/>
            <w:shd w:val="clear" w:color="000000" w:fill="FFFFFF"/>
            <w:noWrap w:val="0"/>
            <w:vAlign w:val="center"/>
          </w:tcPr>
          <w:p>
            <w:pPr>
              <w:widowControl/>
              <w:jc w:val="center"/>
              <w:rPr>
                <w:b/>
                <w:bCs/>
                <w:kern w:val="0"/>
                <w:sz w:val="18"/>
                <w:szCs w:val="18"/>
              </w:rPr>
            </w:pPr>
            <w:r>
              <w:rPr>
                <w:b/>
                <w:bCs/>
                <w:kern w:val="0"/>
                <w:sz w:val="18"/>
                <w:szCs w:val="18"/>
              </w:rPr>
              <w:t>　</w:t>
            </w:r>
          </w:p>
        </w:tc>
        <w:tc>
          <w:tcPr>
            <w:tcW w:w="399" w:type="pct"/>
            <w:shd w:val="clear" w:color="000000" w:fill="FFFFFF"/>
            <w:noWrap w:val="0"/>
            <w:vAlign w:val="center"/>
          </w:tcPr>
          <w:p>
            <w:pPr>
              <w:widowControl/>
              <w:jc w:val="center"/>
              <w:rPr>
                <w:kern w:val="0"/>
                <w:sz w:val="18"/>
                <w:szCs w:val="18"/>
              </w:rPr>
            </w:pPr>
            <w:r>
              <w:rPr>
                <w:kern w:val="0"/>
                <w:sz w:val="18"/>
                <w:szCs w:val="18"/>
              </w:rPr>
              <w:t>　</w:t>
            </w:r>
          </w:p>
        </w:tc>
        <w:tc>
          <w:tcPr>
            <w:tcW w:w="607" w:type="pct"/>
            <w:shd w:val="clear" w:color="000000" w:fill="FFFFFF"/>
            <w:noWrap w:val="0"/>
            <w:vAlign w:val="center"/>
          </w:tcPr>
          <w:p>
            <w:pPr>
              <w:widowControl/>
              <w:jc w:val="left"/>
              <w:rPr>
                <w:kern w:val="0"/>
                <w:sz w:val="18"/>
                <w:szCs w:val="18"/>
              </w:rPr>
            </w:pPr>
            <w:r>
              <w:rPr>
                <w:kern w:val="0"/>
                <w:sz w:val="18"/>
                <w:szCs w:val="18"/>
              </w:rPr>
              <w:t>　</w:t>
            </w:r>
          </w:p>
        </w:tc>
        <w:tc>
          <w:tcPr>
            <w:tcW w:w="683" w:type="pct"/>
            <w:shd w:val="clear" w:color="000000" w:fill="FFFFFF"/>
            <w:noWrap w:val="0"/>
            <w:vAlign w:val="center"/>
          </w:tcPr>
          <w:p>
            <w:pPr>
              <w:widowControl/>
              <w:jc w:val="left"/>
              <w:rPr>
                <w:kern w:val="0"/>
                <w:sz w:val="18"/>
                <w:szCs w:val="18"/>
              </w:rPr>
            </w:pPr>
            <w:r>
              <w:rPr>
                <w:kern w:val="0"/>
                <w:sz w:val="18"/>
                <w:szCs w:val="18"/>
              </w:rPr>
              <w:t>　</w:t>
            </w:r>
          </w:p>
        </w:tc>
        <w:tc>
          <w:tcPr>
            <w:tcW w:w="456" w:type="pct"/>
            <w:shd w:val="clear" w:color="000000" w:fill="FFFFFF"/>
            <w:noWrap w:val="0"/>
            <w:vAlign w:val="center"/>
          </w:tcPr>
          <w:p>
            <w:pPr>
              <w:widowControl/>
              <w:jc w:val="right"/>
              <w:rPr>
                <w:kern w:val="0"/>
                <w:sz w:val="18"/>
                <w:szCs w:val="18"/>
              </w:rPr>
            </w:pPr>
            <w:r>
              <w:rPr>
                <w:kern w:val="0"/>
                <w:sz w:val="18"/>
                <w:szCs w:val="18"/>
              </w:rPr>
              <w:t>　</w:t>
            </w:r>
          </w:p>
        </w:tc>
      </w:tr>
    </w:tbl>
    <w:p>
      <w:pPr>
        <w:adjustRightInd w:val="0"/>
        <w:snapToGrid w:val="0"/>
        <w:ind w:firstLine="420" w:firstLineChars="200"/>
        <w:rPr>
          <w:szCs w:val="21"/>
        </w:rPr>
      </w:pPr>
      <w:r>
        <w:rPr>
          <w:szCs w:val="21"/>
        </w:rPr>
        <w:t>1、供应商的报价包括：应是完成本项目采购范围及实施期的全部内容，包括供应商完成本项目所需的设备购置费、安装费、运输费、保险费等所需的成本支出、合理利润、应缴纳的税金等一切费用；最终汇总价应和开标一览表中报价保持一致。</w:t>
      </w:r>
    </w:p>
    <w:p>
      <w:pPr>
        <w:adjustRightInd w:val="0"/>
        <w:snapToGrid w:val="0"/>
        <w:ind w:firstLine="420" w:firstLineChars="200"/>
        <w:rPr>
          <w:szCs w:val="21"/>
        </w:rPr>
      </w:pPr>
      <w:r>
        <w:rPr>
          <w:szCs w:val="21"/>
        </w:rPr>
        <w:t>2、表中不得有给予采购人的赠品、回扣或者与本项目采购无关的其他商品、服务。</w:t>
      </w:r>
    </w:p>
    <w:p>
      <w:pPr>
        <w:adjustRightInd w:val="0"/>
        <w:snapToGrid w:val="0"/>
        <w:ind w:firstLine="420" w:firstLineChars="200"/>
        <w:rPr>
          <w:szCs w:val="21"/>
        </w:rPr>
      </w:pPr>
      <w:r>
        <w:rPr>
          <w:szCs w:val="21"/>
        </w:rPr>
        <w:t>3、各分项报价应合理，且不得低于成本。</w:t>
      </w:r>
    </w:p>
    <w:p>
      <w:pPr>
        <w:adjustRightInd w:val="0"/>
        <w:snapToGrid w:val="0"/>
        <w:ind w:firstLine="420" w:firstLineChars="200"/>
        <w:rPr>
          <w:szCs w:val="21"/>
          <w:lang w:val="zh-CN"/>
        </w:rPr>
      </w:pPr>
      <w:r>
        <w:rPr>
          <w:szCs w:val="21"/>
        </w:rPr>
        <w:t>4、★</w:t>
      </w:r>
      <w:r>
        <w:rPr>
          <w:b/>
          <w:szCs w:val="21"/>
        </w:rPr>
        <w:t>本次为交钥匙项目，一切与本项目有关的内容均由中标人负责，</w:t>
      </w:r>
      <w:r>
        <w:rPr>
          <w:b/>
          <w:szCs w:val="21"/>
          <w:lang w:val="zh-CN"/>
        </w:rPr>
        <w:t>中标人有义务保证采购人系统的完整性，如项目实施过程中因缺少设备、配件或服务导致采购人系统无法正常运行，中标人须无偿提供</w:t>
      </w:r>
      <w:r>
        <w:rPr>
          <w:szCs w:val="21"/>
          <w:lang w:val="zh-CN"/>
        </w:rPr>
        <w:t>。</w:t>
      </w:r>
    </w:p>
    <w:p>
      <w:pPr>
        <w:adjustRightInd w:val="0"/>
        <w:snapToGrid w:val="0"/>
        <w:ind w:firstLine="420" w:firstLineChars="200"/>
        <w:rPr>
          <w:szCs w:val="21"/>
        </w:rPr>
      </w:pPr>
    </w:p>
    <w:p>
      <w:pPr>
        <w:autoSpaceDE w:val="0"/>
        <w:autoSpaceDN w:val="0"/>
        <w:adjustRightInd w:val="0"/>
        <w:spacing w:line="360" w:lineRule="auto"/>
        <w:ind w:firstLine="3360" w:firstLineChars="1600"/>
        <w:rPr>
          <w:kern w:val="0"/>
          <w:szCs w:val="21"/>
          <w:lang w:val="zh-CN"/>
        </w:rPr>
      </w:pPr>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rPr>
          <w:kern w:val="0"/>
          <w:szCs w:val="21"/>
          <w:lang w:val="zh-CN"/>
        </w:rPr>
      </w:pPr>
      <w:r>
        <w:rPr>
          <w:kern w:val="0"/>
          <w:szCs w:val="21"/>
          <w:lang w:val="zh-CN"/>
        </w:rPr>
        <w:t>日期：年  月   日</w:t>
      </w:r>
    </w:p>
    <w:p>
      <w:pPr>
        <w:numPr>
          <w:ilvl w:val="0"/>
          <w:numId w:val="10"/>
        </w:numPr>
        <w:spacing w:after="120" w:afterLines="50" w:line="520" w:lineRule="exact"/>
        <w:jc w:val="left"/>
        <w:outlineLvl w:val="2"/>
        <w:rPr>
          <w:b/>
          <w:bCs/>
          <w:sz w:val="24"/>
        </w:rPr>
        <w:sectPr>
          <w:pgSz w:w="11906" w:h="16838"/>
          <w:pgMar w:top="1418" w:right="1418" w:bottom="1134" w:left="1418" w:header="851" w:footer="680" w:gutter="0"/>
          <w:pgNumType w:fmt="decimalFullWidth"/>
          <w:cols w:space="720" w:num="1"/>
          <w:docGrid w:linePitch="312" w:charSpace="0"/>
        </w:sectPr>
      </w:pPr>
    </w:p>
    <w:p>
      <w:pPr>
        <w:spacing w:after="120" w:afterLines="50" w:line="520" w:lineRule="exact"/>
        <w:jc w:val="left"/>
        <w:outlineLvl w:val="2"/>
        <w:rPr>
          <w:b/>
          <w:bCs/>
          <w:sz w:val="24"/>
        </w:rPr>
      </w:pPr>
      <w:r>
        <w:rPr>
          <w:b/>
          <w:bCs/>
          <w:sz w:val="24"/>
        </w:rPr>
        <w:t>（四）招标文件中要求的或供应商认为针对报价需要说明的其他文件及资料</w:t>
      </w:r>
    </w:p>
    <w:p/>
    <w:p/>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rPr>
          <w:kern w:val="0"/>
          <w:szCs w:val="21"/>
          <w:lang w:val="zh-CN"/>
        </w:rPr>
      </w:pPr>
      <w:r>
        <w:rPr>
          <w:kern w:val="0"/>
          <w:szCs w:val="21"/>
          <w:lang w:val="zh-CN"/>
        </w:rPr>
        <w:t>日期：  年  月   日</w:t>
      </w:r>
    </w:p>
    <w:p/>
    <w:p/>
    <w:p>
      <w:pPr>
        <w:spacing w:before="120" w:beforeLines="50" w:line="360" w:lineRule="auto"/>
        <w:jc w:val="left"/>
        <w:outlineLvl w:val="1"/>
        <w:rPr>
          <w:b/>
          <w:sz w:val="24"/>
        </w:rPr>
      </w:pPr>
      <w:r>
        <w:br w:type="page"/>
      </w:r>
      <w:bookmarkStart w:id="52" w:name="_Toc10718"/>
      <w:r>
        <w:rPr>
          <w:b/>
          <w:sz w:val="24"/>
        </w:rPr>
        <w:t>二、技术文件格式</w:t>
      </w:r>
      <w:bookmarkEnd w:id="52"/>
    </w:p>
    <w:p>
      <w:pPr>
        <w:spacing w:before="120" w:beforeLines="50" w:line="360" w:lineRule="auto"/>
        <w:jc w:val="center"/>
        <w:rPr>
          <w:b/>
          <w:sz w:val="28"/>
          <w:szCs w:val="28"/>
        </w:rPr>
      </w:pPr>
      <w:r>
        <w:rPr>
          <w:b/>
          <w:sz w:val="28"/>
          <w:szCs w:val="28"/>
        </w:rPr>
        <w:t>目 录</w:t>
      </w:r>
    </w:p>
    <w:p>
      <w:pPr>
        <w:numPr>
          <w:ilvl w:val="1"/>
          <w:numId w:val="11"/>
        </w:numPr>
        <w:spacing w:line="360" w:lineRule="auto"/>
        <w:ind w:left="0" w:firstLine="0"/>
        <w:jc w:val="left"/>
        <w:rPr>
          <w:szCs w:val="21"/>
        </w:rPr>
      </w:pPr>
      <w:r>
        <w:rPr>
          <w:kern w:val="0"/>
          <w:szCs w:val="21"/>
          <w:lang w:val="zh-CN"/>
        </w:rPr>
        <w:t>技术条款偏离说明</w:t>
      </w:r>
      <w:r>
        <w:rPr>
          <w:szCs w:val="21"/>
        </w:rPr>
        <w:t>……………………………………………………（页码）</w:t>
      </w:r>
    </w:p>
    <w:p>
      <w:pPr>
        <w:numPr>
          <w:ilvl w:val="1"/>
          <w:numId w:val="11"/>
        </w:numPr>
        <w:spacing w:line="360" w:lineRule="auto"/>
        <w:ind w:left="0" w:firstLine="0"/>
        <w:jc w:val="left"/>
        <w:rPr>
          <w:kern w:val="0"/>
          <w:szCs w:val="21"/>
          <w:lang w:val="zh-CN"/>
        </w:rPr>
      </w:pPr>
      <w:r>
        <w:rPr>
          <w:szCs w:val="21"/>
        </w:rPr>
        <w:t>投标产品“★”条款和“”条款偏离表…………………………（页码）</w:t>
      </w:r>
    </w:p>
    <w:p>
      <w:pPr>
        <w:numPr>
          <w:ilvl w:val="1"/>
          <w:numId w:val="11"/>
        </w:numPr>
        <w:spacing w:line="360" w:lineRule="auto"/>
        <w:ind w:left="0" w:firstLine="0"/>
        <w:jc w:val="left"/>
        <w:rPr>
          <w:kern w:val="0"/>
          <w:szCs w:val="21"/>
          <w:lang w:val="zh-CN"/>
        </w:rPr>
      </w:pPr>
      <w:r>
        <w:rPr>
          <w:kern w:val="0"/>
          <w:szCs w:val="21"/>
          <w:lang w:val="zh-CN"/>
        </w:rPr>
        <w:t>技术建议书……………</w:t>
      </w:r>
      <w:r>
        <w:rPr>
          <w:szCs w:val="21"/>
        </w:rPr>
        <w:t>……</w:t>
      </w:r>
      <w:r>
        <w:rPr>
          <w:kern w:val="0"/>
          <w:szCs w:val="21"/>
          <w:lang w:val="zh-CN"/>
        </w:rPr>
        <w:t>…………………</w:t>
      </w:r>
      <w:r>
        <w:rPr>
          <w:szCs w:val="21"/>
        </w:rPr>
        <w:t>………………………（页码）</w:t>
      </w:r>
    </w:p>
    <w:p>
      <w:pPr>
        <w:numPr>
          <w:ilvl w:val="1"/>
          <w:numId w:val="11"/>
        </w:numPr>
        <w:spacing w:line="360" w:lineRule="auto"/>
        <w:ind w:left="0" w:firstLine="0"/>
        <w:jc w:val="left"/>
        <w:rPr>
          <w:kern w:val="0"/>
          <w:szCs w:val="21"/>
          <w:lang w:val="zh-CN"/>
        </w:rPr>
      </w:pPr>
      <w:r>
        <w:rPr>
          <w:kern w:val="0"/>
          <w:szCs w:val="21"/>
          <w:lang w:val="zh-CN"/>
        </w:rPr>
        <w:t>项目经验</w:t>
      </w:r>
      <w:r>
        <w:rPr>
          <w:szCs w:val="21"/>
        </w:rPr>
        <w:t>………………………………………………………………（页码）</w:t>
      </w:r>
    </w:p>
    <w:p>
      <w:pPr>
        <w:numPr>
          <w:ilvl w:val="1"/>
          <w:numId w:val="11"/>
        </w:numPr>
        <w:spacing w:line="360" w:lineRule="auto"/>
        <w:ind w:left="0" w:firstLine="0"/>
        <w:jc w:val="left"/>
        <w:rPr>
          <w:kern w:val="0"/>
          <w:szCs w:val="21"/>
          <w:lang w:val="zh-CN"/>
        </w:rPr>
      </w:pPr>
      <w:r>
        <w:rPr>
          <w:szCs w:val="21"/>
        </w:rPr>
        <w:t>有线、无线传输能力</w:t>
      </w:r>
      <w:r>
        <w:rPr>
          <w:kern w:val="0"/>
          <w:szCs w:val="21"/>
          <w:lang w:val="zh-CN"/>
        </w:rPr>
        <w:t>……</w:t>
      </w:r>
      <w:r>
        <w:rPr>
          <w:szCs w:val="21"/>
        </w:rPr>
        <w:t>……</w:t>
      </w:r>
      <w:r>
        <w:rPr>
          <w:kern w:val="0"/>
          <w:szCs w:val="21"/>
          <w:lang w:val="zh-CN"/>
        </w:rPr>
        <w:t>…………………</w:t>
      </w:r>
      <w:r>
        <w:rPr>
          <w:szCs w:val="21"/>
        </w:rPr>
        <w:t>……………………（页码）</w:t>
      </w:r>
    </w:p>
    <w:p>
      <w:pPr>
        <w:numPr>
          <w:ilvl w:val="1"/>
          <w:numId w:val="11"/>
        </w:numPr>
        <w:spacing w:line="360" w:lineRule="auto"/>
        <w:ind w:left="0" w:firstLine="0"/>
        <w:jc w:val="left"/>
        <w:rPr>
          <w:kern w:val="0"/>
          <w:szCs w:val="21"/>
          <w:lang w:val="zh-CN"/>
        </w:rPr>
      </w:pPr>
      <w:r>
        <w:rPr>
          <w:szCs w:val="21"/>
        </w:rPr>
        <w:t>人脸识别系统资质</w:t>
      </w:r>
      <w:r>
        <w:rPr>
          <w:kern w:val="0"/>
          <w:szCs w:val="21"/>
          <w:lang w:val="zh-CN"/>
        </w:rPr>
        <w:t>………</w:t>
      </w:r>
      <w:r>
        <w:rPr>
          <w:szCs w:val="21"/>
        </w:rPr>
        <w:t>……</w:t>
      </w:r>
      <w:r>
        <w:rPr>
          <w:kern w:val="0"/>
          <w:szCs w:val="21"/>
          <w:lang w:val="zh-CN"/>
        </w:rPr>
        <w:t>…………………</w:t>
      </w:r>
      <w:r>
        <w:rPr>
          <w:szCs w:val="21"/>
        </w:rPr>
        <w:t>……………………（页码）</w:t>
      </w:r>
    </w:p>
    <w:p>
      <w:pPr>
        <w:numPr>
          <w:ilvl w:val="1"/>
          <w:numId w:val="11"/>
        </w:numPr>
        <w:spacing w:line="360" w:lineRule="auto"/>
        <w:ind w:left="0" w:firstLine="0"/>
        <w:jc w:val="left"/>
        <w:rPr>
          <w:kern w:val="0"/>
          <w:szCs w:val="21"/>
          <w:lang w:val="zh-CN"/>
        </w:rPr>
      </w:pPr>
      <w:r>
        <w:rPr>
          <w:kern w:val="0"/>
          <w:szCs w:val="21"/>
          <w:lang w:val="zh-CN"/>
        </w:rPr>
        <w:t>投标产品环境、节能证明</w:t>
      </w:r>
      <w:r>
        <w:rPr>
          <w:szCs w:val="21"/>
        </w:rPr>
        <w:t>……………………………………………（页码）</w:t>
      </w:r>
    </w:p>
    <w:p>
      <w:pPr>
        <w:numPr>
          <w:ilvl w:val="1"/>
          <w:numId w:val="11"/>
        </w:numPr>
        <w:spacing w:line="360" w:lineRule="auto"/>
        <w:ind w:left="0" w:firstLine="0"/>
        <w:jc w:val="left"/>
        <w:rPr>
          <w:kern w:val="0"/>
          <w:szCs w:val="21"/>
          <w:lang w:val="zh-CN"/>
        </w:rPr>
      </w:pPr>
      <w:r>
        <w:rPr>
          <w:kern w:val="0"/>
          <w:szCs w:val="21"/>
          <w:lang w:val="zh-CN"/>
        </w:rPr>
        <w:t>招标文件中要求的或供应商认为需要的其他技术文件、说明</w:t>
      </w:r>
      <w:r>
        <w:rPr>
          <w:szCs w:val="21"/>
        </w:rPr>
        <w:t>……（页码）</w:t>
      </w:r>
    </w:p>
    <w:p>
      <w:pPr>
        <w:tabs>
          <w:tab w:val="left" w:pos="567"/>
        </w:tabs>
        <w:spacing w:line="360" w:lineRule="auto"/>
        <w:rPr>
          <w:szCs w:val="21"/>
        </w:rPr>
      </w:pPr>
    </w:p>
    <w:p>
      <w:pPr>
        <w:spacing w:line="360" w:lineRule="auto"/>
        <w:rPr>
          <w:b/>
          <w:bCs/>
          <w:szCs w:val="21"/>
        </w:rPr>
      </w:pPr>
    </w:p>
    <w:p>
      <w:pPr>
        <w:adjustRightInd w:val="0"/>
        <w:snapToGrid w:val="0"/>
        <w:spacing w:line="360" w:lineRule="auto"/>
        <w:rPr>
          <w:b/>
          <w:bCs/>
          <w:szCs w:val="21"/>
        </w:rPr>
      </w:pPr>
      <w:r>
        <w:rPr>
          <w:b/>
          <w:bCs/>
          <w:szCs w:val="21"/>
        </w:rPr>
        <w:t>注：以上目录是编制投标技术文件的基本格式要求，各供应商可根据自身情况进一步细化。</w:t>
      </w:r>
    </w:p>
    <w:p/>
    <w:p>
      <w:pPr>
        <w:numPr>
          <w:ilvl w:val="0"/>
          <w:numId w:val="12"/>
        </w:numPr>
        <w:spacing w:after="120" w:afterLines="50" w:line="520" w:lineRule="exact"/>
        <w:jc w:val="left"/>
        <w:outlineLvl w:val="2"/>
        <w:rPr>
          <w:b/>
          <w:bCs/>
          <w:sz w:val="24"/>
        </w:rPr>
      </w:pPr>
      <w:r>
        <w:br w:type="page"/>
      </w:r>
      <w:r>
        <w:rPr>
          <w:b/>
          <w:bCs/>
          <w:sz w:val="24"/>
        </w:rPr>
        <w:t>技术条款偏离说明</w:t>
      </w:r>
    </w:p>
    <w:p>
      <w:pPr>
        <w:snapToGrid w:val="0"/>
        <w:spacing w:line="300" w:lineRule="auto"/>
        <w:jc w:val="center"/>
        <w:rPr>
          <w:sz w:val="20"/>
        </w:rPr>
      </w:pPr>
      <w:r>
        <w:rPr>
          <w:b/>
          <w:sz w:val="24"/>
          <w:szCs w:val="28"/>
        </w:rPr>
        <w:t>技术条款偏离表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2617"/>
        <w:gridCol w:w="2617"/>
        <w:gridCol w:w="152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pct"/>
            <w:noWrap w:val="0"/>
            <w:vAlign w:val="center"/>
          </w:tcPr>
          <w:p>
            <w:pPr>
              <w:jc w:val="center"/>
              <w:rPr>
                <w:b/>
                <w:szCs w:val="21"/>
              </w:rPr>
            </w:pPr>
            <w:r>
              <w:rPr>
                <w:b/>
                <w:szCs w:val="21"/>
              </w:rPr>
              <w:t>序号</w:t>
            </w:r>
          </w:p>
        </w:tc>
        <w:tc>
          <w:tcPr>
            <w:tcW w:w="1409" w:type="pct"/>
            <w:noWrap w:val="0"/>
            <w:vAlign w:val="center"/>
          </w:tcPr>
          <w:p>
            <w:pPr>
              <w:jc w:val="center"/>
              <w:rPr>
                <w:b/>
                <w:szCs w:val="21"/>
              </w:rPr>
            </w:pPr>
            <w:r>
              <w:rPr>
                <w:b/>
                <w:szCs w:val="21"/>
              </w:rPr>
              <w:t>招标</w:t>
            </w:r>
            <w:r>
              <w:rPr>
                <w:b/>
              </w:rPr>
              <w:t>要求</w:t>
            </w:r>
          </w:p>
        </w:tc>
        <w:tc>
          <w:tcPr>
            <w:tcW w:w="1409" w:type="pct"/>
            <w:noWrap w:val="0"/>
            <w:vAlign w:val="center"/>
          </w:tcPr>
          <w:p>
            <w:pPr>
              <w:jc w:val="center"/>
              <w:rPr>
                <w:b/>
                <w:szCs w:val="21"/>
              </w:rPr>
            </w:pPr>
            <w:r>
              <w:rPr>
                <w:b/>
                <w:szCs w:val="21"/>
              </w:rPr>
              <w:t>投标</w:t>
            </w:r>
            <w:r>
              <w:rPr>
                <w:b/>
              </w:rPr>
              <w:t>响应</w:t>
            </w:r>
          </w:p>
        </w:tc>
        <w:tc>
          <w:tcPr>
            <w:tcW w:w="821" w:type="pct"/>
            <w:noWrap w:val="0"/>
            <w:vAlign w:val="center"/>
          </w:tcPr>
          <w:p>
            <w:pPr>
              <w:jc w:val="center"/>
              <w:rPr>
                <w:b/>
                <w:szCs w:val="21"/>
              </w:rPr>
            </w:pPr>
            <w:r>
              <w:rPr>
                <w:b/>
                <w:szCs w:val="21"/>
              </w:rPr>
              <w:t>偏离情况</w:t>
            </w:r>
          </w:p>
        </w:tc>
        <w:tc>
          <w:tcPr>
            <w:tcW w:w="821" w:type="pct"/>
            <w:noWrap w:val="0"/>
            <w:vAlign w:val="center"/>
          </w:tcPr>
          <w:p>
            <w:pPr>
              <w:jc w:val="center"/>
              <w:rPr>
                <w:b/>
                <w:szCs w:val="21"/>
              </w:rPr>
            </w:pPr>
            <w:r>
              <w:rPr>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pct"/>
            <w:noWrap w:val="0"/>
            <w:vAlign w:val="center"/>
          </w:tcPr>
          <w:p>
            <w:pPr>
              <w:jc w:val="center"/>
              <w:rPr>
                <w:szCs w:val="21"/>
              </w:rPr>
            </w:pPr>
          </w:p>
        </w:tc>
        <w:tc>
          <w:tcPr>
            <w:tcW w:w="1409" w:type="pct"/>
            <w:noWrap w:val="0"/>
            <w:vAlign w:val="center"/>
          </w:tcPr>
          <w:p>
            <w:pPr>
              <w:jc w:val="center"/>
              <w:rPr>
                <w:szCs w:val="21"/>
              </w:rPr>
            </w:pPr>
          </w:p>
        </w:tc>
        <w:tc>
          <w:tcPr>
            <w:tcW w:w="1409" w:type="pct"/>
            <w:noWrap w:val="0"/>
            <w:vAlign w:val="center"/>
          </w:tcPr>
          <w:p>
            <w:pPr>
              <w:jc w:val="center"/>
              <w:rPr>
                <w:szCs w:val="21"/>
              </w:rPr>
            </w:pPr>
          </w:p>
        </w:tc>
        <w:tc>
          <w:tcPr>
            <w:tcW w:w="821" w:type="pct"/>
            <w:noWrap w:val="0"/>
            <w:vAlign w:val="center"/>
          </w:tcPr>
          <w:p>
            <w:pPr>
              <w:jc w:val="center"/>
              <w:rPr>
                <w:szCs w:val="21"/>
              </w:rPr>
            </w:pPr>
          </w:p>
        </w:tc>
        <w:tc>
          <w:tcPr>
            <w:tcW w:w="821" w:type="pct"/>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pct"/>
            <w:noWrap w:val="0"/>
            <w:vAlign w:val="center"/>
          </w:tcPr>
          <w:p>
            <w:pPr>
              <w:jc w:val="center"/>
              <w:rPr>
                <w:szCs w:val="21"/>
              </w:rPr>
            </w:pPr>
          </w:p>
        </w:tc>
        <w:tc>
          <w:tcPr>
            <w:tcW w:w="1409" w:type="pct"/>
            <w:noWrap w:val="0"/>
            <w:vAlign w:val="center"/>
          </w:tcPr>
          <w:p>
            <w:pPr>
              <w:jc w:val="center"/>
              <w:rPr>
                <w:szCs w:val="21"/>
              </w:rPr>
            </w:pPr>
          </w:p>
        </w:tc>
        <w:tc>
          <w:tcPr>
            <w:tcW w:w="1409" w:type="pct"/>
            <w:noWrap w:val="0"/>
            <w:vAlign w:val="center"/>
          </w:tcPr>
          <w:p>
            <w:pPr>
              <w:jc w:val="center"/>
              <w:rPr>
                <w:szCs w:val="21"/>
              </w:rPr>
            </w:pPr>
          </w:p>
        </w:tc>
        <w:tc>
          <w:tcPr>
            <w:tcW w:w="821" w:type="pct"/>
            <w:noWrap w:val="0"/>
            <w:vAlign w:val="center"/>
          </w:tcPr>
          <w:p>
            <w:pPr>
              <w:jc w:val="center"/>
              <w:rPr>
                <w:szCs w:val="21"/>
              </w:rPr>
            </w:pPr>
          </w:p>
        </w:tc>
        <w:tc>
          <w:tcPr>
            <w:tcW w:w="821" w:type="pct"/>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pct"/>
            <w:noWrap w:val="0"/>
            <w:vAlign w:val="center"/>
          </w:tcPr>
          <w:p>
            <w:pPr>
              <w:jc w:val="center"/>
              <w:rPr>
                <w:szCs w:val="21"/>
              </w:rPr>
            </w:pPr>
          </w:p>
        </w:tc>
        <w:tc>
          <w:tcPr>
            <w:tcW w:w="1409" w:type="pct"/>
            <w:noWrap w:val="0"/>
            <w:vAlign w:val="center"/>
          </w:tcPr>
          <w:p>
            <w:pPr>
              <w:jc w:val="center"/>
              <w:rPr>
                <w:szCs w:val="21"/>
              </w:rPr>
            </w:pPr>
          </w:p>
        </w:tc>
        <w:tc>
          <w:tcPr>
            <w:tcW w:w="1409" w:type="pct"/>
            <w:noWrap w:val="0"/>
            <w:vAlign w:val="center"/>
          </w:tcPr>
          <w:p>
            <w:pPr>
              <w:jc w:val="center"/>
              <w:rPr>
                <w:szCs w:val="21"/>
              </w:rPr>
            </w:pPr>
          </w:p>
        </w:tc>
        <w:tc>
          <w:tcPr>
            <w:tcW w:w="821" w:type="pct"/>
            <w:noWrap w:val="0"/>
            <w:vAlign w:val="center"/>
          </w:tcPr>
          <w:p>
            <w:pPr>
              <w:jc w:val="center"/>
              <w:rPr>
                <w:szCs w:val="21"/>
              </w:rPr>
            </w:pPr>
          </w:p>
        </w:tc>
        <w:tc>
          <w:tcPr>
            <w:tcW w:w="821" w:type="pct"/>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pct"/>
            <w:noWrap w:val="0"/>
            <w:vAlign w:val="center"/>
          </w:tcPr>
          <w:p>
            <w:pPr>
              <w:jc w:val="center"/>
              <w:rPr>
                <w:szCs w:val="21"/>
              </w:rPr>
            </w:pPr>
          </w:p>
        </w:tc>
        <w:tc>
          <w:tcPr>
            <w:tcW w:w="1409" w:type="pct"/>
            <w:noWrap w:val="0"/>
            <w:vAlign w:val="center"/>
          </w:tcPr>
          <w:p>
            <w:pPr>
              <w:jc w:val="center"/>
              <w:rPr>
                <w:szCs w:val="21"/>
              </w:rPr>
            </w:pPr>
          </w:p>
        </w:tc>
        <w:tc>
          <w:tcPr>
            <w:tcW w:w="1409" w:type="pct"/>
            <w:noWrap w:val="0"/>
            <w:vAlign w:val="center"/>
          </w:tcPr>
          <w:p>
            <w:pPr>
              <w:jc w:val="center"/>
              <w:rPr>
                <w:szCs w:val="21"/>
              </w:rPr>
            </w:pPr>
          </w:p>
        </w:tc>
        <w:tc>
          <w:tcPr>
            <w:tcW w:w="821" w:type="pct"/>
            <w:noWrap w:val="0"/>
            <w:vAlign w:val="center"/>
          </w:tcPr>
          <w:p>
            <w:pPr>
              <w:jc w:val="center"/>
              <w:rPr>
                <w:szCs w:val="21"/>
              </w:rPr>
            </w:pPr>
          </w:p>
        </w:tc>
        <w:tc>
          <w:tcPr>
            <w:tcW w:w="821" w:type="pct"/>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pct"/>
            <w:noWrap w:val="0"/>
            <w:vAlign w:val="center"/>
          </w:tcPr>
          <w:p>
            <w:pPr>
              <w:jc w:val="center"/>
              <w:rPr>
                <w:szCs w:val="21"/>
              </w:rPr>
            </w:pPr>
          </w:p>
        </w:tc>
        <w:tc>
          <w:tcPr>
            <w:tcW w:w="1409" w:type="pct"/>
            <w:noWrap w:val="0"/>
            <w:vAlign w:val="center"/>
          </w:tcPr>
          <w:p>
            <w:pPr>
              <w:jc w:val="center"/>
              <w:rPr>
                <w:szCs w:val="21"/>
              </w:rPr>
            </w:pPr>
          </w:p>
        </w:tc>
        <w:tc>
          <w:tcPr>
            <w:tcW w:w="1409" w:type="pct"/>
            <w:noWrap w:val="0"/>
            <w:vAlign w:val="center"/>
          </w:tcPr>
          <w:p>
            <w:pPr>
              <w:jc w:val="center"/>
              <w:rPr>
                <w:szCs w:val="21"/>
              </w:rPr>
            </w:pPr>
          </w:p>
        </w:tc>
        <w:tc>
          <w:tcPr>
            <w:tcW w:w="821" w:type="pct"/>
            <w:noWrap w:val="0"/>
            <w:vAlign w:val="center"/>
          </w:tcPr>
          <w:p>
            <w:pPr>
              <w:jc w:val="center"/>
              <w:rPr>
                <w:szCs w:val="21"/>
              </w:rPr>
            </w:pPr>
          </w:p>
        </w:tc>
        <w:tc>
          <w:tcPr>
            <w:tcW w:w="821" w:type="pct"/>
            <w:noWrap w:val="0"/>
            <w:vAlign w:val="center"/>
          </w:tcPr>
          <w:p>
            <w:pPr>
              <w:jc w:val="center"/>
              <w:rPr>
                <w:szCs w:val="21"/>
              </w:rPr>
            </w:pPr>
          </w:p>
        </w:tc>
      </w:tr>
    </w:tbl>
    <w:p>
      <w:pPr>
        <w:spacing w:line="360" w:lineRule="auto"/>
      </w:pPr>
      <w:r>
        <w:t>注：1、针对第三部分“服务需求”逐条对应。</w:t>
      </w:r>
    </w:p>
    <w:p>
      <w:pPr>
        <w:spacing w:line="360" w:lineRule="auto"/>
        <w:ind w:firstLine="420" w:firstLineChars="200"/>
      </w:pPr>
      <w:r>
        <w:rPr>
          <w:kern w:val="0"/>
          <w:szCs w:val="21"/>
        </w:rPr>
        <w:t>2、</w:t>
      </w:r>
      <w:r>
        <w:t>如有偏离，请将相应偏离条款在本偏离表进行集中描述。</w:t>
      </w:r>
    </w:p>
    <w:p>
      <w:pPr>
        <w:spacing w:line="360" w:lineRule="auto"/>
        <w:ind w:firstLine="420" w:firstLineChars="200"/>
      </w:pPr>
      <w:r>
        <w:t>3、偏离说明是指对招标文件要求存在不同之处的解释说明。偏离系指：正偏离（高于招标要求）、负偏离（低于招标要求）、无偏离（满足招标要求）。</w:t>
      </w:r>
    </w:p>
    <w:p>
      <w:pPr>
        <w:spacing w:line="360" w:lineRule="auto"/>
        <w:ind w:firstLine="420" w:firstLineChars="200"/>
      </w:pPr>
      <w:r>
        <w:t>4、若本表为空，视为无偏离。</w:t>
      </w:r>
    </w:p>
    <w:p>
      <w:pPr>
        <w:spacing w:line="360" w:lineRule="auto"/>
        <w:ind w:firstLine="420" w:firstLineChars="200"/>
      </w:pPr>
      <w:r>
        <w:t>5、如果供应商在本偏离表中注明无偏离，评标结束后、签订采购合同前又认为其实际产品与招标技术需求不一致的，并以此为由拒不与采购人按采购需求与响应承诺签订政府采购合同的，供应商有未按照招标文件确定的事项签订政府采购合同的情形，依照政府采购法第七十七条 第一款的规定将被追究法律责任。</w:t>
      </w:r>
    </w:p>
    <w:p>
      <w:pPr>
        <w:spacing w:line="360" w:lineRule="auto"/>
        <w:ind w:firstLine="420" w:firstLineChars="200"/>
      </w:pPr>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rPr>
          <w:kern w:val="0"/>
          <w:szCs w:val="21"/>
          <w:lang w:val="zh-CN"/>
        </w:rPr>
      </w:pPr>
      <w:r>
        <w:rPr>
          <w:kern w:val="0"/>
          <w:szCs w:val="21"/>
          <w:lang w:val="zh-CN"/>
        </w:rPr>
        <w:t>日期：  年  月   日</w:t>
      </w:r>
    </w:p>
    <w:p>
      <w:pPr>
        <w:rPr>
          <w:b/>
          <w:sz w:val="28"/>
        </w:rPr>
      </w:pPr>
    </w:p>
    <w:p>
      <w:pPr>
        <w:spacing w:after="120" w:afterLines="50" w:line="520" w:lineRule="exact"/>
        <w:jc w:val="left"/>
        <w:outlineLvl w:val="2"/>
        <w:rPr>
          <w:b/>
          <w:bCs/>
          <w:sz w:val="24"/>
        </w:rPr>
        <w:sectPr>
          <w:pgSz w:w="11906" w:h="16838"/>
          <w:pgMar w:top="1418" w:right="1418" w:bottom="1134" w:left="1418" w:header="851" w:footer="680" w:gutter="0"/>
          <w:pgNumType w:fmt="decimalFullWidth"/>
          <w:cols w:space="720" w:num="1"/>
          <w:docGrid w:linePitch="312" w:charSpace="0"/>
        </w:sectPr>
      </w:pPr>
    </w:p>
    <w:p>
      <w:pPr>
        <w:numPr>
          <w:ilvl w:val="0"/>
          <w:numId w:val="12"/>
        </w:numPr>
        <w:spacing w:after="120" w:afterLines="50" w:line="520" w:lineRule="exact"/>
        <w:jc w:val="left"/>
        <w:outlineLvl w:val="2"/>
        <w:rPr>
          <w:b/>
          <w:bCs/>
          <w:sz w:val="24"/>
        </w:rPr>
      </w:pPr>
      <w:r>
        <w:rPr>
          <w:b/>
          <w:bCs/>
          <w:sz w:val="24"/>
        </w:rPr>
        <w:t>技术建议书</w:t>
      </w:r>
    </w:p>
    <w:p>
      <w:pPr>
        <w:spacing w:line="360" w:lineRule="auto"/>
        <w:ind w:firstLine="424" w:firstLineChars="202"/>
      </w:pPr>
      <w:r>
        <w:t>根据本项目的采购需求，投标人提出详细的技术建议书，包括但不限于项目方案、售后服务方案、优惠承诺等。</w:t>
      </w:r>
    </w:p>
    <w:p>
      <w:pPr>
        <w:pStyle w:val="9"/>
        <w:spacing w:after="0" w:line="360" w:lineRule="auto"/>
        <w:ind w:right="119" w:firstLine="424" w:firstLineChars="202"/>
      </w:pPr>
      <w:r>
        <w:t>1.项目方案</w:t>
      </w:r>
    </w:p>
    <w:p>
      <w:pPr>
        <w:pStyle w:val="9"/>
        <w:spacing w:after="0" w:line="360" w:lineRule="auto"/>
        <w:ind w:right="119" w:firstLine="424" w:firstLineChars="202"/>
      </w:pPr>
      <w:r>
        <w:t>2.售后服务</w:t>
      </w:r>
    </w:p>
    <w:p>
      <w:pPr>
        <w:pStyle w:val="9"/>
        <w:spacing w:after="0" w:line="360" w:lineRule="auto"/>
        <w:ind w:right="119" w:firstLine="424" w:firstLineChars="202"/>
      </w:pPr>
      <w:r>
        <w:t>（1）售后服务网点</w:t>
      </w:r>
    </w:p>
    <w:p>
      <w:pPr>
        <w:pStyle w:val="9"/>
        <w:spacing w:after="0" w:line="360" w:lineRule="auto"/>
        <w:ind w:right="119" w:firstLine="424" w:firstLineChars="202"/>
        <w:rPr>
          <w:szCs w:val="21"/>
        </w:rPr>
      </w:pPr>
      <w:r>
        <w:rPr>
          <w:szCs w:val="21"/>
        </w:rPr>
        <w:t>投标人售后服务网点设在新昌地区范围内的，提供的维修点位个数（提供相关营业执照复印件加盖公章、门牌照、联系电话和详细地址）</w:t>
      </w:r>
    </w:p>
    <w:p>
      <w:pPr>
        <w:pStyle w:val="9"/>
        <w:spacing w:after="0" w:line="360" w:lineRule="auto"/>
        <w:ind w:right="119" w:firstLine="424" w:firstLineChars="202"/>
        <w:rPr>
          <w:szCs w:val="21"/>
        </w:rPr>
      </w:pPr>
      <w:r>
        <w:rPr>
          <w:szCs w:val="21"/>
        </w:rPr>
        <w:t>（2）售后服务方案</w:t>
      </w:r>
    </w:p>
    <w:p>
      <w:pPr>
        <w:pStyle w:val="9"/>
        <w:spacing w:after="0" w:line="360" w:lineRule="auto"/>
        <w:ind w:right="119" w:firstLine="424" w:firstLineChars="202"/>
        <w:rPr>
          <w:szCs w:val="21"/>
        </w:rPr>
      </w:pPr>
      <w:r>
        <w:rPr>
          <w:szCs w:val="21"/>
        </w:rPr>
        <w:t>3.优惠承诺</w:t>
      </w:r>
    </w:p>
    <w:p>
      <w:pPr>
        <w:pStyle w:val="9"/>
        <w:spacing w:after="0" w:line="360" w:lineRule="auto"/>
        <w:ind w:right="119" w:firstLine="424" w:firstLineChars="202"/>
      </w:pPr>
      <w:r>
        <w:t>（1）投标人针对本项目提供切实可行的优惠承诺</w:t>
      </w:r>
    </w:p>
    <w:p>
      <w:pPr>
        <w:pStyle w:val="9"/>
        <w:spacing w:after="0" w:line="360" w:lineRule="auto"/>
        <w:ind w:right="119" w:firstLine="424" w:firstLineChars="202"/>
        <w:rPr>
          <w:szCs w:val="21"/>
        </w:rPr>
      </w:pPr>
      <w:r>
        <w:rPr>
          <w:szCs w:val="21"/>
        </w:rPr>
        <w:t>（2）提供长驻采购人单位技术保障人员信息</w:t>
      </w:r>
    </w:p>
    <w:p>
      <w:pPr>
        <w:pStyle w:val="9"/>
        <w:spacing w:after="0" w:line="360" w:lineRule="auto"/>
        <w:ind w:right="119" w:firstLine="424" w:firstLineChars="202"/>
      </w:pPr>
      <w:r>
        <w:rPr>
          <w:szCs w:val="21"/>
        </w:rPr>
        <w:t>驻点人员需为投标人本单位或分支机构员工，投标时提供近六个月社保证明的复印件加盖投标人公章</w:t>
      </w:r>
    </w:p>
    <w:p>
      <w:pPr>
        <w:pStyle w:val="9"/>
        <w:spacing w:after="0" w:line="360" w:lineRule="auto"/>
        <w:ind w:right="119" w:firstLine="424" w:firstLineChars="202"/>
      </w:pPr>
      <w:r>
        <w:t>（由供应商根据采购需求及招标文件要求编制）</w:t>
      </w:r>
    </w:p>
    <w:p>
      <w:pPr>
        <w:pStyle w:val="9"/>
        <w:spacing w:line="360" w:lineRule="auto"/>
        <w:ind w:right="119" w:firstLine="420" w:firstLineChars="200"/>
      </w:pPr>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pPr>
      <w:r>
        <w:rPr>
          <w:kern w:val="0"/>
          <w:szCs w:val="21"/>
          <w:lang w:val="zh-CN"/>
        </w:rPr>
        <w:t>日期：  年  月   日</w:t>
      </w:r>
    </w:p>
    <w:p>
      <w:pPr>
        <w:numPr>
          <w:ilvl w:val="0"/>
          <w:numId w:val="12"/>
        </w:numPr>
        <w:spacing w:after="120" w:afterLines="50" w:line="520" w:lineRule="exact"/>
        <w:jc w:val="left"/>
        <w:outlineLvl w:val="2"/>
        <w:rPr>
          <w:b/>
          <w:bCs/>
          <w:sz w:val="24"/>
        </w:rPr>
      </w:pPr>
      <w:r>
        <w:rPr>
          <w:b/>
          <w:sz w:val="28"/>
          <w:szCs w:val="28"/>
        </w:rPr>
        <w:br w:type="page"/>
      </w:r>
      <w:r>
        <w:rPr>
          <w:b/>
          <w:bCs/>
          <w:sz w:val="24"/>
        </w:rPr>
        <w:t>项目经验</w:t>
      </w:r>
    </w:p>
    <w:p>
      <w:pPr>
        <w:autoSpaceDE w:val="0"/>
        <w:autoSpaceDN w:val="0"/>
        <w:adjustRightInd w:val="0"/>
        <w:spacing w:line="360" w:lineRule="auto"/>
        <w:ind w:left="142"/>
        <w:rPr>
          <w:b/>
          <w:szCs w:val="21"/>
        </w:rPr>
      </w:pPr>
      <w:r>
        <w:rPr>
          <w:b/>
          <w:szCs w:val="21"/>
        </w:rPr>
        <w:t xml:space="preserve">附表 : </w:t>
      </w:r>
    </w:p>
    <w:p>
      <w:pPr>
        <w:autoSpaceDE w:val="0"/>
        <w:autoSpaceDN w:val="0"/>
        <w:adjustRightInd w:val="0"/>
        <w:snapToGrid w:val="0"/>
        <w:spacing w:line="360" w:lineRule="auto"/>
        <w:ind w:left="142"/>
        <w:jc w:val="center"/>
        <w:rPr>
          <w:b/>
          <w:szCs w:val="21"/>
        </w:rPr>
      </w:pPr>
      <w:r>
        <w:rPr>
          <w:b/>
          <w:szCs w:val="21"/>
        </w:rPr>
        <w:t>具有类似案例情况一览表</w:t>
      </w:r>
    </w:p>
    <w:p>
      <w:pPr>
        <w:autoSpaceDE w:val="0"/>
        <w:autoSpaceDN w:val="0"/>
        <w:adjustRightInd w:val="0"/>
        <w:snapToGrid w:val="0"/>
        <w:spacing w:line="360" w:lineRule="auto"/>
        <w:ind w:left="142"/>
        <w:jc w:val="center"/>
        <w:rPr>
          <w:b/>
          <w:szCs w:val="21"/>
        </w:rPr>
      </w:pPr>
      <w:r>
        <w:rPr>
          <w:b/>
          <w:szCs w:val="21"/>
        </w:rPr>
        <w:t>（2017年1月1日起至今，以合同签订之日起计）</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140"/>
        <w:gridCol w:w="1228"/>
        <w:gridCol w:w="1276"/>
        <w:gridCol w:w="1134"/>
        <w:gridCol w:w="1920"/>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6" w:type="dxa"/>
            <w:noWrap w:val="0"/>
            <w:vAlign w:val="center"/>
          </w:tcPr>
          <w:p>
            <w:pPr>
              <w:autoSpaceDE w:val="0"/>
              <w:autoSpaceDN w:val="0"/>
              <w:adjustRightInd w:val="0"/>
              <w:jc w:val="center"/>
              <w:rPr>
                <w:b/>
                <w:szCs w:val="21"/>
              </w:rPr>
            </w:pPr>
            <w:r>
              <w:rPr>
                <w:b/>
                <w:szCs w:val="21"/>
              </w:rPr>
              <w:t>项目类型</w:t>
            </w:r>
          </w:p>
        </w:tc>
        <w:tc>
          <w:tcPr>
            <w:tcW w:w="1140" w:type="dxa"/>
            <w:noWrap w:val="0"/>
            <w:vAlign w:val="center"/>
          </w:tcPr>
          <w:p>
            <w:pPr>
              <w:autoSpaceDE w:val="0"/>
              <w:autoSpaceDN w:val="0"/>
              <w:adjustRightInd w:val="0"/>
              <w:jc w:val="center"/>
              <w:rPr>
                <w:b/>
                <w:szCs w:val="21"/>
              </w:rPr>
            </w:pPr>
            <w:r>
              <w:rPr>
                <w:b/>
                <w:szCs w:val="21"/>
              </w:rPr>
              <w:t>项目名称</w:t>
            </w:r>
          </w:p>
        </w:tc>
        <w:tc>
          <w:tcPr>
            <w:tcW w:w="1228" w:type="dxa"/>
            <w:noWrap w:val="0"/>
            <w:vAlign w:val="center"/>
          </w:tcPr>
          <w:p>
            <w:pPr>
              <w:autoSpaceDE w:val="0"/>
              <w:autoSpaceDN w:val="0"/>
              <w:adjustRightInd w:val="0"/>
              <w:jc w:val="center"/>
              <w:rPr>
                <w:b/>
                <w:szCs w:val="21"/>
              </w:rPr>
            </w:pPr>
            <w:r>
              <w:rPr>
                <w:b/>
                <w:szCs w:val="21"/>
              </w:rPr>
              <w:t>服务内容</w:t>
            </w:r>
          </w:p>
        </w:tc>
        <w:tc>
          <w:tcPr>
            <w:tcW w:w="1276" w:type="dxa"/>
            <w:noWrap w:val="0"/>
            <w:vAlign w:val="center"/>
          </w:tcPr>
          <w:p>
            <w:pPr>
              <w:autoSpaceDE w:val="0"/>
              <w:autoSpaceDN w:val="0"/>
              <w:adjustRightInd w:val="0"/>
              <w:jc w:val="center"/>
              <w:rPr>
                <w:b/>
                <w:szCs w:val="21"/>
              </w:rPr>
            </w:pPr>
            <w:r>
              <w:rPr>
                <w:b/>
                <w:szCs w:val="21"/>
              </w:rPr>
              <w:t>项目金额</w:t>
            </w:r>
          </w:p>
        </w:tc>
        <w:tc>
          <w:tcPr>
            <w:tcW w:w="1134" w:type="dxa"/>
            <w:noWrap w:val="0"/>
            <w:vAlign w:val="center"/>
          </w:tcPr>
          <w:p>
            <w:pPr>
              <w:autoSpaceDE w:val="0"/>
              <w:autoSpaceDN w:val="0"/>
              <w:adjustRightInd w:val="0"/>
              <w:jc w:val="center"/>
              <w:rPr>
                <w:b/>
                <w:szCs w:val="21"/>
              </w:rPr>
            </w:pPr>
            <w:r>
              <w:rPr>
                <w:b/>
                <w:szCs w:val="21"/>
              </w:rPr>
              <w:t>合同签订时间</w:t>
            </w:r>
          </w:p>
        </w:tc>
        <w:tc>
          <w:tcPr>
            <w:tcW w:w="1920" w:type="dxa"/>
            <w:noWrap w:val="0"/>
            <w:vAlign w:val="center"/>
          </w:tcPr>
          <w:p>
            <w:pPr>
              <w:autoSpaceDE w:val="0"/>
              <w:autoSpaceDN w:val="0"/>
              <w:adjustRightInd w:val="0"/>
              <w:jc w:val="center"/>
              <w:rPr>
                <w:b/>
                <w:szCs w:val="21"/>
              </w:rPr>
            </w:pPr>
            <w:r>
              <w:rPr>
                <w:b/>
                <w:szCs w:val="21"/>
              </w:rPr>
              <w:t>甲方单位联系人、联系电话</w:t>
            </w:r>
          </w:p>
        </w:tc>
        <w:tc>
          <w:tcPr>
            <w:tcW w:w="1304" w:type="dxa"/>
            <w:noWrap w:val="0"/>
            <w:vAlign w:val="center"/>
          </w:tcPr>
          <w:p>
            <w:pPr>
              <w:autoSpaceDE w:val="0"/>
              <w:autoSpaceDN w:val="0"/>
              <w:adjustRightInd w:val="0"/>
              <w:jc w:val="center"/>
              <w:rPr>
                <w:b/>
                <w:szCs w:val="21"/>
              </w:rPr>
            </w:pPr>
            <w:r>
              <w:rPr>
                <w:b/>
                <w:szCs w:val="21"/>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6" w:type="dxa"/>
            <w:noWrap w:val="0"/>
            <w:vAlign w:val="top"/>
          </w:tcPr>
          <w:p>
            <w:pPr>
              <w:autoSpaceDE w:val="0"/>
              <w:autoSpaceDN w:val="0"/>
              <w:adjustRightInd w:val="0"/>
              <w:spacing w:line="300" w:lineRule="auto"/>
              <w:rPr>
                <w:szCs w:val="21"/>
              </w:rPr>
            </w:pPr>
          </w:p>
        </w:tc>
        <w:tc>
          <w:tcPr>
            <w:tcW w:w="1140" w:type="dxa"/>
            <w:noWrap w:val="0"/>
            <w:vAlign w:val="top"/>
          </w:tcPr>
          <w:p>
            <w:pPr>
              <w:autoSpaceDE w:val="0"/>
              <w:autoSpaceDN w:val="0"/>
              <w:adjustRightInd w:val="0"/>
              <w:spacing w:line="300" w:lineRule="auto"/>
              <w:rPr>
                <w:szCs w:val="21"/>
              </w:rPr>
            </w:pPr>
          </w:p>
        </w:tc>
        <w:tc>
          <w:tcPr>
            <w:tcW w:w="1228" w:type="dxa"/>
            <w:noWrap w:val="0"/>
            <w:vAlign w:val="top"/>
          </w:tcPr>
          <w:p>
            <w:pPr>
              <w:autoSpaceDE w:val="0"/>
              <w:autoSpaceDN w:val="0"/>
              <w:adjustRightInd w:val="0"/>
              <w:spacing w:line="300" w:lineRule="auto"/>
              <w:rPr>
                <w:szCs w:val="21"/>
              </w:rPr>
            </w:pPr>
          </w:p>
        </w:tc>
        <w:tc>
          <w:tcPr>
            <w:tcW w:w="1276" w:type="dxa"/>
            <w:noWrap w:val="0"/>
            <w:vAlign w:val="top"/>
          </w:tcPr>
          <w:p>
            <w:pPr>
              <w:autoSpaceDE w:val="0"/>
              <w:autoSpaceDN w:val="0"/>
              <w:adjustRightInd w:val="0"/>
              <w:spacing w:line="300" w:lineRule="auto"/>
              <w:rPr>
                <w:szCs w:val="21"/>
              </w:rPr>
            </w:pPr>
          </w:p>
        </w:tc>
        <w:tc>
          <w:tcPr>
            <w:tcW w:w="1134" w:type="dxa"/>
            <w:noWrap w:val="0"/>
            <w:vAlign w:val="top"/>
          </w:tcPr>
          <w:p>
            <w:pPr>
              <w:autoSpaceDE w:val="0"/>
              <w:autoSpaceDN w:val="0"/>
              <w:adjustRightInd w:val="0"/>
              <w:spacing w:line="300" w:lineRule="auto"/>
              <w:rPr>
                <w:szCs w:val="21"/>
              </w:rPr>
            </w:pPr>
          </w:p>
        </w:tc>
        <w:tc>
          <w:tcPr>
            <w:tcW w:w="1920" w:type="dxa"/>
            <w:noWrap w:val="0"/>
            <w:vAlign w:val="top"/>
          </w:tcPr>
          <w:p>
            <w:pPr>
              <w:autoSpaceDE w:val="0"/>
              <w:autoSpaceDN w:val="0"/>
              <w:adjustRightInd w:val="0"/>
              <w:spacing w:line="300" w:lineRule="auto"/>
              <w:rPr>
                <w:szCs w:val="21"/>
              </w:rPr>
            </w:pPr>
          </w:p>
        </w:tc>
        <w:tc>
          <w:tcPr>
            <w:tcW w:w="1304" w:type="dxa"/>
            <w:noWrap w:val="0"/>
            <w:vAlign w:val="top"/>
          </w:tcPr>
          <w:p>
            <w:pPr>
              <w:autoSpaceDE w:val="0"/>
              <w:autoSpaceDN w:val="0"/>
              <w:adjustRightInd w:val="0"/>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6" w:type="dxa"/>
            <w:noWrap w:val="0"/>
            <w:vAlign w:val="top"/>
          </w:tcPr>
          <w:p>
            <w:pPr>
              <w:autoSpaceDE w:val="0"/>
              <w:autoSpaceDN w:val="0"/>
              <w:adjustRightInd w:val="0"/>
              <w:spacing w:line="300" w:lineRule="auto"/>
              <w:rPr>
                <w:szCs w:val="21"/>
              </w:rPr>
            </w:pPr>
          </w:p>
        </w:tc>
        <w:tc>
          <w:tcPr>
            <w:tcW w:w="1140" w:type="dxa"/>
            <w:noWrap w:val="0"/>
            <w:vAlign w:val="top"/>
          </w:tcPr>
          <w:p>
            <w:pPr>
              <w:autoSpaceDE w:val="0"/>
              <w:autoSpaceDN w:val="0"/>
              <w:adjustRightInd w:val="0"/>
              <w:spacing w:line="300" w:lineRule="auto"/>
              <w:rPr>
                <w:szCs w:val="21"/>
              </w:rPr>
            </w:pPr>
          </w:p>
        </w:tc>
        <w:tc>
          <w:tcPr>
            <w:tcW w:w="1228" w:type="dxa"/>
            <w:noWrap w:val="0"/>
            <w:vAlign w:val="top"/>
          </w:tcPr>
          <w:p>
            <w:pPr>
              <w:autoSpaceDE w:val="0"/>
              <w:autoSpaceDN w:val="0"/>
              <w:adjustRightInd w:val="0"/>
              <w:spacing w:line="300" w:lineRule="auto"/>
              <w:rPr>
                <w:szCs w:val="21"/>
              </w:rPr>
            </w:pPr>
          </w:p>
        </w:tc>
        <w:tc>
          <w:tcPr>
            <w:tcW w:w="1276" w:type="dxa"/>
            <w:noWrap w:val="0"/>
            <w:vAlign w:val="top"/>
          </w:tcPr>
          <w:p>
            <w:pPr>
              <w:autoSpaceDE w:val="0"/>
              <w:autoSpaceDN w:val="0"/>
              <w:adjustRightInd w:val="0"/>
              <w:spacing w:line="300" w:lineRule="auto"/>
              <w:rPr>
                <w:szCs w:val="21"/>
              </w:rPr>
            </w:pPr>
          </w:p>
        </w:tc>
        <w:tc>
          <w:tcPr>
            <w:tcW w:w="1134" w:type="dxa"/>
            <w:noWrap w:val="0"/>
            <w:vAlign w:val="top"/>
          </w:tcPr>
          <w:p>
            <w:pPr>
              <w:autoSpaceDE w:val="0"/>
              <w:autoSpaceDN w:val="0"/>
              <w:adjustRightInd w:val="0"/>
              <w:spacing w:line="300" w:lineRule="auto"/>
              <w:rPr>
                <w:szCs w:val="21"/>
              </w:rPr>
            </w:pPr>
          </w:p>
        </w:tc>
        <w:tc>
          <w:tcPr>
            <w:tcW w:w="1920" w:type="dxa"/>
            <w:noWrap w:val="0"/>
            <w:vAlign w:val="top"/>
          </w:tcPr>
          <w:p>
            <w:pPr>
              <w:autoSpaceDE w:val="0"/>
              <w:autoSpaceDN w:val="0"/>
              <w:adjustRightInd w:val="0"/>
              <w:spacing w:line="300" w:lineRule="auto"/>
              <w:rPr>
                <w:szCs w:val="21"/>
              </w:rPr>
            </w:pPr>
          </w:p>
        </w:tc>
        <w:tc>
          <w:tcPr>
            <w:tcW w:w="1304" w:type="dxa"/>
            <w:noWrap w:val="0"/>
            <w:vAlign w:val="top"/>
          </w:tcPr>
          <w:p>
            <w:pPr>
              <w:autoSpaceDE w:val="0"/>
              <w:autoSpaceDN w:val="0"/>
              <w:adjustRightInd w:val="0"/>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6" w:type="dxa"/>
            <w:noWrap w:val="0"/>
            <w:vAlign w:val="top"/>
          </w:tcPr>
          <w:p>
            <w:pPr>
              <w:autoSpaceDE w:val="0"/>
              <w:autoSpaceDN w:val="0"/>
              <w:adjustRightInd w:val="0"/>
              <w:spacing w:line="300" w:lineRule="auto"/>
              <w:rPr>
                <w:szCs w:val="21"/>
              </w:rPr>
            </w:pPr>
          </w:p>
        </w:tc>
        <w:tc>
          <w:tcPr>
            <w:tcW w:w="1140" w:type="dxa"/>
            <w:noWrap w:val="0"/>
            <w:vAlign w:val="top"/>
          </w:tcPr>
          <w:p>
            <w:pPr>
              <w:autoSpaceDE w:val="0"/>
              <w:autoSpaceDN w:val="0"/>
              <w:adjustRightInd w:val="0"/>
              <w:spacing w:line="300" w:lineRule="auto"/>
              <w:rPr>
                <w:szCs w:val="21"/>
              </w:rPr>
            </w:pPr>
          </w:p>
        </w:tc>
        <w:tc>
          <w:tcPr>
            <w:tcW w:w="1228" w:type="dxa"/>
            <w:noWrap w:val="0"/>
            <w:vAlign w:val="top"/>
          </w:tcPr>
          <w:p>
            <w:pPr>
              <w:autoSpaceDE w:val="0"/>
              <w:autoSpaceDN w:val="0"/>
              <w:adjustRightInd w:val="0"/>
              <w:spacing w:line="300" w:lineRule="auto"/>
              <w:rPr>
                <w:szCs w:val="21"/>
              </w:rPr>
            </w:pPr>
          </w:p>
        </w:tc>
        <w:tc>
          <w:tcPr>
            <w:tcW w:w="1276" w:type="dxa"/>
            <w:noWrap w:val="0"/>
            <w:vAlign w:val="top"/>
          </w:tcPr>
          <w:p>
            <w:pPr>
              <w:autoSpaceDE w:val="0"/>
              <w:autoSpaceDN w:val="0"/>
              <w:adjustRightInd w:val="0"/>
              <w:spacing w:line="300" w:lineRule="auto"/>
              <w:rPr>
                <w:szCs w:val="21"/>
              </w:rPr>
            </w:pPr>
          </w:p>
        </w:tc>
        <w:tc>
          <w:tcPr>
            <w:tcW w:w="1134" w:type="dxa"/>
            <w:noWrap w:val="0"/>
            <w:vAlign w:val="top"/>
          </w:tcPr>
          <w:p>
            <w:pPr>
              <w:autoSpaceDE w:val="0"/>
              <w:autoSpaceDN w:val="0"/>
              <w:adjustRightInd w:val="0"/>
              <w:spacing w:line="300" w:lineRule="auto"/>
              <w:rPr>
                <w:szCs w:val="21"/>
              </w:rPr>
            </w:pPr>
          </w:p>
        </w:tc>
        <w:tc>
          <w:tcPr>
            <w:tcW w:w="1920" w:type="dxa"/>
            <w:noWrap w:val="0"/>
            <w:vAlign w:val="top"/>
          </w:tcPr>
          <w:p>
            <w:pPr>
              <w:autoSpaceDE w:val="0"/>
              <w:autoSpaceDN w:val="0"/>
              <w:adjustRightInd w:val="0"/>
              <w:spacing w:line="300" w:lineRule="auto"/>
              <w:rPr>
                <w:szCs w:val="21"/>
              </w:rPr>
            </w:pPr>
          </w:p>
        </w:tc>
        <w:tc>
          <w:tcPr>
            <w:tcW w:w="1304" w:type="dxa"/>
            <w:noWrap w:val="0"/>
            <w:vAlign w:val="top"/>
          </w:tcPr>
          <w:p>
            <w:pPr>
              <w:autoSpaceDE w:val="0"/>
              <w:autoSpaceDN w:val="0"/>
              <w:adjustRightInd w:val="0"/>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6" w:type="dxa"/>
            <w:noWrap w:val="0"/>
            <w:vAlign w:val="top"/>
          </w:tcPr>
          <w:p>
            <w:pPr>
              <w:autoSpaceDE w:val="0"/>
              <w:autoSpaceDN w:val="0"/>
              <w:adjustRightInd w:val="0"/>
              <w:spacing w:line="300" w:lineRule="auto"/>
              <w:rPr>
                <w:szCs w:val="21"/>
              </w:rPr>
            </w:pPr>
          </w:p>
        </w:tc>
        <w:tc>
          <w:tcPr>
            <w:tcW w:w="1140" w:type="dxa"/>
            <w:noWrap w:val="0"/>
            <w:vAlign w:val="top"/>
          </w:tcPr>
          <w:p>
            <w:pPr>
              <w:autoSpaceDE w:val="0"/>
              <w:autoSpaceDN w:val="0"/>
              <w:adjustRightInd w:val="0"/>
              <w:spacing w:line="300" w:lineRule="auto"/>
              <w:rPr>
                <w:szCs w:val="21"/>
              </w:rPr>
            </w:pPr>
          </w:p>
        </w:tc>
        <w:tc>
          <w:tcPr>
            <w:tcW w:w="1228" w:type="dxa"/>
            <w:noWrap w:val="0"/>
            <w:vAlign w:val="top"/>
          </w:tcPr>
          <w:p>
            <w:pPr>
              <w:autoSpaceDE w:val="0"/>
              <w:autoSpaceDN w:val="0"/>
              <w:adjustRightInd w:val="0"/>
              <w:spacing w:line="300" w:lineRule="auto"/>
              <w:rPr>
                <w:szCs w:val="21"/>
              </w:rPr>
            </w:pPr>
          </w:p>
        </w:tc>
        <w:tc>
          <w:tcPr>
            <w:tcW w:w="1276" w:type="dxa"/>
            <w:noWrap w:val="0"/>
            <w:vAlign w:val="top"/>
          </w:tcPr>
          <w:p>
            <w:pPr>
              <w:autoSpaceDE w:val="0"/>
              <w:autoSpaceDN w:val="0"/>
              <w:adjustRightInd w:val="0"/>
              <w:spacing w:line="300" w:lineRule="auto"/>
              <w:rPr>
                <w:szCs w:val="21"/>
              </w:rPr>
            </w:pPr>
          </w:p>
        </w:tc>
        <w:tc>
          <w:tcPr>
            <w:tcW w:w="1134" w:type="dxa"/>
            <w:noWrap w:val="0"/>
            <w:vAlign w:val="top"/>
          </w:tcPr>
          <w:p>
            <w:pPr>
              <w:autoSpaceDE w:val="0"/>
              <w:autoSpaceDN w:val="0"/>
              <w:adjustRightInd w:val="0"/>
              <w:spacing w:line="300" w:lineRule="auto"/>
              <w:rPr>
                <w:szCs w:val="21"/>
              </w:rPr>
            </w:pPr>
          </w:p>
        </w:tc>
        <w:tc>
          <w:tcPr>
            <w:tcW w:w="1920" w:type="dxa"/>
            <w:noWrap w:val="0"/>
            <w:vAlign w:val="top"/>
          </w:tcPr>
          <w:p>
            <w:pPr>
              <w:autoSpaceDE w:val="0"/>
              <w:autoSpaceDN w:val="0"/>
              <w:adjustRightInd w:val="0"/>
              <w:spacing w:line="300" w:lineRule="auto"/>
              <w:rPr>
                <w:szCs w:val="21"/>
              </w:rPr>
            </w:pPr>
          </w:p>
        </w:tc>
        <w:tc>
          <w:tcPr>
            <w:tcW w:w="1304" w:type="dxa"/>
            <w:noWrap w:val="0"/>
            <w:vAlign w:val="top"/>
          </w:tcPr>
          <w:p>
            <w:pPr>
              <w:autoSpaceDE w:val="0"/>
              <w:autoSpaceDN w:val="0"/>
              <w:adjustRightInd w:val="0"/>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6" w:type="dxa"/>
            <w:noWrap w:val="0"/>
            <w:vAlign w:val="top"/>
          </w:tcPr>
          <w:p>
            <w:pPr>
              <w:autoSpaceDE w:val="0"/>
              <w:autoSpaceDN w:val="0"/>
              <w:adjustRightInd w:val="0"/>
              <w:spacing w:line="300" w:lineRule="auto"/>
              <w:rPr>
                <w:szCs w:val="21"/>
              </w:rPr>
            </w:pPr>
          </w:p>
        </w:tc>
        <w:tc>
          <w:tcPr>
            <w:tcW w:w="1140" w:type="dxa"/>
            <w:noWrap w:val="0"/>
            <w:vAlign w:val="top"/>
          </w:tcPr>
          <w:p>
            <w:pPr>
              <w:autoSpaceDE w:val="0"/>
              <w:autoSpaceDN w:val="0"/>
              <w:adjustRightInd w:val="0"/>
              <w:spacing w:line="300" w:lineRule="auto"/>
              <w:rPr>
                <w:szCs w:val="21"/>
              </w:rPr>
            </w:pPr>
          </w:p>
        </w:tc>
        <w:tc>
          <w:tcPr>
            <w:tcW w:w="1228" w:type="dxa"/>
            <w:noWrap w:val="0"/>
            <w:vAlign w:val="top"/>
          </w:tcPr>
          <w:p>
            <w:pPr>
              <w:autoSpaceDE w:val="0"/>
              <w:autoSpaceDN w:val="0"/>
              <w:adjustRightInd w:val="0"/>
              <w:spacing w:line="300" w:lineRule="auto"/>
              <w:rPr>
                <w:szCs w:val="21"/>
              </w:rPr>
            </w:pPr>
          </w:p>
        </w:tc>
        <w:tc>
          <w:tcPr>
            <w:tcW w:w="1276" w:type="dxa"/>
            <w:noWrap w:val="0"/>
            <w:vAlign w:val="top"/>
          </w:tcPr>
          <w:p>
            <w:pPr>
              <w:autoSpaceDE w:val="0"/>
              <w:autoSpaceDN w:val="0"/>
              <w:adjustRightInd w:val="0"/>
              <w:spacing w:line="300" w:lineRule="auto"/>
              <w:rPr>
                <w:szCs w:val="21"/>
              </w:rPr>
            </w:pPr>
          </w:p>
        </w:tc>
        <w:tc>
          <w:tcPr>
            <w:tcW w:w="1134" w:type="dxa"/>
            <w:noWrap w:val="0"/>
            <w:vAlign w:val="top"/>
          </w:tcPr>
          <w:p>
            <w:pPr>
              <w:autoSpaceDE w:val="0"/>
              <w:autoSpaceDN w:val="0"/>
              <w:adjustRightInd w:val="0"/>
              <w:spacing w:line="300" w:lineRule="auto"/>
              <w:rPr>
                <w:szCs w:val="21"/>
              </w:rPr>
            </w:pPr>
          </w:p>
        </w:tc>
        <w:tc>
          <w:tcPr>
            <w:tcW w:w="1920" w:type="dxa"/>
            <w:noWrap w:val="0"/>
            <w:vAlign w:val="top"/>
          </w:tcPr>
          <w:p>
            <w:pPr>
              <w:autoSpaceDE w:val="0"/>
              <w:autoSpaceDN w:val="0"/>
              <w:adjustRightInd w:val="0"/>
              <w:spacing w:line="300" w:lineRule="auto"/>
              <w:rPr>
                <w:szCs w:val="21"/>
              </w:rPr>
            </w:pPr>
          </w:p>
        </w:tc>
        <w:tc>
          <w:tcPr>
            <w:tcW w:w="1304" w:type="dxa"/>
            <w:noWrap w:val="0"/>
            <w:vAlign w:val="top"/>
          </w:tcPr>
          <w:p>
            <w:pPr>
              <w:autoSpaceDE w:val="0"/>
              <w:autoSpaceDN w:val="0"/>
              <w:adjustRightInd w:val="0"/>
              <w:spacing w:line="300" w:lineRule="auto"/>
              <w:rPr>
                <w:szCs w:val="21"/>
              </w:rPr>
            </w:pPr>
          </w:p>
        </w:tc>
      </w:tr>
    </w:tbl>
    <w:p>
      <w:pPr>
        <w:autoSpaceDE w:val="0"/>
        <w:autoSpaceDN w:val="0"/>
        <w:adjustRightInd w:val="0"/>
        <w:spacing w:line="360" w:lineRule="auto"/>
        <w:ind w:left="142"/>
        <w:rPr>
          <w:szCs w:val="21"/>
        </w:rPr>
      </w:pPr>
      <w:r>
        <w:rPr>
          <w:b/>
          <w:szCs w:val="21"/>
        </w:rPr>
        <w:t>注：供应商可参照上表的格式自行编制，须随表提交相应的合同关键页复印件（原件备查）。</w:t>
      </w:r>
    </w:p>
    <w:p>
      <w:pPr>
        <w:ind w:left="142"/>
        <w:rPr>
          <w:szCs w:val="21"/>
        </w:rPr>
      </w:pPr>
    </w:p>
    <w:p>
      <w:pPr>
        <w:ind w:left="142"/>
        <w:rPr>
          <w:szCs w:val="21"/>
        </w:rPr>
      </w:pPr>
    </w:p>
    <w:p>
      <w:pPr>
        <w:ind w:left="142"/>
        <w:rPr>
          <w:szCs w:val="21"/>
        </w:rPr>
      </w:pPr>
    </w:p>
    <w:p>
      <w:pPr>
        <w:autoSpaceDE w:val="0"/>
        <w:autoSpaceDN w:val="0"/>
        <w:adjustRightInd w:val="0"/>
        <w:spacing w:line="360" w:lineRule="auto"/>
        <w:ind w:left="142"/>
        <w:jc w:val="center"/>
        <w:rPr>
          <w:kern w:val="0"/>
          <w:szCs w:val="21"/>
          <w:lang w:val="zh-CN"/>
        </w:rPr>
      </w:pPr>
      <w:r>
        <w:rPr>
          <w:kern w:val="0"/>
          <w:szCs w:val="21"/>
          <w:lang w:val="zh-CN"/>
        </w:rPr>
        <w:t>供应商名称（公章）：</w:t>
      </w:r>
    </w:p>
    <w:p>
      <w:pPr>
        <w:autoSpaceDE w:val="0"/>
        <w:autoSpaceDN w:val="0"/>
        <w:adjustRightInd w:val="0"/>
        <w:spacing w:line="360" w:lineRule="auto"/>
        <w:ind w:left="142"/>
        <w:jc w:val="center"/>
        <w:rPr>
          <w:kern w:val="0"/>
          <w:szCs w:val="21"/>
          <w:lang w:val="zh-CN"/>
        </w:rPr>
      </w:pPr>
      <w:r>
        <w:rPr>
          <w:kern w:val="0"/>
          <w:szCs w:val="21"/>
          <w:lang w:val="zh-CN"/>
        </w:rPr>
        <w:t>法定代表人或授权委托人（签字）：</w:t>
      </w:r>
    </w:p>
    <w:p>
      <w:pPr>
        <w:autoSpaceDE w:val="0"/>
        <w:autoSpaceDN w:val="0"/>
        <w:adjustRightInd w:val="0"/>
        <w:spacing w:line="360" w:lineRule="auto"/>
        <w:ind w:left="142"/>
        <w:jc w:val="center"/>
        <w:rPr>
          <w:b/>
          <w:sz w:val="28"/>
          <w:szCs w:val="28"/>
        </w:rPr>
        <w:sectPr>
          <w:pgSz w:w="11906" w:h="16838"/>
          <w:pgMar w:top="1418" w:right="1418" w:bottom="1134" w:left="1418" w:header="851" w:footer="680" w:gutter="0"/>
          <w:cols w:space="720" w:num="1"/>
          <w:docGrid w:linePitch="312" w:charSpace="0"/>
        </w:sectPr>
      </w:pPr>
      <w:r>
        <w:rPr>
          <w:kern w:val="0"/>
          <w:szCs w:val="21"/>
          <w:lang w:val="zh-CN"/>
        </w:rPr>
        <w:t>日期：  年  月   日</w:t>
      </w:r>
    </w:p>
    <w:p>
      <w:pPr>
        <w:numPr>
          <w:ilvl w:val="0"/>
          <w:numId w:val="12"/>
        </w:numPr>
        <w:spacing w:after="120" w:afterLines="50" w:line="520" w:lineRule="exact"/>
        <w:jc w:val="left"/>
        <w:outlineLvl w:val="2"/>
        <w:rPr>
          <w:b/>
          <w:bCs/>
          <w:sz w:val="24"/>
        </w:rPr>
      </w:pPr>
      <w:r>
        <w:rPr>
          <w:b/>
          <w:bCs/>
          <w:sz w:val="24"/>
        </w:rPr>
        <w:t>有线、无线传输能力</w:t>
      </w:r>
    </w:p>
    <w:p>
      <w:pPr>
        <w:pStyle w:val="8"/>
        <w:spacing w:line="360" w:lineRule="auto"/>
        <w:rPr>
          <w:szCs w:val="21"/>
        </w:rPr>
      </w:pPr>
      <w:r>
        <w:rPr>
          <w:szCs w:val="21"/>
        </w:rPr>
        <w:t>1.有线网络</w:t>
      </w:r>
    </w:p>
    <w:p>
      <w:pPr>
        <w:pStyle w:val="8"/>
        <w:spacing w:line="360" w:lineRule="auto"/>
        <w:rPr>
          <w:szCs w:val="21"/>
        </w:rPr>
      </w:pPr>
      <w:r>
        <w:rPr>
          <w:szCs w:val="21"/>
        </w:rPr>
        <w:t>本项目数据传输网络为运营商光纤网络，投标人提供具有自有线路的证明材料（以提供基础电信业务经营许可证复印件加盖公章为准）；</w:t>
      </w:r>
    </w:p>
    <w:p>
      <w:pPr>
        <w:pStyle w:val="8"/>
        <w:spacing w:line="360" w:lineRule="auto"/>
        <w:rPr>
          <w:szCs w:val="21"/>
        </w:rPr>
      </w:pPr>
      <w:r>
        <w:rPr>
          <w:szCs w:val="21"/>
        </w:rPr>
        <w:t>不具备自有线路，提供与线路提供商的意向协议。</w:t>
      </w:r>
    </w:p>
    <w:p>
      <w:pPr>
        <w:pStyle w:val="8"/>
        <w:spacing w:line="360" w:lineRule="auto"/>
        <w:rPr>
          <w:szCs w:val="21"/>
        </w:rPr>
      </w:pPr>
      <w:r>
        <w:rPr>
          <w:szCs w:val="21"/>
        </w:rPr>
        <w:t>（同时提供该意向线路供应商基础电信业务经营许可证复印件加盖公章）</w:t>
      </w:r>
    </w:p>
    <w:p>
      <w:pPr>
        <w:spacing w:line="360" w:lineRule="auto"/>
        <w:rPr>
          <w:bCs/>
          <w:szCs w:val="21"/>
        </w:rPr>
      </w:pPr>
      <w:r>
        <w:rPr>
          <w:bCs/>
          <w:szCs w:val="21"/>
        </w:rPr>
        <w:t>2.无线网络</w:t>
      </w:r>
    </w:p>
    <w:p>
      <w:pPr>
        <w:spacing w:line="360" w:lineRule="auto"/>
        <w:jc w:val="left"/>
        <w:rPr>
          <w:szCs w:val="21"/>
        </w:rPr>
      </w:pPr>
      <w:r>
        <w:rPr>
          <w:szCs w:val="21"/>
        </w:rPr>
        <w:t>本项目数据备用传输网络为运营商无线网络，投标人提供在新昌县区域内的无线网络覆盖情况。</w:t>
      </w:r>
    </w:p>
    <w:p>
      <w:pPr>
        <w:spacing w:line="360" w:lineRule="auto"/>
        <w:rPr>
          <w:b/>
          <w:bCs/>
          <w:szCs w:val="21"/>
        </w:rPr>
      </w:pPr>
      <w:r>
        <w:rPr>
          <w:szCs w:val="21"/>
        </w:rPr>
        <w:t>以投标人提供2020年3月运营商和中国铁塔公司绍兴分公司的基站租金结算依据为准（包括总结算确认单和具体的新昌县区域内物理站站址清单，并加盖投标人公章）。</w:t>
      </w:r>
      <w:r>
        <w:rPr>
          <w:szCs w:val="21"/>
        </w:rPr>
        <w:br w:type="textWrapping"/>
      </w:r>
      <w:r>
        <w:rPr>
          <w:szCs w:val="21"/>
        </w:rPr>
        <w:t>若投标单位本身不具备无线传输资格，需要与通信运营商签订合作协议，并提供签约运营商的相关结算依据，要求同上。</w:t>
      </w:r>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rPr>
          <w:kern w:val="0"/>
          <w:szCs w:val="21"/>
          <w:lang w:val="zh-CN"/>
        </w:rPr>
      </w:pPr>
      <w:r>
        <w:rPr>
          <w:kern w:val="0"/>
          <w:szCs w:val="21"/>
          <w:lang w:val="zh-CN"/>
        </w:rPr>
        <w:t>日期：  年  月   日</w:t>
      </w:r>
    </w:p>
    <w:p>
      <w:pPr>
        <w:rPr>
          <w:b/>
          <w:bCs/>
          <w:sz w:val="24"/>
        </w:rPr>
      </w:pPr>
      <w:r>
        <w:rPr>
          <w:b/>
          <w:bCs/>
          <w:sz w:val="24"/>
        </w:rPr>
        <w:br w:type="page"/>
      </w:r>
    </w:p>
    <w:p>
      <w:pPr>
        <w:numPr>
          <w:ilvl w:val="0"/>
          <w:numId w:val="12"/>
        </w:numPr>
        <w:spacing w:after="120" w:afterLines="50" w:line="520" w:lineRule="exact"/>
        <w:jc w:val="left"/>
        <w:outlineLvl w:val="2"/>
        <w:rPr>
          <w:b/>
          <w:bCs/>
          <w:sz w:val="24"/>
        </w:rPr>
      </w:pPr>
      <w:r>
        <w:rPr>
          <w:b/>
          <w:bCs/>
          <w:sz w:val="24"/>
        </w:rPr>
        <w:t>人脸识别系统资质</w:t>
      </w:r>
    </w:p>
    <w:p>
      <w:pPr>
        <w:spacing w:line="400" w:lineRule="exact"/>
        <w:ind w:firstLine="424" w:firstLineChars="202"/>
        <w:rPr>
          <w:bCs/>
          <w:szCs w:val="21"/>
        </w:rPr>
      </w:pPr>
      <w:r>
        <w:rPr>
          <w:bCs/>
          <w:szCs w:val="21"/>
        </w:rPr>
        <w:t>1、发明专利</w:t>
      </w:r>
    </w:p>
    <w:p>
      <w:pPr>
        <w:spacing w:line="400" w:lineRule="exact"/>
        <w:ind w:firstLine="424" w:firstLineChars="202"/>
        <w:rPr>
          <w:bCs/>
          <w:szCs w:val="21"/>
        </w:rPr>
      </w:pPr>
      <w:r>
        <w:rPr>
          <w:szCs w:val="21"/>
        </w:rPr>
        <w:t>投标人所投人脸识别系统的制造商（生产者）具有下列人脸识别相关发明专利：人脸关键点定位、人脸3D姿态识别、人脸搜索、人脸特征提取、人脸属性识别。（须提供专利复印件，并加盖投标人公章）</w:t>
      </w:r>
    </w:p>
    <w:p>
      <w:pPr>
        <w:spacing w:line="400" w:lineRule="exact"/>
        <w:ind w:firstLine="424" w:firstLineChars="202"/>
        <w:rPr>
          <w:bCs/>
          <w:szCs w:val="21"/>
        </w:rPr>
      </w:pPr>
      <w:r>
        <w:rPr>
          <w:bCs/>
          <w:szCs w:val="21"/>
        </w:rPr>
        <w:t>2、软件著作权</w:t>
      </w:r>
    </w:p>
    <w:p>
      <w:pPr>
        <w:spacing w:line="400" w:lineRule="exact"/>
        <w:ind w:firstLine="424" w:firstLineChars="202"/>
        <w:rPr>
          <w:bCs/>
          <w:szCs w:val="21"/>
        </w:rPr>
      </w:pPr>
      <w:r>
        <w:rPr>
          <w:szCs w:val="21"/>
        </w:rPr>
        <w:t>投标人所投人脸识别系统的制造商（生产者）具有下列人脸识别相关软件著作权：人脸检测定位系统、人脸追踪系统、人像采集系统、海量人脸图像数据智能标注系统、人脸图片的自动标注系统、人脸属性分析系统。（须提供软件著作权复印件，并加盖投标人公章）</w:t>
      </w:r>
    </w:p>
    <w:p>
      <w:pPr>
        <w:spacing w:line="400" w:lineRule="exact"/>
        <w:ind w:firstLine="424" w:firstLineChars="202"/>
        <w:rPr>
          <w:bCs/>
          <w:szCs w:val="21"/>
        </w:rPr>
      </w:pPr>
      <w:r>
        <w:rPr>
          <w:bCs/>
          <w:szCs w:val="21"/>
        </w:rPr>
        <w:br w:type="page"/>
      </w:r>
    </w:p>
    <w:p>
      <w:pPr>
        <w:numPr>
          <w:ilvl w:val="0"/>
          <w:numId w:val="12"/>
        </w:numPr>
        <w:spacing w:after="120" w:afterLines="50" w:line="520" w:lineRule="exact"/>
        <w:jc w:val="left"/>
        <w:outlineLvl w:val="2"/>
        <w:rPr>
          <w:b/>
          <w:bCs/>
          <w:sz w:val="24"/>
        </w:rPr>
      </w:pPr>
      <w:r>
        <w:rPr>
          <w:b/>
          <w:bCs/>
          <w:sz w:val="24"/>
        </w:rPr>
        <w:t>投标产品环境、节能证明（如有）</w:t>
      </w:r>
    </w:p>
    <w:p>
      <w:pPr>
        <w:pStyle w:val="9"/>
        <w:spacing w:line="360" w:lineRule="auto"/>
        <w:ind w:firstLine="420" w:firstLineChars="200"/>
      </w:pPr>
      <w:r>
        <w:t>投标产品若属于节能环保产品的，提供投标产品主体列入财政部、环境保护部“环境标志产品政府采购清单”、投标产品主体列入财政部、国家发展改革委“节能产品政府采购清单”，清单在有效期内，并显著标识投标产品主体出处。</w:t>
      </w:r>
    </w:p>
    <w:p>
      <w:pPr>
        <w:pStyle w:val="9"/>
        <w:spacing w:line="360" w:lineRule="auto"/>
        <w:ind w:firstLine="420" w:firstLineChars="200"/>
      </w:pPr>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rPr>
          <w:kern w:val="0"/>
          <w:szCs w:val="21"/>
          <w:lang w:val="zh-CN"/>
        </w:rPr>
      </w:pPr>
      <w:r>
        <w:rPr>
          <w:kern w:val="0"/>
          <w:szCs w:val="21"/>
          <w:lang w:val="zh-CN"/>
        </w:rPr>
        <w:t>日期：  年  月   日</w:t>
      </w:r>
    </w:p>
    <w:p>
      <w:pPr>
        <w:pStyle w:val="9"/>
        <w:spacing w:line="360" w:lineRule="auto"/>
        <w:ind w:firstLine="420" w:firstLineChars="200"/>
      </w:pPr>
    </w:p>
    <w:p/>
    <w:p>
      <w:pPr>
        <w:sectPr>
          <w:pgSz w:w="11906" w:h="16838"/>
          <w:pgMar w:top="1418" w:right="1418" w:bottom="1134" w:left="1418" w:header="851" w:footer="680" w:gutter="0"/>
          <w:pgNumType w:fmt="decimalFullWidth"/>
          <w:cols w:space="720" w:num="1"/>
          <w:docGrid w:linePitch="312" w:charSpace="0"/>
        </w:sectPr>
      </w:pPr>
    </w:p>
    <w:p>
      <w:pPr>
        <w:numPr>
          <w:ilvl w:val="0"/>
          <w:numId w:val="12"/>
        </w:numPr>
        <w:spacing w:after="120" w:afterLines="50" w:line="520" w:lineRule="exact"/>
        <w:jc w:val="left"/>
        <w:outlineLvl w:val="2"/>
        <w:rPr>
          <w:b/>
          <w:bCs/>
          <w:sz w:val="24"/>
        </w:rPr>
        <w:sectPr>
          <w:footerReference r:id="rId15" w:type="default"/>
          <w:type w:val="continuous"/>
          <w:pgSz w:w="11906" w:h="16838"/>
          <w:pgMar w:top="1418" w:right="1418" w:bottom="1134" w:left="1418" w:header="851" w:footer="680" w:gutter="0"/>
          <w:pgNumType w:fmt="decimalFullWidth"/>
          <w:cols w:space="720" w:num="1"/>
          <w:docGrid w:linePitch="312" w:charSpace="0"/>
        </w:sectPr>
      </w:pPr>
    </w:p>
    <w:p>
      <w:pPr>
        <w:numPr>
          <w:ilvl w:val="0"/>
          <w:numId w:val="12"/>
        </w:numPr>
        <w:spacing w:after="120" w:afterLines="50" w:line="520" w:lineRule="exact"/>
        <w:jc w:val="left"/>
        <w:outlineLvl w:val="2"/>
        <w:rPr>
          <w:b/>
          <w:bCs/>
          <w:sz w:val="24"/>
        </w:rPr>
      </w:pPr>
      <w:r>
        <w:rPr>
          <w:b/>
          <w:bCs/>
          <w:sz w:val="24"/>
        </w:rPr>
        <w:t>招标文件中要求的或供应商认为需要的其他技术文件、说明</w:t>
      </w:r>
    </w:p>
    <w:p/>
    <w:p>
      <w:pPr>
        <w:autoSpaceDE w:val="0"/>
        <w:autoSpaceDN w:val="0"/>
        <w:adjustRightInd w:val="0"/>
        <w:spacing w:line="360" w:lineRule="auto"/>
        <w:ind w:firstLine="3840" w:firstLineChars="1600"/>
        <w:rPr>
          <w:kern w:val="0"/>
          <w:sz w:val="24"/>
          <w:lang w:val="zh-CN"/>
        </w:rPr>
      </w:pPr>
    </w:p>
    <w:p>
      <w:pPr>
        <w:autoSpaceDE w:val="0"/>
        <w:autoSpaceDN w:val="0"/>
        <w:adjustRightInd w:val="0"/>
        <w:spacing w:line="360" w:lineRule="auto"/>
        <w:ind w:firstLine="3840" w:firstLineChars="1600"/>
        <w:rPr>
          <w:kern w:val="0"/>
          <w:sz w:val="24"/>
          <w:lang w:val="zh-CN"/>
        </w:rPr>
      </w:pPr>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rPr>
          <w:kern w:val="0"/>
          <w:szCs w:val="21"/>
          <w:lang w:val="zh-CN"/>
        </w:rPr>
      </w:pPr>
      <w:r>
        <w:rPr>
          <w:kern w:val="0"/>
          <w:szCs w:val="21"/>
          <w:lang w:val="zh-CN"/>
        </w:rPr>
        <w:t>日期：  年  月   日</w:t>
      </w:r>
    </w:p>
    <w:p>
      <w:pPr>
        <w:spacing w:before="120" w:beforeLines="50" w:line="360" w:lineRule="auto"/>
        <w:jc w:val="center"/>
        <w:rPr>
          <w:b/>
          <w:sz w:val="28"/>
          <w:szCs w:val="28"/>
        </w:rPr>
      </w:pPr>
    </w:p>
    <w:p>
      <w:pPr>
        <w:spacing w:line="360" w:lineRule="auto"/>
        <w:ind w:firstLine="480" w:firstLineChars="200"/>
        <w:rPr>
          <w:sz w:val="24"/>
        </w:rPr>
      </w:pPr>
    </w:p>
    <w:p>
      <w:r>
        <w:br w:type="page"/>
      </w:r>
      <w:r>
        <w:rPr>
          <w:kern w:val="0"/>
          <w:sz w:val="24"/>
          <w:lang w:val="zh-CN"/>
        </w:rPr>
        <w:t xml:space="preserve"> </w:t>
      </w:r>
    </w:p>
    <w:p>
      <w:pPr>
        <w:spacing w:before="120" w:beforeLines="50" w:line="360" w:lineRule="auto"/>
        <w:jc w:val="left"/>
        <w:outlineLvl w:val="1"/>
        <w:rPr>
          <w:b/>
          <w:sz w:val="24"/>
        </w:rPr>
      </w:pPr>
      <w:bookmarkStart w:id="53" w:name="_Toc22504"/>
      <w:r>
        <w:rPr>
          <w:b/>
          <w:sz w:val="24"/>
        </w:rPr>
        <w:t>三、商务文件格式</w:t>
      </w:r>
      <w:bookmarkEnd w:id="53"/>
    </w:p>
    <w:p/>
    <w:p>
      <w:pPr>
        <w:spacing w:before="120" w:beforeLines="50" w:line="360" w:lineRule="auto"/>
        <w:jc w:val="center"/>
        <w:rPr>
          <w:b/>
          <w:sz w:val="28"/>
          <w:szCs w:val="28"/>
        </w:rPr>
      </w:pPr>
      <w:r>
        <w:rPr>
          <w:b/>
          <w:sz w:val="28"/>
          <w:szCs w:val="28"/>
        </w:rPr>
        <w:t>目 录</w:t>
      </w:r>
    </w:p>
    <w:p>
      <w:pPr>
        <w:numPr>
          <w:ilvl w:val="0"/>
          <w:numId w:val="13"/>
        </w:numPr>
        <w:tabs>
          <w:tab w:val="left" w:pos="6"/>
        </w:tabs>
        <w:spacing w:line="360" w:lineRule="auto"/>
        <w:ind w:left="0" w:right="706" w:rightChars="336" w:firstLine="6"/>
        <w:rPr>
          <w:szCs w:val="21"/>
        </w:rPr>
      </w:pPr>
      <w:r>
        <w:rPr>
          <w:szCs w:val="21"/>
        </w:rPr>
        <w:t>法定代表人资格证明书及法定代表人授权书……………………………………（页码）</w:t>
      </w:r>
    </w:p>
    <w:p>
      <w:pPr>
        <w:numPr>
          <w:ilvl w:val="0"/>
          <w:numId w:val="13"/>
        </w:numPr>
        <w:tabs>
          <w:tab w:val="left" w:pos="6"/>
        </w:tabs>
        <w:spacing w:line="360" w:lineRule="auto"/>
        <w:ind w:left="0" w:right="706" w:rightChars="336" w:firstLine="6"/>
        <w:rPr>
          <w:szCs w:val="21"/>
        </w:rPr>
      </w:pPr>
      <w:r>
        <w:rPr>
          <w:szCs w:val="21"/>
        </w:rPr>
        <w:t>合同（商务）条款偏离表…………………………………………………………（页码）</w:t>
      </w:r>
    </w:p>
    <w:p>
      <w:pPr>
        <w:numPr>
          <w:ilvl w:val="0"/>
          <w:numId w:val="13"/>
        </w:numPr>
        <w:tabs>
          <w:tab w:val="left" w:pos="6"/>
        </w:tabs>
        <w:spacing w:line="360" w:lineRule="auto"/>
        <w:ind w:left="0" w:right="706" w:rightChars="336" w:firstLine="6"/>
        <w:rPr>
          <w:szCs w:val="21"/>
        </w:rPr>
      </w:pPr>
      <w:r>
        <w:rPr>
          <w:szCs w:val="21"/>
        </w:rPr>
        <w:t>公司介绍及供应商基本情况表……………………………………………………（页码）</w:t>
      </w:r>
    </w:p>
    <w:p>
      <w:pPr>
        <w:numPr>
          <w:ilvl w:val="0"/>
          <w:numId w:val="13"/>
        </w:numPr>
        <w:tabs>
          <w:tab w:val="left" w:pos="6"/>
        </w:tabs>
        <w:spacing w:line="360" w:lineRule="auto"/>
        <w:ind w:left="0" w:right="706" w:rightChars="336" w:firstLine="6"/>
        <w:rPr>
          <w:szCs w:val="21"/>
        </w:rPr>
      </w:pPr>
      <w:r>
        <w:rPr>
          <w:szCs w:val="21"/>
        </w:rPr>
        <w:t>供应商的小微企业证明……………………………………………………………（页码）</w:t>
      </w:r>
    </w:p>
    <w:p>
      <w:pPr>
        <w:numPr>
          <w:ilvl w:val="0"/>
          <w:numId w:val="13"/>
        </w:numPr>
        <w:tabs>
          <w:tab w:val="left" w:pos="6"/>
        </w:tabs>
        <w:spacing w:line="360" w:lineRule="auto"/>
        <w:ind w:left="0" w:right="706" w:rightChars="336" w:firstLine="6"/>
        <w:rPr>
          <w:szCs w:val="21"/>
        </w:rPr>
      </w:pPr>
      <w:r>
        <w:rPr>
          <w:spacing w:val="-10"/>
          <w:szCs w:val="21"/>
        </w:rPr>
        <w:t>供应商省级以上监狱管理局、戒毒管理局(含新疆生产建设兵团) 出具的属于监狱企业的证明文件</w:t>
      </w:r>
      <w:r>
        <w:rPr>
          <w:szCs w:val="21"/>
        </w:rPr>
        <w:t>…………………………………………………………………………………………（页码）</w:t>
      </w:r>
    </w:p>
    <w:p>
      <w:pPr>
        <w:numPr>
          <w:ilvl w:val="0"/>
          <w:numId w:val="13"/>
        </w:numPr>
        <w:tabs>
          <w:tab w:val="left" w:pos="6"/>
        </w:tabs>
        <w:spacing w:line="360" w:lineRule="auto"/>
        <w:ind w:left="0" w:right="706" w:rightChars="336" w:firstLine="6"/>
        <w:rPr>
          <w:szCs w:val="21"/>
        </w:rPr>
      </w:pPr>
      <w:r>
        <w:rPr>
          <w:spacing w:val="-10"/>
          <w:szCs w:val="21"/>
        </w:rPr>
        <w:t>《残疾人福利性单位声明函》</w:t>
      </w:r>
      <w:r>
        <w:rPr>
          <w:szCs w:val="21"/>
        </w:rPr>
        <w:t>………………………………………………………（页码）</w:t>
      </w:r>
    </w:p>
    <w:p>
      <w:pPr>
        <w:numPr>
          <w:ilvl w:val="0"/>
          <w:numId w:val="13"/>
        </w:numPr>
        <w:tabs>
          <w:tab w:val="left" w:pos="6"/>
        </w:tabs>
        <w:spacing w:line="360" w:lineRule="auto"/>
        <w:ind w:left="0" w:right="706" w:rightChars="336" w:firstLine="6"/>
        <w:rPr>
          <w:szCs w:val="21"/>
        </w:rPr>
      </w:pPr>
      <w:r>
        <w:rPr>
          <w:szCs w:val="21"/>
        </w:rPr>
        <w:t>廉政承诺书…………………………………………………………………………（页码）</w:t>
      </w:r>
    </w:p>
    <w:p>
      <w:pPr>
        <w:numPr>
          <w:ilvl w:val="0"/>
          <w:numId w:val="13"/>
        </w:numPr>
        <w:tabs>
          <w:tab w:val="left" w:pos="6"/>
        </w:tabs>
        <w:spacing w:line="360" w:lineRule="auto"/>
        <w:ind w:left="0" w:right="706" w:rightChars="336" w:firstLine="6"/>
        <w:rPr>
          <w:szCs w:val="21"/>
        </w:rPr>
      </w:pPr>
      <w:r>
        <w:rPr>
          <w:szCs w:val="21"/>
        </w:rPr>
        <w:t>投标人资质…………………………………………………………………………（页码）</w:t>
      </w:r>
    </w:p>
    <w:p>
      <w:pPr>
        <w:numPr>
          <w:ilvl w:val="0"/>
          <w:numId w:val="13"/>
        </w:numPr>
        <w:tabs>
          <w:tab w:val="left" w:pos="6"/>
        </w:tabs>
        <w:spacing w:line="360" w:lineRule="auto"/>
        <w:ind w:left="0" w:right="706" w:rightChars="336" w:firstLine="6"/>
        <w:rPr>
          <w:szCs w:val="21"/>
        </w:rPr>
      </w:pPr>
      <w:r>
        <w:rPr>
          <w:szCs w:val="21"/>
        </w:rPr>
        <w:t>招标文件中要求的或供应商认为需要的其他商务文件、说明…………………（页码）</w:t>
      </w:r>
    </w:p>
    <w:p>
      <w:pPr>
        <w:spacing w:line="360" w:lineRule="auto"/>
        <w:rPr>
          <w:b/>
          <w:bCs/>
          <w:szCs w:val="21"/>
        </w:rPr>
      </w:pPr>
    </w:p>
    <w:p>
      <w:pPr>
        <w:spacing w:line="360" w:lineRule="auto"/>
        <w:rPr>
          <w:b/>
          <w:bCs/>
          <w:szCs w:val="21"/>
        </w:rPr>
      </w:pPr>
      <w:r>
        <w:rPr>
          <w:b/>
          <w:bCs/>
          <w:szCs w:val="21"/>
        </w:rPr>
        <w:t>注：以上目录是编制投标商务文件的基本格式要求，各供应商可根据自身情况进一步细化。</w:t>
      </w:r>
    </w:p>
    <w:p/>
    <w:p>
      <w:pPr>
        <w:numPr>
          <w:ilvl w:val="0"/>
          <w:numId w:val="14"/>
        </w:numPr>
        <w:spacing w:after="120" w:afterLines="50" w:line="520" w:lineRule="exact"/>
        <w:jc w:val="left"/>
        <w:outlineLvl w:val="2"/>
        <w:rPr>
          <w:b/>
          <w:bCs/>
          <w:sz w:val="24"/>
        </w:rPr>
      </w:pPr>
      <w:r>
        <w:br w:type="page"/>
      </w:r>
      <w:r>
        <w:rPr>
          <w:b/>
          <w:bCs/>
          <w:sz w:val="24"/>
        </w:rPr>
        <w:t>法定代表人资格证明书及法定代表人授权书</w:t>
      </w:r>
    </w:p>
    <w:p/>
    <w:p>
      <w:pPr>
        <w:pStyle w:val="10"/>
        <w:snapToGrid w:val="0"/>
        <w:ind w:firstLine="0" w:firstLineChars="0"/>
        <w:rPr>
          <w:rFonts w:ascii="Times New Roman" w:hAnsi="Times New Roman"/>
          <w:b/>
          <w:bCs/>
          <w:snapToGrid w:val="0"/>
          <w:kern w:val="0"/>
          <w:szCs w:val="28"/>
        </w:rPr>
      </w:pPr>
      <w:r>
        <w:rPr>
          <w:rFonts w:ascii="Times New Roman" w:hAnsi="Times New Roman"/>
          <w:b/>
          <w:bCs/>
          <w:snapToGrid w:val="0"/>
          <w:kern w:val="0"/>
          <w:szCs w:val="28"/>
        </w:rPr>
        <w:t>1、法定代表人资格证明书</w:t>
      </w:r>
    </w:p>
    <w:p>
      <w:pPr>
        <w:rPr>
          <w:szCs w:val="21"/>
        </w:rPr>
      </w:pPr>
    </w:p>
    <w:p>
      <w:pPr>
        <w:pStyle w:val="10"/>
        <w:snapToGrid w:val="0"/>
        <w:ind w:firstLine="420"/>
        <w:rPr>
          <w:rFonts w:ascii="Times New Roman" w:hAnsi="Times New Roman"/>
          <w:snapToGrid w:val="0"/>
          <w:kern w:val="0"/>
          <w:sz w:val="21"/>
          <w:szCs w:val="21"/>
        </w:rPr>
      </w:pPr>
      <w:r>
        <w:rPr>
          <w:rFonts w:ascii="Times New Roman" w:hAnsi="Times New Roman"/>
          <w:snapToGrid w:val="0"/>
          <w:kern w:val="0"/>
          <w:sz w:val="21"/>
          <w:szCs w:val="21"/>
          <w:u w:val="single"/>
        </w:rPr>
        <w:t xml:space="preserve">   （姓名）     </w:t>
      </w:r>
      <w:r>
        <w:rPr>
          <w:rFonts w:ascii="Times New Roman" w:hAnsi="Times New Roman"/>
          <w:snapToGrid w:val="0"/>
          <w:kern w:val="0"/>
          <w:sz w:val="21"/>
          <w:szCs w:val="21"/>
        </w:rPr>
        <w:t>系</w:t>
      </w:r>
      <w:r>
        <w:rPr>
          <w:rFonts w:ascii="Times New Roman" w:hAnsi="Times New Roman"/>
          <w:snapToGrid w:val="0"/>
          <w:kern w:val="0"/>
          <w:sz w:val="21"/>
          <w:szCs w:val="21"/>
          <w:u w:val="single"/>
        </w:rPr>
        <w:t xml:space="preserve">  （投标人名称）      </w:t>
      </w:r>
      <w:r>
        <w:rPr>
          <w:rFonts w:ascii="Times New Roman" w:hAnsi="Times New Roman"/>
          <w:snapToGrid w:val="0"/>
          <w:kern w:val="0"/>
          <w:sz w:val="21"/>
          <w:szCs w:val="21"/>
        </w:rPr>
        <w:t>的法定代表人。身份证号：</w:t>
      </w:r>
      <w:r>
        <w:rPr>
          <w:rFonts w:ascii="Times New Roman" w:hAnsi="Times New Roman"/>
          <w:snapToGrid w:val="0"/>
          <w:kern w:val="0"/>
          <w:sz w:val="21"/>
          <w:szCs w:val="21"/>
          <w:u w:val="single"/>
        </w:rPr>
        <w:t xml:space="preserve">            </w:t>
      </w:r>
      <w:r>
        <w:rPr>
          <w:rFonts w:ascii="Times New Roman" w:hAnsi="Times New Roman"/>
          <w:snapToGrid w:val="0"/>
          <w:kern w:val="0"/>
          <w:sz w:val="21"/>
          <w:szCs w:val="21"/>
        </w:rPr>
        <w:t>。</w:t>
      </w:r>
    </w:p>
    <w:p>
      <w:pPr>
        <w:pStyle w:val="10"/>
        <w:snapToGrid w:val="0"/>
        <w:ind w:firstLine="420"/>
        <w:rPr>
          <w:rFonts w:ascii="Times New Roman" w:hAnsi="Times New Roman"/>
          <w:snapToGrid w:val="0"/>
          <w:kern w:val="0"/>
          <w:sz w:val="21"/>
          <w:szCs w:val="21"/>
        </w:rPr>
      </w:pPr>
      <w:r>
        <w:rPr>
          <w:rFonts w:ascii="Times New Roman" w:hAnsi="Times New Roman"/>
          <w:snapToGrid w:val="0"/>
          <w:kern w:val="0"/>
          <w:sz w:val="21"/>
          <w:szCs w:val="21"/>
        </w:rPr>
        <w:t>特此证明</w:t>
      </w:r>
    </w:p>
    <w:p>
      <w:pPr>
        <w:pStyle w:val="10"/>
        <w:snapToGrid w:val="0"/>
        <w:ind w:firstLine="396"/>
        <w:rPr>
          <w:rFonts w:ascii="Times New Roman" w:hAnsi="Times New Roman"/>
          <w:bCs/>
          <w:spacing w:val="-6"/>
          <w:sz w:val="21"/>
          <w:szCs w:val="21"/>
        </w:rPr>
      </w:pP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jc w:val="center"/>
        </w:trPr>
        <w:tc>
          <w:tcPr>
            <w:tcW w:w="5000" w:type="pct"/>
            <w:noWrap w:val="0"/>
            <w:vAlign w:val="top"/>
          </w:tcPr>
          <w:p>
            <w:pPr>
              <w:rPr>
                <w:szCs w:val="21"/>
              </w:rPr>
            </w:pPr>
            <w:r>
              <w:rPr>
                <w:rFonts w:eastAsia="新宋体"/>
                <w:szCs w:val="21"/>
              </w:rPr>
              <w:t>法定代表人</w:t>
            </w:r>
            <w:r>
              <w:rPr>
                <w:szCs w:val="21"/>
              </w:rPr>
              <w:t>身份证：</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szCs w:val="21"/>
              </w:rPr>
              <w:t>复印件粘贴处</w:t>
            </w:r>
          </w:p>
        </w:tc>
      </w:tr>
    </w:tbl>
    <w:p>
      <w:pPr>
        <w:spacing w:line="360" w:lineRule="auto"/>
        <w:rPr>
          <w:bCs/>
          <w:spacing w:val="-6"/>
          <w:szCs w:val="21"/>
        </w:rPr>
      </w:pPr>
    </w:p>
    <w:p>
      <w:pPr>
        <w:pStyle w:val="10"/>
        <w:snapToGrid w:val="0"/>
        <w:ind w:firstLine="420"/>
        <w:rPr>
          <w:rFonts w:ascii="Times New Roman" w:hAnsi="Times New Roman"/>
          <w:snapToGrid w:val="0"/>
          <w:kern w:val="0"/>
          <w:sz w:val="21"/>
          <w:szCs w:val="21"/>
        </w:rPr>
      </w:pPr>
    </w:p>
    <w:p>
      <w:pPr>
        <w:autoSpaceDE w:val="0"/>
        <w:autoSpaceDN w:val="0"/>
        <w:adjustRightInd w:val="0"/>
        <w:spacing w:line="360" w:lineRule="auto"/>
        <w:ind w:firstLine="3360" w:firstLineChars="1600"/>
        <w:rPr>
          <w:kern w:val="0"/>
          <w:szCs w:val="21"/>
        </w:rPr>
      </w:pPr>
      <w:r>
        <w:rPr>
          <w:kern w:val="0"/>
          <w:szCs w:val="21"/>
          <w:lang w:val="zh-CN"/>
        </w:rPr>
        <w:t>投标人名称（公章）：</w:t>
      </w:r>
    </w:p>
    <w:p>
      <w:pPr>
        <w:spacing w:line="360" w:lineRule="auto"/>
        <w:ind w:firstLine="3360" w:firstLineChars="1600"/>
        <w:rPr>
          <w:kern w:val="0"/>
          <w:szCs w:val="21"/>
          <w:lang w:val="zh-CN"/>
        </w:rPr>
      </w:pPr>
      <w:r>
        <w:rPr>
          <w:kern w:val="0"/>
          <w:szCs w:val="21"/>
          <w:lang w:val="zh-CN"/>
        </w:rPr>
        <w:t>日期：  年  月   日</w:t>
      </w:r>
    </w:p>
    <w:p>
      <w:pPr>
        <w:adjustRightInd w:val="0"/>
        <w:snapToGrid w:val="0"/>
        <w:spacing w:line="360" w:lineRule="auto"/>
        <w:rPr>
          <w:snapToGrid w:val="0"/>
          <w:kern w:val="0"/>
          <w:szCs w:val="21"/>
        </w:rPr>
      </w:pPr>
    </w:p>
    <w:p>
      <w:pPr>
        <w:adjustRightInd w:val="0"/>
        <w:snapToGrid w:val="0"/>
        <w:spacing w:line="360" w:lineRule="auto"/>
        <w:rPr>
          <w:snapToGrid w:val="0"/>
          <w:kern w:val="0"/>
          <w:szCs w:val="21"/>
        </w:rPr>
      </w:pPr>
    </w:p>
    <w:p>
      <w:pPr>
        <w:adjustRightInd w:val="0"/>
        <w:snapToGrid w:val="0"/>
        <w:spacing w:line="360" w:lineRule="auto"/>
        <w:rPr>
          <w:b/>
          <w:bCs/>
          <w:snapToGrid w:val="0"/>
          <w:kern w:val="0"/>
          <w:sz w:val="28"/>
          <w:szCs w:val="28"/>
        </w:rPr>
        <w:sectPr>
          <w:pgSz w:w="11906" w:h="16838"/>
          <w:pgMar w:top="1418" w:right="1418" w:bottom="1134" w:left="1418" w:header="851" w:footer="680" w:gutter="0"/>
          <w:pgNumType w:fmt="decimalFullWidth"/>
          <w:cols w:space="720" w:num="1"/>
          <w:docGrid w:linePitch="312" w:charSpace="0"/>
        </w:sectPr>
      </w:pPr>
    </w:p>
    <w:p>
      <w:pPr>
        <w:pStyle w:val="10"/>
        <w:snapToGrid w:val="0"/>
        <w:ind w:firstLine="0" w:firstLineChars="0"/>
        <w:rPr>
          <w:rFonts w:ascii="Times New Roman" w:hAnsi="Times New Roman"/>
          <w:b/>
          <w:bCs/>
          <w:snapToGrid w:val="0"/>
          <w:kern w:val="0"/>
          <w:szCs w:val="28"/>
        </w:rPr>
      </w:pPr>
      <w:r>
        <w:rPr>
          <w:rFonts w:ascii="Times New Roman" w:hAnsi="Times New Roman"/>
          <w:b/>
          <w:bCs/>
          <w:snapToGrid w:val="0"/>
          <w:kern w:val="0"/>
          <w:szCs w:val="28"/>
        </w:rPr>
        <w:t>2.法定代表人授权书</w:t>
      </w:r>
    </w:p>
    <w:p/>
    <w:p>
      <w:pPr>
        <w:spacing w:line="360" w:lineRule="auto"/>
      </w:pPr>
      <w:r>
        <w:rPr>
          <w:bCs/>
          <w:szCs w:val="21"/>
        </w:rPr>
        <w:t>致：</w:t>
      </w:r>
      <w:r>
        <w:rPr>
          <w:szCs w:val="21"/>
          <w:u w:val="single"/>
        </w:rPr>
        <w:t xml:space="preserve"> （采购人）   </w:t>
      </w:r>
    </w:p>
    <w:p>
      <w:pPr>
        <w:adjustRightInd w:val="0"/>
        <w:snapToGrid w:val="0"/>
        <w:spacing w:line="360" w:lineRule="auto"/>
        <w:ind w:left="4" w:firstLine="455" w:firstLineChars="217"/>
        <w:rPr>
          <w:snapToGrid w:val="0"/>
          <w:kern w:val="0"/>
          <w:szCs w:val="21"/>
        </w:rPr>
      </w:pPr>
      <w:r>
        <w:rPr>
          <w:snapToGrid w:val="0"/>
          <w:kern w:val="0"/>
          <w:szCs w:val="21"/>
        </w:rPr>
        <w:t xml:space="preserve">我 </w:t>
      </w:r>
      <w:r>
        <w:rPr>
          <w:snapToGrid w:val="0"/>
          <w:kern w:val="0"/>
          <w:szCs w:val="21"/>
          <w:u w:val="single"/>
        </w:rPr>
        <w:t xml:space="preserve">       </w:t>
      </w:r>
      <w:r>
        <w:rPr>
          <w:snapToGrid w:val="0"/>
          <w:kern w:val="0"/>
          <w:szCs w:val="21"/>
        </w:rPr>
        <w:t>（姓名）系</w:t>
      </w:r>
      <w:r>
        <w:rPr>
          <w:snapToGrid w:val="0"/>
          <w:kern w:val="0"/>
          <w:szCs w:val="21"/>
          <w:u w:val="single"/>
        </w:rPr>
        <w:t xml:space="preserve">          </w:t>
      </w:r>
      <w:r>
        <w:rPr>
          <w:snapToGrid w:val="0"/>
          <w:kern w:val="0"/>
          <w:szCs w:val="21"/>
        </w:rPr>
        <w:t>（供应商名称）的法定代表人，现授权委托本单位在职职工：</w:t>
      </w:r>
      <w:r>
        <w:rPr>
          <w:snapToGrid w:val="0"/>
          <w:kern w:val="0"/>
          <w:szCs w:val="21"/>
          <w:u w:val="single"/>
        </w:rPr>
        <w:t xml:space="preserve">             （姓名、身份证号）     </w:t>
      </w:r>
      <w:r>
        <w:rPr>
          <w:snapToGrid w:val="0"/>
          <w:kern w:val="0"/>
          <w:szCs w:val="21"/>
        </w:rPr>
        <w:t>以我方的名义参加</w:t>
      </w:r>
      <w:r>
        <w:rPr>
          <w:snapToGrid w:val="0"/>
          <w:kern w:val="0"/>
          <w:szCs w:val="21"/>
          <w:u w:val="single"/>
        </w:rPr>
        <w:t xml:space="preserve">   （项目名称）      </w:t>
      </w:r>
      <w:r>
        <w:rPr>
          <w:snapToGrid w:val="0"/>
          <w:kern w:val="0"/>
          <w:szCs w:val="21"/>
        </w:rPr>
        <w:t>项目的投标活动，并代表我方全权办理针对上述项目的投标、开标、评标、签约等具体事务和签署相关文件。</w:t>
      </w:r>
    </w:p>
    <w:p>
      <w:pPr>
        <w:adjustRightInd w:val="0"/>
        <w:snapToGrid w:val="0"/>
        <w:spacing w:line="360" w:lineRule="auto"/>
        <w:ind w:left="4" w:firstLine="455" w:firstLineChars="217"/>
        <w:rPr>
          <w:snapToGrid w:val="0"/>
          <w:kern w:val="0"/>
          <w:szCs w:val="21"/>
        </w:rPr>
      </w:pPr>
      <w:r>
        <w:rPr>
          <w:snapToGrid w:val="0"/>
          <w:kern w:val="0"/>
          <w:szCs w:val="21"/>
        </w:rPr>
        <w:t>我方对被授权人的签名事项负全部责任。</w:t>
      </w:r>
    </w:p>
    <w:p>
      <w:pPr>
        <w:adjustRightInd w:val="0"/>
        <w:snapToGrid w:val="0"/>
        <w:spacing w:line="360" w:lineRule="auto"/>
        <w:ind w:left="4" w:firstLine="455" w:firstLineChars="217"/>
        <w:rPr>
          <w:snapToGrid w:val="0"/>
          <w:kern w:val="0"/>
          <w:szCs w:val="21"/>
        </w:rPr>
      </w:pPr>
      <w:r>
        <w:rPr>
          <w:snapToGrid w:val="0"/>
          <w:kern w:val="0"/>
          <w:szCs w:val="21"/>
        </w:rPr>
        <w:t>在撤销授权的书面通知以前，本授权书一直有效。被授权人在授权书有效期内签署的所有文件不因授权的撤销而失效。</w:t>
      </w:r>
    </w:p>
    <w:p>
      <w:pPr>
        <w:adjustRightInd w:val="0"/>
        <w:snapToGrid w:val="0"/>
        <w:spacing w:line="360" w:lineRule="auto"/>
        <w:ind w:left="4" w:firstLine="455" w:firstLineChars="217"/>
        <w:rPr>
          <w:snapToGrid w:val="0"/>
          <w:kern w:val="0"/>
          <w:szCs w:val="21"/>
        </w:rPr>
      </w:pPr>
      <w:r>
        <w:rPr>
          <w:snapToGrid w:val="0"/>
          <w:kern w:val="0"/>
          <w:szCs w:val="21"/>
        </w:rPr>
        <w:t>被授权人无转委托权，特此委托。</w:t>
      </w:r>
    </w:p>
    <w:p/>
    <w:p>
      <w:pPr>
        <w:adjustRightInd w:val="0"/>
        <w:snapToGrid w:val="0"/>
        <w:spacing w:line="360" w:lineRule="auto"/>
        <w:ind w:right="706" w:firstLine="5103" w:firstLineChars="2430"/>
        <w:rPr>
          <w:snapToGrid w:val="0"/>
          <w:kern w:val="0"/>
          <w:szCs w:val="21"/>
        </w:rPr>
      </w:pPr>
      <w:r>
        <w:rPr>
          <w:snapToGrid w:val="0"/>
          <w:kern w:val="0"/>
          <w:szCs w:val="21"/>
        </w:rPr>
        <w:t xml:space="preserve">投标人名称：（盖公章）       </w:t>
      </w:r>
    </w:p>
    <w:p>
      <w:pPr>
        <w:autoSpaceDE w:val="0"/>
        <w:autoSpaceDN w:val="0"/>
        <w:adjustRightInd w:val="0"/>
        <w:snapToGrid w:val="0"/>
        <w:spacing w:line="360" w:lineRule="auto"/>
        <w:ind w:right="706" w:firstLine="5103" w:firstLineChars="2430"/>
        <w:rPr>
          <w:snapToGrid w:val="0"/>
          <w:kern w:val="0"/>
          <w:szCs w:val="21"/>
        </w:rPr>
      </w:pPr>
      <w:r>
        <w:rPr>
          <w:snapToGrid w:val="0"/>
          <w:kern w:val="0"/>
          <w:szCs w:val="21"/>
        </w:rPr>
        <w:t xml:space="preserve">法定代表人：（签字） </w:t>
      </w:r>
    </w:p>
    <w:p>
      <w:pPr>
        <w:autoSpaceDE w:val="0"/>
        <w:autoSpaceDN w:val="0"/>
        <w:adjustRightInd w:val="0"/>
        <w:snapToGrid w:val="0"/>
        <w:spacing w:line="360" w:lineRule="auto"/>
        <w:ind w:right="706" w:firstLine="5103" w:firstLineChars="2430"/>
        <w:rPr>
          <w:snapToGrid w:val="0"/>
          <w:kern w:val="0"/>
          <w:szCs w:val="21"/>
        </w:rPr>
      </w:pPr>
      <w:r>
        <w:rPr>
          <w:snapToGrid w:val="0"/>
          <w:kern w:val="0"/>
          <w:szCs w:val="21"/>
        </w:rPr>
        <w:t>法定代表人身份证号码：</w:t>
      </w:r>
    </w:p>
    <w:p>
      <w:pPr>
        <w:autoSpaceDE w:val="0"/>
        <w:autoSpaceDN w:val="0"/>
        <w:adjustRightInd w:val="0"/>
        <w:snapToGrid w:val="0"/>
        <w:spacing w:line="360" w:lineRule="auto"/>
        <w:ind w:right="706" w:firstLine="5103" w:firstLineChars="2430"/>
        <w:rPr>
          <w:snapToGrid w:val="0"/>
          <w:kern w:val="0"/>
          <w:szCs w:val="21"/>
        </w:rPr>
      </w:pPr>
      <w:r>
        <w:rPr>
          <w:snapToGrid w:val="0"/>
          <w:kern w:val="0"/>
          <w:szCs w:val="21"/>
        </w:rPr>
        <w:t xml:space="preserve">被授权人：（签字）                    </w:t>
      </w:r>
    </w:p>
    <w:p>
      <w:pPr>
        <w:autoSpaceDE w:val="0"/>
        <w:autoSpaceDN w:val="0"/>
        <w:adjustRightInd w:val="0"/>
        <w:snapToGrid w:val="0"/>
        <w:spacing w:line="360" w:lineRule="auto"/>
        <w:ind w:right="706" w:firstLine="5103" w:firstLineChars="2430"/>
        <w:rPr>
          <w:snapToGrid w:val="0"/>
          <w:kern w:val="0"/>
          <w:szCs w:val="21"/>
        </w:rPr>
      </w:pPr>
      <w:r>
        <w:rPr>
          <w:snapToGrid w:val="0"/>
          <w:kern w:val="0"/>
          <w:szCs w:val="21"/>
        </w:rPr>
        <w:t xml:space="preserve">被授权人身份证号码：  </w:t>
      </w:r>
    </w:p>
    <w:p>
      <w:pPr>
        <w:autoSpaceDE w:val="0"/>
        <w:autoSpaceDN w:val="0"/>
        <w:adjustRightInd w:val="0"/>
        <w:snapToGrid w:val="0"/>
        <w:spacing w:line="360" w:lineRule="auto"/>
        <w:ind w:right="706" w:firstLine="5103" w:firstLineChars="2430"/>
        <w:rPr>
          <w:snapToGrid w:val="0"/>
          <w:kern w:val="0"/>
          <w:szCs w:val="21"/>
        </w:rPr>
      </w:pPr>
      <w:r>
        <w:rPr>
          <w:snapToGrid w:val="0"/>
          <w:kern w:val="0"/>
          <w:szCs w:val="21"/>
        </w:rPr>
        <w:t>日期：  年    月    日</w:t>
      </w:r>
    </w:p>
    <w:p>
      <w:pPr>
        <w:autoSpaceDE w:val="0"/>
        <w:autoSpaceDN w:val="0"/>
        <w:adjustRightInd w:val="0"/>
        <w:snapToGrid w:val="0"/>
        <w:spacing w:line="360" w:lineRule="auto"/>
        <w:ind w:right="420"/>
        <w:rPr>
          <w:b/>
          <w:snapToGrid w:val="0"/>
          <w:kern w:val="0"/>
          <w:szCs w:val="21"/>
        </w:rPr>
      </w:pPr>
      <w:r>
        <w:rPr>
          <w:b/>
          <w:snapToGrid w:val="0"/>
          <w:kern w:val="0"/>
          <w:szCs w:val="21"/>
        </w:rPr>
        <w:t>附：</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jc w:val="center"/>
        </w:trPr>
        <w:tc>
          <w:tcPr>
            <w:tcW w:w="5000" w:type="pct"/>
            <w:noWrap w:val="0"/>
            <w:vAlign w:val="top"/>
          </w:tcPr>
          <w:p>
            <w:pPr>
              <w:rPr>
                <w:sz w:val="22"/>
              </w:rPr>
            </w:pPr>
            <w:r>
              <w:rPr>
                <w:rFonts w:eastAsia="新宋体"/>
                <w:sz w:val="22"/>
              </w:rPr>
              <w:t>法定代表人</w:t>
            </w:r>
            <w:r>
              <w:rPr>
                <w:sz w:val="22"/>
              </w:rPr>
              <w:t>身份证：</w:t>
            </w:r>
          </w:p>
          <w:p>
            <w:pPr>
              <w:rPr>
                <w:sz w:val="22"/>
              </w:rPr>
            </w:pPr>
          </w:p>
          <w:p>
            <w:pPr>
              <w:rPr>
                <w:sz w:val="22"/>
              </w:rPr>
            </w:pPr>
          </w:p>
          <w:p>
            <w:pPr>
              <w:rPr>
                <w:sz w:val="22"/>
              </w:rPr>
            </w:pPr>
          </w:p>
          <w:p>
            <w:pPr>
              <w:rPr>
                <w:sz w:val="22"/>
              </w:rPr>
            </w:pPr>
          </w:p>
          <w:p>
            <w:pPr>
              <w:rPr>
                <w:sz w:val="22"/>
              </w:rPr>
            </w:pPr>
            <w:r>
              <w:rPr>
                <w:sz w:val="22"/>
              </w:rPr>
              <w:t>复印件粘贴处</w:t>
            </w:r>
          </w:p>
        </w:tc>
      </w:tr>
    </w:tbl>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5000" w:type="pct"/>
            <w:noWrap w:val="0"/>
            <w:vAlign w:val="top"/>
          </w:tcPr>
          <w:p>
            <w:pPr>
              <w:rPr>
                <w:sz w:val="22"/>
              </w:rPr>
            </w:pPr>
            <w:r>
              <w:rPr>
                <w:rFonts w:eastAsia="新宋体"/>
                <w:sz w:val="22"/>
              </w:rPr>
              <w:t>授权代表</w:t>
            </w:r>
            <w:r>
              <w:rPr>
                <w:sz w:val="22"/>
              </w:rPr>
              <w:t>身份证：</w:t>
            </w:r>
          </w:p>
          <w:p>
            <w:pPr>
              <w:rPr>
                <w:sz w:val="22"/>
              </w:rPr>
            </w:pPr>
          </w:p>
          <w:p>
            <w:pPr>
              <w:rPr>
                <w:sz w:val="22"/>
              </w:rPr>
            </w:pPr>
          </w:p>
          <w:p>
            <w:pPr>
              <w:rPr>
                <w:sz w:val="22"/>
              </w:rPr>
            </w:pPr>
          </w:p>
          <w:p>
            <w:pPr>
              <w:rPr>
                <w:sz w:val="22"/>
              </w:rPr>
            </w:pPr>
          </w:p>
          <w:p>
            <w:pPr>
              <w:rPr>
                <w:sz w:val="22"/>
              </w:rPr>
            </w:pPr>
            <w:r>
              <w:rPr>
                <w:sz w:val="22"/>
              </w:rPr>
              <w:t>复印件粘贴处</w:t>
            </w:r>
          </w:p>
        </w:tc>
      </w:tr>
    </w:tbl>
    <w:p>
      <w:pPr>
        <w:numPr>
          <w:ilvl w:val="0"/>
          <w:numId w:val="14"/>
        </w:numPr>
        <w:spacing w:after="120" w:afterLines="50" w:line="520" w:lineRule="exact"/>
        <w:jc w:val="left"/>
        <w:outlineLvl w:val="2"/>
        <w:rPr>
          <w:b/>
          <w:bCs/>
          <w:sz w:val="24"/>
        </w:rPr>
        <w:sectPr>
          <w:pgSz w:w="11906" w:h="16838"/>
          <w:pgMar w:top="1418" w:right="1418" w:bottom="1134" w:left="1418" w:header="851" w:footer="680" w:gutter="0"/>
          <w:pgNumType w:fmt="decimalFullWidth"/>
          <w:cols w:space="720" w:num="1"/>
          <w:docGrid w:linePitch="312" w:charSpace="0"/>
        </w:sectPr>
      </w:pPr>
    </w:p>
    <w:p>
      <w:pPr>
        <w:numPr>
          <w:ilvl w:val="0"/>
          <w:numId w:val="14"/>
        </w:numPr>
        <w:spacing w:after="120" w:afterLines="50" w:line="520" w:lineRule="exact"/>
        <w:jc w:val="left"/>
        <w:outlineLvl w:val="2"/>
        <w:rPr>
          <w:b/>
          <w:bCs/>
          <w:sz w:val="24"/>
        </w:rPr>
      </w:pPr>
      <w:r>
        <w:rPr>
          <w:b/>
          <w:bCs/>
          <w:sz w:val="24"/>
        </w:rPr>
        <w:t>合同（商务）条款偏离表</w:t>
      </w:r>
    </w:p>
    <w:p/>
    <w:p>
      <w:pPr>
        <w:snapToGrid w:val="0"/>
        <w:spacing w:line="300" w:lineRule="auto"/>
        <w:jc w:val="center"/>
        <w:rPr>
          <w:sz w:val="20"/>
        </w:rPr>
      </w:pPr>
      <w:r>
        <w:rPr>
          <w:b/>
          <w:sz w:val="24"/>
          <w:szCs w:val="28"/>
        </w:rPr>
        <w:t>合同（商务）条款偏离表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2617"/>
        <w:gridCol w:w="2617"/>
        <w:gridCol w:w="152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pct"/>
            <w:noWrap w:val="0"/>
            <w:vAlign w:val="center"/>
          </w:tcPr>
          <w:p>
            <w:pPr>
              <w:jc w:val="center"/>
              <w:rPr>
                <w:b/>
                <w:szCs w:val="21"/>
              </w:rPr>
            </w:pPr>
            <w:r>
              <w:rPr>
                <w:b/>
                <w:szCs w:val="21"/>
              </w:rPr>
              <w:t>序号</w:t>
            </w:r>
          </w:p>
        </w:tc>
        <w:tc>
          <w:tcPr>
            <w:tcW w:w="1409" w:type="pct"/>
            <w:noWrap w:val="0"/>
            <w:vAlign w:val="center"/>
          </w:tcPr>
          <w:p>
            <w:pPr>
              <w:jc w:val="center"/>
              <w:rPr>
                <w:b/>
                <w:szCs w:val="21"/>
              </w:rPr>
            </w:pPr>
            <w:r>
              <w:rPr>
                <w:b/>
                <w:szCs w:val="21"/>
              </w:rPr>
              <w:t>招标</w:t>
            </w:r>
            <w:r>
              <w:rPr>
                <w:b/>
              </w:rPr>
              <w:t>要求</w:t>
            </w:r>
          </w:p>
        </w:tc>
        <w:tc>
          <w:tcPr>
            <w:tcW w:w="1409" w:type="pct"/>
            <w:noWrap w:val="0"/>
            <w:vAlign w:val="center"/>
          </w:tcPr>
          <w:p>
            <w:pPr>
              <w:jc w:val="center"/>
              <w:rPr>
                <w:b/>
                <w:szCs w:val="21"/>
              </w:rPr>
            </w:pPr>
            <w:r>
              <w:rPr>
                <w:b/>
                <w:szCs w:val="21"/>
              </w:rPr>
              <w:t>投标</w:t>
            </w:r>
            <w:r>
              <w:rPr>
                <w:b/>
              </w:rPr>
              <w:t>响应</w:t>
            </w:r>
          </w:p>
        </w:tc>
        <w:tc>
          <w:tcPr>
            <w:tcW w:w="821" w:type="pct"/>
            <w:noWrap w:val="0"/>
            <w:vAlign w:val="center"/>
          </w:tcPr>
          <w:p>
            <w:pPr>
              <w:jc w:val="center"/>
              <w:rPr>
                <w:b/>
                <w:szCs w:val="21"/>
              </w:rPr>
            </w:pPr>
            <w:r>
              <w:rPr>
                <w:b/>
                <w:szCs w:val="21"/>
              </w:rPr>
              <w:t>偏离情况</w:t>
            </w:r>
          </w:p>
        </w:tc>
        <w:tc>
          <w:tcPr>
            <w:tcW w:w="821" w:type="pct"/>
            <w:noWrap w:val="0"/>
            <w:vAlign w:val="center"/>
          </w:tcPr>
          <w:p>
            <w:pPr>
              <w:jc w:val="center"/>
              <w:rPr>
                <w:b/>
                <w:szCs w:val="21"/>
              </w:rPr>
            </w:pPr>
            <w:r>
              <w:rPr>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pct"/>
            <w:noWrap w:val="0"/>
            <w:vAlign w:val="center"/>
          </w:tcPr>
          <w:p>
            <w:pPr>
              <w:jc w:val="center"/>
              <w:rPr>
                <w:szCs w:val="21"/>
              </w:rPr>
            </w:pPr>
          </w:p>
        </w:tc>
        <w:tc>
          <w:tcPr>
            <w:tcW w:w="1409" w:type="pct"/>
            <w:noWrap w:val="0"/>
            <w:vAlign w:val="center"/>
          </w:tcPr>
          <w:p>
            <w:pPr>
              <w:jc w:val="center"/>
              <w:rPr>
                <w:szCs w:val="21"/>
              </w:rPr>
            </w:pPr>
          </w:p>
        </w:tc>
        <w:tc>
          <w:tcPr>
            <w:tcW w:w="1409" w:type="pct"/>
            <w:noWrap w:val="0"/>
            <w:vAlign w:val="center"/>
          </w:tcPr>
          <w:p>
            <w:pPr>
              <w:jc w:val="center"/>
              <w:rPr>
                <w:szCs w:val="21"/>
              </w:rPr>
            </w:pPr>
          </w:p>
        </w:tc>
        <w:tc>
          <w:tcPr>
            <w:tcW w:w="821" w:type="pct"/>
            <w:noWrap w:val="0"/>
            <w:vAlign w:val="center"/>
          </w:tcPr>
          <w:p>
            <w:pPr>
              <w:jc w:val="center"/>
              <w:rPr>
                <w:szCs w:val="21"/>
              </w:rPr>
            </w:pPr>
          </w:p>
        </w:tc>
        <w:tc>
          <w:tcPr>
            <w:tcW w:w="821" w:type="pct"/>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pct"/>
            <w:noWrap w:val="0"/>
            <w:vAlign w:val="center"/>
          </w:tcPr>
          <w:p>
            <w:pPr>
              <w:jc w:val="center"/>
              <w:rPr>
                <w:szCs w:val="21"/>
              </w:rPr>
            </w:pPr>
          </w:p>
        </w:tc>
        <w:tc>
          <w:tcPr>
            <w:tcW w:w="1409" w:type="pct"/>
            <w:noWrap w:val="0"/>
            <w:vAlign w:val="center"/>
          </w:tcPr>
          <w:p>
            <w:pPr>
              <w:jc w:val="center"/>
              <w:rPr>
                <w:szCs w:val="21"/>
              </w:rPr>
            </w:pPr>
          </w:p>
        </w:tc>
        <w:tc>
          <w:tcPr>
            <w:tcW w:w="1409" w:type="pct"/>
            <w:noWrap w:val="0"/>
            <w:vAlign w:val="center"/>
          </w:tcPr>
          <w:p>
            <w:pPr>
              <w:jc w:val="center"/>
              <w:rPr>
                <w:szCs w:val="21"/>
              </w:rPr>
            </w:pPr>
          </w:p>
        </w:tc>
        <w:tc>
          <w:tcPr>
            <w:tcW w:w="821" w:type="pct"/>
            <w:noWrap w:val="0"/>
            <w:vAlign w:val="center"/>
          </w:tcPr>
          <w:p>
            <w:pPr>
              <w:jc w:val="center"/>
              <w:rPr>
                <w:szCs w:val="21"/>
              </w:rPr>
            </w:pPr>
          </w:p>
        </w:tc>
        <w:tc>
          <w:tcPr>
            <w:tcW w:w="821" w:type="pct"/>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pct"/>
            <w:noWrap w:val="0"/>
            <w:vAlign w:val="center"/>
          </w:tcPr>
          <w:p>
            <w:pPr>
              <w:jc w:val="center"/>
              <w:rPr>
                <w:szCs w:val="21"/>
              </w:rPr>
            </w:pPr>
          </w:p>
        </w:tc>
        <w:tc>
          <w:tcPr>
            <w:tcW w:w="1409" w:type="pct"/>
            <w:noWrap w:val="0"/>
            <w:vAlign w:val="center"/>
          </w:tcPr>
          <w:p>
            <w:pPr>
              <w:jc w:val="center"/>
              <w:rPr>
                <w:szCs w:val="21"/>
              </w:rPr>
            </w:pPr>
          </w:p>
        </w:tc>
        <w:tc>
          <w:tcPr>
            <w:tcW w:w="1409" w:type="pct"/>
            <w:noWrap w:val="0"/>
            <w:vAlign w:val="center"/>
          </w:tcPr>
          <w:p>
            <w:pPr>
              <w:jc w:val="center"/>
              <w:rPr>
                <w:szCs w:val="21"/>
              </w:rPr>
            </w:pPr>
          </w:p>
        </w:tc>
        <w:tc>
          <w:tcPr>
            <w:tcW w:w="821" w:type="pct"/>
            <w:noWrap w:val="0"/>
            <w:vAlign w:val="center"/>
          </w:tcPr>
          <w:p>
            <w:pPr>
              <w:jc w:val="center"/>
              <w:rPr>
                <w:szCs w:val="21"/>
              </w:rPr>
            </w:pPr>
          </w:p>
        </w:tc>
        <w:tc>
          <w:tcPr>
            <w:tcW w:w="821" w:type="pct"/>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pct"/>
            <w:noWrap w:val="0"/>
            <w:vAlign w:val="center"/>
          </w:tcPr>
          <w:p>
            <w:pPr>
              <w:jc w:val="center"/>
              <w:rPr>
                <w:szCs w:val="21"/>
              </w:rPr>
            </w:pPr>
          </w:p>
        </w:tc>
        <w:tc>
          <w:tcPr>
            <w:tcW w:w="1409" w:type="pct"/>
            <w:noWrap w:val="0"/>
            <w:vAlign w:val="center"/>
          </w:tcPr>
          <w:p>
            <w:pPr>
              <w:jc w:val="center"/>
              <w:rPr>
                <w:szCs w:val="21"/>
              </w:rPr>
            </w:pPr>
          </w:p>
        </w:tc>
        <w:tc>
          <w:tcPr>
            <w:tcW w:w="1409" w:type="pct"/>
            <w:noWrap w:val="0"/>
            <w:vAlign w:val="center"/>
          </w:tcPr>
          <w:p>
            <w:pPr>
              <w:jc w:val="center"/>
              <w:rPr>
                <w:szCs w:val="21"/>
              </w:rPr>
            </w:pPr>
          </w:p>
        </w:tc>
        <w:tc>
          <w:tcPr>
            <w:tcW w:w="821" w:type="pct"/>
            <w:noWrap w:val="0"/>
            <w:vAlign w:val="center"/>
          </w:tcPr>
          <w:p>
            <w:pPr>
              <w:jc w:val="center"/>
              <w:rPr>
                <w:szCs w:val="21"/>
              </w:rPr>
            </w:pPr>
          </w:p>
        </w:tc>
        <w:tc>
          <w:tcPr>
            <w:tcW w:w="821" w:type="pct"/>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pct"/>
            <w:noWrap w:val="0"/>
            <w:vAlign w:val="center"/>
          </w:tcPr>
          <w:p>
            <w:pPr>
              <w:jc w:val="center"/>
              <w:rPr>
                <w:szCs w:val="21"/>
              </w:rPr>
            </w:pPr>
          </w:p>
        </w:tc>
        <w:tc>
          <w:tcPr>
            <w:tcW w:w="1409" w:type="pct"/>
            <w:noWrap w:val="0"/>
            <w:vAlign w:val="center"/>
          </w:tcPr>
          <w:p>
            <w:pPr>
              <w:jc w:val="center"/>
              <w:rPr>
                <w:szCs w:val="21"/>
              </w:rPr>
            </w:pPr>
          </w:p>
        </w:tc>
        <w:tc>
          <w:tcPr>
            <w:tcW w:w="1409" w:type="pct"/>
            <w:noWrap w:val="0"/>
            <w:vAlign w:val="center"/>
          </w:tcPr>
          <w:p>
            <w:pPr>
              <w:jc w:val="center"/>
              <w:rPr>
                <w:szCs w:val="21"/>
              </w:rPr>
            </w:pPr>
          </w:p>
        </w:tc>
        <w:tc>
          <w:tcPr>
            <w:tcW w:w="821" w:type="pct"/>
            <w:noWrap w:val="0"/>
            <w:vAlign w:val="center"/>
          </w:tcPr>
          <w:p>
            <w:pPr>
              <w:jc w:val="center"/>
              <w:rPr>
                <w:szCs w:val="21"/>
              </w:rPr>
            </w:pPr>
          </w:p>
        </w:tc>
        <w:tc>
          <w:tcPr>
            <w:tcW w:w="821" w:type="pct"/>
            <w:noWrap w:val="0"/>
            <w:vAlign w:val="center"/>
          </w:tcPr>
          <w:p>
            <w:pPr>
              <w:jc w:val="center"/>
              <w:rPr>
                <w:szCs w:val="21"/>
              </w:rPr>
            </w:pPr>
          </w:p>
        </w:tc>
      </w:tr>
    </w:tbl>
    <w:p>
      <w:pPr>
        <w:spacing w:line="360" w:lineRule="auto"/>
      </w:pPr>
      <w:r>
        <w:t>注：1、针对第二部分“投标须知及前附表”、第四部分“合同主要条款”逐条对应。</w:t>
      </w:r>
    </w:p>
    <w:p>
      <w:pPr>
        <w:spacing w:line="360" w:lineRule="auto"/>
        <w:ind w:firstLine="420" w:firstLineChars="200"/>
      </w:pPr>
      <w:r>
        <w:rPr>
          <w:kern w:val="0"/>
          <w:szCs w:val="21"/>
        </w:rPr>
        <w:t>2、</w:t>
      </w:r>
      <w:r>
        <w:t>如有偏离，请将相应偏离条款在本偏离表进行集中描述。</w:t>
      </w:r>
    </w:p>
    <w:p>
      <w:pPr>
        <w:spacing w:line="360" w:lineRule="auto"/>
        <w:ind w:firstLine="420" w:firstLineChars="200"/>
      </w:pPr>
      <w:r>
        <w:t>3、偏离说明是指对招标文件要求存在不同之处的解释说明。偏离系指：正偏离（高于招标要求）、负偏离（低于招标要求）、无偏离（满足招标要求）。</w:t>
      </w:r>
    </w:p>
    <w:p>
      <w:pPr>
        <w:spacing w:line="360" w:lineRule="auto"/>
        <w:ind w:firstLine="420" w:firstLineChars="200"/>
      </w:pPr>
      <w:r>
        <w:t>4、若本表为空，视为无偏离。</w:t>
      </w:r>
    </w:p>
    <w:p>
      <w:pPr>
        <w:spacing w:line="360" w:lineRule="auto"/>
        <w:ind w:firstLine="420" w:firstLineChars="200"/>
      </w:pPr>
      <w:r>
        <w:t>5、如果供应商在本偏离表中注明无偏离，评标结束后、签订采购合同前又认为其实际产品与招标商务需求不一致的，并以此为由拒不与采购人按采购需求与响应承诺签订政府采购合同的，供应商有未按照招标文件确定的事项签订政府采购合同的情形，依照政府采购法第七十七条 第一款的规定将被追究法律责任。</w:t>
      </w:r>
    </w:p>
    <w:p>
      <w:pPr>
        <w:spacing w:line="360" w:lineRule="auto"/>
        <w:ind w:firstLine="420" w:firstLineChars="200"/>
      </w:pPr>
    </w:p>
    <w:p>
      <w:pPr>
        <w:spacing w:line="360" w:lineRule="auto"/>
        <w:ind w:firstLine="420" w:firstLineChars="200"/>
      </w:pPr>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rPr>
          <w:kern w:val="0"/>
          <w:szCs w:val="21"/>
          <w:lang w:val="zh-CN"/>
        </w:rPr>
      </w:pPr>
      <w:r>
        <w:rPr>
          <w:kern w:val="0"/>
          <w:szCs w:val="21"/>
          <w:lang w:val="zh-CN"/>
        </w:rPr>
        <w:t>日期：   年  月   日</w:t>
      </w:r>
    </w:p>
    <w:p>
      <w:pPr>
        <w:spacing w:line="360" w:lineRule="auto"/>
        <w:ind w:firstLine="420" w:firstLineChars="200"/>
      </w:pPr>
    </w:p>
    <w:p>
      <w:pPr>
        <w:spacing w:line="360" w:lineRule="auto"/>
        <w:ind w:firstLine="420" w:firstLineChars="200"/>
        <w:sectPr>
          <w:pgSz w:w="11906" w:h="16838"/>
          <w:pgMar w:top="1418" w:right="1418" w:bottom="1134" w:left="1418" w:header="851" w:footer="680" w:gutter="0"/>
          <w:pgNumType w:fmt="decimalFullWidth"/>
          <w:cols w:space="720" w:num="1"/>
          <w:docGrid w:linePitch="312" w:charSpace="0"/>
        </w:sectPr>
      </w:pPr>
    </w:p>
    <w:p>
      <w:pPr>
        <w:numPr>
          <w:ilvl w:val="0"/>
          <w:numId w:val="14"/>
        </w:numPr>
        <w:spacing w:after="120" w:afterLines="50" w:line="520" w:lineRule="exact"/>
        <w:jc w:val="left"/>
        <w:outlineLvl w:val="2"/>
        <w:rPr>
          <w:b/>
          <w:bCs/>
          <w:sz w:val="24"/>
        </w:rPr>
      </w:pPr>
      <w:r>
        <w:rPr>
          <w:b/>
          <w:bCs/>
          <w:sz w:val="24"/>
        </w:rPr>
        <w:t>公司介绍及</w:t>
      </w:r>
      <w:bookmarkStart w:id="54" w:name="_Hlk7402616"/>
      <w:r>
        <w:rPr>
          <w:b/>
          <w:bCs/>
          <w:sz w:val="24"/>
        </w:rPr>
        <w:t>供应商基本情况表</w:t>
      </w:r>
      <w:bookmarkEnd w:id="54"/>
    </w:p>
    <w:p>
      <w:pPr>
        <w:spacing w:before="120" w:beforeLines="50" w:line="360" w:lineRule="auto"/>
        <w:jc w:val="left"/>
        <w:rPr>
          <w:b/>
          <w:sz w:val="24"/>
          <w:szCs w:val="21"/>
        </w:rPr>
      </w:pPr>
      <w:r>
        <w:rPr>
          <w:b/>
          <w:sz w:val="24"/>
          <w:szCs w:val="21"/>
        </w:rPr>
        <w:t>1、公司介绍，格式自拟。</w:t>
      </w:r>
    </w:p>
    <w:p>
      <w:pPr>
        <w:spacing w:before="120" w:beforeLines="50" w:line="360" w:lineRule="auto"/>
        <w:jc w:val="left"/>
        <w:rPr>
          <w:b/>
          <w:sz w:val="24"/>
          <w:szCs w:val="21"/>
        </w:rPr>
      </w:pPr>
      <w:r>
        <w:rPr>
          <w:b/>
          <w:sz w:val="24"/>
          <w:szCs w:val="21"/>
        </w:rPr>
        <w:t>2、附表：供应商基本情况表</w:t>
      </w:r>
    </w:p>
    <w:tbl>
      <w:tblPr>
        <w:tblStyle w:val="21"/>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794"/>
        <w:gridCol w:w="1850"/>
        <w:gridCol w:w="999"/>
        <w:gridCol w:w="139"/>
        <w:gridCol w:w="748"/>
        <w:gridCol w:w="1036"/>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noWrap w:val="0"/>
            <w:vAlign w:val="center"/>
          </w:tcPr>
          <w:p>
            <w:pPr>
              <w:widowControl/>
              <w:adjustRightInd w:val="0"/>
              <w:snapToGrid w:val="0"/>
              <w:jc w:val="center"/>
              <w:rPr>
                <w:snapToGrid w:val="0"/>
                <w:kern w:val="0"/>
                <w:szCs w:val="21"/>
              </w:rPr>
            </w:pPr>
            <w:r>
              <w:rPr>
                <w:snapToGrid w:val="0"/>
                <w:kern w:val="0"/>
                <w:szCs w:val="21"/>
              </w:rPr>
              <w:t>单位名称</w:t>
            </w:r>
          </w:p>
        </w:tc>
        <w:tc>
          <w:tcPr>
            <w:tcW w:w="1794" w:type="dxa"/>
            <w:noWrap w:val="0"/>
            <w:vAlign w:val="center"/>
          </w:tcPr>
          <w:p>
            <w:pPr>
              <w:widowControl/>
              <w:adjustRightInd w:val="0"/>
              <w:snapToGrid w:val="0"/>
              <w:jc w:val="center"/>
              <w:rPr>
                <w:snapToGrid w:val="0"/>
                <w:kern w:val="0"/>
                <w:szCs w:val="21"/>
              </w:rPr>
            </w:pPr>
          </w:p>
        </w:tc>
        <w:tc>
          <w:tcPr>
            <w:tcW w:w="1850" w:type="dxa"/>
            <w:noWrap w:val="0"/>
            <w:vAlign w:val="center"/>
          </w:tcPr>
          <w:p>
            <w:pPr>
              <w:widowControl/>
              <w:adjustRightInd w:val="0"/>
              <w:snapToGrid w:val="0"/>
              <w:jc w:val="center"/>
              <w:rPr>
                <w:snapToGrid w:val="0"/>
                <w:kern w:val="0"/>
                <w:szCs w:val="21"/>
              </w:rPr>
            </w:pPr>
            <w:r>
              <w:rPr>
                <w:snapToGrid w:val="0"/>
                <w:kern w:val="0"/>
                <w:szCs w:val="21"/>
              </w:rPr>
              <w:t>单位地址</w:t>
            </w:r>
          </w:p>
        </w:tc>
        <w:tc>
          <w:tcPr>
            <w:tcW w:w="4046" w:type="dxa"/>
            <w:gridSpan w:val="5"/>
            <w:noWrap w:val="0"/>
            <w:vAlign w:val="center"/>
          </w:tcPr>
          <w:p>
            <w:pPr>
              <w:widowControl/>
              <w:adjustRightInd w:val="0"/>
              <w:snapToGrid w:val="0"/>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noWrap w:val="0"/>
            <w:vAlign w:val="center"/>
          </w:tcPr>
          <w:p>
            <w:pPr>
              <w:widowControl/>
              <w:adjustRightInd w:val="0"/>
              <w:snapToGrid w:val="0"/>
              <w:jc w:val="center"/>
              <w:rPr>
                <w:snapToGrid w:val="0"/>
                <w:kern w:val="0"/>
                <w:szCs w:val="21"/>
              </w:rPr>
            </w:pPr>
            <w:r>
              <w:rPr>
                <w:snapToGrid w:val="0"/>
                <w:kern w:val="0"/>
                <w:szCs w:val="21"/>
              </w:rPr>
              <w:t>联系电话</w:t>
            </w:r>
          </w:p>
        </w:tc>
        <w:tc>
          <w:tcPr>
            <w:tcW w:w="1794" w:type="dxa"/>
            <w:noWrap w:val="0"/>
            <w:vAlign w:val="center"/>
          </w:tcPr>
          <w:p>
            <w:pPr>
              <w:widowControl/>
              <w:adjustRightInd w:val="0"/>
              <w:snapToGrid w:val="0"/>
              <w:jc w:val="center"/>
              <w:rPr>
                <w:snapToGrid w:val="0"/>
                <w:kern w:val="0"/>
                <w:szCs w:val="21"/>
              </w:rPr>
            </w:pPr>
          </w:p>
        </w:tc>
        <w:tc>
          <w:tcPr>
            <w:tcW w:w="1850" w:type="dxa"/>
            <w:noWrap w:val="0"/>
            <w:vAlign w:val="center"/>
          </w:tcPr>
          <w:p>
            <w:pPr>
              <w:widowControl/>
              <w:adjustRightInd w:val="0"/>
              <w:snapToGrid w:val="0"/>
              <w:jc w:val="center"/>
              <w:rPr>
                <w:snapToGrid w:val="0"/>
                <w:kern w:val="0"/>
                <w:szCs w:val="21"/>
              </w:rPr>
            </w:pPr>
            <w:r>
              <w:rPr>
                <w:snapToGrid w:val="0"/>
                <w:kern w:val="0"/>
                <w:szCs w:val="21"/>
              </w:rPr>
              <w:t>联系人</w:t>
            </w:r>
          </w:p>
        </w:tc>
        <w:tc>
          <w:tcPr>
            <w:tcW w:w="4046" w:type="dxa"/>
            <w:gridSpan w:val="5"/>
            <w:noWrap w:val="0"/>
            <w:vAlign w:val="center"/>
          </w:tcPr>
          <w:p>
            <w:pPr>
              <w:widowControl/>
              <w:adjustRightInd w:val="0"/>
              <w:snapToGrid w:val="0"/>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noWrap w:val="0"/>
            <w:vAlign w:val="center"/>
          </w:tcPr>
          <w:p>
            <w:pPr>
              <w:widowControl/>
              <w:adjustRightInd w:val="0"/>
              <w:snapToGrid w:val="0"/>
              <w:jc w:val="center"/>
              <w:rPr>
                <w:snapToGrid w:val="0"/>
                <w:kern w:val="0"/>
                <w:szCs w:val="21"/>
              </w:rPr>
            </w:pPr>
            <w:r>
              <w:rPr>
                <w:snapToGrid w:val="0"/>
                <w:kern w:val="0"/>
                <w:szCs w:val="21"/>
              </w:rPr>
              <w:t>成立时间</w:t>
            </w:r>
          </w:p>
        </w:tc>
        <w:tc>
          <w:tcPr>
            <w:tcW w:w="1794" w:type="dxa"/>
            <w:noWrap w:val="0"/>
            <w:vAlign w:val="center"/>
          </w:tcPr>
          <w:p>
            <w:pPr>
              <w:widowControl/>
              <w:adjustRightInd w:val="0"/>
              <w:snapToGrid w:val="0"/>
              <w:jc w:val="center"/>
              <w:rPr>
                <w:snapToGrid w:val="0"/>
                <w:kern w:val="0"/>
                <w:szCs w:val="21"/>
              </w:rPr>
            </w:pPr>
          </w:p>
        </w:tc>
        <w:tc>
          <w:tcPr>
            <w:tcW w:w="1850" w:type="dxa"/>
            <w:noWrap w:val="0"/>
            <w:vAlign w:val="center"/>
          </w:tcPr>
          <w:p>
            <w:pPr>
              <w:widowControl/>
              <w:adjustRightInd w:val="0"/>
              <w:snapToGrid w:val="0"/>
              <w:jc w:val="center"/>
              <w:rPr>
                <w:snapToGrid w:val="0"/>
                <w:kern w:val="0"/>
                <w:szCs w:val="21"/>
              </w:rPr>
            </w:pPr>
            <w:r>
              <w:rPr>
                <w:snapToGrid w:val="0"/>
                <w:kern w:val="0"/>
                <w:szCs w:val="21"/>
              </w:rPr>
              <w:t>注册资金(万元)</w:t>
            </w:r>
          </w:p>
        </w:tc>
        <w:tc>
          <w:tcPr>
            <w:tcW w:w="1138" w:type="dxa"/>
            <w:gridSpan w:val="2"/>
            <w:noWrap w:val="0"/>
            <w:vAlign w:val="center"/>
          </w:tcPr>
          <w:p>
            <w:pPr>
              <w:widowControl/>
              <w:adjustRightInd w:val="0"/>
              <w:snapToGrid w:val="0"/>
              <w:jc w:val="center"/>
              <w:rPr>
                <w:snapToGrid w:val="0"/>
                <w:kern w:val="0"/>
                <w:szCs w:val="21"/>
              </w:rPr>
            </w:pPr>
          </w:p>
        </w:tc>
        <w:tc>
          <w:tcPr>
            <w:tcW w:w="1784" w:type="dxa"/>
            <w:gridSpan w:val="2"/>
            <w:noWrap w:val="0"/>
            <w:vAlign w:val="center"/>
          </w:tcPr>
          <w:p>
            <w:pPr>
              <w:widowControl/>
              <w:adjustRightInd w:val="0"/>
              <w:snapToGrid w:val="0"/>
              <w:jc w:val="center"/>
              <w:rPr>
                <w:snapToGrid w:val="0"/>
                <w:kern w:val="0"/>
                <w:szCs w:val="21"/>
              </w:rPr>
            </w:pPr>
            <w:r>
              <w:rPr>
                <w:snapToGrid w:val="0"/>
                <w:kern w:val="0"/>
                <w:szCs w:val="21"/>
              </w:rPr>
              <w:t>固定资产(万元)</w:t>
            </w:r>
          </w:p>
        </w:tc>
        <w:tc>
          <w:tcPr>
            <w:tcW w:w="1124" w:type="dxa"/>
            <w:noWrap w:val="0"/>
            <w:vAlign w:val="center"/>
          </w:tcPr>
          <w:p>
            <w:pPr>
              <w:widowControl/>
              <w:adjustRightInd w:val="0"/>
              <w:snapToGrid w:val="0"/>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noWrap w:val="0"/>
            <w:vAlign w:val="center"/>
          </w:tcPr>
          <w:p>
            <w:pPr>
              <w:widowControl/>
              <w:adjustRightInd w:val="0"/>
              <w:snapToGrid w:val="0"/>
              <w:jc w:val="center"/>
              <w:rPr>
                <w:snapToGrid w:val="0"/>
                <w:kern w:val="0"/>
                <w:szCs w:val="21"/>
              </w:rPr>
            </w:pPr>
            <w:r>
              <w:rPr>
                <w:snapToGrid w:val="0"/>
                <w:kern w:val="0"/>
                <w:szCs w:val="21"/>
              </w:rPr>
              <w:t>法人代表</w:t>
            </w:r>
          </w:p>
        </w:tc>
        <w:tc>
          <w:tcPr>
            <w:tcW w:w="1794" w:type="dxa"/>
            <w:noWrap w:val="0"/>
            <w:vAlign w:val="center"/>
          </w:tcPr>
          <w:p>
            <w:pPr>
              <w:widowControl/>
              <w:adjustRightInd w:val="0"/>
              <w:snapToGrid w:val="0"/>
              <w:jc w:val="center"/>
              <w:rPr>
                <w:snapToGrid w:val="0"/>
                <w:kern w:val="0"/>
                <w:szCs w:val="21"/>
              </w:rPr>
            </w:pPr>
          </w:p>
        </w:tc>
        <w:tc>
          <w:tcPr>
            <w:tcW w:w="1850" w:type="dxa"/>
            <w:noWrap w:val="0"/>
            <w:vAlign w:val="center"/>
          </w:tcPr>
          <w:p>
            <w:pPr>
              <w:widowControl/>
              <w:adjustRightInd w:val="0"/>
              <w:snapToGrid w:val="0"/>
              <w:jc w:val="center"/>
              <w:rPr>
                <w:snapToGrid w:val="0"/>
                <w:kern w:val="0"/>
                <w:szCs w:val="21"/>
              </w:rPr>
            </w:pPr>
            <w:r>
              <w:rPr>
                <w:snapToGrid w:val="0"/>
                <w:kern w:val="0"/>
                <w:szCs w:val="21"/>
              </w:rPr>
              <w:t>技术负责人</w:t>
            </w:r>
          </w:p>
        </w:tc>
        <w:tc>
          <w:tcPr>
            <w:tcW w:w="4046" w:type="dxa"/>
            <w:gridSpan w:val="5"/>
            <w:noWrap w:val="0"/>
            <w:vAlign w:val="center"/>
          </w:tcPr>
          <w:p>
            <w:pPr>
              <w:widowControl/>
              <w:adjustRightInd w:val="0"/>
              <w:snapToGrid w:val="0"/>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vMerge w:val="restart"/>
            <w:noWrap w:val="0"/>
            <w:vAlign w:val="center"/>
          </w:tcPr>
          <w:p>
            <w:pPr>
              <w:widowControl/>
              <w:adjustRightInd w:val="0"/>
              <w:snapToGrid w:val="0"/>
              <w:jc w:val="center"/>
              <w:rPr>
                <w:snapToGrid w:val="0"/>
                <w:kern w:val="0"/>
                <w:szCs w:val="21"/>
              </w:rPr>
            </w:pPr>
            <w:r>
              <w:rPr>
                <w:snapToGrid w:val="0"/>
                <w:kern w:val="0"/>
                <w:szCs w:val="21"/>
              </w:rPr>
              <w:t>资质等级情况</w:t>
            </w:r>
          </w:p>
        </w:tc>
        <w:tc>
          <w:tcPr>
            <w:tcW w:w="1794" w:type="dxa"/>
            <w:noWrap w:val="0"/>
            <w:vAlign w:val="center"/>
          </w:tcPr>
          <w:p>
            <w:pPr>
              <w:widowControl/>
              <w:adjustRightInd w:val="0"/>
              <w:snapToGrid w:val="0"/>
              <w:jc w:val="center"/>
              <w:rPr>
                <w:snapToGrid w:val="0"/>
                <w:kern w:val="0"/>
                <w:szCs w:val="21"/>
              </w:rPr>
            </w:pPr>
            <w:r>
              <w:rPr>
                <w:snapToGrid w:val="0"/>
                <w:kern w:val="0"/>
                <w:szCs w:val="21"/>
              </w:rPr>
              <w:t>资质名称</w:t>
            </w:r>
          </w:p>
        </w:tc>
        <w:tc>
          <w:tcPr>
            <w:tcW w:w="1850" w:type="dxa"/>
            <w:noWrap w:val="0"/>
            <w:vAlign w:val="center"/>
          </w:tcPr>
          <w:p>
            <w:pPr>
              <w:widowControl/>
              <w:adjustRightInd w:val="0"/>
              <w:snapToGrid w:val="0"/>
              <w:jc w:val="center"/>
              <w:rPr>
                <w:snapToGrid w:val="0"/>
                <w:kern w:val="0"/>
                <w:szCs w:val="21"/>
              </w:rPr>
            </w:pPr>
            <w:r>
              <w:rPr>
                <w:snapToGrid w:val="0"/>
                <w:kern w:val="0"/>
                <w:szCs w:val="21"/>
              </w:rPr>
              <w:t>颁发部门</w:t>
            </w:r>
          </w:p>
        </w:tc>
        <w:tc>
          <w:tcPr>
            <w:tcW w:w="1886" w:type="dxa"/>
            <w:gridSpan w:val="3"/>
            <w:noWrap w:val="0"/>
            <w:vAlign w:val="center"/>
          </w:tcPr>
          <w:p>
            <w:pPr>
              <w:widowControl/>
              <w:adjustRightInd w:val="0"/>
              <w:snapToGrid w:val="0"/>
              <w:jc w:val="center"/>
              <w:rPr>
                <w:snapToGrid w:val="0"/>
                <w:kern w:val="0"/>
                <w:szCs w:val="21"/>
              </w:rPr>
            </w:pPr>
            <w:r>
              <w:rPr>
                <w:snapToGrid w:val="0"/>
                <w:kern w:val="0"/>
                <w:szCs w:val="21"/>
              </w:rPr>
              <w:t>资质等级</w:t>
            </w:r>
          </w:p>
        </w:tc>
        <w:tc>
          <w:tcPr>
            <w:tcW w:w="2160" w:type="dxa"/>
            <w:gridSpan w:val="2"/>
            <w:noWrap w:val="0"/>
            <w:vAlign w:val="center"/>
          </w:tcPr>
          <w:p>
            <w:pPr>
              <w:widowControl/>
              <w:adjustRightInd w:val="0"/>
              <w:snapToGrid w:val="0"/>
              <w:jc w:val="center"/>
              <w:rPr>
                <w:snapToGrid w:val="0"/>
                <w:kern w:val="0"/>
                <w:szCs w:val="21"/>
              </w:rPr>
            </w:pPr>
            <w:r>
              <w:rPr>
                <w:snapToGrid w:val="0"/>
                <w:kern w:val="0"/>
                <w:szCs w:val="21"/>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vMerge w:val="continue"/>
            <w:noWrap w:val="0"/>
            <w:vAlign w:val="center"/>
          </w:tcPr>
          <w:p>
            <w:pPr>
              <w:widowControl/>
              <w:adjustRightInd w:val="0"/>
              <w:snapToGrid w:val="0"/>
              <w:jc w:val="center"/>
              <w:rPr>
                <w:snapToGrid w:val="0"/>
                <w:kern w:val="0"/>
                <w:szCs w:val="21"/>
              </w:rPr>
            </w:pPr>
          </w:p>
        </w:tc>
        <w:tc>
          <w:tcPr>
            <w:tcW w:w="1794" w:type="dxa"/>
            <w:noWrap w:val="0"/>
            <w:vAlign w:val="center"/>
          </w:tcPr>
          <w:p>
            <w:pPr>
              <w:widowControl/>
              <w:adjustRightInd w:val="0"/>
              <w:snapToGrid w:val="0"/>
              <w:jc w:val="center"/>
              <w:rPr>
                <w:snapToGrid w:val="0"/>
                <w:kern w:val="0"/>
                <w:szCs w:val="21"/>
              </w:rPr>
            </w:pPr>
          </w:p>
        </w:tc>
        <w:tc>
          <w:tcPr>
            <w:tcW w:w="1850" w:type="dxa"/>
            <w:noWrap w:val="0"/>
            <w:vAlign w:val="center"/>
          </w:tcPr>
          <w:p>
            <w:pPr>
              <w:widowControl/>
              <w:adjustRightInd w:val="0"/>
              <w:snapToGrid w:val="0"/>
              <w:jc w:val="center"/>
              <w:rPr>
                <w:snapToGrid w:val="0"/>
                <w:kern w:val="0"/>
                <w:szCs w:val="21"/>
              </w:rPr>
            </w:pPr>
          </w:p>
        </w:tc>
        <w:tc>
          <w:tcPr>
            <w:tcW w:w="1886" w:type="dxa"/>
            <w:gridSpan w:val="3"/>
            <w:noWrap w:val="0"/>
            <w:vAlign w:val="center"/>
          </w:tcPr>
          <w:p>
            <w:pPr>
              <w:widowControl/>
              <w:adjustRightInd w:val="0"/>
              <w:snapToGrid w:val="0"/>
              <w:jc w:val="center"/>
              <w:rPr>
                <w:snapToGrid w:val="0"/>
                <w:kern w:val="0"/>
                <w:szCs w:val="21"/>
              </w:rPr>
            </w:pPr>
          </w:p>
        </w:tc>
        <w:tc>
          <w:tcPr>
            <w:tcW w:w="2160" w:type="dxa"/>
            <w:gridSpan w:val="2"/>
            <w:noWrap w:val="0"/>
            <w:vAlign w:val="center"/>
          </w:tcPr>
          <w:p>
            <w:pPr>
              <w:widowControl/>
              <w:adjustRightInd w:val="0"/>
              <w:snapToGrid w:val="0"/>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8" w:type="dxa"/>
            <w:vMerge w:val="continue"/>
            <w:noWrap w:val="0"/>
            <w:vAlign w:val="center"/>
          </w:tcPr>
          <w:p>
            <w:pPr>
              <w:widowControl/>
              <w:adjustRightInd w:val="0"/>
              <w:snapToGrid w:val="0"/>
              <w:jc w:val="center"/>
              <w:rPr>
                <w:snapToGrid w:val="0"/>
                <w:kern w:val="0"/>
                <w:szCs w:val="21"/>
              </w:rPr>
            </w:pPr>
          </w:p>
        </w:tc>
        <w:tc>
          <w:tcPr>
            <w:tcW w:w="1794" w:type="dxa"/>
            <w:noWrap w:val="0"/>
            <w:vAlign w:val="center"/>
          </w:tcPr>
          <w:p>
            <w:pPr>
              <w:widowControl/>
              <w:adjustRightInd w:val="0"/>
              <w:snapToGrid w:val="0"/>
              <w:jc w:val="center"/>
              <w:rPr>
                <w:snapToGrid w:val="0"/>
                <w:kern w:val="0"/>
                <w:szCs w:val="21"/>
              </w:rPr>
            </w:pPr>
          </w:p>
        </w:tc>
        <w:tc>
          <w:tcPr>
            <w:tcW w:w="1850" w:type="dxa"/>
            <w:noWrap w:val="0"/>
            <w:vAlign w:val="center"/>
          </w:tcPr>
          <w:p>
            <w:pPr>
              <w:widowControl/>
              <w:adjustRightInd w:val="0"/>
              <w:snapToGrid w:val="0"/>
              <w:jc w:val="center"/>
              <w:rPr>
                <w:snapToGrid w:val="0"/>
                <w:kern w:val="0"/>
                <w:szCs w:val="21"/>
              </w:rPr>
            </w:pPr>
          </w:p>
        </w:tc>
        <w:tc>
          <w:tcPr>
            <w:tcW w:w="1886" w:type="dxa"/>
            <w:gridSpan w:val="3"/>
            <w:noWrap w:val="0"/>
            <w:vAlign w:val="center"/>
          </w:tcPr>
          <w:p>
            <w:pPr>
              <w:widowControl/>
              <w:adjustRightInd w:val="0"/>
              <w:snapToGrid w:val="0"/>
              <w:jc w:val="center"/>
              <w:rPr>
                <w:snapToGrid w:val="0"/>
                <w:kern w:val="0"/>
                <w:szCs w:val="21"/>
              </w:rPr>
            </w:pPr>
          </w:p>
        </w:tc>
        <w:tc>
          <w:tcPr>
            <w:tcW w:w="2160" w:type="dxa"/>
            <w:gridSpan w:val="2"/>
            <w:noWrap w:val="0"/>
            <w:vAlign w:val="center"/>
          </w:tcPr>
          <w:p>
            <w:pPr>
              <w:widowControl/>
              <w:adjustRightInd w:val="0"/>
              <w:snapToGrid w:val="0"/>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01" w:type="dxa"/>
            <w:gridSpan w:val="4"/>
            <w:noWrap w:val="0"/>
            <w:vAlign w:val="center"/>
          </w:tcPr>
          <w:p>
            <w:pPr>
              <w:widowControl/>
              <w:adjustRightInd w:val="0"/>
              <w:snapToGrid w:val="0"/>
              <w:jc w:val="center"/>
              <w:rPr>
                <w:snapToGrid w:val="0"/>
                <w:kern w:val="0"/>
                <w:szCs w:val="21"/>
              </w:rPr>
            </w:pPr>
            <w:r>
              <w:rPr>
                <w:snapToGrid w:val="0"/>
                <w:kern w:val="0"/>
                <w:szCs w:val="21"/>
              </w:rPr>
              <w:t>供应商近三年有无不良记录或因招投标违规涉及司法诉讼情况</w:t>
            </w:r>
          </w:p>
        </w:tc>
        <w:tc>
          <w:tcPr>
            <w:tcW w:w="3047" w:type="dxa"/>
            <w:gridSpan w:val="4"/>
            <w:noWrap w:val="0"/>
            <w:vAlign w:val="center"/>
          </w:tcPr>
          <w:p>
            <w:pPr>
              <w:widowControl/>
              <w:adjustRightInd w:val="0"/>
              <w:snapToGrid w:val="0"/>
              <w:jc w:val="center"/>
              <w:rPr>
                <w:snapToGrid w:val="0"/>
                <w:kern w:val="0"/>
                <w:szCs w:val="21"/>
              </w:rPr>
            </w:pPr>
            <w:r>
              <w:rPr>
                <w:snapToGrid w:val="0"/>
                <w:kern w:val="0"/>
                <w:szCs w:val="21"/>
              </w:rPr>
              <w:t>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1658" w:type="dxa"/>
            <w:noWrap w:val="0"/>
            <w:vAlign w:val="center"/>
          </w:tcPr>
          <w:p>
            <w:pPr>
              <w:widowControl/>
              <w:adjustRightInd w:val="0"/>
              <w:snapToGrid w:val="0"/>
              <w:spacing w:line="300" w:lineRule="auto"/>
              <w:jc w:val="center"/>
              <w:rPr>
                <w:snapToGrid w:val="0"/>
                <w:kern w:val="0"/>
                <w:szCs w:val="21"/>
              </w:rPr>
            </w:pPr>
            <w:r>
              <w:rPr>
                <w:snapToGrid w:val="0"/>
                <w:kern w:val="0"/>
                <w:szCs w:val="21"/>
              </w:rPr>
              <w:t>供应商近三年承担过的类似业绩</w:t>
            </w:r>
          </w:p>
          <w:p>
            <w:pPr>
              <w:widowControl/>
              <w:adjustRightInd w:val="0"/>
              <w:snapToGrid w:val="0"/>
              <w:jc w:val="center"/>
              <w:rPr>
                <w:snapToGrid w:val="0"/>
                <w:kern w:val="0"/>
                <w:szCs w:val="21"/>
              </w:rPr>
            </w:pPr>
          </w:p>
        </w:tc>
        <w:tc>
          <w:tcPr>
            <w:tcW w:w="7690" w:type="dxa"/>
            <w:gridSpan w:val="7"/>
            <w:noWrap w:val="0"/>
            <w:vAlign w:val="center"/>
          </w:tcPr>
          <w:p>
            <w:pPr>
              <w:widowControl/>
              <w:adjustRightInd w:val="0"/>
              <w:snapToGrid w:val="0"/>
              <w:jc w:val="center"/>
              <w:rPr>
                <w:snapToGrid w:val="0"/>
                <w:kern w:val="0"/>
                <w:szCs w:val="21"/>
              </w:rPr>
            </w:pPr>
          </w:p>
          <w:p>
            <w:pPr>
              <w:widowControl/>
              <w:adjustRightInd w:val="0"/>
              <w:snapToGrid w:val="0"/>
              <w:jc w:val="center"/>
              <w:rPr>
                <w:snapToGrid w:val="0"/>
                <w:kern w:val="0"/>
                <w:szCs w:val="21"/>
              </w:rPr>
            </w:pPr>
          </w:p>
          <w:p>
            <w:pPr>
              <w:widowControl/>
              <w:adjustRightInd w:val="0"/>
              <w:snapToGrid w:val="0"/>
              <w:jc w:val="center"/>
              <w:rPr>
                <w:snapToGrid w:val="0"/>
                <w:kern w:val="0"/>
                <w:szCs w:val="21"/>
              </w:rPr>
            </w:pPr>
          </w:p>
          <w:p>
            <w:pPr>
              <w:widowControl/>
              <w:adjustRightInd w:val="0"/>
              <w:snapToGrid w:val="0"/>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1658" w:type="dxa"/>
            <w:noWrap w:val="0"/>
            <w:vAlign w:val="center"/>
          </w:tcPr>
          <w:p>
            <w:pPr>
              <w:widowControl/>
              <w:adjustRightInd w:val="0"/>
              <w:snapToGrid w:val="0"/>
              <w:jc w:val="center"/>
              <w:rPr>
                <w:snapToGrid w:val="0"/>
                <w:kern w:val="0"/>
                <w:szCs w:val="21"/>
              </w:rPr>
            </w:pPr>
            <w:r>
              <w:rPr>
                <w:snapToGrid w:val="0"/>
                <w:kern w:val="0"/>
                <w:szCs w:val="21"/>
              </w:rPr>
              <w:t>其他有竞争力</w:t>
            </w:r>
          </w:p>
          <w:p>
            <w:pPr>
              <w:widowControl/>
              <w:adjustRightInd w:val="0"/>
              <w:snapToGrid w:val="0"/>
              <w:jc w:val="center"/>
              <w:rPr>
                <w:snapToGrid w:val="0"/>
                <w:kern w:val="0"/>
                <w:szCs w:val="21"/>
              </w:rPr>
            </w:pPr>
            <w:r>
              <w:rPr>
                <w:snapToGrid w:val="0"/>
                <w:kern w:val="0"/>
                <w:szCs w:val="21"/>
              </w:rPr>
              <w:t>的说明</w:t>
            </w:r>
          </w:p>
        </w:tc>
        <w:tc>
          <w:tcPr>
            <w:tcW w:w="7690" w:type="dxa"/>
            <w:gridSpan w:val="7"/>
            <w:noWrap w:val="0"/>
            <w:vAlign w:val="center"/>
          </w:tcPr>
          <w:p>
            <w:pPr>
              <w:widowControl/>
              <w:adjustRightInd w:val="0"/>
              <w:snapToGrid w:val="0"/>
              <w:jc w:val="center"/>
              <w:rPr>
                <w:snapToGrid w:val="0"/>
                <w:kern w:val="0"/>
                <w:szCs w:val="21"/>
              </w:rPr>
            </w:pPr>
          </w:p>
        </w:tc>
      </w:tr>
    </w:tbl>
    <w:p>
      <w:pPr>
        <w:autoSpaceDE w:val="0"/>
        <w:autoSpaceDN w:val="0"/>
        <w:adjustRightInd w:val="0"/>
        <w:snapToGrid w:val="0"/>
        <w:spacing w:line="360" w:lineRule="auto"/>
        <w:rPr>
          <w:b/>
          <w:snapToGrid w:val="0"/>
          <w:kern w:val="0"/>
          <w:szCs w:val="21"/>
        </w:rPr>
      </w:pPr>
      <w:r>
        <w:rPr>
          <w:b/>
          <w:snapToGrid w:val="0"/>
          <w:kern w:val="0"/>
          <w:szCs w:val="21"/>
        </w:rPr>
        <w:t>注：需提供上述相关证明材料复印件。</w:t>
      </w:r>
    </w:p>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rPr>
          <w:kern w:val="0"/>
          <w:szCs w:val="21"/>
          <w:lang w:val="zh-CN"/>
        </w:rPr>
      </w:pPr>
      <w:r>
        <w:rPr>
          <w:kern w:val="0"/>
          <w:szCs w:val="21"/>
          <w:lang w:val="zh-CN"/>
        </w:rPr>
        <w:t>日期：  年  月   日</w:t>
      </w:r>
    </w:p>
    <w:p/>
    <w:p/>
    <w:p>
      <w:pPr>
        <w:numPr>
          <w:ilvl w:val="0"/>
          <w:numId w:val="14"/>
        </w:numPr>
        <w:spacing w:after="120" w:afterLines="50" w:line="520" w:lineRule="exact"/>
        <w:jc w:val="left"/>
        <w:outlineLvl w:val="2"/>
        <w:rPr>
          <w:b/>
          <w:bCs/>
          <w:sz w:val="24"/>
        </w:rPr>
      </w:pPr>
      <w:r>
        <w:rPr>
          <w:b/>
          <w:bCs/>
          <w:sz w:val="24"/>
        </w:rPr>
        <w:t>供应商小微企业的证明（如有）</w:t>
      </w:r>
    </w:p>
    <w:p>
      <w:pPr>
        <w:spacing w:line="360" w:lineRule="auto"/>
        <w:ind w:firstLine="420" w:firstLineChars="200"/>
      </w:pPr>
      <w:r>
        <w:t>1、供应商、投标产品制造商的小微企业证明（企业所在地经济和信息化主管部门开具的小微企业证明）。</w:t>
      </w:r>
    </w:p>
    <w:p>
      <w:pPr>
        <w:spacing w:line="360" w:lineRule="auto"/>
        <w:ind w:firstLine="420" w:firstLineChars="200"/>
      </w:pPr>
      <w:r>
        <w:t>（1）中小企业声明函（详见格式）</w:t>
      </w:r>
    </w:p>
    <w:p>
      <w:pPr>
        <w:spacing w:line="360" w:lineRule="auto"/>
        <w:ind w:firstLine="420" w:firstLineChars="200"/>
      </w:pPr>
      <w:r>
        <w:t>（2）中小企业资格确认意见书或者投标截止时间前 7 日内“国家企业信用信息公示系统—小微企业名录”页面查询结果）</w:t>
      </w:r>
    </w:p>
    <w:p>
      <w:pPr>
        <w:spacing w:line="360" w:lineRule="auto"/>
        <w:ind w:firstLine="420" w:firstLineChars="200"/>
        <w:rPr>
          <w:sz w:val="24"/>
        </w:rPr>
      </w:pPr>
      <w:r>
        <w:t>2、中小企业声明函。（格式后附）</w:t>
      </w:r>
    </w:p>
    <w:p>
      <w:pPr>
        <w:spacing w:line="360" w:lineRule="auto"/>
        <w:rPr>
          <w:sz w:val="24"/>
        </w:rPr>
      </w:pPr>
    </w:p>
    <w:p>
      <w:pPr>
        <w:spacing w:line="360" w:lineRule="auto"/>
        <w:rPr>
          <w:sz w:val="24"/>
        </w:rPr>
      </w:pPr>
      <w:r>
        <w:rPr>
          <w:sz w:val="24"/>
        </w:rPr>
        <w:t>附：</w:t>
      </w:r>
    </w:p>
    <w:p/>
    <w:p>
      <w:pPr>
        <w:pStyle w:val="18"/>
        <w:spacing w:before="0" w:beforeAutospacing="0" w:after="0" w:afterAutospacing="0" w:line="360" w:lineRule="auto"/>
        <w:jc w:val="center"/>
        <w:rPr>
          <w:rStyle w:val="24"/>
          <w:rFonts w:ascii="Times New Roman" w:hAnsi="Times New Roman"/>
        </w:rPr>
      </w:pPr>
      <w:r>
        <w:rPr>
          <w:rStyle w:val="24"/>
          <w:rFonts w:ascii="Times New Roman" w:hAnsi="Times New Roman"/>
        </w:rPr>
        <w:t>中小企业声明函</w:t>
      </w:r>
    </w:p>
    <w:p>
      <w:pPr>
        <w:pStyle w:val="18"/>
        <w:spacing w:before="0" w:beforeAutospacing="0" w:after="0" w:afterAutospacing="0" w:line="360" w:lineRule="auto"/>
        <w:jc w:val="center"/>
        <w:rPr>
          <w:rFonts w:ascii="Times New Roman" w:hAnsi="Times New Roman"/>
        </w:rPr>
      </w:pPr>
    </w:p>
    <w:p>
      <w:pPr>
        <w:pStyle w:val="18"/>
        <w:spacing w:before="0" w:beforeAutospacing="0" w:after="0" w:afterAutospacing="0" w:line="360" w:lineRule="auto"/>
        <w:ind w:firstLine="420" w:firstLineChars="200"/>
        <w:jc w:val="both"/>
        <w:rPr>
          <w:rFonts w:ascii="Times New Roman" w:hAnsi="Times New Roman"/>
          <w:sz w:val="21"/>
          <w:szCs w:val="21"/>
        </w:rPr>
      </w:pPr>
      <w:r>
        <w:rPr>
          <w:rFonts w:ascii="Times New Roman" w:hAnsi="Times New Roman"/>
          <w:sz w:val="21"/>
          <w:szCs w:val="21"/>
        </w:rPr>
        <w:t>本公司郑重声明，根据《政府采购促进中小企业发展暂行办法》（财库〔2011〕181号）的规定，本公司为______（请填写：中型、小型、微型）企业。即，本公司同时满足以下条件：</w:t>
      </w:r>
    </w:p>
    <w:p>
      <w:pPr>
        <w:pStyle w:val="18"/>
        <w:spacing w:before="0" w:beforeAutospacing="0" w:after="0" w:afterAutospacing="0" w:line="360" w:lineRule="auto"/>
        <w:ind w:firstLine="420" w:firstLineChars="200"/>
        <w:jc w:val="both"/>
        <w:rPr>
          <w:rFonts w:ascii="Times New Roman" w:hAnsi="Times New Roman"/>
          <w:sz w:val="21"/>
          <w:szCs w:val="21"/>
        </w:rPr>
      </w:pPr>
      <w:r>
        <w:rPr>
          <w:rFonts w:ascii="Times New Roman" w:hAnsi="Times New Roman"/>
          <w:sz w:val="21"/>
          <w:szCs w:val="21"/>
        </w:rPr>
        <w:t>1、根据《工业和信息化部、国家统计局、国家发展和改革委员会、财政部关于印发中小企业划型标准规定的通知》（工信部联企业〔2011〕300号）规定的划分标准，本公司为______（请填写：中型、小型、微型）企业。</w:t>
      </w:r>
    </w:p>
    <w:p>
      <w:pPr>
        <w:pStyle w:val="18"/>
        <w:spacing w:before="0" w:beforeAutospacing="0" w:after="0" w:afterAutospacing="0" w:line="360" w:lineRule="auto"/>
        <w:ind w:firstLine="420" w:firstLineChars="200"/>
        <w:jc w:val="both"/>
        <w:rPr>
          <w:rFonts w:ascii="Times New Roman" w:hAnsi="Times New Roman"/>
          <w:sz w:val="21"/>
          <w:szCs w:val="21"/>
        </w:rPr>
      </w:pPr>
      <w:r>
        <w:rPr>
          <w:rFonts w:ascii="Times New Roman" w:hAnsi="Times New Roman"/>
          <w:sz w:val="21"/>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8"/>
        <w:spacing w:before="0" w:beforeAutospacing="0" w:after="0" w:afterAutospacing="0" w:line="360" w:lineRule="auto"/>
        <w:ind w:firstLine="420" w:firstLineChars="200"/>
        <w:jc w:val="both"/>
        <w:rPr>
          <w:rFonts w:ascii="Times New Roman" w:hAnsi="Times New Roman"/>
          <w:sz w:val="21"/>
          <w:szCs w:val="21"/>
        </w:rPr>
      </w:pPr>
      <w:r>
        <w:rPr>
          <w:rFonts w:ascii="Times New Roman" w:hAnsi="Times New Roman"/>
          <w:sz w:val="21"/>
          <w:szCs w:val="21"/>
        </w:rPr>
        <w:t>本公司对上述声明的真实性负责。如有虚假，将依法承担相应责任。</w:t>
      </w:r>
    </w:p>
    <w:p>
      <w:pPr>
        <w:pStyle w:val="18"/>
        <w:spacing w:before="0" w:beforeAutospacing="0" w:after="0" w:afterAutospacing="0" w:line="360" w:lineRule="auto"/>
        <w:ind w:firstLine="480" w:firstLineChars="200"/>
        <w:jc w:val="both"/>
        <w:rPr>
          <w:rFonts w:ascii="Times New Roman" w:hAnsi="Times New Roman"/>
        </w:rPr>
      </w:pPr>
    </w:p>
    <w:p>
      <w:pPr>
        <w:pStyle w:val="18"/>
        <w:spacing w:before="0" w:beforeAutospacing="0" w:after="0" w:afterAutospacing="0" w:line="360" w:lineRule="auto"/>
        <w:ind w:firstLine="480" w:firstLineChars="200"/>
        <w:jc w:val="both"/>
        <w:rPr>
          <w:rFonts w:ascii="Times New Roman" w:hAnsi="Times New Roman"/>
        </w:rPr>
      </w:pPr>
    </w:p>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rPr>
          <w:kern w:val="0"/>
          <w:szCs w:val="21"/>
          <w:lang w:val="zh-CN"/>
        </w:rPr>
      </w:pPr>
      <w:r>
        <w:rPr>
          <w:kern w:val="0"/>
          <w:szCs w:val="21"/>
          <w:lang w:val="zh-CN"/>
        </w:rPr>
        <w:t>日期：  年  月   日</w:t>
      </w:r>
    </w:p>
    <w:p>
      <w:pPr>
        <w:numPr>
          <w:ilvl w:val="0"/>
          <w:numId w:val="14"/>
        </w:numPr>
        <w:spacing w:after="120" w:afterLines="50" w:line="520" w:lineRule="exact"/>
        <w:jc w:val="left"/>
        <w:outlineLvl w:val="2"/>
        <w:rPr>
          <w:b/>
          <w:bCs/>
          <w:sz w:val="24"/>
        </w:rPr>
      </w:pPr>
      <w:r>
        <w:br w:type="page"/>
      </w:r>
      <w:r>
        <w:rPr>
          <w:b/>
          <w:bCs/>
          <w:sz w:val="24"/>
        </w:rPr>
        <w:t>供应商省级以上监狱管理局、戒毒管理局(含新疆生产建设兵团) 出具的属于监狱企业的证明文件（如有）</w:t>
      </w:r>
    </w:p>
    <w:p>
      <w:pPr>
        <w:spacing w:line="360" w:lineRule="auto"/>
        <w:ind w:firstLine="630" w:firstLineChars="300"/>
      </w:pPr>
    </w:p>
    <w:p>
      <w:pPr>
        <w:spacing w:line="360" w:lineRule="auto"/>
        <w:ind w:firstLine="630" w:firstLineChars="300"/>
      </w:pPr>
      <w:r>
        <w:t>供应商的省级以上监狱管理局、戒毒管理局(含新疆生产建设兵团)出具的属于监狱企业的证明文件，投标产品制造商的小微企业证明（当地中小企业行政主管部门出具的中小企业资格确认意见书或者投标截止时间前 7 日内“国家企业信用信息公示系统—小微企业名录”页面查询结果）。</w:t>
      </w:r>
    </w:p>
    <w:p/>
    <w:p/>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rPr>
          <w:kern w:val="0"/>
          <w:szCs w:val="21"/>
          <w:lang w:val="zh-CN"/>
        </w:rPr>
      </w:pPr>
      <w:r>
        <w:rPr>
          <w:kern w:val="0"/>
          <w:szCs w:val="21"/>
          <w:lang w:val="zh-CN"/>
        </w:rPr>
        <w:t>日期：  年  月   日</w:t>
      </w:r>
    </w:p>
    <w:p/>
    <w:p/>
    <w:p>
      <w:pPr>
        <w:numPr>
          <w:ilvl w:val="0"/>
          <w:numId w:val="14"/>
        </w:numPr>
        <w:spacing w:after="120" w:afterLines="50" w:line="520" w:lineRule="exact"/>
        <w:jc w:val="left"/>
        <w:outlineLvl w:val="2"/>
        <w:rPr>
          <w:b/>
          <w:bCs/>
          <w:sz w:val="24"/>
        </w:rPr>
      </w:pPr>
      <w:r>
        <w:br w:type="page"/>
      </w:r>
      <w:r>
        <w:rPr>
          <w:b/>
          <w:bCs/>
          <w:sz w:val="24"/>
        </w:rPr>
        <w:t>《残疾人福利性单位声明函》（如有）</w:t>
      </w:r>
    </w:p>
    <w:p/>
    <w:p>
      <w:pPr>
        <w:spacing w:before="120" w:beforeLines="50" w:line="360" w:lineRule="auto"/>
        <w:jc w:val="center"/>
        <w:rPr>
          <w:b/>
          <w:sz w:val="24"/>
          <w:szCs w:val="21"/>
        </w:rPr>
      </w:pPr>
      <w:r>
        <w:rPr>
          <w:b/>
          <w:sz w:val="24"/>
          <w:szCs w:val="21"/>
        </w:rPr>
        <w:t>残疾人福利性单位声明函</w:t>
      </w:r>
    </w:p>
    <w:p>
      <w:pPr>
        <w:pStyle w:val="18"/>
        <w:spacing w:before="0" w:beforeAutospacing="0" w:after="0" w:afterAutospacing="0" w:line="360" w:lineRule="auto"/>
        <w:ind w:firstLine="420" w:firstLineChars="200"/>
        <w:jc w:val="both"/>
        <w:rPr>
          <w:rFonts w:ascii="Times New Roman" w:hAnsi="Times New Roman"/>
          <w:sz w:val="21"/>
          <w:szCs w:val="21"/>
        </w:rPr>
      </w:pPr>
      <w:r>
        <w:rPr>
          <w:rFonts w:ascii="Times New Roman" w:hAnsi="Times New Roman"/>
          <w:sz w:val="21"/>
          <w:szCs w:val="21"/>
        </w:rPr>
        <w:t>本单位郑重声明，根据《财政部、民政部、中国残疾人联合会关于促进残疾人就业政府采购政策的通知》（财库〔2017〕141 号）的规定，本单位为符合条件的残疾人福利性单位，且本单位参加</w:t>
      </w:r>
      <w:r>
        <w:rPr>
          <w:rFonts w:ascii="Times New Roman" w:hAnsi="Times New Roman"/>
          <w:sz w:val="21"/>
          <w:szCs w:val="21"/>
          <w:u w:val="single"/>
        </w:rPr>
        <w:t xml:space="preserve">                       </w:t>
      </w:r>
      <w:r>
        <w:rPr>
          <w:rFonts w:ascii="Times New Roman" w:hAnsi="Times New Roman"/>
          <w:sz w:val="21"/>
          <w:szCs w:val="21"/>
        </w:rPr>
        <w:t>单位的</w:t>
      </w:r>
      <w:r>
        <w:rPr>
          <w:rFonts w:ascii="Times New Roman" w:hAnsi="Times New Roman"/>
          <w:sz w:val="21"/>
          <w:szCs w:val="21"/>
          <w:u w:val="single"/>
        </w:rPr>
        <w:t xml:space="preserve">               </w:t>
      </w:r>
      <w:r>
        <w:rPr>
          <w:rFonts w:ascii="Times New Roman" w:hAnsi="Times New Roman"/>
          <w:sz w:val="21"/>
          <w:szCs w:val="21"/>
        </w:rPr>
        <w:t>项目采购活动提供本单位制造的货物（由本单位承担工程/提供服务），或者提供其他残疾人福利性单位制造的货物（不包括使用非残疾人福利性单位注册商标的货物）。</w:t>
      </w:r>
    </w:p>
    <w:p>
      <w:pPr>
        <w:pStyle w:val="18"/>
        <w:spacing w:before="0" w:beforeAutospacing="0" w:after="0" w:afterAutospacing="0" w:line="360" w:lineRule="auto"/>
        <w:ind w:firstLine="420" w:firstLineChars="200"/>
        <w:jc w:val="both"/>
        <w:rPr>
          <w:rFonts w:ascii="Times New Roman" w:hAnsi="Times New Roman"/>
          <w:sz w:val="21"/>
          <w:szCs w:val="21"/>
        </w:rPr>
      </w:pPr>
      <w:r>
        <w:rPr>
          <w:rFonts w:ascii="Times New Roman" w:hAnsi="Times New Roman"/>
          <w:sz w:val="21"/>
          <w:szCs w:val="21"/>
        </w:rPr>
        <w:t>本单位对上述声明的真实性负责。如有虚假，将依法承担相应责任。</w:t>
      </w:r>
    </w:p>
    <w:p>
      <w:pPr>
        <w:pStyle w:val="9"/>
        <w:spacing w:line="360" w:lineRule="auto"/>
        <w:ind w:firstLine="420" w:firstLineChars="200"/>
      </w:pPr>
    </w:p>
    <w:p>
      <w:pPr>
        <w:pStyle w:val="9"/>
        <w:spacing w:line="360" w:lineRule="auto"/>
        <w:ind w:firstLine="420" w:firstLineChars="200"/>
      </w:pPr>
    </w:p>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rPr>
          <w:kern w:val="0"/>
          <w:szCs w:val="21"/>
          <w:lang w:val="zh-CN"/>
        </w:rPr>
      </w:pPr>
      <w:r>
        <w:rPr>
          <w:kern w:val="0"/>
          <w:szCs w:val="21"/>
          <w:lang w:val="zh-CN"/>
        </w:rPr>
        <w:t>日期：  年  月   日</w:t>
      </w:r>
    </w:p>
    <w:p>
      <w:pPr>
        <w:pStyle w:val="9"/>
        <w:spacing w:line="360" w:lineRule="auto"/>
        <w:ind w:firstLine="420" w:firstLineChars="200"/>
      </w:pPr>
    </w:p>
    <w:p>
      <w:pPr>
        <w:pStyle w:val="9"/>
        <w:spacing w:line="360" w:lineRule="auto"/>
        <w:ind w:firstLine="420" w:firstLineChars="200"/>
      </w:pPr>
    </w:p>
    <w:p>
      <w:pPr>
        <w:numPr>
          <w:ilvl w:val="0"/>
          <w:numId w:val="14"/>
        </w:numPr>
        <w:spacing w:after="120" w:afterLines="50" w:line="520" w:lineRule="exact"/>
        <w:jc w:val="left"/>
        <w:outlineLvl w:val="2"/>
        <w:rPr>
          <w:b/>
          <w:bCs/>
          <w:sz w:val="24"/>
        </w:rPr>
      </w:pPr>
      <w:r>
        <w:rPr>
          <w:b/>
          <w:sz w:val="28"/>
          <w:szCs w:val="28"/>
        </w:rPr>
        <w:br w:type="page"/>
      </w:r>
      <w:r>
        <w:rPr>
          <w:b/>
          <w:bCs/>
          <w:sz w:val="24"/>
        </w:rPr>
        <w:t>廉政承诺书</w:t>
      </w:r>
    </w:p>
    <w:p/>
    <w:p>
      <w:pPr>
        <w:autoSpaceDE w:val="0"/>
        <w:autoSpaceDN w:val="0"/>
        <w:adjustRightInd w:val="0"/>
        <w:spacing w:line="360" w:lineRule="auto"/>
        <w:jc w:val="left"/>
        <w:rPr>
          <w:kern w:val="0"/>
          <w:szCs w:val="21"/>
          <w:lang w:val="zh-CN"/>
        </w:rPr>
      </w:pPr>
      <w:r>
        <w:rPr>
          <w:szCs w:val="21"/>
          <w:u w:val="single"/>
        </w:rPr>
        <w:t>新昌县公安局</w:t>
      </w:r>
      <w:r>
        <w:rPr>
          <w:kern w:val="0"/>
          <w:szCs w:val="21"/>
          <w:lang w:val="zh-CN"/>
        </w:rPr>
        <w:t xml:space="preserve">：        </w:t>
      </w:r>
    </w:p>
    <w:p>
      <w:pPr>
        <w:autoSpaceDE w:val="0"/>
        <w:autoSpaceDN w:val="0"/>
        <w:spacing w:line="360" w:lineRule="auto"/>
        <w:ind w:firstLine="420" w:firstLineChars="200"/>
        <w:jc w:val="left"/>
        <w:rPr>
          <w:kern w:val="0"/>
          <w:szCs w:val="21"/>
          <w:lang w:val="zh-CN"/>
        </w:rPr>
      </w:pPr>
      <w:r>
        <w:rPr>
          <w:kern w:val="0"/>
          <w:szCs w:val="21"/>
          <w:lang w:val="zh-CN"/>
        </w:rPr>
        <w:t>我方响应你</w:t>
      </w:r>
      <w:r>
        <w:rPr>
          <w:szCs w:val="21"/>
        </w:rPr>
        <w:t>单位</w:t>
      </w:r>
      <w:r>
        <w:rPr>
          <w:kern w:val="0"/>
          <w:szCs w:val="21"/>
          <w:lang w:val="zh-CN"/>
        </w:rPr>
        <w:t>项目招标要求参加投标。在这次投标过程中和中标后，我们将严格遵守国家法律法规要求，并郑重承诺：</w:t>
      </w:r>
    </w:p>
    <w:p>
      <w:pPr>
        <w:autoSpaceDE w:val="0"/>
        <w:autoSpaceDN w:val="0"/>
        <w:spacing w:line="360" w:lineRule="auto"/>
        <w:ind w:firstLine="420" w:firstLineChars="200"/>
        <w:jc w:val="left"/>
        <w:rPr>
          <w:kern w:val="0"/>
          <w:szCs w:val="21"/>
          <w:lang w:val="zh-CN"/>
        </w:rPr>
      </w:pPr>
      <w:r>
        <w:rPr>
          <w:kern w:val="0"/>
          <w:szCs w:val="21"/>
          <w:lang w:val="zh-CN"/>
        </w:rPr>
        <w:t>1、不向项目有关人员及部门赠送礼金礼物、有价证券、回扣以及中介费、介绍费、咨询费等好处费；</w:t>
      </w:r>
    </w:p>
    <w:p>
      <w:pPr>
        <w:autoSpaceDE w:val="0"/>
        <w:autoSpaceDN w:val="0"/>
        <w:spacing w:line="360" w:lineRule="auto"/>
        <w:ind w:firstLine="420" w:firstLineChars="200"/>
        <w:jc w:val="left"/>
        <w:rPr>
          <w:kern w:val="0"/>
          <w:szCs w:val="21"/>
          <w:lang w:val="zh-CN"/>
        </w:rPr>
      </w:pPr>
      <w:r>
        <w:rPr>
          <w:kern w:val="0"/>
          <w:szCs w:val="21"/>
          <w:lang w:val="zh-CN"/>
        </w:rPr>
        <w:t>2、不为项目有关人员及部门报销应由你方单位或个人支付的费用；</w:t>
      </w:r>
    </w:p>
    <w:p>
      <w:pPr>
        <w:autoSpaceDE w:val="0"/>
        <w:autoSpaceDN w:val="0"/>
        <w:spacing w:line="360" w:lineRule="auto"/>
        <w:ind w:firstLine="420" w:firstLineChars="200"/>
        <w:jc w:val="left"/>
        <w:rPr>
          <w:kern w:val="0"/>
          <w:szCs w:val="21"/>
          <w:lang w:val="zh-CN"/>
        </w:rPr>
      </w:pPr>
      <w:r>
        <w:rPr>
          <w:kern w:val="0"/>
          <w:szCs w:val="21"/>
          <w:lang w:val="zh-CN"/>
        </w:rPr>
        <w:t>3、不向项目有关人员及部门提供有可能影响公正的宴请和健身娱乐等活动；</w:t>
      </w:r>
    </w:p>
    <w:p>
      <w:pPr>
        <w:autoSpaceDE w:val="0"/>
        <w:autoSpaceDN w:val="0"/>
        <w:spacing w:line="360" w:lineRule="auto"/>
        <w:ind w:firstLine="420" w:firstLineChars="200"/>
        <w:jc w:val="left"/>
        <w:rPr>
          <w:kern w:val="0"/>
          <w:szCs w:val="21"/>
          <w:lang w:val="zh-CN"/>
        </w:rPr>
      </w:pPr>
      <w:r>
        <w:rPr>
          <w:kern w:val="0"/>
          <w:szCs w:val="21"/>
          <w:lang w:val="zh-CN"/>
        </w:rPr>
        <w:t>4、不为项目有关人员及部门出国（境）、旅游等提供方便；</w:t>
      </w:r>
    </w:p>
    <w:p>
      <w:pPr>
        <w:autoSpaceDE w:val="0"/>
        <w:autoSpaceDN w:val="0"/>
        <w:spacing w:line="360" w:lineRule="auto"/>
        <w:ind w:firstLine="420" w:firstLineChars="200"/>
        <w:jc w:val="left"/>
        <w:rPr>
          <w:kern w:val="0"/>
          <w:szCs w:val="21"/>
          <w:lang w:val="zh-CN"/>
        </w:rPr>
      </w:pPr>
      <w:r>
        <w:rPr>
          <w:kern w:val="0"/>
          <w:szCs w:val="21"/>
          <w:lang w:val="zh-CN"/>
        </w:rPr>
        <w:t>5、不为项目有关人员个人装修住房、婚丧嫁娶、配偶子女工作安排等提供好处；</w:t>
      </w:r>
    </w:p>
    <w:p>
      <w:pPr>
        <w:autoSpaceDE w:val="0"/>
        <w:autoSpaceDN w:val="0"/>
        <w:spacing w:line="360" w:lineRule="auto"/>
        <w:ind w:firstLine="420" w:firstLineChars="200"/>
        <w:jc w:val="left"/>
        <w:rPr>
          <w:kern w:val="0"/>
          <w:szCs w:val="21"/>
          <w:lang w:val="zh-CN"/>
        </w:rPr>
      </w:pPr>
      <w:r>
        <w:rPr>
          <w:kern w:val="0"/>
          <w:szCs w:val="21"/>
          <w:lang w:val="zh-CN"/>
        </w:rPr>
        <w:t xml:space="preserve">6、严格遵守政府招标法、招标投标法、合同法等法律，诚实守信，合法经营，坚决抵制各种违法违纪行为。    </w:t>
      </w:r>
    </w:p>
    <w:p>
      <w:pPr>
        <w:autoSpaceDE w:val="0"/>
        <w:autoSpaceDN w:val="0"/>
        <w:spacing w:line="360" w:lineRule="auto"/>
        <w:ind w:firstLine="420" w:firstLineChars="200"/>
        <w:jc w:val="left"/>
        <w:rPr>
          <w:kern w:val="0"/>
          <w:szCs w:val="21"/>
          <w:lang w:val="zh-CN"/>
        </w:rPr>
      </w:pPr>
      <w:r>
        <w:rPr>
          <w:kern w:val="0"/>
          <w:szCs w:val="21"/>
          <w:lang w:val="zh-CN"/>
        </w:rPr>
        <w:t>如违反上述承诺，你单位有权立即取消我方投标、中标或正在实施项目的资格，有权拒绝我方在一定时期内进入你单位进行服务或其他服务活动，并通报</w:t>
      </w:r>
      <w:r>
        <w:t>新昌县财政局政府采购监管</w:t>
      </w:r>
      <w:r>
        <w:rPr>
          <w:kern w:val="0"/>
          <w:szCs w:val="21"/>
          <w:lang w:val="zh-CN"/>
        </w:rPr>
        <w:t>处。由此引起的相应损失均由我方承担。</w:t>
      </w:r>
    </w:p>
    <w:p>
      <w:pPr>
        <w:autoSpaceDE w:val="0"/>
        <w:autoSpaceDN w:val="0"/>
        <w:spacing w:line="360" w:lineRule="auto"/>
        <w:ind w:left="2"/>
        <w:jc w:val="left"/>
        <w:rPr>
          <w:kern w:val="0"/>
          <w:sz w:val="24"/>
          <w:lang w:val="zh-CN"/>
        </w:rPr>
      </w:pPr>
    </w:p>
    <w:p>
      <w:pPr>
        <w:autoSpaceDE w:val="0"/>
        <w:autoSpaceDN w:val="0"/>
        <w:spacing w:line="360" w:lineRule="auto"/>
        <w:ind w:left="2"/>
        <w:jc w:val="left"/>
        <w:rPr>
          <w:kern w:val="0"/>
          <w:sz w:val="24"/>
          <w:lang w:val="zh-CN"/>
        </w:rPr>
      </w:pPr>
    </w:p>
    <w:p/>
    <w:p>
      <w:pPr>
        <w:autoSpaceDE w:val="0"/>
        <w:autoSpaceDN w:val="0"/>
        <w:adjustRightInd w:val="0"/>
        <w:spacing w:line="360" w:lineRule="auto"/>
        <w:ind w:firstLine="3360" w:firstLineChars="1600"/>
        <w:rPr>
          <w:kern w:val="0"/>
          <w:szCs w:val="21"/>
        </w:rPr>
      </w:pPr>
      <w:r>
        <w:rPr>
          <w:kern w:val="0"/>
          <w:szCs w:val="21"/>
          <w:lang w:val="zh-CN"/>
        </w:rPr>
        <w:t>供应商名称（公章）：</w:t>
      </w:r>
    </w:p>
    <w:p>
      <w:pPr>
        <w:spacing w:line="360" w:lineRule="auto"/>
        <w:ind w:firstLine="3360" w:firstLineChars="1600"/>
        <w:rPr>
          <w:kern w:val="0"/>
          <w:szCs w:val="21"/>
        </w:rPr>
      </w:pPr>
      <w:r>
        <w:rPr>
          <w:kern w:val="0"/>
          <w:szCs w:val="21"/>
        </w:rPr>
        <w:t>法定代表人或授权委托人</w:t>
      </w:r>
      <w:r>
        <w:rPr>
          <w:kern w:val="0"/>
          <w:szCs w:val="21"/>
          <w:lang w:val="zh-CN"/>
        </w:rPr>
        <w:t>（签字）：</w:t>
      </w:r>
    </w:p>
    <w:p>
      <w:pPr>
        <w:spacing w:line="360" w:lineRule="auto"/>
        <w:ind w:firstLine="3360" w:firstLineChars="1600"/>
        <w:rPr>
          <w:kern w:val="0"/>
          <w:szCs w:val="21"/>
          <w:lang w:val="zh-CN"/>
        </w:rPr>
      </w:pPr>
      <w:r>
        <w:rPr>
          <w:kern w:val="0"/>
          <w:szCs w:val="21"/>
          <w:lang w:val="zh-CN"/>
        </w:rPr>
        <w:t>日期：  年  月   日</w:t>
      </w:r>
    </w:p>
    <w:p/>
    <w:p/>
    <w:p>
      <w:pPr>
        <w:numPr>
          <w:ilvl w:val="0"/>
          <w:numId w:val="14"/>
        </w:numPr>
        <w:spacing w:after="120" w:afterLines="50" w:line="520" w:lineRule="exact"/>
        <w:jc w:val="left"/>
        <w:outlineLvl w:val="2"/>
        <w:rPr>
          <w:b/>
          <w:sz w:val="24"/>
        </w:rPr>
      </w:pPr>
      <w:r>
        <w:br w:type="page"/>
      </w:r>
      <w:r>
        <w:rPr>
          <w:b/>
          <w:sz w:val="24"/>
        </w:rPr>
        <w:t>投标人资质</w:t>
      </w:r>
    </w:p>
    <w:p>
      <w:pPr>
        <w:adjustRightInd w:val="0"/>
        <w:snapToGrid w:val="0"/>
        <w:spacing w:line="400" w:lineRule="exact"/>
        <w:ind w:firstLine="420" w:firstLineChars="200"/>
      </w:pPr>
      <w:r>
        <w:t>1、提供</w:t>
      </w:r>
      <w:r>
        <w:rPr>
          <w:szCs w:val="21"/>
        </w:rPr>
        <w:t>ISO9001认证、ISO14001认证、过ISO20000认证、ISO27001认证证书；</w:t>
      </w:r>
    </w:p>
    <w:p>
      <w:pPr>
        <w:spacing w:line="400" w:lineRule="exact"/>
        <w:ind w:firstLine="420" w:firstLineChars="200"/>
        <w:rPr>
          <w:szCs w:val="21"/>
        </w:rPr>
      </w:pPr>
      <w:r>
        <w:rPr>
          <w:szCs w:val="21"/>
        </w:rPr>
        <w:t>2、提供信息技术服务运行维护标准符合性证书（ITSS）；</w:t>
      </w:r>
    </w:p>
    <w:p>
      <w:pPr>
        <w:spacing w:line="400" w:lineRule="exact"/>
        <w:ind w:firstLine="420" w:firstLineChars="200"/>
      </w:pPr>
      <w:r>
        <w:rPr>
          <w:szCs w:val="21"/>
        </w:rPr>
        <w:t>3、提供云管理服务评估证书-卓越级证书</w:t>
      </w:r>
    </w:p>
    <w:p>
      <w:pPr>
        <w:spacing w:line="400" w:lineRule="exact"/>
        <w:ind w:firstLine="420" w:firstLineChars="200"/>
        <w:rPr>
          <w:b/>
          <w:snapToGrid w:val="0"/>
          <w:kern w:val="0"/>
        </w:rPr>
      </w:pPr>
      <w:r>
        <w:t>3、提供</w:t>
      </w:r>
      <w:r>
        <w:rPr>
          <w:szCs w:val="21"/>
        </w:rPr>
        <w:t>云管理服务评估证书-优秀级</w:t>
      </w:r>
      <w:r>
        <w:t>。</w:t>
      </w:r>
    </w:p>
    <w:p>
      <w:pPr>
        <w:spacing w:line="360" w:lineRule="auto"/>
        <w:ind w:firstLine="426" w:firstLineChars="202"/>
        <w:rPr>
          <w:b/>
          <w:snapToGrid w:val="0"/>
          <w:kern w:val="0"/>
        </w:rPr>
      </w:pPr>
    </w:p>
    <w:p>
      <w:pPr>
        <w:spacing w:line="360" w:lineRule="auto"/>
        <w:ind w:firstLine="424" w:firstLineChars="202"/>
      </w:pPr>
      <w:r>
        <w:t>注：提供有效的证书复印件加盖供应商公章，原件备查。</w:t>
      </w:r>
    </w:p>
    <w:p>
      <w:pPr>
        <w:numPr>
          <w:ilvl w:val="0"/>
          <w:numId w:val="14"/>
        </w:numPr>
        <w:spacing w:after="120" w:afterLines="50" w:line="360" w:lineRule="auto"/>
        <w:ind w:firstLine="487" w:firstLineChars="202"/>
        <w:jc w:val="left"/>
        <w:outlineLvl w:val="2"/>
        <w:rPr>
          <w:b/>
          <w:sz w:val="24"/>
        </w:rPr>
        <w:sectPr>
          <w:pgSz w:w="11906" w:h="16838"/>
          <w:pgMar w:top="1418" w:right="1418" w:bottom="1134" w:left="1418" w:header="851" w:footer="680" w:gutter="0"/>
          <w:pgNumType w:fmt="decimalFullWidth"/>
          <w:cols w:space="720" w:num="1"/>
          <w:docGrid w:linePitch="312" w:charSpace="0"/>
        </w:sectPr>
      </w:pPr>
    </w:p>
    <w:p/>
    <w:p>
      <w:pPr>
        <w:numPr>
          <w:ilvl w:val="0"/>
          <w:numId w:val="14"/>
        </w:numPr>
        <w:spacing w:after="120" w:afterLines="50" w:line="520" w:lineRule="exact"/>
        <w:jc w:val="left"/>
        <w:outlineLvl w:val="2"/>
        <w:rPr>
          <w:b/>
          <w:bCs/>
          <w:sz w:val="24"/>
        </w:rPr>
        <w:sectPr>
          <w:type w:val="continuous"/>
          <w:pgSz w:w="11906" w:h="16838"/>
          <w:pgMar w:top="1418" w:right="1418" w:bottom="1134" w:left="1418" w:header="851" w:footer="680" w:gutter="0"/>
          <w:pgNumType w:fmt="decimalFullWidth"/>
          <w:cols w:space="720" w:num="1"/>
          <w:docGrid w:linePitch="312" w:charSpace="0"/>
        </w:sectPr>
      </w:pPr>
    </w:p>
    <w:p>
      <w:pPr>
        <w:numPr>
          <w:ilvl w:val="0"/>
          <w:numId w:val="14"/>
        </w:numPr>
        <w:spacing w:after="120" w:afterLines="50" w:line="520" w:lineRule="exact"/>
        <w:jc w:val="left"/>
        <w:outlineLvl w:val="2"/>
        <w:rPr>
          <w:b/>
          <w:bCs/>
          <w:sz w:val="24"/>
        </w:rPr>
      </w:pPr>
      <w:r>
        <w:rPr>
          <w:b/>
          <w:bCs/>
          <w:sz w:val="24"/>
        </w:rPr>
        <w:t>招标文件中要求的或供应商认为需要的其他商务文件、说明</w:t>
      </w:r>
    </w:p>
    <w:p>
      <w:pPr>
        <w:rPr>
          <w:b/>
          <w:sz w:val="28"/>
          <w:szCs w:val="28"/>
        </w:rPr>
      </w:pPr>
    </w:p>
    <w:p>
      <w:pPr>
        <w:spacing w:before="120" w:beforeLines="50" w:line="360" w:lineRule="auto"/>
        <w:jc w:val="left"/>
        <w:outlineLvl w:val="1"/>
        <w:rPr>
          <w:b/>
          <w:sz w:val="24"/>
        </w:rPr>
      </w:pPr>
      <w:r>
        <w:rPr>
          <w:b/>
          <w:sz w:val="28"/>
          <w:szCs w:val="28"/>
        </w:rPr>
        <w:br w:type="page"/>
      </w:r>
      <w:bookmarkStart w:id="55" w:name="_Toc19805"/>
      <w:r>
        <w:rPr>
          <w:b/>
          <w:sz w:val="24"/>
        </w:rPr>
        <w:t>四、资格审查文件格式</w:t>
      </w:r>
      <w:bookmarkEnd w:id="55"/>
    </w:p>
    <w:p>
      <w:pPr>
        <w:spacing w:before="120" w:beforeLines="50" w:line="360" w:lineRule="auto"/>
        <w:jc w:val="center"/>
        <w:rPr>
          <w:b/>
          <w:sz w:val="28"/>
          <w:szCs w:val="28"/>
        </w:rPr>
      </w:pPr>
      <w:r>
        <w:rPr>
          <w:b/>
          <w:sz w:val="28"/>
          <w:szCs w:val="28"/>
        </w:rPr>
        <w:t>目录</w:t>
      </w:r>
    </w:p>
    <w:p>
      <w:pPr>
        <w:numPr>
          <w:ilvl w:val="1"/>
          <w:numId w:val="15"/>
        </w:numPr>
        <w:tabs>
          <w:tab w:val="left" w:pos="709"/>
        </w:tabs>
        <w:spacing w:line="360" w:lineRule="auto"/>
        <w:rPr>
          <w:szCs w:val="21"/>
        </w:rPr>
      </w:pPr>
      <w:r>
        <w:rPr>
          <w:szCs w:val="21"/>
        </w:rPr>
        <w:t>资格审查申请函………………………………………………………………（页码）</w:t>
      </w:r>
    </w:p>
    <w:p>
      <w:pPr>
        <w:numPr>
          <w:ilvl w:val="1"/>
          <w:numId w:val="15"/>
        </w:numPr>
        <w:tabs>
          <w:tab w:val="left" w:pos="709"/>
        </w:tabs>
        <w:spacing w:line="360" w:lineRule="auto"/>
        <w:rPr>
          <w:szCs w:val="21"/>
        </w:rPr>
      </w:pPr>
      <w:r>
        <w:rPr>
          <w:szCs w:val="21"/>
        </w:rPr>
        <w:t>资格审查证明文件……………………………………………………………（页码）</w:t>
      </w:r>
    </w:p>
    <w:p>
      <w:pPr>
        <w:numPr>
          <w:ilvl w:val="1"/>
          <w:numId w:val="15"/>
        </w:numPr>
        <w:tabs>
          <w:tab w:val="left" w:pos="709"/>
        </w:tabs>
        <w:spacing w:line="360" w:lineRule="auto"/>
        <w:rPr>
          <w:szCs w:val="21"/>
        </w:rPr>
      </w:pPr>
      <w:bookmarkStart w:id="56" w:name="_Hlk7969037"/>
      <w:r>
        <w:rPr>
          <w:szCs w:val="21"/>
        </w:rPr>
        <w:t>招标文件中要求的或供应商认为需要的其他资格审查文件、说明</w:t>
      </w:r>
      <w:bookmarkEnd w:id="56"/>
      <w:r>
        <w:rPr>
          <w:szCs w:val="21"/>
        </w:rPr>
        <w:t>………（页码）</w:t>
      </w:r>
    </w:p>
    <w:p>
      <w:pPr>
        <w:spacing w:line="360" w:lineRule="auto"/>
        <w:rPr>
          <w:b/>
          <w:bCs/>
          <w:szCs w:val="21"/>
        </w:rPr>
      </w:pPr>
    </w:p>
    <w:p>
      <w:pPr>
        <w:rPr>
          <w:b/>
          <w:bCs/>
        </w:rPr>
      </w:pPr>
      <w:r>
        <w:rPr>
          <w:b/>
        </w:rPr>
        <w:t>注：以上目录是编制资格审查文件的基本格式要求，各供应商可根据自身情况进一步细化。</w:t>
      </w:r>
    </w:p>
    <w:p>
      <w:pPr>
        <w:numPr>
          <w:ilvl w:val="0"/>
          <w:numId w:val="16"/>
        </w:numPr>
        <w:spacing w:after="120" w:afterLines="50" w:line="520" w:lineRule="exact"/>
        <w:jc w:val="left"/>
        <w:outlineLvl w:val="2"/>
        <w:rPr>
          <w:b/>
          <w:bCs/>
          <w:sz w:val="24"/>
        </w:rPr>
      </w:pPr>
      <w:r>
        <w:rPr>
          <w:b/>
          <w:sz w:val="36"/>
          <w:szCs w:val="36"/>
        </w:rPr>
        <w:br w:type="page"/>
      </w:r>
      <w:r>
        <w:rPr>
          <w:b/>
          <w:bCs/>
          <w:sz w:val="24"/>
        </w:rPr>
        <w:t>资格审查申请函</w:t>
      </w:r>
    </w:p>
    <w:p>
      <w:pPr>
        <w:spacing w:before="120" w:beforeLines="50" w:line="360" w:lineRule="auto"/>
        <w:jc w:val="center"/>
        <w:rPr>
          <w:b/>
          <w:sz w:val="24"/>
          <w:szCs w:val="21"/>
        </w:rPr>
      </w:pPr>
      <w:r>
        <w:rPr>
          <w:b/>
          <w:sz w:val="24"/>
          <w:szCs w:val="21"/>
        </w:rPr>
        <w:t>资格审查申请函</w:t>
      </w:r>
    </w:p>
    <w:p>
      <w:pPr>
        <w:adjustRightInd w:val="0"/>
        <w:snapToGrid w:val="0"/>
        <w:spacing w:line="360" w:lineRule="auto"/>
        <w:rPr>
          <w:snapToGrid w:val="0"/>
          <w:kern w:val="0"/>
          <w:szCs w:val="21"/>
        </w:rPr>
      </w:pPr>
      <w:r>
        <w:rPr>
          <w:snapToGrid w:val="0"/>
          <w:kern w:val="0"/>
          <w:szCs w:val="21"/>
        </w:rPr>
        <w:t>致：</w:t>
      </w:r>
      <w:r>
        <w:rPr>
          <w:snapToGrid w:val="0"/>
          <w:kern w:val="0"/>
          <w:szCs w:val="21"/>
          <w:u w:val="single"/>
        </w:rPr>
        <w:t xml:space="preserve">              </w:t>
      </w:r>
      <w:r>
        <w:rPr>
          <w:snapToGrid w:val="0"/>
          <w:kern w:val="0"/>
          <w:szCs w:val="21"/>
        </w:rPr>
        <w:t>（采购人）</w:t>
      </w:r>
    </w:p>
    <w:p>
      <w:pPr>
        <w:tabs>
          <w:tab w:val="left" w:pos="2700"/>
        </w:tabs>
        <w:adjustRightInd w:val="0"/>
        <w:snapToGrid w:val="0"/>
        <w:spacing w:line="360" w:lineRule="auto"/>
        <w:ind w:firstLine="420" w:firstLineChars="200"/>
        <w:rPr>
          <w:snapToGrid w:val="0"/>
          <w:kern w:val="0"/>
          <w:szCs w:val="21"/>
        </w:rPr>
      </w:pPr>
      <w:r>
        <w:rPr>
          <w:snapToGrid w:val="0"/>
          <w:kern w:val="0"/>
          <w:szCs w:val="21"/>
        </w:rPr>
        <w:t>1、根据贵方编号为</w:t>
      </w:r>
      <w:r>
        <w:rPr>
          <w:snapToGrid w:val="0"/>
          <w:kern w:val="0"/>
          <w:szCs w:val="21"/>
          <w:u w:val="single"/>
        </w:rPr>
        <w:t xml:space="preserve">        </w:t>
      </w:r>
      <w:r>
        <w:rPr>
          <w:snapToGrid w:val="0"/>
          <w:kern w:val="0"/>
          <w:szCs w:val="21"/>
        </w:rPr>
        <w:t>的</w:t>
      </w:r>
      <w:r>
        <w:rPr>
          <w:snapToGrid w:val="0"/>
          <w:kern w:val="0"/>
          <w:szCs w:val="21"/>
          <w:u w:val="single"/>
        </w:rPr>
        <w:t xml:space="preserve">               </w:t>
      </w:r>
      <w:r>
        <w:rPr>
          <w:snapToGrid w:val="0"/>
          <w:kern w:val="0"/>
          <w:szCs w:val="21"/>
        </w:rPr>
        <w:t>（招标项目名称）招标发出的招标公告，授权代表人</w:t>
      </w:r>
      <w:r>
        <w:rPr>
          <w:snapToGrid w:val="0"/>
          <w:kern w:val="0"/>
          <w:szCs w:val="21"/>
          <w:u w:val="single"/>
        </w:rPr>
        <w:t xml:space="preserve">          </w:t>
      </w:r>
      <w:r>
        <w:rPr>
          <w:snapToGrid w:val="0"/>
          <w:kern w:val="0"/>
          <w:szCs w:val="21"/>
        </w:rPr>
        <w:t>（姓名），代表申请人</w:t>
      </w:r>
      <w:r>
        <w:rPr>
          <w:snapToGrid w:val="0"/>
          <w:kern w:val="0"/>
          <w:szCs w:val="21"/>
          <w:u w:val="single"/>
        </w:rPr>
        <w:t xml:space="preserve">             </w:t>
      </w:r>
      <w:r>
        <w:rPr>
          <w:snapToGrid w:val="0"/>
          <w:kern w:val="0"/>
          <w:szCs w:val="21"/>
        </w:rPr>
        <w:t>（供应商名称）愿意按照招标文件的资格审查文件提出的该项目</w:t>
      </w:r>
      <w:r>
        <w:rPr>
          <w:szCs w:val="21"/>
          <w:u w:val="single"/>
        </w:rPr>
        <w:t xml:space="preserve">      （标项号及标项内容）       </w:t>
      </w:r>
      <w:r>
        <w:rPr>
          <w:snapToGrid w:val="0"/>
          <w:kern w:val="0"/>
          <w:szCs w:val="21"/>
        </w:rPr>
        <w:t>的投标申请。</w:t>
      </w:r>
    </w:p>
    <w:p>
      <w:pPr>
        <w:adjustRightInd w:val="0"/>
        <w:snapToGrid w:val="0"/>
        <w:spacing w:line="360" w:lineRule="auto"/>
        <w:rPr>
          <w:snapToGrid w:val="0"/>
          <w:kern w:val="0"/>
          <w:szCs w:val="21"/>
        </w:rPr>
      </w:pPr>
      <w:r>
        <w:rPr>
          <w:snapToGrid w:val="0"/>
          <w:kern w:val="0"/>
          <w:szCs w:val="21"/>
        </w:rPr>
        <w:t xml:space="preserve">    2、我方己详细了解全部招标文件（含资格审查文件），接受招标文件的资格审查文件对此次申请的全部要求和规定。</w:t>
      </w:r>
    </w:p>
    <w:p>
      <w:pPr>
        <w:adjustRightInd w:val="0"/>
        <w:snapToGrid w:val="0"/>
        <w:spacing w:line="360" w:lineRule="auto"/>
        <w:rPr>
          <w:snapToGrid w:val="0"/>
          <w:kern w:val="0"/>
          <w:szCs w:val="21"/>
        </w:rPr>
      </w:pPr>
      <w:r>
        <w:rPr>
          <w:snapToGrid w:val="0"/>
          <w:kern w:val="0"/>
          <w:szCs w:val="21"/>
        </w:rPr>
        <w:t xml:space="preserve">    3、本申请书包括以下内容：</w:t>
      </w:r>
    </w:p>
    <w:p>
      <w:pPr>
        <w:adjustRightInd w:val="0"/>
        <w:snapToGrid w:val="0"/>
        <w:spacing w:line="360" w:lineRule="auto"/>
        <w:rPr>
          <w:snapToGrid w:val="0"/>
          <w:kern w:val="0"/>
          <w:szCs w:val="21"/>
        </w:rPr>
      </w:pPr>
      <w:r>
        <w:rPr>
          <w:snapToGrid w:val="0"/>
          <w:kern w:val="0"/>
          <w:szCs w:val="21"/>
        </w:rPr>
        <w:t xml:space="preserve">    （1）资格审查申请函；</w:t>
      </w:r>
    </w:p>
    <w:p>
      <w:pPr>
        <w:adjustRightInd w:val="0"/>
        <w:snapToGrid w:val="0"/>
        <w:spacing w:line="360" w:lineRule="auto"/>
        <w:rPr>
          <w:snapToGrid w:val="0"/>
          <w:kern w:val="0"/>
          <w:szCs w:val="21"/>
        </w:rPr>
      </w:pPr>
      <w:r>
        <w:rPr>
          <w:snapToGrid w:val="0"/>
          <w:kern w:val="0"/>
          <w:szCs w:val="21"/>
        </w:rPr>
        <w:t xml:space="preserve">    （2）资格审查资料；</w:t>
      </w:r>
    </w:p>
    <w:p>
      <w:pPr>
        <w:adjustRightInd w:val="0"/>
        <w:snapToGrid w:val="0"/>
        <w:spacing w:line="360" w:lineRule="auto"/>
        <w:ind w:firstLine="735" w:firstLineChars="350"/>
        <w:rPr>
          <w:snapToGrid w:val="0"/>
          <w:kern w:val="0"/>
          <w:szCs w:val="21"/>
        </w:rPr>
      </w:pPr>
      <w:r>
        <w:rPr>
          <w:snapToGrid w:val="0"/>
          <w:kern w:val="0"/>
          <w:szCs w:val="21"/>
        </w:rPr>
        <w:t>……</w:t>
      </w:r>
    </w:p>
    <w:p>
      <w:pPr>
        <w:adjustRightInd w:val="0"/>
        <w:snapToGrid w:val="0"/>
        <w:spacing w:line="360" w:lineRule="auto"/>
        <w:ind w:firstLine="420" w:firstLineChars="200"/>
        <w:rPr>
          <w:snapToGrid w:val="0"/>
          <w:kern w:val="0"/>
          <w:szCs w:val="21"/>
        </w:rPr>
      </w:pPr>
      <w:r>
        <w:rPr>
          <w:snapToGrid w:val="0"/>
          <w:kern w:val="0"/>
          <w:szCs w:val="21"/>
        </w:rPr>
        <w:t>4、作为申请人，我方对以下填写的申请表负责，并保证所有填写的申请资料的真实性。如果资格后审通过，我方将承担投标文件承诺的全部责任和义务。</w:t>
      </w:r>
    </w:p>
    <w:p>
      <w:pPr>
        <w:adjustRightInd w:val="0"/>
        <w:snapToGrid w:val="0"/>
        <w:spacing w:line="360" w:lineRule="auto"/>
        <w:ind w:firstLine="420" w:firstLineChars="200"/>
        <w:rPr>
          <w:snapToGrid w:val="0"/>
          <w:kern w:val="0"/>
          <w:szCs w:val="21"/>
        </w:rPr>
      </w:pPr>
      <w:r>
        <w:rPr>
          <w:snapToGrid w:val="0"/>
          <w:kern w:val="0"/>
          <w:szCs w:val="21"/>
        </w:rPr>
        <w:t>5、我方承诺在提交申请日后的</w:t>
      </w:r>
      <w:r>
        <w:rPr>
          <w:snapToGrid w:val="0"/>
          <w:kern w:val="0"/>
          <w:szCs w:val="21"/>
          <w:u w:val="single"/>
        </w:rPr>
        <w:t>90</w:t>
      </w:r>
      <w:r>
        <w:rPr>
          <w:snapToGrid w:val="0"/>
          <w:kern w:val="0"/>
          <w:szCs w:val="21"/>
        </w:rPr>
        <w:t>个日历天内不改变申请内容。本申请书将作为采购人与我方之间具有法律约束力的文件。</w:t>
      </w:r>
    </w:p>
    <w:p>
      <w:pPr>
        <w:adjustRightInd w:val="0"/>
        <w:snapToGrid w:val="0"/>
        <w:spacing w:line="360" w:lineRule="auto"/>
        <w:ind w:firstLine="420" w:firstLineChars="200"/>
        <w:rPr>
          <w:snapToGrid w:val="0"/>
          <w:kern w:val="0"/>
          <w:szCs w:val="21"/>
        </w:rPr>
      </w:pPr>
      <w:r>
        <w:rPr>
          <w:snapToGrid w:val="0"/>
          <w:kern w:val="0"/>
          <w:szCs w:val="21"/>
        </w:rPr>
        <w:t>与本投标有关的一切正式往来通讯请寄：</w:t>
      </w:r>
    </w:p>
    <w:p>
      <w:pPr>
        <w:adjustRightInd w:val="0"/>
        <w:snapToGrid w:val="0"/>
        <w:spacing w:line="360" w:lineRule="auto"/>
        <w:ind w:firstLine="420" w:firstLineChars="200"/>
        <w:rPr>
          <w:snapToGrid w:val="0"/>
          <w:kern w:val="0"/>
          <w:szCs w:val="21"/>
        </w:rPr>
      </w:pPr>
    </w:p>
    <w:p>
      <w:pPr>
        <w:adjustRightInd w:val="0"/>
        <w:snapToGrid w:val="0"/>
        <w:spacing w:line="360" w:lineRule="auto"/>
        <w:ind w:firstLine="420" w:firstLineChars="200"/>
        <w:rPr>
          <w:snapToGrid w:val="0"/>
          <w:kern w:val="0"/>
          <w:szCs w:val="21"/>
          <w:u w:val="single"/>
        </w:rPr>
      </w:pPr>
      <w:r>
        <w:rPr>
          <w:snapToGrid w:val="0"/>
          <w:kern w:val="0"/>
          <w:szCs w:val="21"/>
        </w:rPr>
        <w:t>地址：</w:t>
      </w:r>
      <w:r>
        <w:rPr>
          <w:snapToGrid w:val="0"/>
          <w:kern w:val="0"/>
          <w:szCs w:val="21"/>
          <w:u w:val="single"/>
        </w:rPr>
        <w:t xml:space="preserve">                                         </w:t>
      </w:r>
      <w:r>
        <w:rPr>
          <w:snapToGrid w:val="0"/>
          <w:kern w:val="0"/>
          <w:szCs w:val="21"/>
        </w:rPr>
        <w:t xml:space="preserve">  邮编：</w:t>
      </w:r>
      <w:r>
        <w:rPr>
          <w:snapToGrid w:val="0"/>
          <w:kern w:val="0"/>
          <w:szCs w:val="21"/>
          <w:u w:val="single"/>
        </w:rPr>
        <w:t xml:space="preserve">         </w:t>
      </w:r>
    </w:p>
    <w:p>
      <w:pPr>
        <w:adjustRightInd w:val="0"/>
        <w:snapToGrid w:val="0"/>
        <w:spacing w:line="360" w:lineRule="auto"/>
        <w:ind w:firstLine="420" w:firstLineChars="200"/>
        <w:rPr>
          <w:snapToGrid w:val="0"/>
          <w:kern w:val="0"/>
          <w:szCs w:val="21"/>
        </w:rPr>
      </w:pPr>
      <w:r>
        <w:rPr>
          <w:snapToGrid w:val="0"/>
          <w:kern w:val="0"/>
          <w:szCs w:val="21"/>
        </w:rPr>
        <w:t>电话：</w:t>
      </w:r>
      <w:r>
        <w:rPr>
          <w:snapToGrid w:val="0"/>
          <w:kern w:val="0"/>
          <w:szCs w:val="21"/>
          <w:u w:val="single"/>
        </w:rPr>
        <w:t xml:space="preserve">                                         </w:t>
      </w:r>
      <w:r>
        <w:rPr>
          <w:snapToGrid w:val="0"/>
          <w:kern w:val="0"/>
          <w:szCs w:val="21"/>
        </w:rPr>
        <w:t xml:space="preserve">  传真：</w:t>
      </w:r>
      <w:r>
        <w:rPr>
          <w:snapToGrid w:val="0"/>
          <w:kern w:val="0"/>
          <w:szCs w:val="21"/>
          <w:u w:val="single"/>
        </w:rPr>
        <w:t xml:space="preserve">         </w:t>
      </w:r>
    </w:p>
    <w:p>
      <w:pPr>
        <w:adjustRightInd w:val="0"/>
        <w:snapToGrid w:val="0"/>
        <w:spacing w:line="360" w:lineRule="auto"/>
        <w:ind w:firstLine="420" w:firstLineChars="200"/>
        <w:rPr>
          <w:snapToGrid w:val="0"/>
          <w:kern w:val="0"/>
          <w:szCs w:val="21"/>
        </w:rPr>
      </w:pPr>
      <w:r>
        <w:rPr>
          <w:snapToGrid w:val="0"/>
          <w:kern w:val="0"/>
          <w:szCs w:val="21"/>
        </w:rPr>
        <w:t>联系人：</w:t>
      </w:r>
      <w:r>
        <w:rPr>
          <w:snapToGrid w:val="0"/>
          <w:kern w:val="0"/>
          <w:szCs w:val="21"/>
          <w:u w:val="single"/>
        </w:rPr>
        <w:t xml:space="preserve">                                                        </w:t>
      </w:r>
    </w:p>
    <w:p>
      <w:pPr>
        <w:adjustRightInd w:val="0"/>
        <w:snapToGrid w:val="0"/>
        <w:spacing w:line="360" w:lineRule="auto"/>
        <w:ind w:firstLine="420" w:firstLineChars="200"/>
        <w:rPr>
          <w:snapToGrid w:val="0"/>
          <w:kern w:val="0"/>
          <w:szCs w:val="21"/>
        </w:rPr>
      </w:pPr>
      <w:r>
        <w:rPr>
          <w:snapToGrid w:val="0"/>
          <w:kern w:val="0"/>
          <w:szCs w:val="21"/>
        </w:rPr>
        <w:t>法定代表人</w:t>
      </w:r>
      <w:r>
        <w:rPr>
          <w:snapToGrid w:val="0"/>
          <w:kern w:val="0"/>
          <w:szCs w:val="21"/>
          <w:u w:val="single"/>
        </w:rPr>
        <w:t xml:space="preserve">     （签字或盖章）</w:t>
      </w:r>
      <w:r>
        <w:rPr>
          <w:snapToGrid w:val="0"/>
          <w:kern w:val="0"/>
          <w:szCs w:val="21"/>
        </w:rPr>
        <w:t>或授权委托人：</w:t>
      </w:r>
      <w:r>
        <w:rPr>
          <w:snapToGrid w:val="0"/>
          <w:kern w:val="0"/>
          <w:szCs w:val="21"/>
          <w:u w:val="single"/>
        </w:rPr>
        <w:t xml:space="preserve">        （签字或盖章）      </w:t>
      </w:r>
    </w:p>
    <w:p>
      <w:pPr>
        <w:adjustRightInd w:val="0"/>
        <w:snapToGrid w:val="0"/>
        <w:spacing w:line="360" w:lineRule="auto"/>
        <w:ind w:firstLine="420" w:firstLineChars="200"/>
        <w:rPr>
          <w:snapToGrid w:val="0"/>
          <w:kern w:val="0"/>
          <w:szCs w:val="21"/>
          <w:u w:val="single"/>
        </w:rPr>
      </w:pPr>
      <w:r>
        <w:rPr>
          <w:snapToGrid w:val="0"/>
          <w:kern w:val="0"/>
          <w:szCs w:val="21"/>
        </w:rPr>
        <w:t>投标申请人：</w:t>
      </w:r>
      <w:r>
        <w:rPr>
          <w:snapToGrid w:val="0"/>
          <w:kern w:val="0"/>
          <w:szCs w:val="21"/>
          <w:u w:val="single"/>
        </w:rPr>
        <w:t xml:space="preserve">                       （盖单位公章）               </w:t>
      </w:r>
    </w:p>
    <w:p>
      <w:pPr>
        <w:adjustRightInd w:val="0"/>
        <w:snapToGrid w:val="0"/>
        <w:spacing w:line="360" w:lineRule="auto"/>
        <w:ind w:firstLine="420" w:firstLineChars="200"/>
        <w:rPr>
          <w:snapToGrid w:val="0"/>
          <w:kern w:val="0"/>
          <w:szCs w:val="21"/>
        </w:rPr>
      </w:pPr>
      <w:r>
        <w:rPr>
          <w:snapToGrid w:val="0"/>
          <w:kern w:val="0"/>
          <w:szCs w:val="21"/>
        </w:rPr>
        <w:t>日期：</w:t>
      </w:r>
      <w:r>
        <w:rPr>
          <w:snapToGrid w:val="0"/>
          <w:kern w:val="0"/>
          <w:szCs w:val="21"/>
          <w:u w:val="single"/>
        </w:rPr>
        <w:t xml:space="preserve">     </w:t>
      </w:r>
      <w:r>
        <w:rPr>
          <w:snapToGrid w:val="0"/>
          <w:kern w:val="0"/>
          <w:szCs w:val="21"/>
        </w:rPr>
        <w:t>年</w:t>
      </w:r>
      <w:r>
        <w:rPr>
          <w:snapToGrid w:val="0"/>
          <w:kern w:val="0"/>
          <w:szCs w:val="21"/>
          <w:u w:val="single"/>
        </w:rPr>
        <w:t xml:space="preserve">    </w:t>
      </w:r>
      <w:r>
        <w:rPr>
          <w:snapToGrid w:val="0"/>
          <w:kern w:val="0"/>
          <w:szCs w:val="21"/>
        </w:rPr>
        <w:t>月</w:t>
      </w:r>
      <w:r>
        <w:rPr>
          <w:snapToGrid w:val="0"/>
          <w:kern w:val="0"/>
          <w:szCs w:val="21"/>
          <w:u w:val="single"/>
        </w:rPr>
        <w:t xml:space="preserve">    </w:t>
      </w:r>
      <w:r>
        <w:rPr>
          <w:snapToGrid w:val="0"/>
          <w:kern w:val="0"/>
          <w:szCs w:val="21"/>
        </w:rPr>
        <w:t>日</w:t>
      </w:r>
    </w:p>
    <w:p>
      <w:pPr>
        <w:adjustRightInd w:val="0"/>
        <w:snapToGrid w:val="0"/>
        <w:spacing w:line="360" w:lineRule="auto"/>
        <w:ind w:firstLine="420" w:firstLineChars="200"/>
        <w:rPr>
          <w:snapToGrid w:val="0"/>
          <w:kern w:val="0"/>
          <w:szCs w:val="21"/>
        </w:rPr>
        <w:sectPr>
          <w:pgSz w:w="11906" w:h="16838"/>
          <w:pgMar w:top="1418" w:right="1418" w:bottom="1134" w:left="1418" w:header="851" w:footer="680" w:gutter="0"/>
          <w:pgNumType w:fmt="decimalFullWidth"/>
          <w:cols w:space="720" w:num="1"/>
          <w:docGrid w:linePitch="312" w:charSpace="0"/>
        </w:sectPr>
      </w:pPr>
    </w:p>
    <w:p>
      <w:pPr>
        <w:numPr>
          <w:ilvl w:val="0"/>
          <w:numId w:val="16"/>
        </w:numPr>
        <w:spacing w:after="120" w:afterLines="50" w:line="520" w:lineRule="exact"/>
        <w:jc w:val="left"/>
        <w:outlineLvl w:val="2"/>
        <w:rPr>
          <w:b/>
          <w:bCs/>
          <w:sz w:val="24"/>
        </w:rPr>
      </w:pPr>
      <w:r>
        <w:rPr>
          <w:b/>
          <w:bCs/>
          <w:sz w:val="24"/>
        </w:rPr>
        <w:t>资格审查证明文件</w:t>
      </w:r>
    </w:p>
    <w:tbl>
      <w:tblPr>
        <w:tblStyle w:val="21"/>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3290"/>
        <w:gridCol w:w="5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blHeader/>
        </w:trPr>
        <w:tc>
          <w:tcPr>
            <w:tcW w:w="798" w:type="dxa"/>
            <w:noWrap w:val="0"/>
            <w:vAlign w:val="center"/>
          </w:tcPr>
          <w:p>
            <w:pPr>
              <w:jc w:val="center"/>
              <w:rPr>
                <w:b/>
                <w:szCs w:val="21"/>
              </w:rPr>
            </w:pPr>
            <w:r>
              <w:rPr>
                <w:b/>
                <w:szCs w:val="21"/>
              </w:rPr>
              <w:t>序号</w:t>
            </w:r>
          </w:p>
        </w:tc>
        <w:tc>
          <w:tcPr>
            <w:tcW w:w="3290" w:type="dxa"/>
            <w:noWrap w:val="0"/>
            <w:vAlign w:val="center"/>
          </w:tcPr>
          <w:p>
            <w:pPr>
              <w:jc w:val="center"/>
              <w:rPr>
                <w:b/>
                <w:szCs w:val="21"/>
              </w:rPr>
            </w:pPr>
            <w:r>
              <w:rPr>
                <w:b/>
                <w:szCs w:val="21"/>
              </w:rPr>
              <w:t>审查因素</w:t>
            </w:r>
          </w:p>
        </w:tc>
        <w:tc>
          <w:tcPr>
            <w:tcW w:w="5128" w:type="dxa"/>
            <w:noWrap w:val="0"/>
            <w:vAlign w:val="center"/>
          </w:tcPr>
          <w:p>
            <w:pPr>
              <w:jc w:val="center"/>
              <w:rPr>
                <w:b/>
                <w:szCs w:val="21"/>
              </w:rPr>
            </w:pPr>
            <w:r>
              <w:rPr>
                <w:b/>
                <w:szCs w:val="21"/>
              </w:rPr>
              <w:t>所需证明材料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798" w:type="dxa"/>
            <w:noWrap w:val="0"/>
            <w:vAlign w:val="center"/>
          </w:tcPr>
          <w:p>
            <w:pPr>
              <w:spacing w:line="300" w:lineRule="auto"/>
              <w:jc w:val="center"/>
              <w:rPr>
                <w:szCs w:val="21"/>
              </w:rPr>
            </w:pPr>
            <w:r>
              <w:rPr>
                <w:szCs w:val="21"/>
              </w:rPr>
              <w:t>1</w:t>
            </w:r>
          </w:p>
        </w:tc>
        <w:tc>
          <w:tcPr>
            <w:tcW w:w="3290" w:type="dxa"/>
            <w:noWrap w:val="0"/>
            <w:vAlign w:val="center"/>
          </w:tcPr>
          <w:p>
            <w:pPr>
              <w:spacing w:line="300" w:lineRule="auto"/>
              <w:rPr>
                <w:kern w:val="0"/>
                <w:szCs w:val="21"/>
              </w:rPr>
            </w:pPr>
            <w:r>
              <w:rPr>
                <w:kern w:val="0"/>
                <w:szCs w:val="21"/>
              </w:rPr>
              <w:t>基本资格条件：</w:t>
            </w:r>
          </w:p>
          <w:p>
            <w:pPr>
              <w:spacing w:line="300" w:lineRule="auto"/>
              <w:rPr>
                <w:szCs w:val="21"/>
              </w:rPr>
            </w:pPr>
            <w:r>
              <w:rPr>
                <w:kern w:val="0"/>
                <w:szCs w:val="21"/>
              </w:rPr>
              <w:t>符合《中华人民共和国政府采购法》第二十二条的规定；</w:t>
            </w:r>
          </w:p>
        </w:tc>
        <w:tc>
          <w:tcPr>
            <w:tcW w:w="5128" w:type="dxa"/>
            <w:noWrap w:val="0"/>
            <w:vAlign w:val="center"/>
          </w:tcPr>
          <w:p>
            <w:pPr>
              <w:spacing w:line="300" w:lineRule="auto"/>
              <w:rPr>
                <w:b/>
                <w:szCs w:val="21"/>
              </w:rPr>
            </w:pPr>
            <w:r>
              <w:rPr>
                <w:b/>
                <w:szCs w:val="21"/>
              </w:rPr>
              <w:t>（一）具有独立承担民事责任的能力</w:t>
            </w:r>
          </w:p>
          <w:p>
            <w:pPr>
              <w:spacing w:line="300" w:lineRule="auto"/>
              <w:rPr>
                <w:b/>
                <w:szCs w:val="21"/>
              </w:rPr>
            </w:pPr>
            <w:r>
              <w:rPr>
                <w:b/>
                <w:szCs w:val="21"/>
              </w:rPr>
              <w:t>（二）具有良好的商业信誉和健全的财务会计制度；</w:t>
            </w:r>
          </w:p>
          <w:p>
            <w:pPr>
              <w:spacing w:line="300" w:lineRule="auto"/>
              <w:rPr>
                <w:b/>
                <w:szCs w:val="21"/>
              </w:rPr>
            </w:pPr>
            <w:r>
              <w:rPr>
                <w:b/>
                <w:szCs w:val="21"/>
              </w:rPr>
              <w:t>（三）具有履行合同所必需的设备和专业技术能力；</w:t>
            </w:r>
          </w:p>
          <w:p>
            <w:pPr>
              <w:spacing w:line="300" w:lineRule="auto"/>
              <w:rPr>
                <w:b/>
                <w:szCs w:val="21"/>
              </w:rPr>
            </w:pPr>
            <w:r>
              <w:rPr>
                <w:b/>
                <w:szCs w:val="21"/>
              </w:rPr>
              <w:t>（四）有依法缴纳税收和社会保障资金的良好记录；</w:t>
            </w:r>
          </w:p>
          <w:p>
            <w:pPr>
              <w:spacing w:line="300" w:lineRule="auto"/>
              <w:rPr>
                <w:szCs w:val="21"/>
              </w:rPr>
            </w:pPr>
            <w:r>
              <w:rPr>
                <w:b/>
                <w:szCs w:val="21"/>
              </w:rPr>
              <w:t>（五）参加政府采购活动前三年内，在经营活动中没有重大违法记录；</w:t>
            </w:r>
          </w:p>
          <w:p>
            <w:pPr>
              <w:spacing w:line="300" w:lineRule="auto"/>
              <w:rPr>
                <w:b/>
                <w:szCs w:val="21"/>
              </w:rPr>
            </w:pPr>
            <w:r>
              <w:rPr>
                <w:b/>
                <w:szCs w:val="21"/>
              </w:rPr>
              <w:t>（六）法律、行政法规规定的其他条件。（如有）</w:t>
            </w:r>
          </w:p>
          <w:p/>
          <w:p>
            <w:pPr>
              <w:spacing w:line="300" w:lineRule="auto"/>
              <w:rPr>
                <w:szCs w:val="21"/>
              </w:rPr>
            </w:pPr>
            <w:r>
              <w:rPr>
                <w:szCs w:val="21"/>
              </w:rPr>
              <w:t>以上（一）至（六）所需证明材料要求详见本表后附1-6。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98" w:type="dxa"/>
            <w:noWrap w:val="0"/>
            <w:vAlign w:val="center"/>
          </w:tcPr>
          <w:p>
            <w:pPr>
              <w:spacing w:line="300" w:lineRule="auto"/>
              <w:jc w:val="center"/>
              <w:rPr>
                <w:szCs w:val="21"/>
              </w:rPr>
            </w:pPr>
            <w:r>
              <w:rPr>
                <w:szCs w:val="21"/>
              </w:rPr>
              <w:t>2</w:t>
            </w:r>
          </w:p>
        </w:tc>
        <w:tc>
          <w:tcPr>
            <w:tcW w:w="3290" w:type="dxa"/>
            <w:noWrap w:val="0"/>
            <w:vAlign w:val="center"/>
          </w:tcPr>
          <w:p>
            <w:pPr>
              <w:spacing w:line="300" w:lineRule="auto"/>
              <w:rPr>
                <w:szCs w:val="21"/>
              </w:rPr>
            </w:pPr>
            <w:r>
              <w:rPr>
                <w:kern w:val="0"/>
                <w:szCs w:val="21"/>
              </w:rPr>
              <w:t>基本资格条件：</w:t>
            </w:r>
            <w:r>
              <w:rPr>
                <w:rFonts w:hint="eastAsia"/>
                <w:kern w:val="0"/>
                <w:szCs w:val="21"/>
              </w:rPr>
              <w:t>未被“信用中国”（www.creditchina.gov.cn）、中国政府采购网（www.ccgp.gov.cn）列入失信被执行人、重大税收违法案件当事人名单、政府采购严重违法失信行为记录名单</w:t>
            </w:r>
          </w:p>
        </w:tc>
        <w:tc>
          <w:tcPr>
            <w:tcW w:w="5128" w:type="dxa"/>
            <w:noWrap w:val="0"/>
            <w:vAlign w:val="center"/>
          </w:tcPr>
          <w:p>
            <w:pPr>
              <w:spacing w:line="288" w:lineRule="auto"/>
              <w:rPr>
                <w:szCs w:val="21"/>
              </w:rPr>
            </w:pPr>
            <w:r>
              <w:rPr>
                <w:szCs w:val="21"/>
              </w:rPr>
              <w:t>未被“信用中国”（www.creditchina.gov.cn)、中国政府采购网（www.ccgp.gov.cn）列入失信被执行人、重大税收违法案件当事人名单、政府采购严重违法失信行为记录名单。【供应商</w:t>
            </w:r>
            <w:r>
              <w:rPr>
                <w:kern w:val="10"/>
                <w:szCs w:val="21"/>
              </w:rPr>
              <w:t>需附网页截图；</w:t>
            </w:r>
            <w:r>
              <w:rPr>
                <w:szCs w:val="21"/>
              </w:rPr>
              <w:t>代理机构以开标当日</w:t>
            </w:r>
            <w:r>
              <w:rPr>
                <w:kern w:val="0"/>
                <w:szCs w:val="21"/>
              </w:rPr>
              <w:t>查询“信用中国”网站（www.creditchina.gov.cn）、“中国政府采购网”（www.ccgp.gov.cn）结果为准</w:t>
            </w:r>
            <w:r>
              <w:rPr>
                <w:szCs w:val="21"/>
              </w:rPr>
              <w:t>】。</w:t>
            </w:r>
          </w:p>
          <w:p>
            <w:pPr>
              <w:spacing w:line="300" w:lineRule="auto"/>
              <w:rPr>
                <w:szCs w:val="21"/>
              </w:rPr>
            </w:pPr>
            <w:r>
              <w:rPr>
                <w:szCs w:val="21"/>
              </w:rPr>
              <w:t>对列入失信被执行人、重大税收违法案件当事人名单、政府采购严重违法失信行为记录名单的供应商，其投标将作无效标处理。</w:t>
            </w:r>
          </w:p>
          <w:p>
            <w:pPr>
              <w:spacing w:line="300" w:lineRule="auto"/>
              <w:rPr>
                <w:szCs w:val="21"/>
              </w:rPr>
            </w:pPr>
            <w:r>
              <w:t>若投标人未被列入“信用中国”或“中国政府采购网”网站， 须提供情况说明，并承诺具有良好的信用记录，未被列入失信被执行人、重大税收违法案件当事人名单、政府采购严重违法失信行为记录名单</w:t>
            </w:r>
            <w:r>
              <w:rPr>
                <w:b/>
              </w:rPr>
              <w:t>（附承诺书原件并加盖公章，格式参照附6信用承诺书）</w:t>
            </w:r>
            <w:r>
              <w:t>，否则其响应将作无效标处理。</w:t>
            </w:r>
          </w:p>
        </w:tc>
      </w:tr>
    </w:tbl>
    <w:p>
      <w:pPr>
        <w:spacing w:line="360" w:lineRule="auto"/>
        <w:rPr>
          <w:b/>
        </w:rPr>
      </w:pPr>
      <w:r>
        <w:rPr>
          <w:b/>
        </w:rPr>
        <w:t>本表后附相关资格审查所需的证明材料。</w:t>
      </w:r>
    </w:p>
    <w:p>
      <w:pPr>
        <w:spacing w:line="360" w:lineRule="auto"/>
        <w:outlineLvl w:val="3"/>
        <w:rPr>
          <w:b/>
          <w:szCs w:val="21"/>
        </w:rPr>
      </w:pPr>
      <w:r>
        <w:rPr>
          <w:b/>
        </w:rPr>
        <w:br w:type="page"/>
      </w:r>
      <w:r>
        <w:rPr>
          <w:b/>
          <w:szCs w:val="21"/>
        </w:rPr>
        <w:t>附1：具有独立承担民事责任的能力的证明材料</w:t>
      </w:r>
    </w:p>
    <w:p>
      <w:pPr>
        <w:spacing w:line="360" w:lineRule="auto"/>
        <w:ind w:firstLine="424" w:firstLineChars="202"/>
      </w:pPr>
      <w:r>
        <w:t>出具符合以下情况的证明材料复印件</w:t>
      </w:r>
      <w:r>
        <w:rPr>
          <w:b/>
        </w:rPr>
        <w:t>（五选一）</w:t>
      </w:r>
      <w:r>
        <w:t>：</w:t>
      </w:r>
    </w:p>
    <w:p>
      <w:pPr>
        <w:spacing w:line="360" w:lineRule="auto"/>
        <w:ind w:firstLine="424" w:firstLineChars="202"/>
      </w:pPr>
      <w:r>
        <w:t>1、如供应商是企业（包括合伙企业），提供在工商部门注册的有效“企业法人营业执照”或“营业执照”；</w:t>
      </w:r>
    </w:p>
    <w:p>
      <w:pPr>
        <w:spacing w:line="360" w:lineRule="auto"/>
        <w:ind w:firstLine="424" w:firstLineChars="202"/>
      </w:pPr>
      <w:r>
        <w:t>2、如供应商是事业单位，提供有效的“事业单位法人证书”；</w:t>
      </w:r>
    </w:p>
    <w:p>
      <w:pPr>
        <w:spacing w:line="360" w:lineRule="auto"/>
        <w:ind w:firstLine="424" w:firstLineChars="202"/>
      </w:pPr>
      <w:r>
        <w:t>3、如供应商是非企业专业服务机构的，提供执业许可证等证明文件；</w:t>
      </w:r>
    </w:p>
    <w:p>
      <w:pPr>
        <w:spacing w:line="360" w:lineRule="auto"/>
        <w:ind w:firstLine="424" w:firstLineChars="202"/>
      </w:pPr>
      <w:r>
        <w:t>4、如供应商是个体工商户，提供有效的“个体工商户营业执照”；</w:t>
      </w:r>
    </w:p>
    <w:p>
      <w:pPr>
        <w:spacing w:line="360" w:lineRule="auto"/>
        <w:ind w:firstLine="424" w:firstLineChars="202"/>
      </w:pPr>
      <w:r>
        <w:t>5、如供应商是自然人，提供有效的自然人身份证明（居民身份证正反面或公安机关出具的临时居民身份证正反面或港澳台胞证或护照）。</w:t>
      </w:r>
    </w:p>
    <w:p>
      <w:pPr>
        <w:spacing w:line="360" w:lineRule="auto"/>
        <w:outlineLvl w:val="3"/>
        <w:rPr>
          <w:szCs w:val="21"/>
        </w:rPr>
        <w:sectPr>
          <w:pgSz w:w="11906" w:h="16838"/>
          <w:pgMar w:top="1418" w:right="1418" w:bottom="1134" w:left="1418" w:header="851" w:footer="680" w:gutter="0"/>
          <w:pgNumType w:fmt="decimalFullWidth"/>
          <w:cols w:space="720" w:num="1"/>
          <w:docGrid w:linePitch="312" w:charSpace="0"/>
        </w:sectPr>
      </w:pPr>
    </w:p>
    <w:p>
      <w:pPr>
        <w:spacing w:line="360" w:lineRule="auto"/>
        <w:outlineLvl w:val="3"/>
        <w:rPr>
          <w:b/>
          <w:szCs w:val="21"/>
        </w:rPr>
      </w:pPr>
      <w:r>
        <w:rPr>
          <w:b/>
          <w:szCs w:val="21"/>
        </w:rPr>
        <w:t>附2：具有良好的商业信誉和健全的财务会计制度的证明材料</w:t>
      </w:r>
    </w:p>
    <w:p>
      <w:pPr>
        <w:spacing w:line="360" w:lineRule="auto"/>
        <w:ind w:firstLine="426" w:firstLineChars="202"/>
        <w:rPr>
          <w:b/>
        </w:rPr>
      </w:pPr>
      <w:r>
        <w:rPr>
          <w:b/>
        </w:rPr>
        <w:t>1、良好的商业信誉：</w:t>
      </w:r>
    </w:p>
    <w:p>
      <w:pPr>
        <w:spacing w:line="360" w:lineRule="auto"/>
        <w:ind w:firstLine="424" w:firstLineChars="202"/>
      </w:pPr>
      <w:r>
        <w:t>未被“信用中国”（www.creditchina.gov.cn)、中国政府采购网（www.ccgp.gov.cn）列入失信被执行人、重大税收违法案件当事人名单、政府采购严重违法失信行为记录名单。【代理机构以开标当日查询“信用中国”网站（www.creditchina.gov.cn）、“中国政府采购网”（www.ccgp.gov.cn）结果为准】。</w:t>
      </w:r>
    </w:p>
    <w:p>
      <w:pPr>
        <w:spacing w:line="360" w:lineRule="auto"/>
        <w:ind w:firstLine="424" w:firstLineChars="202"/>
      </w:pPr>
      <w:r>
        <w:t>若投标人未被列入“信用中国”或“中国政府采购网”网站，须提供情况说明，并承诺具有良好的信用记录，未被列入失信被执行人、重大税收违法案件当事人名单、政府采购严重违法失信行为记录名单</w:t>
      </w:r>
      <w:r>
        <w:rPr>
          <w:b/>
        </w:rPr>
        <w:t>（附承诺书原件并加盖公章，格式参照附6信用承诺书）</w:t>
      </w:r>
      <w:r>
        <w:t>，否则其投标将作无效标处理。</w:t>
      </w:r>
    </w:p>
    <w:p>
      <w:pPr>
        <w:spacing w:line="360" w:lineRule="auto"/>
        <w:ind w:firstLine="424" w:firstLineChars="202"/>
      </w:pPr>
    </w:p>
    <w:p>
      <w:pPr>
        <w:spacing w:line="360" w:lineRule="auto"/>
        <w:ind w:firstLine="426" w:firstLineChars="202"/>
        <w:rPr>
          <w:b/>
        </w:rPr>
      </w:pPr>
      <w:r>
        <w:rPr>
          <w:b/>
        </w:rPr>
        <w:t>2、健全的财务会计制度：</w:t>
      </w:r>
    </w:p>
    <w:p>
      <w:pPr>
        <w:spacing w:line="360" w:lineRule="auto"/>
        <w:ind w:firstLine="424" w:firstLineChars="202"/>
      </w:pPr>
      <w:r>
        <w:t>出具符合以下情况的证明材料复印件（三选一）：</w:t>
      </w:r>
    </w:p>
    <w:p>
      <w:pPr>
        <w:spacing w:line="360" w:lineRule="auto"/>
        <w:ind w:firstLine="424" w:firstLineChars="202"/>
      </w:pPr>
      <w:r>
        <w:t>（1）供应商是法人的，应提供最近一个年度经审计的财务报告，包括资产负债表、利润表、现金流量表(执行《小企业会计准则》的提供资产负债表和利润表两张基本报表），未经审计的，提供资产负债表、利润表或损益表。</w:t>
      </w:r>
    </w:p>
    <w:p>
      <w:pPr>
        <w:spacing w:line="360" w:lineRule="auto"/>
        <w:ind w:firstLine="424" w:firstLineChars="202"/>
      </w:pPr>
      <w:r>
        <w:t>（2）其他组织如没有经审计的财务报告的，可以提供资产负债表、利润表、现金流量表。自然人提供近六个月银行流水单。</w:t>
      </w:r>
    </w:p>
    <w:p>
      <w:pPr>
        <w:spacing w:line="360" w:lineRule="auto"/>
        <w:ind w:firstLine="424" w:firstLineChars="202"/>
      </w:pPr>
      <w:r>
        <w:t>（3）新成立不足一年的公司须出具情况说明、响应截止时间前一个月的资产负债表、利润表（或损益表）。</w:t>
      </w:r>
    </w:p>
    <w:p>
      <w:pPr>
        <w:spacing w:line="360" w:lineRule="auto"/>
        <w:outlineLvl w:val="3"/>
        <w:rPr>
          <w:szCs w:val="21"/>
        </w:rPr>
        <w:sectPr>
          <w:pgSz w:w="11906" w:h="16838"/>
          <w:pgMar w:top="1418" w:right="1418" w:bottom="1134" w:left="1418" w:header="851" w:footer="680" w:gutter="0"/>
          <w:pgNumType w:fmt="decimalFullWidth"/>
          <w:cols w:space="720" w:num="1"/>
          <w:docGrid w:linePitch="312" w:charSpace="0"/>
        </w:sectPr>
      </w:pPr>
    </w:p>
    <w:p>
      <w:pPr>
        <w:spacing w:line="360" w:lineRule="auto"/>
        <w:outlineLvl w:val="3"/>
        <w:rPr>
          <w:b/>
          <w:szCs w:val="21"/>
        </w:rPr>
      </w:pPr>
      <w:r>
        <w:rPr>
          <w:b/>
          <w:szCs w:val="21"/>
        </w:rPr>
        <w:t>附3：具有履行合同所必需的设备和专业技术能力的证明材料</w:t>
      </w:r>
    </w:p>
    <w:p>
      <w:pPr>
        <w:spacing w:line="360" w:lineRule="auto"/>
        <w:ind w:firstLine="424" w:firstLineChars="202"/>
      </w:pPr>
      <w:r>
        <w:t>出具具有履行合同所必需的设备和专业技术能力的《承诺函》；（内容根据项目情况由供应商自定）</w:t>
      </w:r>
    </w:p>
    <w:p>
      <w:pPr>
        <w:spacing w:line="360" w:lineRule="auto"/>
        <w:ind w:firstLine="424" w:firstLineChars="202"/>
      </w:pPr>
      <w:r>
        <w:t>特别说明：法律和国务院行政法规规定或授权有关部门规定供应商或产品进入市场须先行取得相关认证或许可的，供应商须在投标文件中提供相关的认证或许可证明材料。</w:t>
      </w:r>
    </w:p>
    <w:p>
      <w:pPr>
        <w:spacing w:line="360" w:lineRule="auto"/>
        <w:ind w:firstLine="424" w:firstLineChars="202"/>
      </w:pPr>
    </w:p>
    <w:p>
      <w:pPr>
        <w:spacing w:line="360" w:lineRule="auto"/>
        <w:jc w:val="center"/>
      </w:pPr>
      <w:r>
        <w:t>（仅供参考）</w:t>
      </w:r>
    </w:p>
    <w:p>
      <w:pPr>
        <w:spacing w:line="360" w:lineRule="auto"/>
        <w:jc w:val="center"/>
        <w:rPr>
          <w:b/>
          <w:szCs w:val="21"/>
        </w:rPr>
      </w:pPr>
      <w:r>
        <w:rPr>
          <w:b/>
          <w:szCs w:val="21"/>
        </w:rPr>
        <w:t>履行合同所必需的设备和专业技术能力承诺函</w:t>
      </w:r>
    </w:p>
    <w:p/>
    <w:p>
      <w:pPr>
        <w:spacing w:line="360" w:lineRule="auto"/>
        <w:rPr>
          <w:szCs w:val="21"/>
        </w:rPr>
      </w:pPr>
      <w:r>
        <w:rPr>
          <w:szCs w:val="21"/>
          <w:u w:val="single"/>
        </w:rPr>
        <w:t>（采购人名称）</w:t>
      </w:r>
      <w:r>
        <w:rPr>
          <w:szCs w:val="21"/>
        </w:rPr>
        <w:t>：</w:t>
      </w:r>
    </w:p>
    <w:p>
      <w:pPr>
        <w:adjustRightInd w:val="0"/>
        <w:snapToGrid w:val="0"/>
        <w:spacing w:line="360" w:lineRule="auto"/>
        <w:ind w:firstLine="420" w:firstLineChars="200"/>
        <w:rPr>
          <w:szCs w:val="21"/>
        </w:rPr>
      </w:pPr>
      <w:r>
        <w:rPr>
          <w:szCs w:val="21"/>
        </w:rPr>
        <w:t>我方已详细阅读招标项目编号为：</w:t>
      </w:r>
      <w:r>
        <w:rPr>
          <w:szCs w:val="21"/>
          <w:u w:val="single"/>
        </w:rPr>
        <w:t xml:space="preserve">        </w:t>
      </w:r>
      <w:r>
        <w:rPr>
          <w:szCs w:val="21"/>
        </w:rPr>
        <w:t>的</w:t>
      </w:r>
      <w:r>
        <w:rPr>
          <w:szCs w:val="21"/>
          <w:u w:val="single"/>
        </w:rPr>
        <w:t xml:space="preserve">   （项目名称）          </w:t>
      </w:r>
      <w:r>
        <w:rPr>
          <w:szCs w:val="21"/>
        </w:rPr>
        <w:t>之招标文件，根据本项目采购需求、服务、供货要求，特向采购人郑重承诺：我方具有履行合同所必需的设备、服务和专业能力。</w:t>
      </w:r>
    </w:p>
    <w:p>
      <w:pPr>
        <w:adjustRightInd w:val="0"/>
        <w:snapToGrid w:val="0"/>
        <w:spacing w:line="360" w:lineRule="auto"/>
        <w:ind w:firstLine="420" w:firstLineChars="200"/>
        <w:rPr>
          <w:szCs w:val="21"/>
        </w:rPr>
      </w:pPr>
      <w:r>
        <w:rPr>
          <w:szCs w:val="21"/>
        </w:rPr>
        <w:t>特此承诺！</w:t>
      </w:r>
    </w:p>
    <w:p>
      <w:pPr>
        <w:spacing w:line="360" w:lineRule="auto"/>
        <w:ind w:firstLine="420" w:firstLineChars="200"/>
        <w:rPr>
          <w:szCs w:val="21"/>
        </w:rPr>
      </w:pPr>
    </w:p>
    <w:p>
      <w:pPr>
        <w:autoSpaceDE w:val="0"/>
        <w:autoSpaceDN w:val="0"/>
        <w:adjustRightInd w:val="0"/>
        <w:spacing w:line="360" w:lineRule="auto"/>
        <w:ind w:firstLine="3360" w:firstLineChars="1600"/>
        <w:rPr>
          <w:kern w:val="0"/>
          <w:szCs w:val="21"/>
          <w:lang w:val="zh-CN"/>
        </w:rPr>
      </w:pPr>
      <w:r>
        <w:rPr>
          <w:kern w:val="0"/>
          <w:szCs w:val="21"/>
          <w:lang w:val="zh-CN"/>
        </w:rPr>
        <w:t>供应商名称（公章）：</w:t>
      </w:r>
    </w:p>
    <w:p>
      <w:pPr>
        <w:autoSpaceDE w:val="0"/>
        <w:autoSpaceDN w:val="0"/>
        <w:adjustRightInd w:val="0"/>
        <w:spacing w:line="360" w:lineRule="auto"/>
        <w:ind w:firstLine="3360" w:firstLineChars="1600"/>
        <w:rPr>
          <w:kern w:val="0"/>
          <w:szCs w:val="21"/>
          <w:lang w:val="zh-CN"/>
        </w:rPr>
      </w:pPr>
      <w:r>
        <w:rPr>
          <w:kern w:val="0"/>
          <w:szCs w:val="21"/>
          <w:lang w:val="zh-CN"/>
        </w:rPr>
        <w:t>法定代表人或授权委托人（签字）：</w:t>
      </w:r>
    </w:p>
    <w:p>
      <w:pPr>
        <w:autoSpaceDE w:val="0"/>
        <w:autoSpaceDN w:val="0"/>
        <w:adjustRightInd w:val="0"/>
        <w:spacing w:line="360" w:lineRule="auto"/>
        <w:ind w:firstLine="3360" w:firstLineChars="1600"/>
        <w:rPr>
          <w:kern w:val="0"/>
          <w:szCs w:val="21"/>
          <w:lang w:val="zh-CN"/>
        </w:rPr>
      </w:pPr>
      <w:r>
        <w:rPr>
          <w:kern w:val="0"/>
          <w:szCs w:val="21"/>
          <w:lang w:val="zh-CN"/>
        </w:rPr>
        <w:t>日期：  年  月   日</w:t>
      </w:r>
    </w:p>
    <w:p>
      <w:pPr>
        <w:spacing w:line="360" w:lineRule="auto"/>
        <w:ind w:firstLine="424" w:firstLineChars="202"/>
      </w:pPr>
    </w:p>
    <w:p>
      <w:pPr>
        <w:spacing w:line="360" w:lineRule="auto"/>
        <w:outlineLvl w:val="3"/>
        <w:rPr>
          <w:szCs w:val="21"/>
        </w:rPr>
        <w:sectPr>
          <w:pgSz w:w="11906" w:h="16838"/>
          <w:pgMar w:top="1418" w:right="1418" w:bottom="1134" w:left="1418" w:header="851" w:footer="680" w:gutter="0"/>
          <w:pgNumType w:fmt="decimalFullWidth"/>
          <w:cols w:space="720" w:num="1"/>
          <w:docGrid w:linePitch="312" w:charSpace="0"/>
        </w:sectPr>
      </w:pPr>
    </w:p>
    <w:p>
      <w:pPr>
        <w:spacing w:line="360" w:lineRule="auto"/>
        <w:outlineLvl w:val="3"/>
        <w:rPr>
          <w:b/>
          <w:szCs w:val="21"/>
        </w:rPr>
      </w:pPr>
      <w:r>
        <w:rPr>
          <w:b/>
          <w:szCs w:val="21"/>
        </w:rPr>
        <w:t>附4：有依法缴纳税收和社会保障资金的良好记录的证明材料</w:t>
      </w:r>
    </w:p>
    <w:p>
      <w:pPr>
        <w:spacing w:line="360" w:lineRule="auto"/>
        <w:ind w:firstLine="424" w:firstLineChars="202"/>
      </w:pPr>
      <w:r>
        <w:t>须同时出具满足以下要求的证明材料复印件：</w:t>
      </w:r>
    </w:p>
    <w:p>
      <w:pPr>
        <w:spacing w:line="360" w:lineRule="auto"/>
        <w:ind w:firstLine="424" w:firstLineChars="202"/>
      </w:pPr>
      <w:r>
        <w:t>1.供应商须提供由税务部门出具的最近（投标截止期前6个月内任一期）缴纳增值税或企业所得税的纳税证明；“缴纳税收记录”为银行出具的缴税凭证或税务机关出具的证明（复印件，加盖公章）</w:t>
      </w:r>
    </w:p>
    <w:p>
      <w:pPr>
        <w:spacing w:line="360" w:lineRule="auto"/>
        <w:ind w:firstLine="424" w:firstLineChars="202"/>
      </w:pPr>
      <w:r>
        <w:t>说明：（1）企业成立不足三个月的，可以提供税务登记证复印件替代此项内容。</w:t>
      </w:r>
    </w:p>
    <w:p>
      <w:pPr>
        <w:spacing w:line="360" w:lineRule="auto"/>
        <w:ind w:firstLine="424" w:firstLineChars="202"/>
      </w:pPr>
      <w:r>
        <w:t>（2）特殊机构组织不能提供此项内容的，须提供有效的文件资料以证明该单位属于免税单位。</w:t>
      </w:r>
    </w:p>
    <w:p>
      <w:pPr>
        <w:spacing w:line="360" w:lineRule="auto"/>
        <w:ind w:firstLine="424" w:firstLineChars="202"/>
      </w:pPr>
    </w:p>
    <w:p>
      <w:pPr>
        <w:spacing w:line="360" w:lineRule="auto"/>
        <w:ind w:firstLine="424" w:firstLineChars="202"/>
      </w:pPr>
      <w:r>
        <w:t>2.供应商须提供最近（投标截止期前6个月内任一期）缴纳社会保障资金的凭据（缴税付款凭证或社会保险缴纳证明）</w:t>
      </w:r>
    </w:p>
    <w:p>
      <w:pPr>
        <w:spacing w:line="360" w:lineRule="auto"/>
        <w:ind w:firstLine="424" w:firstLineChars="202"/>
      </w:pPr>
      <w:r>
        <w:t>说明：</w:t>
      </w:r>
    </w:p>
    <w:p>
      <w:pPr>
        <w:spacing w:line="360" w:lineRule="auto"/>
        <w:ind w:firstLine="424" w:firstLineChars="202"/>
      </w:pPr>
      <w:r>
        <w:t xml:space="preserve">（1）社会保障资金缴纳记录是指社会统筹保险基金管理部门出具的基本养老保险对账单或加盖社会统筹保险基金管理部门公章的单位缴费明细，或企业缴费凭证（社保缴费发票或银行转账凭证等证明）。 </w:t>
      </w:r>
    </w:p>
    <w:p>
      <w:pPr>
        <w:spacing w:line="360" w:lineRule="auto"/>
        <w:ind w:firstLine="424" w:firstLineChars="202"/>
      </w:pPr>
      <w:r>
        <w:t>（2）供应商逐年缴纳社会保障资金的，可提供上年度企业缴费凭证复印件替代此项内容。</w:t>
      </w:r>
    </w:p>
    <w:p>
      <w:pPr>
        <w:spacing w:line="360" w:lineRule="auto"/>
        <w:ind w:firstLine="424" w:firstLineChars="202"/>
      </w:pPr>
      <w:r>
        <w:t xml:space="preserve">（3）企业成立不足三个月的，可以提供社会保险登记证复印件替代此项内容。 </w:t>
      </w:r>
    </w:p>
    <w:p>
      <w:pPr>
        <w:spacing w:line="360" w:lineRule="auto"/>
        <w:ind w:firstLine="424" w:firstLineChars="202"/>
      </w:pPr>
      <w:r>
        <w:t>（4）事业单位等机构组织不能提供此项内容的，须提供有效的文件资料以证明该单位不用进行社会保障资金缴纳。</w:t>
      </w:r>
    </w:p>
    <w:p>
      <w:pPr>
        <w:spacing w:line="360" w:lineRule="auto"/>
        <w:outlineLvl w:val="3"/>
        <w:rPr>
          <w:szCs w:val="21"/>
        </w:rPr>
        <w:sectPr>
          <w:pgSz w:w="11906" w:h="16838"/>
          <w:pgMar w:top="1418" w:right="1418" w:bottom="1134" w:left="1418" w:header="851" w:footer="680" w:gutter="0"/>
          <w:pgNumType w:fmt="decimalFullWidth"/>
          <w:cols w:space="720" w:num="1"/>
          <w:docGrid w:linePitch="312" w:charSpace="0"/>
        </w:sectPr>
      </w:pPr>
    </w:p>
    <w:p>
      <w:pPr>
        <w:spacing w:line="360" w:lineRule="auto"/>
        <w:outlineLvl w:val="3"/>
        <w:rPr>
          <w:b/>
          <w:szCs w:val="21"/>
        </w:rPr>
      </w:pPr>
      <w:r>
        <w:rPr>
          <w:b/>
          <w:szCs w:val="21"/>
        </w:rPr>
        <w:t>附5：参加政府采购活动前三年内，在经营活动中没有重大违法记录的证明材料</w:t>
      </w:r>
    </w:p>
    <w:p>
      <w:pPr>
        <w:spacing w:line="360" w:lineRule="auto"/>
        <w:ind w:firstLine="424" w:firstLineChars="202"/>
      </w:pPr>
    </w:p>
    <w:p>
      <w:pPr>
        <w:spacing w:line="360" w:lineRule="auto"/>
        <w:ind w:firstLine="424" w:firstLineChars="202"/>
      </w:pPr>
      <w:r>
        <w:t>供应商参加政府采购活动前三年内，在经营活动中没有重大违法记录的书面声明；（内容根据项目情况由供应商自定，格式自拟）</w:t>
      </w:r>
    </w:p>
    <w:p>
      <w:pPr>
        <w:spacing w:line="360" w:lineRule="auto"/>
        <w:ind w:firstLine="424" w:firstLineChars="202"/>
      </w:pPr>
    </w:p>
    <w:p/>
    <w:p>
      <w:pPr>
        <w:autoSpaceDE w:val="0"/>
        <w:autoSpaceDN w:val="0"/>
        <w:adjustRightInd w:val="0"/>
        <w:spacing w:line="360" w:lineRule="auto"/>
        <w:ind w:firstLine="3360" w:firstLineChars="1600"/>
        <w:rPr>
          <w:kern w:val="0"/>
          <w:szCs w:val="21"/>
          <w:lang w:val="zh-CN"/>
        </w:rPr>
      </w:pPr>
      <w:r>
        <w:rPr>
          <w:kern w:val="0"/>
          <w:szCs w:val="21"/>
          <w:lang w:val="zh-CN"/>
        </w:rPr>
        <w:t>供应商名称（公章）：</w:t>
      </w:r>
    </w:p>
    <w:p>
      <w:pPr>
        <w:autoSpaceDE w:val="0"/>
        <w:autoSpaceDN w:val="0"/>
        <w:adjustRightInd w:val="0"/>
        <w:spacing w:line="360" w:lineRule="auto"/>
        <w:ind w:firstLine="3360" w:firstLineChars="1600"/>
        <w:rPr>
          <w:kern w:val="0"/>
          <w:szCs w:val="21"/>
          <w:lang w:val="zh-CN"/>
        </w:rPr>
      </w:pPr>
      <w:r>
        <w:rPr>
          <w:kern w:val="0"/>
          <w:szCs w:val="21"/>
          <w:lang w:val="zh-CN"/>
        </w:rPr>
        <w:t>法定代表人或授权委托人（签字）：</w:t>
      </w:r>
    </w:p>
    <w:p>
      <w:pPr>
        <w:autoSpaceDE w:val="0"/>
        <w:autoSpaceDN w:val="0"/>
        <w:adjustRightInd w:val="0"/>
        <w:spacing w:line="360" w:lineRule="auto"/>
        <w:ind w:firstLine="3360" w:firstLineChars="1600"/>
        <w:rPr>
          <w:kern w:val="0"/>
          <w:szCs w:val="21"/>
          <w:lang w:val="zh-CN"/>
        </w:rPr>
      </w:pPr>
      <w:r>
        <w:rPr>
          <w:kern w:val="0"/>
          <w:szCs w:val="21"/>
          <w:lang w:val="zh-CN"/>
        </w:rPr>
        <w:t>日期：  年  月   日</w:t>
      </w:r>
    </w:p>
    <w:p/>
    <w:p>
      <w:pPr>
        <w:spacing w:line="360" w:lineRule="auto"/>
        <w:outlineLvl w:val="3"/>
        <w:rPr>
          <w:szCs w:val="21"/>
        </w:rPr>
        <w:sectPr>
          <w:pgSz w:w="11906" w:h="16838"/>
          <w:pgMar w:top="1418" w:right="1418" w:bottom="1134" w:left="1418" w:header="851" w:footer="680" w:gutter="0"/>
          <w:pgNumType w:fmt="decimalFullWidth"/>
          <w:cols w:space="720" w:num="1"/>
          <w:docGrid w:linePitch="312" w:charSpace="0"/>
        </w:sectPr>
      </w:pPr>
    </w:p>
    <w:p>
      <w:pPr>
        <w:spacing w:line="360" w:lineRule="auto"/>
        <w:ind w:firstLine="211" w:firstLineChars="100"/>
        <w:outlineLvl w:val="3"/>
        <w:rPr>
          <w:b/>
          <w:szCs w:val="21"/>
        </w:rPr>
      </w:pPr>
      <w:r>
        <w:rPr>
          <w:b/>
          <w:szCs w:val="21"/>
        </w:rPr>
        <w:t>附6：信用承诺书</w:t>
      </w:r>
    </w:p>
    <w:p/>
    <w:p>
      <w:pPr>
        <w:spacing w:before="120" w:beforeLines="50" w:line="360" w:lineRule="auto"/>
        <w:jc w:val="center"/>
        <w:rPr>
          <w:b/>
          <w:sz w:val="24"/>
          <w:szCs w:val="21"/>
        </w:rPr>
      </w:pPr>
      <w:r>
        <w:rPr>
          <w:b/>
          <w:sz w:val="24"/>
          <w:szCs w:val="21"/>
        </w:rPr>
        <w:t>信用承诺书</w:t>
      </w:r>
    </w:p>
    <w:p>
      <w:pPr>
        <w:spacing w:line="360" w:lineRule="auto"/>
        <w:rPr>
          <w:szCs w:val="21"/>
        </w:rPr>
      </w:pPr>
      <w:r>
        <w:rPr>
          <w:szCs w:val="21"/>
          <w:u w:val="single"/>
        </w:rPr>
        <w:t>（采购人名称）</w:t>
      </w:r>
      <w:r>
        <w:rPr>
          <w:szCs w:val="21"/>
        </w:rPr>
        <w:t>：</w:t>
      </w:r>
    </w:p>
    <w:p>
      <w:pPr>
        <w:adjustRightInd w:val="0"/>
        <w:snapToGrid w:val="0"/>
        <w:spacing w:line="360" w:lineRule="auto"/>
        <w:ind w:firstLine="420" w:firstLineChars="200"/>
        <w:rPr>
          <w:szCs w:val="21"/>
        </w:rPr>
      </w:pPr>
      <w:r>
        <w:rPr>
          <w:szCs w:val="21"/>
        </w:rPr>
        <w:t>我方已详细阅读招标项目编号为：</w:t>
      </w:r>
      <w:r>
        <w:rPr>
          <w:szCs w:val="21"/>
          <w:u w:val="single"/>
        </w:rPr>
        <w:t xml:space="preserve">        </w:t>
      </w:r>
      <w:r>
        <w:rPr>
          <w:szCs w:val="21"/>
        </w:rPr>
        <w:t>的</w:t>
      </w:r>
      <w:r>
        <w:rPr>
          <w:szCs w:val="21"/>
          <w:u w:val="single"/>
        </w:rPr>
        <w:t xml:space="preserve">   （项目名称）          </w:t>
      </w:r>
      <w:r>
        <w:rPr>
          <w:szCs w:val="21"/>
        </w:rPr>
        <w:t>之招标文件，现就参加本项目投标有关事项向采购人郑重承诺：</w:t>
      </w:r>
    </w:p>
    <w:p>
      <w:pPr>
        <w:adjustRightInd w:val="0"/>
        <w:snapToGrid w:val="0"/>
        <w:spacing w:line="360" w:lineRule="auto"/>
        <w:ind w:firstLine="420" w:firstLineChars="200"/>
        <w:rPr>
          <w:szCs w:val="21"/>
        </w:rPr>
      </w:pPr>
      <w:r>
        <w:rPr>
          <w:szCs w:val="21"/>
        </w:rPr>
        <w:t>在本项目投标截止前，我方未列入失信被执行人、重大税收违法案件当事人名单、政府采购严重违法失信行为记录名单。</w:t>
      </w:r>
    </w:p>
    <w:p>
      <w:pPr>
        <w:adjustRightInd w:val="0"/>
        <w:snapToGrid w:val="0"/>
        <w:spacing w:line="360" w:lineRule="auto"/>
        <w:ind w:firstLine="422" w:firstLineChars="200"/>
        <w:rPr>
          <w:b/>
          <w:szCs w:val="21"/>
        </w:rPr>
      </w:pPr>
    </w:p>
    <w:p>
      <w:pPr>
        <w:adjustRightInd w:val="0"/>
        <w:snapToGrid w:val="0"/>
        <w:spacing w:line="360" w:lineRule="auto"/>
        <w:ind w:firstLine="422" w:firstLineChars="200"/>
        <w:rPr>
          <w:b/>
          <w:szCs w:val="21"/>
        </w:rPr>
      </w:pPr>
      <w:r>
        <w:rPr>
          <w:b/>
          <w:szCs w:val="21"/>
        </w:rPr>
        <w:t>（若</w:t>
      </w:r>
      <w:r>
        <w:rPr>
          <w:b/>
        </w:rPr>
        <w:t>投标人未被列入“信用中国”或“中国政府采购网”网站，还须提供情况说明</w:t>
      </w:r>
      <w:r>
        <w:rPr>
          <w:b/>
          <w:szCs w:val="21"/>
        </w:rPr>
        <w:t>）</w:t>
      </w:r>
    </w:p>
    <w:p>
      <w:pPr>
        <w:adjustRightInd w:val="0"/>
        <w:snapToGrid w:val="0"/>
        <w:spacing w:line="360" w:lineRule="auto"/>
        <w:ind w:firstLine="420" w:firstLineChars="200"/>
        <w:rPr>
          <w:szCs w:val="21"/>
        </w:rPr>
      </w:pPr>
    </w:p>
    <w:p>
      <w:pPr>
        <w:adjustRightInd w:val="0"/>
        <w:snapToGrid w:val="0"/>
        <w:spacing w:line="360" w:lineRule="auto"/>
        <w:ind w:firstLine="420" w:firstLineChars="200"/>
        <w:rPr>
          <w:szCs w:val="21"/>
        </w:rPr>
      </w:pPr>
      <w:r>
        <w:rPr>
          <w:szCs w:val="21"/>
        </w:rPr>
        <w:t>特此承诺！</w:t>
      </w:r>
    </w:p>
    <w:p>
      <w:pPr>
        <w:spacing w:line="360" w:lineRule="auto"/>
        <w:ind w:firstLine="420" w:firstLineChars="200"/>
        <w:rPr>
          <w:szCs w:val="21"/>
        </w:rPr>
      </w:pPr>
    </w:p>
    <w:p>
      <w:pPr>
        <w:autoSpaceDE w:val="0"/>
        <w:autoSpaceDN w:val="0"/>
        <w:adjustRightInd w:val="0"/>
        <w:spacing w:line="360" w:lineRule="auto"/>
        <w:ind w:firstLine="3360" w:firstLineChars="1600"/>
        <w:rPr>
          <w:kern w:val="0"/>
          <w:szCs w:val="21"/>
          <w:lang w:val="zh-CN"/>
        </w:rPr>
      </w:pPr>
      <w:r>
        <w:rPr>
          <w:kern w:val="0"/>
          <w:szCs w:val="21"/>
          <w:lang w:val="zh-CN"/>
        </w:rPr>
        <w:t>供应商名称（公章）：</w:t>
      </w:r>
    </w:p>
    <w:p>
      <w:pPr>
        <w:autoSpaceDE w:val="0"/>
        <w:autoSpaceDN w:val="0"/>
        <w:adjustRightInd w:val="0"/>
        <w:spacing w:line="360" w:lineRule="auto"/>
        <w:ind w:firstLine="3360" w:firstLineChars="1600"/>
        <w:rPr>
          <w:kern w:val="0"/>
          <w:szCs w:val="21"/>
          <w:lang w:val="zh-CN"/>
        </w:rPr>
      </w:pPr>
      <w:r>
        <w:rPr>
          <w:kern w:val="0"/>
          <w:szCs w:val="21"/>
          <w:lang w:val="zh-CN"/>
        </w:rPr>
        <w:t>法定代表人或授权委托人（签字）：</w:t>
      </w:r>
    </w:p>
    <w:p>
      <w:pPr>
        <w:autoSpaceDE w:val="0"/>
        <w:autoSpaceDN w:val="0"/>
        <w:adjustRightInd w:val="0"/>
        <w:spacing w:line="360" w:lineRule="auto"/>
        <w:ind w:firstLine="3360" w:firstLineChars="1600"/>
        <w:rPr>
          <w:kern w:val="0"/>
          <w:szCs w:val="21"/>
          <w:lang w:val="zh-CN"/>
        </w:rPr>
      </w:pPr>
      <w:r>
        <w:rPr>
          <w:kern w:val="0"/>
          <w:szCs w:val="21"/>
          <w:lang w:val="zh-CN"/>
        </w:rPr>
        <w:t>日期：  年  月   日</w:t>
      </w:r>
    </w:p>
    <w:p>
      <w:pPr>
        <w:spacing w:line="360" w:lineRule="auto"/>
        <w:ind w:firstLine="420" w:firstLineChars="200"/>
        <w:rPr>
          <w:szCs w:val="21"/>
        </w:rPr>
      </w:pPr>
    </w:p>
    <w:p>
      <w:pPr>
        <w:spacing w:line="360" w:lineRule="auto"/>
        <w:ind w:firstLine="422" w:firstLineChars="200"/>
        <w:rPr>
          <w:szCs w:val="21"/>
        </w:rPr>
      </w:pPr>
      <w:r>
        <w:rPr>
          <w:b/>
          <w:szCs w:val="21"/>
        </w:rPr>
        <w:t>注：</w:t>
      </w:r>
      <w:r>
        <w:rPr>
          <w:szCs w:val="21"/>
        </w:rPr>
        <w:t>1、“信用中国”网站的网页截屏中须显示供应商名称、查询时间（显示的查询时间范围须在本项目招标公告发布之日至投标截止日之间）、信用记录情况等主要内容。</w:t>
      </w:r>
    </w:p>
    <w:p>
      <w:pPr>
        <w:spacing w:line="360" w:lineRule="auto"/>
        <w:ind w:firstLine="420" w:firstLineChars="200"/>
        <w:rPr>
          <w:szCs w:val="21"/>
        </w:rPr>
      </w:pPr>
      <w:r>
        <w:rPr>
          <w:szCs w:val="21"/>
        </w:rPr>
        <w:t>2、中国政府采购网的网页截屏中须显示供应商名称、查询时间（显示的查询时间范围须在本项目招标公告发布之日至投标截止日之间）及政府采购严重违法失信行为情况。</w:t>
      </w:r>
    </w:p>
    <w:p>
      <w:pPr>
        <w:spacing w:line="360" w:lineRule="auto"/>
        <w:ind w:firstLine="420" w:firstLineChars="200"/>
        <w:rPr>
          <w:szCs w:val="21"/>
        </w:rPr>
      </w:pPr>
      <w:r>
        <w:rPr>
          <w:szCs w:val="21"/>
        </w:rPr>
        <w:t>（1）未列入失信名单的查询后显示“没有该企业的相关记录”、招标供应商名称及查询时间。</w:t>
      </w:r>
    </w:p>
    <w:p>
      <w:pPr>
        <w:spacing w:line="360" w:lineRule="auto"/>
        <w:ind w:firstLine="420" w:firstLineChars="200"/>
        <w:rPr>
          <w:szCs w:val="21"/>
        </w:rPr>
      </w:pPr>
      <w:r>
        <w:rPr>
          <w:szCs w:val="21"/>
        </w:rPr>
        <w:t>（2）被列入失信名单的查询后显示相关处罚信息。</w:t>
      </w:r>
    </w:p>
    <w:p>
      <w:pPr>
        <w:spacing w:line="360" w:lineRule="auto"/>
        <w:ind w:firstLine="420" w:firstLineChars="200"/>
        <w:rPr>
          <w:szCs w:val="21"/>
        </w:rPr>
      </w:pPr>
      <w:r>
        <w:rPr>
          <w:szCs w:val="21"/>
        </w:rPr>
        <w:t>3、如因供应商所属行业性质、网站信息收录、改版或供应商申报等其他客观原因，</w:t>
      </w:r>
      <w:r>
        <w:rPr>
          <w:b/>
          <w:szCs w:val="21"/>
        </w:rPr>
        <w:t>供应商无法提供</w:t>
      </w:r>
      <w:r>
        <w:rPr>
          <w:szCs w:val="21"/>
        </w:rPr>
        <w:t>上述截屏或提供的网页截屏未明确显示上述规定内容的，供应商应如实提供相关说明，评标时保留审核查询该供应商实际信用情况的权利，并根据供应商的说明或评标时查询到的实际信用情况等判定其是否符合财政部通知及招标文件的要求。</w:t>
      </w:r>
    </w:p>
    <w:p>
      <w:pPr>
        <w:spacing w:line="360" w:lineRule="auto"/>
        <w:ind w:firstLine="420" w:firstLineChars="200"/>
        <w:rPr>
          <w:szCs w:val="21"/>
        </w:rPr>
      </w:pPr>
    </w:p>
    <w:p>
      <w:pPr>
        <w:spacing w:line="360" w:lineRule="auto"/>
        <w:rPr>
          <w:szCs w:val="21"/>
        </w:rPr>
      </w:pPr>
    </w:p>
    <w:p>
      <w:pPr>
        <w:numPr>
          <w:ilvl w:val="0"/>
          <w:numId w:val="16"/>
        </w:numPr>
        <w:spacing w:after="120" w:afterLines="50" w:line="520" w:lineRule="exact"/>
        <w:jc w:val="left"/>
        <w:outlineLvl w:val="2"/>
        <w:rPr>
          <w:b/>
          <w:bCs/>
          <w:sz w:val="24"/>
        </w:rPr>
      </w:pPr>
      <w:r>
        <w:br w:type="page"/>
      </w:r>
      <w:r>
        <w:rPr>
          <w:b/>
          <w:bCs/>
          <w:sz w:val="24"/>
        </w:rPr>
        <w:t>招标文件中要求的或供应商认为需要的其他资格审查文件、说明</w:t>
      </w:r>
    </w:p>
    <w:p>
      <w:r>
        <w:rPr>
          <w:b/>
          <w:sz w:val="28"/>
          <w:szCs w:val="28"/>
        </w:rPr>
        <w:br w:type="page"/>
      </w:r>
    </w:p>
    <w:p>
      <w:pPr>
        <w:pStyle w:val="2"/>
        <w:numPr>
          <w:ilvl w:val="0"/>
          <w:numId w:val="0"/>
        </w:numPr>
        <w:spacing w:before="0" w:after="0" w:line="360" w:lineRule="auto"/>
        <w:jc w:val="center"/>
        <w:rPr>
          <w:sz w:val="28"/>
          <w:szCs w:val="28"/>
        </w:rPr>
      </w:pPr>
      <w:bookmarkStart w:id="57" w:name="_Toc15923"/>
      <w:bookmarkStart w:id="58" w:name="_Toc86217005"/>
      <w:r>
        <w:rPr>
          <w:sz w:val="28"/>
          <w:szCs w:val="28"/>
        </w:rPr>
        <w:t>第六章  评标办法</w:t>
      </w:r>
      <w:bookmarkEnd w:id="57"/>
    </w:p>
    <w:p>
      <w:pPr>
        <w:tabs>
          <w:tab w:val="left" w:pos="735"/>
        </w:tabs>
        <w:adjustRightInd w:val="0"/>
        <w:snapToGrid w:val="0"/>
        <w:spacing w:line="360" w:lineRule="auto"/>
        <w:ind w:firstLine="420" w:firstLineChars="200"/>
        <w:rPr>
          <w:snapToGrid w:val="0"/>
          <w:kern w:val="0"/>
          <w:szCs w:val="21"/>
        </w:rPr>
      </w:pPr>
      <w:r>
        <w:rPr>
          <w:snapToGrid w:val="0"/>
          <w:kern w:val="0"/>
          <w:szCs w:val="21"/>
        </w:rPr>
        <w:t>根据《中华人民共和国政府采购法》、财政部第87号令等有关规定，结合本项目的实际情况，按照公平、公正、科学、择优的原则，制定本评标办法。</w:t>
      </w:r>
    </w:p>
    <w:p>
      <w:pPr>
        <w:spacing w:line="360" w:lineRule="auto"/>
        <w:ind w:firstLine="371" w:firstLineChars="176"/>
        <w:outlineLvl w:val="1"/>
        <w:rPr>
          <w:b/>
          <w:szCs w:val="21"/>
        </w:rPr>
      </w:pPr>
      <w:bookmarkStart w:id="59" w:name="_Toc364420763"/>
      <w:bookmarkStart w:id="60" w:name="_Toc249760791"/>
      <w:bookmarkStart w:id="61" w:name="_Toc371408108"/>
      <w:bookmarkStart w:id="62" w:name="_Toc251566662"/>
      <w:bookmarkStart w:id="63" w:name="_Toc295465366"/>
      <w:bookmarkStart w:id="64" w:name="_Toc18494"/>
      <w:r>
        <w:rPr>
          <w:b/>
          <w:szCs w:val="21"/>
        </w:rPr>
        <w:t>一、总则</w:t>
      </w:r>
      <w:bookmarkEnd w:id="59"/>
      <w:bookmarkEnd w:id="60"/>
      <w:bookmarkEnd w:id="61"/>
      <w:bookmarkEnd w:id="62"/>
      <w:bookmarkEnd w:id="63"/>
      <w:bookmarkEnd w:id="64"/>
    </w:p>
    <w:p>
      <w:pPr>
        <w:adjustRightInd w:val="0"/>
        <w:snapToGrid w:val="0"/>
        <w:spacing w:line="360" w:lineRule="auto"/>
        <w:ind w:firstLine="420" w:firstLineChars="200"/>
        <w:rPr>
          <w:snapToGrid w:val="0"/>
          <w:kern w:val="0"/>
          <w:szCs w:val="21"/>
        </w:rPr>
      </w:pPr>
      <w:r>
        <w:rPr>
          <w:snapToGrid w:val="0"/>
          <w:kern w:val="0"/>
          <w:szCs w:val="21"/>
        </w:rPr>
        <w:t>本次评标采用综合评分法，按标项评分，每个标项的总分均为100分。合格投标人的评标综合评分为各项目汇总得分，中标候选资格按综合评分由高到低顺序排列，得分相同的，按评标价由低到高顺序排列；得分且评标价相同的，按技术得分由高到低顺序排列。</w:t>
      </w:r>
      <w:r>
        <w:rPr>
          <w:b/>
          <w:snapToGrid w:val="0"/>
          <w:kern w:val="0"/>
          <w:szCs w:val="21"/>
        </w:rPr>
        <w:t>评标委员会根据综合评分由高至低顺序排列，推荐前1名为中标候选人。</w:t>
      </w:r>
    </w:p>
    <w:p>
      <w:pPr>
        <w:adjustRightInd w:val="0"/>
        <w:snapToGrid w:val="0"/>
        <w:spacing w:line="360" w:lineRule="auto"/>
        <w:ind w:firstLine="420" w:firstLineChars="200"/>
        <w:rPr>
          <w:snapToGrid w:val="0"/>
          <w:kern w:val="0"/>
          <w:szCs w:val="21"/>
        </w:rPr>
      </w:pPr>
      <w:r>
        <w:rPr>
          <w:snapToGrid w:val="0"/>
          <w:kern w:val="0"/>
          <w:szCs w:val="21"/>
        </w:rPr>
        <w:t>技术/商务分=评标委员会所有成员评分合计数/评标委员会组成人员数</w:t>
      </w:r>
    </w:p>
    <w:p>
      <w:pPr>
        <w:adjustRightInd w:val="0"/>
        <w:snapToGrid w:val="0"/>
        <w:spacing w:line="360" w:lineRule="auto"/>
        <w:ind w:firstLine="420" w:firstLineChars="200"/>
        <w:rPr>
          <w:snapToGrid w:val="0"/>
          <w:kern w:val="0"/>
          <w:szCs w:val="21"/>
        </w:rPr>
      </w:pPr>
      <w:r>
        <w:rPr>
          <w:snapToGrid w:val="0"/>
          <w:kern w:val="0"/>
          <w:szCs w:val="21"/>
        </w:rPr>
        <w:t>投标人评标综合评分=技术分+商务分+报价分</w:t>
      </w:r>
    </w:p>
    <w:p>
      <w:pPr>
        <w:spacing w:line="360" w:lineRule="auto"/>
        <w:ind w:firstLine="371" w:firstLineChars="176"/>
        <w:outlineLvl w:val="1"/>
        <w:rPr>
          <w:b/>
          <w:szCs w:val="21"/>
        </w:rPr>
      </w:pPr>
      <w:bookmarkStart w:id="65" w:name="_Toc249760792"/>
      <w:bookmarkStart w:id="66" w:name="_Toc251566663"/>
      <w:bookmarkStart w:id="67" w:name="_Toc295465367"/>
      <w:bookmarkStart w:id="68" w:name="_Toc371408109"/>
      <w:bookmarkStart w:id="69" w:name="_Toc364420764"/>
      <w:bookmarkStart w:id="70" w:name="_Toc25575"/>
      <w:r>
        <w:rPr>
          <w:b/>
          <w:szCs w:val="21"/>
        </w:rPr>
        <w:t>二、</w:t>
      </w:r>
      <w:bookmarkEnd w:id="65"/>
      <w:bookmarkEnd w:id="66"/>
      <w:bookmarkEnd w:id="67"/>
      <w:bookmarkEnd w:id="68"/>
      <w:bookmarkEnd w:id="69"/>
      <w:r>
        <w:rPr>
          <w:b/>
          <w:szCs w:val="21"/>
        </w:rPr>
        <w:t>资格审查</w:t>
      </w:r>
      <w:bookmarkEnd w:id="70"/>
    </w:p>
    <w:p>
      <w:pPr>
        <w:adjustRightInd w:val="0"/>
        <w:snapToGrid w:val="0"/>
        <w:spacing w:line="360" w:lineRule="auto"/>
        <w:ind w:firstLine="420" w:firstLineChars="200"/>
        <w:rPr>
          <w:snapToGrid w:val="0"/>
          <w:kern w:val="0"/>
          <w:szCs w:val="21"/>
        </w:rPr>
      </w:pPr>
      <w:r>
        <w:rPr>
          <w:snapToGrid w:val="0"/>
          <w:kern w:val="0"/>
          <w:szCs w:val="21"/>
        </w:rPr>
        <w:t>采购人或者招标代理机构对各投标人的资格进行审查，投标人资格条件不符合招标文件要求的投标无效，不再进入符合性审查。</w:t>
      </w:r>
    </w:p>
    <w:p>
      <w:pPr>
        <w:adjustRightInd w:val="0"/>
        <w:snapToGrid w:val="0"/>
        <w:spacing w:line="360" w:lineRule="auto"/>
        <w:ind w:firstLine="422" w:firstLineChars="200"/>
        <w:rPr>
          <w:b/>
          <w:snapToGrid w:val="0"/>
          <w:kern w:val="0"/>
          <w:szCs w:val="21"/>
        </w:rPr>
      </w:pPr>
      <w:r>
        <w:rPr>
          <w:b/>
          <w:snapToGrid w:val="0"/>
          <w:kern w:val="0"/>
          <w:szCs w:val="21"/>
        </w:rPr>
        <w:t>在资格审查时，如发现下列情形之一的，投标将被视为无效：</w:t>
      </w:r>
    </w:p>
    <w:p>
      <w:pPr>
        <w:adjustRightInd w:val="0"/>
        <w:snapToGrid w:val="0"/>
        <w:spacing w:line="360" w:lineRule="auto"/>
        <w:ind w:firstLine="420" w:firstLineChars="200"/>
        <w:rPr>
          <w:snapToGrid w:val="0"/>
          <w:kern w:val="0"/>
          <w:szCs w:val="21"/>
        </w:rPr>
      </w:pPr>
      <w:r>
        <w:rPr>
          <w:snapToGrid w:val="0"/>
          <w:kern w:val="0"/>
          <w:szCs w:val="21"/>
        </w:rPr>
        <w:t>1、投标人未能提供满足招标文件的资格要求的资格审查文件；</w:t>
      </w:r>
    </w:p>
    <w:p>
      <w:pPr>
        <w:adjustRightInd w:val="0"/>
        <w:snapToGrid w:val="0"/>
        <w:spacing w:line="360" w:lineRule="auto"/>
        <w:ind w:firstLine="420" w:firstLineChars="200"/>
        <w:rPr>
          <w:snapToGrid w:val="0"/>
          <w:kern w:val="0"/>
          <w:szCs w:val="21"/>
        </w:rPr>
      </w:pPr>
      <w:r>
        <w:rPr>
          <w:snapToGrid w:val="0"/>
          <w:kern w:val="0"/>
          <w:szCs w:val="21"/>
        </w:rPr>
        <w:t>2、被有关行政监管部门通报限制投标且在限制期内的；</w:t>
      </w:r>
    </w:p>
    <w:p>
      <w:pPr>
        <w:adjustRightInd w:val="0"/>
        <w:snapToGrid w:val="0"/>
        <w:spacing w:line="360" w:lineRule="auto"/>
        <w:ind w:firstLine="420" w:firstLineChars="200"/>
        <w:rPr>
          <w:snapToGrid w:val="0"/>
          <w:kern w:val="0"/>
          <w:szCs w:val="21"/>
        </w:rPr>
      </w:pPr>
      <w:r>
        <w:rPr>
          <w:snapToGrid w:val="0"/>
          <w:kern w:val="0"/>
          <w:szCs w:val="21"/>
        </w:rPr>
        <w:t>3、不符合资格审查条件的其他情形。</w:t>
      </w:r>
    </w:p>
    <w:p>
      <w:pPr>
        <w:spacing w:line="360" w:lineRule="auto"/>
        <w:ind w:firstLine="371" w:firstLineChars="176"/>
        <w:outlineLvl w:val="1"/>
        <w:rPr>
          <w:b/>
          <w:szCs w:val="21"/>
        </w:rPr>
      </w:pPr>
      <w:bookmarkStart w:id="71" w:name="_Toc13634"/>
      <w:r>
        <w:rPr>
          <w:b/>
          <w:szCs w:val="21"/>
        </w:rPr>
        <w:t>三、符合性审查</w:t>
      </w:r>
      <w:bookmarkEnd w:id="71"/>
    </w:p>
    <w:p>
      <w:pPr>
        <w:adjustRightInd w:val="0"/>
        <w:snapToGrid w:val="0"/>
        <w:spacing w:line="360" w:lineRule="auto"/>
        <w:ind w:firstLine="420" w:firstLineChars="200"/>
        <w:rPr>
          <w:snapToGrid w:val="0"/>
          <w:kern w:val="0"/>
          <w:szCs w:val="21"/>
        </w:rPr>
      </w:pPr>
      <w:r>
        <w:rPr>
          <w:snapToGrid w:val="0"/>
          <w:kern w:val="0"/>
          <w:szCs w:val="21"/>
        </w:rPr>
        <w:t>评标委员会依据招标文件的规定，从投标文件的有效性、完整性和对招标文件的响应程度进行审查，以确定是否对招标文件的实质性要求作出响应。符合性审查不合格的投标无效，不再进行商务和技术评估、综合比较与评价。评标委员会决定投标文件的响应性只根据投标文件本身的内容，而不寻求外部证据。如果投标文件实质上没有响应招标文件的要求，评标委员会将予以拒绝，供应商不得通过修改或撤销不合要求的偏离或保留而使其投标成为实质性响应的投标。评标委员会将允许修正投标文件中不构成重大偏离的、微小的、非正规的、不一致的或不规则的地方，但这些修改不能影响任何供应商相应的名次排列。</w:t>
      </w:r>
    </w:p>
    <w:p>
      <w:pPr>
        <w:adjustRightInd w:val="0"/>
        <w:snapToGrid w:val="0"/>
        <w:spacing w:line="360" w:lineRule="auto"/>
        <w:ind w:firstLine="420" w:firstLineChars="200"/>
        <w:rPr>
          <w:snapToGrid w:val="0"/>
          <w:kern w:val="0"/>
          <w:szCs w:val="21"/>
        </w:rPr>
      </w:pPr>
      <w:r>
        <w:rPr>
          <w:snapToGrid w:val="0"/>
          <w:kern w:val="0"/>
          <w:szCs w:val="21"/>
        </w:rPr>
        <w:t>评标委员会按少数服从多数原则认定投标文件存在以下情况之一的，其符合性审查不予通过，作无效标处理，不再进行进一步评审：</w:t>
      </w:r>
    </w:p>
    <w:p>
      <w:pPr>
        <w:adjustRightInd w:val="0"/>
        <w:snapToGrid w:val="0"/>
        <w:spacing w:line="360" w:lineRule="auto"/>
        <w:ind w:firstLine="422" w:firstLineChars="200"/>
        <w:rPr>
          <w:b/>
          <w:snapToGrid w:val="0"/>
          <w:kern w:val="0"/>
          <w:szCs w:val="21"/>
        </w:rPr>
      </w:pPr>
      <w:r>
        <w:rPr>
          <w:b/>
          <w:snapToGrid w:val="0"/>
          <w:kern w:val="0"/>
          <w:szCs w:val="21"/>
        </w:rPr>
        <w:t>（一）在资格审查、商务及技术文件的符合性审查时，如发现下列情形之一的，投标将被视为无效：</w:t>
      </w:r>
    </w:p>
    <w:p>
      <w:pPr>
        <w:adjustRightInd w:val="0"/>
        <w:snapToGrid w:val="0"/>
        <w:spacing w:line="360" w:lineRule="auto"/>
        <w:ind w:firstLine="420" w:firstLineChars="200"/>
        <w:rPr>
          <w:snapToGrid w:val="0"/>
          <w:kern w:val="0"/>
          <w:szCs w:val="21"/>
        </w:rPr>
      </w:pPr>
      <w:r>
        <w:rPr>
          <w:snapToGrid w:val="0"/>
          <w:kern w:val="0"/>
          <w:szCs w:val="21"/>
        </w:rPr>
        <w:t>1、未按招标文件要求盖章或签字（须加盖供应商公章或者法定代表人或授权委托人签名或盖章）的；</w:t>
      </w:r>
    </w:p>
    <w:p>
      <w:pPr>
        <w:adjustRightInd w:val="0"/>
        <w:snapToGrid w:val="0"/>
        <w:spacing w:line="360" w:lineRule="auto"/>
        <w:ind w:firstLine="420" w:firstLineChars="200"/>
        <w:rPr>
          <w:snapToGrid w:val="0"/>
          <w:kern w:val="0"/>
          <w:szCs w:val="21"/>
        </w:rPr>
      </w:pPr>
      <w:r>
        <w:rPr>
          <w:snapToGrid w:val="0"/>
          <w:kern w:val="0"/>
          <w:szCs w:val="21"/>
        </w:rPr>
        <w:t>2、未提供或未如实提供投标产品的技术参数；投标文件标明的商务、技术响应与事实不符或虚假投标的；</w:t>
      </w:r>
    </w:p>
    <w:p>
      <w:pPr>
        <w:adjustRightInd w:val="0"/>
        <w:snapToGrid w:val="0"/>
        <w:spacing w:line="360" w:lineRule="auto"/>
        <w:ind w:firstLine="420" w:firstLineChars="200"/>
        <w:rPr>
          <w:snapToGrid w:val="0"/>
          <w:kern w:val="0"/>
          <w:szCs w:val="21"/>
        </w:rPr>
      </w:pPr>
      <w:r>
        <w:rPr>
          <w:snapToGrid w:val="0"/>
          <w:kern w:val="0"/>
          <w:szCs w:val="21"/>
        </w:rPr>
        <w:t>3、技术方案不明确，存在一个或一个以上备选（替代）方案且未申明哪个有效的；</w:t>
      </w:r>
    </w:p>
    <w:p>
      <w:pPr>
        <w:adjustRightInd w:val="0"/>
        <w:snapToGrid w:val="0"/>
        <w:spacing w:line="360" w:lineRule="auto"/>
        <w:ind w:firstLine="420" w:firstLineChars="200"/>
        <w:rPr>
          <w:snapToGrid w:val="0"/>
          <w:kern w:val="0"/>
          <w:szCs w:val="21"/>
        </w:rPr>
      </w:pPr>
      <w:r>
        <w:rPr>
          <w:snapToGrid w:val="0"/>
          <w:kern w:val="0"/>
          <w:szCs w:val="21"/>
        </w:rPr>
        <w:t>4、未提供有效资格审查申请函、法定代表人资格证明或授权委托书（供应商代表为法定代表人的除外）的投标文件；</w:t>
      </w:r>
    </w:p>
    <w:p>
      <w:pPr>
        <w:adjustRightInd w:val="0"/>
        <w:snapToGrid w:val="0"/>
        <w:spacing w:line="360" w:lineRule="auto"/>
        <w:ind w:firstLine="420" w:firstLineChars="200"/>
        <w:rPr>
          <w:snapToGrid w:val="0"/>
          <w:kern w:val="0"/>
          <w:szCs w:val="21"/>
        </w:rPr>
      </w:pPr>
      <w:r>
        <w:rPr>
          <w:snapToGrid w:val="0"/>
          <w:kern w:val="0"/>
          <w:szCs w:val="21"/>
        </w:rPr>
        <w:t>5、投标文件有采购人不能接受的附加条件的；</w:t>
      </w:r>
    </w:p>
    <w:p>
      <w:pPr>
        <w:adjustRightInd w:val="0"/>
        <w:snapToGrid w:val="0"/>
        <w:spacing w:line="360" w:lineRule="auto"/>
        <w:ind w:firstLine="420" w:firstLineChars="200"/>
        <w:rPr>
          <w:snapToGrid w:val="0"/>
          <w:kern w:val="0"/>
          <w:szCs w:val="21"/>
        </w:rPr>
      </w:pPr>
      <w:r>
        <w:rPr>
          <w:snapToGrid w:val="0"/>
          <w:kern w:val="0"/>
          <w:szCs w:val="21"/>
        </w:rPr>
        <w:t>6、不符合法律、法规和本招标文件规定的其他实质性要求的。</w:t>
      </w:r>
    </w:p>
    <w:p>
      <w:pPr>
        <w:adjustRightInd w:val="0"/>
        <w:snapToGrid w:val="0"/>
        <w:spacing w:line="360" w:lineRule="auto"/>
        <w:ind w:firstLine="422" w:firstLineChars="200"/>
        <w:rPr>
          <w:b/>
          <w:snapToGrid w:val="0"/>
          <w:kern w:val="0"/>
          <w:szCs w:val="21"/>
        </w:rPr>
      </w:pPr>
      <w:r>
        <w:rPr>
          <w:b/>
          <w:snapToGrid w:val="0"/>
          <w:kern w:val="0"/>
          <w:szCs w:val="21"/>
        </w:rPr>
        <w:t>（二）在报价文件的符合性审查时，如发现下列情形之一的，投标将被视为无效：</w:t>
      </w:r>
    </w:p>
    <w:p>
      <w:pPr>
        <w:adjustRightInd w:val="0"/>
        <w:snapToGrid w:val="0"/>
        <w:spacing w:line="360" w:lineRule="auto"/>
        <w:ind w:firstLine="420" w:firstLineChars="200"/>
        <w:rPr>
          <w:snapToGrid w:val="0"/>
          <w:kern w:val="0"/>
          <w:szCs w:val="21"/>
        </w:rPr>
      </w:pPr>
      <w:r>
        <w:rPr>
          <w:snapToGrid w:val="0"/>
          <w:kern w:val="0"/>
          <w:szCs w:val="21"/>
        </w:rPr>
        <w:t>1、报价文件未按招标文件要求盖章或签字（须加盖供应商公章或者法定代表人或授权委托人签名或盖章）的；</w:t>
      </w:r>
    </w:p>
    <w:p>
      <w:pPr>
        <w:adjustRightInd w:val="0"/>
        <w:snapToGrid w:val="0"/>
        <w:spacing w:line="360" w:lineRule="auto"/>
        <w:ind w:firstLine="420" w:firstLineChars="200"/>
        <w:rPr>
          <w:snapToGrid w:val="0"/>
          <w:kern w:val="0"/>
          <w:szCs w:val="21"/>
        </w:rPr>
      </w:pPr>
      <w:r>
        <w:rPr>
          <w:snapToGrid w:val="0"/>
          <w:kern w:val="0"/>
          <w:szCs w:val="21"/>
        </w:rPr>
        <w:t>2、投标报价不明确，存在一个或一个以上备选（替代）报价且未申明哪个有效的；</w:t>
      </w:r>
    </w:p>
    <w:p>
      <w:pPr>
        <w:adjustRightInd w:val="0"/>
        <w:snapToGrid w:val="0"/>
        <w:spacing w:line="360" w:lineRule="auto"/>
        <w:ind w:firstLine="420" w:firstLineChars="200"/>
        <w:rPr>
          <w:snapToGrid w:val="0"/>
          <w:kern w:val="0"/>
          <w:szCs w:val="21"/>
        </w:rPr>
      </w:pPr>
      <w:r>
        <w:rPr>
          <w:snapToGrid w:val="0"/>
          <w:kern w:val="0"/>
          <w:szCs w:val="21"/>
        </w:rPr>
        <w:t>3、投标报价超预算的；</w:t>
      </w:r>
    </w:p>
    <w:p>
      <w:pPr>
        <w:adjustRightInd w:val="0"/>
        <w:snapToGrid w:val="0"/>
        <w:spacing w:line="360" w:lineRule="auto"/>
        <w:ind w:firstLine="420" w:firstLineChars="200"/>
        <w:rPr>
          <w:snapToGrid w:val="0"/>
          <w:kern w:val="0"/>
          <w:szCs w:val="21"/>
        </w:rPr>
      </w:pPr>
      <w:r>
        <w:rPr>
          <w:snapToGrid w:val="0"/>
          <w:kern w:val="0"/>
          <w:szCs w:val="21"/>
        </w:rPr>
        <w:t>4、未采用人民币报价或未按招标文件标明的币种报价；</w:t>
      </w:r>
    </w:p>
    <w:p>
      <w:pPr>
        <w:adjustRightInd w:val="0"/>
        <w:snapToGrid w:val="0"/>
        <w:spacing w:line="360" w:lineRule="auto"/>
        <w:ind w:firstLine="420" w:firstLineChars="200"/>
        <w:rPr>
          <w:snapToGrid w:val="0"/>
          <w:kern w:val="0"/>
          <w:szCs w:val="21"/>
        </w:rPr>
      </w:pPr>
      <w:r>
        <w:rPr>
          <w:snapToGrid w:val="0"/>
          <w:kern w:val="0"/>
          <w:szCs w:val="21"/>
        </w:rPr>
        <w:t>5、未提供有效投标函或开标一览表的投标文件；</w:t>
      </w:r>
    </w:p>
    <w:p>
      <w:pPr>
        <w:adjustRightInd w:val="0"/>
        <w:snapToGrid w:val="0"/>
        <w:spacing w:line="360" w:lineRule="auto"/>
        <w:ind w:firstLine="420" w:firstLineChars="200"/>
        <w:rPr>
          <w:snapToGrid w:val="0"/>
          <w:kern w:val="0"/>
          <w:szCs w:val="21"/>
        </w:rPr>
      </w:pPr>
      <w:r>
        <w:rPr>
          <w:snapToGrid w:val="0"/>
          <w:kern w:val="0"/>
          <w:szCs w:val="21"/>
        </w:rPr>
        <w:t>6、投标报价明显低于成本价的，投标人又不能在规定时间内作出合理说明或提供相关证明材料；</w:t>
      </w:r>
    </w:p>
    <w:p>
      <w:pPr>
        <w:adjustRightInd w:val="0"/>
        <w:snapToGrid w:val="0"/>
        <w:spacing w:line="360" w:lineRule="auto"/>
        <w:ind w:firstLine="420" w:firstLineChars="200"/>
        <w:rPr>
          <w:snapToGrid w:val="0"/>
          <w:kern w:val="0"/>
          <w:szCs w:val="21"/>
        </w:rPr>
      </w:pPr>
      <w:r>
        <w:rPr>
          <w:snapToGrid w:val="0"/>
          <w:kern w:val="0"/>
          <w:szCs w:val="21"/>
        </w:rPr>
        <w:t>7、投标文件有采购人不能接受的附加条件的；</w:t>
      </w:r>
    </w:p>
    <w:p>
      <w:pPr>
        <w:adjustRightInd w:val="0"/>
        <w:snapToGrid w:val="0"/>
        <w:spacing w:line="360" w:lineRule="auto"/>
        <w:ind w:firstLine="420" w:firstLineChars="200"/>
        <w:rPr>
          <w:snapToGrid w:val="0"/>
          <w:kern w:val="0"/>
          <w:szCs w:val="21"/>
        </w:rPr>
      </w:pPr>
      <w:r>
        <w:rPr>
          <w:snapToGrid w:val="0"/>
          <w:kern w:val="0"/>
          <w:szCs w:val="21"/>
        </w:rPr>
        <w:t>8、不符合法律、法规和本招标文件规定的其他实质性要求的。</w:t>
      </w:r>
    </w:p>
    <w:p>
      <w:pPr>
        <w:spacing w:line="360" w:lineRule="auto"/>
        <w:ind w:firstLine="371" w:firstLineChars="176"/>
        <w:outlineLvl w:val="1"/>
        <w:rPr>
          <w:b/>
          <w:szCs w:val="21"/>
        </w:rPr>
      </w:pPr>
      <w:bookmarkStart w:id="72" w:name="_Toc249760795"/>
      <w:bookmarkStart w:id="73" w:name="_Toc251566666"/>
      <w:bookmarkStart w:id="74" w:name="_Toc7965"/>
      <w:bookmarkStart w:id="75" w:name="_Toc295465370"/>
      <w:bookmarkStart w:id="76" w:name="_Toc364420767"/>
      <w:bookmarkStart w:id="77" w:name="_Toc371408112"/>
      <w:r>
        <w:rPr>
          <w:b/>
          <w:szCs w:val="21"/>
        </w:rPr>
        <w:t>四、评标</w:t>
      </w:r>
      <w:bookmarkEnd w:id="72"/>
      <w:bookmarkEnd w:id="73"/>
      <w:r>
        <w:rPr>
          <w:b/>
          <w:szCs w:val="21"/>
        </w:rPr>
        <w:t>细则及标准</w:t>
      </w:r>
      <w:bookmarkEnd w:id="74"/>
      <w:bookmarkEnd w:id="75"/>
      <w:bookmarkEnd w:id="76"/>
      <w:bookmarkEnd w:id="77"/>
    </w:p>
    <w:p>
      <w:pPr>
        <w:adjustRightInd w:val="0"/>
        <w:snapToGrid w:val="0"/>
        <w:spacing w:line="360" w:lineRule="auto"/>
        <w:ind w:firstLine="422" w:firstLineChars="200"/>
        <w:rPr>
          <w:b/>
          <w:snapToGrid w:val="0"/>
          <w:kern w:val="0"/>
          <w:szCs w:val="21"/>
        </w:rPr>
      </w:pPr>
      <w:r>
        <w:rPr>
          <w:b/>
          <w:snapToGrid w:val="0"/>
          <w:kern w:val="0"/>
          <w:szCs w:val="21"/>
        </w:rPr>
        <w:t>（一）技术、商务及其他部分（满分70分）</w:t>
      </w:r>
    </w:p>
    <w:p>
      <w:pPr>
        <w:adjustRightInd w:val="0"/>
        <w:snapToGrid w:val="0"/>
        <w:spacing w:line="360" w:lineRule="auto"/>
        <w:ind w:firstLine="420" w:firstLineChars="200"/>
        <w:rPr>
          <w:snapToGrid w:val="0"/>
          <w:kern w:val="0"/>
          <w:szCs w:val="21"/>
        </w:rPr>
      </w:pPr>
      <w:r>
        <w:rPr>
          <w:snapToGrid w:val="0"/>
          <w:kern w:val="0"/>
          <w:szCs w:val="21"/>
        </w:rPr>
        <w:t>评标委员会对各供应商的技术、商务及其他部分充分审核、讨论及评议后，每人一份评分表，进行独自打分并签名。在统计得分时，如发现某一单项评分超过评分细则规定的分值范围，则该张评分表无效。供应商技术、商务及其他部分的得分为评标委员会各成员的有效评分的算术平均值。</w:t>
      </w:r>
    </w:p>
    <w:tbl>
      <w:tblPr>
        <w:tblStyle w:val="2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2"/>
        <w:gridCol w:w="866"/>
        <w:gridCol w:w="1163"/>
        <w:gridCol w:w="516"/>
        <w:gridCol w:w="62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248" w:type="pct"/>
            <w:noWrap/>
            <w:vAlign w:val="center"/>
          </w:tcPr>
          <w:p>
            <w:pPr>
              <w:jc w:val="center"/>
              <w:rPr>
                <w:b/>
                <w:bCs/>
                <w:szCs w:val="21"/>
              </w:rPr>
            </w:pPr>
            <w:r>
              <w:rPr>
                <w:b/>
                <w:bCs/>
                <w:szCs w:val="21"/>
              </w:rPr>
              <w:t>序号</w:t>
            </w:r>
          </w:p>
        </w:tc>
        <w:tc>
          <w:tcPr>
            <w:tcW w:w="466" w:type="pct"/>
            <w:noWrap w:val="0"/>
            <w:vAlign w:val="center"/>
          </w:tcPr>
          <w:p>
            <w:pPr>
              <w:jc w:val="center"/>
              <w:rPr>
                <w:b/>
                <w:bCs/>
                <w:szCs w:val="21"/>
              </w:rPr>
            </w:pPr>
            <w:r>
              <w:rPr>
                <w:b/>
                <w:bCs/>
                <w:szCs w:val="21"/>
              </w:rPr>
              <w:t>评审因素分项</w:t>
            </w:r>
          </w:p>
        </w:tc>
        <w:tc>
          <w:tcPr>
            <w:tcW w:w="626" w:type="pct"/>
            <w:noWrap w:val="0"/>
            <w:vAlign w:val="center"/>
          </w:tcPr>
          <w:p>
            <w:pPr>
              <w:jc w:val="center"/>
              <w:rPr>
                <w:b/>
                <w:bCs/>
                <w:szCs w:val="21"/>
              </w:rPr>
            </w:pPr>
            <w:r>
              <w:rPr>
                <w:b/>
                <w:bCs/>
                <w:szCs w:val="21"/>
              </w:rPr>
              <w:t>评审因素细项</w:t>
            </w:r>
          </w:p>
        </w:tc>
        <w:tc>
          <w:tcPr>
            <w:tcW w:w="278" w:type="pct"/>
            <w:noWrap w:val="0"/>
            <w:vAlign w:val="center"/>
          </w:tcPr>
          <w:p>
            <w:pPr>
              <w:jc w:val="center"/>
              <w:rPr>
                <w:b/>
                <w:bCs/>
                <w:szCs w:val="21"/>
              </w:rPr>
            </w:pPr>
            <w:r>
              <w:rPr>
                <w:b/>
                <w:bCs/>
                <w:szCs w:val="21"/>
              </w:rPr>
              <w:t>分值</w:t>
            </w:r>
          </w:p>
        </w:tc>
        <w:tc>
          <w:tcPr>
            <w:tcW w:w="3379" w:type="pct"/>
            <w:noWrap w:val="0"/>
            <w:vAlign w:val="center"/>
          </w:tcPr>
          <w:p>
            <w:pPr>
              <w:jc w:val="center"/>
              <w:rPr>
                <w:b/>
                <w:bCs/>
                <w:szCs w:val="21"/>
              </w:rPr>
            </w:pPr>
            <w:r>
              <w:rPr>
                <w:b/>
                <w:bCs/>
                <w:szCs w:val="21"/>
              </w:rPr>
              <w:t>评分标准说明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48" w:type="pct"/>
            <w:noWrap/>
            <w:vAlign w:val="center"/>
          </w:tcPr>
          <w:p>
            <w:pPr>
              <w:jc w:val="center"/>
              <w:rPr>
                <w:szCs w:val="21"/>
              </w:rPr>
            </w:pPr>
            <w:r>
              <w:rPr>
                <w:szCs w:val="21"/>
              </w:rPr>
              <w:t>1</w:t>
            </w:r>
          </w:p>
        </w:tc>
        <w:tc>
          <w:tcPr>
            <w:tcW w:w="466" w:type="pct"/>
            <w:noWrap w:val="0"/>
            <w:vAlign w:val="center"/>
          </w:tcPr>
          <w:p>
            <w:pPr>
              <w:jc w:val="center"/>
              <w:rPr>
                <w:szCs w:val="21"/>
              </w:rPr>
            </w:pPr>
            <w:r>
              <w:rPr>
                <w:szCs w:val="21"/>
              </w:rPr>
              <w:t>企业</w:t>
            </w:r>
          </w:p>
          <w:p>
            <w:pPr>
              <w:jc w:val="center"/>
              <w:rPr>
                <w:szCs w:val="21"/>
              </w:rPr>
            </w:pPr>
            <w:r>
              <w:rPr>
                <w:szCs w:val="21"/>
              </w:rPr>
              <w:t>实力</w:t>
            </w:r>
          </w:p>
        </w:tc>
        <w:tc>
          <w:tcPr>
            <w:tcW w:w="626" w:type="pct"/>
            <w:noWrap w:val="0"/>
            <w:vAlign w:val="center"/>
          </w:tcPr>
          <w:p>
            <w:pPr>
              <w:jc w:val="center"/>
              <w:rPr>
                <w:szCs w:val="21"/>
              </w:rPr>
            </w:pPr>
            <w:r>
              <w:rPr>
                <w:szCs w:val="21"/>
              </w:rPr>
              <w:t>企业</w:t>
            </w:r>
          </w:p>
          <w:p>
            <w:pPr>
              <w:jc w:val="center"/>
              <w:rPr>
                <w:szCs w:val="21"/>
              </w:rPr>
            </w:pPr>
            <w:r>
              <w:rPr>
                <w:szCs w:val="21"/>
              </w:rPr>
              <w:t>资质</w:t>
            </w:r>
          </w:p>
        </w:tc>
        <w:tc>
          <w:tcPr>
            <w:tcW w:w="278" w:type="pct"/>
            <w:noWrap w:val="0"/>
            <w:vAlign w:val="center"/>
          </w:tcPr>
          <w:p>
            <w:pPr>
              <w:jc w:val="center"/>
              <w:rPr>
                <w:szCs w:val="21"/>
              </w:rPr>
            </w:pPr>
            <w:r>
              <w:rPr>
                <w:szCs w:val="21"/>
              </w:rPr>
              <w:t>5</w:t>
            </w:r>
          </w:p>
        </w:tc>
        <w:tc>
          <w:tcPr>
            <w:tcW w:w="3379" w:type="pct"/>
            <w:noWrap w:val="0"/>
            <w:vAlign w:val="center"/>
          </w:tcPr>
          <w:p>
            <w:pPr>
              <w:jc w:val="left"/>
              <w:rPr>
                <w:szCs w:val="21"/>
              </w:rPr>
            </w:pPr>
            <w:r>
              <w:rPr>
                <w:szCs w:val="21"/>
              </w:rPr>
              <w:t>①投标人具有ISO9001认证、ISO14001认证、过ISO20000认证、ISO27001认证的，每有一项得0.5分，最多的2分，否则不得分。</w:t>
            </w:r>
          </w:p>
          <w:p>
            <w:pPr>
              <w:jc w:val="left"/>
              <w:rPr>
                <w:szCs w:val="21"/>
              </w:rPr>
            </w:pPr>
            <w:r>
              <w:rPr>
                <w:szCs w:val="21"/>
              </w:rPr>
              <w:t>②投标人具有信息技术服务运行维护标准符合性证书（ITSS）的得1分，否则不得分。</w:t>
            </w:r>
          </w:p>
          <w:p>
            <w:pPr>
              <w:jc w:val="left"/>
              <w:rPr>
                <w:szCs w:val="21"/>
              </w:rPr>
            </w:pPr>
            <w:r>
              <w:rPr>
                <w:szCs w:val="21"/>
              </w:rPr>
              <w:t>③投标人具有云管理服务评估证书-卓越级的得2分，投标人云管理服务评估证书-优秀级的得0.5分，否则不得分。</w:t>
            </w:r>
          </w:p>
          <w:p>
            <w:pPr>
              <w:jc w:val="left"/>
              <w:rPr>
                <w:szCs w:val="21"/>
              </w:rPr>
            </w:pPr>
            <w:r>
              <w:rPr>
                <w:szCs w:val="21"/>
              </w:rPr>
              <w:t>(须提供相应证明文件复印件并加盖投标人公章，否则不得分)。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48" w:type="pct"/>
            <w:noWrap/>
            <w:vAlign w:val="center"/>
          </w:tcPr>
          <w:p>
            <w:pPr>
              <w:jc w:val="center"/>
              <w:rPr>
                <w:szCs w:val="21"/>
              </w:rPr>
            </w:pPr>
            <w:r>
              <w:rPr>
                <w:szCs w:val="21"/>
              </w:rPr>
              <w:t>2</w:t>
            </w:r>
          </w:p>
        </w:tc>
        <w:tc>
          <w:tcPr>
            <w:tcW w:w="466" w:type="pct"/>
            <w:noWrap w:val="0"/>
            <w:vAlign w:val="center"/>
          </w:tcPr>
          <w:p>
            <w:pPr>
              <w:jc w:val="center"/>
              <w:rPr>
                <w:szCs w:val="21"/>
              </w:rPr>
            </w:pPr>
            <w:r>
              <w:rPr>
                <w:szCs w:val="21"/>
              </w:rPr>
              <w:t>技术</w:t>
            </w:r>
          </w:p>
          <w:p>
            <w:pPr>
              <w:jc w:val="center"/>
              <w:rPr>
                <w:szCs w:val="21"/>
              </w:rPr>
            </w:pPr>
            <w:r>
              <w:rPr>
                <w:szCs w:val="21"/>
              </w:rPr>
              <w:t>指标</w:t>
            </w:r>
          </w:p>
        </w:tc>
        <w:tc>
          <w:tcPr>
            <w:tcW w:w="626" w:type="pct"/>
            <w:noWrap w:val="0"/>
            <w:vAlign w:val="center"/>
          </w:tcPr>
          <w:p>
            <w:pPr>
              <w:jc w:val="center"/>
              <w:rPr>
                <w:szCs w:val="21"/>
              </w:rPr>
            </w:pPr>
            <w:r>
              <w:rPr>
                <w:szCs w:val="21"/>
              </w:rPr>
              <w:t>技术</w:t>
            </w:r>
          </w:p>
          <w:p>
            <w:pPr>
              <w:jc w:val="center"/>
              <w:rPr>
                <w:szCs w:val="21"/>
              </w:rPr>
            </w:pPr>
            <w:r>
              <w:rPr>
                <w:szCs w:val="21"/>
              </w:rPr>
              <w:t>指标</w:t>
            </w:r>
          </w:p>
        </w:tc>
        <w:tc>
          <w:tcPr>
            <w:tcW w:w="278" w:type="pct"/>
            <w:noWrap w:val="0"/>
            <w:vAlign w:val="center"/>
          </w:tcPr>
          <w:p>
            <w:pPr>
              <w:jc w:val="center"/>
              <w:rPr>
                <w:szCs w:val="21"/>
              </w:rPr>
            </w:pPr>
            <w:r>
              <w:rPr>
                <w:szCs w:val="21"/>
              </w:rPr>
              <w:t>20</w:t>
            </w:r>
          </w:p>
        </w:tc>
        <w:tc>
          <w:tcPr>
            <w:tcW w:w="3379" w:type="pct"/>
            <w:noWrap w:val="0"/>
            <w:vAlign w:val="center"/>
          </w:tcPr>
          <w:p>
            <w:pPr>
              <w:jc w:val="left"/>
              <w:rPr>
                <w:szCs w:val="21"/>
              </w:rPr>
            </w:pPr>
            <w:r>
              <w:rPr>
                <w:szCs w:val="21"/>
              </w:rPr>
              <w:t>完全满足招标文件中技术参数配置要求的，得基本分20分。指标每负偏离一项，扣1分，20分扣完为止。若发现有虚假应答的技术偏离项，则作无效标处理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8" w:type="pct"/>
            <w:noWrap w:val="0"/>
            <w:vAlign w:val="center"/>
          </w:tcPr>
          <w:p>
            <w:pPr>
              <w:jc w:val="center"/>
              <w:rPr>
                <w:szCs w:val="21"/>
              </w:rPr>
            </w:pPr>
            <w:r>
              <w:rPr>
                <w:szCs w:val="21"/>
              </w:rPr>
              <w:t>3</w:t>
            </w:r>
          </w:p>
        </w:tc>
        <w:tc>
          <w:tcPr>
            <w:tcW w:w="466" w:type="pct"/>
            <w:noWrap w:val="0"/>
            <w:vAlign w:val="center"/>
          </w:tcPr>
          <w:p>
            <w:pPr>
              <w:jc w:val="center"/>
              <w:rPr>
                <w:szCs w:val="21"/>
              </w:rPr>
            </w:pPr>
            <w:r>
              <w:rPr>
                <w:szCs w:val="21"/>
              </w:rPr>
              <w:t>项目</w:t>
            </w:r>
          </w:p>
          <w:p>
            <w:pPr>
              <w:jc w:val="center"/>
              <w:rPr>
                <w:szCs w:val="21"/>
              </w:rPr>
            </w:pPr>
            <w:r>
              <w:rPr>
                <w:szCs w:val="21"/>
              </w:rPr>
              <w:t>方案</w:t>
            </w:r>
          </w:p>
        </w:tc>
        <w:tc>
          <w:tcPr>
            <w:tcW w:w="626" w:type="pct"/>
            <w:noWrap w:val="0"/>
            <w:vAlign w:val="center"/>
          </w:tcPr>
          <w:p>
            <w:pPr>
              <w:jc w:val="center"/>
              <w:rPr>
                <w:szCs w:val="21"/>
              </w:rPr>
            </w:pPr>
            <w:r>
              <w:rPr>
                <w:szCs w:val="21"/>
              </w:rPr>
              <w:t>项目</w:t>
            </w:r>
          </w:p>
          <w:p>
            <w:pPr>
              <w:jc w:val="center"/>
              <w:rPr>
                <w:szCs w:val="21"/>
              </w:rPr>
            </w:pPr>
            <w:r>
              <w:rPr>
                <w:szCs w:val="21"/>
              </w:rPr>
              <w:t>方案</w:t>
            </w:r>
          </w:p>
        </w:tc>
        <w:tc>
          <w:tcPr>
            <w:tcW w:w="278" w:type="pct"/>
            <w:noWrap w:val="0"/>
            <w:vAlign w:val="center"/>
          </w:tcPr>
          <w:p>
            <w:pPr>
              <w:jc w:val="center"/>
              <w:rPr>
                <w:szCs w:val="21"/>
              </w:rPr>
            </w:pPr>
            <w:r>
              <w:rPr>
                <w:szCs w:val="21"/>
              </w:rPr>
              <w:t>7</w:t>
            </w:r>
          </w:p>
        </w:tc>
        <w:tc>
          <w:tcPr>
            <w:tcW w:w="3379" w:type="pct"/>
            <w:noWrap w:val="0"/>
            <w:vAlign w:val="center"/>
          </w:tcPr>
          <w:p>
            <w:pPr>
              <w:jc w:val="left"/>
              <w:rPr>
                <w:szCs w:val="21"/>
              </w:rPr>
            </w:pPr>
            <w:r>
              <w:rPr>
                <w:szCs w:val="21"/>
              </w:rPr>
              <w:t>根据投标方案的现状情况、点位勘查、设计实施、项目定位、长远规划等进行横向对比打分，优的得5-7分，良的得2-3分，差的得0-1分。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8" w:type="pct"/>
            <w:vMerge w:val="restart"/>
            <w:noWrap w:val="0"/>
            <w:vAlign w:val="center"/>
          </w:tcPr>
          <w:p>
            <w:pPr>
              <w:jc w:val="center"/>
              <w:rPr>
                <w:szCs w:val="21"/>
              </w:rPr>
            </w:pPr>
            <w:r>
              <w:rPr>
                <w:szCs w:val="21"/>
              </w:rPr>
              <w:t>4</w:t>
            </w:r>
          </w:p>
        </w:tc>
        <w:tc>
          <w:tcPr>
            <w:tcW w:w="466" w:type="pct"/>
            <w:vMerge w:val="restart"/>
            <w:noWrap w:val="0"/>
            <w:vAlign w:val="center"/>
          </w:tcPr>
          <w:p>
            <w:pPr>
              <w:jc w:val="center"/>
              <w:rPr>
                <w:szCs w:val="21"/>
              </w:rPr>
            </w:pPr>
            <w:r>
              <w:rPr>
                <w:szCs w:val="21"/>
              </w:rPr>
              <w:t>人脸识别系统资质</w:t>
            </w:r>
          </w:p>
        </w:tc>
        <w:tc>
          <w:tcPr>
            <w:tcW w:w="626" w:type="pct"/>
            <w:noWrap w:val="0"/>
            <w:vAlign w:val="center"/>
          </w:tcPr>
          <w:p>
            <w:pPr>
              <w:jc w:val="center"/>
              <w:rPr>
                <w:szCs w:val="21"/>
              </w:rPr>
            </w:pPr>
            <w:r>
              <w:rPr>
                <w:szCs w:val="21"/>
              </w:rPr>
              <w:t>发明</w:t>
            </w:r>
          </w:p>
          <w:p>
            <w:pPr>
              <w:jc w:val="center"/>
              <w:rPr>
                <w:szCs w:val="21"/>
              </w:rPr>
            </w:pPr>
            <w:r>
              <w:rPr>
                <w:szCs w:val="21"/>
              </w:rPr>
              <w:t>专利</w:t>
            </w:r>
          </w:p>
        </w:tc>
        <w:tc>
          <w:tcPr>
            <w:tcW w:w="278" w:type="pct"/>
            <w:noWrap w:val="0"/>
            <w:vAlign w:val="center"/>
          </w:tcPr>
          <w:p>
            <w:pPr>
              <w:jc w:val="center"/>
              <w:rPr>
                <w:szCs w:val="21"/>
              </w:rPr>
            </w:pPr>
            <w:r>
              <w:rPr>
                <w:szCs w:val="21"/>
              </w:rPr>
              <w:t>2</w:t>
            </w:r>
          </w:p>
        </w:tc>
        <w:tc>
          <w:tcPr>
            <w:tcW w:w="3379" w:type="pct"/>
            <w:noWrap w:val="0"/>
            <w:vAlign w:val="center"/>
          </w:tcPr>
          <w:p>
            <w:pPr>
              <w:jc w:val="left"/>
              <w:rPr>
                <w:szCs w:val="21"/>
              </w:rPr>
            </w:pPr>
            <w:r>
              <w:rPr>
                <w:szCs w:val="21"/>
              </w:rPr>
              <w:t>投标人所投人脸识别系统的制造商（生产者）具有下列人脸识别相关发明专利：人脸关键点定位、人脸3D姿态识别、人脸搜索、人脸特征提取、人脸属性识别。每有1项得0.5分，最多得2分。</w:t>
            </w:r>
          </w:p>
          <w:p>
            <w:pPr>
              <w:jc w:val="left"/>
              <w:rPr>
                <w:szCs w:val="21"/>
              </w:rPr>
            </w:pPr>
            <w:r>
              <w:rPr>
                <w:szCs w:val="21"/>
              </w:rPr>
              <w:t>（须提供专利复印件，并加盖投标人公章，否则不得分。）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8" w:type="pct"/>
            <w:vMerge w:val="continue"/>
            <w:noWrap w:val="0"/>
            <w:vAlign w:val="center"/>
          </w:tcPr>
          <w:p>
            <w:pPr>
              <w:jc w:val="center"/>
              <w:rPr>
                <w:szCs w:val="21"/>
              </w:rPr>
            </w:pPr>
          </w:p>
        </w:tc>
        <w:tc>
          <w:tcPr>
            <w:tcW w:w="466" w:type="pct"/>
            <w:vMerge w:val="continue"/>
            <w:tcBorders>
              <w:bottom w:val="single" w:color="auto" w:sz="4" w:space="0"/>
            </w:tcBorders>
            <w:noWrap w:val="0"/>
            <w:vAlign w:val="center"/>
          </w:tcPr>
          <w:p>
            <w:pPr>
              <w:jc w:val="center"/>
              <w:rPr>
                <w:szCs w:val="21"/>
              </w:rPr>
            </w:pPr>
          </w:p>
        </w:tc>
        <w:tc>
          <w:tcPr>
            <w:tcW w:w="626" w:type="pct"/>
            <w:noWrap w:val="0"/>
            <w:vAlign w:val="center"/>
          </w:tcPr>
          <w:p>
            <w:pPr>
              <w:jc w:val="center"/>
              <w:rPr>
                <w:szCs w:val="21"/>
              </w:rPr>
            </w:pPr>
            <w:r>
              <w:rPr>
                <w:szCs w:val="21"/>
              </w:rPr>
              <w:t>软件</w:t>
            </w:r>
          </w:p>
          <w:p>
            <w:pPr>
              <w:jc w:val="center"/>
              <w:rPr>
                <w:szCs w:val="21"/>
              </w:rPr>
            </w:pPr>
            <w:r>
              <w:rPr>
                <w:szCs w:val="21"/>
              </w:rPr>
              <w:t>著作权</w:t>
            </w:r>
          </w:p>
        </w:tc>
        <w:tc>
          <w:tcPr>
            <w:tcW w:w="278" w:type="pct"/>
            <w:noWrap w:val="0"/>
            <w:vAlign w:val="center"/>
          </w:tcPr>
          <w:p>
            <w:pPr>
              <w:jc w:val="center"/>
              <w:rPr>
                <w:szCs w:val="21"/>
              </w:rPr>
            </w:pPr>
            <w:r>
              <w:rPr>
                <w:szCs w:val="21"/>
              </w:rPr>
              <w:t>2</w:t>
            </w:r>
          </w:p>
        </w:tc>
        <w:tc>
          <w:tcPr>
            <w:tcW w:w="3379" w:type="pct"/>
            <w:noWrap w:val="0"/>
            <w:vAlign w:val="center"/>
          </w:tcPr>
          <w:p>
            <w:pPr>
              <w:jc w:val="left"/>
              <w:rPr>
                <w:szCs w:val="21"/>
              </w:rPr>
            </w:pPr>
            <w:r>
              <w:rPr>
                <w:szCs w:val="21"/>
              </w:rPr>
              <w:t>投标人所投人脸识别系统的制造商（生产者）具有下列人脸识别相关软件著作权：人脸检测定位系统、人脸追踪系统、人像采集系统、海量人脸图像数据智能标注系统、人脸图片的自动标注系统、人脸属性分析系统。每有1份得0.5分，最多得2分。</w:t>
            </w:r>
          </w:p>
          <w:p>
            <w:pPr>
              <w:jc w:val="left"/>
              <w:rPr>
                <w:szCs w:val="21"/>
              </w:rPr>
            </w:pPr>
            <w:r>
              <w:rPr>
                <w:szCs w:val="21"/>
              </w:rPr>
              <w:t>（须提供软件著作权复印件，并加盖投标人公章，否则不得分）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248" w:type="pct"/>
            <w:noWrap w:val="0"/>
            <w:vAlign w:val="center"/>
          </w:tcPr>
          <w:p>
            <w:pPr>
              <w:jc w:val="center"/>
              <w:rPr>
                <w:szCs w:val="21"/>
              </w:rPr>
            </w:pPr>
            <w:r>
              <w:rPr>
                <w:rFonts w:hint="eastAsia"/>
                <w:szCs w:val="21"/>
              </w:rPr>
              <w:t>5</w:t>
            </w:r>
          </w:p>
        </w:tc>
        <w:tc>
          <w:tcPr>
            <w:tcW w:w="466" w:type="pct"/>
            <w:tcBorders>
              <w:top w:val="single" w:color="auto" w:sz="4" w:space="0"/>
            </w:tcBorders>
            <w:noWrap w:val="0"/>
            <w:vAlign w:val="center"/>
          </w:tcPr>
          <w:p>
            <w:pPr>
              <w:jc w:val="center"/>
              <w:rPr>
                <w:szCs w:val="21"/>
              </w:rPr>
            </w:pPr>
            <w:r>
              <w:rPr>
                <w:szCs w:val="21"/>
              </w:rPr>
              <w:t>软件</w:t>
            </w:r>
          </w:p>
          <w:p>
            <w:pPr>
              <w:jc w:val="center"/>
              <w:rPr>
                <w:szCs w:val="21"/>
              </w:rPr>
            </w:pPr>
            <w:r>
              <w:rPr>
                <w:szCs w:val="21"/>
              </w:rPr>
              <w:t>演示</w:t>
            </w:r>
          </w:p>
        </w:tc>
        <w:tc>
          <w:tcPr>
            <w:tcW w:w="626" w:type="pct"/>
            <w:noWrap w:val="0"/>
            <w:vAlign w:val="center"/>
          </w:tcPr>
          <w:p>
            <w:pPr>
              <w:jc w:val="center"/>
              <w:rPr>
                <w:szCs w:val="21"/>
              </w:rPr>
            </w:pPr>
            <w:r>
              <w:rPr>
                <w:szCs w:val="21"/>
              </w:rPr>
              <w:t>软件</w:t>
            </w:r>
          </w:p>
          <w:p>
            <w:pPr>
              <w:jc w:val="center"/>
              <w:rPr>
                <w:szCs w:val="21"/>
              </w:rPr>
            </w:pPr>
            <w:r>
              <w:rPr>
                <w:szCs w:val="21"/>
              </w:rPr>
              <w:t>演示</w:t>
            </w:r>
          </w:p>
        </w:tc>
        <w:tc>
          <w:tcPr>
            <w:tcW w:w="278" w:type="pct"/>
            <w:noWrap w:val="0"/>
            <w:vAlign w:val="center"/>
          </w:tcPr>
          <w:p>
            <w:pPr>
              <w:jc w:val="center"/>
              <w:rPr>
                <w:szCs w:val="21"/>
              </w:rPr>
            </w:pPr>
            <w:r>
              <w:rPr>
                <w:szCs w:val="21"/>
              </w:rPr>
              <w:t>6</w:t>
            </w:r>
          </w:p>
        </w:tc>
        <w:tc>
          <w:tcPr>
            <w:tcW w:w="3379" w:type="pct"/>
            <w:noWrap w:val="0"/>
            <w:vAlign w:val="center"/>
          </w:tcPr>
          <w:p>
            <w:pPr>
              <w:jc w:val="left"/>
              <w:rPr>
                <w:szCs w:val="21"/>
              </w:rPr>
            </w:pPr>
            <w:r>
              <w:rPr>
                <w:szCs w:val="21"/>
              </w:rPr>
              <w:t>由评标委员会根据开标现场演示结果当场计算得分（PPT演示，demo演示的不得分）。</w:t>
            </w:r>
            <w:r>
              <w:rPr>
                <w:szCs w:val="21"/>
              </w:rPr>
              <w:br w:type="textWrapping"/>
            </w:r>
            <w:r>
              <w:rPr>
                <w:szCs w:val="21"/>
              </w:rPr>
              <w:t>①支持人员全息档案展示，在一张画像上可展示居住信息、人员属性、异常行为、车辆、移动设备、衣服着装情况等多维度数据。（0-2分）</w:t>
            </w:r>
            <w:r>
              <w:rPr>
                <w:szCs w:val="21"/>
              </w:rPr>
              <w:br w:type="textWrapping"/>
            </w:r>
            <w:r>
              <w:rPr>
                <w:szCs w:val="21"/>
              </w:rPr>
              <w:t>②支持一人一档数据清洗功能，对现有底库照片进行模糊、重复多张等异常问题提示处理。（0-2分）</w:t>
            </w:r>
            <w:r>
              <w:rPr>
                <w:szCs w:val="21"/>
              </w:rPr>
              <w:br w:type="textWrapping"/>
            </w:r>
            <w:r>
              <w:rPr>
                <w:szCs w:val="21"/>
              </w:rPr>
              <w:t>③支持将一堆照片或一堆视频进行聚类，将同一个人的照片进行快速整理在聚类中，支持导出，每次导出一个人所有的抓拍图片。（0-2分）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248" w:type="pct"/>
            <w:noWrap/>
            <w:vAlign w:val="center"/>
          </w:tcPr>
          <w:p>
            <w:pPr>
              <w:jc w:val="center"/>
              <w:rPr>
                <w:szCs w:val="21"/>
              </w:rPr>
            </w:pPr>
            <w:r>
              <w:rPr>
                <w:szCs w:val="21"/>
              </w:rPr>
              <w:t>6</w:t>
            </w:r>
          </w:p>
        </w:tc>
        <w:tc>
          <w:tcPr>
            <w:tcW w:w="466" w:type="pct"/>
            <w:noWrap w:val="0"/>
            <w:vAlign w:val="center"/>
          </w:tcPr>
          <w:p>
            <w:pPr>
              <w:jc w:val="center"/>
              <w:rPr>
                <w:szCs w:val="21"/>
              </w:rPr>
            </w:pPr>
            <w:r>
              <w:rPr>
                <w:szCs w:val="21"/>
              </w:rPr>
              <w:t>项目</w:t>
            </w:r>
          </w:p>
          <w:p>
            <w:pPr>
              <w:jc w:val="center"/>
              <w:rPr>
                <w:szCs w:val="21"/>
              </w:rPr>
            </w:pPr>
            <w:r>
              <w:rPr>
                <w:szCs w:val="21"/>
              </w:rPr>
              <w:t>经验</w:t>
            </w:r>
          </w:p>
        </w:tc>
        <w:tc>
          <w:tcPr>
            <w:tcW w:w="626" w:type="pct"/>
            <w:noWrap w:val="0"/>
            <w:vAlign w:val="center"/>
          </w:tcPr>
          <w:p>
            <w:pPr>
              <w:jc w:val="center"/>
              <w:rPr>
                <w:szCs w:val="21"/>
              </w:rPr>
            </w:pPr>
            <w:r>
              <w:rPr>
                <w:szCs w:val="21"/>
              </w:rPr>
              <w:t>项目</w:t>
            </w:r>
          </w:p>
          <w:p>
            <w:pPr>
              <w:jc w:val="center"/>
              <w:rPr>
                <w:szCs w:val="21"/>
              </w:rPr>
            </w:pPr>
            <w:r>
              <w:rPr>
                <w:szCs w:val="21"/>
              </w:rPr>
              <w:t>经验</w:t>
            </w:r>
          </w:p>
        </w:tc>
        <w:tc>
          <w:tcPr>
            <w:tcW w:w="278" w:type="pct"/>
            <w:noWrap w:val="0"/>
            <w:vAlign w:val="center"/>
          </w:tcPr>
          <w:p>
            <w:pPr>
              <w:jc w:val="center"/>
              <w:rPr>
                <w:szCs w:val="21"/>
              </w:rPr>
            </w:pPr>
            <w:r>
              <w:rPr>
                <w:szCs w:val="21"/>
              </w:rPr>
              <w:t>5</w:t>
            </w:r>
          </w:p>
        </w:tc>
        <w:tc>
          <w:tcPr>
            <w:tcW w:w="3379" w:type="pct"/>
            <w:noWrap w:val="0"/>
            <w:vAlign w:val="center"/>
          </w:tcPr>
          <w:p>
            <w:pPr>
              <w:jc w:val="left"/>
              <w:rPr>
                <w:szCs w:val="21"/>
              </w:rPr>
            </w:pPr>
            <w:r>
              <w:rPr>
                <w:szCs w:val="21"/>
              </w:rPr>
              <w:t>公安监控领域，项目金额2000万元以上的，每提供一个得1分，最多得5分。</w:t>
            </w:r>
          </w:p>
          <w:p>
            <w:pPr>
              <w:jc w:val="left"/>
              <w:rPr>
                <w:szCs w:val="21"/>
              </w:rPr>
            </w:pPr>
            <w:r>
              <w:rPr>
                <w:szCs w:val="21"/>
              </w:rPr>
              <w:t>(提供2017年1月1日后合同复印件，原件备查，否则不得分)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248" w:type="pct"/>
            <w:noWrap/>
            <w:vAlign w:val="center"/>
          </w:tcPr>
          <w:p>
            <w:pPr>
              <w:jc w:val="center"/>
              <w:rPr>
                <w:szCs w:val="21"/>
              </w:rPr>
            </w:pPr>
            <w:r>
              <w:rPr>
                <w:szCs w:val="21"/>
              </w:rPr>
              <w:t>7</w:t>
            </w:r>
          </w:p>
        </w:tc>
        <w:tc>
          <w:tcPr>
            <w:tcW w:w="466" w:type="pct"/>
            <w:noWrap w:val="0"/>
            <w:vAlign w:val="center"/>
          </w:tcPr>
          <w:p>
            <w:pPr>
              <w:jc w:val="center"/>
              <w:rPr>
                <w:szCs w:val="21"/>
              </w:rPr>
            </w:pPr>
            <w:r>
              <w:rPr>
                <w:szCs w:val="21"/>
              </w:rPr>
              <w:t>有线</w:t>
            </w:r>
          </w:p>
          <w:p>
            <w:pPr>
              <w:jc w:val="center"/>
              <w:rPr>
                <w:szCs w:val="21"/>
              </w:rPr>
            </w:pPr>
            <w:r>
              <w:rPr>
                <w:szCs w:val="21"/>
              </w:rPr>
              <w:t>传输</w:t>
            </w:r>
          </w:p>
        </w:tc>
        <w:tc>
          <w:tcPr>
            <w:tcW w:w="626" w:type="pct"/>
            <w:noWrap w:val="0"/>
            <w:vAlign w:val="center"/>
          </w:tcPr>
          <w:p>
            <w:pPr>
              <w:jc w:val="center"/>
              <w:rPr>
                <w:szCs w:val="21"/>
              </w:rPr>
            </w:pPr>
            <w:r>
              <w:rPr>
                <w:szCs w:val="21"/>
              </w:rPr>
              <w:t>有线</w:t>
            </w:r>
          </w:p>
          <w:p>
            <w:pPr>
              <w:jc w:val="center"/>
              <w:rPr>
                <w:szCs w:val="21"/>
              </w:rPr>
            </w:pPr>
            <w:r>
              <w:rPr>
                <w:szCs w:val="21"/>
              </w:rPr>
              <w:t>网络</w:t>
            </w:r>
          </w:p>
        </w:tc>
        <w:tc>
          <w:tcPr>
            <w:tcW w:w="278" w:type="pct"/>
            <w:noWrap w:val="0"/>
            <w:vAlign w:val="center"/>
          </w:tcPr>
          <w:p>
            <w:pPr>
              <w:jc w:val="center"/>
              <w:rPr>
                <w:szCs w:val="21"/>
              </w:rPr>
            </w:pPr>
            <w:r>
              <w:rPr>
                <w:szCs w:val="21"/>
              </w:rPr>
              <w:t>3</w:t>
            </w:r>
          </w:p>
        </w:tc>
        <w:tc>
          <w:tcPr>
            <w:tcW w:w="3379" w:type="pct"/>
            <w:noWrap w:val="0"/>
            <w:vAlign w:val="center"/>
          </w:tcPr>
          <w:p>
            <w:pPr>
              <w:jc w:val="left"/>
              <w:rPr>
                <w:szCs w:val="21"/>
              </w:rPr>
            </w:pPr>
            <w:r>
              <w:rPr>
                <w:szCs w:val="21"/>
              </w:rPr>
              <w:t>本项目数据传输网络为运营商光纤网络，投标人具有自有线路（以提供基础电信业务经营许可证复印件加盖公章为准）的，得3分；不具备自有线路，提供与线路提供商的意向协议的（同时提供该意向线路供应商基础电信业务经营许可证复印件加盖公章），得1.5分；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248" w:type="pct"/>
            <w:noWrap/>
            <w:vAlign w:val="center"/>
          </w:tcPr>
          <w:p>
            <w:pPr>
              <w:jc w:val="center"/>
              <w:rPr>
                <w:szCs w:val="21"/>
              </w:rPr>
            </w:pPr>
            <w:r>
              <w:rPr>
                <w:szCs w:val="21"/>
              </w:rPr>
              <w:t>8</w:t>
            </w:r>
          </w:p>
        </w:tc>
        <w:tc>
          <w:tcPr>
            <w:tcW w:w="466" w:type="pct"/>
            <w:noWrap w:val="0"/>
            <w:vAlign w:val="center"/>
          </w:tcPr>
          <w:p>
            <w:pPr>
              <w:jc w:val="center"/>
              <w:rPr>
                <w:szCs w:val="21"/>
              </w:rPr>
            </w:pPr>
            <w:r>
              <w:rPr>
                <w:szCs w:val="21"/>
              </w:rPr>
              <w:t>无线</w:t>
            </w:r>
          </w:p>
          <w:p>
            <w:pPr>
              <w:jc w:val="center"/>
              <w:rPr>
                <w:szCs w:val="21"/>
              </w:rPr>
            </w:pPr>
            <w:r>
              <w:rPr>
                <w:szCs w:val="21"/>
              </w:rPr>
              <w:t>传输</w:t>
            </w:r>
          </w:p>
        </w:tc>
        <w:tc>
          <w:tcPr>
            <w:tcW w:w="626" w:type="pct"/>
            <w:noWrap w:val="0"/>
            <w:vAlign w:val="center"/>
          </w:tcPr>
          <w:p>
            <w:pPr>
              <w:jc w:val="center"/>
              <w:rPr>
                <w:szCs w:val="21"/>
              </w:rPr>
            </w:pPr>
            <w:r>
              <w:rPr>
                <w:szCs w:val="21"/>
              </w:rPr>
              <w:t>无线</w:t>
            </w:r>
          </w:p>
          <w:p>
            <w:pPr>
              <w:jc w:val="center"/>
              <w:rPr>
                <w:szCs w:val="21"/>
              </w:rPr>
            </w:pPr>
            <w:r>
              <w:rPr>
                <w:szCs w:val="21"/>
              </w:rPr>
              <w:t>网络</w:t>
            </w:r>
          </w:p>
        </w:tc>
        <w:tc>
          <w:tcPr>
            <w:tcW w:w="278" w:type="pct"/>
            <w:noWrap w:val="0"/>
            <w:vAlign w:val="center"/>
          </w:tcPr>
          <w:p>
            <w:pPr>
              <w:jc w:val="center"/>
              <w:rPr>
                <w:szCs w:val="21"/>
              </w:rPr>
            </w:pPr>
            <w:r>
              <w:rPr>
                <w:szCs w:val="21"/>
              </w:rPr>
              <w:t>5</w:t>
            </w:r>
          </w:p>
        </w:tc>
        <w:tc>
          <w:tcPr>
            <w:tcW w:w="3379" w:type="pct"/>
            <w:noWrap w:val="0"/>
            <w:vAlign w:val="center"/>
          </w:tcPr>
          <w:p>
            <w:pPr>
              <w:jc w:val="left"/>
              <w:rPr>
                <w:szCs w:val="21"/>
              </w:rPr>
            </w:pPr>
            <w:r>
              <w:rPr>
                <w:szCs w:val="21"/>
              </w:rPr>
              <w:t>本项目数据备用传输网络为运营商无线网络，根据投标人在新昌县区域内的无线网络覆盖情况，以基站数量为判定逻辑，按数量由高到低排名第一的得5分，排名第二的得2分，其余的得1分。</w:t>
            </w:r>
          </w:p>
          <w:p>
            <w:pPr>
              <w:jc w:val="left"/>
              <w:rPr>
                <w:szCs w:val="21"/>
              </w:rPr>
            </w:pPr>
            <w:r>
              <w:rPr>
                <w:szCs w:val="21"/>
              </w:rPr>
              <w:t>以投标人提供2020年3月运营商和中国铁塔公司绍兴分公司的基站租金结算依据为准（包括总结算确认单和具体的新昌县区域内物理站站址清单，并加盖投标人公章）。不提供证明的，不得分。</w:t>
            </w:r>
            <w:r>
              <w:rPr>
                <w:szCs w:val="21"/>
              </w:rPr>
              <w:br w:type="textWrapping"/>
            </w:r>
            <w:r>
              <w:rPr>
                <w:szCs w:val="21"/>
              </w:rPr>
              <w:t>若投标单位本身不具备无线传输资格，需要与通信运营商签订合作协议，并提供签约运营商的相关结算依据，要求同上。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48" w:type="pct"/>
            <w:vMerge w:val="restart"/>
            <w:noWrap/>
            <w:vAlign w:val="center"/>
          </w:tcPr>
          <w:p>
            <w:pPr>
              <w:jc w:val="center"/>
              <w:rPr>
                <w:szCs w:val="21"/>
              </w:rPr>
            </w:pPr>
            <w:r>
              <w:rPr>
                <w:szCs w:val="21"/>
              </w:rPr>
              <w:t>9</w:t>
            </w:r>
          </w:p>
        </w:tc>
        <w:tc>
          <w:tcPr>
            <w:tcW w:w="466" w:type="pct"/>
            <w:vMerge w:val="restart"/>
            <w:noWrap w:val="0"/>
            <w:vAlign w:val="center"/>
          </w:tcPr>
          <w:p>
            <w:pPr>
              <w:jc w:val="center"/>
              <w:rPr>
                <w:szCs w:val="21"/>
              </w:rPr>
            </w:pPr>
            <w:r>
              <w:rPr>
                <w:szCs w:val="21"/>
              </w:rPr>
              <w:t>售后</w:t>
            </w:r>
          </w:p>
          <w:p>
            <w:pPr>
              <w:jc w:val="center"/>
              <w:rPr>
                <w:szCs w:val="21"/>
              </w:rPr>
            </w:pPr>
            <w:r>
              <w:rPr>
                <w:szCs w:val="21"/>
              </w:rPr>
              <w:t>服务</w:t>
            </w:r>
          </w:p>
        </w:tc>
        <w:tc>
          <w:tcPr>
            <w:tcW w:w="626" w:type="pct"/>
            <w:noWrap w:val="0"/>
            <w:vAlign w:val="center"/>
          </w:tcPr>
          <w:p>
            <w:pPr>
              <w:jc w:val="center"/>
              <w:rPr>
                <w:szCs w:val="21"/>
              </w:rPr>
            </w:pPr>
            <w:r>
              <w:rPr>
                <w:szCs w:val="21"/>
              </w:rPr>
              <w:t>售后服务网点</w:t>
            </w:r>
          </w:p>
        </w:tc>
        <w:tc>
          <w:tcPr>
            <w:tcW w:w="278" w:type="pct"/>
            <w:noWrap w:val="0"/>
            <w:vAlign w:val="center"/>
          </w:tcPr>
          <w:p>
            <w:pPr>
              <w:jc w:val="center"/>
              <w:rPr>
                <w:szCs w:val="21"/>
              </w:rPr>
            </w:pPr>
            <w:r>
              <w:rPr>
                <w:szCs w:val="21"/>
              </w:rPr>
              <w:t>3</w:t>
            </w:r>
          </w:p>
        </w:tc>
        <w:tc>
          <w:tcPr>
            <w:tcW w:w="3379" w:type="pct"/>
            <w:noWrap w:val="0"/>
            <w:vAlign w:val="center"/>
          </w:tcPr>
          <w:p>
            <w:pPr>
              <w:jc w:val="left"/>
              <w:rPr>
                <w:szCs w:val="21"/>
              </w:rPr>
            </w:pPr>
            <w:r>
              <w:rPr>
                <w:szCs w:val="21"/>
              </w:rPr>
              <w:t>投标人售后服务网点设在新昌地区范围内的，提供的维修点位个数，每个得0.75分，最高得3分（提供相关营业执照复印件加盖公章、门牌照、联系电话和详细地址）。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48" w:type="pct"/>
            <w:vMerge w:val="continue"/>
            <w:noWrap/>
            <w:vAlign w:val="center"/>
          </w:tcPr>
          <w:p>
            <w:pPr>
              <w:jc w:val="center"/>
              <w:rPr>
                <w:szCs w:val="21"/>
              </w:rPr>
            </w:pPr>
          </w:p>
        </w:tc>
        <w:tc>
          <w:tcPr>
            <w:tcW w:w="466" w:type="pct"/>
            <w:vMerge w:val="continue"/>
            <w:noWrap w:val="0"/>
            <w:vAlign w:val="center"/>
          </w:tcPr>
          <w:p>
            <w:pPr>
              <w:jc w:val="center"/>
              <w:rPr>
                <w:szCs w:val="21"/>
              </w:rPr>
            </w:pPr>
          </w:p>
        </w:tc>
        <w:tc>
          <w:tcPr>
            <w:tcW w:w="626" w:type="pct"/>
            <w:noWrap w:val="0"/>
            <w:vAlign w:val="center"/>
          </w:tcPr>
          <w:p>
            <w:pPr>
              <w:jc w:val="center"/>
              <w:rPr>
                <w:szCs w:val="21"/>
              </w:rPr>
            </w:pPr>
            <w:r>
              <w:rPr>
                <w:szCs w:val="21"/>
              </w:rPr>
              <w:t>售后服务方案</w:t>
            </w:r>
          </w:p>
        </w:tc>
        <w:tc>
          <w:tcPr>
            <w:tcW w:w="278" w:type="pct"/>
            <w:noWrap w:val="0"/>
            <w:vAlign w:val="center"/>
          </w:tcPr>
          <w:p>
            <w:pPr>
              <w:jc w:val="center"/>
              <w:rPr>
                <w:szCs w:val="21"/>
              </w:rPr>
            </w:pPr>
            <w:r>
              <w:rPr>
                <w:szCs w:val="21"/>
              </w:rPr>
              <w:t>3</w:t>
            </w:r>
          </w:p>
        </w:tc>
        <w:tc>
          <w:tcPr>
            <w:tcW w:w="3379" w:type="pct"/>
            <w:noWrap w:val="0"/>
            <w:vAlign w:val="center"/>
          </w:tcPr>
          <w:p>
            <w:pPr>
              <w:jc w:val="left"/>
              <w:rPr>
                <w:szCs w:val="21"/>
              </w:rPr>
            </w:pPr>
            <w:r>
              <w:rPr>
                <w:szCs w:val="21"/>
              </w:rPr>
              <w:t>根据投标售后方案进行对比打分。（0-3分）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248" w:type="pct"/>
            <w:noWrap/>
            <w:vAlign w:val="center"/>
          </w:tcPr>
          <w:p>
            <w:pPr>
              <w:jc w:val="center"/>
              <w:rPr>
                <w:szCs w:val="21"/>
              </w:rPr>
            </w:pPr>
            <w:r>
              <w:rPr>
                <w:szCs w:val="21"/>
              </w:rPr>
              <w:t>10</w:t>
            </w:r>
          </w:p>
        </w:tc>
        <w:tc>
          <w:tcPr>
            <w:tcW w:w="466" w:type="pct"/>
            <w:noWrap w:val="0"/>
            <w:vAlign w:val="center"/>
          </w:tcPr>
          <w:p>
            <w:pPr>
              <w:jc w:val="center"/>
              <w:rPr>
                <w:szCs w:val="21"/>
              </w:rPr>
            </w:pPr>
            <w:r>
              <w:rPr>
                <w:szCs w:val="21"/>
              </w:rPr>
              <w:t>优惠</w:t>
            </w:r>
          </w:p>
          <w:p>
            <w:pPr>
              <w:jc w:val="center"/>
              <w:rPr>
                <w:szCs w:val="21"/>
              </w:rPr>
            </w:pPr>
            <w:r>
              <w:rPr>
                <w:szCs w:val="21"/>
              </w:rPr>
              <w:t>条件</w:t>
            </w:r>
          </w:p>
        </w:tc>
        <w:tc>
          <w:tcPr>
            <w:tcW w:w="626" w:type="pct"/>
            <w:noWrap w:val="0"/>
            <w:vAlign w:val="center"/>
          </w:tcPr>
          <w:p>
            <w:pPr>
              <w:jc w:val="center"/>
              <w:rPr>
                <w:szCs w:val="21"/>
              </w:rPr>
            </w:pPr>
            <w:r>
              <w:rPr>
                <w:szCs w:val="21"/>
              </w:rPr>
              <w:t>优惠</w:t>
            </w:r>
          </w:p>
          <w:p>
            <w:pPr>
              <w:jc w:val="center"/>
              <w:rPr>
                <w:szCs w:val="21"/>
              </w:rPr>
            </w:pPr>
            <w:r>
              <w:rPr>
                <w:szCs w:val="21"/>
              </w:rPr>
              <w:t>条件</w:t>
            </w:r>
          </w:p>
        </w:tc>
        <w:tc>
          <w:tcPr>
            <w:tcW w:w="278" w:type="pct"/>
            <w:noWrap w:val="0"/>
            <w:vAlign w:val="center"/>
          </w:tcPr>
          <w:p>
            <w:pPr>
              <w:jc w:val="center"/>
              <w:rPr>
                <w:szCs w:val="21"/>
              </w:rPr>
            </w:pPr>
            <w:r>
              <w:rPr>
                <w:szCs w:val="21"/>
              </w:rPr>
              <w:t>7</w:t>
            </w:r>
          </w:p>
        </w:tc>
        <w:tc>
          <w:tcPr>
            <w:tcW w:w="3379" w:type="pct"/>
            <w:noWrap w:val="0"/>
            <w:vAlign w:val="center"/>
          </w:tcPr>
          <w:p>
            <w:pPr>
              <w:widowControl/>
              <w:jc w:val="left"/>
              <w:rPr>
                <w:szCs w:val="21"/>
              </w:rPr>
            </w:pPr>
            <w:r>
              <w:rPr>
                <w:szCs w:val="21"/>
              </w:rPr>
              <w:t>①投标人针对本项目提供切实可行的优惠承诺的得3分，提供一般可行的优惠承诺的得1分，不提供不得分。（0-3分）</w:t>
            </w:r>
          </w:p>
          <w:p>
            <w:pPr>
              <w:jc w:val="left"/>
              <w:rPr>
                <w:szCs w:val="21"/>
              </w:rPr>
            </w:pPr>
            <w:r>
              <w:rPr>
                <w:szCs w:val="21"/>
              </w:rPr>
              <w:t>②能提供长驻采购人单位技术保障人员至少1名，得2分，不提供的不得分。（0-2分）（驻点人员需为投标人本单位或分支机构员工，投标时提供近六个月社保证明的复印件加盖投标人公章）</w:t>
            </w:r>
          </w:p>
          <w:p>
            <w:pPr>
              <w:jc w:val="left"/>
              <w:rPr>
                <w:szCs w:val="21"/>
              </w:rPr>
            </w:pPr>
            <w:r>
              <w:rPr>
                <w:szCs w:val="21"/>
              </w:rPr>
              <w:t>③针对招标文件中技术参数配置要求，指标每正偏离一项加0.2分，最多加2分。若发现有虚假应答的技术偏离项，则作无效标处理。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48" w:type="pct"/>
            <w:noWrap/>
            <w:vAlign w:val="center"/>
          </w:tcPr>
          <w:p>
            <w:pPr>
              <w:jc w:val="center"/>
              <w:rPr>
                <w:szCs w:val="21"/>
              </w:rPr>
            </w:pPr>
            <w:r>
              <w:rPr>
                <w:szCs w:val="21"/>
              </w:rPr>
              <w:t>11</w:t>
            </w:r>
          </w:p>
        </w:tc>
        <w:tc>
          <w:tcPr>
            <w:tcW w:w="466" w:type="pct"/>
            <w:noWrap w:val="0"/>
            <w:vAlign w:val="center"/>
          </w:tcPr>
          <w:p>
            <w:pPr>
              <w:jc w:val="center"/>
              <w:rPr>
                <w:szCs w:val="21"/>
              </w:rPr>
            </w:pPr>
            <w:r>
              <w:rPr>
                <w:szCs w:val="21"/>
              </w:rPr>
              <w:t>标书</w:t>
            </w:r>
          </w:p>
          <w:p>
            <w:pPr>
              <w:jc w:val="center"/>
              <w:rPr>
                <w:szCs w:val="21"/>
              </w:rPr>
            </w:pPr>
            <w:r>
              <w:rPr>
                <w:szCs w:val="21"/>
              </w:rPr>
              <w:t>制作</w:t>
            </w:r>
          </w:p>
        </w:tc>
        <w:tc>
          <w:tcPr>
            <w:tcW w:w="626" w:type="pct"/>
            <w:noWrap w:val="0"/>
            <w:vAlign w:val="center"/>
          </w:tcPr>
          <w:p>
            <w:pPr>
              <w:jc w:val="center"/>
              <w:rPr>
                <w:szCs w:val="21"/>
              </w:rPr>
            </w:pPr>
            <w:r>
              <w:rPr>
                <w:szCs w:val="21"/>
              </w:rPr>
              <w:t>标书</w:t>
            </w:r>
          </w:p>
          <w:p>
            <w:pPr>
              <w:jc w:val="center"/>
              <w:rPr>
                <w:szCs w:val="21"/>
              </w:rPr>
            </w:pPr>
            <w:r>
              <w:rPr>
                <w:szCs w:val="21"/>
              </w:rPr>
              <w:t>制作</w:t>
            </w:r>
          </w:p>
        </w:tc>
        <w:tc>
          <w:tcPr>
            <w:tcW w:w="278" w:type="pct"/>
            <w:noWrap/>
            <w:vAlign w:val="center"/>
          </w:tcPr>
          <w:p>
            <w:pPr>
              <w:jc w:val="center"/>
              <w:rPr>
                <w:szCs w:val="21"/>
              </w:rPr>
            </w:pPr>
            <w:r>
              <w:rPr>
                <w:szCs w:val="21"/>
              </w:rPr>
              <w:t>2</w:t>
            </w:r>
          </w:p>
        </w:tc>
        <w:tc>
          <w:tcPr>
            <w:tcW w:w="3379" w:type="pct"/>
            <w:noWrap w:val="0"/>
            <w:vAlign w:val="center"/>
          </w:tcPr>
          <w:p>
            <w:pPr>
              <w:jc w:val="left"/>
              <w:rPr>
                <w:szCs w:val="21"/>
              </w:rPr>
            </w:pPr>
            <w:r>
              <w:rPr>
                <w:szCs w:val="21"/>
              </w:rPr>
              <w:t>由评委对投标文件的响应程度进行分析，对投标文件内容是否完整、详尽，表述是否明确进行评分，0-2分。</w:t>
            </w:r>
          </w:p>
        </w:tc>
      </w:tr>
    </w:tbl>
    <w:p/>
    <w:p>
      <w:pPr>
        <w:adjustRightInd w:val="0"/>
        <w:snapToGrid w:val="0"/>
        <w:spacing w:line="360" w:lineRule="auto"/>
        <w:ind w:firstLine="422" w:firstLineChars="200"/>
        <w:rPr>
          <w:szCs w:val="21"/>
        </w:rPr>
      </w:pPr>
      <w:r>
        <w:rPr>
          <w:b/>
          <w:snapToGrid w:val="0"/>
          <w:kern w:val="0"/>
          <w:szCs w:val="21"/>
        </w:rPr>
        <w:t>（二）</w:t>
      </w:r>
      <w:r>
        <w:rPr>
          <w:b/>
          <w:szCs w:val="21"/>
        </w:rPr>
        <w:t>报价部分（满分30分）</w:t>
      </w:r>
    </w:p>
    <w:p>
      <w:pPr>
        <w:adjustRightInd w:val="0"/>
        <w:snapToGrid w:val="0"/>
        <w:spacing w:line="360" w:lineRule="auto"/>
        <w:ind w:firstLine="420" w:firstLineChars="200"/>
        <w:rPr>
          <w:szCs w:val="21"/>
        </w:rPr>
      </w:pPr>
      <w:r>
        <w:rPr>
          <w:szCs w:val="21"/>
        </w:rPr>
        <w:t>报价部分按综合评分细则对供应商的有效报价进行统一计算评分，由评标委员会按综合评分因素及标准要求集体判定评分。</w:t>
      </w:r>
    </w:p>
    <w:tbl>
      <w:tblPr>
        <w:tblStyle w:val="21"/>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83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97" w:type="pct"/>
            <w:noWrap w:val="0"/>
            <w:vAlign w:val="center"/>
          </w:tcPr>
          <w:p>
            <w:pPr>
              <w:jc w:val="center"/>
              <w:rPr>
                <w:b/>
                <w:szCs w:val="21"/>
              </w:rPr>
            </w:pPr>
            <w:r>
              <w:rPr>
                <w:b/>
                <w:szCs w:val="21"/>
              </w:rPr>
              <w:t>类别</w:t>
            </w:r>
          </w:p>
        </w:tc>
        <w:tc>
          <w:tcPr>
            <w:tcW w:w="4502" w:type="pct"/>
            <w:noWrap w:val="0"/>
            <w:vAlign w:val="center"/>
          </w:tcPr>
          <w:p>
            <w:pPr>
              <w:ind w:left="107" w:right="81" w:firstLine="420"/>
              <w:jc w:val="center"/>
              <w:rPr>
                <w:b/>
                <w:szCs w:val="21"/>
              </w:rPr>
            </w:pPr>
            <w:r>
              <w:rPr>
                <w:b/>
                <w:szCs w:val="21"/>
              </w:rPr>
              <w:t>评标细则及标准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vMerge w:val="restart"/>
            <w:noWrap w:val="0"/>
            <w:vAlign w:val="center"/>
          </w:tcPr>
          <w:p>
            <w:pPr>
              <w:spacing w:line="300" w:lineRule="auto"/>
              <w:jc w:val="center"/>
              <w:rPr>
                <w:b/>
                <w:szCs w:val="21"/>
              </w:rPr>
            </w:pPr>
            <w:r>
              <w:rPr>
                <w:b/>
                <w:szCs w:val="21"/>
              </w:rPr>
              <w:t>报价部分（30分）</w:t>
            </w:r>
          </w:p>
        </w:tc>
        <w:tc>
          <w:tcPr>
            <w:tcW w:w="4502" w:type="pct"/>
            <w:noWrap w:val="0"/>
            <w:vAlign w:val="center"/>
          </w:tcPr>
          <w:p>
            <w:pPr>
              <w:spacing w:line="312" w:lineRule="auto"/>
              <w:rPr>
                <w:szCs w:val="21"/>
              </w:rPr>
            </w:pPr>
            <w:r>
              <w:rPr>
                <w:szCs w:val="21"/>
              </w:rPr>
              <w:t>1、分析总报价及各个分项报价是否合理，报价范围是否完整，有否重大错漏项，评标委员会认为报价出现异常时，有权要求供应商在评审期间对报价的详细组成和响应设备的供应渠道等事项作出解释和澄清，并确认其报价是否有效。</w:t>
            </w:r>
          </w:p>
          <w:p>
            <w:pPr>
              <w:spacing w:line="312" w:lineRule="auto"/>
              <w:rPr>
                <w:szCs w:val="21"/>
              </w:rPr>
            </w:pPr>
            <w:r>
              <w:rPr>
                <w:szCs w:val="21"/>
              </w:rPr>
              <w:t>2、报价分计算方法：根据各供应商的有效投标报价，以满足招标文件要求且有效投标报价最低的投标价格为评标基准价，其价格分为满分，其他供应商的价格分统一按照下列公式计算：投标报价得分＝ (评标基准价/有效投标报价) × 30 (精确到小数点后二位) 。</w:t>
            </w:r>
          </w:p>
          <w:p>
            <w:pPr>
              <w:spacing w:line="312" w:lineRule="auto"/>
              <w:rPr>
                <w:szCs w:val="21"/>
              </w:rPr>
            </w:pPr>
            <w:r>
              <w:rPr>
                <w:szCs w:val="21"/>
              </w:rPr>
              <w:t>3、评标委员会在评审时发现供应商的报价明显高于其市场报价或低于成本价的，应当要求该供应商书面说明并提供相关证明材料。供应商不能合理说明原因并提供证明材料的，评审小组应将该供应商的采购响应文件做无效处理，并在评审报告中说明。</w:t>
            </w:r>
          </w:p>
          <w:p>
            <w:pPr>
              <w:spacing w:line="312" w:lineRule="auto"/>
              <w:rPr>
                <w:szCs w:val="21"/>
              </w:rPr>
            </w:pPr>
            <w:r>
              <w:rPr>
                <w:szCs w:val="21"/>
              </w:rPr>
              <w:t>采购人或采购代理机构应将上述情况报同级财政部门，对弄虚作假、恶意串通的供应商，应将其列入不良行为记录名单，在 1 至 3 年内禁止参加政府采购活动。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97" w:type="pct"/>
            <w:vMerge w:val="continue"/>
            <w:noWrap w:val="0"/>
            <w:vAlign w:val="center"/>
          </w:tcPr>
          <w:p>
            <w:pPr>
              <w:spacing w:line="300" w:lineRule="auto"/>
              <w:rPr>
                <w:szCs w:val="21"/>
              </w:rPr>
            </w:pPr>
          </w:p>
        </w:tc>
        <w:tc>
          <w:tcPr>
            <w:tcW w:w="4502" w:type="pct"/>
            <w:noWrap w:val="0"/>
            <w:vAlign w:val="center"/>
          </w:tcPr>
          <w:p>
            <w:pPr>
              <w:spacing w:line="312" w:lineRule="auto"/>
              <w:ind w:right="106"/>
              <w:rPr>
                <w:b/>
                <w:szCs w:val="21"/>
              </w:rPr>
            </w:pPr>
            <w:r>
              <w:rPr>
                <w:b/>
                <w:szCs w:val="21"/>
              </w:rPr>
              <w:t>特别说明：</w:t>
            </w:r>
          </w:p>
          <w:p>
            <w:pPr>
              <w:spacing w:line="312" w:lineRule="auto"/>
              <w:ind w:right="106"/>
              <w:rPr>
                <w:szCs w:val="21"/>
              </w:rPr>
            </w:pPr>
            <w:r>
              <w:rPr>
                <w:szCs w:val="21"/>
              </w:rPr>
              <w:t>1、根据《政府采购促进中小企业发展暂行办法》（财库[2011]181号）的规定，供应商为小型或微型企业且所投产品为小型或微型企业生产的，其评标价扣除6%后参与评审。</w:t>
            </w:r>
          </w:p>
          <w:p>
            <w:pPr>
              <w:spacing w:line="312" w:lineRule="auto"/>
              <w:ind w:right="106"/>
              <w:rPr>
                <w:szCs w:val="21"/>
              </w:rPr>
            </w:pPr>
            <w:r>
              <w:rPr>
                <w:szCs w:val="21"/>
              </w:rPr>
              <w:t>投标文件中须同时提供：供应商、投标产品制造商的小微企业证明（当地中小企业行政主管部门出具的中小企业资格确认意见书或者投标截止时间前7日内“国家企业信用信息公示系统—小微企业名录”页面查询结果），未提供完整证明材料的，报价不予扣减。</w:t>
            </w:r>
          </w:p>
          <w:p>
            <w:pPr>
              <w:spacing w:line="312" w:lineRule="auto"/>
              <w:ind w:right="106"/>
              <w:rPr>
                <w:szCs w:val="21"/>
              </w:rPr>
            </w:pPr>
            <w:r>
              <w:rPr>
                <w:szCs w:val="21"/>
              </w:rPr>
              <w:t>2、根据《关于政府采购支持监狱企业发展有关问题的通知》（财库[2014]68号）的规定，供应商如为监狱企业且所投产品为小型或微型企业生产的，其评标价扣除6%后参与评审。</w:t>
            </w:r>
          </w:p>
          <w:p>
            <w:pPr>
              <w:spacing w:line="312" w:lineRule="auto"/>
              <w:ind w:right="106"/>
              <w:rPr>
                <w:szCs w:val="21"/>
              </w:rPr>
            </w:pPr>
            <w:r>
              <w:rPr>
                <w:szCs w:val="21"/>
              </w:rPr>
              <w:t>投标文件中须同时提供：供应商的省级以上监狱管理局、戒毒管理局(含新疆生产建设兵团)出具的属于监狱企业的证明文件，投标产品制造商的小微企业证明（当地中小企业行政主管部门出具的中小企业资格确认意见书或者投标截止时间前7日内“国家企业信用信息公示系统—小微企业名录”页面查询结果），未提供完整证明材料的，报价不予扣减。</w:t>
            </w:r>
          </w:p>
          <w:p>
            <w:pPr>
              <w:spacing w:line="312" w:lineRule="auto"/>
              <w:ind w:right="106"/>
              <w:rPr>
                <w:szCs w:val="21"/>
              </w:rPr>
            </w:pPr>
            <w:r>
              <w:rPr>
                <w:szCs w:val="21"/>
              </w:rPr>
              <w:t>3、根据《财政部、民政部、中国残疾人联合会关于促进残疾人就业政府采购政策的通知》（财库〔2017〕141号）的规定，供应商如为符合条件的残疾人福利性单位，其报价扣除6%后参与评审。</w:t>
            </w:r>
          </w:p>
          <w:p>
            <w:pPr>
              <w:spacing w:line="312" w:lineRule="auto"/>
              <w:ind w:right="106"/>
              <w:rPr>
                <w:szCs w:val="21"/>
              </w:rPr>
            </w:pPr>
            <w:r>
              <w:rPr>
                <w:szCs w:val="21"/>
              </w:rPr>
              <w:t>投标文件中须出具《残疾人福利性单位声明函》，并对声明的真实性负责。未提供该声明函的，报价不予扣减。</w:t>
            </w:r>
          </w:p>
          <w:p>
            <w:pPr>
              <w:spacing w:line="312" w:lineRule="auto"/>
              <w:ind w:right="106"/>
              <w:rPr>
                <w:szCs w:val="21"/>
              </w:rPr>
            </w:pPr>
            <w:r>
              <w:rPr>
                <w:szCs w:val="21"/>
              </w:rPr>
              <w:t>享受政府采购支持政策的残疾人福利性单位应当同时满足以下条件：</w:t>
            </w:r>
          </w:p>
          <w:p>
            <w:pPr>
              <w:spacing w:line="312" w:lineRule="auto"/>
              <w:ind w:right="106"/>
              <w:rPr>
                <w:szCs w:val="21"/>
              </w:rPr>
            </w:pPr>
            <w:r>
              <w:rPr>
                <w:szCs w:val="21"/>
              </w:rPr>
              <w:t>（1）安置的残疾人占本单位在职职工人数的比例不低于25%（含25%），并且安置的残疾人人数不少于10人（含10人）；</w:t>
            </w:r>
          </w:p>
          <w:p>
            <w:pPr>
              <w:spacing w:line="312" w:lineRule="auto"/>
              <w:ind w:right="106"/>
              <w:rPr>
                <w:szCs w:val="21"/>
              </w:rPr>
            </w:pPr>
            <w:r>
              <w:rPr>
                <w:szCs w:val="21"/>
              </w:rPr>
              <w:t>（2）依法与安置的每位残疾人签订了一年以上（含一年）的劳动合同或服务协议；</w:t>
            </w:r>
          </w:p>
          <w:p>
            <w:pPr>
              <w:spacing w:line="312" w:lineRule="auto"/>
              <w:ind w:right="106"/>
              <w:rPr>
                <w:szCs w:val="21"/>
              </w:rPr>
            </w:pPr>
            <w:r>
              <w:rPr>
                <w:szCs w:val="21"/>
              </w:rPr>
              <w:t>（3）为安置的每位残疾人按月足额缴纳了基本养老保险、基本医疗保险、失业保险、工伤保险和生育保险等社会保险费；</w:t>
            </w:r>
          </w:p>
          <w:p>
            <w:pPr>
              <w:spacing w:line="312" w:lineRule="auto"/>
              <w:ind w:right="106"/>
              <w:rPr>
                <w:szCs w:val="21"/>
              </w:rPr>
            </w:pPr>
            <w:r>
              <w:rPr>
                <w:szCs w:val="21"/>
              </w:rPr>
              <w:t>（4）通过银行等金融机构向安置的每位残疾人，按月支付了不低于单位所在区县适用的经省级人民政府批准的月最低工资标准的工资；</w:t>
            </w:r>
          </w:p>
          <w:p>
            <w:pPr>
              <w:spacing w:line="312" w:lineRule="auto"/>
              <w:ind w:right="106"/>
              <w:rPr>
                <w:szCs w:val="21"/>
              </w:rPr>
            </w:pPr>
            <w:r>
              <w:rPr>
                <w:szCs w:val="21"/>
              </w:rPr>
              <w:t>（5）提供本单位制造的货物、承担的工程或者服务（以下简称产品），或者提供其他残疾人福利性单位制造的货物（不包括使用非残疾人福利性单位注册商标的货物）。</w:t>
            </w:r>
          </w:p>
          <w:p>
            <w:pPr>
              <w:spacing w:line="312" w:lineRule="auto"/>
              <w:ind w:right="106"/>
              <w:rPr>
                <w:szCs w:val="21"/>
              </w:rPr>
            </w:pPr>
            <w:r>
              <w:rPr>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12" w:lineRule="auto"/>
              <w:ind w:right="106"/>
              <w:rPr>
                <w:szCs w:val="21"/>
              </w:rPr>
            </w:pPr>
            <w:r>
              <w:rPr>
                <w:szCs w:val="21"/>
              </w:rPr>
              <w:t>中标人为残疾人福利性单位的，采购人或者其委托的采购代理机构应当随中标结果同时公告其《残疾人福利性单位声明函》，接受社会监督。</w:t>
            </w:r>
          </w:p>
        </w:tc>
      </w:tr>
    </w:tbl>
    <w:p>
      <w:pPr>
        <w:spacing w:before="120" w:beforeLines="50" w:line="360" w:lineRule="auto"/>
        <w:ind w:firstLine="424" w:firstLineChars="176"/>
        <w:outlineLvl w:val="1"/>
        <w:rPr>
          <w:b/>
          <w:sz w:val="24"/>
        </w:rPr>
      </w:pPr>
      <w:bookmarkStart w:id="78" w:name="_Toc9970"/>
      <w:r>
        <w:rPr>
          <w:b/>
          <w:sz w:val="24"/>
        </w:rPr>
        <w:t>五、其他</w:t>
      </w:r>
      <w:bookmarkEnd w:id="78"/>
    </w:p>
    <w:p>
      <w:pPr>
        <w:adjustRightInd w:val="0"/>
        <w:snapToGrid w:val="0"/>
        <w:spacing w:line="360" w:lineRule="auto"/>
        <w:ind w:firstLine="420" w:firstLineChars="200"/>
        <w:rPr>
          <w:szCs w:val="21"/>
        </w:rPr>
      </w:pPr>
      <w:r>
        <w:rPr>
          <w:szCs w:val="21"/>
        </w:rPr>
        <w:t>1、评分时保留小数点后1位小数，计算评分值时保留小数点后2位小数，供应商的各项评审得分取所有评标专家打分的平均值，得分计算均按照四舍五入保留2位小数。由评标委员会当场统一计算。</w:t>
      </w:r>
    </w:p>
    <w:p>
      <w:pPr>
        <w:adjustRightInd w:val="0"/>
        <w:snapToGrid w:val="0"/>
        <w:spacing w:line="360" w:lineRule="auto"/>
        <w:ind w:firstLine="420" w:firstLineChars="200"/>
        <w:rPr>
          <w:szCs w:val="21"/>
        </w:rPr>
      </w:pPr>
      <w:r>
        <w:rPr>
          <w:szCs w:val="21"/>
        </w:rPr>
        <w:t>2、报价是中标的一个重要因素，但最低报价不是中标的唯一依据。</w:t>
      </w:r>
      <w:bookmarkEnd w:id="31"/>
      <w:bookmarkEnd w:id="32"/>
      <w:bookmarkEnd w:id="58"/>
    </w:p>
    <w:sectPr>
      <w:footerReference r:id="rId16" w:type="default"/>
      <w:pgSz w:w="11906" w:h="16838"/>
      <w:pgMar w:top="1418" w:right="1418" w:bottom="1134" w:left="1418" w:header="851" w:footer="680" w:gutter="0"/>
      <w:pgNumType w:fmt="decimalFullWidt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C0306464-0C2E-40BF-BB4D-F767E8F5957F}"/>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Futura Bk">
    <w:altName w:val="Times New Roman"/>
    <w:panose1 w:val="00000000000000000000"/>
    <w:charset w:val="00"/>
    <w:family w:val="auto"/>
    <w:pitch w:val="default"/>
    <w:sig w:usb0="00000000" w:usb1="00000000" w:usb2="00000000" w:usb3="00000000" w:csb0="000001FB"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00" w:usb3="00000000" w:csb0="00040001" w:csb1="00000000"/>
    <w:embedRegular r:id="rId2" w:fontKey="{8E5C4115-41E3-4A59-AAED-FE2E86EE9710}"/>
  </w:font>
  <w:font w:name="方正兰亭黑简体">
    <w:altName w:val="黑体"/>
    <w:panose1 w:val="02000000000000000000"/>
    <w:charset w:val="86"/>
    <w:family w:val="auto"/>
    <w:pitch w:val="default"/>
    <w:sig w:usb0="00000000" w:usb1="00000000" w:usb2="00000012" w:usb3="00000000" w:csb0="00040001" w:csb1="00000000"/>
    <w:embedRegular r:id="rId3" w:fontKey="{E53E88FF-6FB1-4C21-A86B-D972E6BF0B03}"/>
  </w:font>
  <w:font w:name="方正大黑简体">
    <w:altName w:val="黑体"/>
    <w:panose1 w:val="02000000000000000000"/>
    <w:charset w:val="86"/>
    <w:family w:val="auto"/>
    <w:pitch w:val="default"/>
    <w:sig w:usb0="00000000" w:usb1="00000000" w:usb2="00000012" w:usb3="00000000" w:csb0="00040001" w:csb1="00000000"/>
    <w:embedRegular r:id="rId4" w:fontKey="{42DE8D42-594B-4A31-804F-ECD2D7CF0B26}"/>
  </w:font>
  <w:font w:name="新宋体">
    <w:panose1 w:val="02010609030101010101"/>
    <w:charset w:val="86"/>
    <w:family w:val="modern"/>
    <w:pitch w:val="default"/>
    <w:sig w:usb0="00000203" w:usb1="288F0000" w:usb2="00000006" w:usb3="00000000" w:csb0="00040001" w:csb1="00000000"/>
    <w:embedRegular r:id="rId5" w:fontKey="{7CCB8F60-1CFF-4F69-82C3-33EC47CCA195}"/>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5"/>
      </w:rPr>
    </w:pPr>
    <w:r>
      <w:fldChar w:fldCharType="begin"/>
    </w:r>
    <w:r>
      <w:rPr>
        <w:rStyle w:val="25"/>
      </w:rPr>
      <w:instrText xml:space="preserve">PAGE  </w:instrText>
    </w:r>
    <w:r>
      <w:fldChar w:fldCharType="end"/>
    </w:r>
  </w:p>
  <w:p>
    <w:pPr>
      <w:pStyle w:val="13"/>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rFonts w:hint="eastAsia"/>
                              <w:b/>
                              <w:bCs/>
                            </w:rPr>
                            <w:t>８６</w:t>
                          </w:r>
                          <w:r>
                            <w:rPr>
                              <w:b/>
                              <w:bCs/>
                              <w:sz w:val="24"/>
                              <w:szCs w:val="24"/>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JXxwCskBAACZAwAADgAAAGRycy9lMm9Eb2MueG1srVPNjtMwEL4j8Q6W 79TZClAVNV2BqkVICJCWfQDXsRtL/pPHbdIXgDfgxIU7z9XnYOwkXdi97GEvznhm/M1830zW14M1 5CgjaO8aerWoKJFO+Fa7fUPvvt28WlECibuWG+9kQ08S6PXm5Yt1H2q59J03rYwEQRzUfWhol1Ko GQPRScth4YN0GFQ+Wp7wGvesjbxHdGvYsqrest7HNkQvJAB6t2OQTojxKYBeKS3k1ouDlS6NqFEa npASdDoA3ZRulZIifVEKZCKmocg0lROLoL3LJ9useb2PPHRaTC3wp7TwgJPl2mHRC9SWJ04OUT+C slpED16lhfCWjUSKIsjiqnqgzW3HgyxcUGoIF9Hh+WDF5+PXSHTb0DeUOG5x4OefP86//px/fyev szx9gBqzbgPmpeG9H3BpZj+gM7MeVLT5i3wIxlHc00VcOSQi8qPVcrWqMCQwNl8Qn90/DxHSB+kt yUZDI06viMqPnyCNqXNKrub8jTamTNC4/xyImT0s9z72mK007IaJ0M63J+TT4+Ab6nDPKTEfHeqa d2Q24mzsZuMQot53ZYlyPQjvDgmbKL3lCiPsVBgnVthN25VX4t97ybr/ozZ/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lfHAKyQEAAJkDAAAOAAAAAAAAAAEAIAAAAB4BAABkcnMvZTJvRG9j LnhtbFBLBQYAAAAABgAGAFkBAABZBQAAAAA= ">
              <v:fill on="f" focussize="0,0"/>
              <v:stroke on="f"/>
              <v:imagedata o:title=""/>
              <o:lock v:ext="edit" aspectratio="f"/>
              <v:textbox inset="0mm,0mm,0mm,0mm" style="mso-fit-shape-to-text:t;">
                <w:txbx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rFonts w:hint="eastAsia"/>
                        <w:b/>
                        <w:bCs/>
                      </w:rPr>
                      <w:t>８６</w:t>
                    </w:r>
                    <w:r>
                      <w:rPr>
                        <w:b/>
                        <w:bCs/>
                        <w:sz w:val="24"/>
                        <w:szCs w:val="24"/>
                      </w:rPr>
                      <w:fldChar w:fldCharType="end"/>
                    </w:r>
                  </w:p>
                </w:txbxContent>
              </v:textbox>
            </v:shape>
          </w:pict>
        </mc:Fallback>
      </mc:AlternateContent>
    </w:r>
  </w:p>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I</w:t>
                          </w:r>
                          <w:r>
                            <w:rPr>
                              <w:b/>
                              <w:bCs/>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5KL+z8gBAACZAwAADgAAAGRycy9lMm9Eb2MueG1srVPNjtMwEL4j8Q6W 79RpD6iKmq4WVYuQECAtPIDr2I0l/8njNukLwBtw4sKd5+pzMHaS7rJc9rAXZzwz/ma+byabm8Ea cpIRtHcNXS4qSqQTvtXu0NBvX+/erCmBxF3LjXeyoWcJ9Gb7+tWmD7Vc+c6bVkaCIA7qPjS0SynU jIHopOWw8EE6DCofLU94jQfWRt4jujVsVVVvWe9jG6IXEgC9uzFIJ8T4HECvlBZy58XRSpdG1CgN T0gJOh2Abku3SkmRPisFMhHTUGSayolF0N7nk203vD5EHjotphb4c1p4wsly7bDoFWrHEyfHqP+D slpED16lhfCWjUSKIshiWT3R5r7jQRYuKDWEq+jwcrDi0+lLJLrFTaDEcYsDv/z8cfn15/L7O1lm efoANWbdB8xLwzs/5NTJD+jMrAcVbf4iH4JxFPd8FVcOiYj8aL1arysMCYzNF8RhD89DhPReekuy 0dCI0yui8tNHSGPqnJKrOX+njUE/r437x4GY2cNy72OP2UrDfpga3/v2jHx6HHxDHe45JeaDQ13z jsxGnI39bBxD1IeuLFGuB+H2mLCJ0luuMMJOhXFihd20XXklHt9L1sMftf0L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OSi/s/IAQAAmQMAAA4AAAAAAAAAAQAgAAAAHgEAAGRycy9lMm9Eb2Mu eG1sUEsFBgAAAAAGAAYAWQEAAFgFAAAAAA== ">
              <v:fill on="f" focussize="0,0"/>
              <v:stroke on="f"/>
              <v:imagedata o:title=""/>
              <o:lock v:ext="edit" aspectratio="f"/>
              <v:textbox inset="0mm,0mm,0mm,0mm" style="mso-fit-shape-to-text:t;">
                <w:txbx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I</w:t>
                    </w:r>
                    <w:r>
                      <w:rPr>
                        <w:b/>
                        <w:bCs/>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85</w:t>
    </w:r>
    <w:r>
      <w:rPr>
        <w:b/>
        <w:bCs/>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9Aknl8cBAACZAwAADgAAAGRycy9lMm9Eb2MueG1srVPNjtMwEL4j8Q6W 79TZHFAVNV2BqkVICJAWHsB17MaS/+Rxm/QF4A04ceHOc/U5GDtJd1kue+DijGfG38z3zWRzO1pD TjKC9q6lN6uKEumE77Q7tPTrl7tXa0ogcddx451s6VkCvd2+fLEZQiNr33vTyUgQxEEzhJb2KYWG MRC9tBxWPkiHQeWj5Qmv8cC6yAdEt4bVVfWaDT52IXohAdC7m4J0RozPAfRKaSF3XhytdGlCjdLw hJSg1wHotnSrlBTpk1IgEzEtRaapnFgE7X0+2XbDm0PkoddiboE/p4UnnCzXDoteoXY8cXKM+h8o q0X04FVaCW/ZRKQogixuqifa3Pc8yMIFpYZwFR3+H6z4ePocie5aWlPiuMWBX358v/z8ffn1jdRZ niFAg1n3AfPS+NaPuDSLH9CZWY8q2vxFPgTjKO75Kq4cExH50bperysMCYwtF8RnD89DhPROekuy 0dKI0yui8tMHSFPqkpKrOX+njSkTNO4vB2JmD8u9Tz1mK437cSa0990Z+Qw4+JY63HNKzHuHuuYd WYy4GPvFOIaoD31ZolwPwptjwiZKb7nCBDsXxokVdvN25ZV4fC9ZD3/U9g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OqXm5zwAAAAUBAAAPAAAAAAAAAAEAIAAAACIAAABkcnMvZG93bnJldi54bWxQ SwECFAAUAAAACACHTuJA9Aknl8cBAACZAwAADgAAAAAAAAABACAAAAAeAQAAZHJzL2Uyb0RvYy54 bWxQSwUGAAAAAAYABgBZAQAAVwUAAAAA ">
              <v:fill on="f" focussize="0,0"/>
              <v:stroke on="f"/>
              <v:imagedata o:title=""/>
              <o:lock v:ext="edit" aspectratio="f"/>
              <v:textbox inset="0mm,0mm,0mm,0mm" style="mso-fit-shape-to-text:t;">
                <w:txbx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5"/>
      </w:rPr>
    </w:pPr>
    <w:r>
      <w:fldChar w:fldCharType="begin"/>
    </w:r>
    <w:r>
      <w:rPr>
        <w:rStyle w:val="25"/>
      </w:rPr>
      <w:instrText xml:space="preserve">PAGE  </w:instrText>
    </w:r>
    <w:r>
      <w:fldChar w:fldCharType="separate"/>
    </w:r>
    <w:r>
      <w:rPr>
        <w:rStyle w:val="25"/>
      </w:rPr>
      <w:t>18</w:t>
    </w:r>
    <w:r>
      <w:fldChar w:fldCharType="end"/>
    </w:r>
  </w:p>
  <w:p>
    <w:pPr>
      <w:pStyle w:val="1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5"/>
      </w:rPr>
    </w:pPr>
    <w:r>
      <w:fldChar w:fldCharType="begin"/>
    </w:r>
    <w:r>
      <w:rPr>
        <w:rStyle w:val="25"/>
      </w:rPr>
      <w:instrText xml:space="preserve">PAGE  </w:instrText>
    </w:r>
    <w:r>
      <w:fldChar w:fldCharType="separate"/>
    </w:r>
    <w:r>
      <w:rPr>
        <w:rStyle w:val="25"/>
      </w:rPr>
      <w:t>18</w:t>
    </w:r>
    <w:r>
      <w:fldChar w:fldCharType="end"/>
    </w:r>
  </w:p>
  <w:p>
    <w:pPr>
      <w:pStyle w:val="13"/>
      <w:ind w:right="360"/>
      <w:jc w:val="center"/>
      <w:rPr>
        <w:rFonts w:hint="eastAsia" w:ascii="仿宋_GB2312" w:eastAsia="仿宋_GB2312"/>
      </w:rPr>
    </w:pPr>
    <w:r>
      <w:rPr>
        <w:rFonts w:hint="eastAsia" w:ascii="仿宋_GB2312" w:eastAsia="仿宋_GB2312"/>
        <w:kern w:val="0"/>
        <w:szCs w:val="21"/>
      </w:rPr>
      <w:t xml:space="preserve">第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rPr>
                              <w:lang w:val="zh-CN"/>
                            </w:rPr>
                            <w:t xml:space="preserve"> </w:t>
                          </w:r>
                          <w:r>
                            <w:rPr>
                              <w:rFonts w:hint="eastAsia" w:ascii="宋体" w:hAnsi="宋体" w:cs="宋体"/>
                              <w:b/>
                              <w:bCs/>
                              <w:sz w:val="21"/>
                              <w:szCs w:val="21"/>
                            </w:rPr>
                            <w:fldChar w:fldCharType="begin"/>
                          </w:r>
                          <w:r>
                            <w:rPr>
                              <w:rFonts w:hint="eastAsia" w:ascii="宋体" w:hAnsi="宋体" w:cs="宋体"/>
                              <w:b/>
                              <w:bCs/>
                              <w:sz w:val="21"/>
                              <w:szCs w:val="21"/>
                            </w:rPr>
                            <w:instrText xml:space="preserve">PAGE</w:instrText>
                          </w:r>
                          <w:r>
                            <w:rPr>
                              <w:rFonts w:hint="eastAsia" w:ascii="宋体" w:hAnsi="宋体" w:cs="宋体"/>
                              <w:b/>
                              <w:bCs/>
                              <w:sz w:val="21"/>
                              <w:szCs w:val="21"/>
                            </w:rPr>
                            <w:fldChar w:fldCharType="separate"/>
                          </w:r>
                          <w:r>
                            <w:rPr>
                              <w:rFonts w:hint="eastAsia" w:ascii="宋体" w:hAnsi="宋体" w:cs="宋体"/>
                              <w:b/>
                              <w:bCs/>
                              <w:sz w:val="21"/>
                              <w:szCs w:val="21"/>
                            </w:rPr>
                            <w:t>９</w:t>
                          </w:r>
                          <w:r>
                            <w:rPr>
                              <w:rFonts w:hint="eastAsia" w:ascii="宋体" w:hAnsi="宋体" w:cs="宋体"/>
                              <w:b/>
                              <w:bCs/>
                              <w:sz w:val="21"/>
                              <w:szCs w:val="21"/>
                            </w:rPr>
                            <w:fldChar w:fldCharType="end"/>
                          </w:r>
                          <w:r>
                            <w:rPr>
                              <w:lang w:val="zh-CN"/>
                            </w:rPr>
                            <w:t xml:space="preserve"> </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N10PZMkBAACZAwAADgAAAGRycy9lMm9Eb2MueG1srVPNjtMwEL4j8Q6W 79TZSqyqqOlqUbUICQHSwgO4jt1Y8p88bpO+ALwBJy7cea4+B2Mn6S7LZQ97ccYz42/m+2ayvhms IUcZQXvX0KtFRYl0wrfa7Rv67evdmxUlkLhrufFONvQkgd5sXr9a96GWS99508pIEMRB3YeGdimF mjEQnbQcFj5Ih0Hlo+UJr3HP2sh7RLeGLavqmvU+tiF6IQHQux2DdEKMzwH0Smkht14crHRpRI3S 8ISUoNMB6KZ0q5QU6bNSIBMxDUWmqZxYBO1dPtlmzet95KHTYmqBP6eFJ5ws1w6LXqC2PHFyiPo/ KKtF9OBVWghv2UikKIIsrqon2tx3PMjCBaWGcBEdXg5WfDp+iUS3Db2mxHGLAz///HH+9ef8+zt5 m+XpA9SYdR8wLw3v/IBLM/sBnZn1oKLNX+RDMI7ini7iyiERkR+tlqtVhSGBsfmC+OzheYiQ3ktv STYaGnF6RVR+/AhpTJ1TcjXn77QxZYLG/eNAzOxhufexx2ylYTdMhHa+PSGfHgffUId7Ton54FDX vCOzEWdjNxuHEPW+K0uU60G4PSRsovSWK4ywU2GcWGE3bVdeicf3kvXwR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3XQ9kyQEAAJkDAAAOAAAAAAAAAAEAIAAAAB4BAABkcnMvZTJvRG9j LnhtbFBLBQYAAAAABgAGAFkBAABZBQAAAAA= ">
              <v:fill on="f" focussize="0,0"/>
              <v:stroke on="f"/>
              <v:imagedata o:title=""/>
              <o:lock v:ext="edit" aspectratio="f"/>
              <v:textbox inset="0mm,0mm,0mm,0mm" style="mso-fit-shape-to-text:t;">
                <w:txbxContent>
                  <w:p>
                    <w:pPr>
                      <w:pStyle w:val="13"/>
                      <w:jc w:val="center"/>
                    </w:pPr>
                    <w:r>
                      <w:rPr>
                        <w:lang w:val="zh-CN"/>
                      </w:rPr>
                      <w:t xml:space="preserve"> </w:t>
                    </w:r>
                    <w:r>
                      <w:rPr>
                        <w:rFonts w:hint="eastAsia" w:ascii="宋体" w:hAnsi="宋体" w:cs="宋体"/>
                        <w:b/>
                        <w:bCs/>
                        <w:sz w:val="21"/>
                        <w:szCs w:val="21"/>
                      </w:rPr>
                      <w:fldChar w:fldCharType="begin"/>
                    </w:r>
                    <w:r>
                      <w:rPr>
                        <w:rFonts w:hint="eastAsia" w:ascii="宋体" w:hAnsi="宋体" w:cs="宋体"/>
                        <w:b/>
                        <w:bCs/>
                        <w:sz w:val="21"/>
                        <w:szCs w:val="21"/>
                      </w:rPr>
                      <w:instrText xml:space="preserve">PAGE</w:instrText>
                    </w:r>
                    <w:r>
                      <w:rPr>
                        <w:rFonts w:hint="eastAsia" w:ascii="宋体" w:hAnsi="宋体" w:cs="宋体"/>
                        <w:b/>
                        <w:bCs/>
                        <w:sz w:val="21"/>
                        <w:szCs w:val="21"/>
                      </w:rPr>
                      <w:fldChar w:fldCharType="separate"/>
                    </w:r>
                    <w:r>
                      <w:rPr>
                        <w:rFonts w:hint="eastAsia" w:ascii="宋体" w:hAnsi="宋体" w:cs="宋体"/>
                        <w:b/>
                        <w:bCs/>
                        <w:sz w:val="21"/>
                        <w:szCs w:val="21"/>
                      </w:rPr>
                      <w:t>９</w:t>
                    </w:r>
                    <w:r>
                      <w:rPr>
                        <w:rFonts w:hint="eastAsia" w:ascii="宋体" w:hAnsi="宋体" w:cs="宋体"/>
                        <w:b/>
                        <w:bCs/>
                        <w:sz w:val="21"/>
                        <w:szCs w:val="21"/>
                      </w:rPr>
                      <w:fldChar w:fldCharType="end"/>
                    </w:r>
                    <w:r>
                      <w:rPr>
                        <w:lang w:val="zh-CN"/>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rPr>
                              <w:lang w:val="zh-CN"/>
                            </w:rPr>
                            <w:t xml:space="preserve"> </w:t>
                          </w:r>
                          <w:r>
                            <w:rPr>
                              <w:b/>
                              <w:bCs/>
                              <w:sz w:val="21"/>
                              <w:szCs w:val="21"/>
                            </w:rPr>
                            <w:fldChar w:fldCharType="begin"/>
                          </w:r>
                          <w:r>
                            <w:rPr>
                              <w:b/>
                              <w:bCs/>
                              <w:sz w:val="21"/>
                              <w:szCs w:val="21"/>
                            </w:rPr>
                            <w:instrText xml:space="preserve">PAGE</w:instrText>
                          </w:r>
                          <w:r>
                            <w:rPr>
                              <w:b/>
                              <w:bCs/>
                              <w:sz w:val="21"/>
                              <w:szCs w:val="21"/>
                            </w:rPr>
                            <w:fldChar w:fldCharType="separate"/>
                          </w:r>
                          <w:r>
                            <w:rPr>
                              <w:rFonts w:hint="eastAsia"/>
                              <w:b/>
                              <w:bCs/>
                              <w:sz w:val="21"/>
                              <w:szCs w:val="21"/>
                            </w:rPr>
                            <w:t>２０</w:t>
                          </w:r>
                          <w:r>
                            <w:rPr>
                              <w:b/>
                              <w:bCs/>
                              <w:sz w:val="21"/>
                              <w:szCs w:val="21"/>
                            </w:rPr>
                            <w:fldChar w:fldCharType="end"/>
                          </w:r>
                          <w:r>
                            <w:rPr>
                              <w:lang w:val="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G+QoMkBAACZAwAADgAAAGRycy9lMm9Eb2MueG1srVPNjtMwEL4j8Q6W 79TZroSqqOlqUbUICQHSwgO4jt1Y8p88bpO+ALwBJy7cea4+B2Mn6S7LZQ97ccYz42/m+2ayvhms IUcZQXvX0KtFRYl0wrfa7Rv67evdmxUlkLhrufFONvQkgd5sXr9a96GWS99508pIEMRB3YeGdimF mjEQnbQcFj5Ih0Hlo+UJr3HP2sh7RLeGLavqLet9bEP0QgKgdzsG6YQYnwPoldJCbr04WOnSiBql 4QkpQacD0E3pVikp0melQCZiGopMUzmxCNq7fLLNmtf7yEOnxdQCf04LTzhZrh0WvUBteeLkEPV/ UFaL6MGrtBDespFIUQRZXFVPtLnveJCFC0oN4SI6vBys+HT8EoluG3pNieMWB37++eP868/593dy neXpA9SYdR8wLw3v/IBLM/sBnZn1oKLNX+RDMI7ini7iyiERkR+tlqtVhSGBsfmC+OzheYiQ3ktv STYaGnF6RVR+/AhpTJ1TcjXn77QxZYLG/eNAzOxhufexx2ylYTdMhHa+PSGfHgffUId7Ton54FDX vCOzEWdjNxuHEPW+K0uU60G4PSRsovSWK4ywU2GcWGE3bVdeicf3kvXwR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Eb5CgyQEAAJkDAAAOAAAAAAAAAAEAIAAAAB4BAABkcnMvZTJvRG9j LnhtbFBLBQYAAAAABgAGAFkBAABZBQAAAAA= ">
              <v:fill on="f" focussize="0,0"/>
              <v:stroke on="f"/>
              <v:imagedata o:title=""/>
              <o:lock v:ext="edit" aspectratio="f"/>
              <v:textbox inset="0mm,0mm,0mm,0mm" style="mso-fit-shape-to-text:t;">
                <w:txbxContent>
                  <w:p>
                    <w:pPr>
                      <w:pStyle w:val="13"/>
                      <w:jc w:val="center"/>
                    </w:pPr>
                    <w:r>
                      <w:rPr>
                        <w:lang w:val="zh-CN"/>
                      </w:rPr>
                      <w:t xml:space="preserve"> </w:t>
                    </w:r>
                    <w:r>
                      <w:rPr>
                        <w:b/>
                        <w:bCs/>
                        <w:sz w:val="21"/>
                        <w:szCs w:val="21"/>
                      </w:rPr>
                      <w:fldChar w:fldCharType="begin"/>
                    </w:r>
                    <w:r>
                      <w:rPr>
                        <w:b/>
                        <w:bCs/>
                        <w:sz w:val="21"/>
                        <w:szCs w:val="21"/>
                      </w:rPr>
                      <w:instrText xml:space="preserve">PAGE</w:instrText>
                    </w:r>
                    <w:r>
                      <w:rPr>
                        <w:b/>
                        <w:bCs/>
                        <w:sz w:val="21"/>
                        <w:szCs w:val="21"/>
                      </w:rPr>
                      <w:fldChar w:fldCharType="separate"/>
                    </w:r>
                    <w:r>
                      <w:rPr>
                        <w:rFonts w:hint="eastAsia"/>
                        <w:b/>
                        <w:bCs/>
                        <w:sz w:val="21"/>
                        <w:szCs w:val="21"/>
                      </w:rPr>
                      <w:t>２０</w:t>
                    </w:r>
                    <w:r>
                      <w:rPr>
                        <w:b/>
                        <w:bCs/>
                        <w:sz w:val="21"/>
                        <w:szCs w:val="21"/>
                      </w:rPr>
                      <w:fldChar w:fldCharType="end"/>
                    </w:r>
                    <w:r>
                      <w:rPr>
                        <w:lang w:val="zh-CN"/>
                      </w:rPr>
                      <w:t xml:space="preserve"> </w:t>
                    </w:r>
                  </w:p>
                </w:txbxContent>
              </v:textbox>
            </v:shape>
          </w:pict>
        </mc:Fallback>
      </mc:AlternateContent>
    </w:r>
  </w:p>
  <w:p>
    <w:pPr>
      <w:pStyle w:val="9"/>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rFonts w:hint="eastAsia"/>
                              <w:b/>
                              <w:bCs/>
                            </w:rPr>
                            <w:t>７９</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87</w:t>
                          </w:r>
                          <w:r>
                            <w:rPr>
                              <w:b/>
                              <w:bCs/>
                              <w:sz w:val="24"/>
                              <w:szCs w:val="24"/>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1tUyEMkBAACZAwAADgAAAGRycy9lMm9Eb2MueG1srVPNjtMwEL4j8Q6W 79TZCq2qqOlqUbUICQHSwgO4jt1Y8p88bpO+ALwBJy7cea4+B2Mn6S7LZQ97ccYz42/m+2ayvhms IUcZQXvX0KtFRYl0wrfa7Rv67evdmxUlkLhrufFONvQkgd5sXr9a96GWS99508pIEMRB3YeGdimF mjEQnbQcFj5Ih0Hlo+UJr3HP2sh7RLeGLavqmvU+tiF6IQHQux2DdEKMzwH0Smkht14crHRpRI3S 8ISUoNMB6KZ0q5QU6bNSIBMxDUWmqZxYBO1dPtlmzet95KHTYmqBP6eFJ5ws1w6LXqC2PHFyiPo/ KKtF9OBVWghv2UikKIIsrqon2tx3PMjCBaWGcBEdXg5WfDp+iUS3DX1LieMWB37++eP868/593dy neXpA9SYdR8wLw3v/IBLM/sBnZn1oKLNX+RDMI7ini7iyiERkR+tlqtVhSGBsfmC+OzheYiQ3ktv STYaGnF6RVR+/AhpTJ1TcjXn77QxZYLG/eNAzOxhufexx2ylYTdMhHa+PSGfHgffUId7Ton54FDX vCOzEWdjNxuHEPW+K0uU60G4PSRsovSWK4ywU2GcWGE3bVdeicf3kvXwR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W1TIQyQEAAJkDAAAOAAAAAAAAAAEAIAAAAB4BAABkcnMvZTJvRG9j LnhtbFBLBQYAAAAABgAGAFkBAABZBQAAAAA= ">
              <v:fill on="f" focussize="0,0"/>
              <v:stroke on="f"/>
              <v:imagedata o:title=""/>
              <o:lock v:ext="edit" aspectratio="f"/>
              <v:textbox inset="0mm,0mm,0mm,0mm" style="mso-fit-shape-to-text:t;">
                <w:txbx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rFonts w:hint="eastAsia"/>
                        <w:b/>
                        <w:bCs/>
                      </w:rPr>
                      <w:t>７９</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87</w:t>
                    </w:r>
                    <w:r>
                      <w:rPr>
                        <w:b/>
                        <w:bCs/>
                        <w:sz w:val="24"/>
                        <w:szCs w:val="24"/>
                      </w:rPr>
                      <w:fldChar w:fldCharType="end"/>
                    </w:r>
                  </w:p>
                </w:txbxContent>
              </v:textbox>
            </v:shape>
          </w:pict>
        </mc:Fallback>
      </mc:AlternateConten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ascii="仿宋_GB2312" w:eastAsia="仿宋_GB2312"/>
        <w:i/>
        <w:iCs/>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8560D7"/>
    <w:multiLevelType w:val="singleLevel"/>
    <w:tmpl w:val="FB8560D7"/>
    <w:lvl w:ilvl="0" w:tentative="0">
      <w:start w:val="2"/>
      <w:numFmt w:val="chineseCounting"/>
      <w:suff w:val="nothing"/>
      <w:lvlText w:val="%1、"/>
      <w:lvlJc w:val="left"/>
      <w:rPr>
        <w:rFonts w:hint="eastAsia"/>
      </w:rPr>
    </w:lvl>
  </w:abstractNum>
  <w:abstractNum w:abstractNumId="1">
    <w:nsid w:val="02BA5832"/>
    <w:multiLevelType w:val="multilevel"/>
    <w:tmpl w:val="02BA583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A405B3"/>
    <w:multiLevelType w:val="multilevel"/>
    <w:tmpl w:val="05A405B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6617466"/>
    <w:multiLevelType w:val="multilevel"/>
    <w:tmpl w:val="06617466"/>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0B6466"/>
    <w:multiLevelType w:val="multilevel"/>
    <w:tmpl w:val="0E0B6466"/>
    <w:lvl w:ilvl="0" w:tentative="0">
      <w:start w:val="1"/>
      <w:numFmt w:val="chineseCountingThousand"/>
      <w:lvlText w:val="(%1)"/>
      <w:lvlJc w:val="left"/>
      <w:pPr>
        <w:ind w:left="864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1BE015C7"/>
    <w:multiLevelType w:val="multilevel"/>
    <w:tmpl w:val="1BE015C7"/>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FAF38EB"/>
    <w:multiLevelType w:val="multilevel"/>
    <w:tmpl w:val="1FAF38EB"/>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BA16D7C"/>
    <w:multiLevelType w:val="multilevel"/>
    <w:tmpl w:val="2BA16D7C"/>
    <w:lvl w:ilvl="0" w:tentative="0">
      <w:start w:val="1"/>
      <w:numFmt w:val="chineseCountingThousand"/>
      <w:lvlText w:val="(%1)"/>
      <w:lvlJc w:val="left"/>
      <w:pPr>
        <w:ind w:left="56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0780BCA"/>
    <w:multiLevelType w:val="multilevel"/>
    <w:tmpl w:val="40780BCA"/>
    <w:lvl w:ilvl="0" w:tentative="0">
      <w:start w:val="1"/>
      <w:numFmt w:val="decimalEnclosedCircle"/>
      <w:lvlText w:val="%1"/>
      <w:lvlJc w:val="left"/>
      <w:pPr>
        <w:ind w:left="835" w:hanging="360"/>
      </w:pPr>
      <w:rPr>
        <w:rFonts w:hint="default" w:ascii="宋体" w:hAnsi="宋体" w:cs="宋体"/>
      </w:rPr>
    </w:lvl>
    <w:lvl w:ilvl="1" w:tentative="0">
      <w:start w:val="1"/>
      <w:numFmt w:val="lowerLetter"/>
      <w:lvlText w:val="%2)"/>
      <w:lvlJc w:val="left"/>
      <w:pPr>
        <w:ind w:left="1315" w:hanging="420"/>
      </w:pPr>
    </w:lvl>
    <w:lvl w:ilvl="2" w:tentative="0">
      <w:start w:val="1"/>
      <w:numFmt w:val="lowerRoman"/>
      <w:lvlText w:val="%3."/>
      <w:lvlJc w:val="right"/>
      <w:pPr>
        <w:ind w:left="1735" w:hanging="420"/>
      </w:pPr>
    </w:lvl>
    <w:lvl w:ilvl="3" w:tentative="0">
      <w:start w:val="1"/>
      <w:numFmt w:val="decimal"/>
      <w:lvlText w:val="%4."/>
      <w:lvlJc w:val="left"/>
      <w:pPr>
        <w:ind w:left="2155" w:hanging="420"/>
      </w:pPr>
    </w:lvl>
    <w:lvl w:ilvl="4" w:tentative="0">
      <w:start w:val="1"/>
      <w:numFmt w:val="lowerLetter"/>
      <w:lvlText w:val="%5)"/>
      <w:lvlJc w:val="left"/>
      <w:pPr>
        <w:ind w:left="2575" w:hanging="420"/>
      </w:pPr>
    </w:lvl>
    <w:lvl w:ilvl="5" w:tentative="0">
      <w:start w:val="1"/>
      <w:numFmt w:val="lowerRoman"/>
      <w:lvlText w:val="%6."/>
      <w:lvlJc w:val="right"/>
      <w:pPr>
        <w:ind w:left="2995" w:hanging="420"/>
      </w:pPr>
    </w:lvl>
    <w:lvl w:ilvl="6" w:tentative="0">
      <w:start w:val="1"/>
      <w:numFmt w:val="decimal"/>
      <w:lvlText w:val="%7."/>
      <w:lvlJc w:val="left"/>
      <w:pPr>
        <w:ind w:left="3415" w:hanging="420"/>
      </w:pPr>
    </w:lvl>
    <w:lvl w:ilvl="7" w:tentative="0">
      <w:start w:val="1"/>
      <w:numFmt w:val="lowerLetter"/>
      <w:lvlText w:val="%8)"/>
      <w:lvlJc w:val="left"/>
      <w:pPr>
        <w:ind w:left="3835" w:hanging="420"/>
      </w:pPr>
    </w:lvl>
    <w:lvl w:ilvl="8" w:tentative="0">
      <w:start w:val="1"/>
      <w:numFmt w:val="lowerRoman"/>
      <w:lvlText w:val="%9."/>
      <w:lvlJc w:val="right"/>
      <w:pPr>
        <w:ind w:left="4255" w:hanging="420"/>
      </w:pPr>
    </w:lvl>
  </w:abstractNum>
  <w:abstractNum w:abstractNumId="10">
    <w:nsid w:val="469623D4"/>
    <w:multiLevelType w:val="multilevel"/>
    <w:tmpl w:val="469623D4"/>
    <w:lvl w:ilvl="0" w:tentative="0">
      <w:start w:val="1"/>
      <w:numFmt w:val="decimalEnclosedCircle"/>
      <w:lvlText w:val="%1"/>
      <w:lvlJc w:val="left"/>
      <w:pPr>
        <w:ind w:left="835" w:hanging="360"/>
      </w:pPr>
      <w:rPr>
        <w:rFonts w:hint="default" w:ascii="宋体" w:hAnsi="宋体" w:cs="宋体"/>
      </w:rPr>
    </w:lvl>
    <w:lvl w:ilvl="1" w:tentative="0">
      <w:start w:val="1"/>
      <w:numFmt w:val="lowerLetter"/>
      <w:lvlText w:val="%2)"/>
      <w:lvlJc w:val="left"/>
      <w:pPr>
        <w:ind w:left="1315" w:hanging="420"/>
      </w:pPr>
    </w:lvl>
    <w:lvl w:ilvl="2" w:tentative="0">
      <w:start w:val="1"/>
      <w:numFmt w:val="lowerRoman"/>
      <w:lvlText w:val="%3."/>
      <w:lvlJc w:val="right"/>
      <w:pPr>
        <w:ind w:left="1735" w:hanging="420"/>
      </w:pPr>
    </w:lvl>
    <w:lvl w:ilvl="3" w:tentative="0">
      <w:start w:val="1"/>
      <w:numFmt w:val="decimal"/>
      <w:lvlText w:val="%4."/>
      <w:lvlJc w:val="left"/>
      <w:pPr>
        <w:ind w:left="2155" w:hanging="420"/>
      </w:pPr>
    </w:lvl>
    <w:lvl w:ilvl="4" w:tentative="0">
      <w:start w:val="1"/>
      <w:numFmt w:val="lowerLetter"/>
      <w:lvlText w:val="%5)"/>
      <w:lvlJc w:val="left"/>
      <w:pPr>
        <w:ind w:left="2575" w:hanging="420"/>
      </w:pPr>
    </w:lvl>
    <w:lvl w:ilvl="5" w:tentative="0">
      <w:start w:val="1"/>
      <w:numFmt w:val="lowerRoman"/>
      <w:lvlText w:val="%6."/>
      <w:lvlJc w:val="right"/>
      <w:pPr>
        <w:ind w:left="2995" w:hanging="420"/>
      </w:pPr>
    </w:lvl>
    <w:lvl w:ilvl="6" w:tentative="0">
      <w:start w:val="1"/>
      <w:numFmt w:val="decimal"/>
      <w:lvlText w:val="%7."/>
      <w:lvlJc w:val="left"/>
      <w:pPr>
        <w:ind w:left="3415" w:hanging="420"/>
      </w:pPr>
    </w:lvl>
    <w:lvl w:ilvl="7" w:tentative="0">
      <w:start w:val="1"/>
      <w:numFmt w:val="lowerLetter"/>
      <w:lvlText w:val="%8)"/>
      <w:lvlJc w:val="left"/>
      <w:pPr>
        <w:ind w:left="3835" w:hanging="420"/>
      </w:pPr>
    </w:lvl>
    <w:lvl w:ilvl="8" w:tentative="0">
      <w:start w:val="1"/>
      <w:numFmt w:val="lowerRoman"/>
      <w:lvlText w:val="%9."/>
      <w:lvlJc w:val="right"/>
      <w:pPr>
        <w:ind w:left="4255" w:hanging="420"/>
      </w:pPr>
    </w:lvl>
  </w:abstractNum>
  <w:abstractNum w:abstractNumId="11">
    <w:nsid w:val="475F5B3C"/>
    <w:multiLevelType w:val="multilevel"/>
    <w:tmpl w:val="475F5B3C"/>
    <w:lvl w:ilvl="0" w:tentative="0">
      <w:start w:val="1"/>
      <w:numFmt w:val="decimalEnclosedCircle"/>
      <w:lvlText w:val="%1"/>
      <w:lvlJc w:val="left"/>
      <w:pPr>
        <w:ind w:left="835" w:hanging="360"/>
      </w:pPr>
      <w:rPr>
        <w:rFonts w:hint="default" w:ascii="宋体" w:hAnsi="宋体" w:cs="宋体"/>
      </w:rPr>
    </w:lvl>
    <w:lvl w:ilvl="1" w:tentative="0">
      <w:start w:val="1"/>
      <w:numFmt w:val="lowerLetter"/>
      <w:lvlText w:val="%2)"/>
      <w:lvlJc w:val="left"/>
      <w:pPr>
        <w:ind w:left="1315" w:hanging="420"/>
      </w:pPr>
    </w:lvl>
    <w:lvl w:ilvl="2" w:tentative="0">
      <w:start w:val="1"/>
      <w:numFmt w:val="lowerRoman"/>
      <w:lvlText w:val="%3."/>
      <w:lvlJc w:val="right"/>
      <w:pPr>
        <w:ind w:left="1735" w:hanging="420"/>
      </w:pPr>
    </w:lvl>
    <w:lvl w:ilvl="3" w:tentative="0">
      <w:start w:val="1"/>
      <w:numFmt w:val="decimal"/>
      <w:lvlText w:val="%4."/>
      <w:lvlJc w:val="left"/>
      <w:pPr>
        <w:ind w:left="2155" w:hanging="420"/>
      </w:pPr>
    </w:lvl>
    <w:lvl w:ilvl="4" w:tentative="0">
      <w:start w:val="1"/>
      <w:numFmt w:val="lowerLetter"/>
      <w:lvlText w:val="%5)"/>
      <w:lvlJc w:val="left"/>
      <w:pPr>
        <w:ind w:left="2575" w:hanging="420"/>
      </w:pPr>
    </w:lvl>
    <w:lvl w:ilvl="5" w:tentative="0">
      <w:start w:val="1"/>
      <w:numFmt w:val="lowerRoman"/>
      <w:lvlText w:val="%6."/>
      <w:lvlJc w:val="right"/>
      <w:pPr>
        <w:ind w:left="2995" w:hanging="420"/>
      </w:pPr>
    </w:lvl>
    <w:lvl w:ilvl="6" w:tentative="0">
      <w:start w:val="1"/>
      <w:numFmt w:val="decimal"/>
      <w:lvlText w:val="%7."/>
      <w:lvlJc w:val="left"/>
      <w:pPr>
        <w:ind w:left="3415" w:hanging="420"/>
      </w:pPr>
    </w:lvl>
    <w:lvl w:ilvl="7" w:tentative="0">
      <w:start w:val="1"/>
      <w:numFmt w:val="lowerLetter"/>
      <w:lvlText w:val="%8)"/>
      <w:lvlJc w:val="left"/>
      <w:pPr>
        <w:ind w:left="3835" w:hanging="420"/>
      </w:pPr>
    </w:lvl>
    <w:lvl w:ilvl="8" w:tentative="0">
      <w:start w:val="1"/>
      <w:numFmt w:val="lowerRoman"/>
      <w:lvlText w:val="%9."/>
      <w:lvlJc w:val="right"/>
      <w:pPr>
        <w:ind w:left="4255" w:hanging="420"/>
      </w:pPr>
    </w:lvl>
  </w:abstractNum>
  <w:abstractNum w:abstractNumId="12">
    <w:nsid w:val="4E6E177C"/>
    <w:multiLevelType w:val="multilevel"/>
    <w:tmpl w:val="4E6E177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1145CA"/>
    <w:multiLevelType w:val="multilevel"/>
    <w:tmpl w:val="541145CA"/>
    <w:lvl w:ilvl="0" w:tentative="0">
      <w:start w:val="1"/>
      <w:numFmt w:val="decimalEnclosedCircle"/>
      <w:lvlText w:val="%1"/>
      <w:lvlJc w:val="left"/>
      <w:pPr>
        <w:ind w:left="835" w:hanging="360"/>
      </w:pPr>
      <w:rPr>
        <w:rFonts w:hint="default" w:ascii="宋体" w:hAnsi="宋体" w:cs="宋体"/>
      </w:rPr>
    </w:lvl>
    <w:lvl w:ilvl="1" w:tentative="0">
      <w:start w:val="1"/>
      <w:numFmt w:val="lowerLetter"/>
      <w:lvlText w:val="%2)"/>
      <w:lvlJc w:val="left"/>
      <w:pPr>
        <w:ind w:left="1315" w:hanging="420"/>
      </w:pPr>
    </w:lvl>
    <w:lvl w:ilvl="2" w:tentative="0">
      <w:start w:val="1"/>
      <w:numFmt w:val="lowerRoman"/>
      <w:lvlText w:val="%3."/>
      <w:lvlJc w:val="right"/>
      <w:pPr>
        <w:ind w:left="1735" w:hanging="420"/>
      </w:pPr>
    </w:lvl>
    <w:lvl w:ilvl="3" w:tentative="0">
      <w:start w:val="1"/>
      <w:numFmt w:val="decimal"/>
      <w:lvlText w:val="%4."/>
      <w:lvlJc w:val="left"/>
      <w:pPr>
        <w:ind w:left="2155" w:hanging="420"/>
      </w:pPr>
    </w:lvl>
    <w:lvl w:ilvl="4" w:tentative="0">
      <w:start w:val="1"/>
      <w:numFmt w:val="lowerLetter"/>
      <w:lvlText w:val="%5)"/>
      <w:lvlJc w:val="left"/>
      <w:pPr>
        <w:ind w:left="2575" w:hanging="420"/>
      </w:pPr>
    </w:lvl>
    <w:lvl w:ilvl="5" w:tentative="0">
      <w:start w:val="1"/>
      <w:numFmt w:val="lowerRoman"/>
      <w:lvlText w:val="%6."/>
      <w:lvlJc w:val="right"/>
      <w:pPr>
        <w:ind w:left="2995" w:hanging="420"/>
      </w:pPr>
    </w:lvl>
    <w:lvl w:ilvl="6" w:tentative="0">
      <w:start w:val="1"/>
      <w:numFmt w:val="decimal"/>
      <w:lvlText w:val="%7."/>
      <w:lvlJc w:val="left"/>
      <w:pPr>
        <w:ind w:left="3415" w:hanging="420"/>
      </w:pPr>
    </w:lvl>
    <w:lvl w:ilvl="7" w:tentative="0">
      <w:start w:val="1"/>
      <w:numFmt w:val="lowerLetter"/>
      <w:lvlText w:val="%8)"/>
      <w:lvlJc w:val="left"/>
      <w:pPr>
        <w:ind w:left="3835" w:hanging="420"/>
      </w:pPr>
    </w:lvl>
    <w:lvl w:ilvl="8" w:tentative="0">
      <w:start w:val="1"/>
      <w:numFmt w:val="lowerRoman"/>
      <w:lvlText w:val="%9."/>
      <w:lvlJc w:val="right"/>
      <w:pPr>
        <w:ind w:left="4255" w:hanging="420"/>
      </w:pPr>
    </w:lvl>
  </w:abstractNum>
  <w:abstractNum w:abstractNumId="14">
    <w:nsid w:val="602AA4B5"/>
    <w:multiLevelType w:val="singleLevel"/>
    <w:tmpl w:val="602AA4B5"/>
    <w:lvl w:ilvl="0" w:tentative="0">
      <w:start w:val="5"/>
      <w:numFmt w:val="decimal"/>
      <w:suff w:val="nothing"/>
      <w:lvlText w:val="%1、"/>
      <w:lvlJc w:val="left"/>
    </w:lvl>
  </w:abstractNum>
  <w:abstractNum w:abstractNumId="15">
    <w:nsid w:val="78AE7AF5"/>
    <w:multiLevelType w:val="multilevel"/>
    <w:tmpl w:val="78AE7AF5"/>
    <w:lvl w:ilvl="0" w:tentative="0">
      <w:start w:val="1"/>
      <w:numFmt w:val="chineseCountingThousand"/>
      <w:lvlText w:val="(%1)"/>
      <w:lvlJc w:val="left"/>
      <w:pPr>
        <w:ind w:left="420" w:hanging="420"/>
      </w:p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11"/>
  </w:num>
  <w:num w:numId="4">
    <w:abstractNumId w:val="10"/>
  </w:num>
  <w:num w:numId="5">
    <w:abstractNumId w:val="9"/>
  </w:num>
  <w:num w:numId="6">
    <w:abstractNumId w:val="13"/>
  </w:num>
  <w:num w:numId="7">
    <w:abstractNumId w:val="14"/>
  </w:num>
  <w:num w:numId="8">
    <w:abstractNumId w:val="0"/>
  </w:num>
  <w:num w:numId="9">
    <w:abstractNumId w:val="15"/>
  </w:num>
  <w:num w:numId="10">
    <w:abstractNumId w:val="1"/>
  </w:num>
  <w:num w:numId="11">
    <w:abstractNumId w:val="6"/>
  </w:num>
  <w:num w:numId="12">
    <w:abstractNumId w:val="8"/>
  </w:num>
  <w:num w:numId="13">
    <w:abstractNumId w:val="4"/>
  </w:num>
  <w:num w:numId="14">
    <w:abstractNumId w:val="1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A17B7"/>
    <w:rsid w:val="00001BE0"/>
    <w:rsid w:val="00007062"/>
    <w:rsid w:val="00011889"/>
    <w:rsid w:val="0001227A"/>
    <w:rsid w:val="000134A4"/>
    <w:rsid w:val="00013D30"/>
    <w:rsid w:val="0001670F"/>
    <w:rsid w:val="00017071"/>
    <w:rsid w:val="000172F6"/>
    <w:rsid w:val="00017B54"/>
    <w:rsid w:val="0002025B"/>
    <w:rsid w:val="00023566"/>
    <w:rsid w:val="0002570E"/>
    <w:rsid w:val="00030C27"/>
    <w:rsid w:val="0003140F"/>
    <w:rsid w:val="00031912"/>
    <w:rsid w:val="0003481C"/>
    <w:rsid w:val="00036658"/>
    <w:rsid w:val="0004015F"/>
    <w:rsid w:val="000412E3"/>
    <w:rsid w:val="00042105"/>
    <w:rsid w:val="00043D5C"/>
    <w:rsid w:val="00044177"/>
    <w:rsid w:val="00044226"/>
    <w:rsid w:val="0004437F"/>
    <w:rsid w:val="00050183"/>
    <w:rsid w:val="0005020A"/>
    <w:rsid w:val="00052313"/>
    <w:rsid w:val="0005405C"/>
    <w:rsid w:val="000603F2"/>
    <w:rsid w:val="00060D88"/>
    <w:rsid w:val="00064A92"/>
    <w:rsid w:val="00065E21"/>
    <w:rsid w:val="000664E2"/>
    <w:rsid w:val="0007020F"/>
    <w:rsid w:val="00070DFF"/>
    <w:rsid w:val="000716C7"/>
    <w:rsid w:val="00071C88"/>
    <w:rsid w:val="000764F8"/>
    <w:rsid w:val="00076E40"/>
    <w:rsid w:val="00076E52"/>
    <w:rsid w:val="00084382"/>
    <w:rsid w:val="00084680"/>
    <w:rsid w:val="0008476E"/>
    <w:rsid w:val="000856C3"/>
    <w:rsid w:val="00086DFE"/>
    <w:rsid w:val="00091D19"/>
    <w:rsid w:val="00092804"/>
    <w:rsid w:val="000930A5"/>
    <w:rsid w:val="000932BA"/>
    <w:rsid w:val="000935CF"/>
    <w:rsid w:val="000943F2"/>
    <w:rsid w:val="0009443A"/>
    <w:rsid w:val="00094545"/>
    <w:rsid w:val="00095449"/>
    <w:rsid w:val="000963BF"/>
    <w:rsid w:val="00097240"/>
    <w:rsid w:val="00097E3C"/>
    <w:rsid w:val="000A0BEA"/>
    <w:rsid w:val="000A140A"/>
    <w:rsid w:val="000A1F37"/>
    <w:rsid w:val="000A2D75"/>
    <w:rsid w:val="000A3742"/>
    <w:rsid w:val="000A4B60"/>
    <w:rsid w:val="000A53DC"/>
    <w:rsid w:val="000A691B"/>
    <w:rsid w:val="000B0317"/>
    <w:rsid w:val="000B07AE"/>
    <w:rsid w:val="000B439E"/>
    <w:rsid w:val="000B6543"/>
    <w:rsid w:val="000C3707"/>
    <w:rsid w:val="000C47A2"/>
    <w:rsid w:val="000C6698"/>
    <w:rsid w:val="000C794F"/>
    <w:rsid w:val="000D0E24"/>
    <w:rsid w:val="000D2342"/>
    <w:rsid w:val="000D27F1"/>
    <w:rsid w:val="000D4C6B"/>
    <w:rsid w:val="000D4D07"/>
    <w:rsid w:val="000D5CE5"/>
    <w:rsid w:val="000D79CF"/>
    <w:rsid w:val="000E0BB2"/>
    <w:rsid w:val="000E2D85"/>
    <w:rsid w:val="000E41AD"/>
    <w:rsid w:val="000E7448"/>
    <w:rsid w:val="000F0139"/>
    <w:rsid w:val="000F05BF"/>
    <w:rsid w:val="000F126D"/>
    <w:rsid w:val="000F27B0"/>
    <w:rsid w:val="000F2DC0"/>
    <w:rsid w:val="000F33C2"/>
    <w:rsid w:val="000F3428"/>
    <w:rsid w:val="000F4775"/>
    <w:rsid w:val="000F4CB3"/>
    <w:rsid w:val="001018CE"/>
    <w:rsid w:val="00102FC5"/>
    <w:rsid w:val="00104608"/>
    <w:rsid w:val="00105D8D"/>
    <w:rsid w:val="0010652C"/>
    <w:rsid w:val="00107511"/>
    <w:rsid w:val="00110BB8"/>
    <w:rsid w:val="0012363F"/>
    <w:rsid w:val="00123F7A"/>
    <w:rsid w:val="001249D7"/>
    <w:rsid w:val="001265BE"/>
    <w:rsid w:val="00126ED2"/>
    <w:rsid w:val="00127696"/>
    <w:rsid w:val="00131498"/>
    <w:rsid w:val="001320E4"/>
    <w:rsid w:val="00132A1A"/>
    <w:rsid w:val="00133B74"/>
    <w:rsid w:val="00134A67"/>
    <w:rsid w:val="00135148"/>
    <w:rsid w:val="00135598"/>
    <w:rsid w:val="001438E6"/>
    <w:rsid w:val="00146989"/>
    <w:rsid w:val="00152C6C"/>
    <w:rsid w:val="001533FB"/>
    <w:rsid w:val="001603B1"/>
    <w:rsid w:val="00161113"/>
    <w:rsid w:val="00162F52"/>
    <w:rsid w:val="00163250"/>
    <w:rsid w:val="001676C4"/>
    <w:rsid w:val="00167A1A"/>
    <w:rsid w:val="00170180"/>
    <w:rsid w:val="00173AC0"/>
    <w:rsid w:val="00180064"/>
    <w:rsid w:val="00180298"/>
    <w:rsid w:val="00183EDD"/>
    <w:rsid w:val="00184754"/>
    <w:rsid w:val="00187826"/>
    <w:rsid w:val="00187F95"/>
    <w:rsid w:val="00191BF3"/>
    <w:rsid w:val="0019223E"/>
    <w:rsid w:val="0019250F"/>
    <w:rsid w:val="0019393C"/>
    <w:rsid w:val="00196870"/>
    <w:rsid w:val="00196D82"/>
    <w:rsid w:val="00196F1B"/>
    <w:rsid w:val="001A2E5C"/>
    <w:rsid w:val="001A30E5"/>
    <w:rsid w:val="001A3A09"/>
    <w:rsid w:val="001A5204"/>
    <w:rsid w:val="001A6031"/>
    <w:rsid w:val="001A6038"/>
    <w:rsid w:val="001B38B8"/>
    <w:rsid w:val="001B4FD1"/>
    <w:rsid w:val="001B58BD"/>
    <w:rsid w:val="001B5938"/>
    <w:rsid w:val="001B5C75"/>
    <w:rsid w:val="001B64D2"/>
    <w:rsid w:val="001B799B"/>
    <w:rsid w:val="001C0408"/>
    <w:rsid w:val="001C0BC5"/>
    <w:rsid w:val="001C358F"/>
    <w:rsid w:val="001C3735"/>
    <w:rsid w:val="001C58F7"/>
    <w:rsid w:val="001D249C"/>
    <w:rsid w:val="001D26DD"/>
    <w:rsid w:val="001D2958"/>
    <w:rsid w:val="001D2CEF"/>
    <w:rsid w:val="001D49D2"/>
    <w:rsid w:val="001D4FE6"/>
    <w:rsid w:val="001D5DA0"/>
    <w:rsid w:val="001D66DB"/>
    <w:rsid w:val="001E3EB7"/>
    <w:rsid w:val="001E6779"/>
    <w:rsid w:val="001F27EC"/>
    <w:rsid w:val="001F4DCF"/>
    <w:rsid w:val="001F5664"/>
    <w:rsid w:val="001F69FE"/>
    <w:rsid w:val="001F6BD5"/>
    <w:rsid w:val="001F79EF"/>
    <w:rsid w:val="00200D40"/>
    <w:rsid w:val="002025C3"/>
    <w:rsid w:val="00203BCA"/>
    <w:rsid w:val="0020404F"/>
    <w:rsid w:val="002052D2"/>
    <w:rsid w:val="00210636"/>
    <w:rsid w:val="002123E7"/>
    <w:rsid w:val="00212BDA"/>
    <w:rsid w:val="00213A91"/>
    <w:rsid w:val="0021483E"/>
    <w:rsid w:val="00214DD4"/>
    <w:rsid w:val="00216621"/>
    <w:rsid w:val="0021754E"/>
    <w:rsid w:val="00217F35"/>
    <w:rsid w:val="00221D66"/>
    <w:rsid w:val="00222DBC"/>
    <w:rsid w:val="002239DC"/>
    <w:rsid w:val="0022418C"/>
    <w:rsid w:val="00224594"/>
    <w:rsid w:val="00224B61"/>
    <w:rsid w:val="00225C97"/>
    <w:rsid w:val="00226548"/>
    <w:rsid w:val="002269D3"/>
    <w:rsid w:val="002273D7"/>
    <w:rsid w:val="0023183F"/>
    <w:rsid w:val="00233B3B"/>
    <w:rsid w:val="00234DAF"/>
    <w:rsid w:val="00236EEC"/>
    <w:rsid w:val="002377C4"/>
    <w:rsid w:val="00240304"/>
    <w:rsid w:val="00240D3D"/>
    <w:rsid w:val="00243635"/>
    <w:rsid w:val="002443F1"/>
    <w:rsid w:val="00245649"/>
    <w:rsid w:val="002560DA"/>
    <w:rsid w:val="00256A4D"/>
    <w:rsid w:val="00257402"/>
    <w:rsid w:val="002607A0"/>
    <w:rsid w:val="00261ABF"/>
    <w:rsid w:val="002626C6"/>
    <w:rsid w:val="00273132"/>
    <w:rsid w:val="00275049"/>
    <w:rsid w:val="002778D6"/>
    <w:rsid w:val="00277EEE"/>
    <w:rsid w:val="0028032B"/>
    <w:rsid w:val="00281B3D"/>
    <w:rsid w:val="0028298D"/>
    <w:rsid w:val="0028393F"/>
    <w:rsid w:val="002853F4"/>
    <w:rsid w:val="00286239"/>
    <w:rsid w:val="0028703F"/>
    <w:rsid w:val="00294CA0"/>
    <w:rsid w:val="002A0504"/>
    <w:rsid w:val="002A1C46"/>
    <w:rsid w:val="002A6670"/>
    <w:rsid w:val="002A6E6D"/>
    <w:rsid w:val="002B12E4"/>
    <w:rsid w:val="002B5125"/>
    <w:rsid w:val="002B6AD3"/>
    <w:rsid w:val="002C02A5"/>
    <w:rsid w:val="002C0815"/>
    <w:rsid w:val="002C0D22"/>
    <w:rsid w:val="002C1692"/>
    <w:rsid w:val="002C2AA1"/>
    <w:rsid w:val="002C2B85"/>
    <w:rsid w:val="002C40EC"/>
    <w:rsid w:val="002C4FC3"/>
    <w:rsid w:val="002C51E2"/>
    <w:rsid w:val="002C6442"/>
    <w:rsid w:val="002C6D4F"/>
    <w:rsid w:val="002D33BC"/>
    <w:rsid w:val="002D559A"/>
    <w:rsid w:val="002D797C"/>
    <w:rsid w:val="002E0884"/>
    <w:rsid w:val="002E2868"/>
    <w:rsid w:val="002E3E9B"/>
    <w:rsid w:val="002E40BE"/>
    <w:rsid w:val="002E4655"/>
    <w:rsid w:val="002E4F07"/>
    <w:rsid w:val="002E4FA9"/>
    <w:rsid w:val="002E656B"/>
    <w:rsid w:val="002E76D2"/>
    <w:rsid w:val="002F04FF"/>
    <w:rsid w:val="002F06C2"/>
    <w:rsid w:val="002F3EA7"/>
    <w:rsid w:val="002F482C"/>
    <w:rsid w:val="002F4962"/>
    <w:rsid w:val="002F4E35"/>
    <w:rsid w:val="002F506C"/>
    <w:rsid w:val="002F5AA7"/>
    <w:rsid w:val="002F5CA1"/>
    <w:rsid w:val="00300761"/>
    <w:rsid w:val="003010AF"/>
    <w:rsid w:val="00301279"/>
    <w:rsid w:val="00303836"/>
    <w:rsid w:val="00306312"/>
    <w:rsid w:val="00312F08"/>
    <w:rsid w:val="003141EE"/>
    <w:rsid w:val="00314397"/>
    <w:rsid w:val="00314FE7"/>
    <w:rsid w:val="0031578D"/>
    <w:rsid w:val="00321082"/>
    <w:rsid w:val="0032253C"/>
    <w:rsid w:val="003236BB"/>
    <w:rsid w:val="00324361"/>
    <w:rsid w:val="00324A96"/>
    <w:rsid w:val="00325066"/>
    <w:rsid w:val="003254F9"/>
    <w:rsid w:val="00325BA1"/>
    <w:rsid w:val="00326A9D"/>
    <w:rsid w:val="00326C25"/>
    <w:rsid w:val="0033022D"/>
    <w:rsid w:val="003303C0"/>
    <w:rsid w:val="003305CC"/>
    <w:rsid w:val="00330CC5"/>
    <w:rsid w:val="00333CF2"/>
    <w:rsid w:val="00334F47"/>
    <w:rsid w:val="00336D7A"/>
    <w:rsid w:val="003408AC"/>
    <w:rsid w:val="00344B21"/>
    <w:rsid w:val="00344C3A"/>
    <w:rsid w:val="00344C4A"/>
    <w:rsid w:val="003466DB"/>
    <w:rsid w:val="003470E3"/>
    <w:rsid w:val="00347434"/>
    <w:rsid w:val="00347FD0"/>
    <w:rsid w:val="00351F06"/>
    <w:rsid w:val="00352359"/>
    <w:rsid w:val="00354551"/>
    <w:rsid w:val="00360D2C"/>
    <w:rsid w:val="003628E8"/>
    <w:rsid w:val="003630B2"/>
    <w:rsid w:val="0036330C"/>
    <w:rsid w:val="00366148"/>
    <w:rsid w:val="003670DC"/>
    <w:rsid w:val="003677E0"/>
    <w:rsid w:val="00370DFB"/>
    <w:rsid w:val="00371131"/>
    <w:rsid w:val="00371C78"/>
    <w:rsid w:val="00373467"/>
    <w:rsid w:val="003740BA"/>
    <w:rsid w:val="00374833"/>
    <w:rsid w:val="00375D20"/>
    <w:rsid w:val="00376A8C"/>
    <w:rsid w:val="00380B19"/>
    <w:rsid w:val="003829CD"/>
    <w:rsid w:val="00385ECD"/>
    <w:rsid w:val="003861F3"/>
    <w:rsid w:val="003867D3"/>
    <w:rsid w:val="003901DB"/>
    <w:rsid w:val="00393010"/>
    <w:rsid w:val="003938E2"/>
    <w:rsid w:val="00393DC7"/>
    <w:rsid w:val="00393FC3"/>
    <w:rsid w:val="003955C5"/>
    <w:rsid w:val="003962E3"/>
    <w:rsid w:val="003A031E"/>
    <w:rsid w:val="003A49C2"/>
    <w:rsid w:val="003A54F5"/>
    <w:rsid w:val="003A5DF8"/>
    <w:rsid w:val="003A5F00"/>
    <w:rsid w:val="003A691E"/>
    <w:rsid w:val="003B1489"/>
    <w:rsid w:val="003B6075"/>
    <w:rsid w:val="003B6980"/>
    <w:rsid w:val="003B7751"/>
    <w:rsid w:val="003C0566"/>
    <w:rsid w:val="003C40E0"/>
    <w:rsid w:val="003C6D2F"/>
    <w:rsid w:val="003C71AB"/>
    <w:rsid w:val="003C7D4B"/>
    <w:rsid w:val="003D0962"/>
    <w:rsid w:val="003D179E"/>
    <w:rsid w:val="003D1922"/>
    <w:rsid w:val="003D1ACC"/>
    <w:rsid w:val="003D207B"/>
    <w:rsid w:val="003D2D69"/>
    <w:rsid w:val="003D3F9D"/>
    <w:rsid w:val="003D4002"/>
    <w:rsid w:val="003D526B"/>
    <w:rsid w:val="003D6EAF"/>
    <w:rsid w:val="003D7813"/>
    <w:rsid w:val="003E0AAA"/>
    <w:rsid w:val="003E1699"/>
    <w:rsid w:val="003E259D"/>
    <w:rsid w:val="003E3FEB"/>
    <w:rsid w:val="003E45BA"/>
    <w:rsid w:val="003E62E0"/>
    <w:rsid w:val="003F0B48"/>
    <w:rsid w:val="003F0CDC"/>
    <w:rsid w:val="003F0ED6"/>
    <w:rsid w:val="003F3160"/>
    <w:rsid w:val="003F69A1"/>
    <w:rsid w:val="003F7328"/>
    <w:rsid w:val="003F75BC"/>
    <w:rsid w:val="0040036C"/>
    <w:rsid w:val="0040171F"/>
    <w:rsid w:val="00401B79"/>
    <w:rsid w:val="00404482"/>
    <w:rsid w:val="00404515"/>
    <w:rsid w:val="00405686"/>
    <w:rsid w:val="00406E7D"/>
    <w:rsid w:val="00414022"/>
    <w:rsid w:val="004147D2"/>
    <w:rsid w:val="00414D4C"/>
    <w:rsid w:val="0041530C"/>
    <w:rsid w:val="00420F5F"/>
    <w:rsid w:val="00422DE2"/>
    <w:rsid w:val="00422ED6"/>
    <w:rsid w:val="0042485C"/>
    <w:rsid w:val="00426965"/>
    <w:rsid w:val="00432278"/>
    <w:rsid w:val="00432B53"/>
    <w:rsid w:val="00435396"/>
    <w:rsid w:val="00437813"/>
    <w:rsid w:val="00440F5D"/>
    <w:rsid w:val="0044148A"/>
    <w:rsid w:val="0044779F"/>
    <w:rsid w:val="004501EF"/>
    <w:rsid w:val="00450AB0"/>
    <w:rsid w:val="004544AE"/>
    <w:rsid w:val="00455253"/>
    <w:rsid w:val="00456BAC"/>
    <w:rsid w:val="00460C29"/>
    <w:rsid w:val="0046273C"/>
    <w:rsid w:val="004642E8"/>
    <w:rsid w:val="00465A1E"/>
    <w:rsid w:val="0046752A"/>
    <w:rsid w:val="00467FD0"/>
    <w:rsid w:val="0047379C"/>
    <w:rsid w:val="004739F1"/>
    <w:rsid w:val="00476377"/>
    <w:rsid w:val="004810AD"/>
    <w:rsid w:val="00482E3E"/>
    <w:rsid w:val="00483584"/>
    <w:rsid w:val="00484111"/>
    <w:rsid w:val="00485B3B"/>
    <w:rsid w:val="004869B0"/>
    <w:rsid w:val="00491CB0"/>
    <w:rsid w:val="00492DE7"/>
    <w:rsid w:val="00493A2D"/>
    <w:rsid w:val="00494CD9"/>
    <w:rsid w:val="004962C7"/>
    <w:rsid w:val="00496BEC"/>
    <w:rsid w:val="004972AC"/>
    <w:rsid w:val="004A21A1"/>
    <w:rsid w:val="004A391D"/>
    <w:rsid w:val="004A4268"/>
    <w:rsid w:val="004A46CE"/>
    <w:rsid w:val="004A60B4"/>
    <w:rsid w:val="004B0425"/>
    <w:rsid w:val="004B1357"/>
    <w:rsid w:val="004B2176"/>
    <w:rsid w:val="004B3912"/>
    <w:rsid w:val="004B4352"/>
    <w:rsid w:val="004B4A53"/>
    <w:rsid w:val="004B5057"/>
    <w:rsid w:val="004B6298"/>
    <w:rsid w:val="004B6A44"/>
    <w:rsid w:val="004B6B05"/>
    <w:rsid w:val="004B6B3F"/>
    <w:rsid w:val="004C18AB"/>
    <w:rsid w:val="004C1CEF"/>
    <w:rsid w:val="004C2B45"/>
    <w:rsid w:val="004C381F"/>
    <w:rsid w:val="004C3AD7"/>
    <w:rsid w:val="004C3C1F"/>
    <w:rsid w:val="004C5E5D"/>
    <w:rsid w:val="004C693C"/>
    <w:rsid w:val="004D044D"/>
    <w:rsid w:val="004D0FDB"/>
    <w:rsid w:val="004D12CC"/>
    <w:rsid w:val="004D20AC"/>
    <w:rsid w:val="004D3619"/>
    <w:rsid w:val="004D4E56"/>
    <w:rsid w:val="004D4E72"/>
    <w:rsid w:val="004D4F13"/>
    <w:rsid w:val="004D5A2D"/>
    <w:rsid w:val="004D6217"/>
    <w:rsid w:val="004E058E"/>
    <w:rsid w:val="004E067F"/>
    <w:rsid w:val="004E1804"/>
    <w:rsid w:val="004E2271"/>
    <w:rsid w:val="004E275F"/>
    <w:rsid w:val="004E5BBC"/>
    <w:rsid w:val="004E6D12"/>
    <w:rsid w:val="004F01F0"/>
    <w:rsid w:val="004F0E51"/>
    <w:rsid w:val="004F155E"/>
    <w:rsid w:val="004F7918"/>
    <w:rsid w:val="00500A45"/>
    <w:rsid w:val="00500F68"/>
    <w:rsid w:val="005012A6"/>
    <w:rsid w:val="0050142D"/>
    <w:rsid w:val="00502591"/>
    <w:rsid w:val="005042EB"/>
    <w:rsid w:val="005052C8"/>
    <w:rsid w:val="00506253"/>
    <w:rsid w:val="00506424"/>
    <w:rsid w:val="00507449"/>
    <w:rsid w:val="00507C63"/>
    <w:rsid w:val="00510B3F"/>
    <w:rsid w:val="005119F9"/>
    <w:rsid w:val="00511CF2"/>
    <w:rsid w:val="00512EC5"/>
    <w:rsid w:val="00514DD4"/>
    <w:rsid w:val="0051591C"/>
    <w:rsid w:val="00515CF0"/>
    <w:rsid w:val="0052021E"/>
    <w:rsid w:val="00520704"/>
    <w:rsid w:val="00521C5F"/>
    <w:rsid w:val="00523FA3"/>
    <w:rsid w:val="0052521E"/>
    <w:rsid w:val="00526684"/>
    <w:rsid w:val="00527F03"/>
    <w:rsid w:val="0053022A"/>
    <w:rsid w:val="00531612"/>
    <w:rsid w:val="00532074"/>
    <w:rsid w:val="0053346A"/>
    <w:rsid w:val="00533CB8"/>
    <w:rsid w:val="00534427"/>
    <w:rsid w:val="00534867"/>
    <w:rsid w:val="00535E56"/>
    <w:rsid w:val="005367DC"/>
    <w:rsid w:val="00536E1B"/>
    <w:rsid w:val="00537138"/>
    <w:rsid w:val="005452A1"/>
    <w:rsid w:val="0054538A"/>
    <w:rsid w:val="00546331"/>
    <w:rsid w:val="005464FE"/>
    <w:rsid w:val="0054713B"/>
    <w:rsid w:val="005474A9"/>
    <w:rsid w:val="005479C0"/>
    <w:rsid w:val="00547AA1"/>
    <w:rsid w:val="00551F9C"/>
    <w:rsid w:val="00552172"/>
    <w:rsid w:val="0055328E"/>
    <w:rsid w:val="00553BE9"/>
    <w:rsid w:val="00554C77"/>
    <w:rsid w:val="00556C46"/>
    <w:rsid w:val="005570C3"/>
    <w:rsid w:val="00557840"/>
    <w:rsid w:val="00557C9D"/>
    <w:rsid w:val="005626A6"/>
    <w:rsid w:val="005631A5"/>
    <w:rsid w:val="00563E22"/>
    <w:rsid w:val="005646BC"/>
    <w:rsid w:val="005652D5"/>
    <w:rsid w:val="00565551"/>
    <w:rsid w:val="00570704"/>
    <w:rsid w:val="00571F5C"/>
    <w:rsid w:val="00573EA9"/>
    <w:rsid w:val="00575DAD"/>
    <w:rsid w:val="005767BB"/>
    <w:rsid w:val="00580162"/>
    <w:rsid w:val="00582C39"/>
    <w:rsid w:val="005831D7"/>
    <w:rsid w:val="005842A2"/>
    <w:rsid w:val="005845EE"/>
    <w:rsid w:val="00585A6B"/>
    <w:rsid w:val="00590730"/>
    <w:rsid w:val="00591765"/>
    <w:rsid w:val="00591C16"/>
    <w:rsid w:val="00596EC0"/>
    <w:rsid w:val="00596F58"/>
    <w:rsid w:val="005A019F"/>
    <w:rsid w:val="005A14FE"/>
    <w:rsid w:val="005A438D"/>
    <w:rsid w:val="005A6A43"/>
    <w:rsid w:val="005A707C"/>
    <w:rsid w:val="005A7781"/>
    <w:rsid w:val="005B0359"/>
    <w:rsid w:val="005B4A19"/>
    <w:rsid w:val="005B5697"/>
    <w:rsid w:val="005B5D56"/>
    <w:rsid w:val="005B5F10"/>
    <w:rsid w:val="005C17A5"/>
    <w:rsid w:val="005C1B0D"/>
    <w:rsid w:val="005C5207"/>
    <w:rsid w:val="005C6A90"/>
    <w:rsid w:val="005D0928"/>
    <w:rsid w:val="005D37B5"/>
    <w:rsid w:val="005D4199"/>
    <w:rsid w:val="005D68C0"/>
    <w:rsid w:val="005D7300"/>
    <w:rsid w:val="005D7D06"/>
    <w:rsid w:val="005E0331"/>
    <w:rsid w:val="005E070C"/>
    <w:rsid w:val="005E0AEB"/>
    <w:rsid w:val="005E2935"/>
    <w:rsid w:val="005E34B6"/>
    <w:rsid w:val="005E4684"/>
    <w:rsid w:val="005E6902"/>
    <w:rsid w:val="005F2909"/>
    <w:rsid w:val="005F3C73"/>
    <w:rsid w:val="005F5768"/>
    <w:rsid w:val="005F58C4"/>
    <w:rsid w:val="005F6DE2"/>
    <w:rsid w:val="005F6F91"/>
    <w:rsid w:val="005F7351"/>
    <w:rsid w:val="005F7391"/>
    <w:rsid w:val="005F7DDE"/>
    <w:rsid w:val="006001F5"/>
    <w:rsid w:val="00602DD9"/>
    <w:rsid w:val="00603162"/>
    <w:rsid w:val="00603C65"/>
    <w:rsid w:val="0060560C"/>
    <w:rsid w:val="00606FB5"/>
    <w:rsid w:val="006075E7"/>
    <w:rsid w:val="0061585E"/>
    <w:rsid w:val="00616F4D"/>
    <w:rsid w:val="0062006C"/>
    <w:rsid w:val="00620C77"/>
    <w:rsid w:val="006244CB"/>
    <w:rsid w:val="00625909"/>
    <w:rsid w:val="00625C9B"/>
    <w:rsid w:val="0062692F"/>
    <w:rsid w:val="00626C4B"/>
    <w:rsid w:val="00627B0D"/>
    <w:rsid w:val="00630338"/>
    <w:rsid w:val="00630594"/>
    <w:rsid w:val="00630811"/>
    <w:rsid w:val="00631A12"/>
    <w:rsid w:val="00631D0C"/>
    <w:rsid w:val="00633A33"/>
    <w:rsid w:val="00635E01"/>
    <w:rsid w:val="0063739E"/>
    <w:rsid w:val="00637F48"/>
    <w:rsid w:val="00640C8C"/>
    <w:rsid w:val="00641485"/>
    <w:rsid w:val="00643B2F"/>
    <w:rsid w:val="006453FE"/>
    <w:rsid w:val="006454A1"/>
    <w:rsid w:val="00645586"/>
    <w:rsid w:val="00645E4B"/>
    <w:rsid w:val="0064640F"/>
    <w:rsid w:val="006502EF"/>
    <w:rsid w:val="006505D0"/>
    <w:rsid w:val="00650FB3"/>
    <w:rsid w:val="00651943"/>
    <w:rsid w:val="00652418"/>
    <w:rsid w:val="00652C19"/>
    <w:rsid w:val="00653B67"/>
    <w:rsid w:val="006549C3"/>
    <w:rsid w:val="00654A32"/>
    <w:rsid w:val="00654E8D"/>
    <w:rsid w:val="00655716"/>
    <w:rsid w:val="00655A12"/>
    <w:rsid w:val="00656FF8"/>
    <w:rsid w:val="006575A4"/>
    <w:rsid w:val="0066092A"/>
    <w:rsid w:val="00660CE2"/>
    <w:rsid w:val="00661284"/>
    <w:rsid w:val="006644B6"/>
    <w:rsid w:val="006655F6"/>
    <w:rsid w:val="00665A1D"/>
    <w:rsid w:val="00665DCC"/>
    <w:rsid w:val="0066681C"/>
    <w:rsid w:val="0066787A"/>
    <w:rsid w:val="00675068"/>
    <w:rsid w:val="00677407"/>
    <w:rsid w:val="00677E99"/>
    <w:rsid w:val="00680176"/>
    <w:rsid w:val="006861E0"/>
    <w:rsid w:val="00686C87"/>
    <w:rsid w:val="00687389"/>
    <w:rsid w:val="00691497"/>
    <w:rsid w:val="0069249D"/>
    <w:rsid w:val="006932A6"/>
    <w:rsid w:val="006934DB"/>
    <w:rsid w:val="00693C4F"/>
    <w:rsid w:val="006963E1"/>
    <w:rsid w:val="006A3AE1"/>
    <w:rsid w:val="006A72FA"/>
    <w:rsid w:val="006B4839"/>
    <w:rsid w:val="006B7B21"/>
    <w:rsid w:val="006C1B92"/>
    <w:rsid w:val="006C1DCF"/>
    <w:rsid w:val="006C3AB7"/>
    <w:rsid w:val="006C4D5B"/>
    <w:rsid w:val="006C7B84"/>
    <w:rsid w:val="006D1002"/>
    <w:rsid w:val="006D1DC6"/>
    <w:rsid w:val="006D212A"/>
    <w:rsid w:val="006D5472"/>
    <w:rsid w:val="006D6C47"/>
    <w:rsid w:val="006E0453"/>
    <w:rsid w:val="006E04A4"/>
    <w:rsid w:val="006E509E"/>
    <w:rsid w:val="006E6BC7"/>
    <w:rsid w:val="006E7619"/>
    <w:rsid w:val="006E7635"/>
    <w:rsid w:val="006E79A9"/>
    <w:rsid w:val="006F0786"/>
    <w:rsid w:val="006F0849"/>
    <w:rsid w:val="006F2BF9"/>
    <w:rsid w:val="006F4ADA"/>
    <w:rsid w:val="006F7A8E"/>
    <w:rsid w:val="007006F7"/>
    <w:rsid w:val="0070479C"/>
    <w:rsid w:val="00704BAF"/>
    <w:rsid w:val="00706A19"/>
    <w:rsid w:val="007072CC"/>
    <w:rsid w:val="00707DC0"/>
    <w:rsid w:val="00711358"/>
    <w:rsid w:val="007125BD"/>
    <w:rsid w:val="007129CA"/>
    <w:rsid w:val="007140B5"/>
    <w:rsid w:val="00714A89"/>
    <w:rsid w:val="00715D76"/>
    <w:rsid w:val="007207F5"/>
    <w:rsid w:val="00721069"/>
    <w:rsid w:val="00723234"/>
    <w:rsid w:val="007239EB"/>
    <w:rsid w:val="00724A44"/>
    <w:rsid w:val="00726461"/>
    <w:rsid w:val="007267A7"/>
    <w:rsid w:val="00727703"/>
    <w:rsid w:val="007345EA"/>
    <w:rsid w:val="007355FB"/>
    <w:rsid w:val="00737926"/>
    <w:rsid w:val="0074130B"/>
    <w:rsid w:val="0074341C"/>
    <w:rsid w:val="00745190"/>
    <w:rsid w:val="00747FDA"/>
    <w:rsid w:val="00751783"/>
    <w:rsid w:val="00751C17"/>
    <w:rsid w:val="00753383"/>
    <w:rsid w:val="00753B6E"/>
    <w:rsid w:val="00753B94"/>
    <w:rsid w:val="00754C79"/>
    <w:rsid w:val="007573D9"/>
    <w:rsid w:val="00760314"/>
    <w:rsid w:val="0076135F"/>
    <w:rsid w:val="00761A37"/>
    <w:rsid w:val="0076229E"/>
    <w:rsid w:val="007639E3"/>
    <w:rsid w:val="00764795"/>
    <w:rsid w:val="00765000"/>
    <w:rsid w:val="007674FF"/>
    <w:rsid w:val="00767BBD"/>
    <w:rsid w:val="007726C5"/>
    <w:rsid w:val="00772CF5"/>
    <w:rsid w:val="00772EF1"/>
    <w:rsid w:val="00774ADE"/>
    <w:rsid w:val="007757CF"/>
    <w:rsid w:val="00780EE3"/>
    <w:rsid w:val="0078222C"/>
    <w:rsid w:val="00784327"/>
    <w:rsid w:val="00791E26"/>
    <w:rsid w:val="007938B7"/>
    <w:rsid w:val="00793C96"/>
    <w:rsid w:val="007A089B"/>
    <w:rsid w:val="007A16CC"/>
    <w:rsid w:val="007A2E68"/>
    <w:rsid w:val="007A3466"/>
    <w:rsid w:val="007A3D72"/>
    <w:rsid w:val="007A3E9E"/>
    <w:rsid w:val="007B0EFB"/>
    <w:rsid w:val="007B1342"/>
    <w:rsid w:val="007B1765"/>
    <w:rsid w:val="007B21A3"/>
    <w:rsid w:val="007B2966"/>
    <w:rsid w:val="007B4567"/>
    <w:rsid w:val="007B4F61"/>
    <w:rsid w:val="007B569D"/>
    <w:rsid w:val="007B5BA8"/>
    <w:rsid w:val="007B5E7C"/>
    <w:rsid w:val="007C09D4"/>
    <w:rsid w:val="007C2BAE"/>
    <w:rsid w:val="007C37F1"/>
    <w:rsid w:val="007C46CE"/>
    <w:rsid w:val="007D3214"/>
    <w:rsid w:val="007D5EF5"/>
    <w:rsid w:val="007E2019"/>
    <w:rsid w:val="007E2F31"/>
    <w:rsid w:val="007E5F36"/>
    <w:rsid w:val="007E7398"/>
    <w:rsid w:val="007E7F2C"/>
    <w:rsid w:val="007F0007"/>
    <w:rsid w:val="007F0305"/>
    <w:rsid w:val="007F1360"/>
    <w:rsid w:val="007F2DEB"/>
    <w:rsid w:val="007F5521"/>
    <w:rsid w:val="007F64F6"/>
    <w:rsid w:val="007F6596"/>
    <w:rsid w:val="00800456"/>
    <w:rsid w:val="008020C0"/>
    <w:rsid w:val="008021C5"/>
    <w:rsid w:val="00802F30"/>
    <w:rsid w:val="00805C87"/>
    <w:rsid w:val="00805CA3"/>
    <w:rsid w:val="008062C0"/>
    <w:rsid w:val="008069BF"/>
    <w:rsid w:val="008077AC"/>
    <w:rsid w:val="00807AAF"/>
    <w:rsid w:val="0081330E"/>
    <w:rsid w:val="00814C1B"/>
    <w:rsid w:val="00814F91"/>
    <w:rsid w:val="00815390"/>
    <w:rsid w:val="008153D0"/>
    <w:rsid w:val="0081613F"/>
    <w:rsid w:val="00816FC7"/>
    <w:rsid w:val="008203B0"/>
    <w:rsid w:val="0082094D"/>
    <w:rsid w:val="00823D64"/>
    <w:rsid w:val="0082457B"/>
    <w:rsid w:val="00827EFB"/>
    <w:rsid w:val="008315FE"/>
    <w:rsid w:val="00832071"/>
    <w:rsid w:val="0083240A"/>
    <w:rsid w:val="00832661"/>
    <w:rsid w:val="008326DA"/>
    <w:rsid w:val="0083414F"/>
    <w:rsid w:val="0083558E"/>
    <w:rsid w:val="008400D1"/>
    <w:rsid w:val="00842241"/>
    <w:rsid w:val="00843222"/>
    <w:rsid w:val="00844C61"/>
    <w:rsid w:val="00845330"/>
    <w:rsid w:val="00846C30"/>
    <w:rsid w:val="00846DB6"/>
    <w:rsid w:val="008478C3"/>
    <w:rsid w:val="008502A6"/>
    <w:rsid w:val="0085069E"/>
    <w:rsid w:val="00850A7B"/>
    <w:rsid w:val="008511F9"/>
    <w:rsid w:val="00851C6D"/>
    <w:rsid w:val="00853E0D"/>
    <w:rsid w:val="008545FF"/>
    <w:rsid w:val="00854CEF"/>
    <w:rsid w:val="00856784"/>
    <w:rsid w:val="00857154"/>
    <w:rsid w:val="00857C45"/>
    <w:rsid w:val="008608C4"/>
    <w:rsid w:val="008611C2"/>
    <w:rsid w:val="008632C6"/>
    <w:rsid w:val="0086449F"/>
    <w:rsid w:val="008671F0"/>
    <w:rsid w:val="00870D66"/>
    <w:rsid w:val="00871C10"/>
    <w:rsid w:val="008720C1"/>
    <w:rsid w:val="00872907"/>
    <w:rsid w:val="00872A45"/>
    <w:rsid w:val="00872E1B"/>
    <w:rsid w:val="00874121"/>
    <w:rsid w:val="008744CE"/>
    <w:rsid w:val="00874732"/>
    <w:rsid w:val="00874823"/>
    <w:rsid w:val="00877423"/>
    <w:rsid w:val="00877B5D"/>
    <w:rsid w:val="00881F28"/>
    <w:rsid w:val="00883255"/>
    <w:rsid w:val="00884EEB"/>
    <w:rsid w:val="008852BE"/>
    <w:rsid w:val="00890D62"/>
    <w:rsid w:val="00894FB1"/>
    <w:rsid w:val="00896A2F"/>
    <w:rsid w:val="00896A57"/>
    <w:rsid w:val="00896AA9"/>
    <w:rsid w:val="00897CBB"/>
    <w:rsid w:val="008A0CD2"/>
    <w:rsid w:val="008A32A5"/>
    <w:rsid w:val="008A3841"/>
    <w:rsid w:val="008A4F38"/>
    <w:rsid w:val="008A5944"/>
    <w:rsid w:val="008A7DD8"/>
    <w:rsid w:val="008B10F7"/>
    <w:rsid w:val="008B5456"/>
    <w:rsid w:val="008B5764"/>
    <w:rsid w:val="008B7589"/>
    <w:rsid w:val="008C03FE"/>
    <w:rsid w:val="008C0D67"/>
    <w:rsid w:val="008C1729"/>
    <w:rsid w:val="008C1E40"/>
    <w:rsid w:val="008C2D4D"/>
    <w:rsid w:val="008C5482"/>
    <w:rsid w:val="008C60DC"/>
    <w:rsid w:val="008C7629"/>
    <w:rsid w:val="008D154C"/>
    <w:rsid w:val="008D1E2A"/>
    <w:rsid w:val="008D60F3"/>
    <w:rsid w:val="008D6964"/>
    <w:rsid w:val="008E13BE"/>
    <w:rsid w:val="008E1919"/>
    <w:rsid w:val="008E329E"/>
    <w:rsid w:val="008E4980"/>
    <w:rsid w:val="008E580D"/>
    <w:rsid w:val="008E5DD6"/>
    <w:rsid w:val="008E5E14"/>
    <w:rsid w:val="008E641D"/>
    <w:rsid w:val="008E6C7C"/>
    <w:rsid w:val="008F1885"/>
    <w:rsid w:val="008F1C07"/>
    <w:rsid w:val="008F2893"/>
    <w:rsid w:val="008F3063"/>
    <w:rsid w:val="008F3F47"/>
    <w:rsid w:val="008F47D8"/>
    <w:rsid w:val="0090088C"/>
    <w:rsid w:val="00901457"/>
    <w:rsid w:val="0090148C"/>
    <w:rsid w:val="00901FA6"/>
    <w:rsid w:val="0090226E"/>
    <w:rsid w:val="00903853"/>
    <w:rsid w:val="00905AFB"/>
    <w:rsid w:val="00905D01"/>
    <w:rsid w:val="00911111"/>
    <w:rsid w:val="00911286"/>
    <w:rsid w:val="0091252E"/>
    <w:rsid w:val="009128D3"/>
    <w:rsid w:val="00916007"/>
    <w:rsid w:val="00916A0F"/>
    <w:rsid w:val="00916C38"/>
    <w:rsid w:val="00920658"/>
    <w:rsid w:val="0092150A"/>
    <w:rsid w:val="00921F8D"/>
    <w:rsid w:val="009225ED"/>
    <w:rsid w:val="00924B6F"/>
    <w:rsid w:val="009251CC"/>
    <w:rsid w:val="00925621"/>
    <w:rsid w:val="0092575C"/>
    <w:rsid w:val="00925DBA"/>
    <w:rsid w:val="00926001"/>
    <w:rsid w:val="00926206"/>
    <w:rsid w:val="00926536"/>
    <w:rsid w:val="00926AC7"/>
    <w:rsid w:val="009328C7"/>
    <w:rsid w:val="00932E3E"/>
    <w:rsid w:val="00933415"/>
    <w:rsid w:val="00933AD6"/>
    <w:rsid w:val="00933F9E"/>
    <w:rsid w:val="009351B4"/>
    <w:rsid w:val="00935ABF"/>
    <w:rsid w:val="009403AE"/>
    <w:rsid w:val="00940477"/>
    <w:rsid w:val="0094062D"/>
    <w:rsid w:val="009408F7"/>
    <w:rsid w:val="009424AD"/>
    <w:rsid w:val="00946BB8"/>
    <w:rsid w:val="00950000"/>
    <w:rsid w:val="009504A7"/>
    <w:rsid w:val="00950AA5"/>
    <w:rsid w:val="00953906"/>
    <w:rsid w:val="00953F2B"/>
    <w:rsid w:val="0096392A"/>
    <w:rsid w:val="00964D72"/>
    <w:rsid w:val="009651D9"/>
    <w:rsid w:val="009657E4"/>
    <w:rsid w:val="009668D8"/>
    <w:rsid w:val="00966C45"/>
    <w:rsid w:val="009672CB"/>
    <w:rsid w:val="00971469"/>
    <w:rsid w:val="00972619"/>
    <w:rsid w:val="009739C4"/>
    <w:rsid w:val="0097440C"/>
    <w:rsid w:val="00974412"/>
    <w:rsid w:val="009766C1"/>
    <w:rsid w:val="00977715"/>
    <w:rsid w:val="0098032C"/>
    <w:rsid w:val="00980465"/>
    <w:rsid w:val="0098172A"/>
    <w:rsid w:val="00981835"/>
    <w:rsid w:val="009818C4"/>
    <w:rsid w:val="0098359C"/>
    <w:rsid w:val="00985381"/>
    <w:rsid w:val="00985A06"/>
    <w:rsid w:val="00985C62"/>
    <w:rsid w:val="00985D33"/>
    <w:rsid w:val="00986712"/>
    <w:rsid w:val="009900A4"/>
    <w:rsid w:val="009922AC"/>
    <w:rsid w:val="00992932"/>
    <w:rsid w:val="009932A7"/>
    <w:rsid w:val="00994E36"/>
    <w:rsid w:val="0099657F"/>
    <w:rsid w:val="00997128"/>
    <w:rsid w:val="009A0815"/>
    <w:rsid w:val="009A4FB2"/>
    <w:rsid w:val="009A6D02"/>
    <w:rsid w:val="009B107D"/>
    <w:rsid w:val="009B30A5"/>
    <w:rsid w:val="009B4852"/>
    <w:rsid w:val="009C08D5"/>
    <w:rsid w:val="009C0BFE"/>
    <w:rsid w:val="009C3F5E"/>
    <w:rsid w:val="009C481F"/>
    <w:rsid w:val="009C5036"/>
    <w:rsid w:val="009C5EBE"/>
    <w:rsid w:val="009C5F56"/>
    <w:rsid w:val="009C78B4"/>
    <w:rsid w:val="009C7920"/>
    <w:rsid w:val="009D3C33"/>
    <w:rsid w:val="009D46CE"/>
    <w:rsid w:val="009D5486"/>
    <w:rsid w:val="009D5C4A"/>
    <w:rsid w:val="009D78A6"/>
    <w:rsid w:val="009E120B"/>
    <w:rsid w:val="009E1E72"/>
    <w:rsid w:val="009E2769"/>
    <w:rsid w:val="009E2A0D"/>
    <w:rsid w:val="009E2A34"/>
    <w:rsid w:val="009E3388"/>
    <w:rsid w:val="009E56FF"/>
    <w:rsid w:val="009E661C"/>
    <w:rsid w:val="009E6E63"/>
    <w:rsid w:val="009E77AF"/>
    <w:rsid w:val="009E7900"/>
    <w:rsid w:val="009F015A"/>
    <w:rsid w:val="009F24B9"/>
    <w:rsid w:val="009F3C3E"/>
    <w:rsid w:val="009F4216"/>
    <w:rsid w:val="009F56FE"/>
    <w:rsid w:val="00A00E52"/>
    <w:rsid w:val="00A02B9C"/>
    <w:rsid w:val="00A04A40"/>
    <w:rsid w:val="00A057D7"/>
    <w:rsid w:val="00A078F5"/>
    <w:rsid w:val="00A07917"/>
    <w:rsid w:val="00A07DA2"/>
    <w:rsid w:val="00A103F6"/>
    <w:rsid w:val="00A109CD"/>
    <w:rsid w:val="00A117AB"/>
    <w:rsid w:val="00A11F8E"/>
    <w:rsid w:val="00A12556"/>
    <w:rsid w:val="00A12BB3"/>
    <w:rsid w:val="00A14365"/>
    <w:rsid w:val="00A1744F"/>
    <w:rsid w:val="00A21FEE"/>
    <w:rsid w:val="00A23463"/>
    <w:rsid w:val="00A23859"/>
    <w:rsid w:val="00A27362"/>
    <w:rsid w:val="00A2741D"/>
    <w:rsid w:val="00A30339"/>
    <w:rsid w:val="00A305F7"/>
    <w:rsid w:val="00A31C0E"/>
    <w:rsid w:val="00A348CD"/>
    <w:rsid w:val="00A348E4"/>
    <w:rsid w:val="00A37712"/>
    <w:rsid w:val="00A37B1A"/>
    <w:rsid w:val="00A4039C"/>
    <w:rsid w:val="00A426D5"/>
    <w:rsid w:val="00A42DB2"/>
    <w:rsid w:val="00A45202"/>
    <w:rsid w:val="00A462E6"/>
    <w:rsid w:val="00A46556"/>
    <w:rsid w:val="00A46598"/>
    <w:rsid w:val="00A47374"/>
    <w:rsid w:val="00A50619"/>
    <w:rsid w:val="00A52178"/>
    <w:rsid w:val="00A5259B"/>
    <w:rsid w:val="00A5592F"/>
    <w:rsid w:val="00A577A6"/>
    <w:rsid w:val="00A604E9"/>
    <w:rsid w:val="00A608A5"/>
    <w:rsid w:val="00A61DE1"/>
    <w:rsid w:val="00A641D8"/>
    <w:rsid w:val="00A67ACE"/>
    <w:rsid w:val="00A70725"/>
    <w:rsid w:val="00A710B9"/>
    <w:rsid w:val="00A7414B"/>
    <w:rsid w:val="00A77854"/>
    <w:rsid w:val="00A81245"/>
    <w:rsid w:val="00A81BF2"/>
    <w:rsid w:val="00A8304B"/>
    <w:rsid w:val="00A83464"/>
    <w:rsid w:val="00A84454"/>
    <w:rsid w:val="00A84D0D"/>
    <w:rsid w:val="00A87CFA"/>
    <w:rsid w:val="00A90ABF"/>
    <w:rsid w:val="00A91B1F"/>
    <w:rsid w:val="00A962BF"/>
    <w:rsid w:val="00A9673D"/>
    <w:rsid w:val="00A9685D"/>
    <w:rsid w:val="00A96FCB"/>
    <w:rsid w:val="00AA0BCA"/>
    <w:rsid w:val="00AA143B"/>
    <w:rsid w:val="00AA19AC"/>
    <w:rsid w:val="00AA26AB"/>
    <w:rsid w:val="00AA272C"/>
    <w:rsid w:val="00AA38E9"/>
    <w:rsid w:val="00AA57B5"/>
    <w:rsid w:val="00AA57CD"/>
    <w:rsid w:val="00AA5F2E"/>
    <w:rsid w:val="00AA64F4"/>
    <w:rsid w:val="00AB0B7C"/>
    <w:rsid w:val="00AB7367"/>
    <w:rsid w:val="00AC1386"/>
    <w:rsid w:val="00AC5370"/>
    <w:rsid w:val="00AC5387"/>
    <w:rsid w:val="00AD2960"/>
    <w:rsid w:val="00AD326E"/>
    <w:rsid w:val="00AD3C4A"/>
    <w:rsid w:val="00AD50DB"/>
    <w:rsid w:val="00AE16FE"/>
    <w:rsid w:val="00AE2505"/>
    <w:rsid w:val="00AF1002"/>
    <w:rsid w:val="00AF11B9"/>
    <w:rsid w:val="00AF2B3B"/>
    <w:rsid w:val="00AF3B75"/>
    <w:rsid w:val="00AF458A"/>
    <w:rsid w:val="00AF469A"/>
    <w:rsid w:val="00AF4894"/>
    <w:rsid w:val="00AF4D12"/>
    <w:rsid w:val="00B00B89"/>
    <w:rsid w:val="00B00EBF"/>
    <w:rsid w:val="00B0162A"/>
    <w:rsid w:val="00B0340D"/>
    <w:rsid w:val="00B03964"/>
    <w:rsid w:val="00B03A7D"/>
    <w:rsid w:val="00B03DCF"/>
    <w:rsid w:val="00B05C31"/>
    <w:rsid w:val="00B06586"/>
    <w:rsid w:val="00B104A1"/>
    <w:rsid w:val="00B11172"/>
    <w:rsid w:val="00B121A9"/>
    <w:rsid w:val="00B122CD"/>
    <w:rsid w:val="00B13997"/>
    <w:rsid w:val="00B14895"/>
    <w:rsid w:val="00B150A2"/>
    <w:rsid w:val="00B20D38"/>
    <w:rsid w:val="00B21E45"/>
    <w:rsid w:val="00B23999"/>
    <w:rsid w:val="00B24CDA"/>
    <w:rsid w:val="00B256BF"/>
    <w:rsid w:val="00B31C93"/>
    <w:rsid w:val="00B32DB0"/>
    <w:rsid w:val="00B33A25"/>
    <w:rsid w:val="00B4324B"/>
    <w:rsid w:val="00B4353E"/>
    <w:rsid w:val="00B43689"/>
    <w:rsid w:val="00B446D2"/>
    <w:rsid w:val="00B44BB3"/>
    <w:rsid w:val="00B45EA1"/>
    <w:rsid w:val="00B469FF"/>
    <w:rsid w:val="00B46ABE"/>
    <w:rsid w:val="00B47FEF"/>
    <w:rsid w:val="00B5483F"/>
    <w:rsid w:val="00B6145A"/>
    <w:rsid w:val="00B62B4E"/>
    <w:rsid w:val="00B633FC"/>
    <w:rsid w:val="00B6401E"/>
    <w:rsid w:val="00B64ED5"/>
    <w:rsid w:val="00B6592E"/>
    <w:rsid w:val="00B66BE7"/>
    <w:rsid w:val="00B6764A"/>
    <w:rsid w:val="00B67B76"/>
    <w:rsid w:val="00B70690"/>
    <w:rsid w:val="00B72EFC"/>
    <w:rsid w:val="00B7303A"/>
    <w:rsid w:val="00B73B75"/>
    <w:rsid w:val="00B740BD"/>
    <w:rsid w:val="00B74BE7"/>
    <w:rsid w:val="00B75B33"/>
    <w:rsid w:val="00B75BBE"/>
    <w:rsid w:val="00B763E1"/>
    <w:rsid w:val="00B76936"/>
    <w:rsid w:val="00B806CF"/>
    <w:rsid w:val="00B81D91"/>
    <w:rsid w:val="00B81FD9"/>
    <w:rsid w:val="00B82F28"/>
    <w:rsid w:val="00B87209"/>
    <w:rsid w:val="00B876F5"/>
    <w:rsid w:val="00B92851"/>
    <w:rsid w:val="00B9639D"/>
    <w:rsid w:val="00B968F7"/>
    <w:rsid w:val="00B97C55"/>
    <w:rsid w:val="00B97C57"/>
    <w:rsid w:val="00BA28EA"/>
    <w:rsid w:val="00BA43C1"/>
    <w:rsid w:val="00BA447E"/>
    <w:rsid w:val="00BA4657"/>
    <w:rsid w:val="00BA4BA0"/>
    <w:rsid w:val="00BB09BB"/>
    <w:rsid w:val="00BB1905"/>
    <w:rsid w:val="00BB1EA5"/>
    <w:rsid w:val="00BB3290"/>
    <w:rsid w:val="00BB3567"/>
    <w:rsid w:val="00BB37D7"/>
    <w:rsid w:val="00BB5C1B"/>
    <w:rsid w:val="00BB619A"/>
    <w:rsid w:val="00BB6581"/>
    <w:rsid w:val="00BB765B"/>
    <w:rsid w:val="00BC1C6D"/>
    <w:rsid w:val="00BC2E89"/>
    <w:rsid w:val="00BC38B6"/>
    <w:rsid w:val="00BC3B46"/>
    <w:rsid w:val="00BC4804"/>
    <w:rsid w:val="00BC49E4"/>
    <w:rsid w:val="00BC4F28"/>
    <w:rsid w:val="00BC66C4"/>
    <w:rsid w:val="00BC7257"/>
    <w:rsid w:val="00BC79F2"/>
    <w:rsid w:val="00BD1C2A"/>
    <w:rsid w:val="00BD304A"/>
    <w:rsid w:val="00BD39FD"/>
    <w:rsid w:val="00BD47F6"/>
    <w:rsid w:val="00BD7F66"/>
    <w:rsid w:val="00BE0365"/>
    <w:rsid w:val="00BE0366"/>
    <w:rsid w:val="00BE1688"/>
    <w:rsid w:val="00BE17EF"/>
    <w:rsid w:val="00BE30D2"/>
    <w:rsid w:val="00BE36AC"/>
    <w:rsid w:val="00BE42F3"/>
    <w:rsid w:val="00BE579D"/>
    <w:rsid w:val="00BE6258"/>
    <w:rsid w:val="00BE6CDB"/>
    <w:rsid w:val="00BE790B"/>
    <w:rsid w:val="00BF48B7"/>
    <w:rsid w:val="00BF54B6"/>
    <w:rsid w:val="00BF63F1"/>
    <w:rsid w:val="00BF67C6"/>
    <w:rsid w:val="00BF7415"/>
    <w:rsid w:val="00C00AFF"/>
    <w:rsid w:val="00C01308"/>
    <w:rsid w:val="00C03BDD"/>
    <w:rsid w:val="00C03E1D"/>
    <w:rsid w:val="00C04BF8"/>
    <w:rsid w:val="00C06090"/>
    <w:rsid w:val="00C06D14"/>
    <w:rsid w:val="00C10777"/>
    <w:rsid w:val="00C10812"/>
    <w:rsid w:val="00C121CB"/>
    <w:rsid w:val="00C13487"/>
    <w:rsid w:val="00C14247"/>
    <w:rsid w:val="00C14890"/>
    <w:rsid w:val="00C16ADD"/>
    <w:rsid w:val="00C20539"/>
    <w:rsid w:val="00C22CDD"/>
    <w:rsid w:val="00C237B1"/>
    <w:rsid w:val="00C32361"/>
    <w:rsid w:val="00C3277A"/>
    <w:rsid w:val="00C32A94"/>
    <w:rsid w:val="00C32B3E"/>
    <w:rsid w:val="00C34F3D"/>
    <w:rsid w:val="00C373F9"/>
    <w:rsid w:val="00C40A22"/>
    <w:rsid w:val="00C414DA"/>
    <w:rsid w:val="00C417D0"/>
    <w:rsid w:val="00C4321A"/>
    <w:rsid w:val="00C437BB"/>
    <w:rsid w:val="00C460E7"/>
    <w:rsid w:val="00C465F5"/>
    <w:rsid w:val="00C47026"/>
    <w:rsid w:val="00C50041"/>
    <w:rsid w:val="00C50B49"/>
    <w:rsid w:val="00C50BE1"/>
    <w:rsid w:val="00C52146"/>
    <w:rsid w:val="00C52ADE"/>
    <w:rsid w:val="00C52CBB"/>
    <w:rsid w:val="00C53023"/>
    <w:rsid w:val="00C542D0"/>
    <w:rsid w:val="00C543DA"/>
    <w:rsid w:val="00C54752"/>
    <w:rsid w:val="00C5493E"/>
    <w:rsid w:val="00C550ED"/>
    <w:rsid w:val="00C55936"/>
    <w:rsid w:val="00C55A7A"/>
    <w:rsid w:val="00C6137E"/>
    <w:rsid w:val="00C64B09"/>
    <w:rsid w:val="00C66555"/>
    <w:rsid w:val="00C66B82"/>
    <w:rsid w:val="00C76C9E"/>
    <w:rsid w:val="00C77F15"/>
    <w:rsid w:val="00C800C0"/>
    <w:rsid w:val="00C81F0E"/>
    <w:rsid w:val="00C826AD"/>
    <w:rsid w:val="00C86B98"/>
    <w:rsid w:val="00C87BFF"/>
    <w:rsid w:val="00C91042"/>
    <w:rsid w:val="00C91F3F"/>
    <w:rsid w:val="00C93168"/>
    <w:rsid w:val="00C94299"/>
    <w:rsid w:val="00C9493D"/>
    <w:rsid w:val="00C97142"/>
    <w:rsid w:val="00CA1D8E"/>
    <w:rsid w:val="00CA4064"/>
    <w:rsid w:val="00CA6920"/>
    <w:rsid w:val="00CB1505"/>
    <w:rsid w:val="00CB1D37"/>
    <w:rsid w:val="00CB2335"/>
    <w:rsid w:val="00CB4C7C"/>
    <w:rsid w:val="00CB4F0D"/>
    <w:rsid w:val="00CB4FE7"/>
    <w:rsid w:val="00CB5DC5"/>
    <w:rsid w:val="00CB5F9E"/>
    <w:rsid w:val="00CB627E"/>
    <w:rsid w:val="00CB66D8"/>
    <w:rsid w:val="00CC33A0"/>
    <w:rsid w:val="00CC4409"/>
    <w:rsid w:val="00CC450B"/>
    <w:rsid w:val="00CC50E8"/>
    <w:rsid w:val="00CC5DFD"/>
    <w:rsid w:val="00CD031A"/>
    <w:rsid w:val="00CD1FD6"/>
    <w:rsid w:val="00CD366A"/>
    <w:rsid w:val="00CD447D"/>
    <w:rsid w:val="00CD60D2"/>
    <w:rsid w:val="00CD77BE"/>
    <w:rsid w:val="00CD79A1"/>
    <w:rsid w:val="00CE21E3"/>
    <w:rsid w:val="00CE251D"/>
    <w:rsid w:val="00CE2ADE"/>
    <w:rsid w:val="00CE568C"/>
    <w:rsid w:val="00CE60B6"/>
    <w:rsid w:val="00CE749B"/>
    <w:rsid w:val="00CF0134"/>
    <w:rsid w:val="00CF0557"/>
    <w:rsid w:val="00CF25D3"/>
    <w:rsid w:val="00CF2C86"/>
    <w:rsid w:val="00CF34FD"/>
    <w:rsid w:val="00CF6696"/>
    <w:rsid w:val="00CF6953"/>
    <w:rsid w:val="00D01A6D"/>
    <w:rsid w:val="00D03D81"/>
    <w:rsid w:val="00D07B80"/>
    <w:rsid w:val="00D10D30"/>
    <w:rsid w:val="00D10FB2"/>
    <w:rsid w:val="00D11F42"/>
    <w:rsid w:val="00D12991"/>
    <w:rsid w:val="00D133AA"/>
    <w:rsid w:val="00D15285"/>
    <w:rsid w:val="00D1719B"/>
    <w:rsid w:val="00D201E8"/>
    <w:rsid w:val="00D21688"/>
    <w:rsid w:val="00D230C6"/>
    <w:rsid w:val="00D23491"/>
    <w:rsid w:val="00D245B8"/>
    <w:rsid w:val="00D25954"/>
    <w:rsid w:val="00D30621"/>
    <w:rsid w:val="00D313D6"/>
    <w:rsid w:val="00D316D5"/>
    <w:rsid w:val="00D31C99"/>
    <w:rsid w:val="00D33EC4"/>
    <w:rsid w:val="00D3450A"/>
    <w:rsid w:val="00D34C3C"/>
    <w:rsid w:val="00D35967"/>
    <w:rsid w:val="00D3748F"/>
    <w:rsid w:val="00D37CDC"/>
    <w:rsid w:val="00D42EA6"/>
    <w:rsid w:val="00D42FFA"/>
    <w:rsid w:val="00D43613"/>
    <w:rsid w:val="00D44FF5"/>
    <w:rsid w:val="00D46FBE"/>
    <w:rsid w:val="00D474CC"/>
    <w:rsid w:val="00D500F3"/>
    <w:rsid w:val="00D51BB2"/>
    <w:rsid w:val="00D51C2B"/>
    <w:rsid w:val="00D52A78"/>
    <w:rsid w:val="00D5483A"/>
    <w:rsid w:val="00D57647"/>
    <w:rsid w:val="00D57FA5"/>
    <w:rsid w:val="00D61814"/>
    <w:rsid w:val="00D633BF"/>
    <w:rsid w:val="00D636F6"/>
    <w:rsid w:val="00D671E8"/>
    <w:rsid w:val="00D7142A"/>
    <w:rsid w:val="00D756FE"/>
    <w:rsid w:val="00D7649F"/>
    <w:rsid w:val="00D8010E"/>
    <w:rsid w:val="00D809CB"/>
    <w:rsid w:val="00D80B9B"/>
    <w:rsid w:val="00D82963"/>
    <w:rsid w:val="00D834DF"/>
    <w:rsid w:val="00D84D8B"/>
    <w:rsid w:val="00D85EFE"/>
    <w:rsid w:val="00D8792B"/>
    <w:rsid w:val="00D90913"/>
    <w:rsid w:val="00D93C6F"/>
    <w:rsid w:val="00D93CC9"/>
    <w:rsid w:val="00D95036"/>
    <w:rsid w:val="00D95D15"/>
    <w:rsid w:val="00D962AA"/>
    <w:rsid w:val="00D9780C"/>
    <w:rsid w:val="00DA115C"/>
    <w:rsid w:val="00DA1796"/>
    <w:rsid w:val="00DA24CA"/>
    <w:rsid w:val="00DA3627"/>
    <w:rsid w:val="00DA3E3D"/>
    <w:rsid w:val="00DA6160"/>
    <w:rsid w:val="00DA69ED"/>
    <w:rsid w:val="00DB0C74"/>
    <w:rsid w:val="00DB6BC5"/>
    <w:rsid w:val="00DB738C"/>
    <w:rsid w:val="00DB76B5"/>
    <w:rsid w:val="00DC03E4"/>
    <w:rsid w:val="00DC1A62"/>
    <w:rsid w:val="00DC27CE"/>
    <w:rsid w:val="00DC3821"/>
    <w:rsid w:val="00DC3DC9"/>
    <w:rsid w:val="00DC411B"/>
    <w:rsid w:val="00DC4EB1"/>
    <w:rsid w:val="00DC760A"/>
    <w:rsid w:val="00DD0E58"/>
    <w:rsid w:val="00DD160D"/>
    <w:rsid w:val="00DD17D3"/>
    <w:rsid w:val="00DD3916"/>
    <w:rsid w:val="00DD4203"/>
    <w:rsid w:val="00DD5A6D"/>
    <w:rsid w:val="00DD6465"/>
    <w:rsid w:val="00DD6F8D"/>
    <w:rsid w:val="00DE252E"/>
    <w:rsid w:val="00DE463A"/>
    <w:rsid w:val="00DE501D"/>
    <w:rsid w:val="00DE79B1"/>
    <w:rsid w:val="00DE7E85"/>
    <w:rsid w:val="00DF1E0C"/>
    <w:rsid w:val="00DF3CD3"/>
    <w:rsid w:val="00DF46D9"/>
    <w:rsid w:val="00DF5CD6"/>
    <w:rsid w:val="00DF78D0"/>
    <w:rsid w:val="00DF79E2"/>
    <w:rsid w:val="00DF7FB6"/>
    <w:rsid w:val="00E00A83"/>
    <w:rsid w:val="00E00D0A"/>
    <w:rsid w:val="00E0127D"/>
    <w:rsid w:val="00E01785"/>
    <w:rsid w:val="00E01F0C"/>
    <w:rsid w:val="00E03AEE"/>
    <w:rsid w:val="00E0664B"/>
    <w:rsid w:val="00E06E47"/>
    <w:rsid w:val="00E10F1D"/>
    <w:rsid w:val="00E12108"/>
    <w:rsid w:val="00E153C4"/>
    <w:rsid w:val="00E20037"/>
    <w:rsid w:val="00E22026"/>
    <w:rsid w:val="00E220BC"/>
    <w:rsid w:val="00E22A7D"/>
    <w:rsid w:val="00E22A87"/>
    <w:rsid w:val="00E230A1"/>
    <w:rsid w:val="00E23152"/>
    <w:rsid w:val="00E24DE1"/>
    <w:rsid w:val="00E26D02"/>
    <w:rsid w:val="00E31088"/>
    <w:rsid w:val="00E31BC6"/>
    <w:rsid w:val="00E32143"/>
    <w:rsid w:val="00E349A4"/>
    <w:rsid w:val="00E357DF"/>
    <w:rsid w:val="00E400F1"/>
    <w:rsid w:val="00E40BF1"/>
    <w:rsid w:val="00E40D07"/>
    <w:rsid w:val="00E412D7"/>
    <w:rsid w:val="00E445B7"/>
    <w:rsid w:val="00E4598E"/>
    <w:rsid w:val="00E46E02"/>
    <w:rsid w:val="00E47394"/>
    <w:rsid w:val="00E47D9B"/>
    <w:rsid w:val="00E542CA"/>
    <w:rsid w:val="00E54C97"/>
    <w:rsid w:val="00E62B66"/>
    <w:rsid w:val="00E6344A"/>
    <w:rsid w:val="00E64CFA"/>
    <w:rsid w:val="00E66F28"/>
    <w:rsid w:val="00E675FD"/>
    <w:rsid w:val="00E71B9B"/>
    <w:rsid w:val="00E72E4C"/>
    <w:rsid w:val="00E73DB5"/>
    <w:rsid w:val="00E74528"/>
    <w:rsid w:val="00E76C66"/>
    <w:rsid w:val="00E80E20"/>
    <w:rsid w:val="00E82773"/>
    <w:rsid w:val="00E82D08"/>
    <w:rsid w:val="00E83B57"/>
    <w:rsid w:val="00E84368"/>
    <w:rsid w:val="00E84377"/>
    <w:rsid w:val="00E86E4E"/>
    <w:rsid w:val="00E87933"/>
    <w:rsid w:val="00E919F6"/>
    <w:rsid w:val="00E94284"/>
    <w:rsid w:val="00E94B27"/>
    <w:rsid w:val="00EA456C"/>
    <w:rsid w:val="00EA52D8"/>
    <w:rsid w:val="00EA530C"/>
    <w:rsid w:val="00EA5A2E"/>
    <w:rsid w:val="00EA5B20"/>
    <w:rsid w:val="00EA7764"/>
    <w:rsid w:val="00EB03E6"/>
    <w:rsid w:val="00EB4959"/>
    <w:rsid w:val="00EB629B"/>
    <w:rsid w:val="00EB6914"/>
    <w:rsid w:val="00EC3F37"/>
    <w:rsid w:val="00EC4292"/>
    <w:rsid w:val="00EC7AFE"/>
    <w:rsid w:val="00ED106D"/>
    <w:rsid w:val="00ED23EF"/>
    <w:rsid w:val="00ED3601"/>
    <w:rsid w:val="00ED4BE1"/>
    <w:rsid w:val="00ED5E3D"/>
    <w:rsid w:val="00ED7416"/>
    <w:rsid w:val="00ED753C"/>
    <w:rsid w:val="00EE18A3"/>
    <w:rsid w:val="00EE23F7"/>
    <w:rsid w:val="00EE32D8"/>
    <w:rsid w:val="00EE32F0"/>
    <w:rsid w:val="00EE548C"/>
    <w:rsid w:val="00EE5F0C"/>
    <w:rsid w:val="00EE7E23"/>
    <w:rsid w:val="00EF1C37"/>
    <w:rsid w:val="00EF22BD"/>
    <w:rsid w:val="00EF2766"/>
    <w:rsid w:val="00EF6AE7"/>
    <w:rsid w:val="00EF78CE"/>
    <w:rsid w:val="00F00B38"/>
    <w:rsid w:val="00F0243F"/>
    <w:rsid w:val="00F03C87"/>
    <w:rsid w:val="00F04F8C"/>
    <w:rsid w:val="00F0505D"/>
    <w:rsid w:val="00F05747"/>
    <w:rsid w:val="00F05E51"/>
    <w:rsid w:val="00F06E4A"/>
    <w:rsid w:val="00F1122D"/>
    <w:rsid w:val="00F116B1"/>
    <w:rsid w:val="00F11D9E"/>
    <w:rsid w:val="00F13462"/>
    <w:rsid w:val="00F13609"/>
    <w:rsid w:val="00F15FBB"/>
    <w:rsid w:val="00F165E7"/>
    <w:rsid w:val="00F26D7F"/>
    <w:rsid w:val="00F32DF3"/>
    <w:rsid w:val="00F341DA"/>
    <w:rsid w:val="00F36FAB"/>
    <w:rsid w:val="00F4007E"/>
    <w:rsid w:val="00F404D7"/>
    <w:rsid w:val="00F406D9"/>
    <w:rsid w:val="00F42C5A"/>
    <w:rsid w:val="00F43094"/>
    <w:rsid w:val="00F44457"/>
    <w:rsid w:val="00F505F2"/>
    <w:rsid w:val="00F51B48"/>
    <w:rsid w:val="00F52BEC"/>
    <w:rsid w:val="00F56767"/>
    <w:rsid w:val="00F6045D"/>
    <w:rsid w:val="00F61E94"/>
    <w:rsid w:val="00F6268F"/>
    <w:rsid w:val="00F62EF4"/>
    <w:rsid w:val="00F64019"/>
    <w:rsid w:val="00F65096"/>
    <w:rsid w:val="00F70564"/>
    <w:rsid w:val="00F73C1B"/>
    <w:rsid w:val="00F75714"/>
    <w:rsid w:val="00F7677E"/>
    <w:rsid w:val="00F80832"/>
    <w:rsid w:val="00F81663"/>
    <w:rsid w:val="00F81846"/>
    <w:rsid w:val="00F84438"/>
    <w:rsid w:val="00F84F13"/>
    <w:rsid w:val="00F91783"/>
    <w:rsid w:val="00F920D1"/>
    <w:rsid w:val="00F92557"/>
    <w:rsid w:val="00F925F2"/>
    <w:rsid w:val="00F94A4F"/>
    <w:rsid w:val="00F94D20"/>
    <w:rsid w:val="00F95167"/>
    <w:rsid w:val="00F95AB6"/>
    <w:rsid w:val="00F9621B"/>
    <w:rsid w:val="00F97159"/>
    <w:rsid w:val="00F972F0"/>
    <w:rsid w:val="00FA0C93"/>
    <w:rsid w:val="00FA13F4"/>
    <w:rsid w:val="00FA2A56"/>
    <w:rsid w:val="00FA3E96"/>
    <w:rsid w:val="00FA43B2"/>
    <w:rsid w:val="00FA4631"/>
    <w:rsid w:val="00FA5EA7"/>
    <w:rsid w:val="00FA6035"/>
    <w:rsid w:val="00FB2BF1"/>
    <w:rsid w:val="00FB3DD4"/>
    <w:rsid w:val="00FB4D5D"/>
    <w:rsid w:val="00FB5303"/>
    <w:rsid w:val="00FB6BCF"/>
    <w:rsid w:val="00FB7CC9"/>
    <w:rsid w:val="00FC0F9F"/>
    <w:rsid w:val="00FC2788"/>
    <w:rsid w:val="00FC5296"/>
    <w:rsid w:val="00FC67EF"/>
    <w:rsid w:val="00FD0892"/>
    <w:rsid w:val="00FD0F02"/>
    <w:rsid w:val="00FD21DC"/>
    <w:rsid w:val="00FD4662"/>
    <w:rsid w:val="00FD4A84"/>
    <w:rsid w:val="00FE05BE"/>
    <w:rsid w:val="00FE0BFC"/>
    <w:rsid w:val="00FE1E08"/>
    <w:rsid w:val="00FE330C"/>
    <w:rsid w:val="00FE6D97"/>
    <w:rsid w:val="00FE6E06"/>
    <w:rsid w:val="00FE74A5"/>
    <w:rsid w:val="00FF03E2"/>
    <w:rsid w:val="00FF1DC0"/>
    <w:rsid w:val="00FF3495"/>
    <w:rsid w:val="00FF3BEF"/>
    <w:rsid w:val="00FF4040"/>
    <w:rsid w:val="00FF49A0"/>
    <w:rsid w:val="00FF5C85"/>
    <w:rsid w:val="00FF5CA2"/>
    <w:rsid w:val="00FF71A4"/>
    <w:rsid w:val="00FF73F3"/>
    <w:rsid w:val="016B62D3"/>
    <w:rsid w:val="04AF3554"/>
    <w:rsid w:val="06CE7B96"/>
    <w:rsid w:val="08522A47"/>
    <w:rsid w:val="0A4A17B7"/>
    <w:rsid w:val="0C4637B3"/>
    <w:rsid w:val="0C5A5429"/>
    <w:rsid w:val="0C7873FC"/>
    <w:rsid w:val="0D875840"/>
    <w:rsid w:val="0DEB2463"/>
    <w:rsid w:val="0E687E51"/>
    <w:rsid w:val="0F660462"/>
    <w:rsid w:val="108535CD"/>
    <w:rsid w:val="10861EB6"/>
    <w:rsid w:val="10B44438"/>
    <w:rsid w:val="12403D36"/>
    <w:rsid w:val="131F747B"/>
    <w:rsid w:val="178A14DD"/>
    <w:rsid w:val="18362F9E"/>
    <w:rsid w:val="19127740"/>
    <w:rsid w:val="193C7AAD"/>
    <w:rsid w:val="1B611FA5"/>
    <w:rsid w:val="1BDB6501"/>
    <w:rsid w:val="1D1D6183"/>
    <w:rsid w:val="1DC64455"/>
    <w:rsid w:val="1FA357E7"/>
    <w:rsid w:val="1FCF73FB"/>
    <w:rsid w:val="21436F30"/>
    <w:rsid w:val="21F51B06"/>
    <w:rsid w:val="22595699"/>
    <w:rsid w:val="22E239A1"/>
    <w:rsid w:val="26284582"/>
    <w:rsid w:val="272B570C"/>
    <w:rsid w:val="28E248E3"/>
    <w:rsid w:val="2985214B"/>
    <w:rsid w:val="2BC5450C"/>
    <w:rsid w:val="2DB239FD"/>
    <w:rsid w:val="323E26BC"/>
    <w:rsid w:val="3254745D"/>
    <w:rsid w:val="33F315F7"/>
    <w:rsid w:val="35AD58BF"/>
    <w:rsid w:val="36344A83"/>
    <w:rsid w:val="36572486"/>
    <w:rsid w:val="36590B06"/>
    <w:rsid w:val="39AA092B"/>
    <w:rsid w:val="39F55990"/>
    <w:rsid w:val="3B622BCE"/>
    <w:rsid w:val="3BD66892"/>
    <w:rsid w:val="3C395577"/>
    <w:rsid w:val="3D672C1E"/>
    <w:rsid w:val="3D675915"/>
    <w:rsid w:val="3F5760E6"/>
    <w:rsid w:val="3FA56F66"/>
    <w:rsid w:val="417C1BAE"/>
    <w:rsid w:val="452D7B7D"/>
    <w:rsid w:val="45834691"/>
    <w:rsid w:val="459C7145"/>
    <w:rsid w:val="4AB0795C"/>
    <w:rsid w:val="4AC76808"/>
    <w:rsid w:val="4AF57E91"/>
    <w:rsid w:val="4B121D13"/>
    <w:rsid w:val="4B513F2B"/>
    <w:rsid w:val="4F1E27E1"/>
    <w:rsid w:val="515E0C30"/>
    <w:rsid w:val="52115CFA"/>
    <w:rsid w:val="524A5F1C"/>
    <w:rsid w:val="55E033FF"/>
    <w:rsid w:val="560001B1"/>
    <w:rsid w:val="58AB6E94"/>
    <w:rsid w:val="590A778C"/>
    <w:rsid w:val="5A043192"/>
    <w:rsid w:val="5CA86DE5"/>
    <w:rsid w:val="5CE6117B"/>
    <w:rsid w:val="5DE20BFD"/>
    <w:rsid w:val="6187299A"/>
    <w:rsid w:val="61B42D01"/>
    <w:rsid w:val="62305B90"/>
    <w:rsid w:val="62761176"/>
    <w:rsid w:val="63172CD2"/>
    <w:rsid w:val="63974EF5"/>
    <w:rsid w:val="6707754A"/>
    <w:rsid w:val="67D03730"/>
    <w:rsid w:val="6A447C08"/>
    <w:rsid w:val="6AB62CD5"/>
    <w:rsid w:val="6BFE5886"/>
    <w:rsid w:val="6C0A0665"/>
    <w:rsid w:val="6C152155"/>
    <w:rsid w:val="6CC3082C"/>
    <w:rsid w:val="6D5A0DB0"/>
    <w:rsid w:val="6D95652C"/>
    <w:rsid w:val="6E971F5A"/>
    <w:rsid w:val="70076D0A"/>
    <w:rsid w:val="778B201F"/>
    <w:rsid w:val="794F7ACC"/>
    <w:rsid w:val="795B171A"/>
    <w:rsid w:val="7CD903D4"/>
    <w:rsid w:val="7F3C12C7"/>
    <w:rsid w:val="7F577F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51"/>
    <w:qFormat/>
    <w:uiPriority w:val="9"/>
    <w:pPr>
      <w:keepNext/>
      <w:keepLines/>
      <w:spacing w:before="260" w:after="260" w:line="413" w:lineRule="auto"/>
      <w:outlineLvl w:val="1"/>
    </w:pPr>
    <w:rPr>
      <w:rFonts w:ascii="Arial" w:hAnsi="Arial" w:eastAsia="黑体"/>
      <w:b/>
      <w:bCs/>
      <w:szCs w:val="32"/>
    </w:rPr>
  </w:style>
  <w:style w:type="paragraph" w:styleId="4">
    <w:name w:val="heading 3"/>
    <w:basedOn w:val="1"/>
    <w:next w:val="1"/>
    <w:link w:val="43"/>
    <w:qFormat/>
    <w:uiPriority w:val="0"/>
    <w:pPr>
      <w:keepNext/>
      <w:keepLines/>
      <w:spacing w:before="260" w:after="260" w:line="416" w:lineRule="auto"/>
      <w:outlineLvl w:val="2"/>
    </w:pPr>
    <w:rPr>
      <w:b/>
      <w:bCs/>
      <w:sz w:val="32"/>
      <w:szCs w:val="32"/>
    </w:rPr>
  </w:style>
  <w:style w:type="paragraph" w:styleId="5">
    <w:name w:val="heading 4"/>
    <w:basedOn w:val="1"/>
    <w:next w:val="1"/>
    <w:link w:val="45"/>
    <w:qFormat/>
    <w:uiPriority w:val="0"/>
    <w:pPr>
      <w:keepNext/>
      <w:keepLines/>
      <w:spacing w:before="280" w:after="290" w:line="376" w:lineRule="auto"/>
      <w:outlineLvl w:val="3"/>
    </w:pPr>
    <w:rPr>
      <w:rFonts w:ascii="Calibri Light" w:hAnsi="Calibri Light"/>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6">
    <w:name w:val="Normal Indent"/>
    <w:basedOn w:val="1"/>
    <w:link w:val="55"/>
    <w:uiPriority w:val="0"/>
    <w:pPr>
      <w:ind w:firstLine="420"/>
    </w:pPr>
    <w:rPr>
      <w:kern w:val="0"/>
      <w:sz w:val="20"/>
      <w:szCs w:val="20"/>
    </w:rPr>
  </w:style>
  <w:style w:type="paragraph" w:styleId="7">
    <w:name w:val="Document Map"/>
    <w:basedOn w:val="1"/>
    <w:link w:val="39"/>
    <w:uiPriority w:val="0"/>
    <w:rPr>
      <w:rFonts w:ascii="宋体"/>
      <w:sz w:val="18"/>
      <w:szCs w:val="18"/>
    </w:rPr>
  </w:style>
  <w:style w:type="paragraph" w:styleId="8">
    <w:name w:val="annotation text"/>
    <w:basedOn w:val="1"/>
    <w:link w:val="36"/>
    <w:uiPriority w:val="0"/>
    <w:pPr>
      <w:jc w:val="left"/>
    </w:pPr>
  </w:style>
  <w:style w:type="paragraph" w:styleId="9">
    <w:name w:val="Body Text"/>
    <w:basedOn w:val="1"/>
    <w:link w:val="53"/>
    <w:uiPriority w:val="0"/>
    <w:pPr>
      <w:spacing w:after="120"/>
    </w:pPr>
  </w:style>
  <w:style w:type="paragraph" w:styleId="10">
    <w:name w:val="Body Text Indent"/>
    <w:basedOn w:val="1"/>
    <w:qFormat/>
    <w:uiPriority w:val="0"/>
    <w:pPr>
      <w:spacing w:line="480" w:lineRule="exact"/>
      <w:ind w:firstLine="480" w:firstLineChars="200"/>
    </w:pPr>
    <w:rPr>
      <w:rFonts w:ascii="宋体" w:hAnsi="宋体"/>
      <w:sz w:val="24"/>
    </w:rPr>
  </w:style>
  <w:style w:type="paragraph" w:styleId="11">
    <w:name w:val="Plain Text"/>
    <w:basedOn w:val="1"/>
    <w:link w:val="42"/>
    <w:qFormat/>
    <w:uiPriority w:val="0"/>
    <w:rPr>
      <w:rFonts w:ascii="宋体" w:hAnsi="Courier New"/>
      <w:szCs w:val="20"/>
    </w:rPr>
  </w:style>
  <w:style w:type="paragraph" w:styleId="12">
    <w:name w:val="Balloon Text"/>
    <w:basedOn w:val="1"/>
    <w:link w:val="54"/>
    <w:uiPriority w:val="0"/>
    <w:rPr>
      <w:sz w:val="18"/>
      <w:szCs w:val="18"/>
    </w:rPr>
  </w:style>
  <w:style w:type="paragraph" w:styleId="13">
    <w:name w:val="footer"/>
    <w:basedOn w:val="1"/>
    <w:link w:val="57"/>
    <w:qFormat/>
    <w:uiPriority w:val="0"/>
    <w:pPr>
      <w:tabs>
        <w:tab w:val="center" w:pos="4153"/>
        <w:tab w:val="right" w:pos="8306"/>
      </w:tabs>
      <w:snapToGrid w:val="0"/>
      <w:jc w:val="left"/>
    </w:pPr>
    <w:rPr>
      <w:sz w:val="18"/>
      <w:szCs w:val="18"/>
    </w:rPr>
  </w:style>
  <w:style w:type="paragraph" w:styleId="14">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toc 2"/>
    <w:basedOn w:val="1"/>
    <w:next w:val="1"/>
    <w:uiPriority w:val="39"/>
    <w:pPr>
      <w:ind w:left="420" w:leftChars="200"/>
    </w:pPr>
  </w:style>
  <w:style w:type="paragraph" w:styleId="17">
    <w:name w:val="Body Text 2"/>
    <w:basedOn w:val="1"/>
    <w:link w:val="33"/>
    <w:uiPriority w:val="0"/>
    <w:pPr>
      <w:spacing w:after="120" w:line="480" w:lineRule="auto"/>
    </w:pPr>
  </w:style>
  <w:style w:type="paragraph" w:styleId="18">
    <w:name w:val="Normal (Web)"/>
    <w:basedOn w:val="1"/>
    <w:qFormat/>
    <w:uiPriority w:val="99"/>
    <w:pPr>
      <w:widowControl/>
      <w:spacing w:before="100" w:beforeAutospacing="1" w:after="100" w:afterAutospacing="1"/>
      <w:jc w:val="left"/>
    </w:pPr>
    <w:rPr>
      <w:rFonts w:ascii="宋体" w:hAnsi="宋体"/>
      <w:kern w:val="0"/>
      <w:sz w:val="24"/>
    </w:rPr>
  </w:style>
  <w:style w:type="paragraph" w:styleId="19">
    <w:name w:val="Title"/>
    <w:basedOn w:val="1"/>
    <w:link w:val="34"/>
    <w:qFormat/>
    <w:uiPriority w:val="0"/>
    <w:pPr>
      <w:spacing w:before="240" w:after="60"/>
      <w:jc w:val="center"/>
      <w:outlineLvl w:val="0"/>
    </w:pPr>
    <w:rPr>
      <w:rFonts w:ascii="Arial" w:hAnsi="Arial"/>
      <w:b/>
      <w:sz w:val="32"/>
      <w:szCs w:val="22"/>
    </w:rPr>
  </w:style>
  <w:style w:type="paragraph" w:styleId="20">
    <w:name w:val="annotation subject"/>
    <w:basedOn w:val="8"/>
    <w:next w:val="8"/>
    <w:link w:val="44"/>
    <w:uiPriority w:val="0"/>
    <w:rPr>
      <w:b/>
      <w:bCs/>
    </w:rPr>
  </w:style>
  <w:style w:type="table" w:styleId="22">
    <w:name w:val="Table Grid"/>
    <w:basedOn w:val="21"/>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autoRedefine/>
    <w:qFormat/>
    <w:uiPriority w:val="22"/>
    <w:rPr>
      <w:b/>
      <w:bCs/>
    </w:rPr>
  </w:style>
  <w:style w:type="character" w:styleId="25">
    <w:name w:val="page number"/>
    <w:basedOn w:val="23"/>
    <w:autoRedefine/>
    <w:qFormat/>
    <w:uiPriority w:val="0"/>
  </w:style>
  <w:style w:type="character" w:styleId="26">
    <w:name w:val="Hyperlink"/>
    <w:autoRedefine/>
    <w:qFormat/>
    <w:uiPriority w:val="99"/>
    <w:rPr>
      <w:color w:val="0000FF"/>
      <w:u w:val="single"/>
    </w:rPr>
  </w:style>
  <w:style w:type="character" w:styleId="27">
    <w:name w:val="annotation reference"/>
    <w:autoRedefine/>
    <w:qFormat/>
    <w:uiPriority w:val="0"/>
    <w:rPr>
      <w:sz w:val="21"/>
      <w:szCs w:val="21"/>
    </w:rPr>
  </w:style>
  <w:style w:type="character" w:customStyle="1" w:styleId="28">
    <w:name w:val="font11"/>
    <w:autoRedefine/>
    <w:qFormat/>
    <w:uiPriority w:val="0"/>
    <w:rPr>
      <w:rFonts w:hint="eastAsia" w:ascii="宋体" w:hAnsi="宋体" w:eastAsia="宋体" w:cs="宋体"/>
      <w:b/>
      <w:color w:val="000000"/>
      <w:sz w:val="18"/>
      <w:szCs w:val="18"/>
      <w:u w:val="none"/>
    </w:rPr>
  </w:style>
  <w:style w:type="character" w:customStyle="1" w:styleId="29">
    <w:name w:val="font41"/>
    <w:autoRedefine/>
    <w:qFormat/>
    <w:uiPriority w:val="0"/>
    <w:rPr>
      <w:rFonts w:ascii="Calibri" w:hAnsi="Calibri" w:cs="Calibri"/>
      <w:color w:val="000000"/>
      <w:sz w:val="18"/>
      <w:szCs w:val="18"/>
      <w:u w:val="none"/>
    </w:rPr>
  </w:style>
  <w:style w:type="character" w:customStyle="1" w:styleId="30">
    <w:name w:val="纯文本 字符1"/>
    <w:autoRedefine/>
    <w:qFormat/>
    <w:uiPriority w:val="0"/>
    <w:rPr>
      <w:rFonts w:ascii="宋体" w:hAnsi="Courier New" w:eastAsia="宋体" w:cs="Times New Roman"/>
      <w:sz w:val="24"/>
      <w:szCs w:val="24"/>
    </w:rPr>
  </w:style>
  <w:style w:type="character" w:customStyle="1" w:styleId="31">
    <w:name w:val="纯文本 Char1"/>
    <w:autoRedefine/>
    <w:qFormat/>
    <w:uiPriority w:val="99"/>
    <w:rPr>
      <w:rFonts w:ascii="宋体" w:hAnsi="Courier New" w:eastAsia="宋体" w:cs="Times New Roman"/>
      <w:kern w:val="2"/>
      <w:sz w:val="21"/>
    </w:rPr>
  </w:style>
  <w:style w:type="character" w:customStyle="1" w:styleId="32">
    <w:name w:val="font01"/>
    <w:autoRedefine/>
    <w:qFormat/>
    <w:uiPriority w:val="0"/>
    <w:rPr>
      <w:color w:val="FF0000"/>
      <w:sz w:val="22"/>
      <w:szCs w:val="22"/>
      <w:u w:val="none"/>
    </w:rPr>
  </w:style>
  <w:style w:type="character" w:customStyle="1" w:styleId="33">
    <w:name w:val="正文文本 2 Char"/>
    <w:link w:val="17"/>
    <w:uiPriority w:val="0"/>
    <w:rPr>
      <w:rFonts w:ascii="Times New Roman" w:hAnsi="Times New Roman"/>
      <w:kern w:val="2"/>
      <w:sz w:val="21"/>
      <w:szCs w:val="24"/>
    </w:rPr>
  </w:style>
  <w:style w:type="character" w:customStyle="1" w:styleId="34">
    <w:name w:val="标题 Char"/>
    <w:link w:val="19"/>
    <w:uiPriority w:val="0"/>
    <w:rPr>
      <w:rFonts w:ascii="Arial" w:hAnsi="Arial"/>
      <w:b/>
      <w:kern w:val="2"/>
      <w:sz w:val="32"/>
      <w:szCs w:val="22"/>
    </w:rPr>
  </w:style>
  <w:style w:type="character" w:customStyle="1" w:styleId="35">
    <w:name w:val="font61"/>
    <w:uiPriority w:val="0"/>
    <w:rPr>
      <w:rFonts w:hint="eastAsia" w:ascii="宋体" w:hAnsi="宋体" w:eastAsia="宋体" w:cs="宋体"/>
      <w:color w:val="000000"/>
      <w:sz w:val="18"/>
      <w:szCs w:val="18"/>
      <w:u w:val="none"/>
    </w:rPr>
  </w:style>
  <w:style w:type="character" w:customStyle="1" w:styleId="36">
    <w:name w:val="批注文字 Char1"/>
    <w:link w:val="8"/>
    <w:uiPriority w:val="0"/>
    <w:rPr>
      <w:rFonts w:ascii="Times New Roman" w:hAnsi="Times New Roman"/>
      <w:kern w:val="2"/>
      <w:sz w:val="21"/>
      <w:szCs w:val="24"/>
    </w:rPr>
  </w:style>
  <w:style w:type="character" w:customStyle="1" w:styleId="37">
    <w:name w:val="样式1 Char"/>
    <w:link w:val="38"/>
    <w:uiPriority w:val="0"/>
    <w:rPr>
      <w:rFonts w:ascii="Arial" w:hAnsi="Arial"/>
      <w:kern w:val="2"/>
      <w:sz w:val="21"/>
      <w:szCs w:val="24"/>
    </w:rPr>
  </w:style>
  <w:style w:type="paragraph" w:customStyle="1" w:styleId="38">
    <w:name w:val="样式1"/>
    <w:basedOn w:val="1"/>
    <w:link w:val="37"/>
    <w:uiPriority w:val="0"/>
    <w:pPr>
      <w:spacing w:line="360" w:lineRule="exact"/>
      <w:ind w:firstLine="200" w:firstLineChars="200"/>
    </w:pPr>
    <w:rPr>
      <w:rFonts w:ascii="Arial" w:hAnsi="Arial"/>
    </w:rPr>
  </w:style>
  <w:style w:type="character" w:customStyle="1" w:styleId="39">
    <w:name w:val="文档结构图 Char"/>
    <w:link w:val="7"/>
    <w:uiPriority w:val="0"/>
    <w:rPr>
      <w:rFonts w:ascii="宋体"/>
      <w:kern w:val="2"/>
      <w:sz w:val="18"/>
      <w:szCs w:val="18"/>
    </w:rPr>
  </w:style>
  <w:style w:type="character" w:customStyle="1" w:styleId="40">
    <w:name w:val="未处理的提及"/>
    <w:unhideWhenUsed/>
    <w:uiPriority w:val="99"/>
    <w:rPr>
      <w:color w:val="605E5C"/>
      <w:shd w:val="clear" w:color="auto" w:fill="E1DFDD"/>
    </w:rPr>
  </w:style>
  <w:style w:type="character" w:customStyle="1" w:styleId="41">
    <w:name w:val="so-ask-best"/>
    <w:autoRedefine/>
    <w:qFormat/>
    <w:uiPriority w:val="0"/>
  </w:style>
  <w:style w:type="character" w:customStyle="1" w:styleId="42">
    <w:name w:val="纯文本 Char"/>
    <w:link w:val="11"/>
    <w:uiPriority w:val="0"/>
    <w:rPr>
      <w:rFonts w:ascii="宋体" w:hAnsi="Courier New" w:eastAsia="宋体"/>
      <w:kern w:val="2"/>
      <w:sz w:val="21"/>
      <w:lang w:val="en-US" w:eastAsia="zh-CN" w:bidi="ar-SA"/>
    </w:rPr>
  </w:style>
  <w:style w:type="character" w:customStyle="1" w:styleId="43">
    <w:name w:val="标题 3 Char"/>
    <w:link w:val="4"/>
    <w:semiHidden/>
    <w:uiPriority w:val="0"/>
    <w:rPr>
      <w:rFonts w:ascii="Times New Roman" w:hAnsi="Times New Roman"/>
      <w:b/>
      <w:bCs/>
      <w:kern w:val="2"/>
      <w:sz w:val="32"/>
      <w:szCs w:val="32"/>
    </w:rPr>
  </w:style>
  <w:style w:type="character" w:customStyle="1" w:styleId="44">
    <w:name w:val="批注主题 Char"/>
    <w:link w:val="20"/>
    <w:uiPriority w:val="0"/>
    <w:rPr>
      <w:rFonts w:ascii="Times New Roman" w:hAnsi="Times New Roman"/>
      <w:b/>
      <w:bCs/>
      <w:kern w:val="2"/>
      <w:sz w:val="21"/>
      <w:szCs w:val="24"/>
    </w:rPr>
  </w:style>
  <w:style w:type="character" w:customStyle="1" w:styleId="45">
    <w:name w:val="标题 4 Char"/>
    <w:link w:val="5"/>
    <w:semiHidden/>
    <w:uiPriority w:val="0"/>
    <w:rPr>
      <w:rFonts w:ascii="Calibri Light" w:hAnsi="Calibri Light" w:eastAsia="宋体" w:cs="Times New Roman"/>
      <w:b/>
      <w:bCs/>
      <w:kern w:val="2"/>
      <w:sz w:val="28"/>
      <w:szCs w:val="28"/>
    </w:rPr>
  </w:style>
  <w:style w:type="character" w:customStyle="1" w:styleId="46">
    <w:name w:val="font21"/>
    <w:qFormat/>
    <w:uiPriority w:val="0"/>
    <w:rPr>
      <w:rFonts w:hint="eastAsia" w:ascii="宋体" w:hAnsi="宋体" w:eastAsia="宋体"/>
      <w:color w:val="000000"/>
      <w:sz w:val="24"/>
      <w:szCs w:val="24"/>
      <w:u w:val="none"/>
    </w:rPr>
  </w:style>
  <w:style w:type="character" w:customStyle="1" w:styleId="47">
    <w:name w:val="标题 1 Char"/>
    <w:link w:val="2"/>
    <w:qFormat/>
    <w:uiPriority w:val="0"/>
    <w:rPr>
      <w:rFonts w:ascii="Times New Roman" w:hAnsi="Times New Roman"/>
      <w:b/>
      <w:bCs/>
      <w:kern w:val="44"/>
      <w:sz w:val="44"/>
      <w:szCs w:val="44"/>
    </w:rPr>
  </w:style>
  <w:style w:type="character" w:customStyle="1" w:styleId="48">
    <w:name w:val="font31"/>
    <w:autoRedefine/>
    <w:qFormat/>
    <w:uiPriority w:val="0"/>
    <w:rPr>
      <w:rFonts w:hint="eastAsia" w:ascii="宋体" w:hAnsi="宋体" w:eastAsia="宋体"/>
      <w:b/>
      <w:bCs/>
      <w:color w:val="FF0000"/>
      <w:sz w:val="24"/>
      <w:szCs w:val="24"/>
      <w:u w:val="none"/>
    </w:rPr>
  </w:style>
  <w:style w:type="character" w:customStyle="1" w:styleId="49">
    <w:name w:val="批注文字 Char"/>
    <w:semiHidden/>
    <w:uiPriority w:val="99"/>
    <w:rPr>
      <w:rFonts w:ascii="宋体" w:hAnsi="宋体" w:eastAsia="宋体" w:cs="宋体"/>
    </w:rPr>
  </w:style>
  <w:style w:type="character" w:customStyle="1" w:styleId="50">
    <w:name w:val="页脚 Char"/>
    <w:autoRedefine/>
    <w:qFormat/>
    <w:uiPriority w:val="99"/>
    <w:rPr>
      <w:rFonts w:eastAsia="Calibri"/>
      <w:sz w:val="21"/>
    </w:rPr>
  </w:style>
  <w:style w:type="character" w:customStyle="1" w:styleId="51">
    <w:name w:val="标题 2 Char"/>
    <w:link w:val="3"/>
    <w:qFormat/>
    <w:uiPriority w:val="9"/>
    <w:rPr>
      <w:rFonts w:ascii="Arial" w:hAnsi="Arial" w:eastAsia="黑体"/>
      <w:b/>
      <w:bCs/>
      <w:kern w:val="2"/>
      <w:sz w:val="21"/>
      <w:szCs w:val="32"/>
    </w:rPr>
  </w:style>
  <w:style w:type="character" w:customStyle="1" w:styleId="52">
    <w:name w:val="页眉 Char"/>
    <w:link w:val="14"/>
    <w:uiPriority w:val="0"/>
    <w:rPr>
      <w:rFonts w:ascii="Times New Roman" w:hAnsi="Times New Roman"/>
      <w:kern w:val="2"/>
      <w:sz w:val="18"/>
      <w:szCs w:val="18"/>
    </w:rPr>
  </w:style>
  <w:style w:type="character" w:customStyle="1" w:styleId="53">
    <w:name w:val="正文文本 Char"/>
    <w:link w:val="9"/>
    <w:autoRedefine/>
    <w:qFormat/>
    <w:uiPriority w:val="0"/>
    <w:rPr>
      <w:rFonts w:ascii="Times New Roman" w:hAnsi="Times New Roman"/>
      <w:kern w:val="2"/>
      <w:sz w:val="21"/>
      <w:szCs w:val="24"/>
    </w:rPr>
  </w:style>
  <w:style w:type="character" w:customStyle="1" w:styleId="54">
    <w:name w:val="批注框文本 Char"/>
    <w:link w:val="12"/>
    <w:autoRedefine/>
    <w:qFormat/>
    <w:uiPriority w:val="0"/>
    <w:rPr>
      <w:rFonts w:ascii="Times New Roman" w:hAnsi="Times New Roman"/>
      <w:kern w:val="2"/>
      <w:sz w:val="18"/>
      <w:szCs w:val="18"/>
    </w:rPr>
  </w:style>
  <w:style w:type="character" w:customStyle="1" w:styleId="55">
    <w:name w:val="正文缩进 Char"/>
    <w:link w:val="6"/>
    <w:uiPriority w:val="0"/>
    <w:rPr>
      <w:rFonts w:ascii="Times New Roman" w:hAnsi="Times New Roman"/>
    </w:rPr>
  </w:style>
  <w:style w:type="character" w:customStyle="1" w:styleId="56">
    <w:name w:val="font71"/>
    <w:uiPriority w:val="0"/>
    <w:rPr>
      <w:rFonts w:hint="eastAsia" w:ascii="宋体" w:hAnsi="宋体" w:eastAsia="宋体"/>
      <w:color w:val="000000"/>
      <w:sz w:val="24"/>
      <w:szCs w:val="24"/>
      <w:u w:val="none"/>
    </w:rPr>
  </w:style>
  <w:style w:type="character" w:customStyle="1" w:styleId="57">
    <w:name w:val="页脚 Char1"/>
    <w:link w:val="13"/>
    <w:uiPriority w:val="0"/>
    <w:rPr>
      <w:rFonts w:ascii="Times New Roman" w:hAnsi="Times New Roman"/>
      <w:kern w:val="2"/>
      <w:sz w:val="18"/>
      <w:szCs w:val="18"/>
    </w:rPr>
  </w:style>
  <w:style w:type="character" w:customStyle="1" w:styleId="58">
    <w:name w:val="zbggmain style9"/>
    <w:uiPriority w:val="0"/>
    <w:rPr>
      <w:rFonts w:ascii="Courier New" w:eastAsia="Courier New"/>
      <w:b/>
      <w:kern w:val="2"/>
      <w:sz w:val="32"/>
      <w:szCs w:val="32"/>
      <w:lang w:val="en-US" w:eastAsia="zh-CN" w:bidi="ar-SA"/>
    </w:rPr>
  </w:style>
  <w:style w:type="character" w:customStyle="1" w:styleId="59">
    <w:name w:val="font51"/>
    <w:autoRedefine/>
    <w:qFormat/>
    <w:uiPriority w:val="0"/>
    <w:rPr>
      <w:rFonts w:hint="eastAsia" w:ascii="宋体" w:hAnsi="宋体" w:eastAsia="宋体"/>
      <w:b/>
      <w:bCs/>
      <w:color w:val="000000"/>
      <w:sz w:val="24"/>
      <w:szCs w:val="24"/>
      <w:u w:val="none"/>
    </w:rPr>
  </w:style>
  <w:style w:type="character" w:customStyle="1" w:styleId="60">
    <w:name w:val="font81"/>
    <w:autoRedefine/>
    <w:qFormat/>
    <w:uiPriority w:val="0"/>
    <w:rPr>
      <w:rFonts w:hint="eastAsia" w:ascii="宋体" w:hAnsi="宋体" w:eastAsia="宋体"/>
      <w:color w:val="FF0000"/>
      <w:sz w:val="24"/>
      <w:szCs w:val="24"/>
      <w:u w:val="none"/>
    </w:rPr>
  </w:style>
  <w:style w:type="paragraph" w:customStyle="1" w:styleId="61">
    <w:name w:val="图表标题"/>
    <w:basedOn w:val="1"/>
    <w:autoRedefine/>
    <w:qFormat/>
    <w:uiPriority w:val="0"/>
    <w:pPr>
      <w:autoSpaceDE w:val="0"/>
      <w:autoSpaceDN w:val="0"/>
      <w:adjustRightInd w:val="0"/>
      <w:snapToGrid w:val="0"/>
      <w:spacing w:before="80" w:after="40" w:line="288" w:lineRule="auto"/>
      <w:jc w:val="center"/>
    </w:pPr>
    <w:rPr>
      <w:spacing w:val="10"/>
      <w:kern w:val="0"/>
      <w:sz w:val="24"/>
      <w:szCs w:val="20"/>
    </w:rPr>
  </w:style>
  <w:style w:type="paragraph" w:customStyle="1" w:styleId="62">
    <w:name w:val="Proposals body"/>
    <w:basedOn w:val="1"/>
    <w:next w:val="1"/>
    <w:autoRedefine/>
    <w:qFormat/>
    <w:uiPriority w:val="0"/>
    <w:pPr>
      <w:widowControl/>
      <w:spacing w:line="360" w:lineRule="auto"/>
      <w:jc w:val="left"/>
    </w:pPr>
    <w:rPr>
      <w:rFonts w:ascii="宋体"/>
      <w:snapToGrid w:val="0"/>
      <w:color w:val="000000"/>
      <w:kern w:val="0"/>
      <w:sz w:val="24"/>
      <w:szCs w:val="20"/>
    </w:rPr>
  </w:style>
  <w:style w:type="paragraph" w:customStyle="1" w:styleId="63">
    <w:name w:val="表格非标题文字"/>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styleId="64">
    <w:name w:val="List Paragraph"/>
    <w:basedOn w:val="1"/>
    <w:autoRedefine/>
    <w:qFormat/>
    <w:uiPriority w:val="34"/>
    <w:pPr>
      <w:ind w:firstLine="420" w:firstLineChars="200"/>
    </w:pPr>
    <w:rPr>
      <w:rFonts w:ascii="Calibri" w:hAnsi="Calibri" w:eastAsia="宋体" w:cs="Times New Roman"/>
      <w:szCs w:val="22"/>
    </w:rPr>
  </w:style>
  <w:style w:type="paragraph" w:customStyle="1" w:styleId="65">
    <w:name w:val="_Style 64"/>
    <w:autoRedefine/>
    <w:semiHidden/>
    <w:qFormat/>
    <w:uiPriority w:val="99"/>
    <w:rPr>
      <w:rFonts w:ascii="Times New Roman" w:hAnsi="Times New Roman" w:eastAsia="宋体" w:cs="Times New Roman"/>
      <w:kern w:val="2"/>
      <w:sz w:val="21"/>
      <w:szCs w:val="24"/>
      <w:lang w:val="en-US" w:eastAsia="zh-CN" w:bidi="ar-SA"/>
    </w:rPr>
  </w:style>
  <w:style w:type="paragraph" w:customStyle="1" w:styleId="66">
    <w:name w:val="列出段落1"/>
    <w:basedOn w:val="1"/>
    <w:autoRedefine/>
    <w:qFormat/>
    <w:uiPriority w:val="0"/>
    <w:pPr>
      <w:ind w:firstLine="420" w:firstLineChars="200"/>
    </w:pPr>
    <w:rPr>
      <w:rFonts w:ascii="等线" w:hAnsi="等线"/>
      <w:szCs w:val="21"/>
    </w:rPr>
  </w:style>
  <w:style w:type="paragraph" w:customStyle="1" w:styleId="67">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
    <w:name w:val="Char1"/>
    <w:basedOn w:val="1"/>
    <w:autoRedefine/>
    <w:qFormat/>
    <w:uiPriority w:val="0"/>
    <w:rPr>
      <w:rFonts w:ascii="仿宋_GB2312" w:eastAsia="仿宋_GB2312"/>
      <w:b/>
      <w:sz w:val="32"/>
      <w:szCs w:val="32"/>
    </w:rPr>
  </w:style>
  <w:style w:type="paragraph" w:customStyle="1" w:styleId="69">
    <w:name w:val="Char Char23 Char Char"/>
    <w:basedOn w:val="1"/>
    <w:autoRedefine/>
    <w:qFormat/>
    <w:uiPriority w:val="0"/>
    <w:pPr>
      <w:ind w:firstLine="200" w:firstLineChars="200"/>
    </w:pPr>
  </w:style>
  <w:style w:type="paragraph" w:customStyle="1" w:styleId="70">
    <w:name w:val=" Char Char1"/>
    <w:basedOn w:val="1"/>
    <w:autoRedefine/>
    <w:qFormat/>
    <w:uiPriority w:val="0"/>
    <w:pPr>
      <w:ind w:firstLine="200" w:firstLineChars="200"/>
    </w:pPr>
  </w:style>
  <w:style w:type="paragraph" w:customStyle="1" w:styleId="71">
    <w:name w:val=" Char Char2"/>
    <w:basedOn w:val="1"/>
    <w:autoRedefine/>
    <w:qFormat/>
    <w:uiPriority w:val="0"/>
    <w:pPr>
      <w:ind w:firstLine="200" w:firstLineChars="200"/>
    </w:pPr>
  </w:style>
  <w:style w:type="paragraph" w:customStyle="1" w:styleId="7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3">
    <w:name w:val="正文2"/>
    <w:basedOn w:val="1"/>
    <w:autoRedefine/>
    <w:qFormat/>
    <w:uiPriority w:val="0"/>
    <w:pPr>
      <w:spacing w:before="156" w:line="360" w:lineRule="auto"/>
      <w:ind w:firstLine="510" w:firstLineChars="200"/>
    </w:pPr>
    <w:rPr>
      <w:sz w:val="24"/>
      <w:szCs w:val="20"/>
    </w:rPr>
  </w:style>
  <w:style w:type="paragraph" w:customStyle="1" w:styleId="74">
    <w:name w:val="Table Paragraph"/>
    <w:basedOn w:val="1"/>
    <w:autoRedefine/>
    <w:qFormat/>
    <w:uiPriority w:val="1"/>
    <w:pPr>
      <w:autoSpaceDE w:val="0"/>
      <w:autoSpaceDN w:val="0"/>
      <w:jc w:val="left"/>
    </w:pPr>
    <w:rPr>
      <w:rFonts w:ascii="宋体" w:hAnsi="宋体" w:cs="宋体"/>
      <w:kern w:val="0"/>
      <w:sz w:val="22"/>
      <w:szCs w:val="22"/>
      <w:lang w:eastAsia="en-US"/>
    </w:rPr>
  </w:style>
  <w:style w:type="paragraph" w:customStyle="1" w:styleId="75">
    <w:name w:val="_Style 36"/>
    <w:basedOn w:val="1"/>
    <w:autoRedefine/>
    <w:qFormat/>
    <w:uiPriority w:val="0"/>
    <w:pPr>
      <w:ind w:firstLine="200" w:firstLineChars="200"/>
    </w:pPr>
  </w:style>
  <w:style w:type="paragraph" w:customStyle="1" w:styleId="76">
    <w:name w:val="样式5"/>
    <w:basedOn w:val="19"/>
    <w:next w:val="1"/>
    <w:autoRedefine/>
    <w:qFormat/>
    <w:uiPriority w:val="0"/>
    <w:rPr>
      <w:rFonts w:ascii="黑体" w:hAnsi="黑体" w:eastAsia="宋体" w:cs="Times New Roman"/>
      <w:sz w:val="44"/>
    </w:rPr>
  </w:style>
  <w:style w:type="table" w:customStyle="1" w:styleId="77">
    <w:name w:val="Table Normal"/>
    <w:autoRedefine/>
    <w:unhideWhenUsed/>
    <w:qFormat/>
    <w:uiPriority w:val="2"/>
    <w:pPr>
      <w:widowControl w:val="0"/>
      <w:autoSpaceDE w:val="0"/>
      <w:autoSpaceDN w:val="0"/>
    </w:pPr>
    <w:rPr>
      <w:sz w:val="22"/>
      <w:szCs w:val="22"/>
      <w:lang w:val="en-US" w:eastAsia="en-US" w:bidi="ar-SA"/>
    </w:rPr>
    <w:tblPr>
      <w:tblCellMar>
        <w:top w:w="0" w:type="dxa"/>
        <w:left w:w="0" w:type="dxa"/>
        <w:bottom w:w="0" w:type="dxa"/>
        <w:right w:w="0" w:type="dxa"/>
      </w:tblCellMar>
    </w:tblPr>
  </w:style>
  <w:style w:type="table" w:customStyle="1" w:styleId="78">
    <w:name w:val="网格型1"/>
    <w:basedOn w:val="21"/>
    <w:autoRedefine/>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header4.xml" Type="http://schemas.openxmlformats.org/officeDocument/2006/relationships/header"/><Relationship Id="rId14" Target="footer8.xml" Type="http://schemas.openxmlformats.org/officeDocument/2006/relationships/footer"/><Relationship Id="rId15" Target="footer9.xml" Type="http://schemas.openxmlformats.org/officeDocument/2006/relationships/footer"/><Relationship Id="rId16" Target="footer10.xml" Type="http://schemas.openxmlformats.org/officeDocument/2006/relationships/footer"/><Relationship Id="rId17" Target="theme/theme1.xml" Type="http://schemas.openxmlformats.org/officeDocument/2006/relationships/theme"/><Relationship Id="rId18" Target="../customXml/item1.xml" Type="http://schemas.openxmlformats.org/officeDocument/2006/relationships/customXml"/><Relationship Id="rId19" Target="numbering.xml" Type="http://schemas.openxmlformats.org/officeDocument/2006/relationships/numbering"/><Relationship Id="rId2" Target="settings.xml" Type="http://schemas.openxmlformats.org/officeDocument/2006/relationships/settings"/><Relationship Id="rId20" Target="fontTable.xml" Type="http://schemas.openxmlformats.org/officeDocument/2006/relationships/fontTable"/><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header2.xml" Type="http://schemas.openxmlformats.org/officeDocument/2006/relationships/header"/><Relationship Id="rId8" Target="header3.xml" Type="http://schemas.openxmlformats.org/officeDocument/2006/relationships/header"/><Relationship Id="rId9" Target="footer4.xml" Type="http://schemas.openxmlformats.org/officeDocument/2006/relationships/footer"/></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 Id="rId5" Target="fonts/font5.odttf" Type="http://schemas.openxmlformats.org/officeDocument/2006/relationships/font"/></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87</Pages>
  <Words>8958</Words>
  <Characters>51063</Characters>
  <Lines>425</Lines>
  <Paragraphs>119</Paragraphs>
  <TotalTime>0</TotalTime>
  <ScaleCrop>false</ScaleCrop>
  <LinksUpToDate>false</LinksUpToDate>
  <CharactersWithSpaces>59902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2020-09-10T08:07:00Z</dcterms:created>
  <dc:creator>lenovo</dc:creator>
  <cp:lastModifiedBy>WPS_1701756769</cp:lastModifiedBy>
  <cp:lastPrinted>2019-07-24T02:29:00Z</cp:lastPrinted>
  <dcterms:modified xsi:type="dcterms:W3CDTF">2024-02-23T08:08:51Z</dcterms:modified>
  <cp:revision>6</cp:revision>
  <dc:title>杭州市老龄工作委员会办公室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1203CA385667495DBA57637D5B502533_13</vt:lpwstr>
  </property>
</Properties>
</file>