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交通设施维护项目-智能交通运行维护-机房一</w:t>
      </w: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tabs>
          <w:tab w:val="center" w:pos="4594"/>
          <w:tab w:val="left" w:pos="6783"/>
        </w:tabs>
        <w:adjustRightInd/>
        <w:spacing w:line="360" w:lineRule="auto"/>
        <w:jc w:val="left"/>
        <w:rPr>
          <w:rFonts w:ascii="仿宋" w:hAnsi="仿宋" w:eastAsia="仿宋" w:cs="仿宋"/>
          <w:b/>
          <w:sz w:val="44"/>
          <w:szCs w:val="44"/>
        </w:rPr>
      </w:pPr>
      <w:r>
        <w:rPr>
          <w:rFonts w:hint="eastAsia" w:ascii="仿宋" w:hAnsi="仿宋" w:eastAsia="仿宋" w:cs="仿宋"/>
          <w:b/>
          <w:sz w:val="44"/>
          <w:szCs w:val="44"/>
        </w:rPr>
        <w:tab/>
      </w:r>
      <w:r>
        <w:rPr>
          <w:rFonts w:hint="eastAsia" w:ascii="仿宋" w:hAnsi="仿宋" w:eastAsia="仿宋" w:cs="仿宋"/>
          <w:b/>
          <w:sz w:val="44"/>
          <w:szCs w:val="44"/>
        </w:rPr>
        <w:t xml:space="preserve"> （电子招投标）</w:t>
      </w:r>
      <w:r>
        <w:rPr>
          <w:rFonts w:hint="eastAsia" w:ascii="仿宋" w:hAnsi="仿宋" w:eastAsia="仿宋" w:cs="仿宋"/>
          <w:b/>
          <w:sz w:val="44"/>
          <w:szCs w:val="44"/>
        </w:rPr>
        <w:tab/>
      </w:r>
    </w:p>
    <w:p>
      <w:pPr>
        <w:snapToGrid w:val="0"/>
        <w:spacing w:line="360" w:lineRule="auto"/>
        <w:jc w:val="center"/>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编号:HZSGAJ-2024-12（代)</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p>
    <w:p>
      <w:pPr>
        <w:spacing w:line="360" w:lineRule="auto"/>
        <w:jc w:val="center"/>
        <w:rPr>
          <w:rFonts w:ascii="仿宋" w:hAnsi="仿宋" w:eastAsia="仿宋" w:cs="仿宋"/>
          <w:bCs/>
          <w:sz w:val="32"/>
          <w:szCs w:val="32"/>
        </w:rPr>
      </w:pPr>
    </w:p>
    <w:p>
      <w:pPr>
        <w:spacing w:line="360" w:lineRule="auto"/>
        <w:jc w:val="center"/>
        <w:rPr>
          <w:rFonts w:ascii="仿宋" w:hAnsi="仿宋" w:eastAsia="仿宋" w:cs="仿宋"/>
          <w:bCs/>
          <w:sz w:val="32"/>
          <w:szCs w:val="32"/>
        </w:rPr>
      </w:pP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采   购   人：杭州市公安局交通警察支队</w:t>
      </w:r>
    </w:p>
    <w:p>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rPr>
        <w:t>采购代理机构：</w:t>
      </w:r>
      <w:bookmarkStart w:id="421" w:name="_GoBack"/>
      <w:bookmarkEnd w:id="421"/>
      <w:r>
        <w:rPr>
          <w:rFonts w:hint="eastAsia" w:ascii="仿宋" w:hAnsi="仿宋" w:eastAsia="仿宋" w:cs="仿宋"/>
          <w:bCs/>
          <w:sz w:val="32"/>
          <w:szCs w:val="32"/>
          <w:lang w:eastAsia="zh-CN"/>
        </w:rPr>
        <w:t>浙江信达咨询监理有限公司</w:t>
      </w:r>
    </w:p>
    <w:p>
      <w:pPr>
        <w:spacing w:line="360" w:lineRule="auto"/>
        <w:jc w:val="center"/>
        <w:rPr>
          <w:rFonts w:ascii="仿宋" w:hAnsi="仿宋" w:eastAsia="仿宋" w:cs="仿宋"/>
          <w:sz w:val="24"/>
        </w:rPr>
      </w:pPr>
      <w:r>
        <w:rPr>
          <w:rFonts w:hint="eastAsia" w:ascii="仿宋" w:hAnsi="仿宋" w:eastAsia="仿宋" w:cs="仿宋"/>
          <w:bCs/>
          <w:sz w:val="32"/>
          <w:szCs w:val="32"/>
        </w:rPr>
        <w:t>二〇二四年</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月</w:t>
      </w:r>
      <w:r>
        <w:rPr>
          <w:rFonts w:hint="eastAsia" w:ascii="仿宋" w:hAnsi="仿宋" w:eastAsia="仿宋" w:cs="仿宋"/>
          <w:sz w:val="24"/>
        </w:rPr>
        <w:br w:type="page"/>
      </w:r>
      <w:bookmarkStart w:id="0" w:name="_Hlt67893495"/>
      <w:bookmarkEnd w:id="0"/>
    </w:p>
    <w:p>
      <w:pPr>
        <w:pStyle w:val="634"/>
        <w:rPr>
          <w:rFonts w:ascii="仿宋" w:hAnsi="仿宋" w:eastAsia="仿宋" w:cs="仿宋"/>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交通设施维护项目-智能交通运行维护-机房一</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仿宋"/>
          <w:snapToGrid/>
          <w:color w:val="auto"/>
          <w:kern w:val="2"/>
          <w:sz w:val="24"/>
          <w:szCs w:val="24"/>
        </w:rPr>
        <w:t>https://www.zcygov.cn/）获取（下载）招标文件，并于2024年</w:t>
      </w:r>
      <w:r>
        <w:rPr>
          <w:rStyle w:val="76"/>
          <w:rFonts w:hint="eastAsia" w:ascii="仿宋" w:hAnsi="仿宋" w:eastAsia="仿宋" w:cs="仿宋"/>
          <w:snapToGrid/>
          <w:color w:val="auto"/>
          <w:kern w:val="2"/>
          <w:sz w:val="24"/>
          <w:szCs w:val="24"/>
          <w:lang w:val="en-US" w:eastAsia="zh-CN"/>
        </w:rPr>
        <w:t>6</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3</w:t>
      </w:r>
      <w:r>
        <w:rPr>
          <w:rStyle w:val="76"/>
          <w:rFonts w:hint="eastAsia" w:ascii="仿宋" w:hAnsi="仿宋" w:eastAsia="仿宋" w:cs="仿宋"/>
          <w:snapToGrid/>
          <w:color w:val="auto"/>
          <w:kern w:val="2"/>
          <w:sz w:val="24"/>
          <w:szCs w:val="24"/>
        </w:rPr>
        <w:t>日09点30分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HZSGAJ-2024-12（代)</w:t>
      </w:r>
    </w:p>
    <w:p>
      <w:pPr>
        <w:spacing w:line="360" w:lineRule="auto"/>
        <w:ind w:firstLine="482" w:firstLineChars="200"/>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交通设施维护项目-智能交通运行维护-机房一</w:t>
      </w:r>
    </w:p>
    <w:p>
      <w:pPr>
        <w:spacing w:line="360" w:lineRule="auto"/>
        <w:ind w:firstLine="482" w:firstLineChars="200"/>
        <w:rPr>
          <w:rFonts w:ascii="仿宋" w:hAnsi="仿宋" w:eastAsia="仿宋" w:cs="仿宋"/>
          <w:sz w:val="24"/>
        </w:rPr>
      </w:pPr>
      <w:r>
        <w:rPr>
          <w:rFonts w:hint="eastAsia" w:ascii="仿宋" w:hAnsi="仿宋" w:eastAsia="仿宋" w:cs="仿宋"/>
          <w:b/>
          <w:sz w:val="24"/>
        </w:rPr>
        <w:t xml:space="preserve">预算金额：488万元（其中2024年安排195.2万元） </w:t>
      </w:r>
    </w:p>
    <w:p>
      <w:pPr>
        <w:spacing w:line="360" w:lineRule="auto"/>
        <w:ind w:firstLine="482" w:firstLineChars="200"/>
        <w:rPr>
          <w:rFonts w:ascii="仿宋" w:hAnsi="仿宋" w:eastAsia="仿宋" w:cs="仿宋"/>
          <w:sz w:val="24"/>
        </w:rPr>
      </w:pPr>
      <w:r>
        <w:rPr>
          <w:rFonts w:hint="eastAsia" w:ascii="仿宋" w:hAnsi="仿宋" w:eastAsia="仿宋" w:cs="仿宋"/>
          <w:b/>
          <w:sz w:val="24"/>
        </w:rPr>
        <w:t>最高限价：/。</w:t>
      </w:r>
    </w:p>
    <w:p>
      <w:pPr>
        <w:spacing w:line="360" w:lineRule="auto"/>
        <w:ind w:firstLine="482" w:firstLineChars="200"/>
        <w:jc w:val="left"/>
        <w:rPr>
          <w:rFonts w:ascii="仿宋" w:hAnsi="仿宋" w:eastAsia="仿宋" w:cs="仿宋"/>
          <w:bCs/>
          <w:sz w:val="24"/>
        </w:rPr>
      </w:pPr>
      <w:r>
        <w:rPr>
          <w:rFonts w:hint="eastAsia" w:ascii="仿宋" w:hAnsi="仿宋" w:eastAsia="仿宋" w:cs="仿宋"/>
          <w:b/>
          <w:sz w:val="24"/>
        </w:rPr>
        <w:t>采购需求：</w:t>
      </w:r>
      <w:bookmarkStart w:id="11" w:name="_Hlk127439865"/>
      <w:r>
        <w:rPr>
          <w:rFonts w:hint="eastAsia" w:ascii="仿宋" w:hAnsi="仿宋" w:eastAsia="仿宋" w:cs="仿宋"/>
          <w:sz w:val="24"/>
        </w:rPr>
        <w:t>交通设施维护项目-智能交通运行维护-机房一，为确保视频专网机房软硬件安全、高效、稳定的运行，确定专业的维护公司开展维护工作，主要内容：1、对视频专网机房3218台硬件设备进行运维；2、对8套管理软件进行运维，包括SCATS信号控制系统1套、单点远程信号控制系统1套、信号系统无线检测器平台软件1套、交通监视系统1套（数字监控联网平台软件）、交通诱导系统2套（交通诱导系统平台软件、潮汐车道控制系统平台软件）、微波检测系统1套、运维管理系统1套；3、要求提供17个服务人员（其中项目负责人1人）、7*24小时（不间断轮流）驻点运维服务；4、提供运维耗材；5、SCATS信号控制系统、网络交换机、交通小脑服务器、网闸、网络安全准入、存储等专项服务（要求提供原厂服务）；6、运维车辆1辆。</w:t>
      </w:r>
      <w:bookmarkEnd w:id="11"/>
      <w:r>
        <w:rPr>
          <w:rFonts w:hint="eastAsia" w:ascii="仿宋" w:hAnsi="仿宋" w:eastAsia="仿宋" w:cs="仿宋"/>
          <w:sz w:val="24"/>
        </w:rPr>
        <w:t>具体以招标文件第三部分采购需求为准，供应商可点击本公告下方“浏览采购文件”查看采购需求。</w:t>
      </w:r>
    </w:p>
    <w:p>
      <w:pPr>
        <w:spacing w:line="360" w:lineRule="auto"/>
        <w:ind w:firstLine="482" w:firstLineChars="200"/>
        <w:jc w:val="left"/>
        <w:rPr>
          <w:rFonts w:ascii="仿宋" w:hAnsi="仿宋" w:eastAsia="仿宋" w:cs="仿宋"/>
          <w:sz w:val="24"/>
        </w:rPr>
      </w:pPr>
      <w:r>
        <w:rPr>
          <w:rFonts w:hint="eastAsia" w:ascii="仿宋" w:hAnsi="仿宋" w:eastAsia="仿宋" w:cs="仿宋"/>
          <w:b/>
          <w:bCs/>
          <w:sz w:val="24"/>
        </w:rPr>
        <w:t>合同履约期限：</w:t>
      </w:r>
      <w:r>
        <w:rPr>
          <w:rFonts w:hint="eastAsia" w:ascii="仿宋" w:hAnsi="仿宋" w:eastAsia="仿宋" w:cs="仿宋"/>
          <w:sz w:val="24"/>
        </w:rPr>
        <w:t>2024年6月5日至2025年6月4日</w:t>
      </w:r>
    </w:p>
    <w:p>
      <w:pPr>
        <w:pStyle w:val="5"/>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F0FE"/>
      </w:r>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78415355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214102535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65897564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要求以联合体形式参加，提供联合协议和中小企业声明函，联合协议中中小企业合同金额应当达到%，其中小微企业合同金额应当达到%;</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 ，其中小微企业合同金额应当达到%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2024年</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3</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2024年</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3</w:t>
      </w:r>
      <w:r>
        <w:rPr>
          <w:rFonts w:hint="eastAsia" w:ascii="仿宋" w:hAnsi="仿宋" w:eastAsia="仿宋" w:cs="仿宋"/>
          <w:sz w:val="24"/>
          <w:u w:val="single"/>
        </w:rPr>
        <w:t>日09点30分00秒</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3</w:t>
      </w:r>
      <w:r>
        <w:rPr>
          <w:rFonts w:hint="eastAsia" w:ascii="仿宋" w:hAnsi="仿宋" w:eastAsia="仿宋" w:cs="仿宋"/>
          <w:sz w:val="24"/>
          <w:u w:val="single"/>
        </w:rPr>
        <w:t>日09点30分00秒</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称：杭州市公安局交通警察支队 </w:t>
      </w:r>
    </w:p>
    <w:p>
      <w:pPr>
        <w:spacing w:line="360" w:lineRule="auto"/>
        <w:rPr>
          <w:rFonts w:ascii="仿宋" w:hAnsi="仿宋" w:eastAsia="仿宋" w:cs="仿宋"/>
          <w:sz w:val="24"/>
        </w:rPr>
      </w:pPr>
      <w:r>
        <w:rPr>
          <w:rFonts w:hint="eastAsia" w:ascii="仿宋" w:hAnsi="仿宋" w:eastAsia="仿宋" w:cs="仿宋"/>
          <w:sz w:val="24"/>
        </w:rPr>
        <w:t xml:space="preserve">    地    址：杭州市文晖路336号       </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项目联系人（询问）：蒋斌  </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项目联系方式（询问）：0571-87282217 </w:t>
      </w:r>
    </w:p>
    <w:p>
      <w:pPr>
        <w:spacing w:line="360" w:lineRule="auto"/>
        <w:rPr>
          <w:rFonts w:ascii="仿宋" w:hAnsi="仿宋" w:eastAsia="仿宋" w:cs="仿宋"/>
          <w:sz w:val="24"/>
        </w:rPr>
      </w:pPr>
      <w:r>
        <w:rPr>
          <w:rFonts w:hint="eastAsia" w:ascii="仿宋" w:hAnsi="仿宋" w:eastAsia="仿宋" w:cs="仿宋"/>
          <w:sz w:val="24"/>
        </w:rPr>
        <w:t xml:space="preserve">    质疑联系人：郑红军</w:t>
      </w:r>
    </w:p>
    <w:p>
      <w:pPr>
        <w:spacing w:line="360" w:lineRule="auto"/>
        <w:ind w:firstLine="480"/>
        <w:rPr>
          <w:rFonts w:ascii="仿宋" w:hAnsi="仿宋" w:eastAsia="仿宋" w:cs="仿宋"/>
          <w:sz w:val="24"/>
        </w:rPr>
      </w:pPr>
      <w:r>
        <w:rPr>
          <w:rFonts w:hint="eastAsia" w:ascii="仿宋" w:hAnsi="仿宋" w:eastAsia="仿宋" w:cs="仿宋"/>
          <w:sz w:val="24"/>
        </w:rPr>
        <w:t>质疑联系方式：0571-87282209</w:t>
      </w:r>
    </w:p>
    <w:p>
      <w:pPr>
        <w:spacing w:line="360" w:lineRule="auto"/>
        <w:ind w:firstLine="480"/>
        <w:rPr>
          <w:rFonts w:ascii="仿宋" w:hAnsi="仿宋" w:eastAsia="仿宋" w:cs="仿宋"/>
          <w:sz w:val="24"/>
        </w:rPr>
      </w:pPr>
      <w:r>
        <w:rPr>
          <w:rFonts w:hint="eastAsia" w:ascii="仿宋" w:hAnsi="仿宋" w:eastAsia="仿宋" w:cs="仿宋"/>
          <w:sz w:val="24"/>
        </w:rPr>
        <w:t xml:space="preserve">2.采购代理机构信息            </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浙江信达咨询监理有限公司</w:t>
      </w:r>
    </w:p>
    <w:p>
      <w:pPr>
        <w:spacing w:line="360" w:lineRule="auto"/>
        <w:ind w:firstLine="480"/>
        <w:rPr>
          <w:rFonts w:ascii="仿宋" w:hAnsi="仿宋" w:eastAsia="仿宋" w:cs="仿宋"/>
          <w:sz w:val="24"/>
        </w:rPr>
      </w:pPr>
      <w:r>
        <w:rPr>
          <w:rFonts w:hint="eastAsia" w:ascii="仿宋" w:hAnsi="仿宋" w:eastAsia="仿宋" w:cs="仿宋"/>
          <w:sz w:val="24"/>
        </w:rPr>
        <w:t>地    址：杭州市德胜路289号松泰文创园2号楼6楼</w:t>
      </w:r>
    </w:p>
    <w:p>
      <w:pPr>
        <w:spacing w:line="360" w:lineRule="auto"/>
        <w:ind w:firstLine="480"/>
        <w:rPr>
          <w:rFonts w:ascii="仿宋" w:hAnsi="仿宋" w:eastAsia="仿宋" w:cs="仿宋"/>
          <w:sz w:val="24"/>
        </w:rPr>
      </w:pPr>
      <w:r>
        <w:rPr>
          <w:rFonts w:hint="eastAsia" w:ascii="仿宋" w:hAnsi="仿宋" w:eastAsia="仿宋" w:cs="仿宋"/>
          <w:sz w:val="24"/>
        </w:rPr>
        <w:t>传    真：/</w:t>
      </w:r>
    </w:p>
    <w:p>
      <w:pPr>
        <w:spacing w:line="360" w:lineRule="auto"/>
        <w:ind w:firstLine="480"/>
        <w:rPr>
          <w:rFonts w:ascii="仿宋" w:hAnsi="仿宋" w:eastAsia="仿宋" w:cs="仿宋"/>
          <w:sz w:val="24"/>
        </w:rPr>
      </w:pPr>
      <w:r>
        <w:rPr>
          <w:rFonts w:hint="eastAsia" w:ascii="仿宋" w:hAnsi="仿宋" w:eastAsia="仿宋" w:cs="仿宋"/>
          <w:sz w:val="24"/>
        </w:rPr>
        <w:t xml:space="preserve">项目联系人（询问）：朱祺 </w:t>
      </w:r>
    </w:p>
    <w:p>
      <w:pPr>
        <w:spacing w:line="360" w:lineRule="auto"/>
        <w:ind w:firstLine="480"/>
        <w:rPr>
          <w:rFonts w:ascii="仿宋" w:hAnsi="仿宋" w:eastAsia="仿宋" w:cs="仿宋"/>
          <w:sz w:val="24"/>
        </w:rPr>
      </w:pPr>
      <w:r>
        <w:rPr>
          <w:rFonts w:hint="eastAsia" w:ascii="仿宋" w:hAnsi="仿宋" w:eastAsia="仿宋" w:cs="仿宋"/>
          <w:sz w:val="24"/>
        </w:rPr>
        <w:t>项目联系方式（询问）：0571-85116015、18057188023</w:t>
      </w:r>
    </w:p>
    <w:p>
      <w:pPr>
        <w:spacing w:line="360" w:lineRule="auto"/>
        <w:ind w:firstLine="480"/>
        <w:rPr>
          <w:rFonts w:ascii="仿宋" w:hAnsi="仿宋" w:eastAsia="仿宋" w:cs="仿宋"/>
          <w:sz w:val="24"/>
        </w:rPr>
      </w:pPr>
      <w:r>
        <w:rPr>
          <w:rFonts w:hint="eastAsia" w:ascii="仿宋" w:hAnsi="仿宋" w:eastAsia="仿宋" w:cs="仿宋"/>
          <w:sz w:val="24"/>
        </w:rPr>
        <w:t xml:space="preserve">质疑联系人：吴秀琴 </w:t>
      </w:r>
    </w:p>
    <w:p>
      <w:pPr>
        <w:spacing w:line="360" w:lineRule="auto"/>
        <w:ind w:firstLine="480"/>
        <w:rPr>
          <w:rFonts w:ascii="仿宋" w:hAnsi="仿宋" w:eastAsia="仿宋" w:cs="仿宋"/>
          <w:sz w:val="24"/>
        </w:rPr>
      </w:pPr>
      <w:r>
        <w:rPr>
          <w:rFonts w:hint="eastAsia" w:ascii="仿宋" w:hAnsi="仿宋" w:eastAsia="仿宋" w:cs="仿宋"/>
          <w:sz w:val="24"/>
        </w:rPr>
        <w:t>质疑联系方式：0571-85118292、13588007576</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称：杭州市财政局政府采购监管处 /浙江省政府采购行政裁决服务中心（杭州）</w:t>
      </w:r>
    </w:p>
    <w:p>
      <w:pPr>
        <w:spacing w:line="360" w:lineRule="auto"/>
        <w:rPr>
          <w:rFonts w:ascii="仿宋" w:hAnsi="仿宋" w:eastAsia="仿宋" w:cs="仿宋"/>
          <w:sz w:val="24"/>
        </w:rPr>
      </w:pPr>
      <w:r>
        <w:rPr>
          <w:rFonts w:hint="eastAsia" w:ascii="仿宋" w:hAnsi="仿宋" w:eastAsia="仿宋" w:cs="仿宋"/>
          <w:sz w:val="24"/>
        </w:rPr>
        <w:t xml:space="preserve">    地    址：杭州市上城区四季青街道新业路市民之家G03办公室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：朱女士、王女士</w:t>
      </w:r>
    </w:p>
    <w:p>
      <w:pPr>
        <w:spacing w:line="360" w:lineRule="auto"/>
        <w:ind w:firstLine="480"/>
        <w:rPr>
          <w:rFonts w:ascii="仿宋" w:hAnsi="仿宋" w:eastAsia="仿宋" w:cs="仿宋"/>
          <w:sz w:val="24"/>
        </w:rPr>
      </w:pPr>
      <w:r>
        <w:rPr>
          <w:rFonts w:hint="eastAsia" w:ascii="仿宋" w:hAnsi="仿宋" w:eastAsia="仿宋" w:cs="仿宋"/>
          <w:sz w:val="24"/>
        </w:rPr>
        <w:t xml:space="preserve">监督投诉电话：电话：0571-85252453   </w:t>
      </w:r>
    </w:p>
    <w:p>
      <w:pPr>
        <w:spacing w:line="360" w:lineRule="auto"/>
        <w:ind w:firstLine="480"/>
        <w:rPr>
          <w:rFonts w:ascii="仿宋" w:hAnsi="仿宋" w:eastAsia="仿宋" w:cs="仿宋"/>
          <w:sz w:val="24"/>
        </w:rPr>
      </w:pPr>
      <w:r>
        <w:rPr>
          <w:rFonts w:hint="eastAsia" w:ascii="仿宋" w:hAnsi="仿宋" w:eastAsia="仿宋" w:cs="仿宋"/>
          <w:sz w:val="24"/>
        </w:rPr>
        <w:t>政策咨询：陈先生、厉先生，0571-89580460、89580456</w:t>
      </w:r>
    </w:p>
    <w:p>
      <w:pPr>
        <w:spacing w:line="360" w:lineRule="auto"/>
        <w:ind w:firstLine="48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907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60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60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rPr>
              <w:t>交通设施维护项目-智能交通运行维护-机房一</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ascii="仿宋" w:hAnsi="仿宋" w:eastAsia="仿宋" w:cs="仿宋"/>
                <w:kern w:val="0"/>
                <w:sz w:val="24"/>
                <w:u w:val="single"/>
              </w:rPr>
              <w:t>软件和信息技术服务业</w:t>
            </w:r>
            <w:r>
              <w:rPr>
                <w:rFonts w:hint="eastAsia" w:ascii="仿宋" w:hAnsi="仿宋" w:eastAsia="仿宋" w:cs="仿宋"/>
                <w:kern w:val="0"/>
                <w:sz w:val="24"/>
              </w:rPr>
              <w:t>行业；中小企业划分标准为：从业人员 300 人以下或营业收入 10000万元以下的为中小微型企业。其中，从业人员 100人及以上，且营业收入 1000万元及以上的为中型企业;从业人员10人及以上，且营业收入 50万元及以上的为小型企业;从业人员 10人以下或营业收入50 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r>
              <w:rPr>
                <w:rFonts w:hint="eastAsia" w:ascii="仿宋" w:hAnsi="仿宋" w:eastAsia="仿宋" w:cs="仿宋"/>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同意将非主体、非关键性的</w:t>
            </w:r>
            <w:r>
              <w:rPr>
                <w:rFonts w:hint="eastAsia" w:ascii="仿宋" w:hAnsi="仿宋" w:eastAsia="仿宋" w:cs="仿宋"/>
                <w:sz w:val="24"/>
                <w:u w:val="single"/>
              </w:rPr>
              <w:t>运维耗材</w:t>
            </w:r>
            <w:r>
              <w:rPr>
                <w:rFonts w:hint="eastAsia" w:ascii="仿宋" w:hAnsi="仿宋" w:eastAsia="仿宋" w:cs="仿宋"/>
                <w:sz w:val="24"/>
              </w:rPr>
              <w:t>工作分包。</w:t>
            </w:r>
          </w:p>
          <w:p>
            <w:pPr>
              <w:spacing w:line="360" w:lineRule="auto"/>
              <w:rPr>
                <w:rFonts w:ascii="仿宋" w:hAnsi="仿宋" w:eastAsia="仿宋" w:cs="仿宋"/>
                <w:sz w:val="24"/>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1276331357"/>
                <w:showingPlcHdr/>
              </w:sdtPr>
              <w:sdtEndPr>
                <w:rPr>
                  <w:rFonts w:hint="eastAsia" w:ascii="仿宋" w:hAnsi="仿宋" w:eastAsia="仿宋" w:cs="仿宋"/>
                  <w:kern w:val="0"/>
                  <w:sz w:val="24"/>
                </w:rPr>
              </w:sdtEndP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F0FE"/>
            </w:r>
            <w:sdt>
              <w:sdtPr>
                <w:rPr>
                  <w:rFonts w:hint="eastAsia" w:ascii="仿宋" w:hAnsi="仿宋" w:eastAsia="仿宋" w:cs="仿宋"/>
                  <w:kern w:val="0"/>
                  <w:sz w:val="24"/>
                </w:rPr>
                <w:id w:val="-212966419"/>
                <w:showingPlcHdr/>
              </w:sdtPr>
              <w:sdtEndPr>
                <w:rPr>
                  <w:rFonts w:hint="eastAsia" w:ascii="仿宋" w:hAnsi="仿宋" w:eastAsia="仿宋" w:cs="仿宋"/>
                  <w:kern w:val="0"/>
                  <w:sz w:val="24"/>
                </w:rPr>
              </w:sdtEndP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441836950"/>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602"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60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60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60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autoSpaceDE w:val="0"/>
              <w:autoSpaceDN w:val="0"/>
              <w:snapToGrid w:val="0"/>
              <w:spacing w:line="360" w:lineRule="auto"/>
              <w:ind w:firstLine="241" w:firstLineChars="100"/>
              <w:jc w:val="left"/>
              <w:rPr>
                <w:rFonts w:ascii="仿宋" w:hAnsi="仿宋" w:eastAsia="仿宋" w:cs="仿宋"/>
                <w:b/>
                <w:sz w:val="24"/>
              </w:rPr>
            </w:pPr>
            <w:r>
              <w:rPr>
                <w:rFonts w:hint="eastAsia" w:ascii="仿宋" w:hAnsi="仿宋" w:eastAsia="仿宋" w:cs="仿宋"/>
                <w:b/>
                <w:kern w:val="0"/>
                <w:sz w:val="24"/>
                <w:lang w:val="zh-CN"/>
              </w:rPr>
              <w:t>报价明显低于其他通过符合性审查投标人的报价或出现“0元”“补贴”“免费赠送”等形式的无偿报价的，有可能影响产品质量或者不能诚信履约的，未能按要求提供说明或者提交相关证明材料，不能证明其报价合理性的;</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602"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602"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杭州市德胜路289号602室</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0571-85116015、18057188023</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代理费</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本项目的采购代理服务费由中标人支付。计费标准：</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以中标（成交）金额为计费基准，按照《关于杭州市招标代理服务收费管理有关问题的通知》(杭价费[2003]148号)文件下浮40%计算的服务类收费标准计取。</w:t>
            </w:r>
          </w:p>
          <w:p>
            <w:pPr>
              <w:spacing w:line="360" w:lineRule="auto"/>
              <w:rPr>
                <w:rFonts w:ascii="仿宋" w:hAnsi="仿宋" w:eastAsia="仿宋" w:cs="仿宋"/>
                <w:kern w:val="28"/>
                <w:sz w:val="24"/>
              </w:rPr>
            </w:pPr>
            <w:r>
              <w:rPr>
                <w:rFonts w:hint="eastAsia" w:ascii="仿宋" w:hAnsi="仿宋" w:eastAsia="仿宋" w:cs="仿宋"/>
                <w:snapToGrid w:val="0"/>
                <w:kern w:val="28"/>
                <w:sz w:val="24"/>
              </w:rPr>
              <w:t>结算方式及时间为：在领取中标通知书时由中标人一次性向采购代理机构付清。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p>
        </w:tc>
        <w:tc>
          <w:tcPr>
            <w:tcW w:w="660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81633666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23231189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仿宋" w:hAnsi="仿宋" w:eastAsia="仿宋" w:cs="仿宋"/>
          <w:b/>
          <w:sz w:val="32"/>
          <w:szCs w:val="20"/>
        </w:rPr>
      </w:pPr>
    </w:p>
    <w:bookmarkEnd w:id="10"/>
    <w:p>
      <w:pPr>
        <w:adjustRightInd/>
        <w:spacing w:line="360" w:lineRule="auto"/>
        <w:ind w:firstLine="3845" w:firstLineChars="1197"/>
        <w:outlineLvl w:val="0"/>
        <w:rPr>
          <w:rFonts w:ascii="仿宋" w:hAnsi="仿宋" w:eastAsia="仿宋" w:cs="仿宋"/>
          <w:b/>
          <w:sz w:val="32"/>
          <w:szCs w:val="20"/>
        </w:rPr>
      </w:pPr>
      <w:bookmarkStart w:id="12" w:name="第三部分"/>
      <w:bookmarkStart w:id="13" w:name="_Toc164416483"/>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sz w:val="24"/>
        </w:rPr>
      </w:pPr>
      <w:r>
        <w:rPr>
          <w:rFonts w:hint="eastAsia" w:ascii="仿宋" w:hAnsi="仿宋" w:eastAsia="仿宋" w:cs="仿宋"/>
          <w:sz w:val="24"/>
        </w:rPr>
        <w:t>3.4.3 采购人应当贯彻落实知识产权保护相关法律法规，应当采购使用正版软件。</w:t>
      </w:r>
    </w:p>
    <w:p>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询问、质疑、投诉、补偿救济</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.2供应商认为招标文件、采购过程和中标结果使自己的权益受到损害的，可以在知道或者应知其权益受到损害之日起七个工作日内，以书面形式向采购代理机构提出质疑，否则，采购代理机构不予受理：</w:t>
      </w:r>
    </w:p>
    <w:p>
      <w:pPr>
        <w:pStyle w:val="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2"/>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4.5 补偿救济</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采购人（行政机关）因政策变化、规划调整而不履行政府采购合同的，供应商可依据《杭州市涉企补偿救济实施办法（试行）》向采购人（行政机关）提起补偿申请。</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128"/>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28"/>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sz w:val="18"/>
          <w:szCs w:val="18"/>
          <w:lang w:val="en-US"/>
        </w:rPr>
      </w:pP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11.3.3中小企业声明函。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投标人应对投标文件中材料的真实性、合法性负责。</w:t>
      </w:r>
    </w:p>
    <w:p>
      <w:pPr>
        <w:pStyle w:val="128"/>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仿宋"/>
          <w:b/>
          <w:sz w:val="32"/>
        </w:rPr>
      </w:pPr>
    </w:p>
    <w:p>
      <w:pPr>
        <w:pStyle w:val="128"/>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4"/>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19.2投标人未按照招标文件要求提供与资格条件相应的有效资格证明材料的，视为投标人不具备招标文件中规定的资格要求，其投标无效。</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19.3对未通过资格审查的投标人，采购人或采购代理机构告知其未通过的原因。</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19.4合格投标人不足3家的，不再评标。</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8"/>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4" w:name="_Toc91899903"/>
      <w:r>
        <w:rPr>
          <w:rFonts w:hint="eastAsia" w:ascii="仿宋" w:hAnsi="仿宋" w:eastAsia="仿宋" w:cs="仿宋"/>
          <w:b/>
          <w:sz w:val="24"/>
        </w:rPr>
        <w:t>21.</w:t>
      </w:r>
      <w:r>
        <w:rPr>
          <w:rFonts w:hint="eastAsia" w:ascii="仿宋" w:hAnsi="仿宋" w:eastAsia="仿宋" w:cs="仿宋"/>
          <w:sz w:val="24"/>
        </w:rPr>
        <w:t>评标委员会【评标委员会由采购人代表和评审专家组成，成员人数为5人（采购人代表1人，评标专家4人由政采云平台随机抽取相关专业抽取产生）】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ascii="仿宋" w:hAnsi="仿宋" w:eastAsia="仿宋" w:cs="仿宋"/>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28"/>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sz w:val="24"/>
        </w:rPr>
        <w:t>资格审查情况、评审专家抽取规则、符合性审查情况、</w:t>
      </w:r>
      <w:bookmarkEnd w:id="15"/>
      <w:r>
        <w:rPr>
          <w:rFonts w:hint="eastAsia" w:ascii="仿宋" w:hAnsi="仿宋" w:eastAsia="仿宋" w:cs="仿宋"/>
          <w:sz w:val="24"/>
        </w:rPr>
        <w:t>未中标情况说明、中标公告期限以及评审专家名单、评分汇总及明细、中小企业声明函。</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ascii="仿宋" w:eastAsia="仿宋" w:cs="仿宋"/>
        </w:rPr>
      </w:pPr>
      <w:r>
        <w:rPr>
          <w:rFonts w:hint="eastAsia" w:ascii="仿宋" w:eastAsia="仿宋" w:cs="仿宋"/>
          <w:sz w:val="24"/>
          <w:lang w:val="en-US"/>
        </w:rPr>
        <w:t>27.预付款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仿宋" w:hAnsi="仿宋" w:eastAsia="仿宋" w:cs="仿宋"/>
        </w:rPr>
      </w:pP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28"/>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pPr>
        <w:pStyle w:val="128"/>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pPr>
        <w:pStyle w:val="128"/>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pPr>
        <w:pStyle w:val="128"/>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pPr>
        <w:pStyle w:val="128"/>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pPr>
        <w:pStyle w:val="128"/>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验收小组由5人组成：其中采购人1名，从政采云政企区专家库抽取相关专业专家4名），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24"/>
        <w:rPr>
          <w:rFonts w:ascii="仿宋" w:hAnsi="仿宋" w:eastAsia="仿宋" w:cs="仿宋"/>
        </w:rPr>
      </w:pPr>
    </w:p>
    <w:bookmarkEnd w:id="14"/>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8"/>
      <w:bookmarkEnd w:id="16"/>
      <w:bookmarkStart w:id="17" w:name="_Hlt68073093"/>
      <w:bookmarkEnd w:id="17"/>
      <w:bookmarkStart w:id="18" w:name="_Hlt75236290"/>
      <w:bookmarkEnd w:id="18"/>
      <w:bookmarkStart w:id="19" w:name="_Hlt74730295"/>
      <w:bookmarkEnd w:id="19"/>
      <w:bookmarkStart w:id="20" w:name="_Hlt75236101"/>
      <w:bookmarkEnd w:id="20"/>
      <w:bookmarkStart w:id="21" w:name="_Hlt74714665"/>
      <w:bookmarkEnd w:id="21"/>
      <w:bookmarkStart w:id="22" w:name="_Hlt68403820"/>
      <w:bookmarkEnd w:id="22"/>
      <w:bookmarkStart w:id="23" w:name="_Hlt68057669"/>
      <w:bookmarkEnd w:id="23"/>
      <w:bookmarkStart w:id="24" w:name="_Hlt75236011"/>
      <w:bookmarkEnd w:id="24"/>
      <w:bookmarkStart w:id="25" w:name="_Hlt74729768"/>
      <w:bookmarkEnd w:id="25"/>
      <w:bookmarkStart w:id="26" w:name="_Hlt68072990"/>
      <w:bookmarkEnd w:id="26"/>
      <w:bookmarkStart w:id="27" w:name="_Hlt74707468"/>
      <w:bookmarkEnd w:id="27"/>
    </w:p>
    <w:bookmarkEnd w:id="12"/>
    <w:bookmarkEnd w:id="13"/>
    <w:p>
      <w:pPr>
        <w:spacing w:line="360" w:lineRule="auto"/>
        <w:jc w:val="center"/>
        <w:outlineLvl w:val="0"/>
        <w:rPr>
          <w:rFonts w:ascii="仿宋" w:hAnsi="仿宋" w:eastAsia="仿宋" w:cs="仿宋"/>
          <w:b/>
          <w:sz w:val="36"/>
          <w:szCs w:val="36"/>
        </w:rPr>
      </w:pPr>
      <w:bookmarkStart w:id="28" w:name="第四部分"/>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第三部分   采购需求</w:t>
      </w:r>
    </w:p>
    <w:p>
      <w:pPr>
        <w:spacing w:line="360" w:lineRule="auto"/>
        <w:jc w:val="left"/>
        <w:rPr>
          <w:rFonts w:ascii="仿宋" w:hAnsi="仿宋" w:eastAsia="仿宋" w:cs="仿宋"/>
          <w:b/>
          <w:bCs/>
          <w:sz w:val="24"/>
        </w:rPr>
      </w:pPr>
      <w:r>
        <w:rPr>
          <w:rFonts w:hint="eastAsia" w:ascii="仿宋" w:hAnsi="仿宋" w:eastAsia="仿宋" w:cs="仿宋"/>
          <w:b/>
          <w:sz w:val="24"/>
        </w:rPr>
        <w:t>（一）项目</w:t>
      </w:r>
      <w:r>
        <w:rPr>
          <w:rFonts w:hint="eastAsia" w:ascii="仿宋" w:hAnsi="仿宋" w:eastAsia="仿宋" w:cs="仿宋"/>
          <w:b/>
          <w:bCs/>
          <w:sz w:val="24"/>
        </w:rPr>
        <w:t>主要内容：</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交通设施维护项目-智能交通运行维护-机房一，为确保视频专网机房软硬件安全、高效、稳定的运行，确定专业的维护公司开展维护工作，主要内容：1、对视频专网机房3218台硬件设备进行运维；</w:t>
      </w:r>
      <w:r>
        <w:rPr>
          <w:rFonts w:hint="eastAsia" w:ascii="仿宋" w:hAnsi="仿宋" w:eastAsia="仿宋" w:cs="仿宋"/>
          <w:sz w:val="24"/>
        </w:rPr>
        <w:t>2、对8套管理软件进行运维，包括SCATS信号控制系统1套、单点远程信号控制系统1套、信号系统无线检测器平台软件1套、交通监视系统1套（数字监控联网平台软件）、交通诱导系统2套（交通诱导系统平台软件、潮汐车道控制系统平台软件）、微波检测系统1套、运维管理系统1套；</w:t>
      </w:r>
      <w:r>
        <w:rPr>
          <w:rFonts w:hint="eastAsia" w:ascii="仿宋" w:hAnsi="仿宋" w:eastAsia="仿宋" w:cs="仿宋"/>
          <w:bCs/>
          <w:sz w:val="24"/>
        </w:rPr>
        <w:t>3、要求提供17个服务人员（其中项目负责人1人）、7*24小时（不间断轮流）驻点运维服务；4、提供运维耗材；5、SCATS信号控制系统、网络交换机、交通小脑服务器、网闸、网络安全准入、存储等专项服务（要求提供原厂服务）；6、运维车辆1辆。</w:t>
      </w:r>
    </w:p>
    <w:p>
      <w:pPr>
        <w:numPr>
          <w:ilvl w:val="0"/>
          <w:numId w:val="1"/>
        </w:numPr>
        <w:spacing w:line="360" w:lineRule="auto"/>
        <w:jc w:val="left"/>
        <w:rPr>
          <w:rFonts w:ascii="仿宋" w:hAnsi="仿宋" w:eastAsia="仿宋" w:cs="仿宋"/>
          <w:bCs/>
          <w:sz w:val="24"/>
        </w:rPr>
      </w:pPr>
      <w:r>
        <w:rPr>
          <w:rFonts w:hint="eastAsia" w:ascii="仿宋" w:hAnsi="仿宋" w:eastAsia="仿宋" w:cs="仿宋"/>
          <w:b/>
          <w:sz w:val="24"/>
        </w:rPr>
        <w:t>预算金额：</w:t>
      </w:r>
      <w:r>
        <w:rPr>
          <w:rFonts w:hint="eastAsia" w:ascii="仿宋" w:hAnsi="仿宋" w:eastAsia="仿宋" w:cs="仿宋"/>
          <w:bCs/>
          <w:sz w:val="24"/>
        </w:rPr>
        <w:t>预算488万元（其中2024年安排195.2万元）。</w:t>
      </w:r>
    </w:p>
    <w:p>
      <w:pPr>
        <w:spacing w:line="360" w:lineRule="auto"/>
        <w:jc w:val="left"/>
        <w:rPr>
          <w:rFonts w:ascii="仿宋" w:hAnsi="仿宋" w:eastAsia="仿宋" w:cs="仿宋"/>
          <w:b/>
          <w:sz w:val="24"/>
        </w:rPr>
      </w:pPr>
      <w:r>
        <w:rPr>
          <w:rFonts w:hint="eastAsia" w:ascii="仿宋" w:hAnsi="仿宋" w:eastAsia="仿宋" w:cs="仿宋"/>
          <w:b/>
          <w:sz w:val="24"/>
        </w:rPr>
        <w:t>（三）拟采购标的的服务要求</w:t>
      </w:r>
    </w:p>
    <w:p>
      <w:pPr>
        <w:autoSpaceDE w:val="0"/>
        <w:autoSpaceDN w:val="0"/>
        <w:spacing w:line="360" w:lineRule="auto"/>
        <w:rPr>
          <w:rFonts w:ascii="仿宋" w:hAnsi="仿宋" w:eastAsia="仿宋" w:cs="仿宋"/>
          <w:b/>
          <w:bCs/>
          <w:sz w:val="24"/>
        </w:rPr>
      </w:pPr>
      <w:r>
        <w:rPr>
          <w:rFonts w:hint="eastAsia" w:ascii="仿宋" w:hAnsi="仿宋" w:eastAsia="仿宋" w:cs="仿宋"/>
          <w:b/>
          <w:bCs/>
          <w:sz w:val="24"/>
        </w:rPr>
        <w:t>一）</w:t>
      </w:r>
      <w:r>
        <w:rPr>
          <w:rFonts w:hint="eastAsia" w:ascii="仿宋" w:hAnsi="仿宋" w:eastAsia="仿宋" w:cs="仿宋"/>
          <w:b/>
          <w:bCs/>
          <w:sz w:val="24"/>
          <w:lang w:val="zh-CN"/>
        </w:rPr>
        <w:t>维护工作内容及要求</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1、维护标准：</w:t>
      </w:r>
    </w:p>
    <w:p>
      <w:pPr>
        <w:ind w:firstLine="331" w:firstLineChars="138"/>
        <w:rPr>
          <w:rFonts w:ascii="仿宋" w:hAnsi="仿宋" w:eastAsia="仿宋" w:cs="仿宋"/>
          <w:snapToGrid w:val="0"/>
          <w:sz w:val="24"/>
        </w:rPr>
      </w:pPr>
      <w:r>
        <w:rPr>
          <w:rFonts w:hint="eastAsia" w:ascii="仿宋" w:hAnsi="仿宋" w:eastAsia="仿宋" w:cs="仿宋"/>
          <w:snapToGrid w:val="0"/>
          <w:sz w:val="24"/>
        </w:rPr>
        <w:t>（1）GB4943-2001 《信息技术设备的安全》；</w:t>
      </w:r>
    </w:p>
    <w:p>
      <w:pPr>
        <w:ind w:firstLine="331" w:firstLineChars="138"/>
        <w:rPr>
          <w:rFonts w:ascii="仿宋" w:hAnsi="仿宋" w:eastAsia="仿宋" w:cs="仿宋"/>
          <w:snapToGrid w:val="0"/>
          <w:sz w:val="24"/>
        </w:rPr>
      </w:pPr>
      <w:r>
        <w:rPr>
          <w:rFonts w:hint="eastAsia" w:ascii="仿宋" w:hAnsi="仿宋" w:eastAsia="仿宋" w:cs="仿宋"/>
          <w:snapToGrid w:val="0"/>
          <w:sz w:val="24"/>
        </w:rPr>
        <w:t>（2）GB/T20157-2006 《信息技术 软件维护》；</w:t>
      </w:r>
    </w:p>
    <w:p>
      <w:pPr>
        <w:ind w:firstLine="331" w:firstLineChars="138"/>
        <w:rPr>
          <w:rFonts w:ascii="仿宋" w:hAnsi="仿宋" w:eastAsia="仿宋" w:cs="仿宋"/>
          <w:snapToGrid w:val="0"/>
          <w:sz w:val="24"/>
        </w:rPr>
      </w:pPr>
      <w:r>
        <w:rPr>
          <w:rFonts w:hint="eastAsia" w:ascii="仿宋" w:hAnsi="仿宋" w:eastAsia="仿宋" w:cs="仿宋"/>
          <w:snapToGrid w:val="0"/>
          <w:sz w:val="24"/>
        </w:rPr>
        <w:t>（3）GB/T 9813.3-2017 《计算机通用规范 第3部分：服务器》。</w:t>
      </w:r>
    </w:p>
    <w:p>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bCs/>
          <w:sz w:val="24"/>
        </w:rPr>
        <w:t>2、维护内容：</w:t>
      </w:r>
    </w:p>
    <w:p>
      <w:pPr>
        <w:pStyle w:val="5"/>
        <w:spacing w:line="360" w:lineRule="auto"/>
        <w:rPr>
          <w:rFonts w:ascii="仿宋" w:hAnsi="仿宋" w:eastAsia="仿宋" w:cs="仿宋"/>
          <w:color w:val="auto"/>
          <w:kern w:val="2"/>
          <w:sz w:val="24"/>
          <w:szCs w:val="24"/>
        </w:rPr>
      </w:pPr>
      <w:r>
        <w:rPr>
          <w:rFonts w:hint="eastAsia" w:ascii="仿宋" w:hAnsi="仿宋" w:eastAsia="仿宋" w:cs="仿宋"/>
          <w:color w:val="auto"/>
          <w:kern w:val="2"/>
          <w:sz w:val="24"/>
          <w:szCs w:val="24"/>
        </w:rPr>
        <w:t>杭州市公安局交通警察支队视频专网机房有一批服务器、网络、存储等软硬件设备已过维保期，现需要采购维保服务，保障采购人视频专网机房正常稳定运行。</w:t>
      </w:r>
    </w:p>
    <w:p>
      <w:pPr>
        <w:pStyle w:val="5"/>
        <w:spacing w:line="360" w:lineRule="auto"/>
        <w:jc w:val="center"/>
        <w:rPr>
          <w:rFonts w:ascii="仿宋" w:hAnsi="仿宋" w:eastAsia="仿宋" w:cs="仿宋"/>
          <w:color w:val="auto"/>
          <w:kern w:val="2"/>
          <w:sz w:val="24"/>
          <w:szCs w:val="24"/>
        </w:rPr>
      </w:pPr>
      <w:r>
        <w:rPr>
          <w:rFonts w:hint="eastAsia" w:ascii="仿宋" w:hAnsi="仿宋" w:eastAsia="仿宋" w:cs="仿宋"/>
          <w:color w:val="auto"/>
          <w:sz w:val="24"/>
          <w:szCs w:val="24"/>
        </w:rPr>
        <w:t>运维总清单</w:t>
      </w:r>
    </w:p>
    <w:tbl>
      <w:tblPr>
        <w:tblStyle w:val="62"/>
        <w:tblW w:w="9108" w:type="dxa"/>
        <w:tblInd w:w="0" w:type="dxa"/>
        <w:tblLayout w:type="fixed"/>
        <w:tblCellMar>
          <w:top w:w="0" w:type="dxa"/>
          <w:left w:w="108" w:type="dxa"/>
          <w:bottom w:w="0" w:type="dxa"/>
          <w:right w:w="108" w:type="dxa"/>
        </w:tblCellMar>
      </w:tblPr>
      <w:tblGrid>
        <w:gridCol w:w="758"/>
        <w:gridCol w:w="1134"/>
        <w:gridCol w:w="2110"/>
        <w:gridCol w:w="708"/>
        <w:gridCol w:w="709"/>
        <w:gridCol w:w="2056"/>
        <w:gridCol w:w="1633"/>
      </w:tblGrid>
      <w:tr>
        <w:tblPrEx>
          <w:tblCellMar>
            <w:top w:w="0" w:type="dxa"/>
            <w:left w:w="108" w:type="dxa"/>
            <w:bottom w:w="0" w:type="dxa"/>
            <w:right w:w="108" w:type="dxa"/>
          </w:tblCellMar>
        </w:tblPrEx>
        <w:trPr>
          <w:trHeight w:val="285" w:hRule="atLeast"/>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设备名称</w:t>
            </w:r>
          </w:p>
        </w:tc>
        <w:tc>
          <w:tcPr>
            <w:tcW w:w="2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设备型号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w:t>
            </w:r>
          </w:p>
        </w:tc>
        <w:tc>
          <w:tcPr>
            <w:tcW w:w="2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运维人员</w:t>
            </w:r>
          </w:p>
        </w:tc>
        <w:tc>
          <w:tcPr>
            <w:tcW w:w="16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备注</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专线接入交换机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CE6851-48S6Q-HI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互联出口交换机(ISW)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CE6851-48S6Q-HI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S5720-56C-EI-48S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汇聚交换机(PSW)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CE12804/华为 CE12804S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接入交换机-千兆(GE-ASW)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CE5850-48S6Q-HI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接入交换机-万兆(10GE-ASW)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CE6851-48S6Q-HI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综合接入交换机(LSW)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CE6851-48S6Q-HI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带外管理核心交换机(OMR)</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CE5850-48T4S2Q-HI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网络设备带外汇聚交换机(OSWN)</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S5700-52P-LI-AC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服务器带外汇聚交换机(OSWS)</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S5700-52P-LI-AC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千兆服务器带外接入交换机(OASW)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S1700-52R-2T2P</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万兆服务器带外接入交换机(OASW)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S1700-52R-2T2P</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带外console口服务器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Avocent:ACS5048（中舰博海:NC632-220V、杭州国基科技:CONV632）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互联出口交换机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H3C-S6800-54QF</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核心交换机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H3C-S12504X-AF</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接入交换机-千兆</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H3C-S5800-54S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接入交换机-万兆</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H3C-S6800-54QF</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H3C-S6800-54QF</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VPC专线接入交换机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H3C-S6800-4C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带外管理核心交换机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H3C-S5800-54S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网络设备带外汇聚交换机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H3C-S5130-54S-HI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服务器带外汇聚交换机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H3C-S5130-54S-HI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千兆服务器带外接入交换机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H3C-S3100V2-52TP</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万兆服务器带外接入交换机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H3C-S3100V2-52TP</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带外console口服务器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Avocent:ACS5048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分光器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武汉光迅 ODF-48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分流器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Arista DCS-7150S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单模光模块</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CE6800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支撑节点</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 DS-A72048R-ICVC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支撑容量</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 DS-A72048-CVS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光端机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中威OB9252D(D0044.G02)-60KM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DIGI串口服务器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泰科-Digi PortServer TS 16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校时服务器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上海锐呈 K801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SA5212M4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流媒体服务器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SA5212M4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存储服务器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SA5212M4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数据库服务器类型1</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SA5212M4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数据库服务器类型2</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NF5568M4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卡口系统管理、硬件系统管理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EPGA卡及光模块</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杭州菲数FX410QL</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个</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卡口系统管理、硬件系统管理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NTP时钟服务器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上海星锐 K801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光端机机架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英飞拓 N3910-18S1/中威电子 OB-4U</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光端机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中威电子 OB9231D</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1601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核心交换机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CE12808A</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万兆单模光模块</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OSX040N01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个</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华为S5700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S5700-28X-LI-AC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视频交换平台</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合众万兆视频安全接入系统 VG-310-B-HD</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硬盘录像机（含硬盘）</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海康威视DS-8616N-K8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DIGI串口服务器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Digi AccelePort C/X 16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加密狗</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SCATS定制</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只</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IBM服务器2</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IBM X3850 X5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诱导系统管理、硬件系统管理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IBM服务器3</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IBM X3850 X6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诱导系统管理、硬件系统管理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SA5212M4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单点远程系统管理、硬件系统管理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视频质量诊断服务器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iVMS-6200E-D</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共享平台数据库服务器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IS-VSE2326X-QDA/8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共享平台中心管理服务器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海康威视IS-VSE2326B-NBC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共享平台设备接入服务器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IS-VSE2326B-NBC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共享平台录像回放服务器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IS-VSE2326B-NBC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共享平台交通接入服务器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IS-VSE2326B-NBC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联网平台设备接入服务器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IS-VSE2326B-NBC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102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云存储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海康威视IS-VSE2326X-QFA 5台、海康威视IS-VSE2326X-BBA 1台、海康威视 DS-A72036R-CVS 16台、西数WD4000FYYZ-31(4T) 576块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管理与监控服务器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R2-1218R-TH(E5-2680V4*2/192G/600G*4)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专项服务(交通小脑服务器）</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存储服务器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R2-1218R-TH(E5-2680V4*2/192G/600G*4)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组件服务型服务器-1</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R2-1218R-TH(E5-2680V4*2/192G/600G*4)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组件服务型服务器-2</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R2-1218R-TH(E5-2680V4*2/384G/600G*12)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组件服务型服务器-3</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R2-1218R-TH(E5-2680V4*1/192G/600G sas*4)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大数据服务器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R2-1218R-TH(E5-2680V4*2/384G/600G*12)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阿里云应用服务器1</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R2-1218R-TH(E5-2683V3 14core*2/192G/600G*4)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阿里云应用服务器2</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R2-1218R-TH(E5-2680V3 12core*2/128G/6T*12)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阿里云应用服务器3</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R2-1218R-TH(E5-2680V3 12core*2/256G/480G*3  2T*9)</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363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阿里云应用服务器4</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R2-1218R-TH(E5-2680V3 12core*2/384G/800G*12)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数据处理服务器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R2-1218R-TH(E5-2680V4*2/384G/800G[ssd]*12)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混合存储型服务器-1</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R2-1218R-TH(E5-2680V4*2/384G/480G[ssd]*3+2T[sata,7200rpm]*9)</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混合存储型服务器-2</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R2-1218R-TH(E5-2680V4*2/384G/480G[ssd]*3+2T[sata,7200rpm]*9)</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存储计算型服务器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R2-1218R-TH(E5-2680V4*1/128G/M.2SSD340G*1)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存储型服务器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R2-1218R-TH(E5-2680V4*2/28G/T[sata,7200rpm]*12)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大数据处理服务器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R2-1218R-TH(E5-2680V4*2/384G/800G[ssd]*2+6T[sata,7200rpm]*10)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物联网安全准入系统</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 DPX8000-A12(BRAS-Blade-A板卡)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专项服务(网络安全准入设备)</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网络安全等级防护</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防火墙</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迪普-FW1000-TS-E</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融合安全设备</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迪普-DPX8000-A12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物联网准入控制设备</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迪普-DAC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负载均衡</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 DPX8000-A12(ADX3000-Blade-A板卡)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负载均衡</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 DPX8000-A12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融合安全网关</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 DPX8000-A12(FW1000-Blade-E1板卡、IPS2000-Blade-A板卡、UAG3000-Blade-A板卡、Scanner-1000-Blade-S)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国保视频网闸</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国保金泰G2000EH1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专项服务(网闸）</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视频交换平台</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国保金泰G2000EH</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视频交换平台</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视频隔离设备-国保金泰G2001D-J（用户认证服务器-国保金泰G2001D-J、设备认证服务器-国保金泰G2001D-J）</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数据交换平台</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数据隔离设备-国保金泰IGAP-1000-Z（前置服务器-国保金泰JTSDE-310-Z、后置服务器-国保金泰JTSDE-310-Z）</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核心交换机(DSW)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CE12808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专项服务（网络交换机）</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核心交换机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CE12808S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汇聚交换机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S5720-52X-SI-AC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汇聚交换机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2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集中存储MS5520</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宏杉MS5520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专项服务(存储设备)</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非现场存储设备</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宏杉MS3000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127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SCATS信号控制系统软件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SCATS信号控制系统软件：通过前端线圈、地磁、视频等感知设备，实时采集交通流数据，并且根据不断变化的交通状况实时提出最佳的信号配时方案，保证交通的畅通、快速和安全</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专项服务(SCATS信号控制系统）</w:t>
            </w:r>
          </w:p>
        </w:tc>
      </w:tr>
      <w:tr>
        <w:tblPrEx>
          <w:tblCellMar>
            <w:top w:w="0" w:type="dxa"/>
            <w:left w:w="108" w:type="dxa"/>
            <w:bottom w:w="0" w:type="dxa"/>
            <w:right w:w="108" w:type="dxa"/>
          </w:tblCellMar>
        </w:tblPrEx>
        <w:trPr>
          <w:trHeight w:val="127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微波检测系统软件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微波检测系统软件：具有利用数字雷达波检测技术实时检测交通流量功能模块、实时检测平均车速功能模块、实时检测车型及车道占用率等交通数据功能模块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单点远程信号控制系统软件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单点远程信号控制系统软件：具有信号监控功能、任务保障功能、故障管理功能、报表分析功能、子区配置功能等</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单点远程系统管理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信号系统无线检测器平台软件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信号系统无线检测器平台软件主要包含：数据采集代理、数据处理、实时监控、地图预览等功能</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交通监视系统软件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数字监控联网平台软件主要包含：实时监控功能模块、监控回放功能模块、云台控制功能模块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102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101</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交通诱导系统软件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交通诱导系统平台软件主要包含：实时交通功能模块、诱导发布功能模块、统计分析功能模块、交通态势功能模块、区域分析功能模块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诱导系统管理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127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102</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潮汐车道控制系统平台软件主要包含：实时监控功能模块、配置管理功能模块、远程控制功能模块、方案管理功能模块、策略管理功能模块、假日管理功能模块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诱导系统管理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运维管理系统软件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运维管理系统软件主要包含：可视化智能监控、自动智能巡检、运维调度管理、移动运维等功能</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运维管理系统卡口系统管理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bl>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注：机房地址：杭州市拱墅区半山路44号；具体运维范围以实际情况为准。</w:t>
      </w:r>
    </w:p>
    <w:p>
      <w:pPr>
        <w:autoSpaceDE w:val="0"/>
        <w:autoSpaceDN w:val="0"/>
        <w:spacing w:line="360" w:lineRule="auto"/>
        <w:ind w:firstLine="7" w:firstLineChars="3"/>
        <w:rPr>
          <w:rFonts w:ascii="仿宋" w:hAnsi="仿宋" w:eastAsia="仿宋" w:cs="仿宋"/>
          <w:b/>
          <w:bCs/>
          <w:sz w:val="24"/>
        </w:rPr>
      </w:pPr>
      <w:r>
        <w:rPr>
          <w:rFonts w:hint="eastAsia" w:ascii="仿宋" w:hAnsi="仿宋" w:eastAsia="仿宋" w:cs="仿宋"/>
          <w:b/>
          <w:bCs/>
          <w:sz w:val="24"/>
        </w:rPr>
        <w:t>二）人员要求</w:t>
      </w:r>
    </w:p>
    <w:p>
      <w:pPr>
        <w:autoSpaceDE w:val="0"/>
        <w:autoSpaceDN w:val="0"/>
        <w:spacing w:line="360" w:lineRule="auto"/>
        <w:ind w:firstLine="480" w:firstLineChars="200"/>
        <w:rPr>
          <w:rFonts w:ascii="仿宋" w:hAnsi="仿宋" w:eastAsia="仿宋" w:cs="仿宋"/>
          <w:b/>
          <w:bCs/>
          <w:sz w:val="24"/>
        </w:rPr>
      </w:pPr>
      <w:r>
        <w:rPr>
          <w:rFonts w:hint="eastAsia" w:ascii="仿宋" w:hAnsi="仿宋" w:eastAsia="仿宋" w:cs="仿宋"/>
          <w:sz w:val="24"/>
        </w:rPr>
        <w:t>1、</w:t>
      </w:r>
      <w:r>
        <w:rPr>
          <w:rFonts w:hint="eastAsia" w:ascii="仿宋" w:hAnsi="仿宋" w:eastAsia="仿宋" w:cs="仿宋"/>
          <w:b/>
          <w:bCs/>
          <w:sz w:val="24"/>
        </w:rPr>
        <w:t>配备标准：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1.1 项目负责人1人：本科及以上学历（提供学历证书）且年龄55周岁（含）以下（提供身份证），</w:t>
      </w:r>
      <w:bookmarkStart w:id="29" w:name="_Hlk156986974"/>
      <w:r>
        <w:rPr>
          <w:rFonts w:hint="eastAsia" w:ascii="仿宋" w:hAnsi="仿宋" w:eastAsia="仿宋" w:cs="仿宋"/>
          <w:sz w:val="24"/>
        </w:rPr>
        <w:t>并具有类似智能交通软硬件运维项目工作经验【提供业绩合同或业主证明材料（须体现人员姓名）】</w:t>
      </w:r>
      <w:bookmarkEnd w:id="29"/>
      <w:r>
        <w:rPr>
          <w:rFonts w:hint="eastAsia" w:ascii="仿宋" w:hAnsi="仿宋" w:eastAsia="仿宋" w:cs="仿宋"/>
          <w:sz w:val="24"/>
        </w:rPr>
        <w:t>，提供社保缴纳证明材料。</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1.2 维护人员16人：专科及以上学历（提供学历证书）且年龄55周岁（含）以下（提供身份证），并具有类似智能交通系统软硬件运维项目工作经验【提供业绩合同或业主证明材料（须体现人员姓名）】，提供社保缴纳证明材料。</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 以上所有服务人员均提供驻点服务，服务地址：杭州市拱墅区半山路44号。</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2、岗位配置：</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 项目负责人：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2.1.1 人数：1人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2.1.2 服务时间：提供5*8小时驻点工作（上午9：00-12：00；下午12：30-17：30）（除法定节假日），如有需要可根据采购人需求调整。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2.1.3 工作职责：</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1、负责对服务队伍的管理及与采购人的日常联络工作，并要求保证工作相对稳定。</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2、为采购人提供多种技术支持方式，并对采购人所提交问题指派固定服务队伍进行解答并提供相关建议。</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3、负责按合同要求进行项目管理工作、负责项目实施和运维团队人员的日常管理。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4、制定和审核运维方案。</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5、组织和参与各种项目例会，负责协调工作、负责撰写、审核各类服务报告，负责分析服务情况。</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6、负责收集各个系统及硬件的巡检记录、维护维修记录台账，次月15日汇总给监理。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 值班岗</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2.2.1 人数：4人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2.2.2 服务时间：提供7*24小时不间断轮流值班工作（采用三班四运转模式）。</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2.2.3工作职责：</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1、负责机房7*24小时值班电话、维管中心值班电话的接听、统筹和记录工作，协助处理数字城管，汇总系统及硬件巡检发现的问题，次月10日汇报项目负责人；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szCs w:val="24"/>
        </w:rPr>
        <w:t>负责机房设备的每日巡检工作，次月</w:t>
      </w:r>
      <w:r>
        <w:rPr>
          <w:rFonts w:ascii="仿宋" w:hAnsi="仿宋" w:eastAsia="仿宋" w:cs="仿宋"/>
          <w:bCs/>
          <w:sz w:val="24"/>
          <w:szCs w:val="24"/>
        </w:rPr>
        <w:t>10日出具每月巡检报告</w:t>
      </w:r>
      <w:r>
        <w:rPr>
          <w:rFonts w:hint="eastAsia" w:ascii="仿宋" w:hAnsi="仿宋" w:eastAsia="仿宋" w:cs="仿宋"/>
          <w:bCs/>
          <w:sz w:val="24"/>
        </w:rPr>
        <w:t>；</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3、负责晚班期间各系统及硬件的巡检及问题排查工作，并初步处置问题，对不能处置的问题半小时内流转给软硬件相应的运维人员（详见</w:t>
      </w:r>
      <w:r>
        <w:rPr>
          <w:rFonts w:hint="eastAsia" w:ascii="仿宋" w:hAnsi="仿宋" w:eastAsia="仿宋" w:cs="仿宋"/>
          <w:sz w:val="24"/>
        </w:rPr>
        <w:t>《运维总清单》</w:t>
      </w:r>
      <w:r>
        <w:rPr>
          <w:rFonts w:hint="eastAsia" w:ascii="仿宋" w:hAnsi="仿宋" w:eastAsia="仿宋" w:cs="仿宋"/>
          <w:bCs/>
          <w:sz w:val="24"/>
        </w:rPr>
        <w:t>）处理；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4、晚班期间配合外场维护人员完成对路口设备问题的排查工作；</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5、负责完成晚班内维护维修台帐记录，每日值班结束移交给对应白班维护人员，并做好交接班；</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6、采购人交办的其他工作的落实、办理；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2.2.4 服务对象：详见</w:t>
      </w:r>
      <w:r>
        <w:rPr>
          <w:rFonts w:hint="eastAsia" w:ascii="仿宋" w:hAnsi="仿宋" w:eastAsia="仿宋" w:cs="仿宋"/>
          <w:sz w:val="24"/>
        </w:rPr>
        <w:t>《运维总清单》中所有硬件设备。</w:t>
      </w:r>
    </w:p>
    <w:p>
      <w:pPr>
        <w:autoSpaceDE w:val="0"/>
        <w:autoSpaceDN w:val="0"/>
        <w:spacing w:line="360" w:lineRule="auto"/>
        <w:ind w:firstLine="480" w:firstLineChars="200"/>
        <w:rPr>
          <w:rFonts w:ascii="仿宋" w:hAnsi="仿宋" w:eastAsia="仿宋" w:cs="仿宋"/>
          <w:bCs/>
          <w:sz w:val="24"/>
        </w:rPr>
      </w:pPr>
      <w:bookmarkStart w:id="30" w:name="_Hlk134453146"/>
      <w:r>
        <w:rPr>
          <w:rFonts w:hint="eastAsia" w:ascii="仿宋" w:hAnsi="仿宋" w:eastAsia="仿宋" w:cs="仿宋"/>
          <w:bCs/>
          <w:sz w:val="24"/>
        </w:rPr>
        <w:t xml:space="preserve">2.3 </w:t>
      </w:r>
      <w:bookmarkStart w:id="31" w:name="_Hlk134452151"/>
      <w:r>
        <w:rPr>
          <w:rFonts w:hint="eastAsia" w:ascii="仿宋" w:hAnsi="仿宋" w:eastAsia="仿宋" w:cs="仿宋"/>
          <w:bCs/>
          <w:sz w:val="24"/>
        </w:rPr>
        <w:t>网络系统</w:t>
      </w:r>
      <w:bookmarkEnd w:id="31"/>
      <w:r>
        <w:rPr>
          <w:rFonts w:hint="eastAsia" w:ascii="仿宋" w:hAnsi="仿宋" w:eastAsia="仿宋" w:cs="仿宋"/>
          <w:bCs/>
          <w:sz w:val="24"/>
        </w:rPr>
        <w:t>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2.3.1 人数：2人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2.3.2 服务时间：提供5*8小时（上午9：00-12：00；下午12：30-17：30）（除法定节假日），如有需要可根据采购人需求调整。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2.3.3 工作职责：</w:t>
      </w:r>
    </w:p>
    <w:p>
      <w:pPr>
        <w:autoSpaceDE w:val="0"/>
        <w:autoSpaceDN w:val="0"/>
        <w:spacing w:line="360" w:lineRule="auto"/>
        <w:ind w:firstLine="240" w:firstLineChars="100"/>
        <w:rPr>
          <w:rFonts w:ascii="仿宋" w:hAnsi="仿宋" w:eastAsia="仿宋" w:cs="仿宋"/>
          <w:bCs/>
          <w:sz w:val="24"/>
        </w:rPr>
      </w:pPr>
      <w:bookmarkStart w:id="32" w:name="_Hlk134267209"/>
      <w:r>
        <w:rPr>
          <w:rFonts w:hint="eastAsia" w:ascii="仿宋" w:hAnsi="仿宋" w:eastAsia="仿宋" w:cs="仿宋"/>
          <w:bCs/>
          <w:sz w:val="24"/>
        </w:rPr>
        <w:t>（1）负责机房视频专网的网络规划以及拓扑的架构，网络的运维保障工作，保障网络设备日常运行；</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（2）负责网络系统故障处理，4小时内排除故障（对“网络安全准入设备”、“网络交换机”和“网闸”不能处置的问题，联系原厂人员进行处置）；</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（3）负责网络系统设备的详细维护维修记录台帐，次月10日汇总给项目负责人；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（4）负责视频专网IP资源管理；</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（5）重大活动中的保障工作；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（6）负责与“网络安全准入设备”、“网络交换机”和“网闸”的原厂对接，协助原厂处理巡检、现场故障排除、节假日保障等工作，原厂服务职责如下：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电话支持服务。在日常的维护过程中，遇到故障或问题时，原厂接到服务请求后，通过电话提供技术服务，提出解决方案，4小时内排除设备故障。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2）现场技术支持服务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当故障不能通过远程支持方式解决时，投标人应在30分钟内响应，派遣原厂人员2小时内赶往采购人现场故障诊断，4小时内故障排除。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3）巡检服务。原厂提供每月不少于1次的设备巡检服务，包含对系统软硬件及配置状况、系统性能、系统冗余及升级需求等多方面的分析，并于5个工作日内出具巡检记录。</w:t>
      </w:r>
    </w:p>
    <w:p>
      <w:pPr>
        <w:pStyle w:val="2"/>
        <w:ind w:left="422" w:leftChars="200" w:hanging="2" w:hangingChars="1"/>
        <w:rPr>
          <w:rFonts w:ascii="仿宋" w:eastAsia="仿宋" w:cs="仿宋"/>
          <w:b w:val="0"/>
          <w:bCs w:val="0"/>
          <w:sz w:val="24"/>
          <w:szCs w:val="24"/>
        </w:rPr>
      </w:pPr>
      <w:r>
        <w:rPr>
          <w:rFonts w:hint="eastAsia" w:ascii="仿宋" w:eastAsia="仿宋" w:cs="仿宋"/>
          <w:b w:val="0"/>
          <w:bCs w:val="0"/>
          <w:sz w:val="24"/>
          <w:szCs w:val="24"/>
        </w:rPr>
        <w:t>4）重大活动、节假日保障服务</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sz w:val="24"/>
        </w:rPr>
        <w:t>在维护期内，逢大型活动、会议期间、系统重大升级，投标人需按照采购人针对大型活动的保障方案予以配合，或其他与维保工作相关的保障措施升级的要求，并提供至少一名原厂服务人员以现场保障。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（7）采购人交办的其他工作的落实、办理；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2.3.5 服务对象：详见</w:t>
      </w:r>
      <w:r>
        <w:rPr>
          <w:rFonts w:hint="eastAsia" w:ascii="仿宋" w:hAnsi="仿宋" w:eastAsia="仿宋" w:cs="仿宋"/>
          <w:sz w:val="24"/>
        </w:rPr>
        <w:t>《运维总清单》。</w:t>
      </w:r>
      <w:bookmarkEnd w:id="30"/>
      <w:bookmarkEnd w:id="32"/>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 SCATS信号系统管理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2.4.1 人数：2人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2.4.2 服务时间：提供5*8小时工作（上午9：00-12：00；下午12：30-17：30），如有需要可根据采购人需求调整。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2.4.3 工作职责：</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（1）负责SCATS信号系统、</w:t>
      </w:r>
      <w:r>
        <w:rPr>
          <w:rFonts w:hint="eastAsia" w:ascii="仿宋" w:hAnsi="仿宋" w:eastAsia="仿宋" w:cs="仿宋"/>
          <w:kern w:val="0"/>
          <w:sz w:val="24"/>
        </w:rPr>
        <w:t>信号系统无线检测器平台软件和</w:t>
      </w:r>
      <w:r>
        <w:rPr>
          <w:rFonts w:hint="eastAsia" w:ascii="仿宋" w:hAnsi="仿宋" w:eastAsia="仿宋" w:cs="仿宋"/>
          <w:bCs/>
          <w:sz w:val="24"/>
        </w:rPr>
        <w:t>微波</w:t>
      </w:r>
      <w:r>
        <w:rPr>
          <w:rFonts w:hint="eastAsia" w:ascii="仿宋" w:hAnsi="仿宋" w:eastAsia="仿宋" w:cs="仿宋"/>
          <w:kern w:val="0"/>
          <w:sz w:val="24"/>
        </w:rPr>
        <w:t>检测系统</w:t>
      </w:r>
      <w:r>
        <w:rPr>
          <w:rFonts w:hint="eastAsia" w:ascii="仿宋" w:hAnsi="仿宋" w:eastAsia="仿宋" w:cs="仿宋"/>
          <w:bCs/>
          <w:sz w:val="24"/>
        </w:rPr>
        <w:t>的运维保障工作，保障系统设备日常运行；</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（2）负责SCATS信号系统、</w:t>
      </w:r>
      <w:r>
        <w:rPr>
          <w:rFonts w:hint="eastAsia" w:ascii="仿宋" w:hAnsi="仿宋" w:eastAsia="仿宋" w:cs="仿宋"/>
          <w:kern w:val="0"/>
          <w:sz w:val="24"/>
        </w:rPr>
        <w:t>信号系统无线检测器平台软件和</w:t>
      </w:r>
      <w:r>
        <w:rPr>
          <w:rFonts w:hint="eastAsia" w:ascii="仿宋" w:hAnsi="仿宋" w:eastAsia="仿宋" w:cs="仿宋"/>
          <w:bCs/>
          <w:sz w:val="24"/>
        </w:rPr>
        <w:t>微波</w:t>
      </w:r>
      <w:r>
        <w:rPr>
          <w:rFonts w:hint="eastAsia" w:ascii="仿宋" w:hAnsi="仿宋" w:eastAsia="仿宋" w:cs="仿宋"/>
          <w:kern w:val="0"/>
          <w:sz w:val="24"/>
        </w:rPr>
        <w:t>检测系统</w:t>
      </w:r>
      <w:r>
        <w:rPr>
          <w:rFonts w:hint="eastAsia" w:ascii="仿宋" w:hAnsi="仿宋" w:eastAsia="仿宋" w:cs="仿宋"/>
          <w:bCs/>
          <w:sz w:val="24"/>
        </w:rPr>
        <w:t>故障处理，8小时内排除故障（对“SCATS信号控制系统”不能处置的问题，联系原厂人员进行处置）；</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（3）负责SCATS信号系统、</w:t>
      </w:r>
      <w:r>
        <w:rPr>
          <w:rFonts w:hint="eastAsia" w:ascii="仿宋" w:hAnsi="仿宋" w:eastAsia="仿宋" w:cs="仿宋"/>
          <w:kern w:val="0"/>
          <w:sz w:val="24"/>
        </w:rPr>
        <w:t>信号系统无线检测器平台软件和</w:t>
      </w:r>
      <w:r>
        <w:rPr>
          <w:rFonts w:hint="eastAsia" w:ascii="仿宋" w:hAnsi="仿宋" w:eastAsia="仿宋" w:cs="仿宋"/>
          <w:bCs/>
          <w:sz w:val="24"/>
        </w:rPr>
        <w:t>微波</w:t>
      </w:r>
      <w:r>
        <w:rPr>
          <w:rFonts w:hint="eastAsia" w:ascii="仿宋" w:hAnsi="仿宋" w:eastAsia="仿宋" w:cs="仿宋"/>
          <w:kern w:val="0"/>
          <w:sz w:val="24"/>
        </w:rPr>
        <w:t>检测系统</w:t>
      </w:r>
      <w:r>
        <w:rPr>
          <w:rFonts w:hint="eastAsia" w:ascii="仿宋" w:hAnsi="仿宋" w:eastAsia="仿宋" w:cs="仿宋"/>
          <w:bCs/>
          <w:sz w:val="24"/>
        </w:rPr>
        <w:t>每日巡检，次月10日出具每月巡检报告；</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（4）负责SCATS信号系统、</w:t>
      </w:r>
      <w:r>
        <w:rPr>
          <w:rFonts w:hint="eastAsia" w:ascii="仿宋" w:hAnsi="仿宋" w:eastAsia="仿宋" w:cs="仿宋"/>
          <w:kern w:val="0"/>
          <w:sz w:val="24"/>
        </w:rPr>
        <w:t>信号系统无线检测器平台软件和</w:t>
      </w:r>
      <w:r>
        <w:rPr>
          <w:rFonts w:hint="eastAsia" w:ascii="仿宋" w:hAnsi="仿宋" w:eastAsia="仿宋" w:cs="仿宋"/>
          <w:bCs/>
          <w:sz w:val="24"/>
        </w:rPr>
        <w:t>微波</w:t>
      </w:r>
      <w:r>
        <w:rPr>
          <w:rFonts w:hint="eastAsia" w:ascii="仿宋" w:hAnsi="仿宋" w:eastAsia="仿宋" w:cs="仿宋"/>
          <w:kern w:val="0"/>
          <w:sz w:val="24"/>
        </w:rPr>
        <w:t>检测系统</w:t>
      </w:r>
      <w:r>
        <w:rPr>
          <w:rFonts w:hint="eastAsia" w:ascii="仿宋" w:hAnsi="仿宋" w:eastAsia="仿宋" w:cs="仿宋"/>
          <w:bCs/>
          <w:sz w:val="24"/>
        </w:rPr>
        <w:t>的详细维护维修记录台帐，次月10日汇总给项目负责人；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（5）负责新建SCATS信号系统点位的平台接入工作，地图链接的设置，并每天汇报给项目负责人；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（6）负责SCATS信号的新建、优化路口芯片程序的核对检查工作；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（7）重大活动中的保障工作；</w:t>
      </w:r>
    </w:p>
    <w:p>
      <w:pPr>
        <w:autoSpaceDE w:val="0"/>
        <w:autoSpaceDN w:val="0"/>
        <w:spacing w:line="360" w:lineRule="auto"/>
        <w:ind w:firstLine="240" w:firstLineChars="100"/>
        <w:rPr>
          <w:rFonts w:ascii="仿宋" w:hAnsi="仿宋" w:eastAsia="仿宋" w:cs="仿宋"/>
          <w:sz w:val="24"/>
        </w:rPr>
      </w:pPr>
      <w:r>
        <w:rPr>
          <w:rFonts w:hint="eastAsia" w:ascii="仿宋" w:hAnsi="仿宋" w:eastAsia="仿宋" w:cs="仿宋"/>
          <w:bCs/>
          <w:sz w:val="24"/>
        </w:rPr>
        <w:t>（8）负责与“SCATS信号控制系统”的原厂对接，协助原厂处理巡检、现场故障排除、节假日保障等工作，原厂服务职责如下：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电话支持服务。在日常的维护过程中，遇到故障或问题时，原厂接到服务请求后，通过电话提供技术服务，提出解决方案，8小时内排除设备故障。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2）现场技术支持服务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当故障不能通过远程支持方式解决时，投标人应在30分钟内响应，派遣原厂人员6小时内赶往采购人现场故障诊断，8小时内故障排除。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3）巡检服务。原厂提供每月不少于1次的设备巡检服务，包含对系统软硬件及配置状况、系统性能、系统冗余及升级需求等多方面的分析，并于5个工作日内出具巡检记录。</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4）重大活动、节假日保障服务</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sz w:val="24"/>
        </w:rPr>
        <w:t>在维护期内，逢大型活动、会议期间、系统重大升级，投标人需按照采购人针对大型活动的保障方案予以配合，或其他与维保工作相关的保障措施升级的要求，并提供至少一名原厂服务人员以现场保障。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（9）采购人交办的其他工作的落实、办理。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2.4.5 服务对象：详见</w:t>
      </w:r>
      <w:r>
        <w:rPr>
          <w:rFonts w:hint="eastAsia" w:ascii="仿宋" w:hAnsi="仿宋" w:eastAsia="仿宋" w:cs="仿宋"/>
          <w:sz w:val="24"/>
        </w:rPr>
        <w:t>《运维总清单》。</w:t>
      </w:r>
    </w:p>
    <w:p>
      <w:pPr>
        <w:autoSpaceDE w:val="0"/>
        <w:autoSpaceDN w:val="0"/>
        <w:spacing w:line="360" w:lineRule="auto"/>
        <w:ind w:firstLine="480" w:firstLineChars="200"/>
        <w:rPr>
          <w:rFonts w:ascii="仿宋" w:hAnsi="仿宋" w:eastAsia="仿宋" w:cs="仿宋"/>
          <w:bCs/>
          <w:sz w:val="24"/>
        </w:rPr>
      </w:pPr>
      <w:bookmarkStart w:id="33" w:name="_Hlk134270163"/>
      <w:r>
        <w:rPr>
          <w:rFonts w:hint="eastAsia" w:ascii="仿宋" w:hAnsi="仿宋" w:eastAsia="仿宋" w:cs="仿宋"/>
          <w:bCs/>
          <w:sz w:val="24"/>
        </w:rPr>
        <w:t>2.5单点远程信号系统管理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2.5.1 人数：1人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2.5.2 服务时间：提供5*8小时工作（上午9：00-12：00；下午12：30-17：30），如有需要可根据采购人需求调整。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2.5.3 工作职责：</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（1）负责机房单点远程信号平台的运维保障工作，保障单点远程信号系统的正常运行；</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（2）负责单点远程信号系统故障处理，4小时内排除故障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（3）负责单点远程信号系统平台的每日巡检、报修，次月10日出具每月巡检报告； </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（4）负责单点远程信号系统平台的详细维护维修记录台帐，次月10日汇总给项目负责人；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（5）负责新建单点远程信号系统点位的平台接入和删减工作，地图链接的设置，并每天汇报给项目负责人；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（6）负责单点远程信号路口的新建、优化等路口芯片程序的核对检查工作；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（7）重大活动中的保障工作；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（8）采购人交办的其他工作的落实、办理。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2.5.4 服务对象：详见</w:t>
      </w:r>
      <w:r>
        <w:rPr>
          <w:rFonts w:hint="eastAsia" w:ascii="仿宋" w:hAnsi="仿宋" w:eastAsia="仿宋" w:cs="仿宋"/>
          <w:sz w:val="24"/>
        </w:rPr>
        <w:t>《运维总清单》。</w:t>
      </w:r>
      <w:bookmarkEnd w:id="33"/>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 监控系统管理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2.6.1 人数：1人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2.6.2 服务时间：提供5*8小时工作（上午9：00-12：00；下午12：30-17：30），如有需要可根据采购人需求调整。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2.6.3 工作职责：</w:t>
      </w:r>
    </w:p>
    <w:p>
      <w:pPr>
        <w:autoSpaceDE w:val="0"/>
        <w:autoSpaceDN w:val="0"/>
        <w:spacing w:line="360" w:lineRule="auto"/>
        <w:ind w:firstLine="240" w:firstLineChars="100"/>
        <w:rPr>
          <w:rFonts w:ascii="仿宋" w:hAnsi="仿宋" w:eastAsia="仿宋" w:cs="仿宋"/>
          <w:sz w:val="24"/>
        </w:rPr>
      </w:pPr>
      <w:r>
        <w:rPr>
          <w:rFonts w:hint="eastAsia" w:ascii="仿宋" w:hAnsi="仿宋" w:eastAsia="仿宋" w:cs="仿宋"/>
          <w:bCs/>
          <w:sz w:val="24"/>
        </w:rPr>
        <w:t>（1）负责机房监控系统设备的运维保障工作，保障监控系统设备的日常运行；</w:t>
      </w:r>
    </w:p>
    <w:p>
      <w:pPr>
        <w:autoSpaceDE w:val="0"/>
        <w:autoSpaceDN w:val="0"/>
        <w:spacing w:line="360" w:lineRule="auto"/>
        <w:ind w:firstLine="240" w:firstLineChars="100"/>
        <w:rPr>
          <w:rFonts w:ascii="仿宋" w:hAnsi="仿宋" w:eastAsia="仿宋" w:cs="仿宋"/>
          <w:bCs/>
          <w:sz w:val="24"/>
        </w:rPr>
      </w:pPr>
      <w:bookmarkStart w:id="34" w:name="_Hlk134452063"/>
      <w:r>
        <w:rPr>
          <w:rFonts w:hint="eastAsia" w:ascii="仿宋" w:hAnsi="仿宋" w:eastAsia="仿宋" w:cs="仿宋"/>
          <w:bCs/>
          <w:sz w:val="24"/>
        </w:rPr>
        <w:t>（2）负责监控系统故障处理，4小时内排除故障（对“存储设备”不能处置的问题，联系原厂人员进行处置）；</w:t>
      </w:r>
      <w:bookmarkEnd w:id="34"/>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（3）负责监控系统设备每日巡检，次月10日出具每月巡检报告；</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（4）负责监控系统设备的详细维护维修记录台帐，次月10日汇总给项目负责人；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（5）负责新建监控系统点位的平台接入和删减工作，每天汇报给项目负责人；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（6）负责监控点位推送市局及各类数据统计工作；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（7）重大活动中的保障工作；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（8）负责与“存储设备”的原厂对接，协助原厂处理巡检、现场故障排除、节假日保障等工作，原厂服务工作职责如下：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电话支持服务。在日常的维护过程中，遇到故障或问题时，原厂接到服务请求后，通过电话提供技术服务，提出解决方案，4小时内排除设备故障。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2）现场技术支持服务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当故障不能通过远程支持方式解决时，投标人应在30分钟内响应，派遣原厂人员2小时内赶往采购人现场故障诊断，4小时内故障排除。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3）巡检服务。原厂提供每月不少于1次的设备巡检服务，包含对系统软硬件及配置状况、系统性能、系统冗余及升级需求等多方面的分析，并于5个工作日内出具巡检记录。</w:t>
      </w:r>
    </w:p>
    <w:p>
      <w:pPr>
        <w:pStyle w:val="2"/>
        <w:ind w:left="422" w:leftChars="200" w:hanging="2" w:hangingChars="1"/>
        <w:rPr>
          <w:rFonts w:ascii="仿宋" w:eastAsia="仿宋" w:cs="仿宋"/>
          <w:b w:val="0"/>
          <w:bCs w:val="0"/>
          <w:sz w:val="24"/>
          <w:szCs w:val="24"/>
        </w:rPr>
      </w:pPr>
      <w:r>
        <w:rPr>
          <w:rFonts w:hint="eastAsia" w:ascii="仿宋" w:eastAsia="仿宋" w:cs="仿宋"/>
          <w:b w:val="0"/>
          <w:bCs w:val="0"/>
          <w:sz w:val="24"/>
          <w:szCs w:val="24"/>
        </w:rPr>
        <w:t>4）重大活动、节假日保障服务</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sz w:val="24"/>
        </w:rPr>
        <w:t>在维护期内，逢大型活动、会议期间、系统重大升级，投标人需按照采购人针对大型活动的保障方案予以配合，或其他与维保工作相关的保障措施升级的要求，并提供至少一名原厂服务人员以现场保障。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（9）采购人交办的其他工作的落实、办理；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2.6.5 服务对象：详见</w:t>
      </w:r>
      <w:r>
        <w:rPr>
          <w:rFonts w:hint="eastAsia" w:ascii="仿宋" w:hAnsi="仿宋" w:eastAsia="仿宋" w:cs="仿宋"/>
          <w:sz w:val="24"/>
        </w:rPr>
        <w:t>《运维总清单》。</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2.7 诱导系统管理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2.7.1 人数：1人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2.7.2 服务时间：提供5*8小时工作（上午9：00-12：00；下午12：30-17：30），如有需要可根据采购人需求调整。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2.7.3 工作职责：</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（1）负责机房诱导平台、潮汐车道平台的运维保障工作，保障诱导、潮汐车道控制系统平台的正常运行；</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（2）负责机房诱导平台、潮汐车道平台故障处理，4小时内排除故障；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（3）做好诱导、潮汐车道系统设备每日巡检、报修，次月10日出具每月巡检报告；</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（4）做好诱导、潮汐车道系统设备的详细维护维修记录台帐，次月10日汇总给项目负责人；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（5）做好新建诱导、潮汐车道点位的平台接入和删减工作，每天汇报给项目负责人；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（6）重大活动中的保障工作；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（7）采购人交办的其他工作的落实、办理。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2.7.4 服务对象：详见</w:t>
      </w:r>
      <w:r>
        <w:rPr>
          <w:rFonts w:hint="eastAsia" w:ascii="仿宋" w:hAnsi="仿宋" w:eastAsia="仿宋" w:cs="仿宋"/>
          <w:sz w:val="24"/>
        </w:rPr>
        <w:t>《运维总清单》。</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2.8 运维管理系统、卡口系统</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2.8.1 人数：1人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2.8.2 服务时间：提供5*8小时工作（上午9：00-12：00；下午12：30-17：30），如有需要可根据采购人需求调整。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2.8.3 工作职责：</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（1）负责运维管理平台的运维保障工作，保障运维管理平台的正常运行；</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（2）负责运维管理系统、卡口系统故障处理，4小时内排除故障；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 xml:space="preserve">（3）负责卡口系统每日巡检、报修、处理工作，次月10日出具每月巡检报告； </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（4）负责运维管理系统、卡口系统的详细维护维修记录台帐，次月10日汇总给项目负责人；</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（5）负责卡口系统点位的平台接入工作，每天汇报给项目负责人；</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（6）重大活动中的保障工作；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（7）采购人交办的其他工作的落实、办理；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2.8.4 服务对象：详见</w:t>
      </w:r>
      <w:r>
        <w:rPr>
          <w:rFonts w:hint="eastAsia" w:ascii="仿宋" w:hAnsi="仿宋" w:eastAsia="仿宋" w:cs="仿宋"/>
          <w:sz w:val="24"/>
        </w:rPr>
        <w:t>《运维总清单》。</w:t>
      </w:r>
    </w:p>
    <w:p>
      <w:pPr>
        <w:autoSpaceDE w:val="0"/>
        <w:autoSpaceDN w:val="0"/>
        <w:spacing w:line="360" w:lineRule="auto"/>
        <w:ind w:firstLine="480" w:firstLineChars="200"/>
        <w:rPr>
          <w:rFonts w:ascii="仿宋" w:hAnsi="仿宋" w:eastAsia="仿宋" w:cs="仿宋"/>
          <w:bCs/>
          <w:sz w:val="24"/>
        </w:rPr>
      </w:pPr>
      <w:bookmarkStart w:id="35" w:name="_Hlk134462118"/>
      <w:r>
        <w:rPr>
          <w:rFonts w:hint="eastAsia" w:ascii="仿宋" w:hAnsi="仿宋" w:eastAsia="仿宋" w:cs="仿宋"/>
          <w:bCs/>
          <w:sz w:val="24"/>
        </w:rPr>
        <w:t>2.9 外建项目接入管理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2.9.1 人数：2人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2.9.2 服务时间：提供5*8小时工作（上午9：00-12：00；下午12：30-17：30），如有需要可根据采购人需求调整。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2.9.3 工作职责：</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（1）负责外建新建项目的资料接收、整理工作；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（2）负责外建新建项目的点位IP地址的分配工作；</w:t>
      </w:r>
    </w:p>
    <w:p>
      <w:pPr>
        <w:autoSpaceDE w:val="0"/>
        <w:autoSpaceDN w:val="0"/>
        <w:spacing w:line="360" w:lineRule="auto"/>
        <w:ind w:firstLine="331" w:firstLineChars="138"/>
        <w:rPr>
          <w:rFonts w:ascii="仿宋" w:hAnsi="仿宋" w:eastAsia="仿宋" w:cs="仿宋"/>
          <w:sz w:val="24"/>
        </w:rPr>
      </w:pPr>
      <w:r>
        <w:rPr>
          <w:rFonts w:hint="eastAsia" w:ascii="仿宋" w:hAnsi="仿宋" w:eastAsia="仿宋" w:cs="仿宋"/>
          <w:bCs/>
          <w:sz w:val="24"/>
        </w:rPr>
        <w:t xml:space="preserve">（3）负责外建新建项目的抽检（抽检项目数量不少于2023年抽检项目数量），抽检项目工作完成后5个工作日内出具抽检报告； </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（4）负责确认点位名称、是否接通，并分配给各软硬件运维人员（详见</w:t>
      </w:r>
      <w:r>
        <w:rPr>
          <w:rFonts w:hint="eastAsia" w:ascii="仿宋" w:hAnsi="仿宋" w:eastAsia="仿宋" w:cs="仿宋"/>
          <w:sz w:val="24"/>
        </w:rPr>
        <w:t>《运维总清单》</w:t>
      </w:r>
      <w:r>
        <w:rPr>
          <w:rFonts w:hint="eastAsia" w:ascii="仿宋" w:hAnsi="仿宋" w:eastAsia="仿宋" w:cs="仿宋"/>
          <w:bCs/>
          <w:sz w:val="24"/>
        </w:rPr>
        <w:t>）进行平台点位接入，次月10日提交平台点位接入分配清单；</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（5）负责点位接入完成情况确认工作；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（6）负责机房新建光纤位置分配、变更等确认工作；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（7）外建项目接入的工作台账于次月10日汇总给项目负责人；</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（8）重大活动中的保障工作。</w:t>
      </w:r>
      <w:bookmarkEnd w:id="35"/>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2.10 硬件系统管理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2.10.1 人数：2人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2.10.2 服务时间：提供5*8小时工作（上午9：00-12：00；下午12：30-17：30），如有需要可根据采购人需求调整。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2.10.3 工作职责：</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（1）负责服务器的硬件配置、系统安装、设备上下架等技术维护；</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（2）负责硬件设备的日常维护；</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（3）负责</w:t>
      </w:r>
      <w:r>
        <w:rPr>
          <w:rFonts w:hint="eastAsia" w:ascii="仿宋" w:hAnsi="仿宋" w:eastAsia="仿宋" w:cs="仿宋"/>
          <w:kern w:val="0"/>
          <w:sz w:val="24"/>
        </w:rPr>
        <w:t>硬件设备的</w:t>
      </w:r>
      <w:r>
        <w:rPr>
          <w:rFonts w:hint="eastAsia" w:ascii="仿宋" w:hAnsi="仿宋" w:eastAsia="仿宋" w:cs="仿宋"/>
          <w:bCs/>
          <w:sz w:val="24"/>
        </w:rPr>
        <w:t>故障处理，除“</w:t>
      </w:r>
      <w:r>
        <w:rPr>
          <w:rFonts w:hint="eastAsia" w:ascii="仿宋" w:hAnsi="仿宋" w:eastAsia="仿宋" w:cs="仿宋"/>
          <w:sz w:val="24"/>
        </w:rPr>
        <w:t>交通小脑服务器</w:t>
      </w:r>
      <w:r>
        <w:rPr>
          <w:rFonts w:hint="eastAsia" w:ascii="仿宋" w:hAnsi="仿宋" w:eastAsia="仿宋" w:cs="仿宋"/>
          <w:bCs/>
          <w:sz w:val="24"/>
        </w:rPr>
        <w:t>”、“网络交换机”、“网络安全准入设备”、“网闸”、“存储设备”外的所有硬件要求4小时内排除故障；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（4）硬件系统故障维护工作台账于次月10日汇总给项目负责人；</w:t>
      </w:r>
    </w:p>
    <w:p>
      <w:pPr>
        <w:autoSpaceDE w:val="0"/>
        <w:autoSpaceDN w:val="0"/>
        <w:spacing w:line="360" w:lineRule="auto"/>
        <w:ind w:firstLine="331" w:firstLineChars="138"/>
        <w:rPr>
          <w:rFonts w:ascii="仿宋" w:hAnsi="仿宋" w:eastAsia="仿宋" w:cs="仿宋"/>
          <w:sz w:val="24"/>
        </w:rPr>
      </w:pPr>
      <w:r>
        <w:rPr>
          <w:rFonts w:hint="eastAsia" w:ascii="仿宋" w:hAnsi="仿宋" w:eastAsia="仿宋" w:cs="仿宋"/>
          <w:bCs/>
          <w:sz w:val="24"/>
        </w:rPr>
        <w:t>（5）负责与“交通小脑服务器”的原厂对接，协助原厂处理巡检、现场故障排除、节假日保障等工作，</w:t>
      </w:r>
      <w:r>
        <w:rPr>
          <w:rFonts w:hint="eastAsia" w:ascii="仿宋" w:hAnsi="仿宋" w:eastAsia="仿宋" w:cs="仿宋"/>
          <w:sz w:val="24"/>
        </w:rPr>
        <w:t>原厂服务职责如下：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电话支持服务。在日常的维护过程中，遇到故障或问题时，原厂接到服务请求后，通过电话提供技术服务，提出解决方案，4小时内排除设备故障。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2）现场技术支持服务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当故障不能通过远程支持方式解决时，投标人应在30分钟内响应，派遣原厂人员2小时内赶往采购人现场故障诊断，4小时内故障排除。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3）巡检服务。原厂提供每月不少于1次的设备巡检服务，包含对系统软硬件及配置状况、系统性能、系统冗余及升级需求等多方面的分析，并于5个工作日内出具巡检记录。</w:t>
      </w:r>
    </w:p>
    <w:p>
      <w:pPr>
        <w:pStyle w:val="2"/>
        <w:ind w:left="422" w:leftChars="200" w:hanging="2" w:hangingChars="1"/>
        <w:rPr>
          <w:rFonts w:ascii="仿宋" w:eastAsia="仿宋" w:cs="仿宋"/>
          <w:b w:val="0"/>
          <w:bCs w:val="0"/>
          <w:sz w:val="24"/>
          <w:szCs w:val="24"/>
        </w:rPr>
      </w:pPr>
      <w:r>
        <w:rPr>
          <w:rFonts w:hint="eastAsia" w:ascii="仿宋" w:eastAsia="仿宋" w:cs="仿宋"/>
          <w:b w:val="0"/>
          <w:bCs w:val="0"/>
          <w:sz w:val="24"/>
          <w:szCs w:val="24"/>
        </w:rPr>
        <w:t>4）重大活动、节假日保障服务</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sz w:val="24"/>
        </w:rPr>
        <w:t>在维护期内，逢大型活动、会议期间、系统重大升级，投标人需按照采购人针对大型活动的保障方案予以配合，或其他与维保工作相关的保障措施升级的要求，并提供至少一名原厂服务人员以现场保障。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2.10.5 </w:t>
      </w:r>
      <w:r>
        <w:rPr>
          <w:rFonts w:hint="eastAsia" w:ascii="仿宋" w:hAnsi="仿宋" w:eastAsia="仿宋" w:cs="仿宋"/>
          <w:bCs/>
          <w:sz w:val="24"/>
        </w:rPr>
        <w:t>服务对象：详见</w:t>
      </w:r>
      <w:r>
        <w:rPr>
          <w:rFonts w:hint="eastAsia" w:ascii="仿宋" w:hAnsi="仿宋" w:eastAsia="仿宋" w:cs="仿宋"/>
          <w:sz w:val="24"/>
        </w:rPr>
        <w:t>《运维总清单》。</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3、人员其他要求：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①服务人员如发生变化（如人员更换、人员离职），须提前15天报采购人书面审批同意后方可变更，服务期内保证人员到位确保在岗人数及资质不低于投标时人员资质，否则按违约进行处理。</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②保密要求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保密要求：采购人对投标人及工作人员开展常态化安全保密教育，组织签订安全保密承诺书，明确具体安全管理内容、安全保密义务和责任；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严格按照采购人规定使用、存储、处理文档资料和数据。合同终止时，应当交还全部资料和数据。</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投标人需与采购人签署保密协议，投标人对在项目实施期间所获得的采购人的情报和资料有保密义务（包括但不限于合同服务期内），泄漏秘密应承担的责任。如有违反，按合同的违约条款向采购人支付违约金，造成采购人损失的应予赔偿，涉嫌犯罪的依法追究刑事责任。</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若项目涉及分包的，投标人须按照以上保密要求，与分包供应商签订单位保密协议、个人保密承诺书、开展日常保密教育等措施，确保分包供应商严格落实各项保密规定。</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三）车辆要求</w:t>
      </w:r>
    </w:p>
    <w:p>
      <w:pPr>
        <w:spacing w:line="360" w:lineRule="auto"/>
        <w:ind w:firstLine="480" w:firstLineChars="200"/>
        <w:outlineLvl w:val="3"/>
        <w:rPr>
          <w:rFonts w:ascii="仿宋" w:hAnsi="仿宋" w:eastAsia="仿宋" w:cs="仿宋"/>
          <w:sz w:val="24"/>
        </w:rPr>
      </w:pPr>
      <w:r>
        <w:rPr>
          <w:rFonts w:hint="eastAsia" w:ascii="仿宋" w:hAnsi="仿宋" w:eastAsia="仿宋" w:cs="仿宋"/>
          <w:sz w:val="24"/>
        </w:rPr>
        <w:t>（1）配备数量</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提供运维车辆1辆。</w:t>
      </w:r>
    </w:p>
    <w:p>
      <w:pPr>
        <w:spacing w:line="360" w:lineRule="auto"/>
        <w:ind w:firstLine="480" w:firstLineChars="200"/>
        <w:outlineLvl w:val="3"/>
        <w:rPr>
          <w:rFonts w:ascii="仿宋" w:hAnsi="仿宋" w:eastAsia="仿宋" w:cs="仿宋"/>
          <w:sz w:val="24"/>
        </w:rPr>
      </w:pPr>
      <w:r>
        <w:rPr>
          <w:rFonts w:hint="eastAsia" w:ascii="仿宋" w:hAnsi="仿宋" w:eastAsia="仿宋" w:cs="仿宋"/>
          <w:sz w:val="24"/>
        </w:rPr>
        <w:t>（2）车辆配置要求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车辆首次注册日期为2018年6月1日之后。车辆配备以完成外建新建项目堪查为目的，需安装定位系统，维护车辆定位信息提供采购人使用。车辆具有车辆行驶证及年检记录等相关资质，以确保车辆在道路上合法通行，定期保养和维护，确保车辆的安全和稳定性。（投标时提供定位系统提供相关证明和系统截图、车辆行驶证、年检记录及车辆照片）。</w:t>
      </w:r>
    </w:p>
    <w:p>
      <w:pPr>
        <w:spacing w:line="360" w:lineRule="auto"/>
        <w:ind w:firstLine="480" w:firstLineChars="200"/>
        <w:outlineLvl w:val="3"/>
        <w:rPr>
          <w:rFonts w:ascii="仿宋" w:hAnsi="仿宋" w:eastAsia="仿宋" w:cs="仿宋"/>
          <w:sz w:val="24"/>
        </w:rPr>
      </w:pPr>
      <w:r>
        <w:rPr>
          <w:rFonts w:hint="eastAsia" w:ascii="仿宋" w:hAnsi="仿宋" w:eastAsia="仿宋" w:cs="仿宋"/>
          <w:sz w:val="24"/>
        </w:rPr>
        <w:t>（3）其他要求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根据招标要求保障相应运维车辆应与投标文件一致，投标人不得随意更换运维车辆，若必须更换需提前15天向采购人提出申请，采购人对运维车辆变更进行审批，签发变更审批单，更换运维车辆需在采购人同意后24小时内保证运维车辆到位，更换运维车辆要求不得低于投标时车辆要求，并确保任何时候无车辆缺位现象发生。</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四）项目文档材料要求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（1）要求投标人在本项目实施过程中做详细的工作台账，并根据采购人要求作分类、汇总及统计分析。</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合同签订后需根据投标文件中服务计划、服务人员的约定，提交包括对整体维保工作的开展方式、故障抢修方式、巡检工作整体计划、具体项目人员组成、人员分工及联系方式、相关文档资料表格模板、总结报告模板以及用户设备档案模板等。</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在维保项目实施期间，对每一次的巡检工作进行书面记录，记录内容必须包括：巡检人员、巡检时间、巡检内容、巡检结果，要求结合巡检和其他服务，为采购人的设备（系统）建立档案（软件系统应收集系统使用人员的使用意见，记录从上一次巡检到本次巡检期间产生的业务数据量；硬件系统应记录相应数据指标）。</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维保工作期间，对于简单故障排除、操作人员使用指导、操作人员误操作产生的数据维护等日常保障工作，要求由具体维护人员进行简单的书面登记：包括维护人员、处理内容、处理时间、服务对象或人员名称，并形成周报形式报采购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5）如果在维护期间出现系统运行故障，需在故障排除后单独填写故障维护报告，报告的内容应当包括：“故障发生时间、故障产生原因、故障产生的影响、维护工作的开始时间、故障解决方法、故障最终排除时间、维护工作具体参加人员、采购人参加人员、针对该故障的问题总结及建议。”并上报采购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（6）每月服务结束后，次月15日提供运维月报，项目结束后20个工作日内需提交运维总结报告。</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五）运维耗材要求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运维耗材更换原则：每个故障点单个设备材料价值3000元以下金额的设备材料属于运维耗材范围（详见运维耗材清单），由投标人承担，并上报维修记录台账及相关照片并每月提交运维耗材使用情况汇总清单；单个设备材料超过3000元的如需更换需书面提交更换清单，报监理人确认，报采购人审核后，由采购人提供，投标人负责安装调试及故障修复，并于次月10日前上报维修记录台账、设备材料更换清单及相关照片并每月提交使用情况汇总清单。</w:t>
      </w:r>
    </w:p>
    <w:p>
      <w:pPr>
        <w:autoSpaceDE w:val="0"/>
        <w:autoSpaceDN w:val="0"/>
        <w:spacing w:line="440" w:lineRule="exact"/>
        <w:ind w:firstLine="480" w:firstLineChars="200"/>
        <w:rPr>
          <w:rFonts w:ascii="仿宋" w:hAnsi="仿宋" w:eastAsia="仿宋" w:cs="仿宋"/>
          <w:sz w:val="24"/>
        </w:rPr>
      </w:pPr>
      <w:r>
        <w:rPr>
          <w:rFonts w:hint="eastAsia" w:ascii="仿宋" w:hAnsi="仿宋" w:eastAsia="仿宋" w:cs="仿宋"/>
          <w:sz w:val="24"/>
        </w:rPr>
        <w:t>（2）运维耗材性能及各项指标参数不得低于原有运维耗材，并与原有系统相匹配，并</w:t>
      </w:r>
      <w:r>
        <w:rPr>
          <w:rFonts w:hint="eastAsia" w:ascii="仿宋" w:hAnsi="仿宋" w:eastAsia="仿宋" w:cs="仿宋"/>
          <w:kern w:val="0"/>
          <w:sz w:val="24"/>
        </w:rPr>
        <w:t>确保其质量可靠、性能稳定</w:t>
      </w:r>
      <w:r>
        <w:rPr>
          <w:rFonts w:hint="eastAsia" w:ascii="仿宋" w:hAnsi="仿宋" w:eastAsia="仿宋" w:cs="仿宋"/>
          <w:sz w:val="24"/>
        </w:rPr>
        <w:t>。</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（3）运维耗材清单（预估）</w:t>
      </w:r>
    </w:p>
    <w:tbl>
      <w:tblPr>
        <w:tblStyle w:val="62"/>
        <w:tblW w:w="9022" w:type="dxa"/>
        <w:tblInd w:w="49" w:type="dxa"/>
        <w:tblLayout w:type="fixed"/>
        <w:tblCellMar>
          <w:top w:w="0" w:type="dxa"/>
          <w:left w:w="108" w:type="dxa"/>
          <w:bottom w:w="0" w:type="dxa"/>
          <w:right w:w="108" w:type="dxa"/>
        </w:tblCellMar>
      </w:tblPr>
      <w:tblGrid>
        <w:gridCol w:w="709"/>
        <w:gridCol w:w="1417"/>
        <w:gridCol w:w="5462"/>
        <w:gridCol w:w="717"/>
        <w:gridCol w:w="717"/>
      </w:tblGrid>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耗材名称</w:t>
            </w:r>
          </w:p>
        </w:tc>
        <w:tc>
          <w:tcPr>
            <w:tcW w:w="546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规格参数</w:t>
            </w:r>
          </w:p>
        </w:tc>
        <w:tc>
          <w:tcPr>
            <w:tcW w:w="7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数量</w:t>
            </w:r>
          </w:p>
        </w:tc>
        <w:tc>
          <w:tcPr>
            <w:tcW w:w="7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w:t>
            </w:r>
          </w:p>
        </w:tc>
      </w:tr>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1417" w:type="dxa"/>
            <w:tcBorders>
              <w:top w:val="single" w:color="auto" w:sz="4" w:space="0"/>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内存</w:t>
            </w:r>
          </w:p>
        </w:tc>
        <w:tc>
          <w:tcPr>
            <w:tcW w:w="5462" w:type="dxa"/>
            <w:tcBorders>
              <w:top w:val="single" w:color="auto" w:sz="4" w:space="0"/>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16G 2400MHZ DDR4服务器内存</w:t>
            </w:r>
          </w:p>
        </w:tc>
        <w:tc>
          <w:tcPr>
            <w:tcW w:w="7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硬盘1</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容量≥300G硬盘；接口：SAS 3.0；硬盘尺寸：2.5英寸；转速：10K</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4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硬盘2</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容量≥300G硬盘；接口：SAS 2.0；硬盘尺寸：2.5英寸；转速：10K</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6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硬盘3</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容量≥600G硬盘；接口：SAS 3.0；硬盘尺寸：2.5英寸；转速：15K</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12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硬盘4</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容量≥600G硬盘；接口：SAS 3.0；硬盘尺寸：2.5英寸；转速：10K</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4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硬盘5</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容量≥300G硬盘；接口：SAS 2.0；硬盘尺寸：2.5英寸；转速：15K</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7</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硬盘6</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容量≥2TB硬盘,接口：SATA接口；转速：7200rpm；硬盘尺寸：3.5英寸</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光纤跳线1</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LC-LC多模OM3万兆光纤跳线10米/根</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10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9</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光纤跳线2</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LC-LC多模OM3万兆光纤跳线3米/根</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光纤跳线3</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FC-LC单模光纤跳线3米/根</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231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光纤跳线4</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FC-LC单模光纤跳线10米/根</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光纤跳线5</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FC-LC单模光纤跳线5米/根</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w:t>
            </w:r>
          </w:p>
        </w:tc>
        <w:tc>
          <w:tcPr>
            <w:tcW w:w="1417"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成品网线1</w:t>
            </w:r>
          </w:p>
        </w:tc>
        <w:tc>
          <w:tcPr>
            <w:tcW w:w="5462"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六类成品网线3米/根</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86 </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14</w:t>
            </w:r>
          </w:p>
        </w:tc>
        <w:tc>
          <w:tcPr>
            <w:tcW w:w="1417"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成品网线2</w:t>
            </w:r>
          </w:p>
        </w:tc>
        <w:tc>
          <w:tcPr>
            <w:tcW w:w="5462"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六类成品网线10米/根</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4 </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w:t>
            </w:r>
          </w:p>
        </w:tc>
        <w:tc>
          <w:tcPr>
            <w:tcW w:w="1417"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光模块1</w:t>
            </w:r>
          </w:p>
        </w:tc>
        <w:tc>
          <w:tcPr>
            <w:tcW w:w="5462"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千兆单模模块-40公里</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14 </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个</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w:t>
            </w:r>
          </w:p>
        </w:tc>
        <w:tc>
          <w:tcPr>
            <w:tcW w:w="141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光模块2</w:t>
            </w:r>
          </w:p>
        </w:tc>
        <w:tc>
          <w:tcPr>
            <w:tcW w:w="546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万兆多模模块-300米</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6 </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个</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17</w:t>
            </w:r>
          </w:p>
        </w:tc>
        <w:tc>
          <w:tcPr>
            <w:tcW w:w="141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光收发器</w:t>
            </w:r>
          </w:p>
        </w:tc>
        <w:tc>
          <w:tcPr>
            <w:tcW w:w="546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1个光口1个电口，单模单芯40公里</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4 </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个</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18</w:t>
            </w:r>
          </w:p>
        </w:tc>
        <w:tc>
          <w:tcPr>
            <w:tcW w:w="141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存储电源</w:t>
            </w:r>
          </w:p>
        </w:tc>
        <w:tc>
          <w:tcPr>
            <w:tcW w:w="546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输入电压220V,功率≥500W</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4 </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个</w:t>
            </w:r>
          </w:p>
        </w:tc>
      </w:tr>
    </w:tbl>
    <w:p>
      <w:pPr>
        <w:autoSpaceDE w:val="0"/>
        <w:autoSpaceDN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注：</w:t>
      </w:r>
      <w:r>
        <w:rPr>
          <w:rFonts w:hint="eastAsia" w:ascii="仿宋" w:hAnsi="仿宋" w:eastAsia="仿宋" w:cs="仿宋"/>
          <w:b/>
          <w:bCs/>
          <w:sz w:val="24"/>
        </w:rPr>
        <w:t>1、本项目所用耗材产品均为未使用过的全新产品。</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运维耗材采用包干方式，在服务期内投标人需提供设备运维所需的所有耗材；上述运维耗材清单仅为预估，实际工作中，若运维耗材超出上述预估的，投标人应予以提供，且采购人不再另行增加成本，请投标人谨慎考虑，在投标报价时将可能产生的全部费用包含在内。</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六）网络安全责任和义务要求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（1）明确投标人法定代表人为合作事项网络安全第一责任人，具体承担合作事项的部门主要负责人为直接责任人。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（2）不得转包合同任务；除非主体、非关键性的“运维耗材”工作外，不得分包合同任务。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（3）投标人应制订与合作事项相关的网络安全保障方案和网络安全事件应急预案。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（4）投标人发现网络安全漏洞、缺陷或者其他严重网络安全风险，应及时向采购人报告。</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（5）处理合作事项的信息平台应当优先采用安全可信的硬件和软件产品。</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（6）发生可能影响合作事项的网络安全重大事项，包括负责人及重要工作人员变更、业务转型、合并重组和投资并购等，投标人应提前向采购人报告。</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（7）采用社会公共网络平台实施合作事项时，严禁涉及国家秘密和警务工作秘密。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（8）投标人应于2025年6月4日之前向采购人提交网络安全报告。</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（9）涉及采购人机房视频专网的维护工作，需要配置专用网络安全工具进行实时扫描检测。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（10）其他应当落实的网络安全责任和义务。</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七）监理相关要求</w:t>
      </w:r>
    </w:p>
    <w:p>
      <w:pPr>
        <w:spacing w:line="360" w:lineRule="auto"/>
        <w:ind w:firstLine="420"/>
        <w:rPr>
          <w:rFonts w:ascii="仿宋" w:hAnsi="仿宋" w:eastAsia="仿宋" w:cs="仿宋"/>
          <w:sz w:val="24"/>
        </w:rPr>
      </w:pPr>
      <w:r>
        <w:rPr>
          <w:rFonts w:hint="eastAsia" w:ascii="仿宋" w:hAnsi="仿宋" w:eastAsia="仿宋" w:cs="仿宋"/>
          <w:sz w:val="24"/>
        </w:rPr>
        <w:t>本项目具有监理，监理的工作职责内容如下：投标人实施项目全过程必须接受采购人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八）管理制度</w:t>
      </w:r>
    </w:p>
    <w:p>
      <w:pPr>
        <w:widowControl/>
        <w:snapToGrid w:val="0"/>
        <w:spacing w:line="360" w:lineRule="auto"/>
        <w:ind w:firstLine="480" w:firstLineChars="200"/>
        <w:jc w:val="left"/>
        <w:rPr>
          <w:rFonts w:ascii="仿宋" w:hAnsi="仿宋" w:eastAsia="仿宋" w:cs="仿宋"/>
          <w:b/>
          <w:bCs/>
          <w:sz w:val="24"/>
        </w:rPr>
      </w:pPr>
      <w:r>
        <w:rPr>
          <w:rFonts w:hint="eastAsia" w:ascii="仿宋" w:hAnsi="仿宋" w:eastAsia="仿宋" w:cs="仿宋"/>
          <w:sz w:val="24"/>
        </w:rPr>
        <w:t>投标人需建立针对本项目合理的轮岗、调配制度、内部岗位责任制度（包括各岗位职责等）、管理运作制度（包括档案管理制度、标准化服务制度等）、考核制度（包括考核机制、激励机制、监督机制等）、保密制度等。</w:t>
      </w:r>
    </w:p>
    <w:p>
      <w:pPr>
        <w:widowControl/>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九）</w:t>
      </w:r>
      <w:r>
        <w:rPr>
          <w:rFonts w:hint="eastAsia" w:ascii="仿宋" w:hAnsi="仿宋" w:eastAsia="仿宋" w:cs="仿宋"/>
          <w:b/>
          <w:bCs/>
          <w:sz w:val="24"/>
          <w:lang w:val="zh-CN" w:bidi="zh-CN"/>
        </w:rPr>
        <w:t>安全事故责任条款：</w:t>
      </w:r>
      <w:r>
        <w:rPr>
          <w:rFonts w:hint="eastAsia" w:ascii="仿宋" w:hAnsi="仿宋" w:eastAsia="仿宋" w:cs="宋体"/>
          <w:sz w:val="24"/>
          <w:lang w:val="zh-CN" w:bidi="zh-CN"/>
        </w:rPr>
        <w:t>因投标人或投标人派遣人员工作过错造成的安全管理事故，投标人负全部责任及相关费用。</w:t>
      </w:r>
    </w:p>
    <w:p>
      <w:pPr>
        <w:spacing w:line="360" w:lineRule="auto"/>
        <w:jc w:val="left"/>
        <w:outlineLvl w:val="1"/>
        <w:rPr>
          <w:rFonts w:ascii="仿宋" w:hAnsi="仿宋" w:eastAsia="仿宋" w:cs="仿宋"/>
          <w:b/>
          <w:sz w:val="24"/>
        </w:rPr>
      </w:pPr>
      <w:r>
        <w:rPr>
          <w:rFonts w:hint="eastAsia" w:ascii="仿宋" w:hAnsi="仿宋" w:eastAsia="仿宋" w:cs="仿宋"/>
          <w:b/>
          <w:sz w:val="24"/>
        </w:rPr>
        <w:t>（四）拟采购标的的商务要求</w:t>
      </w:r>
    </w:p>
    <w:p>
      <w:pPr>
        <w:snapToGrid w:val="0"/>
        <w:spacing w:line="360" w:lineRule="auto"/>
        <w:ind w:firstLine="482" w:firstLineChars="200"/>
        <w:jc w:val="left"/>
        <w:rPr>
          <w:rFonts w:ascii="仿宋" w:hAnsi="仿宋" w:eastAsia="仿宋" w:cs="宋体"/>
          <w:sz w:val="24"/>
          <w:lang w:val="zh-CN" w:bidi="zh-CN"/>
        </w:rPr>
      </w:pPr>
      <w:r>
        <w:rPr>
          <w:rFonts w:hint="eastAsia" w:ascii="仿宋" w:hAnsi="仿宋" w:eastAsia="仿宋" w:cs="仿宋"/>
          <w:b/>
          <w:sz w:val="24"/>
        </w:rPr>
        <w:t>1.交付（实施）的时间（期限）：</w:t>
      </w:r>
      <w:r>
        <w:rPr>
          <w:rFonts w:hint="eastAsia" w:ascii="仿宋" w:hAnsi="仿宋" w:eastAsia="仿宋" w:cs="宋体"/>
          <w:sz w:val="24"/>
          <w:lang w:val="zh-CN" w:bidi="zh-CN"/>
        </w:rPr>
        <w:t>2024年6月</w:t>
      </w:r>
      <w:r>
        <w:rPr>
          <w:rFonts w:hint="eastAsia" w:ascii="仿宋" w:hAnsi="仿宋" w:eastAsia="仿宋" w:cs="宋体"/>
          <w:sz w:val="24"/>
          <w:lang w:bidi="zh-CN"/>
        </w:rPr>
        <w:t>5</w:t>
      </w:r>
      <w:r>
        <w:rPr>
          <w:rFonts w:hint="eastAsia" w:ascii="仿宋" w:hAnsi="仿宋" w:eastAsia="仿宋" w:cs="宋体"/>
          <w:sz w:val="24"/>
          <w:lang w:val="zh-CN" w:bidi="zh-CN"/>
        </w:rPr>
        <w:t>日至2025年</w:t>
      </w:r>
      <w:r>
        <w:rPr>
          <w:rFonts w:hint="eastAsia" w:ascii="仿宋" w:hAnsi="仿宋" w:eastAsia="仿宋" w:cs="宋体"/>
          <w:sz w:val="24"/>
          <w:lang w:bidi="zh-CN"/>
        </w:rPr>
        <w:t>6</w:t>
      </w:r>
      <w:r>
        <w:rPr>
          <w:rFonts w:hint="eastAsia" w:ascii="仿宋" w:hAnsi="仿宋" w:eastAsia="仿宋" w:cs="宋体"/>
          <w:sz w:val="24"/>
          <w:lang w:val="zh-CN" w:bidi="zh-CN"/>
        </w:rPr>
        <w:t>月</w:t>
      </w:r>
      <w:r>
        <w:rPr>
          <w:rFonts w:hint="eastAsia" w:ascii="仿宋" w:hAnsi="仿宋" w:eastAsia="仿宋" w:cs="宋体"/>
          <w:sz w:val="24"/>
          <w:lang w:bidi="zh-CN"/>
        </w:rPr>
        <w:t>4</w:t>
      </w:r>
      <w:r>
        <w:rPr>
          <w:rFonts w:hint="eastAsia" w:ascii="仿宋" w:hAnsi="仿宋" w:eastAsia="仿宋" w:cs="宋体"/>
          <w:sz w:val="24"/>
          <w:lang w:val="zh-CN" w:bidi="zh-CN"/>
        </w:rPr>
        <w:t>日。</w:t>
      </w:r>
    </w:p>
    <w:p>
      <w:pPr>
        <w:snapToGrid w:val="0"/>
        <w:spacing w:line="360" w:lineRule="auto"/>
        <w:ind w:firstLine="482" w:firstLineChars="200"/>
        <w:jc w:val="left"/>
        <w:rPr>
          <w:rFonts w:ascii="仿宋" w:hAnsi="仿宋" w:eastAsia="仿宋" w:cs="仿宋"/>
          <w:sz w:val="24"/>
          <w:u w:val="single"/>
        </w:rPr>
      </w:pPr>
      <w:r>
        <w:rPr>
          <w:rFonts w:hint="eastAsia" w:ascii="仿宋" w:hAnsi="仿宋" w:eastAsia="仿宋" w:cs="仿宋"/>
          <w:b/>
          <w:sz w:val="24"/>
        </w:rPr>
        <w:t>2.交付（实施）的地点（范围）：</w:t>
      </w:r>
      <w:r>
        <w:rPr>
          <w:rFonts w:hint="eastAsia" w:ascii="仿宋" w:hAnsi="仿宋" w:eastAsia="仿宋" w:cs="宋体"/>
          <w:sz w:val="24"/>
          <w:lang w:val="zh-CN" w:bidi="zh-CN"/>
        </w:rPr>
        <w:t>杭州市拱墅区半山路44号。</w:t>
      </w:r>
    </w:p>
    <w:p>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3.付款条件（进度和方式）</w:t>
      </w:r>
    </w:p>
    <w:tbl>
      <w:tblPr>
        <w:tblStyle w:val="62"/>
        <w:tblW w:w="935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09"/>
        <w:gridCol w:w="6941"/>
        <w:gridCol w:w="170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694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付款比例（%）</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ascii="仿宋" w:hAnsi="仿宋" w:eastAsia="仿宋" w:cs="仿宋"/>
                <w:sz w:val="24"/>
              </w:rPr>
            </w:pPr>
            <w:r>
              <w:rPr>
                <w:rFonts w:hint="eastAsia" w:ascii="仿宋" w:hAnsi="仿宋" w:eastAsia="仿宋" w:cs="仿宋"/>
                <w:sz w:val="24"/>
              </w:rPr>
              <w:t>1</w:t>
            </w:r>
          </w:p>
        </w:tc>
        <w:tc>
          <w:tcPr>
            <w:tcW w:w="694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仿宋" w:hAnsi="仿宋" w:eastAsia="仿宋" w:cs="仿宋"/>
                <w:sz w:val="24"/>
              </w:rPr>
            </w:pPr>
            <w:r>
              <w:rPr>
                <w:rFonts w:hint="eastAsia" w:ascii="仿宋" w:hAnsi="仿宋" w:eastAsia="仿宋" w:cs="仿宋"/>
                <w:b/>
                <w:sz w:val="24"/>
              </w:rPr>
              <w:t>第一期付款：</w:t>
            </w:r>
            <w:r>
              <w:rPr>
                <w:rFonts w:hint="eastAsia" w:ascii="仿宋" w:hAnsi="仿宋" w:eastAsia="仿宋" w:cs="仿宋"/>
                <w:bCs/>
                <w:sz w:val="24"/>
                <w:lang w:val="zh-CN"/>
              </w:rPr>
              <w:t>合同签订后5个工作日内，</w:t>
            </w:r>
            <w:r>
              <w:rPr>
                <w:rFonts w:hint="eastAsia" w:ascii="仿宋" w:hAnsi="仿宋" w:eastAsia="仿宋" w:cs="仿宋"/>
                <w:bCs/>
                <w:sz w:val="24"/>
              </w:rPr>
              <w:t>项目具备</w:t>
            </w:r>
            <w:r>
              <w:rPr>
                <w:rFonts w:hint="eastAsia" w:ascii="仿宋" w:hAnsi="仿宋" w:eastAsia="仿宋" w:cs="仿宋"/>
                <w:bCs/>
                <w:sz w:val="24"/>
                <w:lang w:val="zh-CN"/>
              </w:rPr>
              <w:t>实施条件后，</w:t>
            </w:r>
            <w:r>
              <w:rPr>
                <w:rFonts w:hint="eastAsia" w:ascii="仿宋" w:hAnsi="仿宋" w:eastAsia="仿宋" w:cs="仿宋"/>
                <w:sz w:val="24"/>
                <w:lang w:val="zh-CN"/>
              </w:rPr>
              <w:t>采购人支付</w:t>
            </w:r>
            <w:r>
              <w:rPr>
                <w:rFonts w:hint="eastAsia" w:ascii="仿宋" w:hAnsi="仿宋" w:eastAsia="仿宋" w:cs="仿宋"/>
                <w:sz w:val="24"/>
              </w:rPr>
              <w:t>合同总价的40%</w:t>
            </w:r>
            <w:r>
              <w:rPr>
                <w:rFonts w:hint="eastAsia" w:ascii="仿宋" w:hAnsi="仿宋" w:eastAsia="仿宋" w:cs="仿宋"/>
                <w:sz w:val="24"/>
                <w:lang w:val="zh-CN"/>
              </w:rPr>
              <w:t>，同时采购人</w:t>
            </w:r>
            <w:r>
              <w:rPr>
                <w:rFonts w:hint="eastAsia" w:ascii="仿宋" w:hAnsi="仿宋" w:eastAsia="仿宋" w:cs="仿宋"/>
                <w:sz w:val="24"/>
              </w:rPr>
              <w:t>收取履约保证金为合同总价1%。</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仿宋" w:hAnsi="仿宋" w:eastAsia="仿宋" w:cs="仿宋"/>
                <w:sz w:val="24"/>
              </w:rPr>
            </w:pPr>
            <w:r>
              <w:rPr>
                <w:rFonts w:hint="eastAsia" w:ascii="仿宋" w:hAnsi="仿宋" w:eastAsia="仿宋" w:cs="仿宋"/>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spacing w:line="360" w:lineRule="auto"/>
              <w:ind w:left="210" w:leftChars="100"/>
              <w:jc w:val="left"/>
              <w:rPr>
                <w:rFonts w:ascii="仿宋" w:hAnsi="仿宋" w:eastAsia="仿宋" w:cs="仿宋"/>
                <w:sz w:val="24"/>
              </w:rPr>
            </w:pPr>
            <w:r>
              <w:rPr>
                <w:rFonts w:hint="eastAsia" w:ascii="仿宋" w:hAnsi="仿宋" w:eastAsia="仿宋" w:cs="仿宋"/>
                <w:sz w:val="24"/>
              </w:rPr>
              <w:t>2</w:t>
            </w:r>
          </w:p>
        </w:tc>
        <w:tc>
          <w:tcPr>
            <w:tcW w:w="694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pPr>
              <w:spacing w:line="360" w:lineRule="auto"/>
              <w:jc w:val="left"/>
              <w:rPr>
                <w:rFonts w:ascii="仿宋" w:hAnsi="仿宋" w:eastAsia="仿宋" w:cs="仿宋"/>
                <w:b/>
                <w:sz w:val="24"/>
              </w:rPr>
            </w:pPr>
            <w:r>
              <w:rPr>
                <w:rFonts w:hint="eastAsia" w:ascii="仿宋" w:hAnsi="仿宋" w:eastAsia="仿宋" w:cs="仿宋"/>
                <w:b/>
                <w:sz w:val="24"/>
              </w:rPr>
              <w:t>第二期付款：</w:t>
            </w:r>
            <w:r>
              <w:rPr>
                <w:rFonts w:hint="eastAsia" w:ascii="仿宋" w:hAnsi="仿宋" w:eastAsia="仿宋" w:cs="仿宋"/>
                <w:bCs/>
                <w:sz w:val="24"/>
                <w:lang w:val="zh-CN"/>
              </w:rPr>
              <w:t>服务</w:t>
            </w:r>
            <w:r>
              <w:rPr>
                <w:rFonts w:hint="eastAsia" w:ascii="仿宋" w:hAnsi="仿宋" w:eastAsia="仿宋" w:cs="仿宋"/>
                <w:bCs/>
                <w:sz w:val="24"/>
              </w:rPr>
              <w:t>至2024年10月31日</w:t>
            </w:r>
            <w:r>
              <w:rPr>
                <w:rFonts w:hint="eastAsia" w:ascii="仿宋" w:hAnsi="仿宋" w:eastAsia="仿宋" w:cs="仿宋"/>
                <w:bCs/>
                <w:sz w:val="24"/>
                <w:lang w:val="zh-CN"/>
              </w:rPr>
              <w:t>，无任何服务问题，凭双方签字盖章的验收意见、验收小组签字的验收报告、项目组人员清单、人员资质证书、资历证明、每月社保缴纳材料、人员变更审批表（如有）、服务人员每日钉钉考勤打卡记录、每日巡检记录、每月巡检报告、维护维修记录台账、新建系统（</w:t>
            </w:r>
            <w:r>
              <w:rPr>
                <w:rFonts w:hint="eastAsia" w:ascii="仿宋" w:hAnsi="仿宋" w:eastAsia="仿宋" w:cs="仿宋"/>
                <w:bCs/>
                <w:sz w:val="24"/>
              </w:rPr>
              <w:t>单点远程信号系统、监控系统、诱导、潮汐车道系统</w:t>
            </w:r>
            <w:r>
              <w:rPr>
                <w:rFonts w:hint="eastAsia" w:ascii="仿宋" w:hAnsi="仿宋" w:eastAsia="仿宋" w:cs="仿宋"/>
                <w:bCs/>
                <w:sz w:val="24"/>
                <w:lang w:val="zh-CN"/>
              </w:rPr>
              <w:t>）点位平台接入/删减工作台账、外建新建点位抽检报告、每月点位接入分配清单、外建新建项目接入工作台账、运维周报、运维月报、运维总结报告、运维耗材使用清单、故障维修记录、相关照片、设备材料更换书面申请、维修记录台账、设备材料更换清单、相关照片、每月考核材料、车辆清单（包括车辆行驶证、年检记录、</w:t>
            </w:r>
            <w:r>
              <w:rPr>
                <w:rFonts w:hint="eastAsia" w:ascii="仿宋" w:hAnsi="仿宋" w:eastAsia="仿宋" w:cs="仿宋"/>
                <w:bCs/>
                <w:sz w:val="24"/>
              </w:rPr>
              <w:t>定位系统</w:t>
            </w:r>
            <w:r>
              <w:rPr>
                <w:rFonts w:hint="eastAsia" w:ascii="仿宋" w:hAnsi="仿宋" w:eastAsia="仿宋" w:cs="仿宋"/>
                <w:bCs/>
                <w:sz w:val="24"/>
                <w:lang w:val="zh-CN"/>
              </w:rPr>
              <w:t>路线图）、原厂每月巡检记录、原厂服务维修记录、网络安全保障方案、网络安全事件应急预案、网络安全风险书面报告（如有）、网络安全重大事项书面报告（如有）、单位保密协议、个人保密承诺书、日常保密教育台账、专门面向中小企业的佐证材料及其他需提供的相关材料等资料，</w:t>
            </w:r>
            <w:r>
              <w:rPr>
                <w:rFonts w:hint="eastAsia" w:ascii="仿宋" w:hAnsi="仿宋" w:eastAsia="仿宋" w:cs="仿宋"/>
                <w:sz w:val="24"/>
                <w:lang w:val="zh-CN"/>
              </w:rPr>
              <w:t>支付至20</w:t>
            </w:r>
            <w:r>
              <w:rPr>
                <w:rFonts w:hint="eastAsia" w:ascii="仿宋" w:hAnsi="仿宋" w:eastAsia="仿宋" w:cs="仿宋"/>
                <w:sz w:val="24"/>
              </w:rPr>
              <w:t>24</w:t>
            </w:r>
            <w:r>
              <w:rPr>
                <w:rFonts w:hint="eastAsia" w:ascii="仿宋" w:hAnsi="仿宋" w:eastAsia="仿宋" w:cs="仿宋"/>
                <w:sz w:val="24"/>
                <w:lang w:val="zh-CN"/>
              </w:rPr>
              <w:t>预算安排</w:t>
            </w:r>
            <w:r>
              <w:rPr>
                <w:rFonts w:hint="eastAsia" w:ascii="仿宋" w:hAnsi="仿宋" w:eastAsia="仿宋" w:cs="仿宋"/>
                <w:sz w:val="24"/>
              </w:rPr>
              <w:t>195.2</w:t>
            </w:r>
            <w:r>
              <w:rPr>
                <w:rFonts w:hint="eastAsia" w:ascii="仿宋" w:hAnsi="仿宋" w:eastAsia="仿宋" w:cs="仿宋"/>
                <w:sz w:val="24"/>
                <w:lang w:val="zh-CN"/>
              </w:rPr>
              <w:t>万元（</w:t>
            </w:r>
            <w:r>
              <w:rPr>
                <w:rFonts w:hint="eastAsia" w:ascii="仿宋" w:hAnsi="仿宋" w:eastAsia="仿宋" w:cs="仿宋"/>
                <w:sz w:val="24"/>
              </w:rPr>
              <w:t>195.2</w:t>
            </w:r>
            <w:r>
              <w:rPr>
                <w:rFonts w:hint="eastAsia" w:ascii="仿宋" w:hAnsi="仿宋" w:eastAsia="仿宋" w:cs="仿宋"/>
                <w:sz w:val="24"/>
                <w:lang w:val="zh-CN"/>
              </w:rPr>
              <w:t>万元已含采购人向供应商支付的第一期及第二期合同价款）</w:t>
            </w:r>
            <w:r>
              <w:rPr>
                <w:rFonts w:hint="eastAsia" w:ascii="仿宋" w:hAnsi="仿宋" w:eastAsia="仿宋" w:cs="仿宋"/>
                <w:bCs/>
                <w:sz w:val="24"/>
                <w:lang w:val="zh-CN"/>
              </w:rPr>
              <w:t>。</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ascii="仿宋" w:hAnsi="仿宋" w:eastAsia="仿宋" w:cs="仿宋"/>
                <w:sz w:val="24"/>
              </w:rPr>
            </w:pPr>
            <w:r>
              <w:rPr>
                <w:rFonts w:hint="eastAsia" w:ascii="仿宋" w:hAnsi="仿宋" w:eastAsia="仿宋" w:cs="仿宋"/>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spacing w:line="360" w:lineRule="auto"/>
              <w:ind w:left="210" w:leftChars="100"/>
              <w:jc w:val="left"/>
              <w:rPr>
                <w:rFonts w:ascii="仿宋" w:hAnsi="仿宋" w:eastAsia="仿宋" w:cs="仿宋"/>
                <w:sz w:val="24"/>
              </w:rPr>
            </w:pPr>
            <w:r>
              <w:rPr>
                <w:rFonts w:hint="eastAsia" w:ascii="仿宋" w:hAnsi="仿宋" w:eastAsia="仿宋" w:cs="仿宋"/>
                <w:sz w:val="24"/>
              </w:rPr>
              <w:t>3</w:t>
            </w:r>
          </w:p>
        </w:tc>
        <w:tc>
          <w:tcPr>
            <w:tcW w:w="694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pPr>
              <w:spacing w:line="360" w:lineRule="auto"/>
              <w:jc w:val="left"/>
              <w:rPr>
                <w:rFonts w:ascii="仿宋" w:hAnsi="仿宋" w:eastAsia="仿宋" w:cs="仿宋"/>
                <w:b/>
                <w:sz w:val="24"/>
              </w:rPr>
            </w:pPr>
            <w:r>
              <w:rPr>
                <w:rFonts w:hint="eastAsia" w:ascii="仿宋" w:hAnsi="仿宋" w:eastAsia="仿宋" w:cs="仿宋"/>
                <w:b/>
                <w:sz w:val="24"/>
              </w:rPr>
              <w:t>第三期付款：</w:t>
            </w:r>
            <w:r>
              <w:rPr>
                <w:rFonts w:hint="eastAsia" w:ascii="仿宋" w:hAnsi="仿宋" w:eastAsia="仿宋" w:cs="仿宋"/>
                <w:bCs/>
                <w:sz w:val="24"/>
                <w:lang w:val="zh-CN"/>
              </w:rPr>
              <w:t>服务期结束，无任何服务问题，凭双方签字盖章的验收意见、验收小组签字的验收报告、项目组人员清单、人员资质证书、资历证明、每月社保缴纳材料、人员变更审批表（如有）、服务人员每日钉钉考勤打卡记录、每日巡检记录、每月巡检报告、维护维修记录台账、新建系统点位平台接入/删减工作台账、外建新建点位抽检报告、每月点位接入分配清单、外建新建项目接入工作台账、运维周报、运维月报、运维总结报告、运维耗材使用清单、故障维修记录、相关照片、设备材料更换书面申请、维修记录台账、设备材料更换清单、相关照片、每月考核材料、车辆清单（包括车辆行驶证、年检记录、</w:t>
            </w:r>
            <w:r>
              <w:rPr>
                <w:rFonts w:hint="eastAsia" w:ascii="仿宋" w:hAnsi="仿宋" w:eastAsia="仿宋" w:cs="仿宋"/>
                <w:bCs/>
                <w:sz w:val="24"/>
              </w:rPr>
              <w:t>定位系统</w:t>
            </w:r>
            <w:r>
              <w:rPr>
                <w:rFonts w:hint="eastAsia" w:ascii="仿宋" w:hAnsi="仿宋" w:eastAsia="仿宋" w:cs="仿宋"/>
                <w:bCs/>
                <w:sz w:val="24"/>
                <w:lang w:val="zh-CN"/>
              </w:rPr>
              <w:t>路线图）、原厂每月巡检记录、原厂服务维修记录、网络安全保障方案、网络安全事件应急预案、网络安全风险书面报告（如有）、网络安全重大事项书面报告（如有）、网络安全报告、单位保密协议、个人保密承诺书、日常保密教育台账、专门面向中小企业的佐证材料及其他需提供的相关材料</w:t>
            </w:r>
            <w:r>
              <w:rPr>
                <w:rFonts w:hint="eastAsia" w:ascii="仿宋" w:hAnsi="仿宋" w:eastAsia="仿宋" w:cs="仿宋"/>
                <w:bCs/>
                <w:sz w:val="24"/>
              </w:rPr>
              <w:t>和公示截图</w:t>
            </w:r>
            <w:r>
              <w:rPr>
                <w:rFonts w:hint="eastAsia" w:ascii="仿宋" w:hAnsi="仿宋" w:eastAsia="仿宋" w:cs="仿宋"/>
                <w:bCs/>
                <w:sz w:val="24"/>
                <w:lang w:val="zh-CN"/>
              </w:rPr>
              <w:t>等资料，根据实际服务类型、天数及合同单价按实结算剩余应付的合同款项，同时扣除投标人应向采购人支付的违约金。</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ascii="仿宋" w:hAnsi="仿宋" w:eastAsia="仿宋" w:cs="仿宋"/>
                <w:sz w:val="24"/>
              </w:rPr>
            </w:pPr>
            <w:r>
              <w:rPr>
                <w:rFonts w:hint="eastAsia" w:ascii="仿宋" w:hAnsi="仿宋" w:eastAsia="仿宋" w:cs="仿宋"/>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9351" w:type="dxa"/>
            <w:gridSpan w:val="3"/>
            <w:tcBorders>
              <w:top w:val="single" w:color="808080" w:sz="4" w:space="0"/>
              <w:left w:val="single" w:color="808080" w:sz="4" w:space="0"/>
              <w:bottom w:val="single" w:color="808080" w:sz="4" w:space="0"/>
              <w:right w:val="single" w:color="808080" w:sz="4" w:space="0"/>
            </w:tcBorders>
            <w:noWrap/>
            <w:vAlign w:val="center"/>
          </w:tcPr>
          <w:p>
            <w:pPr>
              <w:spacing w:line="360" w:lineRule="auto"/>
              <w:ind w:firstLine="480" w:firstLineChars="200"/>
              <w:jc w:val="left"/>
              <w:rPr>
                <w:rFonts w:ascii="仿宋" w:hAnsi="仿宋" w:eastAsia="仿宋" w:cs="仿宋"/>
                <w:bCs/>
                <w:sz w:val="24"/>
                <w:lang w:val="zh-CN"/>
              </w:rPr>
            </w:pPr>
            <w:r>
              <w:rPr>
                <w:rFonts w:hint="eastAsia" w:ascii="仿宋" w:hAnsi="仿宋" w:eastAsia="仿宋" w:cs="仿宋"/>
                <w:bCs/>
                <w:sz w:val="24"/>
                <w:lang w:val="zh-CN"/>
              </w:rPr>
              <w:t>双方确认，采购人按前款结算并向投标人支付的款项总额不超过合同总价。</w:t>
            </w:r>
          </w:p>
          <w:p>
            <w:pPr>
              <w:spacing w:line="360" w:lineRule="auto"/>
              <w:ind w:firstLine="480" w:firstLineChars="200"/>
              <w:jc w:val="left"/>
              <w:rPr>
                <w:rFonts w:ascii="仿宋" w:hAnsi="仿宋" w:eastAsia="仿宋" w:cs="仿宋"/>
                <w:sz w:val="24"/>
              </w:rPr>
            </w:pPr>
            <w:r>
              <w:rPr>
                <w:rFonts w:hint="eastAsia" w:ascii="仿宋" w:hAnsi="仿宋" w:eastAsia="仿宋" w:cs="仿宋"/>
                <w:bCs/>
                <w:sz w:val="24"/>
                <w:lang w:val="zh-CN"/>
              </w:rPr>
              <w:t>前述采购人按投标人实际履行情况结算付款的方式不影响采购人向投标人再行收取因投标人未全面按照合同约定履行而产生的违约金。</w:t>
            </w:r>
          </w:p>
        </w:tc>
      </w:tr>
    </w:tbl>
    <w:p>
      <w:pPr>
        <w:spacing w:line="360" w:lineRule="auto"/>
        <w:ind w:left="210" w:leftChars="100"/>
        <w:jc w:val="left"/>
        <w:rPr>
          <w:rFonts w:ascii="仿宋" w:hAnsi="仿宋" w:eastAsia="仿宋" w:cs="仿宋"/>
          <w:b/>
          <w:sz w:val="24"/>
        </w:rPr>
      </w:pPr>
      <w:r>
        <w:rPr>
          <w:rFonts w:hint="eastAsia" w:ascii="仿宋" w:hAnsi="仿宋" w:eastAsia="仿宋" w:cs="仿宋"/>
          <w:b/>
          <w:sz w:val="24"/>
        </w:rPr>
        <w:t>4.售后服务要求</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服务类，无售后服务。</w:t>
      </w:r>
    </w:p>
    <w:p>
      <w:pPr>
        <w:spacing w:line="360" w:lineRule="auto"/>
        <w:ind w:left="210" w:leftChars="100"/>
        <w:jc w:val="left"/>
        <w:rPr>
          <w:rFonts w:ascii="仿宋" w:hAnsi="仿宋" w:eastAsia="仿宋" w:cs="宋体"/>
          <w:b/>
          <w:szCs w:val="21"/>
        </w:rPr>
      </w:pPr>
      <w:r>
        <w:rPr>
          <w:rFonts w:hint="eastAsia" w:ascii="仿宋" w:hAnsi="仿宋" w:eastAsia="仿宋" w:cs="宋体"/>
          <w:b/>
          <w:szCs w:val="21"/>
        </w:rPr>
        <w:t>5.其他商务要求（包装和运输、保险等）</w:t>
      </w:r>
    </w:p>
    <w:p>
      <w:pPr>
        <w:spacing w:line="360" w:lineRule="auto"/>
        <w:ind w:firstLine="480" w:firstLineChars="200"/>
        <w:jc w:val="left"/>
        <w:rPr>
          <w:rFonts w:ascii="仿宋" w:hAnsi="仿宋" w:eastAsia="仿宋" w:cs="宋体"/>
          <w:sz w:val="24"/>
          <w:u w:val="single"/>
        </w:rPr>
      </w:pPr>
      <w:r>
        <w:rPr>
          <w:rFonts w:hint="eastAsia" w:ascii="仿宋" w:hAnsi="仿宋" w:eastAsia="仿宋" w:cs="宋体"/>
          <w:sz w:val="24"/>
          <w:u w:val="single"/>
        </w:rPr>
        <w:t>1、履约保证金退还：</w:t>
      </w:r>
      <w:bookmarkStart w:id="36" w:name="_Hlk127277858"/>
      <w:r>
        <w:rPr>
          <w:rFonts w:hint="eastAsia" w:ascii="仿宋" w:hAnsi="仿宋" w:eastAsia="仿宋" w:cs="宋体"/>
          <w:sz w:val="24"/>
          <w:u w:val="single"/>
        </w:rPr>
        <w:t>服务期结束，通过验收，采购人于收到投标人退还履约保证金申请之日起5个工作日内凭双方签字盖章的验收意见，无息退还投标人履约保证金。</w:t>
      </w:r>
      <w:bookmarkEnd w:id="36"/>
    </w:p>
    <w:p>
      <w:pPr>
        <w:spacing w:line="360" w:lineRule="auto"/>
        <w:ind w:firstLine="420"/>
        <w:jc w:val="left"/>
        <w:rPr>
          <w:rFonts w:ascii="仿宋" w:hAnsi="仿宋" w:eastAsia="仿宋" w:cs="宋体"/>
          <w:sz w:val="24"/>
          <w:u w:val="single"/>
        </w:rPr>
      </w:pPr>
      <w:r>
        <w:rPr>
          <w:rFonts w:hint="eastAsia" w:ascii="仿宋" w:hAnsi="仿宋" w:eastAsia="仿宋" w:cs="宋体"/>
          <w:sz w:val="24"/>
          <w:u w:val="single"/>
        </w:rPr>
        <w:t>2、费用包含为完成本项目各项服务可能发生的全部费用及投标人的利润和应缴纳的税金、项目不可预见的风险等一切费用（包括维护人员工资、加班工资、食宿费、交通费、通信费、车辆使用费（含保险、油费等）、办公费、工具费、专项费、运维耗材费、《中华人民共和国劳动合同法》规定的各种社会保险费、税金等费用均应计入报价）</w:t>
      </w:r>
    </w:p>
    <w:p>
      <w:pPr>
        <w:spacing w:line="360" w:lineRule="auto"/>
        <w:jc w:val="left"/>
        <w:outlineLvl w:val="1"/>
        <w:rPr>
          <w:rFonts w:ascii="仿宋" w:hAnsi="仿宋" w:eastAsia="仿宋" w:cs="仿宋"/>
          <w:b/>
          <w:sz w:val="24"/>
        </w:rPr>
      </w:pPr>
      <w:r>
        <w:rPr>
          <w:rFonts w:hint="eastAsia" w:ascii="仿宋" w:hAnsi="仿宋" w:eastAsia="仿宋" w:cs="仿宋"/>
          <w:b/>
          <w:sz w:val="24"/>
        </w:rPr>
        <w:t>（七）采购项目的其他要求</w:t>
      </w:r>
    </w:p>
    <w:p>
      <w:pPr>
        <w:pStyle w:val="24"/>
        <w:spacing w:line="360" w:lineRule="auto"/>
        <w:ind w:firstLine="241" w:firstLineChars="100"/>
        <w:rPr>
          <w:rFonts w:ascii="仿宋" w:hAnsi="仿宋" w:eastAsia="仿宋" w:cs="仿宋"/>
          <w:b/>
          <w:bCs/>
        </w:rPr>
      </w:pPr>
      <w:r>
        <w:rPr>
          <w:rFonts w:hint="eastAsia" w:ascii="仿宋" w:hAnsi="仿宋" w:eastAsia="仿宋" w:cs="仿宋"/>
          <w:b/>
          <w:bCs/>
        </w:rPr>
        <w:t>一）履约验收：</w:t>
      </w:r>
    </w:p>
    <w:p>
      <w:pPr>
        <w:spacing w:line="360" w:lineRule="auto"/>
        <w:jc w:val="left"/>
        <w:rPr>
          <w:rFonts w:ascii="仿宋" w:hAnsi="仿宋" w:eastAsia="仿宋" w:cs="仿宋"/>
          <w:b/>
          <w:sz w:val="24"/>
        </w:rPr>
      </w:pPr>
      <w:r>
        <w:rPr>
          <w:rFonts w:hint="eastAsia" w:ascii="仿宋" w:hAnsi="仿宋" w:eastAsia="仿宋" w:cs="仿宋"/>
          <w:b/>
          <w:sz w:val="24"/>
        </w:rPr>
        <w:t>1、履约验收主体</w:t>
      </w:r>
    </w:p>
    <w:p>
      <w:pPr>
        <w:spacing w:line="360" w:lineRule="auto"/>
        <w:ind w:left="420" w:leftChars="200"/>
        <w:jc w:val="left"/>
        <w:rPr>
          <w:rFonts w:ascii="仿宋" w:hAnsi="仿宋" w:eastAsia="仿宋" w:cs="仿宋"/>
          <w:sz w:val="24"/>
          <w:u w:val="single"/>
        </w:rPr>
      </w:pPr>
      <w:r>
        <w:rPr>
          <w:rFonts w:hint="eastAsia" w:ascii="仿宋" w:hAnsi="仿宋" w:eastAsia="仿宋" w:cs="仿宋"/>
          <w:sz w:val="24"/>
        </w:rPr>
        <w:t>（1）</w:t>
      </w:r>
      <w:r>
        <w:rPr>
          <w:rFonts w:hint="eastAsia" w:ascii="仿宋" w:hAnsi="仿宋" w:eastAsia="仿宋" w:cs="仿宋"/>
          <w:b/>
          <w:sz w:val="24"/>
        </w:rPr>
        <w:t>采购单位：</w:t>
      </w:r>
      <w:r>
        <w:rPr>
          <w:rFonts w:hint="eastAsia" w:ascii="仿宋" w:hAnsi="仿宋" w:eastAsia="仿宋" w:cs="仿宋"/>
          <w:sz w:val="24"/>
          <w:u w:val="single"/>
        </w:rPr>
        <w:t>杭州市公安局交通警察支队</w:t>
      </w:r>
    </w:p>
    <w:p>
      <w:pPr>
        <w:spacing w:line="360" w:lineRule="auto"/>
        <w:ind w:left="420" w:leftChars="200"/>
        <w:jc w:val="left"/>
        <w:rPr>
          <w:rFonts w:ascii="仿宋" w:hAnsi="仿宋" w:eastAsia="仿宋" w:cs="仿宋"/>
          <w:sz w:val="24"/>
          <w:u w:val="single"/>
        </w:rPr>
      </w:pPr>
      <w:r>
        <w:rPr>
          <w:rFonts w:hint="eastAsia" w:ascii="仿宋" w:hAnsi="仿宋" w:eastAsia="仿宋" w:cs="仿宋"/>
          <w:sz w:val="24"/>
        </w:rPr>
        <w:t>（2）</w:t>
      </w:r>
      <w:r>
        <w:rPr>
          <w:rFonts w:hint="eastAsia" w:ascii="仿宋" w:hAnsi="仿宋" w:eastAsia="仿宋" w:cs="仿宋"/>
          <w:b/>
          <w:sz w:val="24"/>
        </w:rPr>
        <w:t>是否选择代理机构：</w:t>
      </w:r>
      <w:r>
        <w:rPr>
          <w:rFonts w:hint="eastAsia" w:ascii="仿宋" w:hAnsi="仿宋" w:eastAsia="仿宋" w:cs="仿宋"/>
          <w:sz w:val="24"/>
        </w:rPr>
        <w:tab/>
      </w:r>
      <w:r>
        <w:rPr>
          <w:rFonts w:hint="eastAsia" w:ascii="仿宋" w:hAnsi="仿宋" w:eastAsia="仿宋" w:cs="仿宋"/>
          <w:sz w:val="24"/>
        </w:rPr>
        <w:t xml:space="preserve">☑是   </w:t>
      </w:r>
      <w:r>
        <w:rPr>
          <w:rFonts w:hint="eastAsia" w:ascii="仿宋" w:hAnsi="仿宋" w:eastAsia="仿宋" w:cs="仿宋"/>
          <w:sz w:val="24"/>
        </w:rPr>
        <w:tab/>
      </w:r>
      <w:r>
        <w:rPr>
          <w:rFonts w:hint="eastAsia" w:ascii="仿宋" w:hAnsi="仿宋" w:eastAsia="仿宋" w:cs="仿宋"/>
          <w:sz w:val="24"/>
        </w:rPr>
        <w:t>□否</w:t>
      </w:r>
    </w:p>
    <w:p>
      <w:pPr>
        <w:spacing w:line="360" w:lineRule="auto"/>
        <w:ind w:left="420" w:leftChars="200"/>
        <w:jc w:val="left"/>
        <w:rPr>
          <w:rFonts w:ascii="仿宋" w:hAnsi="仿宋" w:eastAsia="仿宋" w:cs="仿宋"/>
          <w:sz w:val="24"/>
          <w:u w:val="single"/>
        </w:rPr>
      </w:pPr>
      <w:r>
        <w:rPr>
          <w:rFonts w:hint="eastAsia" w:ascii="仿宋" w:hAnsi="仿宋" w:eastAsia="仿宋" w:cs="仿宋"/>
          <w:sz w:val="24"/>
        </w:rPr>
        <w:t>（3）</w:t>
      </w:r>
      <w:r>
        <w:rPr>
          <w:rFonts w:hint="eastAsia" w:ascii="仿宋" w:hAnsi="仿宋" w:eastAsia="仿宋" w:cs="仿宋"/>
          <w:b/>
          <w:sz w:val="24"/>
        </w:rPr>
        <w:t>是否邀请本项目的其他供应商：</w:t>
      </w:r>
      <w:r>
        <w:rPr>
          <w:rFonts w:hint="eastAsia" w:ascii="仿宋" w:hAnsi="仿宋" w:eastAsia="仿宋" w:cs="仿宋"/>
          <w:sz w:val="24"/>
        </w:rPr>
        <w:tab/>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t>☑否</w:t>
      </w:r>
    </w:p>
    <w:p>
      <w:pPr>
        <w:spacing w:line="360" w:lineRule="auto"/>
        <w:ind w:left="420" w:leftChars="200"/>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b/>
          <w:sz w:val="24"/>
        </w:rPr>
        <w:t>是否邀请专家：</w:t>
      </w:r>
      <w:r>
        <w:rPr>
          <w:rFonts w:hint="eastAsia" w:ascii="仿宋" w:hAnsi="仿宋" w:eastAsia="仿宋" w:cs="仿宋"/>
          <w:sz w:val="24"/>
        </w:rPr>
        <w:tab/>
      </w:r>
      <w:r>
        <w:rPr>
          <w:rFonts w:hint="eastAsia" w:ascii="仿宋" w:hAnsi="仿宋" w:eastAsia="仿宋" w:cs="仿宋"/>
          <w:sz w:val="24"/>
        </w:rPr>
        <w:t xml:space="preserve">☑是  </w:t>
      </w:r>
      <w:r>
        <w:rPr>
          <w:rFonts w:hint="eastAsia" w:ascii="仿宋" w:hAnsi="仿宋" w:eastAsia="仿宋" w:cs="仿宋"/>
          <w:sz w:val="24"/>
        </w:rPr>
        <w:tab/>
      </w:r>
      <w:r>
        <w:rPr>
          <w:rFonts w:hint="eastAsia" w:ascii="仿宋" w:hAnsi="仿宋" w:eastAsia="仿宋" w:cs="仿宋"/>
          <w:sz w:val="24"/>
        </w:rPr>
        <w:t>□否</w:t>
      </w:r>
    </w:p>
    <w:p>
      <w:pPr>
        <w:spacing w:line="360" w:lineRule="auto"/>
        <w:ind w:left="420" w:leftChars="200"/>
        <w:jc w:val="left"/>
        <w:rPr>
          <w:rFonts w:ascii="仿宋" w:hAnsi="仿宋" w:eastAsia="仿宋" w:cs="仿宋"/>
          <w:sz w:val="24"/>
        </w:rPr>
      </w:pPr>
      <w:r>
        <w:rPr>
          <w:rFonts w:hint="eastAsia" w:ascii="仿宋" w:hAnsi="仿宋" w:eastAsia="仿宋" w:cs="仿宋"/>
          <w:sz w:val="24"/>
        </w:rPr>
        <w:t>（5）</w:t>
      </w:r>
      <w:r>
        <w:rPr>
          <w:rFonts w:hint="eastAsia" w:ascii="仿宋" w:hAnsi="仿宋" w:eastAsia="仿宋" w:cs="仿宋"/>
          <w:b/>
          <w:sz w:val="24"/>
        </w:rPr>
        <w:t>是否邀请服务对象：</w:t>
      </w:r>
      <w:r>
        <w:rPr>
          <w:rFonts w:hint="eastAsia" w:ascii="仿宋" w:hAnsi="仿宋" w:eastAsia="仿宋" w:cs="仿宋"/>
          <w:sz w:val="24"/>
        </w:rPr>
        <w:tab/>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t>☑否</w:t>
      </w:r>
    </w:p>
    <w:p>
      <w:pPr>
        <w:pStyle w:val="859"/>
        <w:widowControl/>
        <w:ind w:firstLine="422" w:firstLineChars="176"/>
        <w:rPr>
          <w:rFonts w:ascii="仿宋" w:hAnsi="仿宋" w:eastAsia="仿宋" w:cs="仿宋"/>
          <w:u w:val="single"/>
        </w:rPr>
      </w:pPr>
      <w:r>
        <w:rPr>
          <w:rFonts w:hint="eastAsia" w:ascii="仿宋" w:hAnsi="仿宋" w:eastAsia="仿宋" w:cs="仿宋"/>
        </w:rPr>
        <w:t>（6）</w:t>
      </w:r>
      <w:r>
        <w:rPr>
          <w:rFonts w:hint="eastAsia" w:ascii="仿宋" w:hAnsi="仿宋" w:eastAsia="仿宋" w:cs="仿宋"/>
          <w:b/>
        </w:rPr>
        <w:t>其他：</w:t>
      </w:r>
      <w:r>
        <w:rPr>
          <w:rFonts w:hint="eastAsia" w:ascii="仿宋" w:hAnsi="仿宋" w:eastAsia="仿宋" w:cs="仿宋"/>
          <w:u w:val="single"/>
        </w:rPr>
        <w:t>无</w:t>
      </w:r>
    </w:p>
    <w:p>
      <w:pPr>
        <w:spacing w:line="360" w:lineRule="auto"/>
        <w:jc w:val="left"/>
        <w:rPr>
          <w:rFonts w:ascii="仿宋" w:hAnsi="仿宋" w:eastAsia="仿宋" w:cs="仿宋"/>
          <w:sz w:val="24"/>
          <w:u w:val="single"/>
        </w:rPr>
      </w:pPr>
      <w:r>
        <w:rPr>
          <w:rFonts w:hint="eastAsia" w:ascii="仿宋" w:hAnsi="仿宋" w:eastAsia="仿宋" w:cs="仿宋"/>
          <w:b/>
          <w:sz w:val="24"/>
        </w:rPr>
        <w:t>2、履约验收时间：</w:t>
      </w:r>
      <w:r>
        <w:rPr>
          <w:rFonts w:hint="eastAsia" w:ascii="仿宋" w:hAnsi="仿宋" w:eastAsia="仿宋" w:cs="仿宋"/>
          <w:sz w:val="24"/>
          <w:u w:val="single"/>
        </w:rPr>
        <w:t>第一次验收2024年10月31日以后，第二次验收 2025年6月4日服务结束后。</w:t>
      </w:r>
    </w:p>
    <w:p>
      <w:pPr>
        <w:spacing w:line="360" w:lineRule="auto"/>
        <w:jc w:val="left"/>
        <w:rPr>
          <w:rFonts w:ascii="仿宋" w:hAnsi="仿宋" w:eastAsia="仿宋" w:cs="仿宋"/>
          <w:sz w:val="24"/>
        </w:rPr>
      </w:pPr>
      <w:r>
        <w:rPr>
          <w:rFonts w:hint="eastAsia" w:ascii="仿宋" w:hAnsi="仿宋" w:eastAsia="仿宋" w:cs="仿宋"/>
          <w:b/>
          <w:sz w:val="24"/>
        </w:rPr>
        <w:t>3、履约验收方式：</w:t>
      </w:r>
      <w:r>
        <w:rPr>
          <w:rFonts w:hint="eastAsia" w:ascii="仿宋" w:hAnsi="仿宋" w:eastAsia="仿宋" w:cs="仿宋"/>
          <w:sz w:val="24"/>
        </w:rPr>
        <w:tab/>
      </w:r>
      <w:r>
        <w:rPr>
          <w:rFonts w:hint="eastAsia" w:ascii="仿宋" w:hAnsi="仿宋" w:eastAsia="仿宋" w:cs="仿宋"/>
          <w:sz w:val="24"/>
        </w:rPr>
        <w:t>□简易程序</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☑一般程序</w:t>
      </w:r>
    </w:p>
    <w:p>
      <w:pPr>
        <w:spacing w:line="360" w:lineRule="auto"/>
        <w:jc w:val="left"/>
        <w:rPr>
          <w:rFonts w:ascii="仿宋" w:hAnsi="仿宋" w:eastAsia="仿宋" w:cs="仿宋"/>
          <w:sz w:val="24"/>
        </w:rPr>
      </w:pPr>
      <w:r>
        <w:rPr>
          <w:rFonts w:hint="eastAsia" w:ascii="仿宋" w:hAnsi="仿宋" w:eastAsia="仿宋" w:cs="仿宋"/>
          <w:b/>
          <w:sz w:val="24"/>
        </w:rPr>
        <w:t>4、履约验收程序：</w:t>
      </w:r>
      <w:r>
        <w:rPr>
          <w:rFonts w:hint="eastAsia" w:ascii="仿宋" w:hAnsi="仿宋" w:eastAsia="仿宋" w:cs="仿宋"/>
          <w:sz w:val="24"/>
        </w:rPr>
        <w:t xml:space="preserve"> □一次性验收</w:t>
      </w:r>
      <w:r>
        <w:rPr>
          <w:rFonts w:hint="eastAsia" w:ascii="仿宋" w:hAnsi="仿宋" w:eastAsia="仿宋" w:cs="仿宋"/>
          <w:sz w:val="24"/>
        </w:rPr>
        <w:tab/>
      </w:r>
      <w:r>
        <w:rPr>
          <w:rFonts w:hint="eastAsia" w:ascii="仿宋" w:hAnsi="仿宋" w:eastAsia="仿宋" w:cs="仿宋"/>
          <w:sz w:val="24"/>
        </w:rPr>
        <w:t xml:space="preserve">  □分段验收</w:t>
      </w:r>
      <w:r>
        <w:rPr>
          <w:rFonts w:hint="eastAsia" w:ascii="仿宋" w:hAnsi="仿宋" w:eastAsia="仿宋" w:cs="仿宋"/>
          <w:sz w:val="24"/>
        </w:rPr>
        <w:tab/>
      </w:r>
      <w:r>
        <w:rPr>
          <w:rFonts w:hint="eastAsia" w:ascii="仿宋" w:hAnsi="仿宋" w:eastAsia="仿宋" w:cs="仿宋"/>
          <w:sz w:val="24"/>
        </w:rPr>
        <w:t>☑分期验收</w:t>
      </w:r>
    </w:p>
    <w:p>
      <w:pPr>
        <w:spacing w:line="360" w:lineRule="auto"/>
        <w:jc w:val="left"/>
        <w:rPr>
          <w:rFonts w:ascii="仿宋" w:hAnsi="仿宋" w:eastAsia="仿宋" w:cs="仿宋"/>
          <w:b/>
          <w:sz w:val="24"/>
        </w:rPr>
      </w:pPr>
      <w:r>
        <w:rPr>
          <w:rFonts w:hint="eastAsia" w:ascii="仿宋" w:hAnsi="仿宋" w:eastAsia="仿宋" w:cs="仿宋"/>
          <w:b/>
          <w:sz w:val="24"/>
        </w:rPr>
        <w:t>5、履约验收内容</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2）严格按照采购合同开展履约验收。采购人委托第三方机构组织验收，成立验收小组（验收小组由5人组成：其中采购人1名，专家4名（第三方机构在政采云政企区专家库随机抽取相关专业）），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（4）验收产生的费用首次验收费用由采购人承担，如首次验收不合格，后续验收费用由投标人支付。</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（5）验收内容及资料要求：</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ascii="仿宋" w:hAnsi="仿宋" w:eastAsia="仿宋" w:cs="仿宋"/>
          <w:b/>
          <w:sz w:val="24"/>
        </w:rPr>
      </w:pPr>
      <w:r>
        <w:rPr>
          <w:rFonts w:hint="eastAsia" w:ascii="仿宋" w:hAnsi="仿宋" w:eastAsia="仿宋" w:cs="仿宋"/>
          <w:sz w:val="24"/>
          <w:u w:val="single"/>
        </w:rPr>
        <w:t>5.1验收内容</w:t>
      </w:r>
    </w:p>
    <w:tbl>
      <w:tblPr>
        <w:tblStyle w:val="6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376"/>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ind w:firstLine="0"/>
              <w:rPr>
                <w:rFonts w:ascii="仿宋" w:hAnsi="仿宋" w:eastAsia="仿宋" w:cs="仿宋"/>
                <w:kern w:val="2"/>
                <w:szCs w:val="24"/>
              </w:rPr>
            </w:pPr>
            <w:r>
              <w:rPr>
                <w:rFonts w:hint="eastAsia" w:ascii="仿宋" w:hAnsi="仿宋" w:eastAsia="仿宋" w:cs="仿宋"/>
                <w:kern w:val="2"/>
                <w:szCs w:val="24"/>
              </w:rPr>
              <w:t>序号</w:t>
            </w:r>
          </w:p>
        </w:tc>
        <w:tc>
          <w:tcPr>
            <w:tcW w:w="714" w:type="pct"/>
            <w:tcBorders>
              <w:top w:val="single" w:color="auto" w:sz="4" w:space="0"/>
              <w:left w:val="single" w:color="auto" w:sz="4" w:space="0"/>
              <w:bottom w:val="single" w:color="auto" w:sz="4" w:space="0"/>
              <w:right w:val="single" w:color="auto" w:sz="4" w:space="0"/>
            </w:tcBorders>
            <w:noWrap/>
            <w:vAlign w:val="center"/>
          </w:tcPr>
          <w:p>
            <w:pPr>
              <w:pStyle w:val="82"/>
              <w:ind w:firstLine="0"/>
              <w:rPr>
                <w:rFonts w:ascii="仿宋" w:hAnsi="仿宋" w:eastAsia="仿宋" w:cs="仿宋"/>
                <w:kern w:val="2"/>
                <w:szCs w:val="24"/>
              </w:rPr>
            </w:pPr>
            <w:r>
              <w:rPr>
                <w:rFonts w:hint="eastAsia" w:ascii="仿宋" w:hAnsi="仿宋" w:eastAsia="仿宋" w:cs="仿宋"/>
                <w:kern w:val="2"/>
                <w:szCs w:val="24"/>
              </w:rPr>
              <w:t>验收内容</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ind w:firstLine="0"/>
              <w:jc w:val="center"/>
              <w:rPr>
                <w:rFonts w:ascii="仿宋" w:hAnsi="仿宋" w:eastAsia="仿宋" w:cs="仿宋"/>
                <w:kern w:val="2"/>
                <w:szCs w:val="24"/>
              </w:rPr>
            </w:pPr>
            <w:r>
              <w:rPr>
                <w:rFonts w:hint="eastAsia" w:ascii="仿宋" w:hAnsi="仿宋" w:eastAsia="仿宋" w:cs="仿宋"/>
                <w:kern w:val="2"/>
                <w:szCs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vMerge w:val="restar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1</w:t>
            </w:r>
          </w:p>
        </w:tc>
        <w:tc>
          <w:tcPr>
            <w:tcW w:w="714" w:type="pct"/>
            <w:vMerge w:val="restart"/>
            <w:tcBorders>
              <w:top w:val="single" w:color="auto" w:sz="4" w:space="0"/>
              <w:left w:val="single" w:color="auto" w:sz="4" w:space="0"/>
              <w:bottom w:val="single" w:color="auto" w:sz="4" w:space="0"/>
              <w:right w:val="single" w:color="auto" w:sz="4" w:space="0"/>
            </w:tcBorders>
            <w:noWrap/>
            <w:vAlign w:val="center"/>
          </w:tcPr>
          <w:p>
            <w:pPr>
              <w:pStyle w:val="82"/>
              <w:ind w:firstLine="0"/>
              <w:jc w:val="center"/>
              <w:rPr>
                <w:rFonts w:ascii="仿宋" w:hAnsi="仿宋" w:eastAsia="仿宋" w:cs="仿宋"/>
                <w:kern w:val="2"/>
                <w:szCs w:val="24"/>
              </w:rPr>
            </w:pPr>
            <w:r>
              <w:rPr>
                <w:rFonts w:hint="eastAsia" w:ascii="仿宋" w:hAnsi="仿宋" w:eastAsia="仿宋" w:cs="仿宋"/>
                <w:kern w:val="2"/>
                <w:szCs w:val="24"/>
              </w:rPr>
              <w:t>质量</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硬件设备运行稳定，符合合同和采购人实际使用需求。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软件系统运行稳定，运行良好，未发生重大故障，符合合同和采购人实际使用需求。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76" w:type="pct"/>
            <w:vMerge w:val="restar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2</w:t>
            </w:r>
          </w:p>
        </w:tc>
        <w:tc>
          <w:tcPr>
            <w:tcW w:w="714" w:type="pct"/>
            <w:vMerge w:val="restart"/>
            <w:tcBorders>
              <w:top w:val="single" w:color="auto" w:sz="4" w:space="0"/>
              <w:left w:val="single" w:color="auto" w:sz="4" w:space="0"/>
              <w:bottom w:val="single" w:color="auto" w:sz="4" w:space="0"/>
              <w:right w:val="single" w:color="auto" w:sz="4" w:space="0"/>
            </w:tcBorders>
            <w:noWrap/>
            <w:vAlign w:val="center"/>
          </w:tcPr>
          <w:p>
            <w:pPr>
              <w:pStyle w:val="82"/>
              <w:ind w:firstLine="0"/>
              <w:jc w:val="center"/>
              <w:rPr>
                <w:rFonts w:ascii="仿宋" w:hAnsi="仿宋" w:eastAsia="仿宋" w:cs="仿宋"/>
                <w:kern w:val="2"/>
                <w:szCs w:val="24"/>
              </w:rPr>
            </w:pPr>
            <w:r>
              <w:rPr>
                <w:rFonts w:hint="eastAsia" w:ascii="仿宋" w:hAnsi="仿宋" w:eastAsia="仿宋" w:cs="仿宋"/>
                <w:kern w:val="2"/>
                <w:szCs w:val="24"/>
              </w:rPr>
              <w:t>进度</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项目按服务要求完成巡检，并在规定的时间内完成各项巡检内容。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项目按服务要求完成外建新建项目的抽检，并在规定的时间内完成抽检报告。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按投标承诺的故障响应、到达时间、协助现场故障诊断及故障排除。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6" w:type="pct"/>
            <w:vMerge w:val="restar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3</w:t>
            </w:r>
          </w:p>
        </w:tc>
        <w:tc>
          <w:tcPr>
            <w:tcW w:w="714" w:type="pct"/>
            <w:vMerge w:val="restar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服务</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在服务期间，建立完善的运行维护机制，有效的落实各项运维工作。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提供专项服务（原厂服务）。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在服务期间，应严格遵守有关法律法规，委托合同约定的，要承担相应的法律责任。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运维耗材更换严格按采购需求的规定执行。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4</w:t>
            </w:r>
          </w:p>
        </w:tc>
        <w:tc>
          <w:tcPr>
            <w:tcW w:w="714"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人员管理</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在服务期间，按合同和投标文件投入项目团队人员（项目负责人及驻点16名服务人员等）。在服务期间，维护人员到位，若人员变更需提前经采购人审核。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5</w:t>
            </w:r>
          </w:p>
        </w:tc>
        <w:tc>
          <w:tcPr>
            <w:tcW w:w="714"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台帐</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要做好日常的台帐记录，做到记录及时、完整。每月提交项目资料和月报。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6</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kern w:val="0"/>
                <w:sz w:val="24"/>
              </w:rPr>
            </w:pPr>
            <w:r>
              <w:rPr>
                <w:rFonts w:hint="eastAsia" w:ascii="仿宋" w:hAnsi="仿宋" w:eastAsia="仿宋" w:cs="仿宋"/>
                <w:kern w:val="0"/>
                <w:sz w:val="24"/>
              </w:rPr>
              <w:t>保密及安全工作</w:t>
            </w:r>
          </w:p>
        </w:tc>
        <w:tc>
          <w:tcPr>
            <w:tcW w:w="371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仿宋" w:hAnsi="仿宋" w:eastAsia="仿宋" w:cs="仿宋"/>
                <w:kern w:val="0"/>
                <w:sz w:val="24"/>
              </w:rPr>
            </w:pPr>
            <w:r>
              <w:rPr>
                <w:rFonts w:hint="eastAsia" w:ascii="仿宋" w:hAnsi="仿宋" w:eastAsia="仿宋" w:cs="仿宋"/>
                <w:sz w:val="24"/>
              </w:rPr>
              <w:t>满足采购人的保密规定实施，签订单位保密协议。按要求签订安全保密承诺书，明确具体安全管理内容、安全保密义务和责任。投标人及工作人员无违反安全管理要求的情况，未出现各类涉及公安业务的资料等外流泄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7</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kern w:val="0"/>
                <w:sz w:val="24"/>
              </w:rPr>
            </w:pPr>
            <w:r>
              <w:rPr>
                <w:rFonts w:hint="eastAsia" w:ascii="仿宋" w:hAnsi="仿宋" w:eastAsia="仿宋" w:cs="仿宋"/>
                <w:bCs/>
                <w:kern w:val="0"/>
                <w:sz w:val="24"/>
              </w:rPr>
              <w:t>网络安全与责任管理</w:t>
            </w:r>
          </w:p>
        </w:tc>
        <w:tc>
          <w:tcPr>
            <w:tcW w:w="371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（1）明确投标人法定代表人为合作事项网络安全第一责任人，具体承担合作事项的部门主要负责人为直接责任人。</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（2）不得转包合同任务；除非主体、非关键性的“运维耗材”工作外，不得分包合同任务。</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（3）投标人应制订与合作事项相关的网络安全保障方案和网络安全事件应急预案。</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（4）投标人发现网络安全漏洞、缺陷或者其他严重网络安全风险，应及时向采购人报告。</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（5）处理合作事项的信息平台应当优先采用安全可信的硬件和软件产品。</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（6）发生可能影响合作事项的网络安全重大事项，包括负责人及重要工作人员变更、业务转型、合并重组和投资并购等，投标人应提前向采购人报告。</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（7）采用社会公共网络平台实施合作事项时，严禁涉及国家秘密和警务工作秘密。</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（8）投标人应于2025年6月4日之前向采购人提交网络安全报告。</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（9）涉及采购人机房视频专网的维护工作，需要配置专用网络安全工具进行实时扫描检测。</w:t>
            </w:r>
          </w:p>
          <w:p>
            <w:pPr>
              <w:autoSpaceDE w:val="0"/>
              <w:autoSpaceDN w:val="0"/>
              <w:spacing w:line="360" w:lineRule="auto"/>
              <w:ind w:left="16" w:leftChars="-53" w:hanging="127" w:hangingChars="53"/>
              <w:rPr>
                <w:rFonts w:ascii="仿宋" w:hAnsi="仿宋" w:eastAsia="仿宋" w:cs="仿宋"/>
                <w:kern w:val="0"/>
                <w:sz w:val="24"/>
              </w:rPr>
            </w:pPr>
            <w:r>
              <w:rPr>
                <w:rFonts w:hint="eastAsia" w:ascii="仿宋" w:hAnsi="仿宋" w:eastAsia="仿宋" w:cs="仿宋"/>
                <w:sz w:val="24"/>
              </w:rPr>
              <w:t>（10）其他应当落实的网络安全责任和义务。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9</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bCs/>
                <w:kern w:val="0"/>
                <w:sz w:val="24"/>
              </w:rPr>
            </w:pPr>
            <w:r>
              <w:rPr>
                <w:rFonts w:hint="eastAsia" w:ascii="仿宋" w:hAnsi="仿宋" w:eastAsia="仿宋" w:cs="仿宋"/>
                <w:kern w:val="0"/>
                <w:sz w:val="24"/>
              </w:rPr>
              <w:t>中小微企业比例</w:t>
            </w:r>
          </w:p>
        </w:tc>
        <w:tc>
          <w:tcPr>
            <w:tcW w:w="371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kern w:val="0"/>
                <w:sz w:val="24"/>
              </w:rPr>
              <w:t>本项目履约过程中，不存在转包行为，且确保服务内容100%面向中小企业。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10</w:t>
            </w:r>
          </w:p>
        </w:tc>
        <w:tc>
          <w:tcPr>
            <w:tcW w:w="714"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其他工作</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履行项目采购文件、投标文件、合同条款中涉及的其他承诺的情况。</w:t>
            </w:r>
          </w:p>
        </w:tc>
      </w:tr>
    </w:tbl>
    <w:p>
      <w:pPr>
        <w:pStyle w:val="32"/>
        <w:spacing w:line="360" w:lineRule="auto"/>
        <w:ind w:right="-512" w:firstLine="542" w:firstLineChars="225"/>
        <w:rPr>
          <w:rFonts w:ascii="仿宋" w:hAnsi="仿宋" w:eastAsia="仿宋" w:cs="仿宋"/>
          <w:b/>
          <w:sz w:val="24"/>
          <w:szCs w:val="24"/>
        </w:rPr>
      </w:pPr>
      <w:r>
        <w:rPr>
          <w:rFonts w:hint="eastAsia" w:ascii="仿宋" w:hAnsi="仿宋" w:eastAsia="仿宋" w:cs="仿宋"/>
          <w:b/>
          <w:sz w:val="24"/>
          <w:szCs w:val="24"/>
        </w:rPr>
        <w:t>5.2 验收资料：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1）招标文件；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2）投标文件；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3）项目合同；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4）项目组人员清单、人员资质证书、资历证明、每月社保缴纳材料、人员变更审批表（如有）、服务人员每日钉钉考勤打卡记录；</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5）每日巡检记录、每月巡检报告、</w:t>
      </w:r>
      <w:r>
        <w:rPr>
          <w:rFonts w:hint="eastAsia" w:ascii="仿宋" w:hAnsi="仿宋" w:eastAsia="仿宋" w:cs="仿宋"/>
          <w:bCs/>
          <w:sz w:val="24"/>
        </w:rPr>
        <w:t>维护维修记录台账、新建系统点位平台接入/删减工作台账</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6）外建新建点位抽检报告、每月点位接入分配清单、外建新建项目接入工作台账、运维周报、运维月报、运维总结报告；</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7）运维耗材使用清单、故障维修记录、相关照片；</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8）设备材料更换书面申请、维修记录台账、设备材料更换清单、相关照片；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9）每月考核材料：需采购人经办人及审核人、监理、投标人签字并盖章；</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10）车辆清单（包括车辆行驶证、年检记录、定位系统路线图）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11）原厂每月巡检记录、原厂服务维修记录；</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12）网络安全保障方案、网络安全事件应急预案、网络安全风险书面报告（如有）、网络安全重大事项书面报告（如有）、网络安全报告（第二次验收时提供）；</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13）单位保密协议、个人保密承诺书、日常保密教育台账；</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14）专门面向中小企业的佐证材料；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15）验收报审表：由投标人提交，经采购人、监理审批；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16）第一次验收资料（第二次验收时提供）</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17）其他需提供的相关材料。</w:t>
      </w:r>
    </w:p>
    <w:p>
      <w:pPr>
        <w:pStyle w:val="32"/>
        <w:snapToGrid w:val="0"/>
        <w:spacing w:line="360" w:lineRule="auto"/>
        <w:ind w:right="-512"/>
        <w:rPr>
          <w:rFonts w:ascii="仿宋" w:hAnsi="仿宋" w:eastAsia="仿宋" w:cs="仿宋"/>
          <w:sz w:val="24"/>
          <w:szCs w:val="24"/>
          <w:u w:val="single"/>
        </w:rPr>
      </w:pPr>
      <w:r>
        <w:rPr>
          <w:rFonts w:hint="eastAsia" w:ascii="仿宋" w:hAnsi="仿宋" w:eastAsia="仿宋" w:cs="仿宋"/>
          <w:b/>
          <w:sz w:val="24"/>
          <w:szCs w:val="24"/>
        </w:rPr>
        <w:t>6、履约验收标准：</w:t>
      </w:r>
      <w:r>
        <w:rPr>
          <w:rFonts w:hint="eastAsia" w:ascii="仿宋" w:hAnsi="仿宋" w:eastAsia="仿宋" w:cs="仿宋"/>
          <w:sz w:val="24"/>
          <w:szCs w:val="24"/>
          <w:u w:val="single"/>
        </w:rPr>
        <w:t>按照采购文件、投标文件及采购合同的约定对每一项技术、服务、安全标准的履约情况进行确认。</w:t>
      </w:r>
    </w:p>
    <w:p>
      <w:pPr>
        <w:pStyle w:val="32"/>
        <w:snapToGrid w:val="0"/>
        <w:spacing w:line="360" w:lineRule="auto"/>
        <w:ind w:right="-512"/>
        <w:rPr>
          <w:rFonts w:ascii="仿宋" w:hAnsi="仿宋" w:eastAsia="仿宋" w:cs="仿宋"/>
          <w:sz w:val="24"/>
          <w:szCs w:val="24"/>
          <w:u w:val="single"/>
        </w:rPr>
      </w:pPr>
      <w:r>
        <w:rPr>
          <w:rFonts w:hint="eastAsia" w:ascii="仿宋" w:hAnsi="仿宋" w:eastAsia="仿宋" w:cs="仿宋"/>
          <w:b/>
          <w:sz w:val="24"/>
          <w:szCs w:val="24"/>
        </w:rPr>
        <w:t>7、履约验收其他事项：</w:t>
      </w:r>
      <w:r>
        <w:rPr>
          <w:rFonts w:hint="eastAsia" w:ascii="仿宋" w:hAnsi="仿宋" w:eastAsia="仿宋" w:cs="仿宋"/>
          <w:sz w:val="24"/>
          <w:szCs w:val="24"/>
          <w:u w:val="single"/>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napToGrid w:val="0"/>
        <w:spacing w:line="360" w:lineRule="auto"/>
        <w:jc w:val="left"/>
        <w:rPr>
          <w:rFonts w:ascii="仿宋" w:hAnsi="仿宋" w:eastAsia="仿宋" w:cs="仿宋"/>
          <w:b/>
          <w:sz w:val="24"/>
        </w:rPr>
      </w:pPr>
      <w:r>
        <w:rPr>
          <w:rFonts w:hint="eastAsia" w:ascii="仿宋" w:hAnsi="仿宋" w:eastAsia="仿宋" w:cs="仿宋"/>
          <w:b/>
          <w:bCs/>
          <w:sz w:val="24"/>
        </w:rPr>
        <w:t>二）</w:t>
      </w:r>
      <w:r>
        <w:rPr>
          <w:rFonts w:hint="eastAsia" w:ascii="仿宋" w:hAnsi="仿宋" w:eastAsia="仿宋" w:cs="仿宋"/>
          <w:b/>
          <w:sz w:val="24"/>
        </w:rPr>
        <w:t>考核：</w:t>
      </w:r>
    </w:p>
    <w:p>
      <w:pPr>
        <w:spacing w:line="360" w:lineRule="auto"/>
        <w:ind w:firstLine="420"/>
        <w:jc w:val="left"/>
        <w:rPr>
          <w:rFonts w:ascii="仿宋" w:hAnsi="仿宋" w:eastAsia="仿宋" w:cs="宋体"/>
          <w:sz w:val="24"/>
          <w:u w:val="single"/>
        </w:rPr>
      </w:pPr>
      <w:r>
        <w:rPr>
          <w:rFonts w:hint="eastAsia" w:ascii="仿宋" w:hAnsi="仿宋" w:eastAsia="仿宋" w:cs="宋体"/>
          <w:sz w:val="24"/>
          <w:u w:val="single"/>
        </w:rPr>
        <w:t>采购人负责对本项目的管理指导、验收考核等职责，督促投标人履行合同。采购人委托监理单位对投标人服务工作进行考核，考核结果由采购人经办人、审核人、监理单位、投标人签字盖章。如考核周期内重复出现相同扣分情形，累计计算扣除分值。</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宋体"/>
          <w:sz w:val="24"/>
          <w:u w:val="single"/>
        </w:rPr>
        <w:t>本考核对投标人服务工作进行考核以月为考核周期，采用百分制计分方式，每月1日初始计分为100分，采购人委托监理单位根据逐条考核事项及对应扣分对投标人（人员）进行计分。投标人每被扣1分，扣除违约金1000元，结算合同尾款时一次性扣除。当月考核结果低于80分的，应递交书面整改报告。投标人当月考核结果低于60分、或连续二个月考核结果低于70分、或连续三个月考核结果低于80分，</w:t>
      </w:r>
      <w:r>
        <w:rPr>
          <w:rFonts w:hint="eastAsia" w:ascii="仿宋" w:hAnsi="仿宋" w:eastAsia="仿宋" w:cs="仿宋"/>
          <w:sz w:val="24"/>
          <w:u w:val="single"/>
        </w:rPr>
        <w:t>采购人有权没收投标人全部履约保证金，并且采购人有权无条件解除合同，如给采购人造成损失的有权向投标人提出索赔</w:t>
      </w:r>
      <w:r>
        <w:rPr>
          <w:rFonts w:hint="eastAsia" w:ascii="仿宋" w:hAnsi="仿宋" w:eastAsia="仿宋" w:cs="宋体"/>
          <w:sz w:val="24"/>
          <w:u w:val="single"/>
        </w:rPr>
        <w:t>。</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sz w:val="24"/>
          <w:u w:val="single"/>
          <w:lang w:val="zh-CN"/>
        </w:rPr>
        <w:t>考核内容具体如下：</w:t>
      </w:r>
    </w:p>
    <w:p>
      <w:pPr>
        <w:spacing w:before="120" w:beforeLines="50" w:line="360" w:lineRule="auto"/>
        <w:jc w:val="center"/>
        <w:rPr>
          <w:rFonts w:ascii="仿宋" w:hAnsi="仿宋" w:eastAsia="仿宋" w:cs="等线"/>
          <w:sz w:val="24"/>
        </w:rPr>
      </w:pPr>
      <w:r>
        <w:rPr>
          <w:rFonts w:hint="eastAsia" w:ascii="仿宋" w:hAnsi="仿宋" w:eastAsia="仿宋" w:cs="等线"/>
          <w:sz w:val="24"/>
        </w:rPr>
        <w:t>每月考核表（202  年  月）</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67"/>
        <w:gridCol w:w="6121"/>
        <w:gridCol w:w="737"/>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序号</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考核项目</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考核内容</w:t>
            </w:r>
          </w:p>
        </w:tc>
        <w:tc>
          <w:tcPr>
            <w:tcW w:w="39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考核扣分</w:t>
            </w:r>
          </w:p>
        </w:tc>
        <w:tc>
          <w:tcPr>
            <w:tcW w:w="25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1</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服务响应</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本项目中的硬件及软件在运维范围内：</w:t>
            </w:r>
          </w:p>
          <w:p>
            <w:pPr>
              <w:widowControl/>
              <w:jc w:val="left"/>
              <w:textAlignment w:val="center"/>
              <w:rPr>
                <w:rFonts w:ascii="仿宋" w:hAnsi="仿宋" w:eastAsia="仿宋"/>
                <w:sz w:val="24"/>
              </w:rPr>
            </w:pPr>
            <w:r>
              <w:rPr>
                <w:rFonts w:hint="eastAsia" w:ascii="仿宋" w:hAnsi="仿宋" w:eastAsia="仿宋"/>
                <w:sz w:val="24"/>
              </w:rPr>
              <w:t>投标人应提供7*24小时服务，投标人应提供技术支持服务，在服务期间不按招标文件响应，发生一起扣1分。</w:t>
            </w:r>
          </w:p>
        </w:tc>
        <w:tc>
          <w:tcPr>
            <w:tcW w:w="39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2</w:t>
            </w:r>
          </w:p>
        </w:tc>
        <w:tc>
          <w:tcPr>
            <w:tcW w:w="68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sz w:val="24"/>
              </w:rPr>
            </w:pPr>
            <w:r>
              <w:rPr>
                <w:rFonts w:hint="eastAsia" w:ascii="仿宋" w:hAnsi="仿宋" w:eastAsia="仿宋" w:cs="仿宋_GB2312"/>
                <w:sz w:val="24"/>
              </w:rPr>
              <w:t>运维耗材更换</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cs="仿宋_GB2312"/>
                <w:sz w:val="24"/>
              </w:rPr>
              <w:t>每个故障点单个价值3000元以下金额的设备材料更换为运维耗材，费用纳入投标报价内，并上报维修记录台账及相关照片并每月提交运维耗材使用情况汇总清单</w:t>
            </w:r>
            <w:r>
              <w:rPr>
                <w:rFonts w:hint="eastAsia" w:ascii="仿宋" w:hAnsi="仿宋" w:eastAsia="仿宋" w:cs="宋体"/>
                <w:kern w:val="0"/>
                <w:sz w:val="24"/>
              </w:rPr>
              <w:t>。不符合以上要求的，每发生一次</w:t>
            </w:r>
            <w:r>
              <w:rPr>
                <w:rFonts w:hint="eastAsia" w:ascii="仿宋" w:hAnsi="仿宋" w:eastAsia="仿宋" w:cs="宋体"/>
                <w:sz w:val="24"/>
              </w:rPr>
              <w:t>扣1分。</w:t>
            </w:r>
          </w:p>
        </w:tc>
        <w:tc>
          <w:tcPr>
            <w:tcW w:w="39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 w:val="24"/>
              </w:rPr>
            </w:pP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cs="仿宋_GB2312"/>
                <w:sz w:val="24"/>
              </w:rPr>
              <w:t>单个设备材料超过3000元的如需更换需书面提交更换清单，报</w:t>
            </w:r>
            <w:r>
              <w:rPr>
                <w:rFonts w:hint="eastAsia" w:ascii="仿宋" w:hAnsi="仿宋" w:eastAsia="仿宋"/>
                <w:sz w:val="24"/>
              </w:rPr>
              <w:t>监理人确认，报</w:t>
            </w:r>
            <w:r>
              <w:rPr>
                <w:rFonts w:hint="eastAsia" w:ascii="仿宋" w:hAnsi="仿宋" w:eastAsia="仿宋" w:cs="仿宋_GB2312"/>
                <w:sz w:val="24"/>
              </w:rPr>
              <w:t>采购人审核后，由采购人提供，投标人负责安装调试及故障修复，并于次月10日前上报维修记录台账、设备材料更换清单及相关照片并每月提交使用情况汇总清单。</w:t>
            </w:r>
            <w:r>
              <w:rPr>
                <w:rFonts w:hint="eastAsia" w:ascii="仿宋" w:hAnsi="仿宋" w:eastAsia="仿宋" w:cs="宋体"/>
                <w:kern w:val="0"/>
                <w:sz w:val="24"/>
              </w:rPr>
              <w:t>不符合以上要求的，每发生一次</w:t>
            </w:r>
            <w:r>
              <w:rPr>
                <w:rFonts w:hint="eastAsia" w:ascii="仿宋" w:hAnsi="仿宋" w:eastAsia="仿宋" w:cs="宋体"/>
                <w:sz w:val="24"/>
              </w:rPr>
              <w:t>扣1分。</w:t>
            </w:r>
          </w:p>
        </w:tc>
        <w:tc>
          <w:tcPr>
            <w:tcW w:w="39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 w:val="24"/>
              </w:rPr>
            </w:pP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sz w:val="24"/>
              </w:rPr>
            </w:pPr>
            <w:r>
              <w:rPr>
                <w:rFonts w:hint="eastAsia" w:ascii="仿宋" w:hAnsi="仿宋" w:eastAsia="仿宋" w:cs="仿宋_GB2312"/>
                <w:sz w:val="24"/>
              </w:rPr>
              <w:t>运维耗材性能及各项指标参数低于原有运维耗材，未与原有系统相匹配</w:t>
            </w:r>
            <w:r>
              <w:rPr>
                <w:rFonts w:hint="eastAsia" w:ascii="仿宋" w:hAnsi="仿宋" w:eastAsia="仿宋"/>
                <w:sz w:val="24"/>
              </w:rPr>
              <w:t>的，</w:t>
            </w:r>
            <w:r>
              <w:rPr>
                <w:rFonts w:hint="eastAsia" w:ascii="仿宋" w:hAnsi="仿宋" w:eastAsia="仿宋" w:cs="宋体"/>
                <w:kern w:val="0"/>
                <w:sz w:val="24"/>
              </w:rPr>
              <w:t>每发生一次</w:t>
            </w:r>
            <w:r>
              <w:rPr>
                <w:rFonts w:hint="eastAsia" w:ascii="仿宋" w:hAnsi="仿宋" w:eastAsia="仿宋" w:cs="宋体"/>
                <w:sz w:val="24"/>
              </w:rPr>
              <w:t>扣1分。</w:t>
            </w:r>
          </w:p>
        </w:tc>
        <w:tc>
          <w:tcPr>
            <w:tcW w:w="39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5</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专项服务</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在服务期间不按招标文件响应，发生一起扣1分。</w:t>
            </w:r>
          </w:p>
        </w:tc>
        <w:tc>
          <w:tcPr>
            <w:tcW w:w="39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6</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维护质量</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因操作失误等造成故障扩大、数据损坏、误操作等；发现一起扣2分。</w:t>
            </w:r>
          </w:p>
        </w:tc>
        <w:tc>
          <w:tcPr>
            <w:tcW w:w="39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cs="宋体"/>
                <w:sz w:val="24"/>
              </w:rPr>
              <w:t>7</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资料信息</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出现未在规定时间内提交文档资料、提供虚假材料、维护记录表填写不完整等情况的，每出现一次扣3分。</w:t>
            </w:r>
          </w:p>
        </w:tc>
        <w:tc>
          <w:tcPr>
            <w:tcW w:w="39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8</w:t>
            </w:r>
          </w:p>
        </w:tc>
        <w:tc>
          <w:tcPr>
            <w:tcW w:w="682" w:type="pct"/>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人员要求</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未按采购需求提供服务人员，人员数量、资历</w:t>
            </w:r>
            <w:r>
              <w:rPr>
                <w:rFonts w:hint="eastAsia" w:ascii="仿宋" w:hAnsi="仿宋" w:eastAsia="仿宋" w:cs="宋体"/>
                <w:sz w:val="24"/>
              </w:rPr>
              <w:t>、</w:t>
            </w:r>
            <w:r>
              <w:rPr>
                <w:rFonts w:hint="eastAsia" w:ascii="仿宋" w:hAnsi="仿宋" w:eastAsia="仿宋"/>
                <w:sz w:val="24"/>
              </w:rPr>
              <w:t>资质不符合要求的，变更未及时报备的，每出现一次扣2分。驻场人员未按采购人工作时间要求存在迟到早退的，不遵守办公场所纪律的，每出现一次扣1分。</w:t>
            </w:r>
          </w:p>
        </w:tc>
        <w:tc>
          <w:tcPr>
            <w:tcW w:w="39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3296"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left"/>
              <w:textAlignment w:val="center"/>
              <w:rPr>
                <w:rFonts w:ascii="仿宋" w:hAnsi="仿宋" w:eastAsia="仿宋"/>
                <w:sz w:val="24"/>
              </w:rPr>
            </w:pPr>
            <w:r>
              <w:rPr>
                <w:rFonts w:hint="eastAsia" w:ascii="仿宋" w:hAnsi="仿宋" w:eastAsia="仿宋"/>
                <w:sz w:val="24"/>
              </w:rPr>
              <w:t>投标人应按招标文件要求进行巡检、</w:t>
            </w:r>
            <w:r>
              <w:rPr>
                <w:rFonts w:hint="eastAsia" w:ascii="仿宋" w:hAnsi="仿宋" w:eastAsia="仿宋"/>
                <w:bCs/>
                <w:sz w:val="24"/>
              </w:rPr>
              <w:t>外建新建项目</w:t>
            </w:r>
            <w:r>
              <w:rPr>
                <w:rFonts w:hint="eastAsia" w:ascii="仿宋" w:hAnsi="仿宋" w:eastAsia="仿宋" w:cs="宋体"/>
                <w:sz w:val="24"/>
              </w:rPr>
              <w:t>抽检</w:t>
            </w:r>
            <w:r>
              <w:rPr>
                <w:rFonts w:hint="eastAsia" w:ascii="仿宋" w:hAnsi="仿宋" w:eastAsia="仿宋"/>
                <w:sz w:val="24"/>
              </w:rPr>
              <w:t>，未按要求的扣2分，巡检、</w:t>
            </w:r>
            <w:r>
              <w:rPr>
                <w:rFonts w:hint="eastAsia" w:ascii="仿宋" w:hAnsi="仿宋" w:eastAsia="仿宋"/>
                <w:bCs/>
                <w:sz w:val="24"/>
              </w:rPr>
              <w:t>外建新建项目</w:t>
            </w:r>
            <w:r>
              <w:rPr>
                <w:rFonts w:hint="eastAsia" w:ascii="仿宋" w:hAnsi="仿宋" w:eastAsia="仿宋" w:cs="宋体"/>
                <w:sz w:val="24"/>
              </w:rPr>
              <w:t>抽检</w:t>
            </w:r>
            <w:r>
              <w:rPr>
                <w:rFonts w:hint="eastAsia" w:ascii="仿宋" w:hAnsi="仿宋" w:eastAsia="仿宋"/>
                <w:sz w:val="24"/>
              </w:rPr>
              <w:t>内容不符合要求的，每出现一次扣1分。</w:t>
            </w:r>
          </w:p>
        </w:tc>
        <w:tc>
          <w:tcPr>
            <w:tcW w:w="39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3296"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left"/>
              <w:textAlignment w:val="center"/>
              <w:rPr>
                <w:rFonts w:ascii="仿宋" w:hAnsi="仿宋" w:eastAsia="仿宋"/>
                <w:sz w:val="24"/>
              </w:rPr>
            </w:pPr>
            <w:r>
              <w:rPr>
                <w:rFonts w:hint="eastAsia" w:ascii="仿宋" w:hAnsi="仿宋" w:eastAsia="仿宋"/>
                <w:sz w:val="24"/>
              </w:rPr>
              <w:t>投标人项目负责人未按采购需求履行工作内容及职责的，每出现一次扣1分。</w:t>
            </w:r>
          </w:p>
        </w:tc>
        <w:tc>
          <w:tcPr>
            <w:tcW w:w="39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9</w:t>
            </w:r>
          </w:p>
        </w:tc>
        <w:tc>
          <w:tcPr>
            <w:tcW w:w="682" w:type="pct"/>
            <w:tcBorders>
              <w:top w:val="single" w:color="auto" w:sz="4" w:space="0"/>
              <w:left w:val="single" w:color="auto" w:sz="4" w:space="0"/>
              <w:bottom w:val="single" w:color="auto" w:sz="4" w:space="0"/>
              <w:right w:val="single" w:color="auto" w:sz="4" w:space="0"/>
            </w:tcBorders>
            <w:vAlign w:val="center"/>
          </w:tcPr>
          <w:p>
            <w:pPr>
              <w:tabs>
                <w:tab w:val="left" w:pos="312"/>
              </w:tabs>
              <w:jc w:val="left"/>
              <w:textAlignment w:val="center"/>
              <w:rPr>
                <w:rFonts w:ascii="仿宋" w:hAnsi="仿宋" w:eastAsia="仿宋"/>
                <w:sz w:val="24"/>
              </w:rPr>
            </w:pPr>
            <w:r>
              <w:rPr>
                <w:rFonts w:hint="eastAsia" w:ascii="仿宋" w:hAnsi="仿宋" w:eastAsia="仿宋"/>
                <w:sz w:val="24"/>
              </w:rPr>
              <w:t>安全、保密管理</w:t>
            </w:r>
          </w:p>
        </w:tc>
        <w:tc>
          <w:tcPr>
            <w:tcW w:w="3296" w:type="pct"/>
            <w:tcBorders>
              <w:top w:val="single" w:color="auto" w:sz="4" w:space="0"/>
              <w:left w:val="single" w:color="auto" w:sz="4" w:space="0"/>
              <w:bottom w:val="single" w:color="auto" w:sz="4" w:space="0"/>
              <w:right w:val="single" w:color="auto" w:sz="4" w:space="0"/>
            </w:tcBorders>
          </w:tcPr>
          <w:p>
            <w:pPr>
              <w:widowControl/>
              <w:tabs>
                <w:tab w:val="left" w:pos="312"/>
              </w:tabs>
              <w:jc w:val="left"/>
              <w:textAlignment w:val="center"/>
              <w:rPr>
                <w:rFonts w:ascii="仿宋" w:hAnsi="仿宋" w:eastAsia="仿宋"/>
                <w:sz w:val="24"/>
              </w:rPr>
            </w:pPr>
            <w:r>
              <w:rPr>
                <w:rFonts w:hint="eastAsia" w:ascii="仿宋" w:hAnsi="仿宋" w:eastAsia="仿宋" w:cs="宋体"/>
                <w:sz w:val="24"/>
              </w:rPr>
              <w:t>投标人</w:t>
            </w:r>
            <w:r>
              <w:rPr>
                <w:rFonts w:hint="eastAsia" w:ascii="仿宋" w:hAnsi="仿宋" w:eastAsia="仿宋" w:cs="宋体"/>
                <w:iCs/>
                <w:sz w:val="24"/>
              </w:rPr>
              <w:t>未按</w:t>
            </w:r>
            <w:r>
              <w:rPr>
                <w:rFonts w:hint="eastAsia" w:ascii="仿宋" w:hAnsi="仿宋" w:eastAsia="仿宋" w:cs="宋体"/>
                <w:sz w:val="24"/>
              </w:rPr>
              <w:t>网络安全履行责任和义务的，每发生一次扣除</w:t>
            </w:r>
            <w:r>
              <w:rPr>
                <w:rFonts w:hint="eastAsia" w:ascii="仿宋" w:hAnsi="仿宋" w:eastAsia="仿宋" w:cs="宋体"/>
                <w:iCs/>
                <w:sz w:val="24"/>
              </w:rPr>
              <w:t>违约金10000</w:t>
            </w:r>
            <w:r>
              <w:rPr>
                <w:rFonts w:hint="eastAsia" w:ascii="仿宋" w:hAnsi="仿宋" w:eastAsia="仿宋" w:cs="宋体"/>
                <w:sz w:val="24"/>
              </w:rPr>
              <w:t>元。发生违反相关保密规定，除扣除违约金10000元/次外，采购人将追究投标人一切法律责任。</w:t>
            </w:r>
          </w:p>
        </w:tc>
        <w:tc>
          <w:tcPr>
            <w:tcW w:w="39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10</w:t>
            </w:r>
          </w:p>
        </w:tc>
        <w:tc>
          <w:tcPr>
            <w:tcW w:w="682" w:type="pct"/>
            <w:tcBorders>
              <w:top w:val="single" w:color="auto" w:sz="4" w:space="0"/>
              <w:left w:val="single" w:color="auto" w:sz="4" w:space="0"/>
              <w:bottom w:val="single" w:color="auto" w:sz="4" w:space="0"/>
              <w:right w:val="single" w:color="auto" w:sz="4" w:space="0"/>
            </w:tcBorders>
            <w:vAlign w:val="center"/>
          </w:tcPr>
          <w:p>
            <w:pPr>
              <w:tabs>
                <w:tab w:val="left" w:pos="312"/>
              </w:tabs>
              <w:jc w:val="left"/>
              <w:textAlignment w:val="center"/>
              <w:rPr>
                <w:rFonts w:ascii="仿宋" w:hAnsi="仿宋" w:eastAsia="仿宋"/>
                <w:sz w:val="24"/>
              </w:rPr>
            </w:pPr>
            <w:r>
              <w:rPr>
                <w:rFonts w:hint="eastAsia" w:ascii="仿宋" w:hAnsi="仿宋" w:eastAsia="仿宋" w:cs="宋体"/>
                <w:sz w:val="24"/>
              </w:rPr>
              <w:t>中小企业佐证</w:t>
            </w:r>
          </w:p>
        </w:tc>
        <w:tc>
          <w:tcPr>
            <w:tcW w:w="3296" w:type="pct"/>
            <w:tcBorders>
              <w:top w:val="single" w:color="auto" w:sz="4" w:space="0"/>
              <w:left w:val="single" w:color="auto" w:sz="4" w:space="0"/>
              <w:bottom w:val="single" w:color="auto" w:sz="4" w:space="0"/>
              <w:right w:val="single" w:color="auto" w:sz="4" w:space="0"/>
            </w:tcBorders>
          </w:tcPr>
          <w:p>
            <w:pPr>
              <w:widowControl/>
              <w:tabs>
                <w:tab w:val="left" w:pos="312"/>
              </w:tabs>
              <w:jc w:val="left"/>
              <w:textAlignment w:val="center"/>
              <w:rPr>
                <w:rFonts w:ascii="仿宋" w:hAnsi="仿宋" w:eastAsia="仿宋" w:cs="宋体"/>
                <w:sz w:val="24"/>
              </w:rPr>
            </w:pPr>
            <w:r>
              <w:rPr>
                <w:rFonts w:hint="eastAsia" w:ascii="仿宋" w:hAnsi="仿宋" w:eastAsia="仿宋" w:cs="宋体"/>
                <w:kern w:val="0"/>
                <w:sz w:val="24"/>
              </w:rPr>
              <w:t>本项目履约过程中，投标人按承诺预留中小企业比例应达到合同总价的100%，若未达到此要求，</w:t>
            </w:r>
            <w:r>
              <w:rPr>
                <w:rFonts w:hint="eastAsia" w:ascii="仿宋" w:hAnsi="仿宋" w:eastAsia="仿宋" w:cs="宋体"/>
                <w:bCs/>
                <w:sz w:val="24"/>
              </w:rPr>
              <w:t>采购人有权没收全部履约保证金，报送本级政府采购监管部门，提请列入失信行为记录名单，追究相关责任，且投标人应向采购人支付合同总价30%的违约金。</w:t>
            </w:r>
          </w:p>
        </w:tc>
        <w:tc>
          <w:tcPr>
            <w:tcW w:w="39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68" w:type="pct"/>
            <w:tcBorders>
              <w:top w:val="single" w:color="auto" w:sz="4" w:space="0"/>
              <w:left w:val="single" w:color="auto" w:sz="4" w:space="0"/>
              <w:bottom w:val="single" w:color="auto" w:sz="4" w:space="0"/>
              <w:right w:val="single" w:color="auto" w:sz="4" w:space="0"/>
            </w:tcBorders>
            <w:vAlign w:val="center"/>
          </w:tcPr>
          <w:p>
            <w:pPr>
              <w:tabs>
                <w:tab w:val="left" w:pos="312"/>
              </w:tabs>
              <w:jc w:val="center"/>
              <w:textAlignment w:val="center"/>
              <w:rPr>
                <w:rFonts w:ascii="仿宋" w:hAnsi="仿宋" w:eastAsia="仿宋"/>
                <w:sz w:val="24"/>
              </w:rPr>
            </w:pPr>
            <w:r>
              <w:rPr>
                <w:rFonts w:hint="eastAsia" w:ascii="仿宋" w:hAnsi="仿宋" w:eastAsia="仿宋"/>
                <w:sz w:val="24"/>
              </w:rPr>
              <w:t>11</w:t>
            </w:r>
          </w:p>
        </w:tc>
        <w:tc>
          <w:tcPr>
            <w:tcW w:w="682" w:type="pct"/>
            <w:tcBorders>
              <w:top w:val="single" w:color="auto" w:sz="4" w:space="0"/>
              <w:left w:val="single" w:color="auto" w:sz="4" w:space="0"/>
              <w:bottom w:val="single" w:color="auto" w:sz="4" w:space="0"/>
              <w:right w:val="single" w:color="auto" w:sz="4" w:space="0"/>
            </w:tcBorders>
            <w:vAlign w:val="center"/>
          </w:tcPr>
          <w:p>
            <w:pPr>
              <w:tabs>
                <w:tab w:val="left" w:pos="312"/>
              </w:tabs>
              <w:jc w:val="left"/>
              <w:textAlignment w:val="center"/>
              <w:rPr>
                <w:rFonts w:ascii="仿宋" w:hAnsi="仿宋" w:eastAsia="仿宋"/>
                <w:sz w:val="24"/>
              </w:rPr>
            </w:pPr>
            <w:r>
              <w:rPr>
                <w:rFonts w:hint="eastAsia" w:ascii="仿宋" w:hAnsi="仿宋" w:eastAsia="仿宋"/>
                <w:sz w:val="24"/>
              </w:rPr>
              <w:t>其他</w:t>
            </w:r>
          </w:p>
        </w:tc>
        <w:tc>
          <w:tcPr>
            <w:tcW w:w="3296" w:type="pct"/>
            <w:tcBorders>
              <w:top w:val="single" w:color="auto" w:sz="4" w:space="0"/>
              <w:left w:val="single" w:color="auto" w:sz="4" w:space="0"/>
              <w:bottom w:val="single" w:color="auto" w:sz="4" w:space="0"/>
              <w:right w:val="single" w:color="auto" w:sz="4" w:space="0"/>
            </w:tcBorders>
            <w:vAlign w:val="center"/>
          </w:tcPr>
          <w:p>
            <w:pPr>
              <w:tabs>
                <w:tab w:val="left" w:pos="312"/>
              </w:tabs>
              <w:jc w:val="left"/>
              <w:textAlignment w:val="center"/>
              <w:rPr>
                <w:rFonts w:ascii="仿宋" w:hAnsi="仿宋" w:eastAsia="仿宋"/>
                <w:sz w:val="24"/>
              </w:rPr>
            </w:pPr>
            <w:r>
              <w:rPr>
                <w:rFonts w:hint="eastAsia" w:ascii="仿宋" w:hAnsi="仿宋" w:eastAsia="仿宋"/>
                <w:sz w:val="24"/>
              </w:rPr>
              <w:t>存在其他未按采购需求提供服务情况的，每出现一次扣2分。</w:t>
            </w:r>
          </w:p>
        </w:tc>
        <w:tc>
          <w:tcPr>
            <w:tcW w:w="39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rPr>
              <w:t>采购人（盖章）：         投标人签字（盖章）：          其他单位（监理单位）（盖章）：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tabs>
                <w:tab w:val="left" w:pos="312"/>
              </w:tabs>
              <w:jc w:val="left"/>
              <w:textAlignment w:val="center"/>
              <w:rPr>
                <w:rFonts w:ascii="仿宋" w:hAnsi="仿宋" w:eastAsia="仿宋"/>
                <w:sz w:val="24"/>
              </w:rPr>
            </w:pPr>
            <w:r>
              <w:rPr>
                <w:rFonts w:hint="eastAsia" w:ascii="仿宋" w:hAnsi="仿宋" w:eastAsia="仿宋"/>
                <w:sz w:val="24"/>
              </w:rPr>
              <w:t>采购人经办人签字：</w:t>
            </w:r>
          </w:p>
          <w:p>
            <w:pPr>
              <w:widowControl/>
              <w:tabs>
                <w:tab w:val="left" w:pos="312"/>
              </w:tabs>
              <w:jc w:val="left"/>
              <w:textAlignment w:val="center"/>
              <w:rPr>
                <w:rFonts w:ascii="仿宋" w:hAnsi="仿宋" w:eastAsia="仿宋"/>
                <w:sz w:val="24"/>
              </w:rPr>
            </w:pPr>
            <w:r>
              <w:rPr>
                <w:rFonts w:hint="eastAsia" w:ascii="仿宋" w:hAnsi="仿宋" w:eastAsia="仿宋"/>
                <w:sz w:val="24"/>
              </w:rPr>
              <w:t>日期：</w:t>
            </w:r>
          </w:p>
          <w:p>
            <w:pPr>
              <w:widowControl/>
              <w:jc w:val="left"/>
              <w:rPr>
                <w:rFonts w:ascii="仿宋" w:hAnsi="仿宋" w:eastAsia="仿宋"/>
                <w:sz w:val="24"/>
              </w:rPr>
            </w:pPr>
            <w:r>
              <w:rPr>
                <w:rFonts w:hint="eastAsia" w:ascii="仿宋" w:hAnsi="仿宋" w:eastAsia="仿宋"/>
                <w:sz w:val="24"/>
              </w:rPr>
              <w:t>采购人审核人签字：</w:t>
            </w:r>
          </w:p>
        </w:tc>
      </w:tr>
    </w:tbl>
    <w:p>
      <w:pPr>
        <w:pStyle w:val="23"/>
        <w:rPr>
          <w:rFonts w:ascii="仿宋" w:hAnsi="仿宋" w:eastAsia="仿宋" w:cs="仿宋"/>
          <w:bCs/>
        </w:rPr>
      </w:pPr>
    </w:p>
    <w:p>
      <w:pPr>
        <w:rPr>
          <w:rFonts w:ascii="仿宋" w:hAnsi="仿宋" w:eastAsia="仿宋" w:cs="仿宋"/>
          <w:bCs/>
          <w:sz w:val="24"/>
        </w:rPr>
      </w:pP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37" w:name="_Toc184312084"/>
      <w:bookmarkEnd w:id="37"/>
      <w:bookmarkStart w:id="38" w:name="_Toc184310280"/>
      <w:bookmarkEnd w:id="38"/>
      <w:bookmarkStart w:id="39" w:name="_Toc184313269"/>
      <w:bookmarkEnd w:id="39"/>
      <w:bookmarkStart w:id="40" w:name="_Toc184312128"/>
      <w:bookmarkEnd w:id="40"/>
      <w:bookmarkStart w:id="41" w:name="_Toc184314474"/>
      <w:bookmarkEnd w:id="41"/>
      <w:bookmarkStart w:id="42" w:name="_Toc184313257"/>
      <w:bookmarkEnd w:id="42"/>
      <w:bookmarkStart w:id="43" w:name="_Toc184313286"/>
      <w:bookmarkEnd w:id="43"/>
      <w:bookmarkStart w:id="44" w:name="_Toc184313238"/>
      <w:bookmarkEnd w:id="44"/>
      <w:bookmarkStart w:id="45" w:name="_Toc184308069"/>
      <w:bookmarkEnd w:id="45"/>
      <w:bookmarkStart w:id="46" w:name="_Toc184313285"/>
      <w:bookmarkEnd w:id="46"/>
      <w:bookmarkStart w:id="47" w:name="_Toc184312106"/>
      <w:bookmarkEnd w:id="47"/>
      <w:bookmarkStart w:id="48" w:name="_Toc184314478"/>
      <w:bookmarkEnd w:id="48"/>
      <w:bookmarkStart w:id="49" w:name="_Toc184314452"/>
      <w:bookmarkEnd w:id="49"/>
      <w:bookmarkStart w:id="50" w:name="_Toc184308064"/>
      <w:bookmarkEnd w:id="50"/>
      <w:bookmarkStart w:id="51" w:name="_Toc184312087"/>
      <w:bookmarkEnd w:id="51"/>
      <w:bookmarkStart w:id="52" w:name="_Toc184312103"/>
      <w:bookmarkEnd w:id="52"/>
      <w:bookmarkStart w:id="53" w:name="_Toc184314467"/>
      <w:bookmarkEnd w:id="53"/>
      <w:bookmarkStart w:id="54" w:name="_Toc184310317"/>
      <w:bookmarkEnd w:id="54"/>
      <w:bookmarkStart w:id="55" w:name="_Toc184313242"/>
      <w:bookmarkEnd w:id="55"/>
      <w:bookmarkStart w:id="56" w:name="_Toc184308095"/>
      <w:bookmarkEnd w:id="56"/>
      <w:bookmarkStart w:id="57" w:name="_Toc184308058"/>
      <w:bookmarkEnd w:id="57"/>
      <w:bookmarkStart w:id="58" w:name="_Toc184308066"/>
      <w:bookmarkEnd w:id="58"/>
      <w:bookmarkStart w:id="59" w:name="_Toc184312088"/>
      <w:bookmarkEnd w:id="59"/>
      <w:bookmarkStart w:id="60" w:name="_Toc184310323"/>
      <w:bookmarkEnd w:id="60"/>
      <w:bookmarkStart w:id="61" w:name="_Toc184314479"/>
      <w:bookmarkEnd w:id="61"/>
      <w:bookmarkStart w:id="62" w:name="_Toc184310314"/>
      <w:bookmarkEnd w:id="62"/>
      <w:bookmarkStart w:id="63" w:name="_Toc184310301"/>
      <w:bookmarkEnd w:id="63"/>
      <w:bookmarkStart w:id="64" w:name="_Toc184314482"/>
      <w:bookmarkEnd w:id="64"/>
      <w:bookmarkStart w:id="65" w:name="_Toc184314443"/>
      <w:bookmarkEnd w:id="65"/>
      <w:bookmarkStart w:id="66" w:name="_Toc184314459"/>
      <w:bookmarkEnd w:id="66"/>
      <w:bookmarkStart w:id="67" w:name="_Toc184312117"/>
      <w:bookmarkEnd w:id="67"/>
      <w:bookmarkStart w:id="68" w:name="_Toc184313251"/>
      <w:bookmarkEnd w:id="68"/>
      <w:bookmarkStart w:id="69" w:name="_Toc184314433"/>
      <w:bookmarkEnd w:id="69"/>
      <w:bookmarkStart w:id="70" w:name="_Toc184310287"/>
      <w:bookmarkEnd w:id="70"/>
      <w:bookmarkStart w:id="71" w:name="_Toc184308079"/>
      <w:bookmarkEnd w:id="71"/>
      <w:bookmarkStart w:id="72" w:name="_Toc184313274"/>
      <w:bookmarkEnd w:id="72"/>
      <w:bookmarkStart w:id="73" w:name="_Toc184308077"/>
      <w:bookmarkEnd w:id="73"/>
      <w:bookmarkStart w:id="74" w:name="_Toc184314473"/>
      <w:bookmarkEnd w:id="74"/>
      <w:bookmarkStart w:id="75" w:name="_Toc184314421"/>
      <w:bookmarkEnd w:id="75"/>
      <w:bookmarkStart w:id="76" w:name="_Toc184312091"/>
      <w:bookmarkEnd w:id="76"/>
      <w:bookmarkStart w:id="77" w:name="_Toc184313289"/>
      <w:bookmarkEnd w:id="77"/>
      <w:bookmarkStart w:id="78" w:name="_Toc184313277"/>
      <w:bookmarkEnd w:id="78"/>
      <w:bookmarkStart w:id="79" w:name="_Toc184312078"/>
      <w:bookmarkEnd w:id="79"/>
      <w:bookmarkStart w:id="80" w:name="_Toc184314460"/>
      <w:bookmarkEnd w:id="80"/>
      <w:bookmarkStart w:id="81" w:name="_Toc184310309"/>
      <w:bookmarkEnd w:id="81"/>
      <w:bookmarkStart w:id="82" w:name="_Toc184313282"/>
      <w:bookmarkEnd w:id="82"/>
      <w:bookmarkStart w:id="83" w:name="_Toc184313297"/>
      <w:bookmarkEnd w:id="83"/>
      <w:bookmarkStart w:id="84" w:name="_Toc184310291"/>
      <w:bookmarkEnd w:id="84"/>
      <w:bookmarkStart w:id="85" w:name="_Toc184312119"/>
      <w:bookmarkEnd w:id="85"/>
      <w:bookmarkStart w:id="86" w:name="_Toc184308099"/>
      <w:bookmarkEnd w:id="86"/>
      <w:bookmarkStart w:id="87" w:name="_Toc184310304"/>
      <w:bookmarkEnd w:id="87"/>
      <w:bookmarkStart w:id="88" w:name="_Toc184308103"/>
      <w:bookmarkEnd w:id="88"/>
      <w:bookmarkStart w:id="89" w:name="_Toc184314445"/>
      <w:bookmarkEnd w:id="89"/>
      <w:bookmarkStart w:id="90" w:name="_Toc184313293"/>
      <w:bookmarkEnd w:id="90"/>
      <w:bookmarkStart w:id="91" w:name="_Toc184314469"/>
      <w:bookmarkEnd w:id="91"/>
      <w:bookmarkStart w:id="92" w:name="_Toc184313272"/>
      <w:bookmarkEnd w:id="92"/>
      <w:bookmarkStart w:id="93" w:name="_Toc184314466"/>
      <w:bookmarkEnd w:id="93"/>
      <w:bookmarkStart w:id="94" w:name="_Toc184310331"/>
      <w:bookmarkEnd w:id="94"/>
      <w:bookmarkStart w:id="95" w:name="_Toc184308059"/>
      <w:bookmarkEnd w:id="95"/>
      <w:bookmarkStart w:id="96" w:name="_Toc184313310"/>
      <w:bookmarkEnd w:id="96"/>
      <w:bookmarkStart w:id="97" w:name="_Toc184312135"/>
      <w:bookmarkEnd w:id="97"/>
      <w:bookmarkStart w:id="98" w:name="_Toc184308105"/>
      <w:bookmarkEnd w:id="98"/>
      <w:bookmarkStart w:id="99" w:name="_Toc184308057"/>
      <w:bookmarkEnd w:id="99"/>
      <w:bookmarkStart w:id="100" w:name="_Toc184313264"/>
      <w:bookmarkEnd w:id="100"/>
      <w:bookmarkStart w:id="101" w:name="_Toc184310297"/>
      <w:bookmarkEnd w:id="101"/>
      <w:bookmarkStart w:id="102" w:name="_Toc184308038"/>
      <w:bookmarkEnd w:id="102"/>
      <w:bookmarkStart w:id="103" w:name="_Toc184314431"/>
      <w:bookmarkEnd w:id="103"/>
      <w:bookmarkStart w:id="104" w:name="_Toc184313256"/>
      <w:bookmarkEnd w:id="104"/>
      <w:bookmarkStart w:id="105" w:name="_Toc184313281"/>
      <w:bookmarkEnd w:id="105"/>
      <w:bookmarkStart w:id="106" w:name="_Toc184310278"/>
      <w:bookmarkEnd w:id="106"/>
      <w:bookmarkStart w:id="107" w:name="_Toc184312074"/>
      <w:bookmarkEnd w:id="107"/>
      <w:bookmarkStart w:id="108" w:name="_Toc184313305"/>
      <w:bookmarkEnd w:id="108"/>
      <w:bookmarkStart w:id="109" w:name="_Toc184314432"/>
      <w:bookmarkEnd w:id="109"/>
      <w:bookmarkStart w:id="110" w:name="_Toc184313250"/>
      <w:bookmarkEnd w:id="110"/>
      <w:bookmarkStart w:id="111" w:name="_Toc184310328"/>
      <w:bookmarkEnd w:id="111"/>
      <w:bookmarkStart w:id="112" w:name="_Toc184310315"/>
      <w:bookmarkEnd w:id="112"/>
      <w:bookmarkStart w:id="113" w:name="_Toc184312112"/>
      <w:bookmarkEnd w:id="113"/>
      <w:bookmarkStart w:id="114" w:name="_Toc184312094"/>
      <w:bookmarkEnd w:id="114"/>
      <w:bookmarkStart w:id="115" w:name="_Toc184314457"/>
      <w:bookmarkEnd w:id="115"/>
      <w:bookmarkStart w:id="116" w:name="_Toc184312090"/>
      <w:bookmarkEnd w:id="116"/>
      <w:bookmarkStart w:id="117" w:name="_Toc184313299"/>
      <w:bookmarkEnd w:id="117"/>
      <w:bookmarkStart w:id="118" w:name="_Toc184312070"/>
      <w:bookmarkEnd w:id="118"/>
      <w:bookmarkStart w:id="119" w:name="_Toc184308051"/>
      <w:bookmarkEnd w:id="119"/>
      <w:bookmarkStart w:id="120" w:name="_Toc184313291"/>
      <w:bookmarkEnd w:id="120"/>
      <w:bookmarkStart w:id="121" w:name="_Toc184310338"/>
      <w:bookmarkEnd w:id="121"/>
      <w:bookmarkStart w:id="122" w:name="_Toc184312136"/>
      <w:bookmarkEnd w:id="122"/>
      <w:bookmarkStart w:id="123" w:name="_Toc184312083"/>
      <w:bookmarkEnd w:id="123"/>
      <w:bookmarkStart w:id="124" w:name="_Toc184308056"/>
      <w:bookmarkEnd w:id="124"/>
      <w:bookmarkStart w:id="125" w:name="_Toc184313239"/>
      <w:bookmarkEnd w:id="125"/>
      <w:bookmarkStart w:id="126" w:name="_Toc184310335"/>
      <w:bookmarkEnd w:id="126"/>
      <w:bookmarkStart w:id="127" w:name="_Toc184308074"/>
      <w:bookmarkEnd w:id="127"/>
      <w:bookmarkStart w:id="128" w:name="_Toc184314413"/>
      <w:bookmarkEnd w:id="128"/>
      <w:bookmarkStart w:id="129" w:name="_Toc184310299"/>
      <w:bookmarkEnd w:id="129"/>
      <w:bookmarkStart w:id="130" w:name="_Toc184314463"/>
      <w:bookmarkEnd w:id="130"/>
      <w:bookmarkStart w:id="131" w:name="_Toc184312068"/>
      <w:bookmarkEnd w:id="131"/>
      <w:bookmarkStart w:id="132" w:name="_Toc184313296"/>
      <w:bookmarkEnd w:id="132"/>
      <w:bookmarkStart w:id="133" w:name="_Toc184312096"/>
      <w:bookmarkEnd w:id="133"/>
      <w:bookmarkStart w:id="134" w:name="_Toc184308083"/>
      <w:bookmarkEnd w:id="134"/>
      <w:bookmarkStart w:id="135" w:name="_Toc184312111"/>
      <w:bookmarkEnd w:id="135"/>
      <w:bookmarkStart w:id="136" w:name="_Toc184308037"/>
      <w:bookmarkEnd w:id="136"/>
      <w:bookmarkStart w:id="137" w:name="_Toc184313309"/>
      <w:bookmarkEnd w:id="137"/>
      <w:bookmarkStart w:id="138" w:name="_Toc184312082"/>
      <w:bookmarkEnd w:id="138"/>
      <w:bookmarkStart w:id="139" w:name="_Toc184308062"/>
      <w:bookmarkEnd w:id="139"/>
      <w:bookmarkStart w:id="140" w:name="_Toc184312076"/>
      <w:bookmarkEnd w:id="140"/>
      <w:bookmarkStart w:id="141" w:name="_Toc184312107"/>
      <w:bookmarkEnd w:id="141"/>
      <w:bookmarkStart w:id="142" w:name="_Toc184312110"/>
      <w:bookmarkEnd w:id="142"/>
      <w:bookmarkStart w:id="143" w:name="_Toc184314449"/>
      <w:bookmarkEnd w:id="143"/>
      <w:bookmarkStart w:id="144" w:name="_Toc184308044"/>
      <w:bookmarkEnd w:id="144"/>
      <w:bookmarkStart w:id="145" w:name="_Toc184312075"/>
      <w:bookmarkEnd w:id="145"/>
      <w:bookmarkStart w:id="146" w:name="_Toc184314480"/>
      <w:bookmarkEnd w:id="146"/>
      <w:bookmarkStart w:id="147" w:name="_Toc184314420"/>
      <w:bookmarkEnd w:id="147"/>
      <w:bookmarkStart w:id="148" w:name="_Toc184313252"/>
      <w:bookmarkEnd w:id="148"/>
      <w:bookmarkStart w:id="149" w:name="_Toc184308052"/>
      <w:bookmarkEnd w:id="149"/>
      <w:bookmarkStart w:id="150" w:name="_Toc184308041"/>
      <w:bookmarkEnd w:id="150"/>
      <w:bookmarkStart w:id="151" w:name="_Toc184312118"/>
      <w:bookmarkEnd w:id="151"/>
      <w:bookmarkStart w:id="152" w:name="_Toc184314423"/>
      <w:bookmarkEnd w:id="152"/>
      <w:bookmarkStart w:id="153" w:name="_Toc184313271"/>
      <w:bookmarkEnd w:id="153"/>
      <w:bookmarkStart w:id="154" w:name="_Toc184308036"/>
      <w:bookmarkEnd w:id="154"/>
      <w:bookmarkStart w:id="155" w:name="_Toc184313287"/>
      <w:bookmarkEnd w:id="155"/>
      <w:bookmarkStart w:id="156" w:name="_Toc184312089"/>
      <w:bookmarkEnd w:id="156"/>
      <w:bookmarkStart w:id="157" w:name="_Toc184308049"/>
      <w:bookmarkEnd w:id="157"/>
      <w:bookmarkStart w:id="158" w:name="_Toc184310307"/>
      <w:bookmarkEnd w:id="158"/>
      <w:bookmarkStart w:id="159" w:name="_Toc184308065"/>
      <w:bookmarkEnd w:id="159"/>
      <w:bookmarkStart w:id="160" w:name="_Toc184308042"/>
      <w:bookmarkEnd w:id="160"/>
      <w:bookmarkStart w:id="161" w:name="_Toc184313301"/>
      <w:bookmarkEnd w:id="161"/>
      <w:bookmarkStart w:id="162" w:name="_Toc184308098"/>
      <w:bookmarkEnd w:id="162"/>
      <w:bookmarkStart w:id="163" w:name="_Toc184313267"/>
      <w:bookmarkEnd w:id="163"/>
      <w:bookmarkStart w:id="164" w:name="_Toc184310282"/>
      <w:bookmarkEnd w:id="164"/>
      <w:bookmarkStart w:id="165" w:name="_Toc184314412"/>
      <w:bookmarkEnd w:id="165"/>
      <w:bookmarkStart w:id="166" w:name="_Toc184314448"/>
      <w:bookmarkEnd w:id="166"/>
      <w:bookmarkStart w:id="167" w:name="_Toc184314416"/>
      <w:bookmarkEnd w:id="167"/>
      <w:bookmarkStart w:id="168" w:name="_Toc184310344"/>
      <w:bookmarkEnd w:id="168"/>
      <w:bookmarkStart w:id="169" w:name="_Toc184312071"/>
      <w:bookmarkEnd w:id="169"/>
      <w:bookmarkStart w:id="170" w:name="_Toc184310292"/>
      <w:bookmarkEnd w:id="170"/>
      <w:bookmarkStart w:id="171" w:name="_Toc184310285"/>
      <w:bookmarkEnd w:id="171"/>
      <w:bookmarkStart w:id="172" w:name="_Toc184308091"/>
      <w:bookmarkEnd w:id="172"/>
      <w:bookmarkStart w:id="173" w:name="_Toc184313288"/>
      <w:bookmarkEnd w:id="173"/>
      <w:bookmarkStart w:id="174" w:name="_Toc184312123"/>
      <w:bookmarkEnd w:id="174"/>
      <w:bookmarkStart w:id="175" w:name="_Toc184310290"/>
      <w:bookmarkEnd w:id="175"/>
      <w:bookmarkStart w:id="176" w:name="_Toc184313307"/>
      <w:bookmarkEnd w:id="176"/>
      <w:bookmarkStart w:id="177" w:name="_Toc184312095"/>
      <w:bookmarkEnd w:id="177"/>
      <w:bookmarkStart w:id="178" w:name="_Toc184308088"/>
      <w:bookmarkEnd w:id="178"/>
      <w:bookmarkStart w:id="179" w:name="_Toc184313259"/>
      <w:bookmarkEnd w:id="179"/>
      <w:bookmarkStart w:id="180" w:name="_Toc184308039"/>
      <w:bookmarkEnd w:id="180"/>
      <w:bookmarkStart w:id="181" w:name="_Toc184313273"/>
      <w:bookmarkEnd w:id="181"/>
      <w:bookmarkStart w:id="182" w:name="_Toc184314417"/>
      <w:bookmarkEnd w:id="182"/>
      <w:bookmarkStart w:id="183" w:name="_Toc184313304"/>
      <w:bookmarkEnd w:id="183"/>
      <w:bookmarkStart w:id="184" w:name="_Toc184313276"/>
      <w:bookmarkEnd w:id="184"/>
      <w:bookmarkStart w:id="185" w:name="_Toc184308067"/>
      <w:bookmarkEnd w:id="185"/>
      <w:bookmarkStart w:id="186" w:name="_Toc184308050"/>
      <w:bookmarkEnd w:id="186"/>
      <w:bookmarkStart w:id="187" w:name="_Toc184312100"/>
      <w:bookmarkEnd w:id="187"/>
      <w:bookmarkStart w:id="188" w:name="_Toc184308090"/>
      <w:bookmarkEnd w:id="188"/>
      <w:bookmarkStart w:id="189" w:name="_Toc184313275"/>
      <w:bookmarkEnd w:id="189"/>
      <w:bookmarkStart w:id="190" w:name="_Toc184312085"/>
      <w:bookmarkEnd w:id="190"/>
      <w:bookmarkStart w:id="191" w:name="_Toc184308081"/>
      <w:bookmarkEnd w:id="191"/>
      <w:bookmarkStart w:id="192" w:name="_Toc184310327"/>
      <w:bookmarkEnd w:id="192"/>
      <w:bookmarkStart w:id="193" w:name="_Toc184310306"/>
      <w:bookmarkEnd w:id="193"/>
      <w:bookmarkStart w:id="194" w:name="_Toc184308086"/>
      <w:bookmarkEnd w:id="194"/>
      <w:bookmarkStart w:id="195" w:name="_Toc184308054"/>
      <w:bookmarkEnd w:id="195"/>
      <w:bookmarkStart w:id="196" w:name="_Toc184314471"/>
      <w:bookmarkEnd w:id="196"/>
      <w:bookmarkStart w:id="197" w:name="_Toc184314437"/>
      <w:bookmarkEnd w:id="197"/>
      <w:bookmarkStart w:id="198" w:name="_Toc184308082"/>
      <w:bookmarkEnd w:id="198"/>
      <w:bookmarkStart w:id="199" w:name="_Toc184310322"/>
      <w:bookmarkEnd w:id="199"/>
      <w:bookmarkStart w:id="200" w:name="_Toc184310333"/>
      <w:bookmarkEnd w:id="200"/>
      <w:bookmarkStart w:id="201" w:name="_Toc184314442"/>
      <w:bookmarkEnd w:id="201"/>
      <w:bookmarkStart w:id="202" w:name="_Toc184312114"/>
      <w:bookmarkEnd w:id="202"/>
      <w:bookmarkStart w:id="203" w:name="_Toc184310298"/>
      <w:bookmarkEnd w:id="203"/>
      <w:bookmarkStart w:id="204" w:name="_Toc184308061"/>
      <w:bookmarkEnd w:id="204"/>
      <w:bookmarkStart w:id="205" w:name="_Toc184308053"/>
      <w:bookmarkEnd w:id="205"/>
      <w:bookmarkStart w:id="206" w:name="_Toc184314440"/>
      <w:bookmarkEnd w:id="206"/>
      <w:bookmarkStart w:id="207" w:name="_Toc184312126"/>
      <w:bookmarkEnd w:id="207"/>
      <w:bookmarkStart w:id="208" w:name="_Toc184308047"/>
      <w:bookmarkEnd w:id="208"/>
      <w:bookmarkStart w:id="209" w:name="_Toc184308080"/>
      <w:bookmarkEnd w:id="209"/>
      <w:bookmarkStart w:id="210" w:name="_Toc184312134"/>
      <w:bookmarkEnd w:id="210"/>
      <w:bookmarkStart w:id="211" w:name="_Toc184313243"/>
      <w:bookmarkEnd w:id="211"/>
      <w:bookmarkStart w:id="212" w:name="_Toc184310334"/>
      <w:bookmarkEnd w:id="212"/>
      <w:bookmarkStart w:id="213" w:name="_Toc184314434"/>
      <w:bookmarkEnd w:id="213"/>
      <w:bookmarkStart w:id="214" w:name="_Toc184312073"/>
      <w:bookmarkEnd w:id="214"/>
      <w:bookmarkStart w:id="215" w:name="_Toc184312120"/>
      <w:bookmarkEnd w:id="215"/>
      <w:bookmarkStart w:id="216" w:name="_Toc184313308"/>
      <w:bookmarkEnd w:id="216"/>
      <w:bookmarkStart w:id="217" w:name="_Toc184312129"/>
      <w:bookmarkEnd w:id="217"/>
      <w:bookmarkStart w:id="218" w:name="_Toc184313294"/>
      <w:bookmarkEnd w:id="218"/>
      <w:bookmarkStart w:id="219" w:name="_Toc184308071"/>
      <w:bookmarkEnd w:id="219"/>
      <w:bookmarkStart w:id="220" w:name="_Toc184310316"/>
      <w:bookmarkEnd w:id="220"/>
      <w:bookmarkStart w:id="221" w:name="_Toc184310325"/>
      <w:bookmarkEnd w:id="221"/>
      <w:bookmarkStart w:id="222" w:name="_Toc184314465"/>
      <w:bookmarkEnd w:id="222"/>
      <w:bookmarkStart w:id="223" w:name="_Toc184310313"/>
      <w:bookmarkEnd w:id="223"/>
      <w:bookmarkStart w:id="224" w:name="_Toc184310332"/>
      <w:bookmarkEnd w:id="224"/>
      <w:bookmarkStart w:id="225" w:name="_Toc184313245"/>
      <w:bookmarkEnd w:id="225"/>
      <w:bookmarkStart w:id="226" w:name="_Toc184313260"/>
      <w:bookmarkEnd w:id="226"/>
      <w:bookmarkStart w:id="227" w:name="_Toc184310305"/>
      <w:bookmarkEnd w:id="227"/>
      <w:bookmarkStart w:id="228" w:name="_Toc184312115"/>
      <w:bookmarkEnd w:id="228"/>
      <w:bookmarkStart w:id="229" w:name="_Toc184313298"/>
      <w:bookmarkEnd w:id="229"/>
      <w:bookmarkStart w:id="230" w:name="_Toc184308075"/>
      <w:bookmarkEnd w:id="230"/>
      <w:bookmarkStart w:id="231" w:name="_Toc184313246"/>
      <w:bookmarkEnd w:id="231"/>
      <w:bookmarkStart w:id="232" w:name="_Toc184314451"/>
      <w:bookmarkEnd w:id="232"/>
      <w:bookmarkStart w:id="233" w:name="_Toc184308045"/>
      <w:bookmarkEnd w:id="233"/>
      <w:bookmarkStart w:id="234" w:name="_Toc184312139"/>
      <w:bookmarkEnd w:id="234"/>
      <w:bookmarkStart w:id="235" w:name="_Toc184308093"/>
      <w:bookmarkEnd w:id="235"/>
      <w:bookmarkStart w:id="236" w:name="_Toc184308072"/>
      <w:bookmarkEnd w:id="236"/>
      <w:bookmarkStart w:id="237" w:name="_Toc184313290"/>
      <w:bookmarkEnd w:id="237"/>
      <w:bookmarkStart w:id="238" w:name="_Toc184314447"/>
      <w:bookmarkEnd w:id="238"/>
      <w:bookmarkStart w:id="239" w:name="_Toc184310308"/>
      <w:bookmarkEnd w:id="239"/>
      <w:bookmarkStart w:id="240" w:name="_Toc184313266"/>
      <w:bookmarkEnd w:id="240"/>
      <w:bookmarkStart w:id="241" w:name="_Toc184308063"/>
      <w:bookmarkEnd w:id="241"/>
      <w:bookmarkStart w:id="242" w:name="_Toc184314461"/>
      <w:bookmarkEnd w:id="242"/>
      <w:bookmarkStart w:id="243" w:name="_Toc184312130"/>
      <w:bookmarkEnd w:id="243"/>
      <w:bookmarkStart w:id="244" w:name="_Toc184308046"/>
      <w:bookmarkEnd w:id="244"/>
      <w:bookmarkStart w:id="245" w:name="_Toc184308055"/>
      <w:bookmarkEnd w:id="245"/>
      <w:bookmarkStart w:id="246" w:name="_Toc184313248"/>
      <w:bookmarkEnd w:id="246"/>
      <w:bookmarkStart w:id="247" w:name="_Toc184313283"/>
      <w:bookmarkEnd w:id="247"/>
      <w:bookmarkStart w:id="248" w:name="_Toc184310302"/>
      <w:bookmarkEnd w:id="248"/>
      <w:bookmarkStart w:id="249" w:name="_Toc184313303"/>
      <w:bookmarkEnd w:id="249"/>
      <w:bookmarkStart w:id="250" w:name="_Toc184310295"/>
      <w:bookmarkEnd w:id="250"/>
      <w:bookmarkStart w:id="251" w:name="_Toc184308097"/>
      <w:bookmarkEnd w:id="251"/>
      <w:bookmarkStart w:id="252" w:name="_Toc184310286"/>
      <w:bookmarkEnd w:id="252"/>
      <w:bookmarkStart w:id="253" w:name="_Toc184310312"/>
      <w:bookmarkEnd w:id="253"/>
      <w:bookmarkStart w:id="254" w:name="_Toc184312101"/>
      <w:bookmarkEnd w:id="254"/>
      <w:bookmarkStart w:id="255" w:name="_Toc184313265"/>
      <w:bookmarkEnd w:id="255"/>
      <w:bookmarkStart w:id="256" w:name="_Toc184314410"/>
      <w:bookmarkEnd w:id="256"/>
      <w:bookmarkStart w:id="257" w:name="_Toc184314426"/>
      <w:bookmarkEnd w:id="257"/>
      <w:bookmarkStart w:id="258" w:name="_Toc184310288"/>
      <w:bookmarkEnd w:id="258"/>
      <w:bookmarkStart w:id="259" w:name="_Toc184314462"/>
      <w:bookmarkEnd w:id="259"/>
      <w:bookmarkStart w:id="260" w:name="_Toc184312137"/>
      <w:bookmarkEnd w:id="260"/>
      <w:bookmarkStart w:id="261" w:name="_Toc184308085"/>
      <w:bookmarkEnd w:id="261"/>
      <w:bookmarkStart w:id="262" w:name="_Toc184314439"/>
      <w:bookmarkEnd w:id="262"/>
      <w:bookmarkStart w:id="263" w:name="_Toc184308101"/>
      <w:bookmarkEnd w:id="263"/>
      <w:bookmarkStart w:id="264" w:name="_Toc184310339"/>
      <w:bookmarkEnd w:id="264"/>
      <w:bookmarkStart w:id="265" w:name="_Toc184310272"/>
      <w:bookmarkEnd w:id="265"/>
      <w:bookmarkStart w:id="266" w:name="_Toc184314418"/>
      <w:bookmarkEnd w:id="266"/>
      <w:bookmarkStart w:id="267" w:name="_Toc184314414"/>
      <w:bookmarkEnd w:id="267"/>
      <w:bookmarkStart w:id="268" w:name="_Toc184312098"/>
      <w:bookmarkEnd w:id="268"/>
      <w:bookmarkStart w:id="269" w:name="_Toc184310281"/>
      <w:bookmarkEnd w:id="269"/>
      <w:bookmarkStart w:id="270" w:name="_Toc184310330"/>
      <w:bookmarkEnd w:id="270"/>
      <w:bookmarkStart w:id="271" w:name="_Toc184314454"/>
      <w:bookmarkEnd w:id="271"/>
      <w:bookmarkStart w:id="272" w:name="_Toc184314456"/>
      <w:bookmarkEnd w:id="272"/>
      <w:bookmarkStart w:id="273" w:name="_Toc184308070"/>
      <w:bookmarkEnd w:id="273"/>
      <w:bookmarkStart w:id="274" w:name="_Toc184313279"/>
      <w:bookmarkEnd w:id="274"/>
      <w:bookmarkStart w:id="275" w:name="_Toc184313241"/>
      <w:bookmarkEnd w:id="275"/>
      <w:bookmarkStart w:id="276" w:name="_Toc184313270"/>
      <w:bookmarkEnd w:id="276"/>
      <w:bookmarkStart w:id="277" w:name="_Toc184308094"/>
      <w:bookmarkEnd w:id="277"/>
      <w:bookmarkStart w:id="278" w:name="_Toc184310303"/>
      <w:bookmarkEnd w:id="278"/>
      <w:bookmarkStart w:id="279" w:name="_Toc184313268"/>
      <w:bookmarkEnd w:id="279"/>
      <w:bookmarkStart w:id="280" w:name="_Toc184314424"/>
      <w:bookmarkEnd w:id="280"/>
      <w:bookmarkStart w:id="281" w:name="_Toc184313258"/>
      <w:bookmarkEnd w:id="281"/>
      <w:bookmarkStart w:id="282" w:name="_Toc184314438"/>
      <w:bookmarkEnd w:id="282"/>
      <w:bookmarkStart w:id="283" w:name="_Toc184312108"/>
      <w:bookmarkEnd w:id="283"/>
      <w:bookmarkStart w:id="284" w:name="_Toc184312102"/>
      <w:bookmarkEnd w:id="284"/>
      <w:bookmarkStart w:id="285" w:name="_Toc184313253"/>
      <w:bookmarkEnd w:id="285"/>
      <w:bookmarkStart w:id="286" w:name="_Toc184308040"/>
      <w:bookmarkEnd w:id="286"/>
      <w:bookmarkStart w:id="287" w:name="_Toc184312132"/>
      <w:bookmarkEnd w:id="287"/>
      <w:bookmarkStart w:id="288" w:name="_Toc184314470"/>
      <w:bookmarkEnd w:id="288"/>
      <w:bookmarkStart w:id="289" w:name="_Toc184308092"/>
      <w:bookmarkEnd w:id="289"/>
      <w:bookmarkStart w:id="290" w:name="_Toc184312093"/>
      <w:bookmarkEnd w:id="290"/>
      <w:bookmarkStart w:id="291" w:name="_Toc184314464"/>
      <w:bookmarkEnd w:id="291"/>
      <w:bookmarkStart w:id="292" w:name="_Toc184313263"/>
      <w:bookmarkEnd w:id="292"/>
      <w:bookmarkStart w:id="293" w:name="_Toc184310284"/>
      <w:bookmarkEnd w:id="293"/>
      <w:bookmarkStart w:id="294" w:name="_Toc184314430"/>
      <w:bookmarkEnd w:id="294"/>
      <w:bookmarkStart w:id="295" w:name="_Toc184312109"/>
      <w:bookmarkEnd w:id="295"/>
      <w:bookmarkStart w:id="296" w:name="_Toc184312133"/>
      <w:bookmarkEnd w:id="296"/>
      <w:bookmarkStart w:id="297" w:name="_Toc184310326"/>
      <w:bookmarkEnd w:id="297"/>
      <w:bookmarkStart w:id="298" w:name="_Toc184310337"/>
      <w:bookmarkEnd w:id="298"/>
      <w:bookmarkStart w:id="299" w:name="_Toc184312079"/>
      <w:bookmarkEnd w:id="299"/>
      <w:bookmarkStart w:id="300" w:name="_Toc184314468"/>
      <w:bookmarkEnd w:id="300"/>
      <w:bookmarkStart w:id="301" w:name="_Toc184312086"/>
      <w:bookmarkEnd w:id="301"/>
      <w:bookmarkStart w:id="302" w:name="_Toc184308043"/>
      <w:bookmarkEnd w:id="302"/>
      <w:bookmarkStart w:id="303" w:name="_Toc184308104"/>
      <w:bookmarkEnd w:id="303"/>
      <w:bookmarkStart w:id="304" w:name="_Toc184313292"/>
      <w:bookmarkEnd w:id="304"/>
      <w:bookmarkStart w:id="305" w:name="_Toc184308084"/>
      <w:bookmarkEnd w:id="305"/>
      <w:bookmarkStart w:id="306" w:name="_Toc184313244"/>
      <w:bookmarkEnd w:id="306"/>
      <w:bookmarkStart w:id="307" w:name="_Toc184310342"/>
      <w:bookmarkEnd w:id="307"/>
      <w:bookmarkStart w:id="308" w:name="_Toc184314441"/>
      <w:bookmarkEnd w:id="308"/>
      <w:bookmarkStart w:id="309" w:name="_Toc184314450"/>
      <w:bookmarkEnd w:id="309"/>
      <w:bookmarkStart w:id="310" w:name="_Toc184310336"/>
      <w:bookmarkEnd w:id="310"/>
      <w:bookmarkStart w:id="311" w:name="_Toc184312067"/>
      <w:bookmarkEnd w:id="311"/>
      <w:bookmarkStart w:id="312" w:name="_Toc184308048"/>
      <w:bookmarkEnd w:id="312"/>
      <w:bookmarkStart w:id="313" w:name="_Toc184310274"/>
      <w:bookmarkEnd w:id="313"/>
      <w:bookmarkStart w:id="314" w:name="_Toc184310296"/>
      <w:bookmarkEnd w:id="314"/>
      <w:bookmarkStart w:id="315" w:name="_Toc184312127"/>
      <w:bookmarkEnd w:id="315"/>
      <w:bookmarkStart w:id="316" w:name="_Toc184308068"/>
      <w:bookmarkEnd w:id="316"/>
      <w:bookmarkStart w:id="317" w:name="_Toc184308102"/>
      <w:bookmarkEnd w:id="317"/>
      <w:bookmarkStart w:id="318" w:name="_Toc184314425"/>
      <w:bookmarkEnd w:id="318"/>
      <w:bookmarkStart w:id="319" w:name="_Toc184312113"/>
      <w:bookmarkEnd w:id="319"/>
      <w:bookmarkStart w:id="320" w:name="_Toc184313254"/>
      <w:bookmarkEnd w:id="320"/>
      <w:bookmarkStart w:id="321" w:name="_Toc184313302"/>
      <w:bookmarkEnd w:id="321"/>
      <w:bookmarkStart w:id="322" w:name="_Toc184312072"/>
      <w:bookmarkEnd w:id="322"/>
      <w:bookmarkStart w:id="323" w:name="_Toc184310273"/>
      <w:bookmarkEnd w:id="323"/>
      <w:bookmarkStart w:id="324" w:name="_Toc184312069"/>
      <w:bookmarkEnd w:id="324"/>
      <w:bookmarkStart w:id="325" w:name="_Toc184314455"/>
      <w:bookmarkEnd w:id="325"/>
      <w:bookmarkStart w:id="326" w:name="_Toc184313284"/>
      <w:bookmarkEnd w:id="326"/>
      <w:bookmarkStart w:id="327" w:name="_Toc184310275"/>
      <w:bookmarkEnd w:id="327"/>
      <w:bookmarkStart w:id="328" w:name="_Toc184314481"/>
      <w:bookmarkEnd w:id="328"/>
      <w:bookmarkStart w:id="329" w:name="_Toc184314428"/>
      <w:bookmarkEnd w:id="329"/>
      <w:bookmarkStart w:id="330" w:name="_Toc184314453"/>
      <w:bookmarkEnd w:id="330"/>
      <w:bookmarkStart w:id="331" w:name="_Toc184308096"/>
      <w:bookmarkEnd w:id="331"/>
      <w:bookmarkStart w:id="332" w:name="_Toc184314444"/>
      <w:bookmarkEnd w:id="332"/>
      <w:bookmarkStart w:id="333" w:name="_Toc184312097"/>
      <w:bookmarkEnd w:id="333"/>
      <w:bookmarkStart w:id="334" w:name="_Toc184314477"/>
      <w:bookmarkEnd w:id="334"/>
      <w:bookmarkStart w:id="335" w:name="_Toc184314422"/>
      <w:bookmarkEnd w:id="335"/>
      <w:bookmarkStart w:id="336" w:name="_Toc184314415"/>
      <w:bookmarkEnd w:id="336"/>
      <w:bookmarkStart w:id="337" w:name="_Toc184312125"/>
      <w:bookmarkEnd w:id="337"/>
      <w:bookmarkStart w:id="338" w:name="_Toc184312080"/>
      <w:bookmarkEnd w:id="338"/>
      <w:bookmarkStart w:id="339" w:name="_Toc184313255"/>
      <w:bookmarkEnd w:id="339"/>
      <w:bookmarkStart w:id="340" w:name="_Toc184313278"/>
      <w:bookmarkEnd w:id="340"/>
      <w:bookmarkStart w:id="341" w:name="_Toc184310318"/>
      <w:bookmarkEnd w:id="341"/>
      <w:bookmarkStart w:id="342" w:name="_Toc184312092"/>
      <w:bookmarkEnd w:id="342"/>
      <w:bookmarkStart w:id="343" w:name="_Toc184310293"/>
      <w:bookmarkEnd w:id="343"/>
      <w:bookmarkStart w:id="344" w:name="_Toc184313247"/>
      <w:bookmarkEnd w:id="344"/>
      <w:bookmarkStart w:id="345" w:name="_Toc184314429"/>
      <w:bookmarkEnd w:id="345"/>
      <w:bookmarkStart w:id="346" w:name="_Toc184312105"/>
      <w:bookmarkEnd w:id="346"/>
      <w:bookmarkStart w:id="347" w:name="_Toc184308060"/>
      <w:bookmarkEnd w:id="347"/>
      <w:bookmarkStart w:id="348" w:name="_Toc184308076"/>
      <w:bookmarkEnd w:id="348"/>
      <w:bookmarkStart w:id="349" w:name="_Toc184310340"/>
      <w:bookmarkEnd w:id="349"/>
      <w:bookmarkStart w:id="350" w:name="_Toc184313306"/>
      <w:bookmarkEnd w:id="350"/>
      <w:bookmarkStart w:id="351" w:name="_Toc184310320"/>
      <w:bookmarkEnd w:id="351"/>
      <w:bookmarkStart w:id="352" w:name="_Toc184308078"/>
      <w:bookmarkEnd w:id="352"/>
      <w:bookmarkStart w:id="353" w:name="_Toc184314472"/>
      <w:bookmarkEnd w:id="353"/>
      <w:bookmarkStart w:id="354" w:name="_Toc184314475"/>
      <w:bookmarkEnd w:id="354"/>
      <w:bookmarkStart w:id="355" w:name="_Toc184310294"/>
      <w:bookmarkEnd w:id="355"/>
      <w:bookmarkStart w:id="356" w:name="_Toc184312077"/>
      <w:bookmarkEnd w:id="356"/>
      <w:bookmarkStart w:id="357" w:name="_Toc184308073"/>
      <w:bookmarkEnd w:id="357"/>
      <w:bookmarkStart w:id="358" w:name="_Toc184308100"/>
      <w:bookmarkEnd w:id="358"/>
      <w:bookmarkStart w:id="359" w:name="_Toc184310289"/>
      <w:bookmarkEnd w:id="359"/>
      <w:bookmarkStart w:id="360" w:name="_Toc184310329"/>
      <w:bookmarkEnd w:id="360"/>
      <w:bookmarkStart w:id="361" w:name="_Toc184310276"/>
      <w:bookmarkEnd w:id="361"/>
      <w:bookmarkStart w:id="362" w:name="_Toc184310311"/>
      <w:bookmarkEnd w:id="362"/>
      <w:bookmarkStart w:id="363" w:name="_Toc184314419"/>
      <w:bookmarkEnd w:id="363"/>
      <w:bookmarkStart w:id="364" w:name="_Toc184314436"/>
      <w:bookmarkEnd w:id="364"/>
      <w:bookmarkStart w:id="365" w:name="_Toc184310310"/>
      <w:bookmarkEnd w:id="365"/>
      <w:bookmarkStart w:id="366" w:name="_Toc184312138"/>
      <w:bookmarkEnd w:id="366"/>
      <w:bookmarkStart w:id="367" w:name="_Toc184310321"/>
      <w:bookmarkEnd w:id="367"/>
      <w:bookmarkStart w:id="368" w:name="_Toc184308106"/>
      <w:bookmarkEnd w:id="368"/>
      <w:bookmarkStart w:id="369" w:name="_Toc184310277"/>
      <w:bookmarkEnd w:id="369"/>
      <w:bookmarkStart w:id="370" w:name="_Toc184310279"/>
      <w:bookmarkEnd w:id="370"/>
      <w:bookmarkStart w:id="371" w:name="_Toc184310341"/>
      <w:bookmarkEnd w:id="371"/>
      <w:bookmarkStart w:id="372" w:name="_Toc184308089"/>
      <w:bookmarkEnd w:id="372"/>
      <w:bookmarkStart w:id="373" w:name="_Toc184308107"/>
      <w:bookmarkEnd w:id="373"/>
      <w:bookmarkStart w:id="374" w:name="_Toc184313262"/>
      <w:bookmarkEnd w:id="374"/>
      <w:bookmarkStart w:id="375" w:name="_Toc184312121"/>
      <w:bookmarkEnd w:id="375"/>
      <w:bookmarkStart w:id="376" w:name="_Toc184314458"/>
      <w:bookmarkEnd w:id="376"/>
      <w:bookmarkStart w:id="377" w:name="_Toc184310319"/>
      <w:bookmarkEnd w:id="377"/>
      <w:bookmarkStart w:id="378" w:name="_Toc184314476"/>
      <w:bookmarkEnd w:id="378"/>
      <w:bookmarkStart w:id="379" w:name="_Toc184314435"/>
      <w:bookmarkEnd w:id="379"/>
      <w:bookmarkStart w:id="380" w:name="_Toc184310300"/>
      <w:bookmarkEnd w:id="380"/>
      <w:bookmarkStart w:id="381" w:name="_Toc184308108"/>
      <w:bookmarkEnd w:id="381"/>
      <w:bookmarkStart w:id="382" w:name="_Toc184313261"/>
      <w:bookmarkEnd w:id="382"/>
      <w:bookmarkStart w:id="383" w:name="_Toc184310324"/>
      <w:bookmarkEnd w:id="383"/>
      <w:bookmarkStart w:id="384" w:name="_Toc184314446"/>
      <w:bookmarkEnd w:id="384"/>
      <w:bookmarkStart w:id="385" w:name="_Toc184310283"/>
      <w:bookmarkEnd w:id="385"/>
      <w:bookmarkStart w:id="386" w:name="_Toc184312099"/>
      <w:bookmarkEnd w:id="386"/>
      <w:bookmarkStart w:id="387" w:name="_Toc184313300"/>
      <w:bookmarkEnd w:id="387"/>
      <w:bookmarkStart w:id="388" w:name="_Toc184312124"/>
      <w:bookmarkEnd w:id="388"/>
      <w:bookmarkStart w:id="389" w:name="_Toc184313240"/>
      <w:bookmarkEnd w:id="389"/>
      <w:bookmarkStart w:id="390" w:name="_Toc184312104"/>
      <w:bookmarkEnd w:id="390"/>
      <w:bookmarkStart w:id="391" w:name="_Toc184313249"/>
      <w:bookmarkEnd w:id="391"/>
      <w:bookmarkStart w:id="392" w:name="_Toc184312116"/>
      <w:bookmarkEnd w:id="392"/>
      <w:bookmarkStart w:id="393" w:name="_Toc184310343"/>
      <w:bookmarkEnd w:id="393"/>
      <w:bookmarkStart w:id="394" w:name="_Toc184308087"/>
      <w:bookmarkEnd w:id="394"/>
      <w:bookmarkStart w:id="395" w:name="_Toc184312081"/>
      <w:bookmarkEnd w:id="395"/>
      <w:bookmarkStart w:id="396" w:name="_Toc184314411"/>
      <w:bookmarkEnd w:id="396"/>
      <w:bookmarkStart w:id="397" w:name="_Toc184313280"/>
      <w:bookmarkEnd w:id="397"/>
      <w:bookmarkStart w:id="398" w:name="_Toc184313295"/>
      <w:bookmarkEnd w:id="398"/>
      <w:bookmarkStart w:id="399" w:name="_Toc184312131"/>
      <w:bookmarkEnd w:id="399"/>
      <w:bookmarkStart w:id="400" w:name="_Toc184312122"/>
      <w:bookmarkEnd w:id="400"/>
      <w:bookmarkStart w:id="401" w:name="_Toc184314427"/>
      <w:bookmarkEnd w:id="401"/>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285"/>
        <w:gridCol w:w="639"/>
        <w:gridCol w:w="846"/>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sz w:val="24"/>
              </w:rPr>
            </w:pPr>
            <w:r>
              <w:rPr>
                <w:rFonts w:hint="eastAsia" w:ascii="仿宋" w:hAnsi="仿宋" w:eastAsia="仿宋" w:cs="仿宋"/>
                <w:sz w:val="24"/>
              </w:rPr>
              <w:t>序号</w:t>
            </w:r>
          </w:p>
        </w:tc>
        <w:tc>
          <w:tcPr>
            <w:tcW w:w="628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sz w:val="24"/>
              </w:rPr>
            </w:pPr>
            <w:r>
              <w:rPr>
                <w:rFonts w:hint="eastAsia" w:ascii="仿宋" w:hAnsi="仿宋" w:eastAsia="仿宋" w:cs="仿宋"/>
                <w:sz w:val="24"/>
              </w:rPr>
              <w:t>评标标准</w:t>
            </w:r>
          </w:p>
        </w:tc>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sz w:val="24"/>
              </w:rPr>
            </w:pPr>
            <w:r>
              <w:rPr>
                <w:rFonts w:hint="eastAsia" w:ascii="仿宋" w:hAnsi="仿宋" w:eastAsia="仿宋" w:cs="仿宋"/>
                <w:sz w:val="24"/>
              </w:rPr>
              <w:t>权重</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Cs/>
                <w:sz w:val="24"/>
              </w:rPr>
            </w:pPr>
            <w:r>
              <w:rPr>
                <w:rFonts w:hint="eastAsia" w:ascii="仿宋" w:hAnsi="仿宋" w:eastAsia="仿宋" w:cs="仿宋"/>
                <w:bCs/>
                <w:sz w:val="24"/>
              </w:rPr>
              <w:t>主观分/客观分属性</w:t>
            </w:r>
          </w:p>
        </w:tc>
        <w:tc>
          <w:tcPr>
            <w:tcW w:w="1549" w:type="dxa"/>
            <w:tcBorders>
              <w:top w:val="single" w:color="auto" w:sz="4" w:space="0"/>
              <w:left w:val="single" w:color="auto" w:sz="4" w:space="0"/>
              <w:bottom w:val="single" w:color="auto" w:sz="4" w:space="0"/>
              <w:right w:val="single" w:color="auto" w:sz="4" w:space="0"/>
            </w:tcBorders>
          </w:tcPr>
          <w:p>
            <w:pPr>
              <w:snapToGrid w:val="0"/>
              <w:spacing w:line="276" w:lineRule="auto"/>
              <w:jc w:val="center"/>
              <w:rPr>
                <w:rFonts w:ascii="仿宋" w:hAnsi="仿宋" w:eastAsia="仿宋" w:cs="仿宋"/>
                <w:sz w:val="24"/>
              </w:rPr>
            </w:pPr>
            <w:r>
              <w:rPr>
                <w:rFonts w:hint="eastAsia" w:ascii="仿宋" w:hAnsi="仿宋" w:eastAsia="仿宋" w:cs="仿宋"/>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sz w:val="24"/>
              </w:rPr>
            </w:pPr>
            <w:r>
              <w:rPr>
                <w:rFonts w:hint="eastAsia" w:ascii="仿宋" w:hAnsi="仿宋" w:eastAsia="仿宋" w:cs="仿宋"/>
                <w:b/>
                <w:sz w:val="24"/>
              </w:rPr>
              <w:t>一</w:t>
            </w:r>
          </w:p>
        </w:tc>
        <w:tc>
          <w:tcPr>
            <w:tcW w:w="628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 w:hAnsi="仿宋" w:eastAsia="仿宋" w:cs="仿宋"/>
                <w:sz w:val="24"/>
              </w:rPr>
            </w:pPr>
            <w:r>
              <w:rPr>
                <w:rFonts w:hint="eastAsia" w:ascii="仿宋" w:hAnsi="仿宋" w:eastAsia="仿宋" w:cs="仿宋"/>
                <w:b/>
                <w:sz w:val="24"/>
              </w:rPr>
              <w:t>技术和服务方案：</w:t>
            </w:r>
          </w:p>
        </w:tc>
        <w:tc>
          <w:tcPr>
            <w:tcW w:w="6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Cs/>
                <w:sz w:val="24"/>
              </w:rPr>
            </w:pPr>
          </w:p>
        </w:tc>
        <w:tc>
          <w:tcPr>
            <w:tcW w:w="1549" w:type="dxa"/>
            <w:tcBorders>
              <w:top w:val="single" w:color="auto" w:sz="4" w:space="0"/>
              <w:left w:val="single" w:color="auto" w:sz="4" w:space="0"/>
              <w:bottom w:val="single" w:color="auto" w:sz="4" w:space="0"/>
              <w:right w:val="single" w:color="auto" w:sz="4" w:space="0"/>
            </w:tcBorders>
          </w:tcPr>
          <w:p>
            <w:pPr>
              <w:snapToGrid w:val="0"/>
              <w:spacing w:line="276"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1</w:t>
            </w:r>
          </w:p>
        </w:tc>
        <w:tc>
          <w:tcPr>
            <w:tcW w:w="628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仿宋"/>
                <w:sz w:val="24"/>
              </w:rPr>
            </w:pPr>
            <w:r>
              <w:rPr>
                <w:rFonts w:hint="eastAsia" w:ascii="仿宋" w:hAnsi="仿宋" w:eastAsia="仿宋" w:cs="仿宋"/>
                <w:snapToGrid w:val="0"/>
                <w:sz w:val="24"/>
                <w:lang w:val="zh-CN"/>
              </w:rPr>
              <w:t>投标人针对本项目</w:t>
            </w:r>
            <w:r>
              <w:rPr>
                <w:rFonts w:hint="eastAsia" w:ascii="仿宋" w:hAnsi="仿宋" w:eastAsia="仿宋" w:cs="仿宋"/>
                <w:bCs/>
                <w:sz w:val="24"/>
              </w:rPr>
              <w:t>视频专网机房3218台硬件设备运维</w:t>
            </w:r>
            <w:r>
              <w:rPr>
                <w:rFonts w:hint="eastAsia" w:ascii="仿宋" w:hAnsi="仿宋" w:eastAsia="仿宋" w:cs="仿宋"/>
                <w:sz w:val="24"/>
              </w:rPr>
              <w:t>服务方案情况：方案内容详细、完整且合理、可行、满足需求的得4分，不满足的不得分，</w:t>
            </w:r>
            <w:r>
              <w:rPr>
                <w:rFonts w:hint="eastAsia" w:ascii="仿宋" w:hAnsi="仿宋" w:eastAsia="仿宋" w:cs="仿宋"/>
                <w:b/>
                <w:bCs/>
                <w:sz w:val="24"/>
              </w:rPr>
              <w:t>最高得4分</w:t>
            </w:r>
            <w:r>
              <w:rPr>
                <w:rFonts w:hint="eastAsia" w:ascii="仿宋" w:hAnsi="仿宋" w:eastAsia="仿宋" w:cs="仿宋"/>
                <w:sz w:val="24"/>
              </w:rPr>
              <w:t>。</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lang w:bidi="ar"/>
              </w:rPr>
              <w:t>4</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主观分</w:t>
            </w:r>
          </w:p>
        </w:tc>
        <w:tc>
          <w:tcPr>
            <w:tcW w:w="1549"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b/>
                <w:sz w:val="24"/>
              </w:rPr>
            </w:pPr>
            <w:r>
              <w:rPr>
                <w:rFonts w:hint="eastAsia" w:ascii="仿宋" w:hAnsi="仿宋" w:eastAsia="仿宋" w:cs="仿宋"/>
                <w:b/>
                <w:bCs/>
                <w:sz w:val="24"/>
                <w:lang w:bidi="ar"/>
              </w:rPr>
              <w:t>一、运维服务方案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2</w:t>
            </w:r>
          </w:p>
        </w:tc>
        <w:tc>
          <w:tcPr>
            <w:tcW w:w="628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仿宋"/>
                <w:sz w:val="24"/>
              </w:rPr>
            </w:pPr>
            <w:r>
              <w:rPr>
                <w:rFonts w:hint="eastAsia" w:ascii="仿宋" w:hAnsi="仿宋" w:eastAsia="仿宋" w:cs="仿宋"/>
                <w:snapToGrid w:val="0"/>
                <w:sz w:val="24"/>
                <w:lang w:val="zh-CN"/>
              </w:rPr>
              <w:t>投标人针对本项目</w:t>
            </w:r>
            <w:r>
              <w:rPr>
                <w:rFonts w:hint="eastAsia" w:ascii="仿宋" w:hAnsi="仿宋" w:eastAsia="仿宋" w:cs="仿宋"/>
                <w:snapToGrid w:val="0"/>
                <w:sz w:val="24"/>
              </w:rPr>
              <w:t>软件运维服务方案情况：</w:t>
            </w:r>
            <w:r>
              <w:rPr>
                <w:rFonts w:hint="eastAsia" w:ascii="仿宋" w:hAnsi="仿宋" w:eastAsia="仿宋" w:cs="仿宋"/>
                <w:sz w:val="24"/>
              </w:rPr>
              <w:t>包括①SCATS信号控制系统、②单点远程信号控制系统、③信号系统无线检测器平台软件、④交通监视系统、⑤交通诱导系统、⑥微波检测系统⑦、运维管理系统，以上，每一项方案内容详细、完整且合理、可行、满足需求的得3分，不满足的不得分，</w:t>
            </w:r>
            <w:r>
              <w:rPr>
                <w:rFonts w:hint="eastAsia" w:ascii="仿宋" w:hAnsi="仿宋" w:eastAsia="仿宋" w:cs="仿宋"/>
                <w:b/>
                <w:bCs/>
                <w:sz w:val="24"/>
              </w:rPr>
              <w:t>最高得21分</w:t>
            </w:r>
            <w:r>
              <w:rPr>
                <w:rFonts w:hint="eastAsia" w:ascii="仿宋" w:hAnsi="仿宋" w:eastAsia="仿宋" w:cs="仿宋"/>
                <w:sz w:val="24"/>
              </w:rPr>
              <w:t>。</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sz w:val="24"/>
              </w:rPr>
            </w:pPr>
            <w:r>
              <w:rPr>
                <w:rFonts w:hint="eastAsia" w:ascii="仿宋" w:hAnsi="仿宋" w:eastAsia="仿宋" w:cs="仿宋"/>
                <w:b/>
                <w:sz w:val="24"/>
              </w:rPr>
              <w:t>21</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sz w:val="24"/>
              </w:rPr>
            </w:pPr>
            <w:r>
              <w:rPr>
                <w:rFonts w:hint="eastAsia" w:ascii="仿宋" w:hAnsi="仿宋" w:eastAsia="仿宋" w:cs="仿宋"/>
                <w:b/>
                <w:bCs/>
                <w:sz w:val="24"/>
              </w:rPr>
              <w:t>主观分</w:t>
            </w:r>
          </w:p>
        </w:tc>
        <w:tc>
          <w:tcPr>
            <w:tcW w:w="1549" w:type="dxa"/>
            <w:vMerge w:val="continue"/>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3</w:t>
            </w:r>
          </w:p>
        </w:tc>
        <w:tc>
          <w:tcPr>
            <w:tcW w:w="628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仿宋"/>
                <w:sz w:val="24"/>
              </w:rPr>
            </w:pPr>
            <w:r>
              <w:rPr>
                <w:rFonts w:hint="eastAsia" w:ascii="仿宋" w:hAnsi="仿宋" w:eastAsia="仿宋" w:cs="仿宋"/>
                <w:sz w:val="24"/>
              </w:rPr>
              <w:t>投标人针对本项目具有①合理的轮岗、调配制度、②内部岗位责任制度（包括各岗位职责等）、③管理运作制度（包括档案管理制度、标准化服务制度等）、④考核制度（包括考核机制、激励机制、监督机制等）；根据提供的方案内容进行评分，每一项方案内容详细、完整且合理、可行、满足需求的得0.5分，不满足的不得分，</w:t>
            </w:r>
            <w:r>
              <w:rPr>
                <w:rFonts w:hint="eastAsia" w:ascii="仿宋" w:hAnsi="仿宋" w:eastAsia="仿宋" w:cs="仿宋"/>
                <w:b/>
                <w:sz w:val="24"/>
              </w:rPr>
              <w:t>最高得2分</w:t>
            </w:r>
            <w:r>
              <w:rPr>
                <w:rFonts w:hint="eastAsia" w:ascii="仿宋" w:hAnsi="仿宋" w:eastAsia="仿宋" w:cs="仿宋"/>
                <w:sz w:val="24"/>
              </w:rPr>
              <w:t>。</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sz w:val="24"/>
              </w:rPr>
            </w:pPr>
            <w:r>
              <w:rPr>
                <w:rFonts w:hint="eastAsia" w:ascii="仿宋" w:hAnsi="仿宋" w:eastAsia="仿宋" w:cs="仿宋"/>
                <w:b/>
                <w:sz w:val="24"/>
              </w:rPr>
              <w:t>2</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sz w:val="24"/>
              </w:rPr>
            </w:pPr>
            <w:r>
              <w:rPr>
                <w:rFonts w:hint="eastAsia" w:ascii="仿宋" w:hAnsi="仿宋" w:eastAsia="仿宋" w:cs="仿宋"/>
                <w:b/>
                <w:sz w:val="24"/>
              </w:rPr>
              <w:t>主观分</w:t>
            </w:r>
          </w:p>
        </w:tc>
        <w:tc>
          <w:tcPr>
            <w:tcW w:w="154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sz w:val="24"/>
              </w:rPr>
            </w:pPr>
            <w:r>
              <w:rPr>
                <w:rFonts w:hint="eastAsia" w:ascii="仿宋" w:hAnsi="仿宋" w:eastAsia="仿宋" w:cs="仿宋"/>
                <w:b/>
                <w:sz w:val="24"/>
              </w:rPr>
              <w:t>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4</w:t>
            </w:r>
          </w:p>
        </w:tc>
        <w:tc>
          <w:tcPr>
            <w:tcW w:w="6285" w:type="dxa"/>
            <w:tcBorders>
              <w:top w:val="single" w:color="auto" w:sz="4" w:space="0"/>
              <w:left w:val="single" w:color="auto" w:sz="4" w:space="0"/>
              <w:bottom w:val="single" w:color="auto" w:sz="4" w:space="0"/>
              <w:right w:val="single" w:color="auto" w:sz="4" w:space="0"/>
            </w:tcBorders>
            <w:vAlign w:val="center"/>
          </w:tcPr>
          <w:p>
            <w:pPr>
              <w:numPr>
                <w:ilvl w:val="255"/>
                <w:numId w:val="0"/>
              </w:numPr>
              <w:autoSpaceDE w:val="0"/>
              <w:autoSpaceDN w:val="0"/>
              <w:spacing w:line="360" w:lineRule="auto"/>
              <w:rPr>
                <w:rFonts w:ascii="仿宋" w:hAnsi="仿宋" w:eastAsia="仿宋" w:cs="仿宋"/>
                <w:sz w:val="24"/>
              </w:rPr>
            </w:pPr>
            <w:r>
              <w:rPr>
                <w:rFonts w:hint="eastAsia" w:ascii="仿宋" w:hAnsi="仿宋" w:eastAsia="仿宋" w:cs="仿宋"/>
                <w:sz w:val="24"/>
              </w:rPr>
              <w:t>①当“交通小脑服务器”、“网闸”、“网络安全准入设备”、</w:t>
            </w:r>
            <w:r>
              <w:rPr>
                <w:rFonts w:hint="eastAsia" w:ascii="仿宋" w:hAnsi="仿宋" w:eastAsia="仿宋" w:cs="仿宋"/>
                <w:bCs/>
                <w:sz w:val="24"/>
              </w:rPr>
              <w:t>“网络交换机”、</w:t>
            </w:r>
            <w:r>
              <w:rPr>
                <w:rFonts w:hint="eastAsia" w:ascii="仿宋" w:hAnsi="仿宋" w:eastAsia="仿宋" w:cs="仿宋"/>
                <w:sz w:val="24"/>
              </w:rPr>
              <w:t>“存储设备”故障不能通过远程支持方式解决时，投标人应在30分钟内响应，派遣原厂人员2小时内赶往采购人现场故障诊断，4小时内故障排除；当“</w:t>
            </w:r>
            <w:r>
              <w:rPr>
                <w:rFonts w:hint="eastAsia" w:ascii="仿宋" w:hAnsi="仿宋" w:eastAsia="仿宋" w:cs="仿宋"/>
                <w:bCs/>
                <w:sz w:val="24"/>
              </w:rPr>
              <w:t>SCATS信号系统</w:t>
            </w:r>
            <w:r>
              <w:rPr>
                <w:rFonts w:hint="eastAsia" w:ascii="仿宋" w:hAnsi="仿宋" w:eastAsia="仿宋" w:cs="仿宋"/>
                <w:sz w:val="24"/>
              </w:rPr>
              <w:t>”故障不能通过远程支持方式解决时，投标人应在30分钟内响应，派遣原厂人员6小时内赶往采购人现场故障诊断，8小时内故障排除。②“</w:t>
            </w:r>
            <w:r>
              <w:rPr>
                <w:rFonts w:hint="eastAsia" w:ascii="仿宋" w:hAnsi="仿宋" w:eastAsia="仿宋" w:cs="仿宋"/>
                <w:bCs/>
                <w:sz w:val="24"/>
              </w:rPr>
              <w:t>SCATS信号系统</w:t>
            </w:r>
            <w:r>
              <w:rPr>
                <w:rFonts w:hint="eastAsia" w:ascii="仿宋" w:hAnsi="仿宋" w:eastAsia="仿宋" w:cs="仿宋"/>
                <w:sz w:val="24"/>
              </w:rPr>
              <w:t>”、“交通小脑服务器”、“网闸”、“网络安全准入设备”、</w:t>
            </w:r>
            <w:r>
              <w:rPr>
                <w:rFonts w:hint="eastAsia" w:ascii="仿宋" w:hAnsi="仿宋" w:eastAsia="仿宋" w:cs="仿宋"/>
                <w:bCs/>
                <w:sz w:val="24"/>
              </w:rPr>
              <w:t>“网络交换机”、</w:t>
            </w:r>
            <w:r>
              <w:rPr>
                <w:rFonts w:hint="eastAsia" w:ascii="仿宋" w:hAnsi="仿宋" w:eastAsia="仿宋" w:cs="仿宋"/>
                <w:sz w:val="24"/>
              </w:rPr>
              <w:t>“存储设备”在维护期内，逢大型活动、会议期间、系统重大升级，投标人需按照采购人针对大型活动的保障方案予以配合，或其他与维保工作相关的保障措施升级的要求，原厂服务人必须予以满足。③“</w:t>
            </w:r>
            <w:r>
              <w:rPr>
                <w:rFonts w:hint="eastAsia" w:ascii="仿宋" w:hAnsi="仿宋" w:eastAsia="仿宋" w:cs="仿宋"/>
                <w:bCs/>
                <w:sz w:val="24"/>
              </w:rPr>
              <w:t>SCATS信号系统</w:t>
            </w:r>
            <w:r>
              <w:rPr>
                <w:rFonts w:hint="eastAsia" w:ascii="仿宋" w:hAnsi="仿宋" w:eastAsia="仿宋" w:cs="仿宋"/>
                <w:sz w:val="24"/>
              </w:rPr>
              <w:t>”、“交通小脑服务器”、“网闸”、“网络安全准入设备”、</w:t>
            </w:r>
            <w:r>
              <w:rPr>
                <w:rFonts w:hint="eastAsia" w:ascii="仿宋" w:hAnsi="仿宋" w:eastAsia="仿宋" w:cs="仿宋"/>
                <w:bCs/>
                <w:sz w:val="24"/>
              </w:rPr>
              <w:t>“网络交换机”、</w:t>
            </w:r>
            <w:r>
              <w:rPr>
                <w:rFonts w:hint="eastAsia" w:ascii="仿宋" w:hAnsi="仿宋" w:eastAsia="仿宋" w:cs="仿宋"/>
                <w:sz w:val="24"/>
              </w:rPr>
              <w:t>“存储设备”的巡检服务。原厂提供每月不少于1次的设备巡检服务，包含对系统软硬件及配置状况、系统性能、系统冗余及升级需求等多方面的分析，并于5个工作日内出具巡检记录。投标人提供承诺并满足采购需求的每一项得4分，不满足的不得分，</w:t>
            </w:r>
            <w:r>
              <w:rPr>
                <w:rFonts w:hint="eastAsia" w:ascii="仿宋" w:hAnsi="仿宋" w:eastAsia="仿宋" w:cs="仿宋"/>
                <w:b/>
                <w:sz w:val="24"/>
              </w:rPr>
              <w:t>最高得12分</w:t>
            </w:r>
            <w:r>
              <w:rPr>
                <w:rFonts w:hint="eastAsia" w:ascii="仿宋" w:hAnsi="仿宋" w:eastAsia="仿宋" w:cs="仿宋"/>
                <w:sz w:val="24"/>
              </w:rPr>
              <w:t>。</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12</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客观分</w:t>
            </w:r>
          </w:p>
        </w:tc>
        <w:tc>
          <w:tcPr>
            <w:tcW w:w="154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lang w:bidi="ar"/>
              </w:rPr>
              <w:t>三、原厂服务承诺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5</w:t>
            </w:r>
          </w:p>
        </w:tc>
        <w:tc>
          <w:tcPr>
            <w:tcW w:w="628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仿宋"/>
                <w:b/>
                <w:snapToGrid w:val="0"/>
                <w:sz w:val="24"/>
                <w:lang w:bidi="ar"/>
              </w:rPr>
            </w:pPr>
            <w:r>
              <w:rPr>
                <w:rFonts w:hint="eastAsia" w:ascii="仿宋" w:hAnsi="仿宋" w:eastAsia="仿宋" w:cs="仿宋"/>
                <w:sz w:val="24"/>
                <w:lang w:val="zh-CN"/>
              </w:rPr>
              <w:t>本项目拟派</w:t>
            </w:r>
            <w:r>
              <w:rPr>
                <w:rFonts w:hint="eastAsia" w:ascii="仿宋" w:hAnsi="仿宋" w:eastAsia="仿宋" w:cs="仿宋"/>
                <w:b/>
                <w:snapToGrid w:val="0"/>
                <w:sz w:val="24"/>
                <w:lang w:bidi="ar"/>
              </w:rPr>
              <w:t>项目负责人情况：</w:t>
            </w:r>
          </w:p>
          <w:p>
            <w:pPr>
              <w:spacing w:line="276" w:lineRule="auto"/>
              <w:ind w:firstLine="249" w:firstLineChars="104"/>
              <w:rPr>
                <w:rFonts w:ascii="仿宋" w:hAnsi="仿宋" w:eastAsia="仿宋" w:cs="仿宋"/>
                <w:sz w:val="24"/>
                <w:lang w:bidi="ar"/>
              </w:rPr>
            </w:pPr>
            <w:r>
              <w:rPr>
                <w:rFonts w:hint="eastAsia" w:ascii="仿宋" w:hAnsi="仿宋" w:eastAsia="仿宋" w:cs="仿宋"/>
                <w:sz w:val="24"/>
                <w:lang w:bidi="ar"/>
              </w:rPr>
              <w:fldChar w:fldCharType="begin"/>
            </w:r>
            <w:r>
              <w:rPr>
                <w:rFonts w:hint="eastAsia" w:ascii="仿宋" w:hAnsi="仿宋" w:eastAsia="仿宋" w:cs="仿宋"/>
                <w:sz w:val="24"/>
                <w:lang w:bidi="ar"/>
              </w:rPr>
              <w:instrText xml:space="preserve"> = 1 \* GB3 </w:instrText>
            </w:r>
            <w:r>
              <w:rPr>
                <w:rFonts w:hint="eastAsia" w:ascii="仿宋" w:hAnsi="仿宋" w:eastAsia="仿宋" w:cs="仿宋"/>
                <w:sz w:val="24"/>
                <w:lang w:bidi="ar"/>
              </w:rPr>
              <w:fldChar w:fldCharType="separate"/>
            </w:r>
            <w:r>
              <w:rPr>
                <w:rFonts w:hint="eastAsia" w:ascii="仿宋" w:hAnsi="仿宋" w:eastAsia="仿宋" w:cs="仿宋"/>
                <w:sz w:val="24"/>
                <w:lang w:bidi="ar"/>
              </w:rPr>
              <w:t>①</w:t>
            </w:r>
            <w:r>
              <w:rPr>
                <w:rFonts w:hint="eastAsia" w:ascii="仿宋" w:hAnsi="仿宋" w:eastAsia="仿宋" w:cs="仿宋"/>
                <w:sz w:val="24"/>
                <w:lang w:bidi="ar"/>
              </w:rPr>
              <w:fldChar w:fldCharType="end"/>
            </w:r>
            <w:r>
              <w:rPr>
                <w:rFonts w:hint="eastAsia" w:ascii="仿宋" w:hAnsi="仿宋" w:eastAsia="仿宋" w:cs="仿宋"/>
                <w:sz w:val="24"/>
                <w:lang w:bidi="ar"/>
              </w:rPr>
              <w:t>配备1名项目负责人，本科及以上学历（提供学历证书）且年龄55周岁（含）（提供身份证）提供以下,得3分；</w:t>
            </w:r>
          </w:p>
          <w:p>
            <w:pPr>
              <w:spacing w:line="276" w:lineRule="auto"/>
              <w:ind w:firstLine="249" w:firstLineChars="104"/>
              <w:rPr>
                <w:rFonts w:ascii="仿宋" w:hAnsi="仿宋" w:eastAsia="仿宋" w:cs="仿宋"/>
                <w:sz w:val="24"/>
              </w:rPr>
            </w:pPr>
            <w:r>
              <w:rPr>
                <w:rFonts w:hint="eastAsia" w:ascii="仿宋" w:hAnsi="仿宋" w:eastAsia="仿宋" w:cs="仿宋"/>
                <w:sz w:val="24"/>
                <w:lang w:bidi="ar"/>
              </w:rPr>
              <w:fldChar w:fldCharType="begin"/>
            </w:r>
            <w:r>
              <w:rPr>
                <w:rFonts w:hint="eastAsia" w:ascii="仿宋" w:hAnsi="仿宋" w:eastAsia="仿宋" w:cs="仿宋"/>
                <w:sz w:val="24"/>
                <w:lang w:bidi="ar"/>
              </w:rPr>
              <w:instrText xml:space="preserve"> = 2 \* GB3 </w:instrText>
            </w:r>
            <w:r>
              <w:rPr>
                <w:rFonts w:hint="eastAsia" w:ascii="仿宋" w:hAnsi="仿宋" w:eastAsia="仿宋" w:cs="仿宋"/>
                <w:sz w:val="24"/>
                <w:lang w:bidi="ar"/>
              </w:rPr>
              <w:fldChar w:fldCharType="separate"/>
            </w:r>
            <w:r>
              <w:rPr>
                <w:rFonts w:hint="eastAsia" w:ascii="仿宋" w:hAnsi="仿宋" w:eastAsia="仿宋" w:cs="仿宋"/>
                <w:sz w:val="24"/>
                <w:lang w:bidi="ar"/>
              </w:rPr>
              <w:t>②</w:t>
            </w:r>
            <w:r>
              <w:rPr>
                <w:rFonts w:hint="eastAsia" w:ascii="仿宋" w:hAnsi="仿宋" w:eastAsia="仿宋" w:cs="仿宋"/>
                <w:sz w:val="24"/>
                <w:lang w:bidi="ar"/>
              </w:rPr>
              <w:fldChar w:fldCharType="end"/>
            </w:r>
            <w:r>
              <w:rPr>
                <w:rFonts w:hint="eastAsia" w:ascii="仿宋" w:hAnsi="仿宋" w:eastAsia="仿宋" w:cs="仿宋"/>
                <w:sz w:val="24"/>
                <w:lang w:bidi="ar"/>
              </w:rPr>
              <w:t>项目负责人具有类似智能交通软硬件运维项目经验【提供业绩合同或业主证明材料（须体现人员姓名）】的，得5分；</w:t>
            </w:r>
            <w:r>
              <w:rPr>
                <w:rFonts w:hint="eastAsia" w:ascii="仿宋" w:hAnsi="仿宋" w:eastAsia="仿宋" w:cs="仿宋"/>
                <w:b/>
                <w:bCs/>
                <w:sz w:val="24"/>
              </w:rPr>
              <w:t>本项最高得8分。</w:t>
            </w:r>
            <w:r>
              <w:rPr>
                <w:rFonts w:hint="eastAsia" w:ascii="仿宋" w:hAnsi="仿宋" w:eastAsia="仿宋" w:cs="仿宋"/>
                <w:sz w:val="24"/>
                <w:lang w:val="zh-CN"/>
              </w:rPr>
              <w:t>（提供社保缴纳证明复印件，不提供不得分）</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lang w:bidi="ar"/>
              </w:rPr>
              <w:t>8</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客观分</w:t>
            </w:r>
          </w:p>
        </w:tc>
        <w:tc>
          <w:tcPr>
            <w:tcW w:w="1549"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lang w:bidi="ar"/>
              </w:rPr>
              <w:t>四、项目组人员情况及承诺情况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6</w:t>
            </w:r>
          </w:p>
        </w:tc>
        <w:tc>
          <w:tcPr>
            <w:tcW w:w="628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cs="仿宋"/>
                <w:b/>
                <w:snapToGrid w:val="0"/>
                <w:sz w:val="24"/>
                <w:lang w:bidi="ar"/>
              </w:rPr>
            </w:pPr>
            <w:r>
              <w:rPr>
                <w:rFonts w:hint="eastAsia" w:ascii="仿宋" w:hAnsi="仿宋" w:eastAsia="仿宋" w:cs="仿宋"/>
                <w:sz w:val="24"/>
                <w:lang w:val="zh-CN"/>
              </w:rPr>
              <w:t>本项目拟派</w:t>
            </w:r>
            <w:r>
              <w:rPr>
                <w:rFonts w:hint="eastAsia" w:ascii="仿宋" w:hAnsi="仿宋" w:eastAsia="仿宋" w:cs="仿宋"/>
                <w:b/>
                <w:snapToGrid w:val="0"/>
                <w:sz w:val="24"/>
                <w:lang w:bidi="ar"/>
              </w:rPr>
              <w:t>驻点人员（除项目负责人）情况：</w:t>
            </w:r>
          </w:p>
          <w:p>
            <w:pPr>
              <w:spacing w:line="276" w:lineRule="auto"/>
              <w:ind w:firstLine="249" w:firstLineChars="104"/>
              <w:rPr>
                <w:rFonts w:ascii="仿宋" w:hAnsi="仿宋" w:eastAsia="仿宋" w:cs="仿宋"/>
                <w:sz w:val="24"/>
                <w:lang w:bidi="ar"/>
              </w:rPr>
            </w:pPr>
            <w:r>
              <w:rPr>
                <w:rFonts w:hint="eastAsia" w:ascii="仿宋" w:hAnsi="仿宋" w:eastAsia="仿宋" w:cs="仿宋"/>
                <w:sz w:val="24"/>
                <w:lang w:bidi="ar"/>
              </w:rPr>
              <w:fldChar w:fldCharType="begin"/>
            </w:r>
            <w:r>
              <w:rPr>
                <w:rFonts w:hint="eastAsia" w:ascii="仿宋" w:hAnsi="仿宋" w:eastAsia="仿宋" w:cs="仿宋"/>
                <w:sz w:val="24"/>
                <w:lang w:bidi="ar"/>
              </w:rPr>
              <w:instrText xml:space="preserve"> = 1 \* GB3 </w:instrText>
            </w:r>
            <w:r>
              <w:rPr>
                <w:rFonts w:hint="eastAsia" w:ascii="仿宋" w:hAnsi="仿宋" w:eastAsia="仿宋" w:cs="仿宋"/>
                <w:sz w:val="24"/>
                <w:lang w:bidi="ar"/>
              </w:rPr>
              <w:fldChar w:fldCharType="separate"/>
            </w:r>
            <w:r>
              <w:rPr>
                <w:rFonts w:hint="eastAsia" w:ascii="仿宋" w:hAnsi="仿宋" w:eastAsia="仿宋" w:cs="仿宋"/>
                <w:sz w:val="24"/>
                <w:lang w:bidi="ar"/>
              </w:rPr>
              <w:t>①</w:t>
            </w:r>
            <w:r>
              <w:rPr>
                <w:rFonts w:hint="eastAsia" w:ascii="仿宋" w:hAnsi="仿宋" w:eastAsia="仿宋" w:cs="仿宋"/>
                <w:sz w:val="24"/>
                <w:lang w:bidi="ar"/>
              </w:rPr>
              <w:fldChar w:fldCharType="end"/>
            </w:r>
            <w:r>
              <w:rPr>
                <w:rFonts w:hint="eastAsia" w:ascii="仿宋" w:hAnsi="仿宋" w:eastAsia="仿宋" w:cs="仿宋"/>
                <w:sz w:val="24"/>
                <w:lang w:bidi="ar"/>
              </w:rPr>
              <w:t>配备16名驻点人员，且年龄均在50周岁（含）以下,得4分；</w:t>
            </w:r>
          </w:p>
          <w:p>
            <w:pPr>
              <w:spacing w:line="276" w:lineRule="auto"/>
              <w:ind w:firstLine="249" w:firstLineChars="104"/>
              <w:rPr>
                <w:rFonts w:ascii="仿宋" w:hAnsi="仿宋" w:eastAsia="仿宋" w:cs="仿宋"/>
                <w:sz w:val="24"/>
              </w:rPr>
            </w:pPr>
            <w:r>
              <w:rPr>
                <w:rFonts w:hint="eastAsia" w:ascii="仿宋" w:hAnsi="仿宋" w:eastAsia="仿宋" w:cs="仿宋"/>
                <w:sz w:val="24"/>
                <w:lang w:bidi="ar"/>
              </w:rPr>
              <w:fldChar w:fldCharType="begin"/>
            </w:r>
            <w:r>
              <w:rPr>
                <w:rFonts w:hint="eastAsia" w:ascii="仿宋" w:hAnsi="仿宋" w:eastAsia="仿宋" w:cs="仿宋"/>
                <w:sz w:val="24"/>
                <w:lang w:bidi="ar"/>
              </w:rPr>
              <w:instrText xml:space="preserve"> = 2 \* GB3 </w:instrText>
            </w:r>
            <w:r>
              <w:rPr>
                <w:rFonts w:hint="eastAsia" w:ascii="仿宋" w:hAnsi="仿宋" w:eastAsia="仿宋" w:cs="仿宋"/>
                <w:sz w:val="24"/>
                <w:lang w:bidi="ar"/>
              </w:rPr>
              <w:fldChar w:fldCharType="separate"/>
            </w:r>
            <w:r>
              <w:rPr>
                <w:rFonts w:hint="eastAsia" w:ascii="仿宋" w:hAnsi="仿宋" w:eastAsia="仿宋" w:cs="仿宋"/>
                <w:sz w:val="24"/>
                <w:lang w:bidi="ar"/>
              </w:rPr>
              <w:t>②</w:t>
            </w:r>
            <w:r>
              <w:rPr>
                <w:rFonts w:hint="eastAsia" w:ascii="仿宋" w:hAnsi="仿宋" w:eastAsia="仿宋" w:cs="仿宋"/>
                <w:sz w:val="24"/>
                <w:lang w:bidi="ar"/>
              </w:rPr>
              <w:fldChar w:fldCharType="end"/>
            </w:r>
            <w:r>
              <w:rPr>
                <w:rFonts w:hint="eastAsia" w:ascii="仿宋" w:hAnsi="仿宋" w:eastAsia="仿宋" w:cs="仿宋"/>
                <w:sz w:val="24"/>
                <w:lang w:bidi="ar"/>
              </w:rPr>
              <w:t>每有1人</w:t>
            </w:r>
            <w:r>
              <w:rPr>
                <w:rFonts w:hint="eastAsia" w:ascii="仿宋" w:hAnsi="仿宋" w:eastAsia="仿宋" w:cs="仿宋"/>
                <w:kern w:val="0"/>
                <w:sz w:val="24"/>
                <w:lang w:bidi="zh-CN"/>
              </w:rPr>
              <w:t>具有</w:t>
            </w:r>
            <w:r>
              <w:rPr>
                <w:rFonts w:hint="eastAsia" w:ascii="仿宋" w:hAnsi="仿宋" w:eastAsia="仿宋" w:cs="仿宋"/>
                <w:sz w:val="24"/>
                <w:lang w:bidi="ar"/>
              </w:rPr>
              <w:t>类似智能交通软硬件运维项目</w:t>
            </w:r>
            <w:r>
              <w:rPr>
                <w:rFonts w:hint="eastAsia" w:ascii="仿宋" w:hAnsi="仿宋" w:eastAsia="仿宋" w:cs="仿宋"/>
                <w:kern w:val="0"/>
                <w:sz w:val="24"/>
                <w:lang w:bidi="zh-CN"/>
              </w:rPr>
              <w:t>经验</w:t>
            </w:r>
            <w:r>
              <w:rPr>
                <w:rFonts w:hint="eastAsia" w:ascii="仿宋" w:hAnsi="仿宋" w:eastAsia="仿宋" w:cs="仿宋"/>
                <w:sz w:val="24"/>
                <w:lang w:bidi="ar"/>
              </w:rPr>
              <w:t>【提供业绩合同或业主证明材料（须体现人员姓名）】</w:t>
            </w:r>
            <w:r>
              <w:rPr>
                <w:rFonts w:hint="eastAsia" w:ascii="仿宋" w:hAnsi="仿宋" w:eastAsia="仿宋" w:cs="仿宋"/>
                <w:kern w:val="0"/>
                <w:sz w:val="24"/>
                <w:lang w:bidi="zh-CN"/>
              </w:rPr>
              <w:t>的</w:t>
            </w:r>
            <w:r>
              <w:rPr>
                <w:rFonts w:hint="eastAsia" w:ascii="仿宋" w:hAnsi="仿宋" w:eastAsia="仿宋" w:cs="仿宋"/>
                <w:bCs/>
                <w:sz w:val="24"/>
              </w:rPr>
              <w:t>，</w:t>
            </w:r>
            <w:r>
              <w:rPr>
                <w:rFonts w:hint="eastAsia" w:ascii="仿宋" w:hAnsi="仿宋" w:eastAsia="仿宋" w:cs="仿宋"/>
                <w:sz w:val="24"/>
                <w:lang w:bidi="ar"/>
              </w:rPr>
              <w:t>得1分，</w:t>
            </w:r>
            <w:r>
              <w:rPr>
                <w:rFonts w:hint="eastAsia" w:ascii="仿宋" w:hAnsi="仿宋" w:eastAsia="仿宋" w:cs="仿宋"/>
                <w:bCs/>
                <w:sz w:val="24"/>
              </w:rPr>
              <w:t>最高得16分；</w:t>
            </w:r>
            <w:r>
              <w:rPr>
                <w:rFonts w:hint="eastAsia" w:ascii="仿宋" w:hAnsi="仿宋" w:eastAsia="仿宋" w:cs="仿宋"/>
                <w:b/>
                <w:bCs/>
                <w:sz w:val="24"/>
              </w:rPr>
              <w:t>本项最高得20分。</w:t>
            </w:r>
            <w:r>
              <w:rPr>
                <w:rFonts w:hint="eastAsia" w:ascii="仿宋" w:hAnsi="仿宋" w:eastAsia="仿宋" w:cs="仿宋"/>
                <w:sz w:val="24"/>
                <w:lang w:val="zh-CN"/>
              </w:rPr>
              <w:t>（提供社保缴纳证明，不提供不得分）</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lang w:bidi="ar"/>
              </w:rPr>
              <w:t>20</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客观分</w:t>
            </w:r>
          </w:p>
        </w:tc>
        <w:tc>
          <w:tcPr>
            <w:tcW w:w="1549" w:type="dxa"/>
            <w:vMerge w:val="continue"/>
            <w:tcBorders>
              <w:left w:val="single" w:color="auto" w:sz="4" w:space="0"/>
              <w:right w:val="single" w:color="auto" w:sz="4" w:space="0"/>
            </w:tcBorders>
            <w:vAlign w:val="center"/>
          </w:tcPr>
          <w:p>
            <w:pPr>
              <w:spacing w:line="276" w:lineRule="auto"/>
              <w:jc w:val="center"/>
              <w:rPr>
                <w:rFonts w:ascii="仿宋" w:hAnsi="仿宋" w:eastAsia="仿宋" w:cs="仿宋"/>
                <w:b/>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7</w:t>
            </w:r>
          </w:p>
        </w:tc>
        <w:tc>
          <w:tcPr>
            <w:tcW w:w="6285" w:type="dxa"/>
            <w:tcBorders>
              <w:top w:val="single" w:color="auto" w:sz="4" w:space="0"/>
              <w:left w:val="single" w:color="auto" w:sz="4" w:space="0"/>
              <w:bottom w:val="single" w:color="auto" w:sz="4" w:space="0"/>
              <w:right w:val="single" w:color="auto" w:sz="4" w:space="0"/>
            </w:tcBorders>
            <w:vAlign w:val="center"/>
          </w:tcPr>
          <w:p>
            <w:pPr>
              <w:ind w:right="119" w:firstLine="235" w:firstLineChars="98"/>
              <w:rPr>
                <w:rFonts w:ascii="仿宋" w:hAnsi="仿宋" w:eastAsia="仿宋" w:cs="仿宋"/>
                <w:sz w:val="24"/>
                <w:lang w:val="zh-CN"/>
              </w:rPr>
            </w:pPr>
            <w:r>
              <w:rPr>
                <w:rFonts w:hint="eastAsia" w:ascii="仿宋" w:hAnsi="仿宋" w:eastAsia="仿宋" w:cs="仿宋"/>
                <w:sz w:val="24"/>
              </w:rPr>
              <w:t>投标人承诺，服务人员如发生变化（如人员更换、人员离职），须提前15天报采购人书面审批同意后方可变更，服务期内保证人员到位确保在岗人数及资质不低于投标时人员资质，否则按违约进行处理。投标人提供承诺并满足采购需求的得2分，不满足的不得分。</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lang w:bidi="ar"/>
              </w:rPr>
            </w:pPr>
            <w:r>
              <w:rPr>
                <w:rFonts w:hint="eastAsia" w:ascii="仿宋" w:hAnsi="仿宋" w:eastAsia="仿宋" w:cs="仿宋"/>
                <w:b/>
                <w:bCs/>
                <w:sz w:val="24"/>
                <w:lang w:bidi="ar"/>
              </w:rPr>
              <w:t>2</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客观分</w:t>
            </w:r>
          </w:p>
        </w:tc>
        <w:tc>
          <w:tcPr>
            <w:tcW w:w="1549" w:type="dxa"/>
            <w:vMerge w:val="continue"/>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8</w:t>
            </w:r>
          </w:p>
        </w:tc>
        <w:tc>
          <w:tcPr>
            <w:tcW w:w="6285" w:type="dxa"/>
            <w:tcBorders>
              <w:top w:val="single" w:color="auto" w:sz="4" w:space="0"/>
              <w:left w:val="single" w:color="auto" w:sz="4" w:space="0"/>
              <w:bottom w:val="single" w:color="auto" w:sz="4" w:space="0"/>
              <w:right w:val="single" w:color="auto" w:sz="4" w:space="0"/>
            </w:tcBorders>
            <w:vAlign w:val="center"/>
          </w:tcPr>
          <w:p>
            <w:pPr>
              <w:ind w:right="119" w:firstLine="235" w:firstLineChars="98"/>
              <w:rPr>
                <w:rFonts w:ascii="仿宋" w:hAnsi="仿宋" w:eastAsia="仿宋" w:cs="仿宋"/>
                <w:sz w:val="24"/>
              </w:rPr>
            </w:pPr>
            <w:r>
              <w:rPr>
                <w:rFonts w:hint="eastAsia" w:ascii="仿宋" w:hAnsi="仿宋" w:eastAsia="仿宋" w:cs="仿宋"/>
                <w:sz w:val="24"/>
              </w:rPr>
              <w:t>投标人针对本项目的运维耗材情况，投标人承诺运维耗材采用包干方式，在服务期内投标人需提供设备运维所需的所有耗材</w:t>
            </w:r>
            <w:r>
              <w:rPr>
                <w:rFonts w:hint="eastAsia" w:ascii="仿宋" w:hAnsi="仿宋" w:eastAsia="仿宋" w:cs="仿宋"/>
                <w:bCs/>
                <w:sz w:val="24"/>
              </w:rPr>
              <w:t>（所用耗材产品均为未使用过的全新产品）</w:t>
            </w:r>
            <w:r>
              <w:rPr>
                <w:rFonts w:hint="eastAsia" w:ascii="仿宋" w:hAnsi="仿宋" w:eastAsia="仿宋" w:cs="仿宋"/>
                <w:sz w:val="24"/>
              </w:rPr>
              <w:t>，投标人提供承诺并满足采购需求的得5分，不满足不得分。</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lang w:bidi="ar"/>
              </w:rPr>
            </w:pPr>
            <w:r>
              <w:rPr>
                <w:rFonts w:hint="eastAsia" w:ascii="仿宋" w:hAnsi="仿宋" w:eastAsia="仿宋" w:cs="仿宋"/>
                <w:b/>
                <w:bCs/>
                <w:sz w:val="24"/>
                <w:lang w:bidi="ar"/>
              </w:rPr>
              <w:t>5</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客观分</w:t>
            </w:r>
          </w:p>
        </w:tc>
        <w:tc>
          <w:tcPr>
            <w:tcW w:w="1549"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lang w:bidi="ar"/>
              </w:rPr>
            </w:pPr>
            <w:r>
              <w:rPr>
                <w:rFonts w:hint="eastAsia" w:ascii="仿宋" w:hAnsi="仿宋" w:eastAsia="仿宋" w:cs="仿宋"/>
                <w:b/>
                <w:bCs/>
                <w:sz w:val="24"/>
                <w:lang w:bidi="ar"/>
              </w:rPr>
              <w:t>五、投入运维耗材情况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9</w:t>
            </w:r>
          </w:p>
        </w:tc>
        <w:tc>
          <w:tcPr>
            <w:tcW w:w="6285" w:type="dxa"/>
            <w:tcBorders>
              <w:top w:val="single" w:color="auto" w:sz="4" w:space="0"/>
              <w:left w:val="single" w:color="auto" w:sz="4" w:space="0"/>
              <w:bottom w:val="single" w:color="auto" w:sz="4" w:space="0"/>
              <w:right w:val="single" w:color="auto" w:sz="4" w:space="0"/>
            </w:tcBorders>
            <w:vAlign w:val="center"/>
          </w:tcPr>
          <w:p>
            <w:pPr>
              <w:spacing w:line="276" w:lineRule="auto"/>
              <w:ind w:firstLine="240" w:firstLineChars="100"/>
              <w:rPr>
                <w:rFonts w:ascii="仿宋" w:hAnsi="仿宋" w:eastAsia="仿宋" w:cs="仿宋"/>
                <w:sz w:val="24"/>
              </w:rPr>
            </w:pPr>
            <w:r>
              <w:rPr>
                <w:rFonts w:hint="eastAsia" w:ascii="仿宋" w:hAnsi="仿宋" w:eastAsia="仿宋" w:cs="仿宋"/>
                <w:sz w:val="24"/>
              </w:rPr>
              <w:t>投标人针对本项目的保密情况，投标人承诺保密按照采购需求实施，对工作人员开展常态化安全保密教育，组织签订保密协议、安全保密承诺书，落实具体安全管理内容、安全保密义务和责任等。投标人提供承诺并满足采购需求的得2分，不满足不得分。</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2</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客观分</w:t>
            </w:r>
          </w:p>
        </w:tc>
        <w:tc>
          <w:tcPr>
            <w:tcW w:w="154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lang w:bidi="ar"/>
              </w:rPr>
              <w:t>六、保密承诺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10</w:t>
            </w:r>
          </w:p>
        </w:tc>
        <w:tc>
          <w:tcPr>
            <w:tcW w:w="6285" w:type="dxa"/>
            <w:tcBorders>
              <w:top w:val="single" w:color="auto" w:sz="4" w:space="0"/>
              <w:left w:val="single" w:color="auto" w:sz="4" w:space="0"/>
              <w:bottom w:val="single" w:color="auto" w:sz="4" w:space="0"/>
              <w:right w:val="single" w:color="auto" w:sz="4" w:space="0"/>
            </w:tcBorders>
            <w:vAlign w:val="center"/>
          </w:tcPr>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napToGrid w:val="0"/>
                <w:sz w:val="24"/>
                <w:lang w:val="zh-CN"/>
              </w:rPr>
              <w:t>投标人针对本项目的</w:t>
            </w:r>
            <w:r>
              <w:rPr>
                <w:rFonts w:hint="eastAsia" w:ascii="仿宋" w:hAnsi="仿宋" w:eastAsia="仿宋" w:cs="仿宋"/>
                <w:b/>
                <w:bCs/>
                <w:sz w:val="24"/>
              </w:rPr>
              <w:t>网络安全责任与义务</w:t>
            </w:r>
            <w:r>
              <w:rPr>
                <w:rFonts w:hint="eastAsia" w:ascii="仿宋" w:hAnsi="仿宋" w:eastAsia="仿宋" w:cs="仿宋"/>
                <w:snapToGrid w:val="0"/>
                <w:sz w:val="24"/>
                <w:lang w:val="zh-CN"/>
              </w:rPr>
              <w:t>承诺：</w:t>
            </w:r>
          </w:p>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napToGrid w:val="0"/>
                <w:sz w:val="24"/>
                <w:lang w:val="zh-CN"/>
              </w:rPr>
              <w:t>①明确投标人法定代表人为合作事项网络安全第一责任人，具体承担合作事项的部门主要负责人为直接责任人；</w:t>
            </w:r>
          </w:p>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napToGrid w:val="0"/>
                <w:sz w:val="24"/>
                <w:lang w:val="zh-CN"/>
              </w:rPr>
              <w:t>②</w:t>
            </w:r>
            <w:r>
              <w:rPr>
                <w:rFonts w:hint="eastAsia" w:ascii="仿宋" w:hAnsi="仿宋" w:eastAsia="仿宋" w:cs="仿宋"/>
                <w:sz w:val="24"/>
              </w:rPr>
              <w:t>不得转包合同任务；除非主体、非关键性的“运维耗材”工作外，不得分包合同任务。</w:t>
            </w:r>
            <w:r>
              <w:rPr>
                <w:rFonts w:hint="eastAsia" w:ascii="仿宋" w:hAnsi="仿宋" w:eastAsia="仿宋" w:cs="仿宋"/>
                <w:snapToGrid w:val="0"/>
                <w:sz w:val="24"/>
                <w:lang w:val="zh-CN"/>
              </w:rPr>
              <w:t>；</w:t>
            </w:r>
          </w:p>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napToGrid w:val="0"/>
                <w:sz w:val="24"/>
                <w:lang w:val="zh-CN"/>
              </w:rPr>
              <w:t>③投标人制订与合作事项相关的网络安全保障方案和网络安全事件应急预案；</w:t>
            </w:r>
          </w:p>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z w:val="24"/>
              </w:rPr>
              <w:fldChar w:fldCharType="begin"/>
            </w:r>
            <w:r>
              <w:rPr>
                <w:rFonts w:hint="eastAsia" w:ascii="仿宋" w:hAnsi="仿宋" w:eastAsia="仿宋" w:cs="仿宋"/>
                <w:snapToGrid w:val="0"/>
                <w:sz w:val="24"/>
                <w:lang w:val="zh-CN"/>
              </w:rPr>
              <w:instrText xml:space="preserve"> = 4 \* GB3 </w:instrText>
            </w:r>
            <w:r>
              <w:rPr>
                <w:rFonts w:hint="eastAsia" w:ascii="仿宋" w:hAnsi="仿宋" w:eastAsia="仿宋" w:cs="仿宋"/>
                <w:sz w:val="24"/>
              </w:rPr>
              <w:fldChar w:fldCharType="separate"/>
            </w:r>
            <w:r>
              <w:rPr>
                <w:rFonts w:hint="eastAsia" w:ascii="仿宋" w:hAnsi="仿宋" w:eastAsia="仿宋" w:cs="仿宋"/>
                <w:snapToGrid w:val="0"/>
                <w:sz w:val="24"/>
                <w:lang w:val="zh-CN"/>
              </w:rPr>
              <w:t>④</w:t>
            </w:r>
            <w:r>
              <w:rPr>
                <w:rFonts w:hint="eastAsia" w:ascii="仿宋" w:hAnsi="仿宋" w:eastAsia="仿宋" w:cs="仿宋"/>
                <w:sz w:val="24"/>
              </w:rPr>
              <w:fldChar w:fldCharType="end"/>
            </w:r>
            <w:r>
              <w:rPr>
                <w:rFonts w:hint="eastAsia" w:ascii="仿宋" w:hAnsi="仿宋" w:eastAsia="仿宋" w:cs="仿宋"/>
                <w:snapToGrid w:val="0"/>
                <w:sz w:val="24"/>
                <w:lang w:val="zh-CN"/>
              </w:rPr>
              <w:t>投标人发现网络安全漏洞、缺陷或者其他严重网络安全风险，及时向采购人报告；</w:t>
            </w:r>
          </w:p>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z w:val="24"/>
              </w:rPr>
              <w:fldChar w:fldCharType="begin"/>
            </w:r>
            <w:r>
              <w:rPr>
                <w:rFonts w:hint="eastAsia" w:ascii="仿宋" w:hAnsi="仿宋" w:eastAsia="仿宋" w:cs="仿宋"/>
                <w:snapToGrid w:val="0"/>
                <w:sz w:val="24"/>
                <w:lang w:val="zh-CN"/>
              </w:rPr>
              <w:instrText xml:space="preserve"> = 5 \* GB3 </w:instrText>
            </w:r>
            <w:r>
              <w:rPr>
                <w:rFonts w:hint="eastAsia" w:ascii="仿宋" w:hAnsi="仿宋" w:eastAsia="仿宋" w:cs="仿宋"/>
                <w:sz w:val="24"/>
              </w:rPr>
              <w:fldChar w:fldCharType="separate"/>
            </w:r>
            <w:r>
              <w:rPr>
                <w:rFonts w:hint="eastAsia" w:ascii="仿宋" w:hAnsi="仿宋" w:eastAsia="仿宋" w:cs="仿宋"/>
                <w:snapToGrid w:val="0"/>
                <w:sz w:val="24"/>
                <w:lang w:val="zh-CN"/>
              </w:rPr>
              <w:t>⑤</w:t>
            </w:r>
            <w:r>
              <w:rPr>
                <w:rFonts w:hint="eastAsia" w:ascii="仿宋" w:hAnsi="仿宋" w:eastAsia="仿宋" w:cs="仿宋"/>
                <w:sz w:val="24"/>
              </w:rPr>
              <w:fldChar w:fldCharType="end"/>
            </w:r>
            <w:r>
              <w:rPr>
                <w:rFonts w:hint="eastAsia" w:ascii="仿宋" w:hAnsi="仿宋" w:eastAsia="仿宋" w:cs="仿宋"/>
                <w:snapToGrid w:val="0"/>
                <w:sz w:val="24"/>
                <w:lang w:val="zh-CN"/>
              </w:rPr>
              <w:t>处理合作事项的信息平台优先采用安全可信的硬件和软件产品；</w:t>
            </w:r>
          </w:p>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napToGrid w:val="0"/>
                <w:sz w:val="24"/>
                <w:lang w:val="zh-CN"/>
              </w:rPr>
              <w:t>⑥发生可能影响合作事项的网络安全重大事项，包括负责人及重要工作人员变更、业务转型、合并重组和投资并购等，投标人提前向采购人报告；</w:t>
            </w:r>
          </w:p>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z w:val="24"/>
              </w:rPr>
              <w:fldChar w:fldCharType="begin"/>
            </w:r>
            <w:r>
              <w:rPr>
                <w:rFonts w:hint="eastAsia" w:ascii="仿宋" w:hAnsi="仿宋" w:eastAsia="仿宋" w:cs="仿宋"/>
                <w:snapToGrid w:val="0"/>
                <w:sz w:val="24"/>
                <w:lang w:val="zh-CN"/>
              </w:rPr>
              <w:instrText xml:space="preserve"> = 7 \* GB3 </w:instrText>
            </w:r>
            <w:r>
              <w:rPr>
                <w:rFonts w:hint="eastAsia" w:ascii="仿宋" w:hAnsi="仿宋" w:eastAsia="仿宋" w:cs="仿宋"/>
                <w:sz w:val="24"/>
              </w:rPr>
              <w:fldChar w:fldCharType="separate"/>
            </w:r>
            <w:r>
              <w:rPr>
                <w:rFonts w:hint="eastAsia" w:ascii="仿宋" w:hAnsi="仿宋" w:eastAsia="仿宋" w:cs="仿宋"/>
                <w:snapToGrid w:val="0"/>
                <w:sz w:val="24"/>
                <w:lang w:val="zh-CN"/>
              </w:rPr>
              <w:t>⑦</w:t>
            </w:r>
            <w:r>
              <w:rPr>
                <w:rFonts w:hint="eastAsia" w:ascii="仿宋" w:hAnsi="仿宋" w:eastAsia="仿宋" w:cs="仿宋"/>
                <w:sz w:val="24"/>
              </w:rPr>
              <w:fldChar w:fldCharType="end"/>
            </w:r>
            <w:r>
              <w:rPr>
                <w:rFonts w:hint="eastAsia" w:ascii="仿宋" w:hAnsi="仿宋" w:eastAsia="仿宋" w:cs="仿宋"/>
                <w:snapToGrid w:val="0"/>
                <w:sz w:val="24"/>
                <w:lang w:val="zh-CN"/>
              </w:rPr>
              <w:t>采用社会公共网络平台实施合作事项时，严禁涉及国家秘密和警务工作秘密；</w:t>
            </w:r>
          </w:p>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z w:val="24"/>
              </w:rPr>
              <w:fldChar w:fldCharType="begin"/>
            </w:r>
            <w:r>
              <w:rPr>
                <w:rFonts w:hint="eastAsia" w:ascii="仿宋" w:hAnsi="仿宋" w:eastAsia="仿宋" w:cs="仿宋"/>
                <w:snapToGrid w:val="0"/>
                <w:sz w:val="24"/>
                <w:lang w:val="zh-CN"/>
              </w:rPr>
              <w:instrText xml:space="preserve"> = 8 \* GB3 </w:instrText>
            </w:r>
            <w:r>
              <w:rPr>
                <w:rFonts w:hint="eastAsia" w:ascii="仿宋" w:hAnsi="仿宋" w:eastAsia="仿宋" w:cs="仿宋"/>
                <w:sz w:val="24"/>
              </w:rPr>
              <w:fldChar w:fldCharType="separate"/>
            </w:r>
            <w:r>
              <w:rPr>
                <w:rFonts w:hint="eastAsia" w:ascii="仿宋" w:hAnsi="仿宋" w:eastAsia="仿宋" w:cs="仿宋"/>
                <w:snapToGrid w:val="0"/>
                <w:sz w:val="24"/>
                <w:lang w:val="zh-CN"/>
              </w:rPr>
              <w:t>⑧</w:t>
            </w:r>
            <w:r>
              <w:rPr>
                <w:rFonts w:hint="eastAsia" w:ascii="仿宋" w:hAnsi="仿宋" w:eastAsia="仿宋" w:cs="仿宋"/>
                <w:sz w:val="24"/>
              </w:rPr>
              <w:fldChar w:fldCharType="end"/>
            </w:r>
            <w:r>
              <w:rPr>
                <w:rFonts w:hint="eastAsia" w:ascii="仿宋" w:hAnsi="仿宋" w:eastAsia="仿宋" w:cs="仿宋"/>
                <w:snapToGrid w:val="0"/>
                <w:sz w:val="24"/>
                <w:lang w:val="zh-CN"/>
              </w:rPr>
              <w:t>投标人于</w:t>
            </w:r>
            <w:r>
              <w:rPr>
                <w:rFonts w:hint="eastAsia" w:ascii="仿宋" w:hAnsi="仿宋" w:eastAsia="仿宋" w:cs="仿宋"/>
                <w:sz w:val="24"/>
              </w:rPr>
              <w:t>2025年6月4日</w:t>
            </w:r>
            <w:r>
              <w:rPr>
                <w:rFonts w:hint="eastAsia" w:ascii="仿宋" w:hAnsi="仿宋" w:eastAsia="仿宋" w:cs="仿宋"/>
                <w:snapToGrid w:val="0"/>
                <w:sz w:val="24"/>
                <w:lang w:val="zh-CN"/>
              </w:rPr>
              <w:t>之前向采购人提交网络安全报告；</w:t>
            </w:r>
          </w:p>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 9 \* GB3 </w:instrText>
            </w:r>
            <w:r>
              <w:rPr>
                <w:rFonts w:hint="eastAsia" w:ascii="仿宋" w:hAnsi="仿宋" w:eastAsia="仿宋" w:cs="仿宋"/>
                <w:sz w:val="24"/>
              </w:rPr>
              <w:fldChar w:fldCharType="separate"/>
            </w:r>
            <w:r>
              <w:rPr>
                <w:rFonts w:hint="eastAsia" w:ascii="仿宋" w:hAnsi="仿宋" w:eastAsia="仿宋" w:cs="仿宋"/>
                <w:sz w:val="24"/>
              </w:rPr>
              <w:t>⑨</w:t>
            </w:r>
            <w:r>
              <w:rPr>
                <w:rFonts w:hint="eastAsia" w:ascii="仿宋" w:hAnsi="仿宋" w:eastAsia="仿宋" w:cs="仿宋"/>
                <w:sz w:val="24"/>
              </w:rPr>
              <w:fldChar w:fldCharType="end"/>
            </w:r>
            <w:r>
              <w:rPr>
                <w:rFonts w:hint="eastAsia" w:ascii="仿宋" w:hAnsi="仿宋" w:eastAsia="仿宋" w:cs="仿宋"/>
                <w:sz w:val="24"/>
              </w:rPr>
              <w:t>涉及采购人机房视频专网的维护工作，配置专用网络安全工具进行实时扫描检测</w:t>
            </w:r>
            <w:r>
              <w:rPr>
                <w:rFonts w:hint="eastAsia" w:ascii="仿宋" w:hAnsi="仿宋" w:eastAsia="仿宋" w:cs="仿宋"/>
                <w:snapToGrid w:val="0"/>
                <w:sz w:val="24"/>
                <w:lang w:val="zh-CN"/>
              </w:rPr>
              <w:t>。</w:t>
            </w:r>
          </w:p>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 10 \* GB3 </w:instrText>
            </w:r>
            <w:r>
              <w:rPr>
                <w:rFonts w:hint="eastAsia" w:ascii="仿宋" w:hAnsi="仿宋" w:eastAsia="仿宋" w:cs="仿宋"/>
                <w:sz w:val="24"/>
              </w:rPr>
              <w:fldChar w:fldCharType="separate"/>
            </w:r>
            <w:r>
              <w:rPr>
                <w:rFonts w:hint="eastAsia" w:ascii="仿宋" w:hAnsi="仿宋" w:eastAsia="仿宋" w:cs="仿宋"/>
                <w:sz w:val="24"/>
              </w:rPr>
              <w:t>⑩</w:t>
            </w:r>
            <w:r>
              <w:rPr>
                <w:rFonts w:hint="eastAsia" w:ascii="仿宋" w:hAnsi="仿宋" w:eastAsia="仿宋" w:cs="仿宋"/>
                <w:sz w:val="24"/>
              </w:rPr>
              <w:fldChar w:fldCharType="end"/>
            </w:r>
            <w:r>
              <w:rPr>
                <w:rFonts w:hint="eastAsia" w:ascii="仿宋" w:hAnsi="仿宋" w:eastAsia="仿宋" w:cs="仿宋"/>
                <w:sz w:val="24"/>
              </w:rPr>
              <w:t>其他应当落实的网络安全责任和义务。</w:t>
            </w:r>
          </w:p>
          <w:p>
            <w:pPr>
              <w:spacing w:line="276" w:lineRule="auto"/>
              <w:ind w:right="119" w:firstLine="84" w:firstLineChars="35"/>
              <w:rPr>
                <w:rFonts w:ascii="仿宋" w:hAnsi="仿宋" w:eastAsia="仿宋" w:cs="仿宋"/>
                <w:snapToGrid w:val="0"/>
                <w:sz w:val="24"/>
                <w:lang w:val="zh-CN"/>
              </w:rPr>
            </w:pPr>
            <w:r>
              <w:rPr>
                <w:rFonts w:hint="eastAsia" w:ascii="仿宋" w:hAnsi="仿宋" w:eastAsia="仿宋" w:cs="仿宋"/>
                <w:snapToGrid w:val="0"/>
                <w:sz w:val="24"/>
                <w:lang w:val="zh-CN"/>
              </w:rPr>
              <w:t>投标人提供承诺并全部满足</w:t>
            </w:r>
            <w:r>
              <w:rPr>
                <w:rFonts w:hint="eastAsia" w:ascii="仿宋" w:hAnsi="仿宋" w:eastAsia="仿宋" w:cs="仿宋"/>
                <w:snapToGrid w:val="0"/>
                <w:sz w:val="24"/>
              </w:rPr>
              <w:t>采购需求</w:t>
            </w:r>
            <w:r>
              <w:rPr>
                <w:rFonts w:hint="eastAsia" w:ascii="仿宋" w:hAnsi="仿宋" w:eastAsia="仿宋" w:cs="仿宋"/>
                <w:snapToGrid w:val="0"/>
                <w:sz w:val="24"/>
                <w:lang w:val="zh-CN"/>
              </w:rPr>
              <w:t>的得2分，不满足不得分</w:t>
            </w:r>
            <w:r>
              <w:rPr>
                <w:rFonts w:hint="eastAsia" w:ascii="仿宋" w:hAnsi="仿宋" w:eastAsia="仿宋" w:cs="仿宋"/>
                <w:b/>
                <w:bCs/>
                <w:snapToGrid w:val="0"/>
                <w:sz w:val="24"/>
                <w:lang w:val="zh-CN"/>
              </w:rPr>
              <w:t>。</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2</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客观分</w:t>
            </w:r>
          </w:p>
        </w:tc>
        <w:tc>
          <w:tcPr>
            <w:tcW w:w="154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七、网络安全责任与义务承诺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二</w:t>
            </w:r>
          </w:p>
        </w:tc>
        <w:tc>
          <w:tcPr>
            <w:tcW w:w="6285" w:type="dxa"/>
            <w:tcBorders>
              <w:top w:val="single" w:color="auto" w:sz="4" w:space="0"/>
              <w:left w:val="single" w:color="auto" w:sz="4" w:space="0"/>
              <w:bottom w:val="single" w:color="auto" w:sz="4" w:space="0"/>
              <w:right w:val="single" w:color="auto" w:sz="4" w:space="0"/>
            </w:tcBorders>
            <w:vAlign w:val="center"/>
          </w:tcPr>
          <w:p>
            <w:pPr>
              <w:spacing w:line="276" w:lineRule="auto"/>
              <w:ind w:firstLine="240" w:firstLineChars="100"/>
              <w:rPr>
                <w:rFonts w:ascii="仿宋" w:hAnsi="仿宋" w:eastAsia="仿宋" w:cs="仿宋"/>
                <w:sz w:val="24"/>
              </w:rPr>
            </w:pPr>
            <w:r>
              <w:rPr>
                <w:rFonts w:hint="eastAsia" w:ascii="仿宋" w:hAnsi="仿宋" w:eastAsia="仿宋" w:cs="仿宋"/>
                <w:sz w:val="24"/>
                <w:lang w:bidi="ar"/>
              </w:rPr>
              <w:t>投标人类似项目建设的成功经验：</w:t>
            </w:r>
            <w:r>
              <w:rPr>
                <w:rFonts w:hint="eastAsia" w:ascii="仿宋" w:hAnsi="仿宋" w:eastAsia="仿宋" w:cs="仿宋"/>
                <w:bCs/>
                <w:sz w:val="24"/>
              </w:rPr>
              <w:t>自投标截止日前三年（以合同签订日期为准）</w:t>
            </w:r>
            <w:r>
              <w:rPr>
                <w:rFonts w:hint="eastAsia" w:ascii="仿宋" w:hAnsi="仿宋" w:eastAsia="仿宋" w:cs="仿宋"/>
                <w:sz w:val="24"/>
                <w:lang w:bidi="ar"/>
              </w:rPr>
              <w:t>，投标人承担过类似</w:t>
            </w:r>
            <w:r>
              <w:rPr>
                <w:rFonts w:hint="eastAsia" w:ascii="仿宋" w:hAnsi="仿宋" w:eastAsia="仿宋" w:cs="仿宋"/>
                <w:b/>
                <w:sz w:val="24"/>
                <w:lang w:bidi="ar"/>
              </w:rPr>
              <w:t>智能交通软硬件运维</w:t>
            </w:r>
            <w:r>
              <w:rPr>
                <w:rFonts w:hint="eastAsia" w:ascii="仿宋" w:hAnsi="仿宋" w:eastAsia="仿宋" w:cs="仿宋"/>
                <w:sz w:val="24"/>
                <w:lang w:bidi="ar"/>
              </w:rPr>
              <w:t>项</w:t>
            </w:r>
            <w:r>
              <w:rPr>
                <w:rFonts w:hint="eastAsia" w:ascii="仿宋" w:hAnsi="仿宋" w:eastAsia="仿宋" w:cs="仿宋"/>
                <w:kern w:val="0"/>
                <w:sz w:val="24"/>
                <w:lang w:bidi="zh-CN"/>
              </w:rPr>
              <w:t>目</w:t>
            </w:r>
            <w:r>
              <w:rPr>
                <w:rFonts w:hint="eastAsia" w:ascii="仿宋" w:hAnsi="仿宋" w:eastAsia="仿宋" w:cs="仿宋"/>
                <w:sz w:val="24"/>
                <w:lang w:bidi="ar"/>
              </w:rPr>
              <w:t>实施的成功经验情况，每个项目得0.5分，</w:t>
            </w:r>
            <w:r>
              <w:rPr>
                <w:rFonts w:hint="eastAsia" w:ascii="仿宋" w:hAnsi="仿宋" w:eastAsia="仿宋" w:cs="仿宋"/>
                <w:b/>
                <w:bCs/>
                <w:sz w:val="24"/>
                <w:lang w:bidi="ar"/>
              </w:rPr>
              <w:t>最高得2分。</w:t>
            </w:r>
            <w:r>
              <w:rPr>
                <w:rFonts w:hint="eastAsia" w:ascii="仿宋" w:hAnsi="仿宋" w:eastAsia="仿宋" w:cs="仿宋"/>
                <w:bCs/>
                <w:sz w:val="24"/>
              </w:rPr>
              <w:t>（同时提供合同和项目业主对其履约情况的证明材料，否则不得分）</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2</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客观分</w:t>
            </w:r>
          </w:p>
        </w:tc>
        <w:tc>
          <w:tcPr>
            <w:tcW w:w="154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b/>
                <w:bCs/>
                <w:sz w:val="24"/>
              </w:rPr>
            </w:pPr>
            <w:r>
              <w:rPr>
                <w:rFonts w:hint="eastAsia" w:ascii="仿宋" w:hAnsi="仿宋" w:eastAsia="仿宋" w:cs="仿宋"/>
                <w:b/>
                <w:bCs/>
                <w:sz w:val="24"/>
                <w:lang w:bidi="ar"/>
              </w:rPr>
              <w:t>八、成功经验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三</w:t>
            </w:r>
          </w:p>
        </w:tc>
        <w:tc>
          <w:tcPr>
            <w:tcW w:w="6285" w:type="dxa"/>
            <w:tcBorders>
              <w:top w:val="single" w:color="auto" w:sz="4" w:space="0"/>
              <w:left w:val="single" w:color="auto" w:sz="4" w:space="0"/>
              <w:bottom w:val="single" w:color="auto" w:sz="4" w:space="0"/>
              <w:right w:val="single" w:color="auto" w:sz="4" w:space="0"/>
            </w:tcBorders>
          </w:tcPr>
          <w:p>
            <w:pPr>
              <w:spacing w:line="276" w:lineRule="auto"/>
              <w:ind w:firstLine="240" w:firstLineChars="100"/>
              <w:rPr>
                <w:rFonts w:ascii="仿宋" w:hAnsi="仿宋" w:eastAsia="仿宋" w:cs="仿宋"/>
                <w:sz w:val="24"/>
                <w:lang w:bidi="ar"/>
              </w:rPr>
            </w:pPr>
            <w:r>
              <w:rPr>
                <w:rFonts w:hint="eastAsia" w:ascii="仿宋" w:hAnsi="仿宋" w:eastAsia="仿宋" w:cs="仿宋"/>
                <w:sz w:val="24"/>
                <w:lang w:bidi="ar"/>
              </w:rPr>
              <w:t>有效投标报价的最低价作为评标基准价，其最低报价为满分；按［投标报价得分=（评标基准价/投标报价）*权重］的计算公式计算。</w:t>
            </w:r>
          </w:p>
          <w:p>
            <w:pPr>
              <w:widowControl/>
              <w:shd w:val="clear" w:color="auto" w:fill="FFFFFF"/>
              <w:spacing w:line="276" w:lineRule="auto"/>
              <w:ind w:firstLine="240" w:firstLineChars="100"/>
              <w:rPr>
                <w:rFonts w:ascii="仿宋" w:hAnsi="仿宋" w:eastAsia="仿宋" w:cs="仿宋"/>
                <w:sz w:val="24"/>
                <w:lang w:bidi="ar"/>
              </w:rPr>
            </w:pPr>
            <w:r>
              <w:rPr>
                <w:rFonts w:hint="eastAsia" w:ascii="仿宋" w:hAnsi="仿宋" w:eastAsia="仿宋" w:cs="仿宋"/>
                <w:sz w:val="24"/>
                <w:lang w:bidi="ar"/>
              </w:rPr>
              <w:t>评标过程中，不得去掉报价中的最高报价和最低报价。</w:t>
            </w:r>
          </w:p>
        </w:tc>
        <w:tc>
          <w:tcPr>
            <w:tcW w:w="6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outlineLvl w:val="0"/>
              <w:rPr>
                <w:rFonts w:ascii="仿宋" w:hAnsi="仿宋" w:eastAsia="仿宋" w:cs="仿宋"/>
                <w:b/>
                <w:bCs/>
                <w:sz w:val="24"/>
              </w:rPr>
            </w:pPr>
            <w:r>
              <w:rPr>
                <w:rFonts w:hint="eastAsia" w:ascii="仿宋" w:hAnsi="仿宋" w:eastAsia="仿宋" w:cs="仿宋"/>
                <w:b/>
                <w:bCs/>
                <w:sz w:val="24"/>
              </w:rPr>
              <w:t>20</w:t>
            </w:r>
          </w:p>
        </w:tc>
        <w:tc>
          <w:tcPr>
            <w:tcW w:w="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outlineLvl w:val="0"/>
              <w:rPr>
                <w:rFonts w:ascii="仿宋" w:hAnsi="仿宋" w:eastAsia="仿宋" w:cs="仿宋"/>
                <w:b/>
                <w:bCs/>
                <w:sz w:val="24"/>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outlineLvl w:val="0"/>
              <w:rPr>
                <w:rFonts w:ascii="仿宋" w:hAnsi="仿宋" w:eastAsia="仿宋" w:cs="仿宋"/>
                <w:sz w:val="24"/>
              </w:rPr>
            </w:pPr>
            <w:r>
              <w:rPr>
                <w:rFonts w:hint="eastAsia" w:ascii="仿宋" w:hAnsi="仿宋" w:eastAsia="仿宋" w:cs="仿宋"/>
                <w:sz w:val="24"/>
              </w:rPr>
              <w:t>/</w:t>
            </w:r>
          </w:p>
        </w:tc>
      </w:tr>
    </w:tbl>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推进采购需求和评审因素编制的科学化和精细化，评审小组成员个人主观打分偏离所有评审小组成员主观打分平均值30%以上的，由评审委员会启动评分畸高、畸低行为认定程序，限制专家自由裁量权。</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28"/>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2"/>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4"/>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4"/>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8"/>
    <w:p>
      <w:pPr>
        <w:spacing w:line="360" w:lineRule="auto"/>
        <w:ind w:left="720" w:leftChars="343" w:firstLine="1446" w:firstLineChars="400"/>
        <w:outlineLvl w:val="0"/>
        <w:rPr>
          <w:rFonts w:ascii="仿宋" w:hAnsi="仿宋" w:eastAsia="仿宋" w:cs="仿宋"/>
          <w:b/>
          <w:sz w:val="36"/>
          <w:szCs w:val="36"/>
        </w:rPr>
      </w:pPr>
      <w:bookmarkStart w:id="402" w:name="第五部分"/>
      <w:bookmarkStart w:id="403" w:name="_Toc86217003"/>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p>
    <w:p>
      <w:pPr>
        <w:spacing w:line="360" w:lineRule="auto"/>
        <w:ind w:left="720" w:leftChars="343" w:firstLine="1446" w:firstLineChars="4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pStyle w:val="699"/>
        <w:rPr>
          <w:rFonts w:ascii="仿宋" w:hAnsi="仿宋" w:eastAsia="仿宋" w:cs="仿宋"/>
          <w:szCs w:val="24"/>
        </w:rPr>
      </w:pPr>
    </w:p>
    <w:p>
      <w:pPr>
        <w:pStyle w:val="699"/>
        <w:jc w:val="center"/>
        <w:rPr>
          <w:rFonts w:ascii="仿宋" w:hAnsi="仿宋" w:eastAsia="仿宋" w:cs="仿宋"/>
          <w:szCs w:val="24"/>
        </w:rPr>
      </w:pPr>
    </w:p>
    <w:p>
      <w:pPr>
        <w:snapToGrid w:val="0"/>
        <w:spacing w:line="360" w:lineRule="auto"/>
        <w:jc w:val="center"/>
        <w:outlineLvl w:val="1"/>
        <w:rPr>
          <w:rFonts w:ascii="仿宋" w:hAnsi="仿宋" w:eastAsia="仿宋" w:cs="仿宋"/>
          <w:b/>
          <w:sz w:val="32"/>
          <w:szCs w:val="20"/>
        </w:rPr>
      </w:pPr>
      <w:bookmarkStart w:id="404" w:name="_Toc97390129"/>
      <w:r>
        <w:rPr>
          <w:rFonts w:hint="eastAsia" w:ascii="仿宋" w:hAnsi="仿宋" w:eastAsia="仿宋" w:cs="仿宋"/>
          <w:b/>
          <w:sz w:val="32"/>
          <w:szCs w:val="20"/>
        </w:rPr>
        <w:t>第一部分合同书</w:t>
      </w:r>
      <w:bookmarkEnd w:id="404"/>
    </w:p>
    <w:p>
      <w:pPr>
        <w:pStyle w:val="699"/>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交通设施维护项目-智能交通运行维护-机房一</w:t>
      </w:r>
    </w:p>
    <w:p>
      <w:pPr>
        <w:spacing w:before="120" w:line="22" w:lineRule="atLeast"/>
        <w:ind w:left="960"/>
        <w:rPr>
          <w:rFonts w:ascii="仿宋" w:hAnsi="仿宋" w:eastAsia="仿宋" w:cs="仿宋"/>
          <w:sz w:val="24"/>
          <w:u w:val="single"/>
        </w:rPr>
      </w:pPr>
    </w:p>
    <w:p>
      <w:pPr>
        <w:pStyle w:val="596"/>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杭州市公安局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杭州市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签订日期：2024年   月    日</w:t>
      </w:r>
    </w:p>
    <w:p>
      <w:pPr>
        <w:widowControl/>
        <w:adjustRightInd/>
        <w:jc w:val="left"/>
        <w:rPr>
          <w:rFonts w:ascii="仿宋" w:hAnsi="仿宋" w:eastAsia="仿宋" w:cs="仿宋"/>
          <w:sz w:val="24"/>
          <w:u w:val="single"/>
          <w:lang w:val="zh-CN"/>
        </w:rPr>
      </w:pPr>
    </w:p>
    <w:p>
      <w:pPr>
        <w:widowControl/>
        <w:adjustRightInd/>
        <w:jc w:val="left"/>
        <w:rPr>
          <w:rFonts w:ascii="仿宋" w:hAnsi="仿宋" w:eastAsia="仿宋" w:cs="仿宋"/>
          <w:sz w:val="24"/>
          <w:lang w:val="zh-CN"/>
        </w:rPr>
      </w:pPr>
      <w:r>
        <w:rPr>
          <w:rFonts w:hint="eastAsia" w:ascii="仿宋" w:hAnsi="仿宋" w:eastAsia="仿宋" w:cs="仿宋"/>
          <w:sz w:val="24"/>
          <w:lang w:val="zh-CN"/>
        </w:rPr>
        <w:br w:type="page"/>
      </w:r>
    </w:p>
    <w:p>
      <w:pPr>
        <w:spacing w:line="560" w:lineRule="exact"/>
        <w:ind w:firstLine="480" w:firstLineChars="200"/>
        <w:rPr>
          <w:rFonts w:ascii="仿宋" w:hAnsi="仿宋" w:eastAsia="仿宋" w:cs="仿宋"/>
          <w:sz w:val="24"/>
        </w:rPr>
      </w:pPr>
      <w:r>
        <w:rPr>
          <w:rFonts w:hint="eastAsia" w:ascii="仿宋" w:hAnsi="仿宋" w:eastAsia="仿宋" w:cs="仿宋"/>
          <w:sz w:val="24"/>
          <w:u w:val="single"/>
        </w:rPr>
        <w:t>2024</w:t>
      </w:r>
      <w:r>
        <w:rPr>
          <w:rFonts w:hint="eastAsia" w:ascii="仿宋" w:hAnsi="仿宋" w:eastAsia="仿宋" w:cs="仿宋"/>
          <w:sz w:val="24"/>
          <w:lang w:val="zh-CN"/>
        </w:rPr>
        <w:t>年</w:t>
      </w:r>
      <w:r>
        <w:rPr>
          <w:rFonts w:hint="eastAsia" w:ascii="仿宋" w:hAnsi="仿宋" w:eastAsia="仿宋" w:cs="仿宋"/>
          <w:sz w:val="24"/>
        </w:rPr>
        <w:t xml:space="preserve">  </w:t>
      </w:r>
      <w:r>
        <w:rPr>
          <w:rFonts w:hint="eastAsia" w:ascii="仿宋" w:hAnsi="仿宋" w:eastAsia="仿宋" w:cs="仿宋"/>
          <w:sz w:val="24"/>
          <w:lang w:val="zh-CN"/>
        </w:rPr>
        <w:t>月</w:t>
      </w:r>
      <w:r>
        <w:rPr>
          <w:rFonts w:hint="eastAsia" w:ascii="仿宋" w:hAnsi="仿宋" w:eastAsia="仿宋" w:cs="仿宋"/>
          <w:sz w:val="24"/>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杭州市公安局</w:t>
      </w:r>
      <w:r>
        <w:rPr>
          <w:rFonts w:hint="eastAsia" w:ascii="仿宋" w:hAnsi="仿宋" w:eastAsia="仿宋" w:cs="仿宋"/>
          <w:sz w:val="24"/>
        </w:rPr>
        <w:t>以</w:t>
      </w:r>
      <w:r>
        <w:rPr>
          <w:rFonts w:hint="eastAsia" w:ascii="仿宋" w:hAnsi="仿宋" w:eastAsia="仿宋" w:cs="仿宋"/>
          <w:sz w:val="24"/>
          <w:u w:val="single"/>
        </w:rPr>
        <w:t>公开招标</w:t>
      </w:r>
      <w:r>
        <w:rPr>
          <w:rFonts w:hint="eastAsia" w:ascii="仿宋" w:hAnsi="仿宋" w:eastAsia="仿宋" w:cs="仿宋"/>
          <w:sz w:val="24"/>
        </w:rPr>
        <w:t>对</w:t>
      </w:r>
      <w:r>
        <w:rPr>
          <w:rFonts w:hint="eastAsia" w:ascii="仿宋" w:hAnsi="仿宋" w:eastAsia="仿宋" w:cs="仿宋"/>
          <w:b/>
          <w:sz w:val="24"/>
          <w:u w:val="single"/>
        </w:rPr>
        <w:t>交通设施维护项目-智能交通运行维护-机房一</w:t>
      </w:r>
      <w:r>
        <w:rPr>
          <w:rFonts w:hint="eastAsia" w:ascii="仿宋" w:hAnsi="仿宋" w:eastAsia="仿宋" w:cs="仿宋"/>
          <w:sz w:val="24"/>
        </w:rPr>
        <w:t>进行了采购。经</w:t>
      </w:r>
      <w:r>
        <w:rPr>
          <w:rFonts w:hint="eastAsia" w:ascii="仿宋" w:hAnsi="仿宋" w:eastAsia="仿宋" w:cs="仿宋"/>
          <w:sz w:val="24"/>
          <w:u w:val="single"/>
        </w:rPr>
        <w:t>评标委员会</w:t>
      </w:r>
      <w:r>
        <w:rPr>
          <w:rFonts w:hint="eastAsia" w:ascii="仿宋" w:hAnsi="仿宋" w:eastAsia="仿宋" w:cs="仿宋"/>
          <w:sz w:val="24"/>
        </w:rPr>
        <w:t>评定，</w:t>
      </w:r>
      <w:r>
        <w:rPr>
          <w:rFonts w:hint="eastAsia" w:ascii="仿宋" w:hAnsi="仿宋" w:eastAsia="仿宋" w:cs="仿宋"/>
          <w:sz w:val="24"/>
          <w:u w:val="single"/>
        </w:rPr>
        <w:t>（中标供应商名称）</w:t>
      </w:r>
      <w:r>
        <w:rPr>
          <w:rFonts w:hint="eastAsia" w:ascii="仿宋" w:hAnsi="仿宋" w:eastAsia="仿宋" w:cs="仿宋"/>
          <w:sz w:val="24"/>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w:t>
      </w:r>
      <w:r>
        <w:rPr>
          <w:rFonts w:hint="eastAsia" w:ascii="仿宋" w:hAnsi="仿宋" w:eastAsia="仿宋" w:cs="仿宋"/>
          <w:sz w:val="24"/>
        </w:rPr>
        <w:t>参照</w:t>
      </w:r>
      <w:r>
        <w:rPr>
          <w:rFonts w:hint="eastAsia" w:ascii="仿宋" w:hAnsi="仿宋" w:eastAsia="仿宋" w:cs="仿宋"/>
          <w:sz w:val="24"/>
          <w:lang w:val="zh-CN"/>
        </w:rPr>
        <w:t>《中华人民共和国政府采购法》等相关法律法规之规定，按照平等、自愿、公平和诚实信用的原则，经</w:t>
      </w:r>
      <w:r>
        <w:rPr>
          <w:rFonts w:hint="eastAsia" w:ascii="仿宋" w:hAnsi="仿宋" w:eastAsia="仿宋" w:cs="仿宋"/>
          <w:sz w:val="24"/>
          <w:u w:val="single"/>
        </w:rPr>
        <w:t>杭州市公安局</w:t>
      </w:r>
      <w:r>
        <w:rPr>
          <w:rFonts w:hint="eastAsia" w:ascii="仿宋" w:hAnsi="仿宋" w:eastAsia="仿宋" w:cs="仿宋"/>
          <w:sz w:val="24"/>
          <w:lang w:val="zh-CN"/>
        </w:rPr>
        <w:t>(以下简称：甲方)和</w:t>
      </w:r>
      <w:r>
        <w:rPr>
          <w:rFonts w:hint="eastAsia" w:ascii="仿宋" w:hAnsi="仿宋" w:eastAsia="仿宋" w:cs="仿宋"/>
          <w:sz w:val="24"/>
          <w:u w:val="single"/>
        </w:rPr>
        <w:t>（中标供应商名称）</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sz w:val="24"/>
        </w:rPr>
      </w:pPr>
      <w:r>
        <w:rPr>
          <w:rFonts w:hint="eastAsia" w:ascii="仿宋" w:hAnsi="仿宋" w:eastAsia="仿宋" w:cs="仿宋"/>
          <w:b/>
          <w:sz w:val="24"/>
        </w:rPr>
        <w:t>1.1 合同组成部分</w:t>
      </w:r>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1.2 标的</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为确保视频专网机房软硬件安全、高效、稳定的运行，确定专业的维护公司开展维护工作，主要内容：1、对视频专网机房3218台硬件设备进行运维；2、</w:t>
      </w:r>
      <w:r>
        <w:rPr>
          <w:rFonts w:hint="eastAsia" w:ascii="仿宋" w:hAnsi="仿宋" w:eastAsia="仿宋" w:cs="仿宋"/>
          <w:sz w:val="24"/>
        </w:rPr>
        <w:t>对8套管理软件进行运维，包括SCATS信号控制系统1套、单点远程信号控制系统1套、信号系统无线检测器平台软件1套、交通监视系统1套（数字监控联网平台软件）、交通诱导系统2套（交通诱导系统平台软件、潮汐车道控制系统平台软件）、微波检测系统1套、运维管理系统1套</w:t>
      </w:r>
      <w:r>
        <w:rPr>
          <w:rFonts w:hint="eastAsia" w:ascii="仿宋" w:hAnsi="仿宋" w:eastAsia="仿宋" w:cs="仿宋"/>
          <w:sz w:val="24"/>
          <w:u w:val="single"/>
        </w:rPr>
        <w:t>；3、要求提供17个服务人员（其中项目负责人1人）、7*24小时（不间断轮流）驻点运维服务；4、提供运维耗材；5、SCATS信号控制系统、网络交换机、交通小脑服务器、网闸、网络安全准入、存储等专项服务（要求提供原厂服务）；6、运维车辆1辆。</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根据采购文件确定的技术指标或者服务要求确定验收指标和标准。未进行相应约定的，应当符合国家强制性规定、政策要求、安全标准、行业或企业有关标准等；</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根据采购文件确定的技术指标或者服务要求确定验收指标和标准。未进行相应约定的，应当符合国家强制性规定、政策要求、安全标准、行业或企业有关标准等。</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详见附件二</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p>
    <w:p>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本项目采用以下第1.3.2条款规定的计价方式计价。</w:t>
      </w:r>
    </w:p>
    <w:p>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 /元（大写：/元人民币）。</w:t>
      </w:r>
    </w:p>
    <w:p>
      <w:pPr>
        <w:spacing w:line="560" w:lineRule="exact"/>
        <w:ind w:firstLine="480" w:firstLineChars="200"/>
        <w:rPr>
          <w:rFonts w:ascii="仿宋" w:hAnsi="仿宋" w:eastAsia="仿宋" w:cs="仿宋"/>
          <w:b/>
          <w:bCs/>
          <w:sz w:val="24"/>
        </w:rPr>
      </w:pPr>
      <w:r>
        <w:rPr>
          <w:rFonts w:hint="eastAsia" w:ascii="仿宋" w:hAnsi="仿宋" w:eastAsia="仿宋" w:cs="仿宋"/>
          <w:bCs/>
          <w:sz w:val="24"/>
        </w:rPr>
        <w:t>1.3.2单价合同，本合同单价（含税）标准为：</w:t>
      </w:r>
      <w:r>
        <w:rPr>
          <w:rFonts w:hint="eastAsia" w:ascii="仿宋" w:hAnsi="仿宋" w:eastAsia="仿宋" w:cs="仿宋"/>
          <w:sz w:val="24"/>
          <w:u w:val="single"/>
        </w:rPr>
        <w:t>元/人/天</w:t>
      </w:r>
      <w:r>
        <w:rPr>
          <w:rFonts w:hint="eastAsia" w:ascii="仿宋" w:hAnsi="仿宋" w:eastAsia="仿宋" w:cs="仿宋"/>
          <w:sz w:val="24"/>
        </w:rPr>
        <w:t>。服务工作量的计量方式为：</w:t>
      </w:r>
      <w:r>
        <w:rPr>
          <w:rFonts w:hint="eastAsia" w:ascii="仿宋" w:hAnsi="仿宋" w:eastAsia="仿宋" w:cs="仿宋"/>
          <w:b/>
          <w:i/>
          <w:sz w:val="24"/>
          <w:u w:val="single"/>
        </w:rPr>
        <w:t>合同专用条款</w:t>
      </w:r>
      <w:r>
        <w:rPr>
          <w:rFonts w:hint="eastAsia" w:ascii="仿宋" w:hAnsi="仿宋" w:eastAsia="仿宋" w:cs="仿宋"/>
          <w:sz w:val="24"/>
        </w:rPr>
        <w:t>。单价合同，在合同履行期间内，根据</w:t>
      </w:r>
      <w:r>
        <w:rPr>
          <w:rFonts w:hint="eastAsia" w:ascii="仿宋" w:hAnsi="仿宋" w:eastAsia="仿宋" w:cs="仿宋"/>
          <w:bCs/>
          <w:sz w:val="24"/>
          <w:lang w:val="zh-CN"/>
        </w:rPr>
        <w:t>实际服务类型、天数及合同单价按实结算</w:t>
      </w:r>
      <w:r>
        <w:rPr>
          <w:rFonts w:hint="eastAsia" w:ascii="仿宋" w:hAnsi="仿宋" w:eastAsia="仿宋" w:cs="仿宋"/>
          <w:sz w:val="24"/>
        </w:rPr>
        <w:t>，但结算总价上限不得超过合同金额￥元（大写：元人民币），</w:t>
      </w:r>
      <w:r>
        <w:rPr>
          <w:rFonts w:hint="eastAsia" w:ascii="仿宋" w:hAnsi="仿宋" w:eastAsia="仿宋" w:cs="仿宋"/>
          <w:b/>
          <w:bCs/>
          <w:sz w:val="24"/>
        </w:rPr>
        <w:t>详见附件三。</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1.3.3其他计价方式：</w:t>
      </w:r>
      <w:r>
        <w:rPr>
          <w:rFonts w:hint="eastAsia" w:ascii="仿宋" w:hAnsi="仿宋" w:eastAsia="仿宋" w:cs="仿宋"/>
          <w:kern w:val="0"/>
          <w:sz w:val="24"/>
          <w:u w:val="single"/>
        </w:rPr>
        <w:t xml:space="preserve">  /  </w:t>
      </w:r>
      <w:r>
        <w:rPr>
          <w:rFonts w:hint="eastAsia" w:ascii="仿宋" w:hAnsi="仿宋" w:eastAsia="仿宋" w:cs="仿宋"/>
          <w:kern w:val="0"/>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1.4履约保证金</w:t>
      </w:r>
    </w:p>
    <w:p>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是 </w:t>
      </w:r>
      <w:r>
        <w:rPr>
          <w:rFonts w:hint="eastAsia" w:ascii="仿宋" w:hAnsi="仿宋" w:eastAsia="仿宋" w:cs="仿宋"/>
        </w:rPr>
        <w:t>（是/否）需要支付履约保证金。若需要支付履约保证金的，则：</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1</w:t>
      </w:r>
      <w:r>
        <w:rPr>
          <w:rFonts w:hint="eastAsia" w:ascii="仿宋" w:hAnsi="仿宋" w:eastAsia="仿宋" w:cs="仿宋"/>
          <w:kern w:val="0"/>
          <w:sz w:val="24"/>
        </w:rPr>
        <w:t>%；</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pPr>
        <w:pStyle w:val="2"/>
        <w:tabs>
          <w:tab w:val="left" w:pos="0"/>
          <w:tab w:val="clear" w:pos="432"/>
        </w:tabs>
        <w:spacing w:line="560" w:lineRule="exact"/>
        <w:ind w:left="420" w:leftChars="200" w:firstLine="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且收到乙方退还履约保证金申请之日起5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0.05</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1.5预付款</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b/>
          <w:i/>
          <w:u w:val="single"/>
        </w:rPr>
        <w:t>合同专用条款</w:t>
      </w:r>
      <w:r>
        <w:rPr>
          <w:rFonts w:hint="eastAsia" w:ascii="仿宋" w:hAnsi="仿宋" w:eastAsia="仿宋" w:cs="仿宋"/>
        </w:rPr>
        <w:t>；</w:t>
      </w:r>
    </w:p>
    <w:p>
      <w:pPr>
        <w:pStyle w:val="957"/>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b/>
          <w:i/>
          <w:u w:val="single"/>
        </w:rPr>
        <w:t>合同专用条款</w:t>
      </w:r>
      <w:r>
        <w:rPr>
          <w:rFonts w:hint="eastAsia" w:ascii="仿宋" w:hAnsi="仿宋" w:eastAsia="仿宋" w:cs="仿宋"/>
        </w:rPr>
        <w:t>。</w:t>
      </w:r>
    </w:p>
    <w:p>
      <w:pPr>
        <w:pStyle w:val="957"/>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1.7履行期限、地点和方式</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ascii="仿宋" w:hAnsi="仿宋" w:eastAsia="仿宋" w:cs="仿宋"/>
          <w:bCs/>
          <w:sz w:val="24"/>
        </w:rPr>
      </w:pPr>
      <w:r>
        <w:rPr>
          <w:rFonts w:hint="eastAsia" w:ascii="仿宋" w:hAnsi="仿宋" w:eastAsia="仿宋" w:cs="仿宋"/>
          <w:bCs/>
          <w:sz w:val="24"/>
        </w:rPr>
        <w:t>1.7.4若服务涉及货物的，则货物的：</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pStyle w:val="2"/>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0.05</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1.9合同争议的解决</w:t>
      </w:r>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1.9.2</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2.0 合同生效</w:t>
      </w:r>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开户银行：                            开户银行：</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开户名称：                            开户名称：</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                            开户账号：</w:t>
      </w:r>
    </w:p>
    <w:p>
      <w:pPr>
        <w:widowControl/>
        <w:spacing w:line="560" w:lineRule="exact"/>
        <w:jc w:val="left"/>
        <w:rPr>
          <w:rFonts w:ascii="仿宋" w:hAnsi="仿宋" w:eastAsia="仿宋" w:cs="仿宋"/>
          <w:b/>
          <w:sz w:val="24"/>
        </w:rPr>
      </w:pPr>
    </w:p>
    <w:p>
      <w:pPr>
        <w:widowControl/>
        <w:jc w:val="left"/>
        <w:rPr>
          <w:rFonts w:ascii="仿宋" w:hAnsi="仿宋" w:eastAsia="仿宋" w:cs="仿宋"/>
          <w:b/>
          <w:sz w:val="24"/>
        </w:rPr>
      </w:pPr>
      <w:r>
        <w:rPr>
          <w:rFonts w:hint="eastAsia" w:ascii="仿宋" w:hAnsi="仿宋" w:eastAsia="仿宋" w:cs="仿宋"/>
          <w:b/>
        </w:rPr>
        <w:br w:type="page"/>
      </w:r>
    </w:p>
    <w:p>
      <w:pPr>
        <w:pStyle w:val="699"/>
        <w:spacing w:line="560" w:lineRule="exact"/>
        <w:ind w:firstLine="482"/>
        <w:jc w:val="center"/>
        <w:rPr>
          <w:rFonts w:ascii="仿宋" w:hAnsi="仿宋" w:eastAsia="仿宋" w:cs="仿宋"/>
          <w:b/>
          <w:szCs w:val="24"/>
        </w:rPr>
      </w:pPr>
      <w:r>
        <w:rPr>
          <w:rFonts w:hint="eastAsia" w:ascii="仿宋" w:hAnsi="仿宋" w:eastAsia="仿宋" w:cs="仿宋"/>
          <w:b/>
          <w:szCs w:val="24"/>
        </w:rPr>
        <w:t>第二部分合同一般条款</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 定义</w:t>
      </w:r>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2.2 技术规范</w:t>
      </w:r>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2.3 知识产权</w:t>
      </w:r>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sz w:val="24"/>
        </w:rPr>
      </w:pPr>
      <w:bookmarkStart w:id="405" w:name="_Toc31233"/>
      <w:bookmarkStart w:id="406" w:name="_Toc32670"/>
      <w:bookmarkStart w:id="407" w:name="_Toc26555"/>
      <w:bookmarkStart w:id="408" w:name="_Toc22011"/>
      <w:bookmarkStart w:id="409" w:name="_Toc15447"/>
      <w:r>
        <w:rPr>
          <w:rFonts w:hint="eastAsia" w:ascii="仿宋" w:hAnsi="仿宋" w:eastAsia="仿宋" w:cs="仿宋"/>
          <w:b/>
          <w:sz w:val="24"/>
        </w:rPr>
        <w:t>2.5 结算方式和付款条件</w:t>
      </w:r>
      <w:bookmarkEnd w:id="405"/>
      <w:bookmarkEnd w:id="406"/>
      <w:bookmarkEnd w:id="407"/>
      <w:bookmarkEnd w:id="408"/>
      <w:bookmarkEnd w:id="409"/>
    </w:p>
    <w:p>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2.6 技术资料和保密义务</w:t>
      </w:r>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2.7 质量保证</w:t>
      </w:r>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2.8 延迟履行</w:t>
      </w:r>
    </w:p>
    <w:p>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2.9 合同变更</w:t>
      </w:r>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2.10 合同转让和分包</w:t>
      </w:r>
    </w:p>
    <w:p>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合同的权利义务依法不得转让，但经甲方同意，乙方可以依法采取分包方式履行合同，即：依法可以将合同项下的部分非主体、非关键性工作分包给他人完成，分包内容：</w:t>
      </w:r>
      <w:r>
        <w:rPr>
          <w:rFonts w:hint="eastAsia" w:ascii="仿宋" w:hAnsi="仿宋" w:eastAsia="仿宋" w:cs="仿宋"/>
          <w:sz w:val="24"/>
          <w:u w:val="single"/>
        </w:rPr>
        <w:t xml:space="preserve">运维耗材(如有)或无 </w:t>
      </w:r>
      <w:r>
        <w:rPr>
          <w:rFonts w:hint="eastAsia" w:ascii="仿宋" w:hAnsi="仿宋" w:eastAsia="仿宋" w:cs="仿宋"/>
          <w:sz w:val="24"/>
        </w:rPr>
        <w:t>，接受分包的人应当具备相应的资格条件，并不得再次分包，且乙方应就分包项目向甲方负责，并与分包供应商就分包项目向甲方承担连带责任。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2.11 不可抗力</w:t>
      </w:r>
    </w:p>
    <w:p>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2.12 税费</w:t>
      </w:r>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2.13 乙方破产</w:t>
      </w:r>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2.14 合同中止、终止</w:t>
      </w:r>
    </w:p>
    <w:p>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2.15 检验和验收</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2.16 通知和送达</w:t>
      </w:r>
    </w:p>
    <w:p>
      <w:pPr>
        <w:spacing w:line="560" w:lineRule="exact"/>
        <w:ind w:firstLine="480" w:firstLineChars="200"/>
        <w:rPr>
          <w:rFonts w:ascii="仿宋" w:hAnsi="仿宋" w:eastAsia="仿宋" w:cs="仿宋"/>
          <w:sz w:val="24"/>
        </w:rPr>
      </w:pPr>
      <w:r>
        <w:rPr>
          <w:rFonts w:hint="eastAsia" w:ascii="仿宋" w:hAnsi="仿宋" w:eastAsia="仿宋" w:cs="仿宋"/>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2.17 合同使用的文字和适用的法律</w:t>
      </w:r>
    </w:p>
    <w:p>
      <w:pPr>
        <w:spacing w:line="560" w:lineRule="exact"/>
        <w:ind w:firstLine="480" w:firstLineChars="200"/>
        <w:rPr>
          <w:rFonts w:ascii="仿宋" w:hAnsi="仿宋" w:eastAsia="仿宋" w:cs="仿宋"/>
          <w:sz w:val="24"/>
        </w:rPr>
      </w:pPr>
      <w:r>
        <w:rPr>
          <w:rFonts w:hint="eastAsia" w:ascii="仿宋" w:hAnsi="仿宋" w:eastAsia="仿宋" w:cs="仿宋"/>
          <w:sz w:val="24"/>
        </w:rPr>
        <w:t>2.17.1合同使用汉语书就、变更和解释；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2.18 计量单位</w:t>
      </w:r>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2.19合同份数</w:t>
      </w:r>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ascii="仿宋" w:hAnsi="仿宋" w:eastAsia="仿宋" w:cs="仿宋"/>
          <w:b/>
          <w:sz w:val="24"/>
        </w:rPr>
      </w:pPr>
      <w:r>
        <w:rPr>
          <w:rFonts w:hint="eastAsia" w:ascii="仿宋" w:hAnsi="仿宋" w:eastAsia="仿宋" w:cs="仿宋"/>
          <w:kern w:val="0"/>
        </w:rPr>
        <w:br w:type="page"/>
      </w:r>
      <w:r>
        <w:rPr>
          <w:rFonts w:hint="eastAsia" w:ascii="仿宋" w:hAnsi="仿宋" w:eastAsia="仿宋" w:cs="仿宋"/>
          <w:b/>
          <w:sz w:val="24"/>
        </w:rPr>
        <w:t>第三部分合同专用条款</w:t>
      </w:r>
    </w:p>
    <w:p>
      <w:pPr>
        <w:spacing w:line="560" w:lineRule="exact"/>
        <w:ind w:left="-420" w:leftChars="-200" w:right="-420" w:rightChars="-200" w:firstLine="480" w:firstLineChars="200"/>
        <w:rPr>
          <w:rFonts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560" w:lineRule="exact"/>
        <w:ind w:left="-420" w:leftChars="-200" w:right="-420" w:rightChars="-200" w:firstLine="480" w:firstLineChars="200"/>
        <w:rPr>
          <w:rFonts w:ascii="仿宋" w:hAnsi="仿宋" w:eastAsia="仿宋" w:cs="仿宋"/>
          <w:sz w:val="24"/>
          <w:u w:val="single"/>
          <w:lang w:val="zh-CN"/>
        </w:rPr>
      </w:pPr>
      <w:r>
        <w:rPr>
          <w:rFonts w:hint="eastAsia" w:ascii="仿宋" w:hAnsi="仿宋" w:eastAsia="仿宋" w:cs="仿宋"/>
          <w:sz w:val="24"/>
        </w:rPr>
        <w:t>1.3.2服务工作量的计量方式为</w:t>
      </w:r>
      <w:r>
        <w:rPr>
          <w:rFonts w:hint="eastAsia" w:ascii="仿宋" w:hAnsi="仿宋" w:eastAsia="仿宋" w:cs="仿宋"/>
          <w:sz w:val="24"/>
          <w:u w:val="single"/>
          <w:lang w:val="zh-CN"/>
        </w:rPr>
        <w:t>：最终</w:t>
      </w:r>
      <w:r>
        <w:rPr>
          <w:rFonts w:hint="eastAsia" w:ascii="仿宋" w:hAnsi="仿宋" w:eastAsia="仿宋" w:cs="仿宋"/>
          <w:sz w:val="24"/>
          <w:u w:val="single"/>
        </w:rPr>
        <w:t>按</w:t>
      </w:r>
      <w:r>
        <w:rPr>
          <w:rFonts w:hint="eastAsia" w:ascii="仿宋" w:hAnsi="仿宋" w:eastAsia="仿宋" w:cs="仿宋"/>
          <w:sz w:val="24"/>
          <w:u w:val="single"/>
          <w:lang w:val="zh-CN"/>
        </w:rPr>
        <w:t>实际服务类型、天数及合同单价按实结算。</w:t>
      </w:r>
    </w:p>
    <w:p>
      <w:pPr>
        <w:spacing w:line="560" w:lineRule="exact"/>
        <w:ind w:left="-420" w:leftChars="-200" w:right="-420" w:rightChars="-200" w:firstLine="480" w:firstLineChars="200"/>
        <w:rPr>
          <w:rFonts w:ascii="仿宋" w:hAnsi="仿宋" w:eastAsia="仿宋" w:cs="仿宋"/>
          <w:sz w:val="24"/>
          <w:u w:val="single"/>
        </w:rPr>
      </w:pPr>
      <w:r>
        <w:rPr>
          <w:rFonts w:hint="eastAsia" w:ascii="仿宋" w:hAnsi="仿宋" w:eastAsia="仿宋" w:cs="仿宋"/>
          <w:sz w:val="24"/>
        </w:rPr>
        <w:t>1.4.2履约保证金支付方式:</w:t>
      </w:r>
      <w:r>
        <w:rPr>
          <w:rFonts w:hint="eastAsia" w:ascii="仿宋" w:hAnsi="仿宋" w:eastAsia="仿宋" w:cs="仿宋"/>
          <w:sz w:val="24"/>
          <w:u w:val="single"/>
        </w:rPr>
        <w:t>乙方应在合同签订后5个工作日内，以支票、汇票、本票或者金融机构、担保机构出具的保函等非现金形式提交履约保证金。鼓励和支持乙方以履约保函形式提供履约保证。</w:t>
      </w:r>
    </w:p>
    <w:p>
      <w:pPr>
        <w:spacing w:line="560" w:lineRule="exact"/>
        <w:ind w:left="-420" w:leftChars="-200" w:right="-420" w:rightChars="-200" w:firstLine="480" w:firstLineChars="200"/>
        <w:rPr>
          <w:rFonts w:ascii="仿宋" w:hAnsi="仿宋" w:eastAsia="仿宋" w:cs="仿宋"/>
          <w:sz w:val="24"/>
          <w:u w:val="single"/>
        </w:rPr>
      </w:pPr>
      <w:r>
        <w:rPr>
          <w:rFonts w:hint="eastAsia" w:ascii="仿宋" w:hAnsi="仿宋" w:eastAsia="仿宋" w:cs="仿宋"/>
          <w:sz w:val="24"/>
        </w:rPr>
        <w:t>1.5.1预付款比例、支付方式、时间:</w:t>
      </w:r>
      <w:r>
        <w:rPr>
          <w:rFonts w:hint="eastAsia" w:ascii="仿宋" w:hAnsi="仿宋" w:eastAsia="仿宋" w:cs="仿宋"/>
          <w:sz w:val="24"/>
          <w:u w:val="single"/>
          <w:lang w:val="zh-CN"/>
        </w:rPr>
        <w:t>合同签订后5个工作日内，</w:t>
      </w:r>
      <w:r>
        <w:rPr>
          <w:rFonts w:hint="eastAsia" w:ascii="仿宋" w:hAnsi="仿宋" w:eastAsia="仿宋" w:cs="仿宋"/>
          <w:sz w:val="24"/>
          <w:u w:val="single"/>
        </w:rPr>
        <w:t>甲方</w:t>
      </w:r>
      <w:r>
        <w:rPr>
          <w:rFonts w:hint="eastAsia" w:ascii="仿宋" w:hAnsi="仿宋" w:eastAsia="仿宋" w:cs="仿宋"/>
          <w:sz w:val="24"/>
          <w:u w:val="single"/>
          <w:lang w:val="zh-CN"/>
        </w:rPr>
        <w:t>支付合同总价的40%</w:t>
      </w:r>
      <w:r>
        <w:rPr>
          <w:rFonts w:hint="eastAsia" w:ascii="仿宋" w:hAnsi="仿宋" w:eastAsia="仿宋" w:cs="仿宋"/>
          <w:sz w:val="24"/>
          <w:u w:val="single"/>
        </w:rPr>
        <w:t>。</w:t>
      </w:r>
    </w:p>
    <w:p>
      <w:pPr>
        <w:spacing w:line="560" w:lineRule="exact"/>
        <w:ind w:left="-420" w:leftChars="-200" w:right="-420" w:rightChars="-200" w:firstLine="480" w:firstLineChars="200"/>
        <w:rPr>
          <w:rFonts w:ascii="仿宋" w:hAnsi="仿宋" w:eastAsia="仿宋" w:cs="仿宋"/>
          <w:sz w:val="24"/>
          <w:u w:val="single"/>
        </w:rPr>
      </w:pPr>
      <w:r>
        <w:rPr>
          <w:rFonts w:hint="eastAsia" w:ascii="仿宋" w:hAnsi="仿宋" w:eastAsia="仿宋" w:cs="仿宋"/>
          <w:sz w:val="24"/>
        </w:rPr>
        <w:t>1.5.2预付款的扣回方式：</w:t>
      </w:r>
      <w:r>
        <w:rPr>
          <w:rFonts w:hint="eastAsia" w:ascii="仿宋" w:hAnsi="仿宋" w:eastAsia="仿宋" w:cs="仿宋"/>
          <w:sz w:val="24"/>
          <w:u w:val="single"/>
        </w:rPr>
        <w:t>预付款不扣回，包含在第二期合同款支付内。</w:t>
      </w:r>
    </w:p>
    <w:p>
      <w:pPr>
        <w:spacing w:line="560" w:lineRule="exact"/>
        <w:ind w:left="-420" w:leftChars="-200" w:right="-420" w:rightChars="-200" w:firstLine="480" w:firstLineChars="200"/>
        <w:rPr>
          <w:rFonts w:ascii="仿宋" w:hAnsi="仿宋" w:eastAsia="仿宋" w:cs="仿宋"/>
          <w:sz w:val="24"/>
        </w:rPr>
      </w:pPr>
      <w:r>
        <w:rPr>
          <w:rFonts w:hint="eastAsia" w:ascii="仿宋" w:hAnsi="仿宋" w:eastAsia="仿宋" w:cs="仿宋"/>
          <w:sz w:val="24"/>
        </w:rPr>
        <w:t>1.6.2资金支付的方式、时间和条件：</w:t>
      </w:r>
    </w:p>
    <w:tbl>
      <w:tblPr>
        <w:tblStyle w:val="62"/>
        <w:tblW w:w="935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09"/>
        <w:gridCol w:w="6941"/>
        <w:gridCol w:w="170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694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付款比例（%）</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ascii="仿宋" w:hAnsi="仿宋" w:eastAsia="仿宋" w:cs="仿宋"/>
                <w:sz w:val="24"/>
              </w:rPr>
            </w:pPr>
            <w:r>
              <w:rPr>
                <w:rFonts w:hint="eastAsia" w:ascii="仿宋" w:hAnsi="仿宋" w:eastAsia="仿宋" w:cs="仿宋"/>
                <w:sz w:val="24"/>
              </w:rPr>
              <w:t>1</w:t>
            </w:r>
          </w:p>
        </w:tc>
        <w:tc>
          <w:tcPr>
            <w:tcW w:w="694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仿宋" w:hAnsi="仿宋" w:eastAsia="仿宋" w:cs="仿宋"/>
                <w:sz w:val="24"/>
              </w:rPr>
            </w:pPr>
            <w:r>
              <w:rPr>
                <w:rFonts w:hint="eastAsia" w:ascii="仿宋" w:hAnsi="仿宋" w:eastAsia="仿宋" w:cs="仿宋"/>
                <w:b/>
                <w:sz w:val="24"/>
              </w:rPr>
              <w:t>第一期付款：</w:t>
            </w:r>
            <w:r>
              <w:rPr>
                <w:rFonts w:hint="eastAsia" w:ascii="仿宋" w:hAnsi="仿宋" w:eastAsia="仿宋" w:cs="仿宋"/>
                <w:bCs/>
                <w:sz w:val="24"/>
                <w:lang w:val="zh-CN"/>
              </w:rPr>
              <w:t>合同签订后5个工作日内，</w:t>
            </w:r>
            <w:r>
              <w:rPr>
                <w:rFonts w:hint="eastAsia" w:ascii="仿宋" w:hAnsi="仿宋" w:eastAsia="仿宋" w:cs="仿宋"/>
                <w:bCs/>
                <w:sz w:val="24"/>
              </w:rPr>
              <w:t>项目具备</w:t>
            </w:r>
            <w:r>
              <w:rPr>
                <w:rFonts w:hint="eastAsia" w:ascii="仿宋" w:hAnsi="仿宋" w:eastAsia="仿宋" w:cs="仿宋"/>
                <w:bCs/>
                <w:sz w:val="24"/>
                <w:lang w:val="zh-CN"/>
              </w:rPr>
              <w:t>实施条件后，</w:t>
            </w:r>
            <w:r>
              <w:rPr>
                <w:rFonts w:hint="eastAsia" w:ascii="仿宋" w:hAnsi="仿宋" w:eastAsia="仿宋" w:cs="仿宋"/>
                <w:sz w:val="24"/>
                <w:lang w:val="zh-CN"/>
              </w:rPr>
              <w:t>甲方支付</w:t>
            </w:r>
            <w:r>
              <w:rPr>
                <w:rFonts w:hint="eastAsia" w:ascii="仿宋" w:hAnsi="仿宋" w:eastAsia="仿宋" w:cs="仿宋"/>
                <w:sz w:val="24"/>
              </w:rPr>
              <w:t>合同总价的40%</w:t>
            </w:r>
            <w:r>
              <w:rPr>
                <w:rFonts w:hint="eastAsia" w:ascii="仿宋" w:hAnsi="仿宋" w:eastAsia="仿宋" w:cs="仿宋"/>
                <w:sz w:val="24"/>
                <w:lang w:val="zh-CN"/>
              </w:rPr>
              <w:t>，同时甲方</w:t>
            </w:r>
            <w:r>
              <w:rPr>
                <w:rFonts w:hint="eastAsia" w:ascii="仿宋" w:hAnsi="仿宋" w:eastAsia="仿宋" w:cs="仿宋"/>
                <w:sz w:val="24"/>
              </w:rPr>
              <w:t>收取履约保证金为合同总价1%。</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仿宋" w:hAnsi="仿宋" w:eastAsia="仿宋" w:cs="仿宋"/>
                <w:sz w:val="24"/>
              </w:rPr>
            </w:pPr>
            <w:r>
              <w:rPr>
                <w:rFonts w:hint="eastAsia" w:ascii="仿宋" w:hAnsi="仿宋" w:eastAsia="仿宋" w:cs="仿宋"/>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spacing w:line="360" w:lineRule="auto"/>
              <w:ind w:left="210" w:leftChars="100"/>
              <w:jc w:val="left"/>
              <w:rPr>
                <w:rFonts w:ascii="仿宋" w:hAnsi="仿宋" w:eastAsia="仿宋" w:cs="仿宋"/>
                <w:sz w:val="24"/>
              </w:rPr>
            </w:pPr>
            <w:r>
              <w:rPr>
                <w:rFonts w:hint="eastAsia" w:ascii="仿宋" w:hAnsi="仿宋" w:eastAsia="仿宋" w:cs="仿宋"/>
                <w:sz w:val="24"/>
              </w:rPr>
              <w:t>2</w:t>
            </w:r>
          </w:p>
        </w:tc>
        <w:tc>
          <w:tcPr>
            <w:tcW w:w="694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pPr>
              <w:spacing w:line="360" w:lineRule="auto"/>
              <w:jc w:val="left"/>
              <w:rPr>
                <w:rFonts w:ascii="仿宋" w:hAnsi="仿宋" w:eastAsia="仿宋" w:cs="仿宋"/>
                <w:b/>
                <w:sz w:val="24"/>
              </w:rPr>
            </w:pPr>
            <w:r>
              <w:rPr>
                <w:rFonts w:hint="eastAsia" w:ascii="仿宋" w:hAnsi="仿宋" w:eastAsia="仿宋" w:cs="仿宋"/>
                <w:b/>
                <w:sz w:val="24"/>
              </w:rPr>
              <w:t>第二期付款：</w:t>
            </w:r>
            <w:r>
              <w:rPr>
                <w:rFonts w:hint="eastAsia" w:ascii="仿宋" w:hAnsi="仿宋" w:eastAsia="仿宋" w:cs="仿宋"/>
                <w:bCs/>
                <w:sz w:val="24"/>
                <w:lang w:val="zh-CN"/>
              </w:rPr>
              <w:t>服务</w:t>
            </w:r>
            <w:r>
              <w:rPr>
                <w:rFonts w:hint="eastAsia" w:ascii="仿宋" w:hAnsi="仿宋" w:eastAsia="仿宋" w:cs="仿宋"/>
                <w:bCs/>
                <w:sz w:val="24"/>
              </w:rPr>
              <w:t>至2024年10月31日</w:t>
            </w:r>
            <w:r>
              <w:rPr>
                <w:rFonts w:hint="eastAsia" w:ascii="仿宋" w:hAnsi="仿宋" w:eastAsia="仿宋" w:cs="仿宋"/>
                <w:bCs/>
                <w:sz w:val="24"/>
                <w:lang w:val="zh-CN"/>
              </w:rPr>
              <w:t>，无任何服务问题，凭双方签字盖章的验收意见、验收小组签字的验收报告、项目组人员清单、人员资质证书、资历证明、每月社保缴纳材料、人员变更审批表（如有）、服务人员每日钉钉考勤打卡记录、每日巡检记录、每月巡检报告、维护维修记录台账、新建系统（</w:t>
            </w:r>
            <w:r>
              <w:rPr>
                <w:rFonts w:hint="eastAsia" w:ascii="仿宋" w:hAnsi="仿宋" w:eastAsia="仿宋" w:cs="仿宋"/>
                <w:bCs/>
                <w:sz w:val="24"/>
              </w:rPr>
              <w:t>单点远程信号系统、监控系统、诱导、潮汐车道系统</w:t>
            </w:r>
            <w:r>
              <w:rPr>
                <w:rFonts w:hint="eastAsia" w:ascii="仿宋" w:hAnsi="仿宋" w:eastAsia="仿宋" w:cs="仿宋"/>
                <w:bCs/>
                <w:sz w:val="24"/>
                <w:lang w:val="zh-CN"/>
              </w:rPr>
              <w:t>）点位平台接入/删减工作台账、外建新建点位抽检报告、每月点位接入分配清单、外建新建项目接入工作台账、运维周报、运维月报、运维总结报告、运维耗材使用清单、故障维修记录、相关照片、设备材料更换书面申请、维修记录台账、设备材料更换清单、相关照片、每月考核材料、车辆清单（包括车辆行驶证、年检记录、</w:t>
            </w:r>
            <w:r>
              <w:rPr>
                <w:rFonts w:hint="eastAsia" w:ascii="仿宋" w:hAnsi="仿宋" w:eastAsia="仿宋" w:cs="仿宋"/>
                <w:bCs/>
                <w:sz w:val="24"/>
              </w:rPr>
              <w:t>定位系统</w:t>
            </w:r>
            <w:r>
              <w:rPr>
                <w:rFonts w:hint="eastAsia" w:ascii="仿宋" w:hAnsi="仿宋" w:eastAsia="仿宋" w:cs="仿宋"/>
                <w:bCs/>
                <w:sz w:val="24"/>
                <w:lang w:val="zh-CN"/>
              </w:rPr>
              <w:t>路线图）、原厂每月巡检记录、原厂服务维修记录、网络安全保障方案、网络安全事件应急预案、网络安全风险书面报告（如有）、网络安全重大事项书面报告（如有）、单位保密协议、个人保密承诺书、日常保密教育台账、专门面向中小企业的佐证材料及其他需提供的相关材料等资料，</w:t>
            </w:r>
            <w:r>
              <w:rPr>
                <w:rFonts w:hint="eastAsia" w:ascii="仿宋" w:hAnsi="仿宋" w:eastAsia="仿宋" w:cs="仿宋"/>
                <w:sz w:val="24"/>
                <w:lang w:val="zh-CN"/>
              </w:rPr>
              <w:t>支付至20</w:t>
            </w:r>
            <w:r>
              <w:rPr>
                <w:rFonts w:hint="eastAsia" w:ascii="仿宋" w:hAnsi="仿宋" w:eastAsia="仿宋" w:cs="仿宋"/>
                <w:sz w:val="24"/>
              </w:rPr>
              <w:t>24</w:t>
            </w:r>
            <w:r>
              <w:rPr>
                <w:rFonts w:hint="eastAsia" w:ascii="仿宋" w:hAnsi="仿宋" w:eastAsia="仿宋" w:cs="仿宋"/>
                <w:sz w:val="24"/>
                <w:lang w:val="zh-CN"/>
              </w:rPr>
              <w:t>预算安排</w:t>
            </w:r>
            <w:r>
              <w:rPr>
                <w:rFonts w:hint="eastAsia" w:ascii="仿宋" w:hAnsi="仿宋" w:eastAsia="仿宋" w:cs="仿宋"/>
                <w:sz w:val="24"/>
              </w:rPr>
              <w:t>195.2</w:t>
            </w:r>
            <w:r>
              <w:rPr>
                <w:rFonts w:hint="eastAsia" w:ascii="仿宋" w:hAnsi="仿宋" w:eastAsia="仿宋" w:cs="仿宋"/>
                <w:sz w:val="24"/>
                <w:lang w:val="zh-CN"/>
              </w:rPr>
              <w:t>万元（</w:t>
            </w:r>
            <w:r>
              <w:rPr>
                <w:rFonts w:hint="eastAsia" w:ascii="仿宋" w:hAnsi="仿宋" w:eastAsia="仿宋" w:cs="仿宋"/>
                <w:sz w:val="24"/>
              </w:rPr>
              <w:t>195.2</w:t>
            </w:r>
            <w:r>
              <w:rPr>
                <w:rFonts w:hint="eastAsia" w:ascii="仿宋" w:hAnsi="仿宋" w:eastAsia="仿宋" w:cs="仿宋"/>
                <w:sz w:val="24"/>
                <w:lang w:val="zh-CN"/>
              </w:rPr>
              <w:t>万元已含甲方向供应商支付的第一期及第二期合同价款）</w:t>
            </w:r>
            <w:r>
              <w:rPr>
                <w:rFonts w:hint="eastAsia" w:ascii="仿宋" w:hAnsi="仿宋" w:eastAsia="仿宋" w:cs="仿宋"/>
                <w:bCs/>
                <w:sz w:val="24"/>
                <w:lang w:val="zh-CN"/>
              </w:rPr>
              <w:t>。</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ascii="仿宋" w:hAnsi="仿宋" w:eastAsia="仿宋" w:cs="仿宋"/>
                <w:sz w:val="24"/>
              </w:rPr>
            </w:pPr>
            <w:r>
              <w:rPr>
                <w:rFonts w:hint="eastAsia" w:ascii="仿宋" w:hAnsi="仿宋" w:eastAsia="仿宋" w:cs="仿宋"/>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spacing w:line="360" w:lineRule="auto"/>
              <w:ind w:left="210" w:leftChars="100"/>
              <w:jc w:val="left"/>
              <w:rPr>
                <w:rFonts w:ascii="仿宋" w:hAnsi="仿宋" w:eastAsia="仿宋" w:cs="仿宋"/>
                <w:sz w:val="24"/>
              </w:rPr>
            </w:pPr>
            <w:r>
              <w:rPr>
                <w:rFonts w:hint="eastAsia" w:ascii="仿宋" w:hAnsi="仿宋" w:eastAsia="仿宋" w:cs="仿宋"/>
                <w:sz w:val="24"/>
              </w:rPr>
              <w:t>3</w:t>
            </w:r>
          </w:p>
        </w:tc>
        <w:tc>
          <w:tcPr>
            <w:tcW w:w="694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pPr>
              <w:spacing w:line="360" w:lineRule="auto"/>
              <w:jc w:val="left"/>
              <w:rPr>
                <w:rFonts w:ascii="仿宋" w:hAnsi="仿宋" w:eastAsia="仿宋" w:cs="仿宋"/>
                <w:b/>
                <w:sz w:val="24"/>
              </w:rPr>
            </w:pPr>
            <w:r>
              <w:rPr>
                <w:rFonts w:hint="eastAsia" w:ascii="仿宋" w:hAnsi="仿宋" w:eastAsia="仿宋" w:cs="仿宋"/>
                <w:b/>
                <w:sz w:val="24"/>
              </w:rPr>
              <w:t>第三期付款：</w:t>
            </w:r>
            <w:r>
              <w:rPr>
                <w:rFonts w:hint="eastAsia" w:ascii="仿宋" w:hAnsi="仿宋" w:eastAsia="仿宋" w:cs="仿宋"/>
                <w:bCs/>
                <w:sz w:val="24"/>
                <w:lang w:val="zh-CN"/>
              </w:rPr>
              <w:t>服务期结束，无任何服务问题，凭双方签字盖章的验收意见、验收小组签字的验收报告、项目组人员清单、人员资质证书、资历证明、每月社保缴纳材料、人员变更审批表（如有）、服务人员每日钉钉考勤打卡记录、每日巡检记录、每月巡检报告、维护维修记录台账、新建系统点位平台接入/删减工作台账、外建新建点位抽检报告、每月点位接入分配清单、外建新建项目接入工作台账、运维周报、运维月报、运维总结报告、运维耗材使用清单、故障维修记录、相关照片、设备材料更换书面申请、维修记录台账、设备材料更换清单、相关照片、每月考核材料、车辆清单（包括车辆行驶证、年检记录、</w:t>
            </w:r>
            <w:r>
              <w:rPr>
                <w:rFonts w:hint="eastAsia" w:ascii="仿宋" w:hAnsi="仿宋" w:eastAsia="仿宋" w:cs="仿宋"/>
                <w:bCs/>
                <w:sz w:val="24"/>
              </w:rPr>
              <w:t>定位系统</w:t>
            </w:r>
            <w:r>
              <w:rPr>
                <w:rFonts w:hint="eastAsia" w:ascii="仿宋" w:hAnsi="仿宋" w:eastAsia="仿宋" w:cs="仿宋"/>
                <w:bCs/>
                <w:sz w:val="24"/>
                <w:lang w:val="zh-CN"/>
              </w:rPr>
              <w:t>路线图）、原厂每月巡检记录、原厂服务维修记录、网络安全保障方案、网络安全事件应急预案、网络安全风险书面报告（如有）、网络安全重大事项书面报告（如有）、网络安全报告、单位保密协议、个人保密承诺书、日常保密教育台账、专门面向中小企业的佐证材料及其他需提供的相关材料</w:t>
            </w:r>
            <w:r>
              <w:rPr>
                <w:rFonts w:hint="eastAsia" w:ascii="仿宋" w:hAnsi="仿宋" w:eastAsia="仿宋" w:cs="仿宋"/>
                <w:bCs/>
                <w:sz w:val="24"/>
              </w:rPr>
              <w:t>和公示截图</w:t>
            </w:r>
            <w:r>
              <w:rPr>
                <w:rFonts w:hint="eastAsia" w:ascii="仿宋" w:hAnsi="仿宋" w:eastAsia="仿宋" w:cs="仿宋"/>
                <w:bCs/>
                <w:sz w:val="24"/>
                <w:lang w:val="zh-CN"/>
              </w:rPr>
              <w:t>等资料，根据实际服务类型、天数及合同单价按实结算剩余应付的合同款项，同时扣除乙方应向甲方支付的违约金。</w:t>
            </w:r>
          </w:p>
        </w:tc>
        <w:tc>
          <w:tcPr>
            <w:tcW w:w="1701"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ascii="仿宋" w:hAnsi="仿宋" w:eastAsia="仿宋" w:cs="仿宋"/>
                <w:sz w:val="24"/>
              </w:rPr>
            </w:pPr>
            <w:r>
              <w:rPr>
                <w:rFonts w:hint="eastAsia" w:ascii="仿宋" w:hAnsi="仿宋" w:eastAsia="仿宋" w:cs="仿宋"/>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9351" w:type="dxa"/>
            <w:gridSpan w:val="3"/>
            <w:tcBorders>
              <w:top w:val="single" w:color="808080" w:sz="4" w:space="0"/>
              <w:left w:val="single" w:color="808080" w:sz="4" w:space="0"/>
              <w:bottom w:val="single" w:color="808080" w:sz="4" w:space="0"/>
              <w:right w:val="single" w:color="808080" w:sz="4" w:space="0"/>
            </w:tcBorders>
            <w:noWrap/>
            <w:vAlign w:val="center"/>
          </w:tcPr>
          <w:p>
            <w:pPr>
              <w:spacing w:line="360" w:lineRule="auto"/>
              <w:ind w:firstLine="480" w:firstLineChars="200"/>
              <w:jc w:val="left"/>
              <w:rPr>
                <w:rFonts w:ascii="仿宋" w:hAnsi="仿宋" w:eastAsia="仿宋" w:cs="仿宋"/>
                <w:bCs/>
                <w:sz w:val="24"/>
                <w:lang w:val="zh-CN"/>
              </w:rPr>
            </w:pPr>
            <w:r>
              <w:rPr>
                <w:rFonts w:hint="eastAsia" w:ascii="仿宋" w:hAnsi="仿宋" w:eastAsia="仿宋" w:cs="仿宋"/>
                <w:bCs/>
                <w:sz w:val="24"/>
                <w:lang w:val="zh-CN"/>
              </w:rPr>
              <w:t>双方确认，甲方按前款结算并向乙方支付的款项总额不超过合同总价。</w:t>
            </w:r>
          </w:p>
          <w:p>
            <w:pPr>
              <w:spacing w:line="360" w:lineRule="auto"/>
              <w:ind w:firstLine="480" w:firstLineChars="200"/>
              <w:jc w:val="left"/>
              <w:rPr>
                <w:rFonts w:ascii="仿宋" w:hAnsi="仿宋" w:eastAsia="仿宋" w:cs="仿宋"/>
                <w:sz w:val="24"/>
              </w:rPr>
            </w:pPr>
            <w:r>
              <w:rPr>
                <w:rFonts w:hint="eastAsia" w:ascii="仿宋" w:hAnsi="仿宋" w:eastAsia="仿宋" w:cs="仿宋"/>
                <w:bCs/>
                <w:sz w:val="24"/>
                <w:lang w:val="zh-CN"/>
              </w:rPr>
              <w:t>前述甲方按乙方实际履行情况结算付款的方式不影响甲方向乙方再行收取因乙方未全面按照合同约定履行而产生的违约金。</w:t>
            </w:r>
          </w:p>
        </w:tc>
      </w:tr>
    </w:tbl>
    <w:p>
      <w:pPr>
        <w:spacing w:line="560" w:lineRule="exact"/>
        <w:ind w:left="-420" w:leftChars="-200" w:right="-420" w:rightChars="-200" w:firstLine="480" w:firstLineChars="200"/>
        <w:rPr>
          <w:rFonts w:ascii="仿宋" w:hAnsi="仿宋" w:eastAsia="仿宋" w:cs="仿宋"/>
          <w:sz w:val="24"/>
          <w:u w:val="single"/>
          <w:lang w:val="zh-CN"/>
        </w:rPr>
      </w:pPr>
      <w:r>
        <w:rPr>
          <w:rFonts w:hint="eastAsia" w:ascii="仿宋" w:hAnsi="仿宋" w:eastAsia="仿宋" w:cs="仿宋"/>
          <w:bCs/>
          <w:sz w:val="24"/>
          <w:lang w:val="zh-CN"/>
        </w:rPr>
        <w:t>1.7.1服务实施的时间：</w:t>
      </w:r>
      <w:r>
        <w:rPr>
          <w:rFonts w:hint="eastAsia" w:ascii="仿宋" w:hAnsi="仿宋" w:eastAsia="仿宋" w:cs="宋体"/>
          <w:sz w:val="24"/>
          <w:u w:val="single"/>
        </w:rPr>
        <w:t>2024年6月5日至2025年6月4日</w:t>
      </w:r>
      <w:r>
        <w:rPr>
          <w:rFonts w:hint="eastAsia" w:ascii="仿宋" w:hAnsi="仿宋" w:eastAsia="仿宋" w:cs="仿宋"/>
          <w:sz w:val="24"/>
          <w:u w:val="single"/>
          <w:lang w:val="zh-CN"/>
        </w:rPr>
        <w:t>。</w:t>
      </w:r>
    </w:p>
    <w:p>
      <w:pPr>
        <w:spacing w:line="560" w:lineRule="exact"/>
        <w:ind w:left="-420" w:leftChars="-200" w:right="-420" w:rightChars="-200" w:firstLine="480" w:firstLineChars="200"/>
        <w:rPr>
          <w:rFonts w:ascii="仿宋" w:hAnsi="仿宋" w:eastAsia="仿宋" w:cs="仿宋"/>
          <w:sz w:val="24"/>
        </w:rPr>
      </w:pPr>
      <w:r>
        <w:rPr>
          <w:rFonts w:hint="eastAsia" w:ascii="仿宋" w:hAnsi="仿宋" w:eastAsia="仿宋" w:cs="仿宋"/>
          <w:bCs/>
          <w:sz w:val="24"/>
          <w:lang w:val="zh-CN"/>
        </w:rPr>
        <w:t>1.7.2服务实施的地点：</w:t>
      </w:r>
      <w:r>
        <w:rPr>
          <w:rFonts w:hint="eastAsia" w:ascii="仿宋" w:hAnsi="仿宋" w:eastAsia="仿宋" w:cs="仿宋"/>
          <w:sz w:val="24"/>
          <w:u w:val="single"/>
          <w:lang w:val="zh-CN"/>
        </w:rPr>
        <w:t>杭州市拱墅区半山路44号</w:t>
      </w:r>
      <w:r>
        <w:rPr>
          <w:rFonts w:hint="eastAsia" w:ascii="仿宋" w:hAnsi="仿宋" w:eastAsia="仿宋" w:cs="仿宋"/>
          <w:sz w:val="24"/>
          <w:u w:val="single"/>
        </w:rPr>
        <w:t>。</w:t>
      </w:r>
    </w:p>
    <w:p>
      <w:pPr>
        <w:spacing w:line="560" w:lineRule="exact"/>
        <w:ind w:left="-420" w:leftChars="-200" w:right="-420" w:rightChars="-200" w:firstLine="480" w:firstLineChars="200"/>
        <w:rPr>
          <w:rFonts w:ascii="仿宋" w:hAnsi="仿宋" w:eastAsia="仿宋" w:cs="仿宋"/>
          <w:sz w:val="24"/>
          <w:u w:val="single"/>
        </w:rPr>
      </w:pPr>
      <w:r>
        <w:rPr>
          <w:rFonts w:hint="eastAsia" w:ascii="仿宋" w:hAnsi="仿宋" w:eastAsia="仿宋" w:cs="仿宋"/>
          <w:sz w:val="24"/>
        </w:rPr>
        <w:t>1.7.3服务实施的方式：</w:t>
      </w:r>
      <w:r>
        <w:rPr>
          <w:rFonts w:hint="eastAsia" w:ascii="仿宋" w:hAnsi="仿宋" w:eastAsia="仿宋" w:cs="仿宋"/>
          <w:sz w:val="24"/>
          <w:u w:val="single"/>
        </w:rPr>
        <w:t>现场实施。</w:t>
      </w:r>
    </w:p>
    <w:p>
      <w:pPr>
        <w:spacing w:line="560" w:lineRule="exact"/>
        <w:ind w:left="-420" w:leftChars="-200" w:right="-420" w:rightChars="-200" w:firstLine="480" w:firstLineChars="200"/>
        <w:rPr>
          <w:rFonts w:ascii="仿宋" w:hAnsi="仿宋" w:eastAsia="仿宋" w:cs="仿宋"/>
          <w:sz w:val="24"/>
        </w:rPr>
      </w:pPr>
      <w:r>
        <w:rPr>
          <w:rFonts w:hint="eastAsia" w:ascii="仿宋" w:hAnsi="仿宋" w:eastAsia="仿宋" w:cs="仿宋"/>
          <w:sz w:val="24"/>
        </w:rPr>
        <w:t>1.8.7违约责任：</w:t>
      </w:r>
    </w:p>
    <w:p>
      <w:pPr>
        <w:snapToGrid w:val="0"/>
        <w:spacing w:line="360" w:lineRule="auto"/>
        <w:ind w:firstLine="480" w:firstLineChars="200"/>
        <w:jc w:val="left"/>
        <w:rPr>
          <w:rFonts w:ascii="仿宋" w:hAnsi="仿宋" w:eastAsia="仿宋" w:cs="仿宋"/>
          <w:iCs/>
          <w:sz w:val="24"/>
          <w:u w:val="single"/>
        </w:rPr>
      </w:pPr>
      <w:r>
        <w:rPr>
          <w:rFonts w:hint="eastAsia" w:ascii="仿宋" w:hAnsi="仿宋" w:eastAsia="仿宋" w:cs="仿宋"/>
          <w:iCs/>
          <w:sz w:val="24"/>
          <w:u w:val="single"/>
        </w:rPr>
        <w:t>（1）乙方应完全按照甲方招标文件的要求和乙方投标文件及相关文件承诺完成本项目，因乙方自身财务、技术、人力等原因导致项目风险的，应承担全部责任。</w:t>
      </w:r>
    </w:p>
    <w:p>
      <w:pPr>
        <w:snapToGrid w:val="0"/>
        <w:spacing w:line="360" w:lineRule="auto"/>
        <w:ind w:firstLine="480" w:firstLineChars="200"/>
        <w:jc w:val="left"/>
        <w:rPr>
          <w:rFonts w:ascii="仿宋" w:hAnsi="仿宋" w:eastAsia="仿宋"/>
          <w:iCs/>
          <w:sz w:val="24"/>
          <w:u w:val="single"/>
        </w:rPr>
      </w:pPr>
      <w:r>
        <w:rPr>
          <w:rFonts w:hint="eastAsia" w:ascii="仿宋" w:hAnsi="仿宋" w:eastAsia="仿宋"/>
          <w:iCs/>
          <w:sz w:val="24"/>
          <w:u w:val="singl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pPr>
        <w:snapToGrid w:val="0"/>
        <w:spacing w:line="360" w:lineRule="auto"/>
        <w:ind w:firstLine="480" w:firstLineChars="200"/>
        <w:jc w:val="left"/>
        <w:rPr>
          <w:rFonts w:ascii="仿宋" w:hAnsi="仿宋" w:eastAsia="仿宋"/>
          <w:iCs/>
          <w:sz w:val="24"/>
          <w:u w:val="single"/>
        </w:rPr>
      </w:pPr>
      <w:r>
        <w:rPr>
          <w:rFonts w:hint="eastAsia" w:ascii="仿宋" w:hAnsi="仿宋" w:eastAsia="仿宋"/>
          <w:iCs/>
          <w:sz w:val="24"/>
          <w:u w:val="single"/>
        </w:rPr>
        <w:t>（3）除不可抗力外，如果乙方没有按照本合同约定的期限、地点和方式提供服务，那么甲方可要求乙方支付违约金，违约金按每迟延提供服务一日的按合同总价的0.05%计算，最高限额为本合同总价的20%；迟延提供服务的违约金计算数额达到前述最高限额之日起，甲方有权在要求乙方支付违约金的同时，书面通知乙方解除本合同。</w:t>
      </w:r>
    </w:p>
    <w:p>
      <w:pPr>
        <w:snapToGrid w:val="0"/>
        <w:spacing w:line="360" w:lineRule="auto"/>
        <w:ind w:firstLine="480" w:firstLineChars="200"/>
        <w:jc w:val="left"/>
        <w:rPr>
          <w:rFonts w:ascii="仿宋" w:hAnsi="仿宋" w:eastAsia="仿宋"/>
          <w:iCs/>
          <w:sz w:val="24"/>
          <w:u w:val="single"/>
        </w:rPr>
      </w:pPr>
      <w:r>
        <w:rPr>
          <w:rFonts w:hint="eastAsia" w:ascii="仿宋" w:hAnsi="仿宋" w:eastAsia="仿宋"/>
          <w:iCs/>
          <w:sz w:val="24"/>
          <w:u w:val="single"/>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napToGrid w:val="0"/>
        <w:spacing w:line="360" w:lineRule="auto"/>
        <w:ind w:firstLine="480" w:firstLineChars="200"/>
        <w:jc w:val="left"/>
        <w:rPr>
          <w:rFonts w:ascii="仿宋" w:hAnsi="仿宋" w:eastAsia="仿宋"/>
          <w:iCs/>
          <w:sz w:val="24"/>
          <w:u w:val="single"/>
        </w:rPr>
      </w:pPr>
      <w:r>
        <w:rPr>
          <w:rFonts w:hint="eastAsia" w:ascii="仿宋" w:hAnsi="仿宋" w:eastAsia="仿宋"/>
          <w:iCs/>
          <w:sz w:val="24"/>
          <w:u w:val="single"/>
        </w:rPr>
        <w:t>（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无息退还乙方履约保证金。逾期退还的，乙方可要求甲方支付违约金，违约金按每迟延退还一日的应退还而未退还金额的0.05%计算，最高限额为本合同履约保证金的20%。</w:t>
      </w:r>
    </w:p>
    <w:p>
      <w:pPr>
        <w:snapToGrid w:val="0"/>
        <w:spacing w:line="360" w:lineRule="auto"/>
        <w:ind w:firstLine="480" w:firstLineChars="200"/>
        <w:jc w:val="left"/>
        <w:rPr>
          <w:rFonts w:ascii="仿宋" w:hAnsi="仿宋" w:eastAsia="仿宋"/>
          <w:iCs/>
          <w:sz w:val="24"/>
          <w:u w:val="single"/>
        </w:rPr>
      </w:pPr>
      <w:r>
        <w:rPr>
          <w:rFonts w:hint="eastAsia" w:ascii="仿宋" w:hAnsi="仿宋" w:eastAsia="仿宋"/>
          <w:iCs/>
          <w:sz w:val="24"/>
          <w:u w:val="single"/>
        </w:rPr>
        <w:t>（6）乙方擅自将本合同的全部或部分事务转由第三人承担（经甲方同意的分包人除外），甲方可解除本合同，且乙方应按合同总价的30％向甲方支付违约金。如发生损失的，乙方还应赔偿甲方损失。</w:t>
      </w:r>
    </w:p>
    <w:p>
      <w:pPr>
        <w:snapToGrid w:val="0"/>
        <w:spacing w:line="360" w:lineRule="auto"/>
        <w:ind w:firstLine="480" w:firstLineChars="200"/>
        <w:jc w:val="left"/>
        <w:rPr>
          <w:rFonts w:ascii="仿宋" w:hAnsi="仿宋" w:eastAsia="仿宋"/>
          <w:iCs/>
          <w:sz w:val="24"/>
          <w:u w:val="single"/>
        </w:rPr>
      </w:pPr>
      <w:r>
        <w:rPr>
          <w:rFonts w:hint="eastAsia" w:ascii="仿宋" w:hAnsi="仿宋" w:eastAsia="仿宋"/>
          <w:iCs/>
          <w:sz w:val="24"/>
          <w:u w:val="single"/>
        </w:rPr>
        <w:t>（7）乙方所有人员的事故和因乙方工作过错造成的安全管理事故，乙方自行负全部责任及相关费用。</w:t>
      </w:r>
    </w:p>
    <w:p>
      <w:pPr>
        <w:snapToGrid w:val="0"/>
        <w:spacing w:line="360" w:lineRule="auto"/>
        <w:ind w:firstLine="480" w:firstLineChars="200"/>
        <w:jc w:val="left"/>
        <w:rPr>
          <w:rFonts w:ascii="仿宋" w:hAnsi="仿宋" w:eastAsia="仿宋"/>
          <w:iCs/>
          <w:sz w:val="24"/>
          <w:u w:val="single"/>
        </w:rPr>
      </w:pPr>
      <w:r>
        <w:rPr>
          <w:rFonts w:hint="eastAsia" w:ascii="仿宋" w:hAnsi="仿宋" w:eastAsia="仿宋"/>
          <w:iCs/>
          <w:sz w:val="24"/>
          <w:u w:val="single"/>
        </w:rPr>
        <w:t>（8）乙方未按网络安全履行责任和义务的，每发生一次扣除违约金10000元。发生违反相关保密规定，除扣除违约金10000元/次外，甲方将追究乙方一切法律责任。甲方应当对乙方及工作人员开展常态化安全保密教育，组织签订安全保密承诺书，明确具体安全管理内容、安全保密义务和责任。严格按照甲方规定使用、存储、处理文档资料和数据。合同终止时，应当交还全部公安资料和数据。如乙方及乙方施工人员违反安全管理要求，构成违法犯罪的，甲方将报送本级政府采购和市场监督管理部门，提请列入政府采购严重违法失信行为记录名单、市场监督管理严重失信名单，并追究相关责任。</w:t>
      </w:r>
    </w:p>
    <w:p>
      <w:pPr>
        <w:snapToGrid w:val="0"/>
        <w:spacing w:line="360" w:lineRule="auto"/>
        <w:ind w:firstLine="480" w:firstLineChars="200"/>
        <w:jc w:val="left"/>
        <w:rPr>
          <w:rFonts w:ascii="仿宋" w:hAnsi="仿宋" w:eastAsia="仿宋"/>
          <w:iCs/>
          <w:sz w:val="24"/>
          <w:u w:val="single"/>
        </w:rPr>
      </w:pPr>
      <w:r>
        <w:rPr>
          <w:rFonts w:hint="eastAsia" w:ascii="仿宋" w:hAnsi="仿宋" w:eastAsia="仿宋"/>
          <w:iCs/>
          <w:sz w:val="24"/>
          <w:u w:val="single"/>
        </w:rPr>
        <w:t>（9）服务期间，甲方每月对乙方实施考核，如有违约的，根据考核条款进行处置，直至解除合同。</w:t>
      </w:r>
    </w:p>
    <w:p>
      <w:pPr>
        <w:spacing w:line="360" w:lineRule="auto"/>
        <w:ind w:firstLine="480" w:firstLineChars="200"/>
        <w:jc w:val="left"/>
        <w:rPr>
          <w:sz w:val="24"/>
        </w:rPr>
      </w:pPr>
      <w:r>
        <w:rPr>
          <w:rFonts w:hint="eastAsia" w:ascii="仿宋" w:hAnsi="仿宋" w:eastAsia="仿宋"/>
          <w:iCs/>
          <w:sz w:val="24"/>
          <w:u w:val="single"/>
        </w:rPr>
        <w:t>（10）本项目履约过程中，乙方承诺预留中小企业的比例应达到合同总价的【100】%，若未达到此要求，甲方有权没收全部履约保证金（如有），报送本级政府采购监管部门，提请列入失信行为记录名单，追究相关责任，且乙方应向甲方支付合同总价30%的违约金。</w:t>
      </w:r>
    </w:p>
    <w:p>
      <w:pPr>
        <w:snapToGrid w:val="0"/>
        <w:spacing w:line="360" w:lineRule="auto"/>
        <w:ind w:firstLine="480" w:firstLineChars="200"/>
        <w:jc w:val="left"/>
        <w:rPr>
          <w:rFonts w:ascii="仿宋" w:hAnsi="仿宋" w:eastAsia="仿宋"/>
          <w:iCs/>
          <w:sz w:val="24"/>
          <w:u w:val="single"/>
        </w:rPr>
      </w:pPr>
      <w:r>
        <w:rPr>
          <w:rFonts w:hint="eastAsia" w:ascii="仿宋" w:hAnsi="仿宋" w:eastAsia="仿宋"/>
          <w:iCs/>
          <w:sz w:val="24"/>
          <w:u w:val="single"/>
        </w:rPr>
        <w:t>（11）违约金在结算合同尾款时一次性扣除。</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1.9合同争议的解决</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sz w:val="24"/>
          <w:u w:val="single"/>
        </w:rPr>
        <w:t xml:space="preserve"> 1.9.2条</w:t>
      </w:r>
      <w:r>
        <w:rPr>
          <w:rFonts w:hint="eastAsia" w:ascii="仿宋" w:hAnsi="仿宋" w:eastAsia="仿宋" w:cs="仿宋"/>
          <w:sz w:val="24"/>
        </w:rPr>
        <w:t>款规定的方式解决：</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1.9.1 将争议提交仲裁委员会依申请仲裁时其现行有效的仲裁规则裁决；</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1.9.2 向甲方所在地人民法院起诉。</w:t>
      </w:r>
    </w:p>
    <w:p>
      <w:pPr>
        <w:spacing w:line="360" w:lineRule="auto"/>
        <w:ind w:firstLine="480" w:firstLineChars="200"/>
        <w:rPr>
          <w:rFonts w:ascii="仿宋" w:hAnsi="仿宋" w:eastAsia="仿宋" w:cs="仿宋"/>
          <w:sz w:val="24"/>
        </w:rPr>
      </w:pPr>
      <w:r>
        <w:rPr>
          <w:rFonts w:hint="eastAsia" w:ascii="仿宋" w:hAnsi="仿宋" w:eastAsia="仿宋" w:cs="仿宋"/>
          <w:sz w:val="24"/>
        </w:rPr>
        <w:t>2.3.2合同涉及技术成果的归属和收益的分成办法的</w:t>
      </w:r>
      <w:r>
        <w:rPr>
          <w:rFonts w:hint="eastAsia" w:ascii="仿宋" w:hAnsi="仿宋" w:eastAsia="仿宋" w:cs="仿宋"/>
          <w:sz w:val="24"/>
          <w:u w:val="single"/>
        </w:rPr>
        <w:t>无</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
          <w:sz w:val="24"/>
        </w:rPr>
        <w:t>结算方式和付款条件：见1.6.2条款。</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2.11.3因不可抗力致使合同有变更必要的，双方当事人应在</w:t>
      </w:r>
      <w:r>
        <w:rPr>
          <w:rFonts w:hint="eastAsia" w:ascii="仿宋" w:hAnsi="仿宋" w:eastAsia="仿宋" w:cs="仿宋"/>
          <w:b/>
          <w:i/>
          <w:sz w:val="24"/>
          <w:u w:val="single"/>
        </w:rPr>
        <w:t>15个工作日</w:t>
      </w:r>
      <w:r>
        <w:rPr>
          <w:rFonts w:hint="eastAsia" w:ascii="仿宋" w:hAnsi="仿宋" w:eastAsia="仿宋" w:cs="仿宋"/>
          <w:sz w:val="24"/>
        </w:rPr>
        <w:t>内以书面形式变更合同；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7个工作日</w:t>
      </w:r>
      <w:r>
        <w:rPr>
          <w:rFonts w:hint="eastAsia" w:ascii="仿宋" w:hAnsi="仿宋" w:eastAsia="仿宋" w:cs="仿宋"/>
          <w:sz w:val="24"/>
        </w:rPr>
        <w:t>内以书面形式通知对方当事人，并在</w:t>
      </w:r>
      <w:r>
        <w:rPr>
          <w:rFonts w:hint="eastAsia" w:ascii="仿宋" w:hAnsi="仿宋" w:eastAsia="仿宋" w:cs="仿宋"/>
          <w:b/>
          <w:i/>
          <w:sz w:val="24"/>
          <w:u w:val="single"/>
        </w:rPr>
        <w:t>10个工作日</w:t>
      </w:r>
      <w:r>
        <w:rPr>
          <w:rFonts w:hint="eastAsia" w:ascii="仿宋" w:hAnsi="仿宋" w:eastAsia="仿宋" w:cs="仿宋"/>
          <w:sz w:val="24"/>
        </w:rPr>
        <w:t>内，将有关部门出具的证明文件送达对方当事人。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2.15.1履约验收时间：</w:t>
      </w:r>
      <w:r>
        <w:rPr>
          <w:rFonts w:hint="eastAsia" w:ascii="仿宋" w:hAnsi="仿宋" w:eastAsia="仿宋" w:cs="仿宋"/>
          <w:sz w:val="24"/>
          <w:u w:val="single"/>
        </w:rPr>
        <w:t xml:space="preserve">第一次验收2024年10月31日以后，第二次验收 2025年6月4日服务结束后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2.15.3检验和验收标准、程序</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(2)严格按照采购合同开展履约验收。甲方委托第三方机构组织验收，成立验收小组（验收小组由5人组成：其中甲方1名，专家4名（第三方机构在政采云政企区专家库随机抽取相关专业）），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(3)验收合格的项目，甲方将根据采购合同的约定及时向乙方支付采购资金、退还履约保证金。验收不合格的项目，甲方将依法及时处理。采购合同的履行、违约责任和解决争议的方式等适用《中华人民共和国民法典》。</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(4)验收产生的费用首次验收费用由甲方承担，如首次验收不合格，后续验收费用由乙方支付。</w:t>
      </w:r>
    </w:p>
    <w:p>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（5）验收内容及资料要求：</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5.1验收内容</w:t>
      </w:r>
    </w:p>
    <w:tbl>
      <w:tblPr>
        <w:tblStyle w:val="6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376"/>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ind w:firstLine="0"/>
              <w:rPr>
                <w:rFonts w:ascii="仿宋" w:hAnsi="仿宋" w:eastAsia="仿宋" w:cs="仿宋"/>
                <w:kern w:val="2"/>
                <w:szCs w:val="24"/>
              </w:rPr>
            </w:pPr>
            <w:r>
              <w:rPr>
                <w:rFonts w:hint="eastAsia" w:ascii="仿宋" w:hAnsi="仿宋" w:eastAsia="仿宋" w:cs="仿宋"/>
                <w:kern w:val="2"/>
                <w:szCs w:val="24"/>
              </w:rPr>
              <w:t>序号</w:t>
            </w:r>
          </w:p>
        </w:tc>
        <w:tc>
          <w:tcPr>
            <w:tcW w:w="714" w:type="pct"/>
            <w:tcBorders>
              <w:top w:val="single" w:color="auto" w:sz="4" w:space="0"/>
              <w:left w:val="single" w:color="auto" w:sz="4" w:space="0"/>
              <w:bottom w:val="single" w:color="auto" w:sz="4" w:space="0"/>
              <w:right w:val="single" w:color="auto" w:sz="4" w:space="0"/>
            </w:tcBorders>
            <w:noWrap/>
            <w:vAlign w:val="center"/>
          </w:tcPr>
          <w:p>
            <w:pPr>
              <w:pStyle w:val="82"/>
              <w:ind w:firstLine="0"/>
              <w:rPr>
                <w:rFonts w:ascii="仿宋" w:hAnsi="仿宋" w:eastAsia="仿宋" w:cs="仿宋"/>
                <w:kern w:val="2"/>
                <w:szCs w:val="24"/>
              </w:rPr>
            </w:pPr>
            <w:r>
              <w:rPr>
                <w:rFonts w:hint="eastAsia" w:ascii="仿宋" w:hAnsi="仿宋" w:eastAsia="仿宋" w:cs="仿宋"/>
                <w:kern w:val="2"/>
                <w:szCs w:val="24"/>
              </w:rPr>
              <w:t>验收内容</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ind w:firstLine="0"/>
              <w:jc w:val="center"/>
              <w:rPr>
                <w:rFonts w:ascii="仿宋" w:hAnsi="仿宋" w:eastAsia="仿宋" w:cs="仿宋"/>
                <w:kern w:val="2"/>
                <w:szCs w:val="24"/>
              </w:rPr>
            </w:pPr>
            <w:r>
              <w:rPr>
                <w:rFonts w:hint="eastAsia" w:ascii="仿宋" w:hAnsi="仿宋" w:eastAsia="仿宋" w:cs="仿宋"/>
                <w:kern w:val="2"/>
                <w:szCs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vMerge w:val="restar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1</w:t>
            </w:r>
          </w:p>
        </w:tc>
        <w:tc>
          <w:tcPr>
            <w:tcW w:w="714" w:type="pct"/>
            <w:vMerge w:val="restart"/>
            <w:tcBorders>
              <w:top w:val="single" w:color="auto" w:sz="4" w:space="0"/>
              <w:left w:val="single" w:color="auto" w:sz="4" w:space="0"/>
              <w:bottom w:val="single" w:color="auto" w:sz="4" w:space="0"/>
              <w:right w:val="single" w:color="auto" w:sz="4" w:space="0"/>
            </w:tcBorders>
            <w:noWrap/>
            <w:vAlign w:val="center"/>
          </w:tcPr>
          <w:p>
            <w:pPr>
              <w:pStyle w:val="82"/>
              <w:ind w:firstLine="0"/>
              <w:jc w:val="center"/>
              <w:rPr>
                <w:rFonts w:ascii="仿宋" w:hAnsi="仿宋" w:eastAsia="仿宋" w:cs="仿宋"/>
                <w:kern w:val="2"/>
                <w:szCs w:val="24"/>
              </w:rPr>
            </w:pPr>
            <w:r>
              <w:rPr>
                <w:rFonts w:hint="eastAsia" w:ascii="仿宋" w:hAnsi="仿宋" w:eastAsia="仿宋" w:cs="仿宋"/>
                <w:kern w:val="2"/>
                <w:szCs w:val="24"/>
              </w:rPr>
              <w:t>质量</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硬件设备运行稳定，符合合同和甲方实际使用需求。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软件系统运行稳定，运行良好，未发生重大故障，符合合同和甲方实际使用需求。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76" w:type="pct"/>
            <w:vMerge w:val="restar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2</w:t>
            </w:r>
          </w:p>
        </w:tc>
        <w:tc>
          <w:tcPr>
            <w:tcW w:w="714" w:type="pct"/>
            <w:vMerge w:val="restart"/>
            <w:tcBorders>
              <w:top w:val="single" w:color="auto" w:sz="4" w:space="0"/>
              <w:left w:val="single" w:color="auto" w:sz="4" w:space="0"/>
              <w:bottom w:val="single" w:color="auto" w:sz="4" w:space="0"/>
              <w:right w:val="single" w:color="auto" w:sz="4" w:space="0"/>
            </w:tcBorders>
            <w:noWrap/>
            <w:vAlign w:val="center"/>
          </w:tcPr>
          <w:p>
            <w:pPr>
              <w:pStyle w:val="82"/>
              <w:ind w:firstLine="0"/>
              <w:jc w:val="center"/>
              <w:rPr>
                <w:rFonts w:ascii="仿宋" w:hAnsi="仿宋" w:eastAsia="仿宋" w:cs="仿宋"/>
                <w:kern w:val="2"/>
                <w:szCs w:val="24"/>
              </w:rPr>
            </w:pPr>
            <w:r>
              <w:rPr>
                <w:rFonts w:hint="eastAsia" w:ascii="仿宋" w:hAnsi="仿宋" w:eastAsia="仿宋" w:cs="仿宋"/>
                <w:kern w:val="2"/>
                <w:szCs w:val="24"/>
              </w:rPr>
              <w:t>进度</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项目按服务要求完成巡检，并在规定的时间内完成各项巡检内容。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项目按服务要求完成外建新建项目的抽检，并在规定的时间内完成抽检报告。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按投标承诺的故障响应、到达时间、协助现场故障诊断及故障排除。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6" w:type="pct"/>
            <w:vMerge w:val="restar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3</w:t>
            </w:r>
          </w:p>
        </w:tc>
        <w:tc>
          <w:tcPr>
            <w:tcW w:w="714" w:type="pct"/>
            <w:vMerge w:val="restar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服务</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在服务期间，建立完善的运行维护机制，有效的落实各项运维工作。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提供专项服务（原厂服务）。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在服务期间，应严格遵守有关法律法规，委托合同约定的，要承担相应的法律责任。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运维耗材更换严格按采购需求的规定执行。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4</w:t>
            </w:r>
          </w:p>
        </w:tc>
        <w:tc>
          <w:tcPr>
            <w:tcW w:w="714"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人员管理</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在服务期间，按合同和投标文件投入项目团队人员（项目负责人及驻点16名服务人员等）。在服务期间，维护人员到位，若人员变更需提前经甲方审核。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5</w:t>
            </w:r>
          </w:p>
        </w:tc>
        <w:tc>
          <w:tcPr>
            <w:tcW w:w="714"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台帐</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要做好日常的台帐记录，做到记录及时、完整。每月提交项目资料和月报。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6</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kern w:val="0"/>
                <w:sz w:val="24"/>
              </w:rPr>
            </w:pPr>
            <w:r>
              <w:rPr>
                <w:rFonts w:hint="eastAsia" w:ascii="仿宋" w:hAnsi="仿宋" w:eastAsia="仿宋" w:cs="仿宋"/>
                <w:kern w:val="0"/>
                <w:sz w:val="24"/>
              </w:rPr>
              <w:t>保密及安全工作</w:t>
            </w:r>
          </w:p>
        </w:tc>
        <w:tc>
          <w:tcPr>
            <w:tcW w:w="371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仿宋" w:hAnsi="仿宋" w:eastAsia="仿宋" w:cs="仿宋"/>
                <w:kern w:val="0"/>
                <w:sz w:val="24"/>
              </w:rPr>
            </w:pPr>
            <w:r>
              <w:rPr>
                <w:rFonts w:hint="eastAsia" w:ascii="仿宋" w:hAnsi="仿宋" w:eastAsia="仿宋" w:cs="仿宋"/>
                <w:sz w:val="24"/>
              </w:rPr>
              <w:t>满足甲方的保密规定实施，签订单位保密协议。按要求签订安全保密承诺书，明确具体安全管理内容、安全保密义务和责任。乙方及工作人员无违反安全管理要求的情况，未出现各类涉及公安业务的资料等外流泄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7</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kern w:val="0"/>
                <w:sz w:val="24"/>
              </w:rPr>
            </w:pPr>
            <w:r>
              <w:rPr>
                <w:rFonts w:hint="eastAsia" w:ascii="仿宋" w:hAnsi="仿宋" w:eastAsia="仿宋" w:cs="仿宋"/>
                <w:bCs/>
                <w:kern w:val="0"/>
                <w:sz w:val="24"/>
              </w:rPr>
              <w:t>网络安全与责任管理</w:t>
            </w:r>
          </w:p>
        </w:tc>
        <w:tc>
          <w:tcPr>
            <w:tcW w:w="371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（1）明确乙方法定代表人为合作事项网络安全第一责任人，具体承担合作事项的部门主要负责人为直接责任人。</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（2）不得转包合同任务；除非主体、非关键性的“运维耗材”工作外，不得分包合同任务。</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（3）乙方应制订与合作事项相关的网络安全保障方案和网络安全事件应急预案。</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（4）乙方发现网络安全漏洞、缺陷或者其他严重网络安全风险，应及时向甲方报告。</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（5）处理合作事项的信息平台应当优先采用安全可信的硬件和软件产品。</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（6）发生可能影响合作事项的网络安全重大事项，包括负责人及重要工作人员变更、业务转型、合并重组和投资并购等，乙方应提前向甲方报告。</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（7）采用社会公共网络平台实施合作事项时，严禁涉及国家秘密和警务工作秘密。</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（8）乙方应于2025年6月4日之前向甲方提交网络安全报告。</w:t>
            </w:r>
          </w:p>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sz w:val="24"/>
              </w:rPr>
              <w:t>（9）涉及甲方机房视频专网的维护工作，需要配置专用网络安全工具进行实时扫描检测。</w:t>
            </w:r>
          </w:p>
          <w:p>
            <w:pPr>
              <w:autoSpaceDE w:val="0"/>
              <w:autoSpaceDN w:val="0"/>
              <w:spacing w:line="360" w:lineRule="auto"/>
              <w:ind w:left="16" w:leftChars="-53" w:hanging="127" w:hangingChars="53"/>
              <w:rPr>
                <w:rFonts w:ascii="仿宋" w:hAnsi="仿宋" w:eastAsia="仿宋" w:cs="仿宋"/>
                <w:kern w:val="0"/>
                <w:sz w:val="24"/>
              </w:rPr>
            </w:pPr>
            <w:r>
              <w:rPr>
                <w:rFonts w:hint="eastAsia" w:ascii="仿宋" w:hAnsi="仿宋" w:eastAsia="仿宋" w:cs="仿宋"/>
                <w:sz w:val="24"/>
              </w:rPr>
              <w:t>（10）其他应当落实的网络安全责任和义务。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9</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bCs/>
                <w:kern w:val="0"/>
                <w:sz w:val="24"/>
              </w:rPr>
            </w:pPr>
            <w:r>
              <w:rPr>
                <w:rFonts w:hint="eastAsia" w:ascii="仿宋" w:hAnsi="仿宋" w:eastAsia="仿宋" w:cs="仿宋"/>
                <w:kern w:val="0"/>
                <w:sz w:val="24"/>
              </w:rPr>
              <w:t>中小微企业比例</w:t>
            </w:r>
          </w:p>
        </w:tc>
        <w:tc>
          <w:tcPr>
            <w:tcW w:w="371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6" w:leftChars="-53" w:hanging="127" w:hangingChars="53"/>
              <w:rPr>
                <w:rFonts w:ascii="仿宋" w:hAnsi="仿宋" w:eastAsia="仿宋" w:cs="仿宋"/>
                <w:sz w:val="24"/>
              </w:rPr>
            </w:pPr>
            <w:r>
              <w:rPr>
                <w:rFonts w:hint="eastAsia" w:ascii="仿宋" w:hAnsi="仿宋" w:eastAsia="仿宋" w:cs="仿宋"/>
                <w:kern w:val="0"/>
                <w:sz w:val="24"/>
              </w:rPr>
              <w:t>本项目履约过程中，不存在转包行为，且确保服务内容100%面向中小企业。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pct"/>
            <w:tcBorders>
              <w:top w:val="single" w:color="auto" w:sz="4" w:space="0"/>
              <w:left w:val="single" w:color="auto" w:sz="4" w:space="0"/>
              <w:bottom w:val="single" w:color="auto" w:sz="4" w:space="0"/>
              <w:right w:val="single" w:color="auto" w:sz="4" w:space="0"/>
            </w:tcBorders>
            <w:noWrap/>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10</w:t>
            </w:r>
          </w:p>
        </w:tc>
        <w:tc>
          <w:tcPr>
            <w:tcW w:w="714"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jc w:val="center"/>
              <w:rPr>
                <w:rFonts w:ascii="仿宋" w:hAnsi="仿宋" w:eastAsia="仿宋" w:cs="仿宋"/>
                <w:kern w:val="2"/>
                <w:szCs w:val="24"/>
              </w:rPr>
            </w:pPr>
            <w:r>
              <w:rPr>
                <w:rFonts w:hint="eastAsia" w:ascii="仿宋" w:hAnsi="仿宋" w:eastAsia="仿宋" w:cs="仿宋"/>
                <w:kern w:val="2"/>
                <w:szCs w:val="24"/>
              </w:rPr>
              <w:t>其他工作</w:t>
            </w:r>
          </w:p>
        </w:tc>
        <w:tc>
          <w:tcPr>
            <w:tcW w:w="3710" w:type="pct"/>
            <w:tcBorders>
              <w:top w:val="single" w:color="auto" w:sz="4" w:space="0"/>
              <w:left w:val="single" w:color="auto" w:sz="4" w:space="0"/>
              <w:bottom w:val="single" w:color="auto" w:sz="4" w:space="0"/>
              <w:right w:val="single" w:color="auto" w:sz="4" w:space="0"/>
            </w:tcBorders>
            <w:vAlign w:val="center"/>
          </w:tcPr>
          <w:p>
            <w:pPr>
              <w:pStyle w:val="82"/>
              <w:tabs>
                <w:tab w:val="left" w:pos="312"/>
              </w:tabs>
              <w:ind w:firstLine="0"/>
              <w:rPr>
                <w:rFonts w:ascii="仿宋" w:hAnsi="仿宋" w:eastAsia="仿宋" w:cs="仿宋"/>
                <w:kern w:val="2"/>
                <w:szCs w:val="24"/>
              </w:rPr>
            </w:pPr>
            <w:r>
              <w:rPr>
                <w:rFonts w:hint="eastAsia" w:ascii="仿宋" w:hAnsi="仿宋" w:eastAsia="仿宋" w:cs="仿宋"/>
                <w:kern w:val="2"/>
                <w:szCs w:val="24"/>
              </w:rPr>
              <w:t>履行项目采购文件、投标文件、合同条款中涉及的其他承诺的情况。</w:t>
            </w:r>
          </w:p>
        </w:tc>
      </w:tr>
    </w:tbl>
    <w:p>
      <w:pPr>
        <w:rPr>
          <w:rFonts w:ascii="仿宋" w:hAnsi="仿宋" w:eastAsia="仿宋" w:cs="仿宋"/>
          <w:sz w:val="24"/>
        </w:rPr>
      </w:pPr>
    </w:p>
    <w:p>
      <w:pPr>
        <w:spacing w:line="360" w:lineRule="auto"/>
        <w:ind w:firstLine="420"/>
        <w:jc w:val="left"/>
        <w:rPr>
          <w:rFonts w:ascii="仿宋" w:hAnsi="仿宋" w:eastAsia="仿宋" w:cs="仿宋"/>
          <w:sz w:val="24"/>
          <w:u w:val="single"/>
        </w:rPr>
      </w:pPr>
      <w:r>
        <w:rPr>
          <w:rFonts w:hint="eastAsia" w:ascii="仿宋" w:hAnsi="仿宋" w:eastAsia="仿宋" w:cs="仿宋"/>
          <w:sz w:val="24"/>
          <w:u w:val="single"/>
        </w:rPr>
        <w:t>5.2 验收资料：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验收资料和文件是项目验收的重要依据，乙方从项目实施开始就应完整地积累和保管，验收时在职能部门的指导、配合下按照甲方有关要求编目建档。</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1）招标文件；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2）投标文件；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3）项目合同；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4）项目组人员清单、人员资质证书、资历证明、每月社保缴纳材料、人员变更审批表（如有）、服务人员每日钉钉考勤打卡记录；</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5）每日巡检记录、每月巡检报告、</w:t>
      </w:r>
      <w:r>
        <w:rPr>
          <w:rFonts w:hint="eastAsia" w:ascii="仿宋" w:hAnsi="仿宋" w:eastAsia="仿宋" w:cs="仿宋"/>
          <w:bCs/>
          <w:sz w:val="24"/>
        </w:rPr>
        <w:t>维护维修记录台账、新建系统点位平台接入/删减工作台账</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6）外建新建点位抽检报告、每月点位接入分配清单、外建新建项目接入工作台账、运维周报、运维月报、运维总结报告；</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7）运维耗材使用清单、故障维修记录、相关照片；</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8）设备材料更换书面申请、维修记录台账、设备材料更换清单、相关照片；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9）每月考核材料：需甲方经办人及审核人、监理、乙方签字并盖章；</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10）车辆清单（包括车辆行驶证、年检记录、定位系统路线图）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11）原厂每月巡检记录、原厂服务维修记录；</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12）网络安全保障方案、网络安全事件应急预案、网络安全风险书面报告（如有）、网络安全重大事项书面报告（如有）、网络安全报告（第二次验收时提供）；</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13）单位保密协议、个人保密承诺书、日常保密教育台账；</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14）专门面向中小企业的佐证材料；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15）验收报审表：由乙方提交，经甲方、监理审批；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16）第一次验收资料（第二次验收时提供）</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17）其他需提供的相关材料。</w:t>
      </w:r>
    </w:p>
    <w:p>
      <w:pPr>
        <w:spacing w:line="360" w:lineRule="auto"/>
        <w:ind w:firstLine="480" w:firstLineChars="200"/>
        <w:rPr>
          <w:rFonts w:ascii="仿宋" w:hAnsi="仿宋" w:eastAsia="仿宋" w:cs="仿宋"/>
          <w:sz w:val="24"/>
        </w:rPr>
      </w:pPr>
      <w:r>
        <w:rPr>
          <w:rFonts w:hint="eastAsia" w:ascii="仿宋" w:hAnsi="仿宋" w:eastAsia="仿宋" w:cs="仿宋"/>
          <w:sz w:val="24"/>
        </w:rPr>
        <w:t>2.19本合同正本壹式陆份，具有同等法律效力，甲乙双方各执叁份。</w:t>
      </w:r>
    </w:p>
    <w:p>
      <w:pPr>
        <w:spacing w:line="360" w:lineRule="auto"/>
        <w:ind w:firstLine="311" w:firstLineChars="129"/>
        <w:rPr>
          <w:rFonts w:ascii="仿宋" w:hAnsi="仿宋" w:eastAsia="仿宋" w:cs="仿宋"/>
          <w:b/>
          <w:bCs/>
          <w:sz w:val="24"/>
        </w:rPr>
      </w:pPr>
      <w:r>
        <w:rPr>
          <w:rFonts w:hint="eastAsia" w:ascii="仿宋" w:hAnsi="仿宋" w:eastAsia="仿宋" w:cs="仿宋"/>
          <w:b/>
          <w:bCs/>
          <w:sz w:val="24"/>
        </w:rPr>
        <w:t>服务要求：</w:t>
      </w:r>
    </w:p>
    <w:p>
      <w:pPr>
        <w:autoSpaceDE w:val="0"/>
        <w:autoSpaceDN w:val="0"/>
        <w:spacing w:line="360" w:lineRule="auto"/>
        <w:rPr>
          <w:rFonts w:ascii="仿宋" w:hAnsi="仿宋" w:eastAsia="仿宋" w:cs="仿宋"/>
          <w:b/>
          <w:bCs/>
          <w:sz w:val="24"/>
        </w:rPr>
      </w:pPr>
      <w:r>
        <w:rPr>
          <w:rFonts w:hint="eastAsia" w:ascii="仿宋" w:hAnsi="仿宋" w:eastAsia="仿宋" w:cs="仿宋"/>
          <w:b/>
          <w:bCs/>
          <w:sz w:val="24"/>
        </w:rPr>
        <w:t>一）</w:t>
      </w:r>
      <w:r>
        <w:rPr>
          <w:rFonts w:hint="eastAsia" w:ascii="仿宋" w:hAnsi="仿宋" w:eastAsia="仿宋" w:cs="仿宋"/>
          <w:b/>
          <w:bCs/>
          <w:sz w:val="24"/>
          <w:lang w:val="zh-CN"/>
        </w:rPr>
        <w:t>维护工作内容及要求</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1、维护标准：</w:t>
      </w:r>
    </w:p>
    <w:p>
      <w:pPr>
        <w:ind w:firstLine="331" w:firstLineChars="138"/>
        <w:rPr>
          <w:rFonts w:ascii="仿宋" w:hAnsi="仿宋" w:eastAsia="仿宋" w:cs="仿宋"/>
          <w:snapToGrid w:val="0"/>
          <w:sz w:val="24"/>
        </w:rPr>
      </w:pPr>
      <w:r>
        <w:rPr>
          <w:rFonts w:hint="eastAsia" w:ascii="仿宋" w:hAnsi="仿宋" w:eastAsia="仿宋" w:cs="仿宋"/>
          <w:snapToGrid w:val="0"/>
          <w:sz w:val="24"/>
        </w:rPr>
        <w:t>（1）GB4943-2001 《信息技术设备的安全》；</w:t>
      </w:r>
    </w:p>
    <w:p>
      <w:pPr>
        <w:ind w:firstLine="331" w:firstLineChars="138"/>
        <w:rPr>
          <w:rFonts w:ascii="仿宋" w:hAnsi="仿宋" w:eastAsia="仿宋" w:cs="仿宋"/>
          <w:snapToGrid w:val="0"/>
          <w:sz w:val="24"/>
        </w:rPr>
      </w:pPr>
      <w:r>
        <w:rPr>
          <w:rFonts w:hint="eastAsia" w:ascii="仿宋" w:hAnsi="仿宋" w:eastAsia="仿宋" w:cs="仿宋"/>
          <w:snapToGrid w:val="0"/>
          <w:sz w:val="24"/>
        </w:rPr>
        <w:t>（2）GB/T20157-2006 《信息技术 软件维护》；</w:t>
      </w:r>
    </w:p>
    <w:p>
      <w:pPr>
        <w:ind w:firstLine="331" w:firstLineChars="138"/>
        <w:rPr>
          <w:rFonts w:ascii="仿宋" w:hAnsi="仿宋" w:eastAsia="仿宋" w:cs="仿宋"/>
          <w:snapToGrid w:val="0"/>
          <w:sz w:val="24"/>
        </w:rPr>
      </w:pPr>
      <w:r>
        <w:rPr>
          <w:rFonts w:hint="eastAsia" w:ascii="仿宋" w:hAnsi="仿宋" w:eastAsia="仿宋" w:cs="仿宋"/>
          <w:snapToGrid w:val="0"/>
          <w:sz w:val="24"/>
        </w:rPr>
        <w:t>（3）GB/T 9813.3-2017 《计算机通用规范 第3部分：服务器》。</w:t>
      </w:r>
    </w:p>
    <w:p>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bCs/>
          <w:sz w:val="24"/>
        </w:rPr>
        <w:t>2、维护内容：</w:t>
      </w:r>
    </w:p>
    <w:p>
      <w:pPr>
        <w:pStyle w:val="5"/>
        <w:spacing w:line="360" w:lineRule="auto"/>
        <w:rPr>
          <w:rFonts w:ascii="仿宋" w:hAnsi="仿宋" w:eastAsia="仿宋" w:cs="仿宋"/>
          <w:color w:val="auto"/>
          <w:kern w:val="2"/>
          <w:sz w:val="24"/>
          <w:szCs w:val="24"/>
        </w:rPr>
      </w:pPr>
      <w:r>
        <w:rPr>
          <w:rFonts w:hint="eastAsia" w:ascii="仿宋" w:hAnsi="仿宋" w:eastAsia="仿宋" w:cs="仿宋"/>
          <w:color w:val="auto"/>
          <w:kern w:val="2"/>
          <w:sz w:val="24"/>
          <w:szCs w:val="24"/>
        </w:rPr>
        <w:t>杭州市公安局交通警察支队视频专网机房有一批服务器、网络、存储等软硬件设备已过维保期，现需要采购维保服务，保障甲方视频专网机房正常稳定运行。</w:t>
      </w:r>
    </w:p>
    <w:p>
      <w:pPr>
        <w:pStyle w:val="5"/>
        <w:spacing w:line="360" w:lineRule="auto"/>
        <w:jc w:val="center"/>
        <w:rPr>
          <w:rFonts w:ascii="仿宋" w:hAnsi="仿宋" w:eastAsia="仿宋" w:cs="仿宋"/>
          <w:b/>
          <w:bCs/>
          <w:color w:val="auto"/>
          <w:kern w:val="2"/>
          <w:sz w:val="24"/>
          <w:szCs w:val="24"/>
        </w:rPr>
      </w:pPr>
      <w:r>
        <w:rPr>
          <w:rFonts w:hint="eastAsia" w:ascii="仿宋" w:hAnsi="仿宋" w:eastAsia="仿宋" w:cs="仿宋"/>
          <w:b/>
          <w:bCs/>
          <w:color w:val="auto"/>
          <w:sz w:val="24"/>
          <w:szCs w:val="24"/>
        </w:rPr>
        <w:t>运维总清单</w:t>
      </w:r>
    </w:p>
    <w:tbl>
      <w:tblPr>
        <w:tblStyle w:val="62"/>
        <w:tblW w:w="9108" w:type="dxa"/>
        <w:tblInd w:w="0" w:type="dxa"/>
        <w:tblLayout w:type="fixed"/>
        <w:tblCellMar>
          <w:top w:w="0" w:type="dxa"/>
          <w:left w:w="108" w:type="dxa"/>
          <w:bottom w:w="0" w:type="dxa"/>
          <w:right w:w="108" w:type="dxa"/>
        </w:tblCellMar>
      </w:tblPr>
      <w:tblGrid>
        <w:gridCol w:w="758"/>
        <w:gridCol w:w="1134"/>
        <w:gridCol w:w="2110"/>
        <w:gridCol w:w="708"/>
        <w:gridCol w:w="709"/>
        <w:gridCol w:w="2056"/>
        <w:gridCol w:w="1633"/>
      </w:tblGrid>
      <w:tr>
        <w:tblPrEx>
          <w:tblCellMar>
            <w:top w:w="0" w:type="dxa"/>
            <w:left w:w="108" w:type="dxa"/>
            <w:bottom w:w="0" w:type="dxa"/>
            <w:right w:w="108" w:type="dxa"/>
          </w:tblCellMar>
        </w:tblPrEx>
        <w:trPr>
          <w:trHeight w:val="285" w:hRule="atLeast"/>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设备名称</w:t>
            </w:r>
          </w:p>
        </w:tc>
        <w:tc>
          <w:tcPr>
            <w:tcW w:w="2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设备型号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w:t>
            </w:r>
          </w:p>
        </w:tc>
        <w:tc>
          <w:tcPr>
            <w:tcW w:w="2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运维人员</w:t>
            </w:r>
          </w:p>
        </w:tc>
        <w:tc>
          <w:tcPr>
            <w:tcW w:w="16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备注</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专线接入交换机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CE6851-48S6Q-HI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互联出口交换机(ISW)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CE6851-48S6Q-HI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S5720-56C-EI-48S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汇聚交换机(PSW)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CE12804/华为 CE12804S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接入交换机-千兆(GE-ASW)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CE5850-48S6Q-HI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接入交换机-万兆(10GE-ASW)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CE6851-48S6Q-HI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综合接入交换机(LSW)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CE6851-48S6Q-HI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带外管理核心交换机(OMR)</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CE5850-48T4S2Q-HI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网络设备带外汇聚交换机(OSWN)</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S5700-52P-LI-AC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服务器带外汇聚交换机(OSWS)</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S5700-52P-LI-AC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千兆服务器带外接入交换机(OASW)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S1700-52R-2T2P</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万兆服务器带外接入交换机(OASW)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S1700-52R-2T2P</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带外console口服务器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Avocent:ACS5048（中舰博海:NC632-220V、杭州国基科技:CONV632）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互联出口交换机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H3C-S6800-54QF</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核心交换机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H3C-S12504X-AF</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接入交换机-千兆</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H3C-S5800-54S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接入交换机-万兆</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H3C-S6800-54QF</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H3C-S6800-54QF</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VPC专线接入交换机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H3C-S6800-4C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带外管理核心交换机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H3C-S5800-54S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网络设备带外汇聚交换机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H3C-S5130-54S-HI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服务器带外汇聚交换机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H3C-S5130-54S-HI</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千兆服务器带外接入交换机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H3C-S3100V2-52TP</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万兆服务器带外接入交换机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H3C-S3100V2-52TP</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带外console口服务器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Avocent:ACS5048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分光器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武汉光迅 ODF-48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分流器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Arista DCS-7150S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单模光模块</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CE6800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支撑节点</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 DS-A72048R-ICVC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支撑容量</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 DS-A72048-CVS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光端机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中威OB9252D(D0044.G02)-60KM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DIGI串口服务器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泰科-Digi PortServer TS 16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校时服务器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上海锐呈 K801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SA5212M4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流媒体服务器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SA5212M4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存储服务器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SA5212M4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数据库服务器类型1</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SA5212M4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数据库服务器类型2</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NF5568M4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卡口系统管理、硬件系统管理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EPGA卡及光模块</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杭州菲数FX410QL</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个</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卡口系统管理、硬件系统管理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NTP时钟服务器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上海星锐 K801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光端机机架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英飞拓 N3910-18S1/中威电子 OB-4U</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光端机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中威电子 OB9231D</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1601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核心交换机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CE12808A</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万兆单模光模块</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OSX040N01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个</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华为S5700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接入交换机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S5700-28X-LI-AC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视频交换平台</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合众万兆视频安全接入系统 VG-310-B-HD</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硬盘录像机（含硬盘）</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海康威视DS-8616N-K8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DIGI串口服务器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Digi AccelePort C/X 16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加密狗</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SCATS定制</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只</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IBM服务器2</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IBM X3850 X5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诱导系统管理、硬件系统管理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IBM服务器3</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IBM X3850 X6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诱导系统管理、硬件系统管理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浪潮 SA5212M4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单点远程系统管理、硬件系统管理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视频质量诊断服务器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iVMS-6200E-D</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共享平台数据库服务器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IS-VSE2326X-QDA/8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共享平台中心管理服务器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海康威视IS-VSE2326B-NBC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共享平台设备接入服务器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IS-VSE2326B-NBC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共享平台录像回放服务器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IS-VSE2326B-NBC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共享平台交通接入服务器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IS-VSE2326B-NBC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联网平台设备接入服务器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 IS-VSE2326B-NBC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102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云存储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海康威视IS-VSE2326X-QFA 5台、海康威视IS-VSE2326X-BBA 1台、海康威视 DS-A72036R-CVS 16台、西数WD4000FYYZ-31(4T) 576块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管理与监控服务器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R2-1218R-TH(E5-2680V4*2/192G/600G*4)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硬件系统管理</w:t>
            </w:r>
          </w:p>
        </w:tc>
        <w:tc>
          <w:tcPr>
            <w:tcW w:w="16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专项服务(交通小脑服务器）</w:t>
            </w: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存储服务器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R2-1218R-TH(E5-2680V4*2/192G/600G*4)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组件服务型服务器-1</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R2-1218R-TH(E5-2680V4*2/192G/600G*4)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组件服务型服务器-2</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R2-1218R-TH(E5-2680V4*2/384G/600G*12)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组件服务型服务器-3</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R2-1218R-TH(E5-2680V4*1/192G/600G sas*4)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大数据服务器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R2-1218R-TH(E5-2680V4*2/384G/600G*12)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阿里云应用服务器1</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R2-1218R-TH(E5-2683V3 14core*2/192G/600G*4)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阿里云应用服务器2</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R2-1218R-TH(E5-2680V3 12core*2/128G/6T*12)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阿里云应用服务器3</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R2-1218R-TH(E5-2680V3 12core*2/256G/480G*3  2T*9)</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363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阿里云应用服务器4</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R2-1218R-TH(E5-2680V3 12core*2/384G/800G*12)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数据处理服务器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R2-1218R-TH(E5-2680V4*2/384G/800G[ssd]*12)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混合存储型服务器-1</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R2-1218R-TH(E5-2680V4*2/384G/480G[ssd]*3+2T[sata,7200rpm]*9)</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混合存储型服务器-2</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R2-1218R-TH(E5-2680V4*2/384G/480G[ssd]*3+2T[sata,7200rpm]*9)</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存储计算型服务器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R2-1218R-TH(E5-2680V4*1/128G/M.2SSD340G*1)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存储型服务器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R2-1218R-TH(E5-2680V4*2/28G/T[sata,7200rpm]*12)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大数据处理服务器</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富士康 R2-1218R-TH(E5-2680V4*2/384G/800G[ssd]*2+6T[sata,7200rpm]*10)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物联网安全准入系统</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 DPX8000-A12(BRAS-Blade-A板卡)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专项服务(网络安全准入设备)</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网络安全等级防护</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防火墙</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迪普-FW1000-TS-E</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融合安全设备</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迪普-DPX8000-A12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物联网准入控制设备</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迪普-DAC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1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负载均衡</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 DPX8000-A12(ADX3000-Blade-A板卡)</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负载均衡</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 DPX8000-A12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融合安全网关</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迪普 DPX8000-A12(FW1000-Blade-E1板卡、IPS2000-Blade-A板卡、UAG3000-Blade-A板卡、Scanner-1000-Blade-S)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国保视频网闸</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国保金泰G2000EH1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专项服务(网闸）</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视频交换平台</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国保金泰G2000EH</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视频交换平台</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视频隔离设备-国保金泰G2001D-J（用户认证服务器-国保金泰G2001D-J、设备认证服务器-国保金泰G2001D-J）</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数据交换平台</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数据隔离设备-国保金泰IGAP-1000-Z（前置服务器-国保金泰JTSDE-310-Z、后置服务器-国保金泰JTSDE-310-Z）</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核心交换机(DSW)</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CE12808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网络系统管理、硬件系统管理</w:t>
            </w:r>
          </w:p>
        </w:tc>
        <w:tc>
          <w:tcPr>
            <w:tcW w:w="16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专项服务（网络交换机）</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核心交换机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CE12808S</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汇聚交换机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S5720-52X-SI-AC</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汇聚交换机</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华为 S5710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57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52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集中存储MS5520</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宏杉MS5520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监控系统管理、硬件系统管理</w:t>
            </w:r>
          </w:p>
        </w:tc>
        <w:tc>
          <w:tcPr>
            <w:tcW w:w="16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专项服务(存储设备)</w:t>
            </w:r>
          </w:p>
        </w:tc>
      </w:tr>
      <w:tr>
        <w:tblPrEx>
          <w:tblCellMar>
            <w:top w:w="0" w:type="dxa"/>
            <w:left w:w="108" w:type="dxa"/>
            <w:bottom w:w="0" w:type="dxa"/>
            <w:right w:w="108" w:type="dxa"/>
          </w:tblCellMar>
        </w:tblPrEx>
        <w:trPr>
          <w:trHeight w:val="27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非现场存储设备</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宏杉MS3000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台</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r>
      <w:tr>
        <w:tblPrEx>
          <w:tblCellMar>
            <w:top w:w="0" w:type="dxa"/>
            <w:left w:w="108" w:type="dxa"/>
            <w:bottom w:w="0" w:type="dxa"/>
            <w:right w:w="108" w:type="dxa"/>
          </w:tblCellMar>
        </w:tblPrEx>
        <w:trPr>
          <w:trHeight w:val="127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SCATS信号控制系统软件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SCATS信号控制系统软件：通过前端线圈、地磁、视频等感知设备，实时采集交通流数据，并且根据不断变化的交通状况实时提出最佳的信号配时方案，保证交通的畅通、快速和安全</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专项服务(SCATS信号控制系统）</w:t>
            </w:r>
          </w:p>
        </w:tc>
      </w:tr>
      <w:tr>
        <w:tblPrEx>
          <w:tblCellMar>
            <w:top w:w="0" w:type="dxa"/>
            <w:left w:w="108" w:type="dxa"/>
            <w:bottom w:w="0" w:type="dxa"/>
            <w:right w:w="108" w:type="dxa"/>
          </w:tblCellMar>
        </w:tblPrEx>
        <w:trPr>
          <w:trHeight w:val="127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微波检测系统软件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微波检测系统软件：具有利用数字雷达波检测技术实时检测交通流量功能模块、实时检测平均车速功能模块、实时检测车型及车道占用率等交通数据功能模块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单点远程信号控制系统软件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单点远程信号控制系统软件：具有信号监控功能、任务保障功能、故障管理功能、报表分析功能、子区配置功能等</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单点远程系统管理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99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信号系统无线检测器平台软件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信号系统无线检测器平台软件主要包含：数据采集代理、数据处理、实时监控、地图预览等功能</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SCATS信号系统管理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交通监视系统软件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数字监控联网平台软件主要包含：实时监控功能模块、监控回放功能模块、云台控制功能模块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监控系统管理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102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101</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交通诱导系统软件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交通诱导系统平台软件主要包含：实时交通功能模块、诱导发布功能模块、统计分析功能模块、交通态势功能模块、区域分析功能模块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诱导系统管理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127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102</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潮汐车道控制系统平台软件主要包含：实时监控功能模块、配置管理功能模块、远程控制功能模块、方案管理功能模块、策略管理功能模块、假日管理功能模块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诱导系统管理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76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103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运维管理系统软件</w:t>
            </w:r>
          </w:p>
        </w:tc>
        <w:tc>
          <w:tcPr>
            <w:tcW w:w="21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运维管理系统软件主要包含：可视化智能监控、自动智能巡检、运维调度管理、移动运维等功能</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套</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运维管理系统卡口系统管理</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bl>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注：机房地址：杭州市拱墅区半山路44号；具体运维范围以实际情况为准。</w:t>
      </w:r>
    </w:p>
    <w:p>
      <w:pPr>
        <w:autoSpaceDE w:val="0"/>
        <w:autoSpaceDN w:val="0"/>
        <w:spacing w:line="360" w:lineRule="auto"/>
        <w:ind w:firstLine="7" w:firstLineChars="3"/>
        <w:rPr>
          <w:rFonts w:ascii="仿宋" w:hAnsi="仿宋" w:eastAsia="仿宋" w:cs="仿宋"/>
          <w:b/>
          <w:bCs/>
          <w:sz w:val="24"/>
        </w:rPr>
      </w:pPr>
      <w:r>
        <w:rPr>
          <w:rFonts w:hint="eastAsia" w:ascii="仿宋" w:hAnsi="仿宋" w:eastAsia="仿宋" w:cs="仿宋"/>
          <w:b/>
          <w:bCs/>
          <w:sz w:val="24"/>
        </w:rPr>
        <w:t>二）人员要求</w:t>
      </w:r>
    </w:p>
    <w:p>
      <w:pPr>
        <w:autoSpaceDE w:val="0"/>
        <w:autoSpaceDN w:val="0"/>
        <w:spacing w:line="360" w:lineRule="auto"/>
        <w:ind w:firstLine="480" w:firstLineChars="200"/>
        <w:rPr>
          <w:rFonts w:ascii="仿宋" w:hAnsi="仿宋" w:eastAsia="仿宋" w:cs="仿宋"/>
          <w:b/>
          <w:bCs/>
          <w:sz w:val="24"/>
        </w:rPr>
      </w:pPr>
      <w:r>
        <w:rPr>
          <w:rFonts w:hint="eastAsia" w:ascii="仿宋" w:hAnsi="仿宋" w:eastAsia="仿宋" w:cs="仿宋"/>
          <w:sz w:val="24"/>
        </w:rPr>
        <w:t>1、</w:t>
      </w:r>
      <w:r>
        <w:rPr>
          <w:rFonts w:hint="eastAsia" w:ascii="仿宋" w:hAnsi="仿宋" w:eastAsia="仿宋" w:cs="仿宋"/>
          <w:b/>
          <w:bCs/>
          <w:sz w:val="24"/>
        </w:rPr>
        <w:t>配备标准：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1.1 项目负责人1人：本科及以上学历（提供学历证书）且年龄55周岁（含）以下（提供身份证），并具有类似智能交通软硬件运维项目工作经验【提供业绩合同或业主证明材料（须体现人员姓名）】，提供社保缴纳证明材料。</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1.2 维护人员16人：专科及以上学历（提供学历证书）且年龄55周岁（含）以下（提供身份证），并具有类似智能交通系统软硬件运维项目工作经验【提供业绩合同或业主证明材料（须体现人员姓名）】，提供社保缴纳证明材料。</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 以上所有服务人员均提供驻点服务，服务地址：杭州市拱墅区半山路44号。</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2、岗位配置：</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 项目负责人：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2.1.1 人数：1人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2.1.2 服务时间：提供5*8小时驻点工作（上午9：00-12：00；下午12：30-17：30）（除法定节假日），如有需要可根据甲方需求调整。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2.1.3 工作职责：</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1、负责对服务队伍的管理及与甲方的日常联络工作，并要求保证工作相对稳定。</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2、为甲方提供多种技术支持方式，并对甲方所提交问题指派固定服务队伍进行解答并提供相关建议。</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3、负责按合同要求进行项目管理工作、负责项目实施和运维团队人员的日常管理。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4、制定和审核运维方案。</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5、组织和参与各种项目例会，负责协调工作、负责撰写、审核各类服务报告，负责分析服务情况。</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6、负责收集各个系统及硬件的巡检记录、维护维修记录台账，次月15日汇总给监理。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 值班岗</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2.2.1 人数：4人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2.2.2 服务时间：提供7*24小时不间断轮流值班工作（采用三班四运转模式）。</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2.2.3工作职责：</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1、负责机房7*24小时值班电话、维管中心值班电话的接听、统筹和记录工作，协助处理数字城管，汇总系统及硬件巡检发现的问题，次月10日汇报项目负责人；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2、负责机房设备的每日巡检工作，次月10日出具每月巡检报告；</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3、负责晚班期间各系统及硬件的巡检及问题排查工作，并初步处置问题，对不能处置的问题半小时内流转给软硬件相应的运维人员（详见</w:t>
      </w:r>
      <w:r>
        <w:rPr>
          <w:rFonts w:hint="eastAsia" w:ascii="仿宋" w:hAnsi="仿宋" w:eastAsia="仿宋" w:cs="仿宋"/>
          <w:sz w:val="24"/>
        </w:rPr>
        <w:t>《运维总清单》</w:t>
      </w:r>
      <w:r>
        <w:rPr>
          <w:rFonts w:hint="eastAsia" w:ascii="仿宋" w:hAnsi="仿宋" w:eastAsia="仿宋" w:cs="仿宋"/>
          <w:bCs/>
          <w:sz w:val="24"/>
        </w:rPr>
        <w:t>）处理；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4、晚班期间配合外场维护人员完成对路口设备问题的排查工作；</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5、负责完成晚班内维护维修台帐记录，每日值班结束移交给对应白班维护人员，并做好交接班；</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6、甲方交办的其他工作的落实、办理；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2.2.4 服务对象：详见</w:t>
      </w:r>
      <w:r>
        <w:rPr>
          <w:rFonts w:hint="eastAsia" w:ascii="仿宋" w:hAnsi="仿宋" w:eastAsia="仿宋" w:cs="仿宋"/>
          <w:sz w:val="24"/>
        </w:rPr>
        <w:t>《运维总清单》中所有硬件设备。</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2.3 网络系统管理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2.3.1 人数：2人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2.3.2 服务时间：提供5*8小时（上午9：00-12：00；下午12：30-17：30）（除法定节假日），如有需要可根据甲方需求调整。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2.3.3 工作职责：</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（1）负责机房视频专网的网络规划以及拓扑的架构，网络的运维保障工作，保障网络设备日常运行；</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（2）负责网络系统故障处理，4小时内排除故障（对“网络安全准入设备”、“网络交换机”和“网闸”不能处置的问题，联系原厂人员进行处置）；</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（3）负责网络系统设备的详细维护维修记录台帐，次月10日汇总给项目负责人；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（4）负责视频专网IP资源管理；</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（5）重大活动中的保障工作；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（6）负责与“网络安全准入设备”、“网络交换机”和“网闸”的原厂对接，协助原厂处理巡检、现场故障排除、节假日保障等工作，原厂服务职责如下：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电话支持服务。在日常的维护过程中，遇到故障或问题时，原厂接到服务请求后，通过电话提供技术服务，提出解决方案，4小时内排除设备故障。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2）现场技术支持服务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当故障不能通过远程支持方式解决时，乙方应在30分钟内响应，派遣原厂人员2小时内赶往甲方现场故障诊断，4小时内故障排除。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3）巡检服务。原厂提供每月不少于1次的设备巡检服务，包含对系统软硬件及配置状况、系统性能、系统冗余及升级需求等多方面的分析，并于5个工作日内出具巡检记录。</w:t>
      </w:r>
    </w:p>
    <w:p>
      <w:pPr>
        <w:pStyle w:val="2"/>
        <w:ind w:left="422" w:leftChars="200" w:hanging="2" w:hangingChars="1"/>
        <w:rPr>
          <w:rFonts w:ascii="仿宋" w:eastAsia="仿宋" w:cs="仿宋"/>
          <w:b w:val="0"/>
          <w:bCs w:val="0"/>
          <w:sz w:val="24"/>
          <w:szCs w:val="24"/>
        </w:rPr>
      </w:pPr>
      <w:r>
        <w:rPr>
          <w:rFonts w:hint="eastAsia" w:ascii="仿宋" w:eastAsia="仿宋" w:cs="仿宋"/>
          <w:b w:val="0"/>
          <w:bCs w:val="0"/>
          <w:sz w:val="24"/>
          <w:szCs w:val="24"/>
        </w:rPr>
        <w:t>4）重大活动、节假日保障服务</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sz w:val="24"/>
        </w:rPr>
        <w:t>在维护期内，逢大型活动、会议期间、系统重大升级，乙方需按照甲方针对大型活动的保障方案予以配合，或其他与维保工作相关的保障措施升级的要求，并提供至少一名原厂服务人员以现场保障。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（7）甲方交办的其他工作的落实、办理；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2.3.5 服务对象：详见</w:t>
      </w:r>
      <w:r>
        <w:rPr>
          <w:rFonts w:hint="eastAsia" w:ascii="仿宋" w:hAnsi="仿宋" w:eastAsia="仿宋" w:cs="仿宋"/>
          <w:sz w:val="24"/>
        </w:rPr>
        <w:t>《运维总清单》。</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 SCATS信号系统管理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2.4.1 人数：2人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2.4.2 服务时间：提供5*8小时工作（上午9：00-12：00；下午12：30-17：30），如有需要可根据甲方需求调整。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2.4.3 工作职责：</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（1）负责SCATS信号系统、</w:t>
      </w:r>
      <w:r>
        <w:rPr>
          <w:rFonts w:hint="eastAsia" w:ascii="仿宋" w:hAnsi="仿宋" w:eastAsia="仿宋" w:cs="仿宋"/>
          <w:kern w:val="0"/>
          <w:sz w:val="24"/>
        </w:rPr>
        <w:t>信号系统无线检测器平台软件和</w:t>
      </w:r>
      <w:r>
        <w:rPr>
          <w:rFonts w:hint="eastAsia" w:ascii="仿宋" w:hAnsi="仿宋" w:eastAsia="仿宋" w:cs="仿宋"/>
          <w:bCs/>
          <w:sz w:val="24"/>
        </w:rPr>
        <w:t>微波</w:t>
      </w:r>
      <w:r>
        <w:rPr>
          <w:rFonts w:hint="eastAsia" w:ascii="仿宋" w:hAnsi="仿宋" w:eastAsia="仿宋" w:cs="仿宋"/>
          <w:kern w:val="0"/>
          <w:sz w:val="24"/>
        </w:rPr>
        <w:t>检测系统</w:t>
      </w:r>
      <w:r>
        <w:rPr>
          <w:rFonts w:hint="eastAsia" w:ascii="仿宋" w:hAnsi="仿宋" w:eastAsia="仿宋" w:cs="仿宋"/>
          <w:bCs/>
          <w:sz w:val="24"/>
        </w:rPr>
        <w:t>的运维保障工作，保障系统设备日常运行；</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（2）负责SCATS信号系统、</w:t>
      </w:r>
      <w:r>
        <w:rPr>
          <w:rFonts w:hint="eastAsia" w:ascii="仿宋" w:hAnsi="仿宋" w:eastAsia="仿宋" w:cs="仿宋"/>
          <w:kern w:val="0"/>
          <w:sz w:val="24"/>
        </w:rPr>
        <w:t>信号系统无线检测器平台软件和</w:t>
      </w:r>
      <w:r>
        <w:rPr>
          <w:rFonts w:hint="eastAsia" w:ascii="仿宋" w:hAnsi="仿宋" w:eastAsia="仿宋" w:cs="仿宋"/>
          <w:bCs/>
          <w:sz w:val="24"/>
        </w:rPr>
        <w:t>微波</w:t>
      </w:r>
      <w:r>
        <w:rPr>
          <w:rFonts w:hint="eastAsia" w:ascii="仿宋" w:hAnsi="仿宋" w:eastAsia="仿宋" w:cs="仿宋"/>
          <w:kern w:val="0"/>
          <w:sz w:val="24"/>
        </w:rPr>
        <w:t>检测系统</w:t>
      </w:r>
      <w:r>
        <w:rPr>
          <w:rFonts w:hint="eastAsia" w:ascii="仿宋" w:hAnsi="仿宋" w:eastAsia="仿宋" w:cs="仿宋"/>
          <w:bCs/>
          <w:sz w:val="24"/>
        </w:rPr>
        <w:t>故障处理，8小时内排除故障（对“SCATS信号控制系统”不能处置的问题，联系原厂人员进行处置）；</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（3）负责SCATS信号系统、</w:t>
      </w:r>
      <w:r>
        <w:rPr>
          <w:rFonts w:hint="eastAsia" w:ascii="仿宋" w:hAnsi="仿宋" w:eastAsia="仿宋" w:cs="仿宋"/>
          <w:kern w:val="0"/>
          <w:sz w:val="24"/>
        </w:rPr>
        <w:t>信号系统无线检测器平台软件和</w:t>
      </w:r>
      <w:r>
        <w:rPr>
          <w:rFonts w:hint="eastAsia" w:ascii="仿宋" w:hAnsi="仿宋" w:eastAsia="仿宋" w:cs="仿宋"/>
          <w:bCs/>
          <w:sz w:val="24"/>
        </w:rPr>
        <w:t>微波</w:t>
      </w:r>
      <w:r>
        <w:rPr>
          <w:rFonts w:hint="eastAsia" w:ascii="仿宋" w:hAnsi="仿宋" w:eastAsia="仿宋" w:cs="仿宋"/>
          <w:kern w:val="0"/>
          <w:sz w:val="24"/>
        </w:rPr>
        <w:t>检测系统</w:t>
      </w:r>
      <w:r>
        <w:rPr>
          <w:rFonts w:hint="eastAsia" w:ascii="仿宋" w:hAnsi="仿宋" w:eastAsia="仿宋" w:cs="仿宋"/>
          <w:bCs/>
          <w:sz w:val="24"/>
        </w:rPr>
        <w:t>每日巡检，次月10日出具每月巡检报告；</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（4）负责SCATS信号系统、</w:t>
      </w:r>
      <w:r>
        <w:rPr>
          <w:rFonts w:hint="eastAsia" w:ascii="仿宋" w:hAnsi="仿宋" w:eastAsia="仿宋" w:cs="仿宋"/>
          <w:kern w:val="0"/>
          <w:sz w:val="24"/>
        </w:rPr>
        <w:t>信号系统无线检测器平台软件和</w:t>
      </w:r>
      <w:r>
        <w:rPr>
          <w:rFonts w:hint="eastAsia" w:ascii="仿宋" w:hAnsi="仿宋" w:eastAsia="仿宋" w:cs="仿宋"/>
          <w:bCs/>
          <w:sz w:val="24"/>
        </w:rPr>
        <w:t>微波</w:t>
      </w:r>
      <w:r>
        <w:rPr>
          <w:rFonts w:hint="eastAsia" w:ascii="仿宋" w:hAnsi="仿宋" w:eastAsia="仿宋" w:cs="仿宋"/>
          <w:kern w:val="0"/>
          <w:sz w:val="24"/>
        </w:rPr>
        <w:t>检测系统</w:t>
      </w:r>
      <w:r>
        <w:rPr>
          <w:rFonts w:hint="eastAsia" w:ascii="仿宋" w:hAnsi="仿宋" w:eastAsia="仿宋" w:cs="仿宋"/>
          <w:bCs/>
          <w:sz w:val="24"/>
        </w:rPr>
        <w:t>的详细维护维修记录台帐，次月10日汇总给项目负责人；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（5）负责新建SCATS信号系统点位的平台接入工作，地图链接的设置，并每天汇报给项目负责人；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（6）负责SCATS信号的新建、优化路口芯片程序的核对检查工作；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（7）重大活动中的保障工作；</w:t>
      </w:r>
    </w:p>
    <w:p>
      <w:pPr>
        <w:autoSpaceDE w:val="0"/>
        <w:autoSpaceDN w:val="0"/>
        <w:spacing w:line="360" w:lineRule="auto"/>
        <w:ind w:firstLine="240" w:firstLineChars="100"/>
        <w:rPr>
          <w:rFonts w:ascii="仿宋" w:hAnsi="仿宋" w:eastAsia="仿宋" w:cs="仿宋"/>
          <w:sz w:val="24"/>
        </w:rPr>
      </w:pPr>
      <w:r>
        <w:rPr>
          <w:rFonts w:hint="eastAsia" w:ascii="仿宋" w:hAnsi="仿宋" w:eastAsia="仿宋" w:cs="仿宋"/>
          <w:bCs/>
          <w:sz w:val="24"/>
        </w:rPr>
        <w:t>（8）负责与“SCATS信号控制系统”的原厂对接，协助原厂处理巡检、现场故障排除、节假日保障等工作，原厂服务职责如下：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电话支持服务。在日常的维护过程中，遇到故障或问题时，原厂接到服务请求后，通过电话提供技术服务，提出解决方案，8小时内排除设备故障。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2）现场技术支持服务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当故障不能通过远程支持方式解决时，乙方应在30分钟内响应，派遣原厂人员6小时内赶往甲方现场故障诊断，8小时内故障排除。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3）巡检服务。原厂提供每月不少于1次的设备巡检服务，包含对系统软硬件及配置状况、系统性能、系统冗余及升级需求等多方面的分析，并于5个工作日内出具巡检记录。</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4）重大活动、节假日保障服务</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sz w:val="24"/>
        </w:rPr>
        <w:t>在维护期内，逢大型活动、会议期间、系统重大升级，乙方需按照甲方针对大型活动的保障方案予以配合，或其他与维保工作相关的保障措施升级的要求，并提供至少一名原厂服务人员以现场保障。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（9）甲方交办的其他工作的落实、办理。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2.4.5 服务对象：详见</w:t>
      </w:r>
      <w:r>
        <w:rPr>
          <w:rFonts w:hint="eastAsia" w:ascii="仿宋" w:hAnsi="仿宋" w:eastAsia="仿宋" w:cs="仿宋"/>
          <w:sz w:val="24"/>
        </w:rPr>
        <w:t>《运维总清单》。</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2.5单点远程信号系统管理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2.5.1 人数：1人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2.5.2 服务时间：提供5*8小时工作（上午9：00-12：00；下午12：30-17：30），如有需要可根据甲方需求调整。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2.5.3 工作职责：</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（1）负责机房单点远程信号平台的运维保障工作，保障单点远程信号系统的正常运行；</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（2）负责单点远程信号系统故障处理，4小时内排除故障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（3）负责单点远程信号系统平台的每日巡检、报修，次月10日出具每月巡检报告； </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（4）负责单点远程信号系统平台的详细维护维修记录台帐，次月10日汇总给项目负责人；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（5）负责新建单点远程信号系统点位的平台接入和删减工作，地图链接的设置，并每天汇报给项目负责人；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（6）负责单点远程信号路口的新建、优化等路口芯片程序的核对检查工作；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（7）重大活动中的保障工作；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（8）甲方交办的其他工作的落实、办理。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2.5.4 服务对象：详见</w:t>
      </w:r>
      <w:r>
        <w:rPr>
          <w:rFonts w:hint="eastAsia" w:ascii="仿宋" w:hAnsi="仿宋" w:eastAsia="仿宋" w:cs="仿宋"/>
          <w:sz w:val="24"/>
        </w:rPr>
        <w:t>《运维总清单》。</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 监控系统管理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2.6.1 人数：1人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2.6.2 服务时间：提供5*8小时工作（上午9：00-12：00；下午12：30-17：30），如有需要可根据甲方需求调整。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2.6.3 工作职责：</w:t>
      </w:r>
    </w:p>
    <w:p>
      <w:pPr>
        <w:autoSpaceDE w:val="0"/>
        <w:autoSpaceDN w:val="0"/>
        <w:spacing w:line="360" w:lineRule="auto"/>
        <w:ind w:firstLine="240" w:firstLineChars="100"/>
        <w:rPr>
          <w:rFonts w:ascii="仿宋" w:hAnsi="仿宋" w:eastAsia="仿宋" w:cs="仿宋"/>
          <w:sz w:val="24"/>
        </w:rPr>
      </w:pPr>
      <w:r>
        <w:rPr>
          <w:rFonts w:hint="eastAsia" w:ascii="仿宋" w:hAnsi="仿宋" w:eastAsia="仿宋" w:cs="仿宋"/>
          <w:bCs/>
          <w:sz w:val="24"/>
        </w:rPr>
        <w:t>（1）负责机房监控系统设备的运维保障工作，保障监控系统设备的日常运行；</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（2）负责监控系统故障处理，4小时内排除故障（对“存储设备”不能处置的问题，联系原厂人员进行处置）；</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（3）负责监控系统设备每日巡检，次月10日出具每月巡检报告；</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（4）负责监控系统设备的详细维护维修记录台帐，次月10日汇总给项目负责人；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（5）负责新建监控系统点位的平台接入和删减工作，每天汇报给项目负责人；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（6）负责监控点位推送市局及各类数据统计工作；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（7）重大活动中的保障工作；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（8）负责与“存储设备”的原厂对接，协助原厂处理巡检、现场故障排除、节假日保障等工作，原厂服务工作职责如下：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电话支持服务。在日常的维护过程中，遇到故障或问题时，原厂接到服务请求后，通过电话提供技术服务，提出解决方案，4小时内排除设备故障。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2）现场技术支持服务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当故障不能通过远程支持方式解决时，乙方应在30分钟内响应，派遣原厂人员2小时内赶往甲方现场故障诊断，4小时内故障排除。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3）巡检服务。原厂提供每月不少于1次的设备巡检服务，包含对系统软硬件及配置状况、系统性能、系统冗余及升级需求等多方面的分析，并于5个工作日内出具巡检记录。</w:t>
      </w:r>
    </w:p>
    <w:p>
      <w:pPr>
        <w:pStyle w:val="2"/>
        <w:ind w:left="422" w:leftChars="200" w:hanging="2" w:hangingChars="1"/>
        <w:rPr>
          <w:rFonts w:ascii="仿宋" w:eastAsia="仿宋" w:cs="仿宋"/>
          <w:b w:val="0"/>
          <w:bCs w:val="0"/>
          <w:sz w:val="24"/>
          <w:szCs w:val="24"/>
        </w:rPr>
      </w:pPr>
      <w:r>
        <w:rPr>
          <w:rFonts w:hint="eastAsia" w:ascii="仿宋" w:eastAsia="仿宋" w:cs="仿宋"/>
          <w:b w:val="0"/>
          <w:bCs w:val="0"/>
          <w:sz w:val="24"/>
          <w:szCs w:val="24"/>
        </w:rPr>
        <w:t>4）重大活动、节假日保障服务</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sz w:val="24"/>
        </w:rPr>
        <w:t>在维护期内，逢大型活动、会议期间、系统重大升级，乙方需按照甲方针对大型活动的保障方案予以配合，或其他与维保工作相关的保障措施升级的要求，并提供至少一名原厂服务人员以现场保障。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（9）甲方交办的其他工作的落实、办理。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2.6.5 服务对象：详见</w:t>
      </w:r>
      <w:r>
        <w:rPr>
          <w:rFonts w:hint="eastAsia" w:ascii="仿宋" w:hAnsi="仿宋" w:eastAsia="仿宋" w:cs="仿宋"/>
          <w:sz w:val="24"/>
        </w:rPr>
        <w:t>《运维总清单》。</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2.7 诱导系统管理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2.7.1 人数：1人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2.7.2 服务时间：提供5*8小时工作（上午9：00-12：00；下午12：30-17：30），如有需要可根据甲方需求调整。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2.7.3 工作职责：</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（1）负责机房诱导平台、潮汐车道平台的运维保障工作，保障诱导、潮汐车道控制系统平台的正常运行；</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（2）负责机房诱导平台、潮汐车道平台故障处理，4小时内排除故障；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（3）做好诱导、潮汐车道系统设备每日巡检、报修，次月10日出具每月巡检报告；</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（4）做好诱导、潮汐车道系统设备的详细维护维修记录台帐，次月10日汇总给项目负责人；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（5）做好新建诱导、潮汐车道点位的平台接入和删减工作，每天汇报给项目负责人；</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（6）重大活动中的保障工作；</w:t>
      </w:r>
    </w:p>
    <w:p>
      <w:pPr>
        <w:autoSpaceDE w:val="0"/>
        <w:autoSpaceDN w:val="0"/>
        <w:spacing w:line="360" w:lineRule="auto"/>
        <w:ind w:firstLine="240" w:firstLineChars="100"/>
        <w:rPr>
          <w:rFonts w:ascii="仿宋" w:hAnsi="仿宋" w:eastAsia="仿宋" w:cs="仿宋"/>
          <w:bCs/>
          <w:sz w:val="24"/>
        </w:rPr>
      </w:pPr>
      <w:r>
        <w:rPr>
          <w:rFonts w:hint="eastAsia" w:ascii="仿宋" w:hAnsi="仿宋" w:eastAsia="仿宋" w:cs="仿宋"/>
          <w:bCs/>
          <w:sz w:val="24"/>
        </w:rPr>
        <w:t>（7）甲方交办的其他工作的落实、办理。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2.7.4 服务对象：详见</w:t>
      </w:r>
      <w:r>
        <w:rPr>
          <w:rFonts w:hint="eastAsia" w:ascii="仿宋" w:hAnsi="仿宋" w:eastAsia="仿宋" w:cs="仿宋"/>
          <w:sz w:val="24"/>
        </w:rPr>
        <w:t>《运维总清单》。</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2.8 运维管理系统、卡口系统</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2.8.1 人数：1人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2.8.2 服务时间：提供5*8小时工作（上午9：00-12：00；下午12：30-17：30），如有需要可根据甲方需求调整。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2.8.3 工作职责：</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（1）负责运维管理平台的运维保障工作，保障运维管理平台的正常运行；</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（2）负责运维管理系统、卡口系统故障处理，4小时内排除故障；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 xml:space="preserve">（3）负责卡口系统每日巡检、报修、处理工作，次月10日出具每月巡检报告； </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（4）负责运维管理系统、卡口系统的详细维护维修记录台帐，次月10日汇总给项目负责人；</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（5）负责卡口系统点位的平台接入工作，每天汇报给项目负责人；</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（6）重大活动中的保障工作；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（7）甲方交办的其他工作的落实、办理；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2.8.4 服务对象：详见</w:t>
      </w:r>
      <w:r>
        <w:rPr>
          <w:rFonts w:hint="eastAsia" w:ascii="仿宋" w:hAnsi="仿宋" w:eastAsia="仿宋" w:cs="仿宋"/>
          <w:sz w:val="24"/>
        </w:rPr>
        <w:t>《运维总清单》。</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2.9 外建项目接入管理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2.9.1 人数：2人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2.9.2 服务时间：提供5*8小时工作（上午9：00-12：00；下午12：30-17：30），如有需要可根据甲方需求调整。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2.9.3 工作职责：</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（1）负责外建新建项目的资料接收、整理工作；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（2）负责外建新建项目的点位IP地址的分配工作；</w:t>
      </w:r>
    </w:p>
    <w:p>
      <w:pPr>
        <w:autoSpaceDE w:val="0"/>
        <w:autoSpaceDN w:val="0"/>
        <w:spacing w:line="360" w:lineRule="auto"/>
        <w:ind w:firstLine="331" w:firstLineChars="138"/>
        <w:rPr>
          <w:rFonts w:ascii="仿宋" w:hAnsi="仿宋" w:eastAsia="仿宋" w:cs="仿宋"/>
          <w:sz w:val="24"/>
        </w:rPr>
      </w:pPr>
      <w:r>
        <w:rPr>
          <w:rFonts w:hint="eastAsia" w:ascii="仿宋" w:hAnsi="仿宋" w:eastAsia="仿宋" w:cs="仿宋"/>
          <w:bCs/>
          <w:sz w:val="24"/>
        </w:rPr>
        <w:t xml:space="preserve">（3）负责外建新建项目的抽检（抽检项目数量不少于2023年抽检项目数量），抽检项目工作完成后5个工作日内出具抽检报告； </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（4）负责确认点位名称、是否接通，并分配给各软硬件运维人员（详见</w:t>
      </w:r>
      <w:r>
        <w:rPr>
          <w:rFonts w:hint="eastAsia" w:ascii="仿宋" w:hAnsi="仿宋" w:eastAsia="仿宋" w:cs="仿宋"/>
          <w:sz w:val="24"/>
        </w:rPr>
        <w:t>《运维总清单》</w:t>
      </w:r>
      <w:r>
        <w:rPr>
          <w:rFonts w:hint="eastAsia" w:ascii="仿宋" w:hAnsi="仿宋" w:eastAsia="仿宋" w:cs="仿宋"/>
          <w:bCs/>
          <w:sz w:val="24"/>
        </w:rPr>
        <w:t>）进行平台点位接入，次月10日提交平台点位接入分配清单；</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（5）负责点位接入完成情况确认工作；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（6）负责机房新建光纤位置分配、变更等确认工作；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（7）外建项目接入的工作台账于次月10日汇总给项目负责人；</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（8）重大活动中的保障工作。</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2.10 硬件系统管理</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2.10.1 人数：2人</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2.10.2 服务时间：提供5*8小时工作（上午9：00-12：00；下午12：30-17：30），如有需要可根据甲方需求调整。</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bCs/>
          <w:sz w:val="24"/>
        </w:rPr>
        <w:t>2.10.3 工作职责：</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（1）负责服务器的硬件配置、系统安装、设备上下架等技术维护；</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（2）负责硬件设备的日常维护；</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（3）负责</w:t>
      </w:r>
      <w:r>
        <w:rPr>
          <w:rFonts w:hint="eastAsia" w:ascii="仿宋" w:hAnsi="仿宋" w:eastAsia="仿宋" w:cs="仿宋"/>
          <w:kern w:val="0"/>
          <w:sz w:val="24"/>
        </w:rPr>
        <w:t>硬件设备的</w:t>
      </w:r>
      <w:r>
        <w:rPr>
          <w:rFonts w:hint="eastAsia" w:ascii="仿宋" w:hAnsi="仿宋" w:eastAsia="仿宋" w:cs="仿宋"/>
          <w:bCs/>
          <w:sz w:val="24"/>
        </w:rPr>
        <w:t>故障处理，除“</w:t>
      </w:r>
      <w:r>
        <w:rPr>
          <w:rFonts w:hint="eastAsia" w:ascii="仿宋" w:hAnsi="仿宋" w:eastAsia="仿宋" w:cs="仿宋"/>
          <w:sz w:val="24"/>
        </w:rPr>
        <w:t>交通小脑服务器</w:t>
      </w:r>
      <w:r>
        <w:rPr>
          <w:rFonts w:hint="eastAsia" w:ascii="仿宋" w:hAnsi="仿宋" w:eastAsia="仿宋" w:cs="仿宋"/>
          <w:bCs/>
          <w:sz w:val="24"/>
        </w:rPr>
        <w:t>”、“网络交换机”、“网络安全准入设备”、“网闸”、“存储设备”外的所有硬件要求4小时内排除故障；</w:t>
      </w:r>
    </w:p>
    <w:p>
      <w:pPr>
        <w:autoSpaceDE w:val="0"/>
        <w:autoSpaceDN w:val="0"/>
        <w:spacing w:line="360" w:lineRule="auto"/>
        <w:ind w:firstLine="331" w:firstLineChars="138"/>
        <w:rPr>
          <w:rFonts w:ascii="仿宋" w:hAnsi="仿宋" w:eastAsia="仿宋" w:cs="仿宋"/>
          <w:bCs/>
          <w:sz w:val="24"/>
        </w:rPr>
      </w:pPr>
      <w:r>
        <w:rPr>
          <w:rFonts w:hint="eastAsia" w:ascii="仿宋" w:hAnsi="仿宋" w:eastAsia="仿宋" w:cs="仿宋"/>
          <w:bCs/>
          <w:sz w:val="24"/>
        </w:rPr>
        <w:t>（4）硬件系统故障维护工作台账于次月10日汇总给项目负责人；</w:t>
      </w:r>
    </w:p>
    <w:p>
      <w:pPr>
        <w:autoSpaceDE w:val="0"/>
        <w:autoSpaceDN w:val="0"/>
        <w:spacing w:line="360" w:lineRule="auto"/>
        <w:ind w:firstLine="331" w:firstLineChars="138"/>
        <w:rPr>
          <w:rFonts w:ascii="仿宋" w:hAnsi="仿宋" w:eastAsia="仿宋" w:cs="仿宋"/>
          <w:sz w:val="24"/>
        </w:rPr>
      </w:pPr>
      <w:r>
        <w:rPr>
          <w:rFonts w:hint="eastAsia" w:ascii="仿宋" w:hAnsi="仿宋" w:eastAsia="仿宋" w:cs="仿宋"/>
          <w:bCs/>
          <w:sz w:val="24"/>
        </w:rPr>
        <w:t>（5）负责与“交通小脑服务器”的原厂对接，协助原厂处理巡检、现场故障排除、节假日保障等工作，</w:t>
      </w:r>
      <w:r>
        <w:rPr>
          <w:rFonts w:hint="eastAsia" w:ascii="仿宋" w:hAnsi="仿宋" w:eastAsia="仿宋" w:cs="仿宋"/>
          <w:sz w:val="24"/>
        </w:rPr>
        <w:t>原厂服务职责如下：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bCs/>
          <w:sz w:val="24"/>
        </w:rPr>
        <w:t>1）</w:t>
      </w:r>
      <w:r>
        <w:rPr>
          <w:rFonts w:hint="eastAsia" w:ascii="仿宋" w:hAnsi="仿宋" w:eastAsia="仿宋" w:cs="仿宋"/>
          <w:sz w:val="24"/>
        </w:rPr>
        <w:t>电话支持服务。在日常的维护过程中，遇到故障或问题时，原厂接到服务请求后，通过电话提供技术服务，提出解决方案，4小时内排除设备故障。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2）现场技术支持服务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当故障不能通过远程支持方式解决时，乙方应在30分钟内响应，派遣原厂人员2小时内赶往甲方现场故障诊断，4小时内故障排除。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3）巡检服务。原厂提供每月不少于1次的设备巡检服务，包含对系统软硬件及配置状况、系统性能、系统冗余及升级需求等多方面的分析，并于5个工作日内出具巡检记录。</w:t>
      </w:r>
    </w:p>
    <w:p>
      <w:pPr>
        <w:pStyle w:val="2"/>
        <w:ind w:left="422" w:leftChars="200" w:hanging="2" w:hangingChars="1"/>
        <w:rPr>
          <w:rFonts w:ascii="仿宋" w:eastAsia="仿宋" w:cs="仿宋"/>
          <w:b w:val="0"/>
          <w:bCs w:val="0"/>
          <w:sz w:val="24"/>
          <w:szCs w:val="24"/>
        </w:rPr>
      </w:pPr>
      <w:r>
        <w:rPr>
          <w:rFonts w:hint="eastAsia" w:ascii="仿宋" w:eastAsia="仿宋" w:cs="仿宋"/>
          <w:b w:val="0"/>
          <w:bCs w:val="0"/>
          <w:sz w:val="24"/>
          <w:szCs w:val="24"/>
        </w:rPr>
        <w:t>4）重大活动、节假日保障服务</w:t>
      </w:r>
    </w:p>
    <w:p>
      <w:pPr>
        <w:autoSpaceDE w:val="0"/>
        <w:autoSpaceDN w:val="0"/>
        <w:spacing w:line="360" w:lineRule="auto"/>
        <w:ind w:firstLine="480" w:firstLineChars="200"/>
        <w:rPr>
          <w:rFonts w:ascii="仿宋" w:hAnsi="仿宋" w:eastAsia="仿宋" w:cs="仿宋"/>
          <w:bCs/>
          <w:sz w:val="24"/>
        </w:rPr>
      </w:pPr>
      <w:r>
        <w:rPr>
          <w:rFonts w:hint="eastAsia" w:ascii="仿宋" w:hAnsi="仿宋" w:eastAsia="仿宋" w:cs="仿宋"/>
          <w:sz w:val="24"/>
        </w:rPr>
        <w:t>在维护期内，逢大型活动、会议期间、系统重大升级，乙方需按照甲方针对大型活动的保障方案予以配合，或其他与维保工作相关的保障措施升级的要求，并提供至少一名原厂服务人员以现场保障。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2.10.5 </w:t>
      </w:r>
      <w:r>
        <w:rPr>
          <w:rFonts w:hint="eastAsia" w:ascii="仿宋" w:hAnsi="仿宋" w:eastAsia="仿宋" w:cs="仿宋"/>
          <w:bCs/>
          <w:sz w:val="24"/>
        </w:rPr>
        <w:t>服务对象：详见</w:t>
      </w:r>
      <w:r>
        <w:rPr>
          <w:rFonts w:hint="eastAsia" w:ascii="仿宋" w:hAnsi="仿宋" w:eastAsia="仿宋" w:cs="仿宋"/>
          <w:sz w:val="24"/>
        </w:rPr>
        <w:t>《运维总清单》。</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3、人员其他要求：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①服务人员如发生变化（如人员更换、人员离职），须提前15天报甲方书面审批同意后方可变更，服务期内保证人员到位确保在岗人数及资质不低于投标时人员资质，否则按违约进行处理。</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②保密要求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保密要求：甲方对乙方及工作人员开展常态化安全保密教育，组织签订安全保密承诺书，明确具体安全管理内容、安全保密义务和责任；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严格按照甲方规定使用、存储、处理文档资料和数据。合同终止时，应当交还全部资料和数据。</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乙方需与甲方签署保密协议，乙方对在项目实施期间所获得的甲方的情报和资料有保密义务（包括但不限于合同服务期内），泄漏秘密应承担相应责任。如有违反，按合同的违约条款向甲方支付违约金，造成甲方损失的应予赔偿，涉嫌犯罪的依法追究刑事责任。</w:t>
      </w:r>
    </w:p>
    <w:p>
      <w:pPr>
        <w:autoSpaceDE w:val="0"/>
        <w:autoSpaceDN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若项目涉及分包的，乙方须按照以上保密要求，与分包供应商签订单位保密协议、个人保密承诺书、开展日常保密教育等措施，确保分包供应商严格落实各项保密规定，并与分包供应商承担连带责任。</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三）车辆要求</w:t>
      </w:r>
    </w:p>
    <w:p>
      <w:pPr>
        <w:spacing w:line="360" w:lineRule="auto"/>
        <w:ind w:firstLine="480" w:firstLineChars="200"/>
        <w:outlineLvl w:val="3"/>
        <w:rPr>
          <w:rFonts w:ascii="仿宋" w:hAnsi="仿宋" w:eastAsia="仿宋" w:cs="仿宋"/>
          <w:sz w:val="24"/>
        </w:rPr>
      </w:pPr>
      <w:r>
        <w:rPr>
          <w:rFonts w:hint="eastAsia" w:ascii="仿宋" w:hAnsi="仿宋" w:eastAsia="仿宋" w:cs="仿宋"/>
          <w:sz w:val="24"/>
        </w:rPr>
        <w:t>（1）配备数量</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提供运维车辆1辆。</w:t>
      </w:r>
    </w:p>
    <w:p>
      <w:pPr>
        <w:spacing w:line="360" w:lineRule="auto"/>
        <w:ind w:firstLine="480" w:firstLineChars="200"/>
        <w:outlineLvl w:val="3"/>
        <w:rPr>
          <w:rFonts w:ascii="仿宋" w:hAnsi="仿宋" w:eastAsia="仿宋" w:cs="仿宋"/>
          <w:sz w:val="24"/>
        </w:rPr>
      </w:pPr>
      <w:r>
        <w:rPr>
          <w:rFonts w:hint="eastAsia" w:ascii="仿宋" w:hAnsi="仿宋" w:eastAsia="仿宋" w:cs="仿宋"/>
          <w:sz w:val="24"/>
        </w:rPr>
        <w:t>（2）车辆配置要求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车辆首次注册日期为2018年6月1日之后。车辆配备以完成外建新建项目堪查为目的，需安装定位系统，维护车辆定位信息提供甲方使用。车辆具有车辆行驶证及年检记录等相关资质，以确保车辆在道路上合法通行，定期保养和维护，确保车辆的安全和稳定性。（投标时提供定位系统提供相关证明和系统截图、车辆行驶证、年检记录及车辆照片）。</w:t>
      </w:r>
    </w:p>
    <w:p>
      <w:pPr>
        <w:spacing w:line="360" w:lineRule="auto"/>
        <w:ind w:firstLine="480" w:firstLineChars="200"/>
        <w:outlineLvl w:val="3"/>
        <w:rPr>
          <w:rFonts w:ascii="仿宋" w:hAnsi="仿宋" w:eastAsia="仿宋" w:cs="仿宋"/>
          <w:sz w:val="24"/>
        </w:rPr>
      </w:pPr>
      <w:r>
        <w:rPr>
          <w:rFonts w:hint="eastAsia" w:ascii="仿宋" w:hAnsi="仿宋" w:eastAsia="仿宋" w:cs="仿宋"/>
          <w:sz w:val="24"/>
        </w:rPr>
        <w:t>（3）其他要求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根据招标要求保障相应运维车辆应与投标文件一致，乙方不得随意更换运维车辆，若必须更换需提前15天向甲方提出申请，甲方对运维车辆变更进行审批，签发变更审批单，更换运维车辆需在甲方同意后24小时内保证运维车辆到位，更换运维车辆要求不得低于投标时车辆要求，并确保任何时候无车辆缺位现象发生。</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四）项目文档材料要求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（1）要求乙方在本项目实施过程中做详细的工作台账，并根据甲方要求作分类、汇总及统计分析。</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合同签订后需根据投标文件中服务计划、服务人员的约定，提交包括对整体维保工作的开展方式、故障抢修方式、巡检工作整体计划、具体项目人员组成、人员分工及联系方式、相关文档资料表格模板、总结报告模板以及用户设备档案模板等。</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在维保项目实施期间，对每一次的巡检工作进行书面记录，记录内容必须包括：巡检人员、巡检时间、巡检内容、巡检结果，要求结合巡检和其他服务，为甲方的设备（系统）建立档案（软件系统应收集系统使用人员的使用意见，记录从上一次巡检到本次巡检期间产生的业务数据量；硬件系统应记录相应数据指标）。</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维保工作期间，对于简单故障排除、操作人员使用指导、操作人员误操作产生的数据维护等日常保障工作，要求由具体维护人员进行简单的书面登记：包括维护人员、处理内容、处理时间、服务对象或人员名称，并形成周报形式报甲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5）如果在维护期间出现系统运行故障，需在故障排除后单独填写故障维护报告，报告的内容应当包括：“故障发生时间、故障产生原因、故障产生的影响、维护工作的开始时间、故障解决方法、故障最终排除时间、维护工作具体参加人员、甲方参加人员、针对该故障的问题总结及建议。”并上报甲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（6）每月服务结束后，次月15日提供运维月报，项目结束后20个工作日内需提交运维总结报告。</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五）运维耗材要求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运维耗材更换原则：每个故障点单个设备材料价值3000元以下金额的设备材料属于运维耗材范围（详见运维耗材清单），由乙方承担，并上报维修记录台账及相关照片并每月提交运维耗材使用情况汇总清单；单个设备材料超过3000元的如需更换需书面提交更换清单，报监理人确认，报甲方审核后，由甲方提供，乙方负责安装调试及故障修复，并于次月10日前上报维修记录台账、设备材料更换清单及相关照片并每月提交使用情况汇总清单。</w:t>
      </w:r>
    </w:p>
    <w:p>
      <w:pPr>
        <w:autoSpaceDE w:val="0"/>
        <w:autoSpaceDN w:val="0"/>
        <w:spacing w:line="440" w:lineRule="exact"/>
        <w:ind w:firstLine="480" w:firstLineChars="200"/>
        <w:rPr>
          <w:rFonts w:ascii="仿宋" w:hAnsi="仿宋" w:eastAsia="仿宋" w:cs="仿宋"/>
          <w:sz w:val="24"/>
        </w:rPr>
      </w:pPr>
      <w:r>
        <w:rPr>
          <w:rFonts w:hint="eastAsia" w:ascii="仿宋" w:hAnsi="仿宋" w:eastAsia="仿宋" w:cs="仿宋"/>
          <w:sz w:val="24"/>
        </w:rPr>
        <w:t>（2）运维耗材性能及各项指标参数不得低于原有运维耗材，并与原有系统相匹配，并</w:t>
      </w:r>
      <w:r>
        <w:rPr>
          <w:rFonts w:hint="eastAsia" w:ascii="仿宋" w:hAnsi="仿宋" w:eastAsia="仿宋" w:cs="仿宋"/>
          <w:kern w:val="0"/>
          <w:sz w:val="24"/>
        </w:rPr>
        <w:t>确保其质量可靠、性能稳定</w:t>
      </w:r>
      <w:r>
        <w:rPr>
          <w:rFonts w:hint="eastAsia" w:ascii="仿宋" w:hAnsi="仿宋" w:eastAsia="仿宋" w:cs="仿宋"/>
          <w:sz w:val="24"/>
        </w:rPr>
        <w:t>。</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（3）运维耗材清单（预估）</w:t>
      </w:r>
    </w:p>
    <w:tbl>
      <w:tblPr>
        <w:tblStyle w:val="62"/>
        <w:tblW w:w="9022" w:type="dxa"/>
        <w:tblInd w:w="49" w:type="dxa"/>
        <w:tblLayout w:type="fixed"/>
        <w:tblCellMar>
          <w:top w:w="0" w:type="dxa"/>
          <w:left w:w="108" w:type="dxa"/>
          <w:bottom w:w="0" w:type="dxa"/>
          <w:right w:w="108" w:type="dxa"/>
        </w:tblCellMar>
      </w:tblPr>
      <w:tblGrid>
        <w:gridCol w:w="709"/>
        <w:gridCol w:w="1417"/>
        <w:gridCol w:w="5462"/>
        <w:gridCol w:w="717"/>
        <w:gridCol w:w="717"/>
      </w:tblGrid>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耗材名称</w:t>
            </w:r>
          </w:p>
        </w:tc>
        <w:tc>
          <w:tcPr>
            <w:tcW w:w="546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规格参数</w:t>
            </w:r>
          </w:p>
        </w:tc>
        <w:tc>
          <w:tcPr>
            <w:tcW w:w="7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数量</w:t>
            </w:r>
          </w:p>
        </w:tc>
        <w:tc>
          <w:tcPr>
            <w:tcW w:w="7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单位</w:t>
            </w:r>
          </w:p>
        </w:tc>
      </w:tr>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1417" w:type="dxa"/>
            <w:tcBorders>
              <w:top w:val="single" w:color="auto" w:sz="4" w:space="0"/>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内存</w:t>
            </w:r>
          </w:p>
        </w:tc>
        <w:tc>
          <w:tcPr>
            <w:tcW w:w="5462" w:type="dxa"/>
            <w:tcBorders>
              <w:top w:val="single" w:color="auto" w:sz="4" w:space="0"/>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16G 2400MHZ DDR4服务器内存</w:t>
            </w:r>
          </w:p>
        </w:tc>
        <w:tc>
          <w:tcPr>
            <w:tcW w:w="7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硬盘1</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容量≥300G硬盘；接口：SAS 3.0；硬盘尺寸：2.5英寸；转速：10K</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4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硬盘2</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容量≥300G硬盘；接口：SAS 2.0；硬盘尺寸：2.5英寸；转速：10K</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6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硬盘3</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容量≥600G硬盘；接口：SAS 3.0；硬盘尺寸：2.5英寸；转速：15K</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12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硬盘4</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容量≥600G硬盘；接口：SAS 3.0；硬盘尺寸：2.5英寸；转速：10K</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4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硬盘5</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容量≥300G硬盘；接口：SAS 2.0；硬盘尺寸：2.5英寸；转速：15K</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7</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硬盘6</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容量≥2TB硬盘,接口：SATA接口；转速：7200rpm；硬盘尺寸：3.5英寸</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块</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光纤跳线1</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LC-LC多模OM3万兆光纤跳线10米/根</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10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9</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光纤跳线2</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LC-LC多模OM3万兆光纤跳线3米/根</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光纤跳线3</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FC-LC单模光纤跳线3米/根</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231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光纤跳线4</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FC-LC单模光纤跳线10米/根</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1417"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光纤跳线5</w:t>
            </w:r>
          </w:p>
        </w:tc>
        <w:tc>
          <w:tcPr>
            <w:tcW w:w="5462" w:type="dxa"/>
            <w:tcBorders>
              <w:top w:val="nil"/>
              <w:left w:val="nil"/>
              <w:bottom w:val="single" w:color="auto" w:sz="4" w:space="0"/>
              <w:right w:val="single" w:color="auto" w:sz="4" w:space="0"/>
            </w:tcBorders>
            <w:shd w:val="clear" w:color="000000" w:fill="FFFFFF"/>
            <w:vAlign w:val="center"/>
          </w:tcPr>
          <w:p>
            <w:pPr>
              <w:rPr>
                <w:rFonts w:ascii="仿宋" w:hAnsi="仿宋" w:eastAsia="仿宋" w:cs="仿宋"/>
                <w:sz w:val="24"/>
              </w:rPr>
            </w:pPr>
            <w:r>
              <w:rPr>
                <w:rFonts w:hint="eastAsia" w:ascii="仿宋" w:hAnsi="仿宋" w:eastAsia="仿宋" w:cs="仿宋"/>
                <w:sz w:val="24"/>
              </w:rPr>
              <w:t>FC-LC单模光纤跳线5米/根</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8 </w:t>
            </w:r>
          </w:p>
        </w:tc>
        <w:tc>
          <w:tcPr>
            <w:tcW w:w="717"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w:t>
            </w:r>
          </w:p>
        </w:tc>
        <w:tc>
          <w:tcPr>
            <w:tcW w:w="1417"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成品网线1</w:t>
            </w:r>
          </w:p>
        </w:tc>
        <w:tc>
          <w:tcPr>
            <w:tcW w:w="5462"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六类成品网线3米/根</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86 </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14</w:t>
            </w:r>
          </w:p>
        </w:tc>
        <w:tc>
          <w:tcPr>
            <w:tcW w:w="1417"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成品网线2</w:t>
            </w:r>
          </w:p>
        </w:tc>
        <w:tc>
          <w:tcPr>
            <w:tcW w:w="5462"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六类成品网线10米/根</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4 </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根</w:t>
            </w:r>
          </w:p>
        </w:tc>
      </w:tr>
      <w:tr>
        <w:tblPrEx>
          <w:tblCellMar>
            <w:top w:w="0" w:type="dxa"/>
            <w:left w:w="108" w:type="dxa"/>
            <w:bottom w:w="0" w:type="dxa"/>
            <w:right w:w="108" w:type="dxa"/>
          </w:tblCellMar>
        </w:tblPrEx>
        <w:trPr>
          <w:trHeight w:val="5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w:t>
            </w:r>
          </w:p>
        </w:tc>
        <w:tc>
          <w:tcPr>
            <w:tcW w:w="1417"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光模块1</w:t>
            </w:r>
          </w:p>
        </w:tc>
        <w:tc>
          <w:tcPr>
            <w:tcW w:w="5462" w:type="dxa"/>
            <w:tcBorders>
              <w:top w:val="nil"/>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千兆单模模块-40公里</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14 </w:t>
            </w:r>
          </w:p>
        </w:tc>
        <w:tc>
          <w:tcPr>
            <w:tcW w:w="71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个</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w:t>
            </w:r>
          </w:p>
        </w:tc>
        <w:tc>
          <w:tcPr>
            <w:tcW w:w="141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光模块2</w:t>
            </w:r>
          </w:p>
        </w:tc>
        <w:tc>
          <w:tcPr>
            <w:tcW w:w="546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万兆多模模块-300米</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6 </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个</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17</w:t>
            </w:r>
          </w:p>
        </w:tc>
        <w:tc>
          <w:tcPr>
            <w:tcW w:w="141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光收发器</w:t>
            </w:r>
          </w:p>
        </w:tc>
        <w:tc>
          <w:tcPr>
            <w:tcW w:w="546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1个光口1个电口，单模单芯40公里</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4 </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个</w:t>
            </w:r>
          </w:p>
        </w:tc>
      </w:tr>
      <w:tr>
        <w:tblPrEx>
          <w:tblCellMar>
            <w:top w:w="0" w:type="dxa"/>
            <w:left w:w="108" w:type="dxa"/>
            <w:bottom w:w="0" w:type="dxa"/>
            <w:right w:w="108" w:type="dxa"/>
          </w:tblCellMar>
        </w:tblPrEx>
        <w:trPr>
          <w:trHeight w:val="54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18</w:t>
            </w:r>
          </w:p>
        </w:tc>
        <w:tc>
          <w:tcPr>
            <w:tcW w:w="141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存储电源</w:t>
            </w:r>
          </w:p>
        </w:tc>
        <w:tc>
          <w:tcPr>
            <w:tcW w:w="546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输入电压220V,功率≥500W</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 xml:space="preserve">4 </w:t>
            </w:r>
          </w:p>
        </w:tc>
        <w:tc>
          <w:tcPr>
            <w:tcW w:w="7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个</w:t>
            </w:r>
          </w:p>
        </w:tc>
      </w:tr>
    </w:tbl>
    <w:p>
      <w:pPr>
        <w:spacing w:line="360" w:lineRule="auto"/>
        <w:ind w:firstLine="482" w:firstLineChars="200"/>
        <w:jc w:val="left"/>
        <w:rPr>
          <w:rFonts w:ascii="仿宋" w:hAnsi="仿宋" w:eastAsia="仿宋" w:cs="仿宋"/>
          <w:bCs/>
          <w:sz w:val="24"/>
        </w:rPr>
      </w:pPr>
      <w:r>
        <w:rPr>
          <w:rFonts w:hint="eastAsia" w:ascii="仿宋" w:hAnsi="仿宋" w:eastAsia="仿宋" w:cs="仿宋"/>
          <w:b/>
          <w:bCs/>
          <w:sz w:val="24"/>
          <w:lang w:val="zh-CN"/>
        </w:rPr>
        <w:t>注：</w:t>
      </w:r>
      <w:r>
        <w:rPr>
          <w:rFonts w:hint="eastAsia" w:ascii="仿宋" w:hAnsi="仿宋" w:eastAsia="仿宋" w:cs="仿宋"/>
          <w:b/>
          <w:bCs/>
          <w:sz w:val="24"/>
        </w:rPr>
        <w:t>1、本项目所用耗材产品均为未使用过的全新产品。</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2、运维耗材采用包干方式，在服务期内乙方需提供设备运维所需的所有耗材；上述运维耗材清单仅为预估，实际工作中，若运维耗材超出上述预估的，乙方应予以提供，且甲方不再另行增加成本。</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六）网络安全责任和义务要求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（1）明确乙方法定代表人为合作事项网络安全第一责任人，具体承担合作事项的部门主要负责人为直接责任人。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（2）不得转包合同任务；除非主体、非关键性的“运维耗材”工作外，不得分包合同任务。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（3）乙方应制订与合作事项相关的网络安全保障方案和网络安全事件应急预案。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（4）乙方发现网络安全漏洞、缺陷或者其他严重网络安全风险，应及时向甲方报告。</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（5）处理合作事项的信息平台应当优先采用安全可信的硬件和软件产品。</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（6）发生可能影响合作事项的网络安全重大事项，包括负责人及重要工作人员变更、业务转型、合并重组和投资并购等，乙方应提前向甲方报告。</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（7）采用社会公共网络平台实施合作事项时，严禁涉及国家秘密和警务工作秘密。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（8）乙方应于2025年6月4日之前向甲方提交网络安全报告。</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（9）涉及甲方机房视频专网的维护工作，需要配置专用网络安全工具进行实时扫描检测。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（10）其他应当落实的网络安全责任和义务。</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七）监理相关要求</w:t>
      </w:r>
    </w:p>
    <w:p>
      <w:pPr>
        <w:spacing w:line="360" w:lineRule="auto"/>
        <w:ind w:firstLine="420"/>
        <w:rPr>
          <w:rFonts w:ascii="仿宋" w:hAnsi="仿宋" w:eastAsia="仿宋" w:cs="仿宋"/>
          <w:sz w:val="24"/>
        </w:rPr>
      </w:pPr>
      <w:r>
        <w:rPr>
          <w:rFonts w:hint="eastAsia" w:ascii="仿宋" w:hAnsi="仿宋" w:eastAsia="仿宋" w:cs="仿宋"/>
          <w:sz w:val="24"/>
        </w:rPr>
        <w:t>本项目具有监理，监理的工作职责内容如下：乙方实施项目全过程必须接受甲方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autoSpaceDE w:val="0"/>
        <w:autoSpaceDN w:val="0"/>
        <w:spacing w:line="360" w:lineRule="auto"/>
        <w:ind w:firstLine="482" w:firstLineChars="200"/>
        <w:rPr>
          <w:rFonts w:ascii="仿宋" w:hAnsi="仿宋" w:eastAsia="仿宋" w:cs="仿宋"/>
          <w:b/>
          <w:bCs/>
          <w:sz w:val="24"/>
        </w:rPr>
      </w:pPr>
      <w:r>
        <w:rPr>
          <w:rFonts w:hint="eastAsia" w:ascii="仿宋" w:hAnsi="仿宋" w:eastAsia="仿宋" w:cs="仿宋"/>
          <w:b/>
          <w:bCs/>
          <w:sz w:val="24"/>
        </w:rPr>
        <w:t>八）管理制度</w:t>
      </w:r>
    </w:p>
    <w:p>
      <w:pPr>
        <w:widowControl/>
        <w:snapToGrid w:val="0"/>
        <w:spacing w:line="360" w:lineRule="auto"/>
        <w:ind w:firstLine="480" w:firstLineChars="200"/>
        <w:jc w:val="left"/>
        <w:rPr>
          <w:rFonts w:ascii="仿宋" w:hAnsi="仿宋" w:eastAsia="仿宋" w:cs="仿宋"/>
          <w:b/>
          <w:bCs/>
          <w:sz w:val="24"/>
        </w:rPr>
      </w:pPr>
      <w:r>
        <w:rPr>
          <w:rFonts w:hint="eastAsia" w:ascii="仿宋" w:hAnsi="仿宋" w:eastAsia="仿宋" w:cs="仿宋"/>
          <w:sz w:val="24"/>
        </w:rPr>
        <w:t>乙方需建立针对本项目合理的轮岗、调配制度、内部岗位责任制度（包括各岗位职责等）、管理运作制度（包括档案管理制度、标准化服务制度等）、考核制度（包括考核机制、激励机制、监督机制等）、保密制度等。</w:t>
      </w:r>
    </w:p>
    <w:p>
      <w:pPr>
        <w:widowControl/>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九）</w:t>
      </w:r>
      <w:r>
        <w:rPr>
          <w:rFonts w:hint="eastAsia" w:ascii="仿宋" w:hAnsi="仿宋" w:eastAsia="仿宋" w:cs="仿宋"/>
          <w:b/>
          <w:bCs/>
          <w:sz w:val="24"/>
          <w:lang w:val="zh-CN" w:bidi="zh-CN"/>
        </w:rPr>
        <w:t>安全事故责任条款：</w:t>
      </w:r>
      <w:r>
        <w:rPr>
          <w:rFonts w:hint="eastAsia" w:ascii="仿宋" w:hAnsi="仿宋" w:eastAsia="仿宋" w:cs="宋体"/>
          <w:sz w:val="24"/>
          <w:lang w:val="zh-CN" w:bidi="zh-CN"/>
        </w:rPr>
        <w:t>因乙方或乙方派遣人员工作过错造成的安全管理事故，乙方负全部责任及相关费用。</w:t>
      </w:r>
    </w:p>
    <w:p>
      <w:pPr>
        <w:snapToGrid w:val="0"/>
        <w:spacing w:before="120" w:beforeLines="50" w:line="360" w:lineRule="auto"/>
        <w:ind w:firstLine="484" w:firstLineChars="201"/>
        <w:outlineLvl w:val="2"/>
        <w:rPr>
          <w:rFonts w:ascii="仿宋" w:hAnsi="仿宋" w:eastAsia="仿宋" w:cs="仿宋"/>
          <w:b/>
          <w:sz w:val="24"/>
        </w:rPr>
      </w:pPr>
      <w:r>
        <w:rPr>
          <w:rFonts w:hint="eastAsia" w:ascii="仿宋" w:hAnsi="仿宋" w:eastAsia="仿宋" w:cs="仿宋"/>
          <w:b/>
          <w:sz w:val="24"/>
        </w:rPr>
        <w:t>附件一：每月考核表</w:t>
      </w:r>
    </w:p>
    <w:p>
      <w:pPr>
        <w:spacing w:line="360" w:lineRule="auto"/>
        <w:ind w:firstLine="420"/>
        <w:jc w:val="left"/>
        <w:rPr>
          <w:rFonts w:ascii="仿宋" w:hAnsi="仿宋" w:eastAsia="仿宋" w:cs="宋体"/>
          <w:sz w:val="24"/>
          <w:u w:val="single"/>
        </w:rPr>
      </w:pPr>
      <w:r>
        <w:rPr>
          <w:rFonts w:hint="eastAsia" w:ascii="仿宋" w:hAnsi="仿宋" w:eastAsia="仿宋" w:cs="宋体"/>
          <w:sz w:val="24"/>
          <w:u w:val="single"/>
        </w:rPr>
        <w:t>甲方负责对本项目的管理指导、验收考核等职责，督促乙方履行合同。甲方委托监理单位对乙方服务工作进行考核，考核结果由甲方经办人、审核人、监理单位、乙方签字盖章。如考核周期内重复出现相同扣分情形，累计计算扣除分值。</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宋体"/>
          <w:sz w:val="24"/>
          <w:u w:val="single"/>
        </w:rPr>
        <w:t>本考核对乙方服务工作进行考核以月为考核周期，采用百分制计分方式，每月1日初始计分为100分，甲方委托监理单位根据逐条考核事项及对应扣分对乙方（人员）进行计分。乙方每被扣1分，扣除违约金1000元，结算合同尾款时一次性扣除。当月考核结果低于80分的，应递交书面整改报告。乙方当月考核结果低于60分、或连续二个月考核结果低于70分、或连续三个月考核结果低于80分，</w:t>
      </w:r>
      <w:r>
        <w:rPr>
          <w:rFonts w:hint="eastAsia" w:ascii="仿宋" w:hAnsi="仿宋" w:eastAsia="仿宋" w:cs="仿宋"/>
          <w:sz w:val="24"/>
          <w:u w:val="single"/>
        </w:rPr>
        <w:t>甲方有权没收乙方全部履约保证金，并且甲方有权无条件解除合同，如给甲方造成损失的有权向乙方提出索赔</w:t>
      </w:r>
      <w:r>
        <w:rPr>
          <w:rFonts w:hint="eastAsia" w:ascii="仿宋" w:hAnsi="仿宋" w:eastAsia="仿宋" w:cs="宋体"/>
          <w:sz w:val="24"/>
          <w:u w:val="single"/>
        </w:rPr>
        <w:t>。</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sz w:val="24"/>
          <w:u w:val="single"/>
          <w:lang w:val="zh-CN"/>
        </w:rPr>
        <w:t>考核内容具体如下：</w:t>
      </w:r>
    </w:p>
    <w:p>
      <w:pPr>
        <w:spacing w:before="120" w:beforeLines="50" w:line="360" w:lineRule="auto"/>
        <w:jc w:val="center"/>
        <w:rPr>
          <w:rFonts w:ascii="仿宋" w:hAnsi="仿宋" w:eastAsia="仿宋" w:cs="等线"/>
          <w:sz w:val="24"/>
        </w:rPr>
      </w:pPr>
      <w:r>
        <w:rPr>
          <w:rFonts w:hint="eastAsia" w:ascii="仿宋" w:hAnsi="仿宋" w:eastAsia="仿宋" w:cs="等线"/>
          <w:sz w:val="24"/>
        </w:rPr>
        <w:t>每月考核表（202  年  月）</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67"/>
        <w:gridCol w:w="6121"/>
        <w:gridCol w:w="737"/>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序号</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考核项目</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考核内容</w:t>
            </w:r>
          </w:p>
        </w:tc>
        <w:tc>
          <w:tcPr>
            <w:tcW w:w="39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考核扣分</w:t>
            </w:r>
          </w:p>
        </w:tc>
        <w:tc>
          <w:tcPr>
            <w:tcW w:w="25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1</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服务响应</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本项目中的硬件及软件在运维范围内：</w:t>
            </w:r>
          </w:p>
          <w:p>
            <w:pPr>
              <w:widowControl/>
              <w:jc w:val="left"/>
              <w:textAlignment w:val="center"/>
              <w:rPr>
                <w:rFonts w:ascii="仿宋" w:hAnsi="仿宋" w:eastAsia="仿宋"/>
                <w:sz w:val="24"/>
              </w:rPr>
            </w:pPr>
            <w:r>
              <w:rPr>
                <w:rFonts w:hint="eastAsia" w:ascii="仿宋" w:hAnsi="仿宋" w:eastAsia="仿宋"/>
                <w:sz w:val="24"/>
              </w:rPr>
              <w:t>乙方应提供7*24小时服务，乙方应提供技术支持服务，在服务期间不按招标文件响应，发生一起扣1分。</w:t>
            </w:r>
          </w:p>
        </w:tc>
        <w:tc>
          <w:tcPr>
            <w:tcW w:w="39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2</w:t>
            </w:r>
          </w:p>
        </w:tc>
        <w:tc>
          <w:tcPr>
            <w:tcW w:w="68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sz w:val="24"/>
              </w:rPr>
            </w:pPr>
            <w:r>
              <w:rPr>
                <w:rFonts w:hint="eastAsia" w:ascii="仿宋" w:hAnsi="仿宋" w:eastAsia="仿宋" w:cs="仿宋_GB2312"/>
                <w:sz w:val="24"/>
              </w:rPr>
              <w:t>运维耗材更换</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cs="仿宋_GB2312"/>
                <w:sz w:val="24"/>
              </w:rPr>
              <w:t>每个故障点单个设备材料价值3000元以下金额的设备材料更换为运维耗材，费用纳入合同价内，并上报维修记录台账及相关照片并每月提交运维耗材使用情况汇总清单</w:t>
            </w:r>
            <w:r>
              <w:rPr>
                <w:rFonts w:hint="eastAsia" w:ascii="仿宋" w:hAnsi="仿宋" w:eastAsia="仿宋" w:cs="宋体"/>
                <w:kern w:val="0"/>
                <w:sz w:val="24"/>
              </w:rPr>
              <w:t>。不符合以上要求的，每发生一次</w:t>
            </w:r>
            <w:r>
              <w:rPr>
                <w:rFonts w:hint="eastAsia" w:ascii="仿宋" w:hAnsi="仿宋" w:eastAsia="仿宋" w:cs="宋体"/>
                <w:sz w:val="24"/>
              </w:rPr>
              <w:t>扣1分。</w:t>
            </w:r>
          </w:p>
        </w:tc>
        <w:tc>
          <w:tcPr>
            <w:tcW w:w="39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 w:val="24"/>
              </w:rPr>
            </w:pP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cs="仿宋_GB2312"/>
                <w:sz w:val="24"/>
              </w:rPr>
              <w:t>单个设备材料超过3000元的如需更换需书面提交更换清单，报</w:t>
            </w:r>
            <w:r>
              <w:rPr>
                <w:rFonts w:hint="eastAsia" w:ascii="仿宋" w:hAnsi="仿宋" w:eastAsia="仿宋"/>
                <w:sz w:val="24"/>
              </w:rPr>
              <w:t>监理人确认，报</w:t>
            </w:r>
            <w:r>
              <w:rPr>
                <w:rFonts w:hint="eastAsia" w:ascii="仿宋" w:hAnsi="仿宋" w:eastAsia="仿宋" w:cs="仿宋_GB2312"/>
                <w:sz w:val="24"/>
              </w:rPr>
              <w:t>甲方审核后，由甲方提供，乙方负责安装调试及故障修复，并于次月10日前上报维修记录台账、设备材料更换清单及相关照片并每月提交使用情况汇总清单。</w:t>
            </w:r>
            <w:r>
              <w:rPr>
                <w:rFonts w:hint="eastAsia" w:ascii="仿宋" w:hAnsi="仿宋" w:eastAsia="仿宋" w:cs="宋体"/>
                <w:kern w:val="0"/>
                <w:sz w:val="24"/>
              </w:rPr>
              <w:t>不符合以上要求的，每发生一次</w:t>
            </w:r>
            <w:r>
              <w:rPr>
                <w:rFonts w:hint="eastAsia" w:ascii="仿宋" w:hAnsi="仿宋" w:eastAsia="仿宋" w:cs="宋体"/>
                <w:sz w:val="24"/>
              </w:rPr>
              <w:t>扣1分。</w:t>
            </w:r>
          </w:p>
        </w:tc>
        <w:tc>
          <w:tcPr>
            <w:tcW w:w="39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sz w:val="24"/>
              </w:rPr>
            </w:pP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sz w:val="24"/>
              </w:rPr>
            </w:pPr>
            <w:r>
              <w:rPr>
                <w:rFonts w:hint="eastAsia" w:ascii="仿宋" w:hAnsi="仿宋" w:eastAsia="仿宋" w:cs="仿宋_GB2312"/>
                <w:sz w:val="24"/>
              </w:rPr>
              <w:t>运维耗材性能及各项指标参数低于原有运维耗材，未与原有系统相匹配</w:t>
            </w:r>
            <w:r>
              <w:rPr>
                <w:rFonts w:hint="eastAsia" w:ascii="仿宋" w:hAnsi="仿宋" w:eastAsia="仿宋"/>
                <w:sz w:val="24"/>
              </w:rPr>
              <w:t>的，</w:t>
            </w:r>
            <w:r>
              <w:rPr>
                <w:rFonts w:hint="eastAsia" w:ascii="仿宋" w:hAnsi="仿宋" w:eastAsia="仿宋" w:cs="宋体"/>
                <w:kern w:val="0"/>
                <w:sz w:val="24"/>
              </w:rPr>
              <w:t>每发生一次</w:t>
            </w:r>
            <w:r>
              <w:rPr>
                <w:rFonts w:hint="eastAsia" w:ascii="仿宋" w:hAnsi="仿宋" w:eastAsia="仿宋" w:cs="宋体"/>
                <w:sz w:val="24"/>
              </w:rPr>
              <w:t>扣1分。</w:t>
            </w:r>
          </w:p>
        </w:tc>
        <w:tc>
          <w:tcPr>
            <w:tcW w:w="39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5</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专项服务</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在服务期间不按招标文件响应，发生一起扣1分。</w:t>
            </w:r>
          </w:p>
        </w:tc>
        <w:tc>
          <w:tcPr>
            <w:tcW w:w="39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6</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维护质量</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因操作失误等造成故障扩大、数据损坏、误操作等；发现一起扣2分。</w:t>
            </w:r>
          </w:p>
        </w:tc>
        <w:tc>
          <w:tcPr>
            <w:tcW w:w="39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68"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cs="宋体"/>
                <w:sz w:val="24"/>
              </w:rPr>
              <w:t>7</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资料信息</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出现未在规定时间内提交文档资料、提供虚假材料、维护记录表填写不完整等情况的，每出现一次扣3分。</w:t>
            </w:r>
          </w:p>
        </w:tc>
        <w:tc>
          <w:tcPr>
            <w:tcW w:w="39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312"/>
              </w:tabs>
              <w:jc w:val="center"/>
              <w:textAlignment w:val="center"/>
              <w:rPr>
                <w:rFonts w:ascii="仿宋" w:hAnsi="仿宋" w:eastAsia="仿宋"/>
                <w:sz w:val="24"/>
              </w:rPr>
            </w:pPr>
            <w:r>
              <w:rPr>
                <w:rFonts w:hint="eastAsia" w:ascii="仿宋" w:hAnsi="仿宋" w:eastAsia="仿宋"/>
                <w:sz w:val="24"/>
              </w:rPr>
              <w:t>8</w:t>
            </w:r>
          </w:p>
        </w:tc>
        <w:tc>
          <w:tcPr>
            <w:tcW w:w="682" w:type="pct"/>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人员要求</w:t>
            </w:r>
          </w:p>
        </w:tc>
        <w:tc>
          <w:tcPr>
            <w:tcW w:w="329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sz w:val="24"/>
              </w:rPr>
            </w:pPr>
            <w:r>
              <w:rPr>
                <w:rFonts w:hint="eastAsia" w:ascii="仿宋" w:hAnsi="仿宋" w:eastAsia="仿宋"/>
                <w:sz w:val="24"/>
              </w:rPr>
              <w:t>未按采购需求提供服务人员，人员数量、资历</w:t>
            </w:r>
            <w:r>
              <w:rPr>
                <w:rFonts w:hint="eastAsia" w:ascii="仿宋" w:hAnsi="仿宋" w:eastAsia="仿宋" w:cs="宋体"/>
                <w:sz w:val="24"/>
              </w:rPr>
              <w:t>、</w:t>
            </w:r>
            <w:r>
              <w:rPr>
                <w:rFonts w:hint="eastAsia" w:ascii="仿宋" w:hAnsi="仿宋" w:eastAsia="仿宋"/>
                <w:sz w:val="24"/>
              </w:rPr>
              <w:t>资质不符合要求的，变更未及时报备的，每出现一次扣2分。驻场人员未按甲方工作时间要求存在迟到早退的，不遵守办公场所纪律的，每出现一次扣1分。</w:t>
            </w:r>
          </w:p>
        </w:tc>
        <w:tc>
          <w:tcPr>
            <w:tcW w:w="39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3296"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left"/>
              <w:textAlignment w:val="center"/>
              <w:rPr>
                <w:rFonts w:ascii="仿宋" w:hAnsi="仿宋" w:eastAsia="仿宋"/>
                <w:sz w:val="24"/>
              </w:rPr>
            </w:pPr>
            <w:r>
              <w:rPr>
                <w:rFonts w:hint="eastAsia" w:ascii="仿宋" w:hAnsi="仿宋" w:eastAsia="仿宋"/>
                <w:sz w:val="24"/>
              </w:rPr>
              <w:t>乙方应按招标文件要求进行巡检、</w:t>
            </w:r>
            <w:r>
              <w:rPr>
                <w:rFonts w:hint="eastAsia" w:ascii="仿宋" w:hAnsi="仿宋" w:eastAsia="仿宋"/>
                <w:bCs/>
                <w:sz w:val="24"/>
              </w:rPr>
              <w:t>外建新建项目</w:t>
            </w:r>
            <w:r>
              <w:rPr>
                <w:rFonts w:hint="eastAsia" w:ascii="仿宋" w:hAnsi="仿宋" w:eastAsia="仿宋" w:cs="宋体"/>
                <w:sz w:val="24"/>
              </w:rPr>
              <w:t>抽检</w:t>
            </w:r>
            <w:r>
              <w:rPr>
                <w:rFonts w:hint="eastAsia" w:ascii="仿宋" w:hAnsi="仿宋" w:eastAsia="仿宋"/>
                <w:sz w:val="24"/>
              </w:rPr>
              <w:t>，未按要求的扣2分，巡检、</w:t>
            </w:r>
            <w:r>
              <w:rPr>
                <w:rFonts w:hint="eastAsia" w:ascii="仿宋" w:hAnsi="仿宋" w:eastAsia="仿宋"/>
                <w:bCs/>
                <w:sz w:val="24"/>
              </w:rPr>
              <w:t>外建新建项目</w:t>
            </w:r>
            <w:r>
              <w:rPr>
                <w:rFonts w:hint="eastAsia" w:ascii="仿宋" w:hAnsi="仿宋" w:eastAsia="仿宋" w:cs="宋体"/>
                <w:sz w:val="24"/>
              </w:rPr>
              <w:t>抽检</w:t>
            </w:r>
            <w:r>
              <w:rPr>
                <w:rFonts w:hint="eastAsia" w:ascii="仿宋" w:hAnsi="仿宋" w:eastAsia="仿宋"/>
                <w:sz w:val="24"/>
              </w:rPr>
              <w:t>内容不符合要求的，每出现一次扣1分。</w:t>
            </w:r>
          </w:p>
        </w:tc>
        <w:tc>
          <w:tcPr>
            <w:tcW w:w="39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3296" w:type="pct"/>
            <w:tcBorders>
              <w:top w:val="single" w:color="auto" w:sz="4" w:space="0"/>
              <w:left w:val="single" w:color="auto" w:sz="4" w:space="0"/>
              <w:bottom w:val="single" w:color="auto" w:sz="4" w:space="0"/>
              <w:right w:val="single" w:color="auto" w:sz="4" w:space="0"/>
            </w:tcBorders>
            <w:vAlign w:val="center"/>
          </w:tcPr>
          <w:p>
            <w:pPr>
              <w:widowControl/>
              <w:tabs>
                <w:tab w:val="left" w:pos="312"/>
              </w:tabs>
              <w:jc w:val="left"/>
              <w:textAlignment w:val="center"/>
              <w:rPr>
                <w:rFonts w:ascii="仿宋" w:hAnsi="仿宋" w:eastAsia="仿宋"/>
                <w:sz w:val="24"/>
              </w:rPr>
            </w:pPr>
            <w:r>
              <w:rPr>
                <w:rFonts w:hint="eastAsia" w:ascii="仿宋" w:hAnsi="仿宋" w:eastAsia="仿宋"/>
                <w:sz w:val="24"/>
              </w:rPr>
              <w:t>乙方项目负责人未按采购需求履行工作内容及职责的，每出现一次扣1分。</w:t>
            </w:r>
          </w:p>
        </w:tc>
        <w:tc>
          <w:tcPr>
            <w:tcW w:w="39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9</w:t>
            </w:r>
          </w:p>
        </w:tc>
        <w:tc>
          <w:tcPr>
            <w:tcW w:w="682" w:type="pct"/>
            <w:tcBorders>
              <w:top w:val="single" w:color="auto" w:sz="4" w:space="0"/>
              <w:left w:val="single" w:color="auto" w:sz="4" w:space="0"/>
              <w:bottom w:val="single" w:color="auto" w:sz="4" w:space="0"/>
              <w:right w:val="single" w:color="auto" w:sz="4" w:space="0"/>
            </w:tcBorders>
            <w:vAlign w:val="center"/>
          </w:tcPr>
          <w:p>
            <w:pPr>
              <w:tabs>
                <w:tab w:val="left" w:pos="312"/>
              </w:tabs>
              <w:jc w:val="left"/>
              <w:textAlignment w:val="center"/>
              <w:rPr>
                <w:rFonts w:ascii="仿宋" w:hAnsi="仿宋" w:eastAsia="仿宋"/>
                <w:sz w:val="24"/>
              </w:rPr>
            </w:pPr>
            <w:r>
              <w:rPr>
                <w:rFonts w:hint="eastAsia" w:ascii="仿宋" w:hAnsi="仿宋" w:eastAsia="仿宋"/>
                <w:sz w:val="24"/>
              </w:rPr>
              <w:t>安全管理</w:t>
            </w:r>
          </w:p>
        </w:tc>
        <w:tc>
          <w:tcPr>
            <w:tcW w:w="3296" w:type="pct"/>
            <w:tcBorders>
              <w:top w:val="single" w:color="auto" w:sz="4" w:space="0"/>
              <w:left w:val="single" w:color="auto" w:sz="4" w:space="0"/>
              <w:bottom w:val="single" w:color="auto" w:sz="4" w:space="0"/>
              <w:right w:val="single" w:color="auto" w:sz="4" w:space="0"/>
            </w:tcBorders>
          </w:tcPr>
          <w:p>
            <w:pPr>
              <w:widowControl/>
              <w:tabs>
                <w:tab w:val="left" w:pos="312"/>
              </w:tabs>
              <w:jc w:val="left"/>
              <w:textAlignment w:val="center"/>
              <w:rPr>
                <w:rFonts w:ascii="仿宋" w:hAnsi="仿宋" w:eastAsia="仿宋"/>
                <w:sz w:val="24"/>
              </w:rPr>
            </w:pPr>
            <w:r>
              <w:rPr>
                <w:rFonts w:hint="eastAsia" w:ascii="仿宋" w:hAnsi="仿宋" w:eastAsia="仿宋" w:cs="宋体"/>
                <w:sz w:val="24"/>
              </w:rPr>
              <w:t>乙方</w:t>
            </w:r>
            <w:r>
              <w:rPr>
                <w:rFonts w:hint="eastAsia" w:ascii="仿宋" w:hAnsi="仿宋" w:eastAsia="仿宋" w:cs="宋体"/>
                <w:iCs/>
                <w:sz w:val="24"/>
              </w:rPr>
              <w:t>未按</w:t>
            </w:r>
            <w:r>
              <w:rPr>
                <w:rFonts w:hint="eastAsia" w:ascii="仿宋" w:hAnsi="仿宋" w:eastAsia="仿宋" w:cs="宋体"/>
                <w:sz w:val="24"/>
              </w:rPr>
              <w:t>网络安全履行责任和义务的，每发生一次扣除</w:t>
            </w:r>
            <w:r>
              <w:rPr>
                <w:rFonts w:hint="eastAsia" w:ascii="仿宋" w:hAnsi="仿宋" w:eastAsia="仿宋" w:cs="宋体"/>
                <w:iCs/>
                <w:sz w:val="24"/>
              </w:rPr>
              <w:t>违约金10000</w:t>
            </w:r>
            <w:r>
              <w:rPr>
                <w:rFonts w:hint="eastAsia" w:ascii="仿宋" w:hAnsi="仿宋" w:eastAsia="仿宋" w:cs="宋体"/>
                <w:sz w:val="24"/>
              </w:rPr>
              <w:t>元。发生违反相关保密规定，除扣除违约金10000元/次外，甲方将追究乙方一切法律责任。</w:t>
            </w:r>
          </w:p>
        </w:tc>
        <w:tc>
          <w:tcPr>
            <w:tcW w:w="39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36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10</w:t>
            </w:r>
          </w:p>
        </w:tc>
        <w:tc>
          <w:tcPr>
            <w:tcW w:w="682" w:type="pct"/>
            <w:tcBorders>
              <w:top w:val="single" w:color="auto" w:sz="4" w:space="0"/>
              <w:left w:val="single" w:color="auto" w:sz="4" w:space="0"/>
              <w:bottom w:val="single" w:color="auto" w:sz="4" w:space="0"/>
              <w:right w:val="single" w:color="auto" w:sz="4" w:space="0"/>
            </w:tcBorders>
            <w:vAlign w:val="center"/>
          </w:tcPr>
          <w:p>
            <w:pPr>
              <w:tabs>
                <w:tab w:val="left" w:pos="312"/>
              </w:tabs>
              <w:jc w:val="left"/>
              <w:textAlignment w:val="center"/>
              <w:rPr>
                <w:rFonts w:ascii="仿宋" w:hAnsi="仿宋" w:eastAsia="仿宋"/>
                <w:sz w:val="24"/>
              </w:rPr>
            </w:pPr>
            <w:r>
              <w:rPr>
                <w:rFonts w:hint="eastAsia" w:ascii="仿宋" w:hAnsi="仿宋" w:eastAsia="仿宋" w:cs="宋体"/>
                <w:sz w:val="24"/>
              </w:rPr>
              <w:t>中小企业佐证</w:t>
            </w:r>
          </w:p>
        </w:tc>
        <w:tc>
          <w:tcPr>
            <w:tcW w:w="3296" w:type="pct"/>
            <w:tcBorders>
              <w:top w:val="single" w:color="auto" w:sz="4" w:space="0"/>
              <w:left w:val="single" w:color="auto" w:sz="4" w:space="0"/>
              <w:bottom w:val="single" w:color="auto" w:sz="4" w:space="0"/>
              <w:right w:val="single" w:color="auto" w:sz="4" w:space="0"/>
            </w:tcBorders>
          </w:tcPr>
          <w:p>
            <w:pPr>
              <w:widowControl/>
              <w:tabs>
                <w:tab w:val="left" w:pos="312"/>
              </w:tabs>
              <w:jc w:val="left"/>
              <w:textAlignment w:val="center"/>
              <w:rPr>
                <w:rFonts w:ascii="仿宋" w:hAnsi="仿宋" w:eastAsia="仿宋" w:cs="宋体"/>
                <w:sz w:val="24"/>
              </w:rPr>
            </w:pPr>
            <w:r>
              <w:rPr>
                <w:rFonts w:hint="eastAsia" w:ascii="仿宋" w:hAnsi="仿宋" w:eastAsia="仿宋" w:cs="宋体"/>
                <w:kern w:val="0"/>
                <w:sz w:val="24"/>
              </w:rPr>
              <w:t>本项目履约过程中，乙方按承诺预留中小企业比例应达到合同总价的100%，若未达到此要求，</w:t>
            </w:r>
            <w:r>
              <w:rPr>
                <w:rFonts w:hint="eastAsia" w:ascii="仿宋" w:hAnsi="仿宋" w:eastAsia="仿宋" w:cs="宋体"/>
                <w:bCs/>
                <w:sz w:val="24"/>
              </w:rPr>
              <w:t>甲方有权没收全部履约保证金，报送本级政府采购监管部门，提请列入失信行为记录名单，追究相关责任，且乙方应向甲方支付合同总价30%的违约金。</w:t>
            </w:r>
          </w:p>
        </w:tc>
        <w:tc>
          <w:tcPr>
            <w:tcW w:w="39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68" w:type="pct"/>
            <w:tcBorders>
              <w:top w:val="single" w:color="auto" w:sz="4" w:space="0"/>
              <w:left w:val="single" w:color="auto" w:sz="4" w:space="0"/>
              <w:bottom w:val="single" w:color="auto" w:sz="4" w:space="0"/>
              <w:right w:val="single" w:color="auto" w:sz="4" w:space="0"/>
            </w:tcBorders>
            <w:vAlign w:val="center"/>
          </w:tcPr>
          <w:p>
            <w:pPr>
              <w:tabs>
                <w:tab w:val="left" w:pos="312"/>
              </w:tabs>
              <w:jc w:val="center"/>
              <w:textAlignment w:val="center"/>
              <w:rPr>
                <w:rFonts w:ascii="仿宋" w:hAnsi="仿宋" w:eastAsia="仿宋"/>
                <w:sz w:val="24"/>
              </w:rPr>
            </w:pPr>
            <w:r>
              <w:rPr>
                <w:rFonts w:hint="eastAsia" w:ascii="仿宋" w:hAnsi="仿宋" w:eastAsia="仿宋"/>
                <w:sz w:val="24"/>
              </w:rPr>
              <w:t>11</w:t>
            </w:r>
          </w:p>
        </w:tc>
        <w:tc>
          <w:tcPr>
            <w:tcW w:w="682" w:type="pct"/>
            <w:tcBorders>
              <w:top w:val="single" w:color="auto" w:sz="4" w:space="0"/>
              <w:left w:val="single" w:color="auto" w:sz="4" w:space="0"/>
              <w:bottom w:val="single" w:color="auto" w:sz="4" w:space="0"/>
              <w:right w:val="single" w:color="auto" w:sz="4" w:space="0"/>
            </w:tcBorders>
            <w:vAlign w:val="center"/>
          </w:tcPr>
          <w:p>
            <w:pPr>
              <w:tabs>
                <w:tab w:val="left" w:pos="312"/>
              </w:tabs>
              <w:jc w:val="left"/>
              <w:textAlignment w:val="center"/>
              <w:rPr>
                <w:rFonts w:ascii="仿宋" w:hAnsi="仿宋" w:eastAsia="仿宋"/>
                <w:sz w:val="24"/>
              </w:rPr>
            </w:pPr>
            <w:r>
              <w:rPr>
                <w:rFonts w:hint="eastAsia" w:ascii="仿宋" w:hAnsi="仿宋" w:eastAsia="仿宋"/>
                <w:sz w:val="24"/>
              </w:rPr>
              <w:t>其他</w:t>
            </w:r>
          </w:p>
        </w:tc>
        <w:tc>
          <w:tcPr>
            <w:tcW w:w="3296" w:type="pct"/>
            <w:tcBorders>
              <w:top w:val="single" w:color="auto" w:sz="4" w:space="0"/>
              <w:left w:val="single" w:color="auto" w:sz="4" w:space="0"/>
              <w:bottom w:val="single" w:color="auto" w:sz="4" w:space="0"/>
              <w:right w:val="single" w:color="auto" w:sz="4" w:space="0"/>
            </w:tcBorders>
            <w:vAlign w:val="center"/>
          </w:tcPr>
          <w:p>
            <w:pPr>
              <w:tabs>
                <w:tab w:val="left" w:pos="312"/>
              </w:tabs>
              <w:jc w:val="left"/>
              <w:textAlignment w:val="center"/>
              <w:rPr>
                <w:rFonts w:ascii="仿宋" w:hAnsi="仿宋" w:eastAsia="仿宋"/>
                <w:sz w:val="24"/>
              </w:rPr>
            </w:pPr>
            <w:r>
              <w:rPr>
                <w:rFonts w:hint="eastAsia" w:ascii="仿宋" w:hAnsi="仿宋" w:eastAsia="仿宋"/>
                <w:sz w:val="24"/>
              </w:rPr>
              <w:t>存在其他未按采购需求提供服务情况的，每出现一次扣2分。</w:t>
            </w:r>
          </w:p>
        </w:tc>
        <w:tc>
          <w:tcPr>
            <w:tcW w:w="39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c>
          <w:tcPr>
            <w:tcW w:w="257" w:type="pct"/>
            <w:tcBorders>
              <w:top w:val="single" w:color="auto" w:sz="4" w:space="0"/>
              <w:left w:val="single" w:color="auto" w:sz="4" w:space="0"/>
              <w:bottom w:val="single" w:color="auto" w:sz="4" w:space="0"/>
              <w:right w:val="single" w:color="auto" w:sz="4" w:space="0"/>
            </w:tcBorders>
            <w:vAlign w:val="center"/>
          </w:tcPr>
          <w:p>
            <w:pPr>
              <w:tabs>
                <w:tab w:val="left" w:pos="312"/>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rPr>
              <w:t>甲方（盖章）：         乙方签字（盖章）：          其他单位（监理单位）（盖章）：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tabs>
                <w:tab w:val="left" w:pos="312"/>
              </w:tabs>
              <w:jc w:val="left"/>
              <w:textAlignment w:val="center"/>
              <w:rPr>
                <w:rFonts w:ascii="仿宋" w:hAnsi="仿宋" w:eastAsia="仿宋"/>
                <w:sz w:val="24"/>
              </w:rPr>
            </w:pPr>
            <w:r>
              <w:rPr>
                <w:rFonts w:hint="eastAsia" w:ascii="仿宋" w:hAnsi="仿宋" w:eastAsia="仿宋"/>
                <w:sz w:val="24"/>
              </w:rPr>
              <w:t>甲方经办人签字：</w:t>
            </w:r>
          </w:p>
          <w:p>
            <w:pPr>
              <w:widowControl/>
              <w:tabs>
                <w:tab w:val="left" w:pos="312"/>
              </w:tabs>
              <w:jc w:val="left"/>
              <w:textAlignment w:val="center"/>
              <w:rPr>
                <w:rFonts w:ascii="仿宋" w:hAnsi="仿宋" w:eastAsia="仿宋"/>
                <w:sz w:val="24"/>
              </w:rPr>
            </w:pPr>
            <w:r>
              <w:rPr>
                <w:rFonts w:hint="eastAsia" w:ascii="仿宋" w:hAnsi="仿宋" w:eastAsia="仿宋"/>
                <w:sz w:val="24"/>
              </w:rPr>
              <w:t>日期：</w:t>
            </w:r>
          </w:p>
          <w:p>
            <w:pPr>
              <w:widowControl/>
              <w:jc w:val="left"/>
              <w:rPr>
                <w:rFonts w:ascii="仿宋" w:hAnsi="仿宋" w:eastAsia="仿宋"/>
                <w:sz w:val="24"/>
              </w:rPr>
            </w:pPr>
            <w:r>
              <w:rPr>
                <w:rFonts w:hint="eastAsia" w:ascii="仿宋" w:hAnsi="仿宋" w:eastAsia="仿宋"/>
                <w:sz w:val="24"/>
              </w:rPr>
              <w:t>甲方审核人签字：</w:t>
            </w:r>
          </w:p>
        </w:tc>
      </w:tr>
    </w:tbl>
    <w:p>
      <w:pPr>
        <w:spacing w:line="360" w:lineRule="auto"/>
        <w:jc w:val="center"/>
        <w:rPr>
          <w:rFonts w:ascii="仿宋" w:hAnsi="仿宋" w:eastAsia="仿宋" w:cs="仿宋"/>
          <w:b/>
          <w:sz w:val="24"/>
        </w:rPr>
      </w:pPr>
    </w:p>
    <w:p>
      <w:pPr>
        <w:widowControl/>
        <w:ind w:firstLine="720" w:firstLineChars="300"/>
        <w:jc w:val="left"/>
        <w:rPr>
          <w:rFonts w:ascii="仿宋" w:hAnsi="仿宋" w:eastAsia="仿宋" w:cs="仿宋"/>
          <w:bCs/>
          <w:sz w:val="24"/>
        </w:rPr>
      </w:pPr>
    </w:p>
    <w:p>
      <w:pPr>
        <w:snapToGrid w:val="0"/>
        <w:spacing w:before="120" w:beforeLines="50" w:line="360" w:lineRule="auto"/>
        <w:ind w:firstLine="484" w:firstLineChars="201"/>
        <w:outlineLvl w:val="2"/>
        <w:rPr>
          <w:rFonts w:ascii="仿宋" w:hAnsi="仿宋" w:eastAsia="仿宋" w:cs="仿宋"/>
          <w:b/>
          <w:sz w:val="24"/>
        </w:rPr>
      </w:pPr>
      <w:r>
        <w:rPr>
          <w:rFonts w:hint="eastAsia" w:ascii="仿宋" w:hAnsi="仿宋" w:eastAsia="仿宋" w:cs="仿宋"/>
          <w:b/>
          <w:sz w:val="24"/>
        </w:rPr>
        <w:t>附件二：项目人员名单</w:t>
      </w:r>
    </w:p>
    <w:tbl>
      <w:tblPr>
        <w:tblStyle w:val="62"/>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342"/>
        <w:gridCol w:w="1608"/>
        <w:gridCol w:w="1608"/>
        <w:gridCol w:w="2503"/>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694" w:type="pc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姓名</w:t>
            </w:r>
          </w:p>
        </w:tc>
        <w:tc>
          <w:tcPr>
            <w:tcW w:w="832" w:type="pc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身份证号码</w:t>
            </w:r>
          </w:p>
        </w:tc>
        <w:tc>
          <w:tcPr>
            <w:tcW w:w="832" w:type="pc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联系方式</w:t>
            </w:r>
          </w:p>
        </w:tc>
        <w:tc>
          <w:tcPr>
            <w:tcW w:w="1295" w:type="pc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本项目承担的职责</w:t>
            </w:r>
          </w:p>
        </w:tc>
        <w:tc>
          <w:tcPr>
            <w:tcW w:w="899" w:type="pc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694" w:type="pct"/>
            <w:noWrap/>
            <w:vAlign w:val="center"/>
          </w:tcPr>
          <w:p>
            <w:pPr>
              <w:snapToGrid w:val="0"/>
              <w:spacing w:line="360" w:lineRule="auto"/>
              <w:jc w:val="center"/>
              <w:rPr>
                <w:rFonts w:ascii="仿宋" w:hAnsi="仿宋" w:eastAsia="仿宋" w:cs="仿宋"/>
                <w:sz w:val="24"/>
              </w:rPr>
            </w:pPr>
          </w:p>
        </w:tc>
        <w:tc>
          <w:tcPr>
            <w:tcW w:w="832" w:type="pct"/>
            <w:noWrap/>
          </w:tcPr>
          <w:p>
            <w:pPr>
              <w:spacing w:line="360" w:lineRule="auto"/>
              <w:jc w:val="center"/>
              <w:rPr>
                <w:rFonts w:ascii="仿宋" w:hAnsi="仿宋" w:eastAsia="仿宋" w:cs="仿宋"/>
                <w:b/>
                <w:sz w:val="24"/>
              </w:rPr>
            </w:pPr>
          </w:p>
        </w:tc>
        <w:tc>
          <w:tcPr>
            <w:tcW w:w="832" w:type="pct"/>
            <w:noWrap/>
            <w:vAlign w:val="center"/>
          </w:tcPr>
          <w:p>
            <w:pPr>
              <w:spacing w:line="360" w:lineRule="auto"/>
              <w:jc w:val="center"/>
              <w:rPr>
                <w:rFonts w:ascii="仿宋" w:hAnsi="仿宋" w:eastAsia="仿宋" w:cs="仿宋"/>
                <w:b/>
                <w:sz w:val="24"/>
              </w:rPr>
            </w:pPr>
          </w:p>
        </w:tc>
        <w:tc>
          <w:tcPr>
            <w:tcW w:w="1295" w:type="pct"/>
            <w:noWrap/>
            <w:vAlign w:val="center"/>
          </w:tcPr>
          <w:p>
            <w:pPr>
              <w:spacing w:line="360" w:lineRule="auto"/>
              <w:jc w:val="center"/>
              <w:rPr>
                <w:rFonts w:ascii="仿宋" w:hAnsi="仿宋" w:eastAsia="仿宋" w:cs="仿宋"/>
                <w:sz w:val="24"/>
              </w:rPr>
            </w:pPr>
          </w:p>
        </w:tc>
        <w:tc>
          <w:tcPr>
            <w:tcW w:w="899" w:type="pct"/>
            <w:noWrap/>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46" w:type="pc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694" w:type="pct"/>
            <w:noWrap/>
            <w:vAlign w:val="center"/>
          </w:tcPr>
          <w:p>
            <w:pPr>
              <w:snapToGrid w:val="0"/>
              <w:spacing w:line="360" w:lineRule="auto"/>
              <w:jc w:val="center"/>
              <w:rPr>
                <w:rFonts w:ascii="仿宋" w:hAnsi="仿宋" w:eastAsia="仿宋" w:cs="仿宋"/>
                <w:sz w:val="24"/>
              </w:rPr>
            </w:pPr>
          </w:p>
        </w:tc>
        <w:tc>
          <w:tcPr>
            <w:tcW w:w="832" w:type="pct"/>
            <w:noWrap/>
          </w:tcPr>
          <w:p>
            <w:pPr>
              <w:spacing w:line="360" w:lineRule="auto"/>
              <w:jc w:val="center"/>
              <w:rPr>
                <w:rFonts w:ascii="仿宋" w:hAnsi="仿宋" w:eastAsia="仿宋" w:cs="仿宋"/>
                <w:b/>
                <w:sz w:val="24"/>
              </w:rPr>
            </w:pPr>
          </w:p>
        </w:tc>
        <w:tc>
          <w:tcPr>
            <w:tcW w:w="832" w:type="pct"/>
            <w:noWrap/>
            <w:vAlign w:val="center"/>
          </w:tcPr>
          <w:p>
            <w:pPr>
              <w:spacing w:line="360" w:lineRule="auto"/>
              <w:jc w:val="center"/>
              <w:rPr>
                <w:rFonts w:ascii="仿宋" w:hAnsi="仿宋" w:eastAsia="仿宋" w:cs="仿宋"/>
                <w:b/>
                <w:sz w:val="24"/>
              </w:rPr>
            </w:pPr>
          </w:p>
        </w:tc>
        <w:tc>
          <w:tcPr>
            <w:tcW w:w="1295" w:type="pct"/>
            <w:noWrap/>
            <w:vAlign w:val="center"/>
          </w:tcPr>
          <w:p>
            <w:pPr>
              <w:spacing w:line="360" w:lineRule="auto"/>
              <w:jc w:val="center"/>
              <w:rPr>
                <w:rFonts w:ascii="仿宋" w:hAnsi="仿宋" w:eastAsia="仿宋" w:cs="仿宋"/>
                <w:sz w:val="24"/>
              </w:rPr>
            </w:pPr>
          </w:p>
        </w:tc>
        <w:tc>
          <w:tcPr>
            <w:tcW w:w="899" w:type="pct"/>
            <w:noWrap/>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694" w:type="pct"/>
            <w:noWrap/>
            <w:vAlign w:val="center"/>
          </w:tcPr>
          <w:p>
            <w:pPr>
              <w:snapToGrid w:val="0"/>
              <w:spacing w:line="360" w:lineRule="auto"/>
              <w:jc w:val="center"/>
              <w:rPr>
                <w:rFonts w:ascii="仿宋" w:hAnsi="仿宋" w:eastAsia="仿宋" w:cs="仿宋"/>
                <w:sz w:val="24"/>
              </w:rPr>
            </w:pPr>
          </w:p>
        </w:tc>
        <w:tc>
          <w:tcPr>
            <w:tcW w:w="832" w:type="pct"/>
            <w:noWrap/>
          </w:tcPr>
          <w:p>
            <w:pPr>
              <w:spacing w:line="360" w:lineRule="auto"/>
              <w:jc w:val="center"/>
              <w:rPr>
                <w:rFonts w:ascii="仿宋" w:hAnsi="仿宋" w:eastAsia="仿宋" w:cs="仿宋"/>
                <w:b/>
                <w:sz w:val="24"/>
              </w:rPr>
            </w:pPr>
          </w:p>
        </w:tc>
        <w:tc>
          <w:tcPr>
            <w:tcW w:w="832" w:type="pct"/>
            <w:noWrap/>
            <w:vAlign w:val="center"/>
          </w:tcPr>
          <w:p>
            <w:pPr>
              <w:spacing w:line="360" w:lineRule="auto"/>
              <w:jc w:val="center"/>
              <w:rPr>
                <w:rFonts w:ascii="仿宋" w:hAnsi="仿宋" w:eastAsia="仿宋" w:cs="仿宋"/>
                <w:b/>
                <w:sz w:val="24"/>
              </w:rPr>
            </w:pPr>
          </w:p>
        </w:tc>
        <w:tc>
          <w:tcPr>
            <w:tcW w:w="1295" w:type="pct"/>
            <w:noWrap/>
            <w:vAlign w:val="center"/>
          </w:tcPr>
          <w:p>
            <w:pPr>
              <w:spacing w:line="360" w:lineRule="auto"/>
              <w:jc w:val="center"/>
              <w:rPr>
                <w:rFonts w:ascii="仿宋" w:hAnsi="仿宋" w:eastAsia="仿宋" w:cs="仿宋"/>
                <w:sz w:val="24"/>
              </w:rPr>
            </w:pPr>
          </w:p>
        </w:tc>
        <w:tc>
          <w:tcPr>
            <w:tcW w:w="899" w:type="pct"/>
            <w:noWrap/>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694" w:type="pct"/>
            <w:noWrap/>
            <w:vAlign w:val="center"/>
          </w:tcPr>
          <w:p>
            <w:pPr>
              <w:snapToGrid w:val="0"/>
              <w:spacing w:line="360" w:lineRule="auto"/>
              <w:jc w:val="center"/>
              <w:rPr>
                <w:rFonts w:ascii="仿宋" w:hAnsi="仿宋" w:eastAsia="仿宋" w:cs="仿宋"/>
                <w:sz w:val="24"/>
              </w:rPr>
            </w:pPr>
          </w:p>
        </w:tc>
        <w:tc>
          <w:tcPr>
            <w:tcW w:w="832" w:type="pct"/>
            <w:noWrap/>
          </w:tcPr>
          <w:p>
            <w:pPr>
              <w:spacing w:line="360" w:lineRule="auto"/>
              <w:jc w:val="center"/>
              <w:rPr>
                <w:rFonts w:ascii="仿宋" w:hAnsi="仿宋" w:eastAsia="仿宋" w:cs="仿宋"/>
                <w:b/>
                <w:sz w:val="24"/>
              </w:rPr>
            </w:pPr>
          </w:p>
        </w:tc>
        <w:tc>
          <w:tcPr>
            <w:tcW w:w="832" w:type="pct"/>
            <w:noWrap/>
            <w:vAlign w:val="center"/>
          </w:tcPr>
          <w:p>
            <w:pPr>
              <w:spacing w:line="360" w:lineRule="auto"/>
              <w:jc w:val="center"/>
              <w:rPr>
                <w:rFonts w:ascii="仿宋" w:hAnsi="仿宋" w:eastAsia="仿宋" w:cs="仿宋"/>
                <w:b/>
                <w:sz w:val="24"/>
              </w:rPr>
            </w:pPr>
          </w:p>
        </w:tc>
        <w:tc>
          <w:tcPr>
            <w:tcW w:w="1295" w:type="pct"/>
            <w:noWrap/>
            <w:vAlign w:val="center"/>
          </w:tcPr>
          <w:p>
            <w:pPr>
              <w:spacing w:line="360" w:lineRule="auto"/>
              <w:jc w:val="center"/>
              <w:rPr>
                <w:rFonts w:ascii="仿宋" w:hAnsi="仿宋" w:eastAsia="仿宋" w:cs="仿宋"/>
                <w:sz w:val="24"/>
              </w:rPr>
            </w:pPr>
          </w:p>
        </w:tc>
        <w:tc>
          <w:tcPr>
            <w:tcW w:w="899" w:type="pct"/>
            <w:noWrap/>
          </w:tcPr>
          <w:p>
            <w:pPr>
              <w:spacing w:line="360" w:lineRule="auto"/>
              <w:jc w:val="center"/>
              <w:rPr>
                <w:rFonts w:ascii="仿宋" w:hAnsi="仿宋" w:eastAsia="仿宋" w:cs="仿宋"/>
                <w:sz w:val="24"/>
              </w:rPr>
            </w:pPr>
          </w:p>
        </w:tc>
      </w:tr>
    </w:tbl>
    <w:p>
      <w:pPr>
        <w:snapToGrid w:val="0"/>
        <w:spacing w:before="120" w:beforeLines="50" w:line="360" w:lineRule="auto"/>
        <w:ind w:firstLine="484" w:firstLineChars="201"/>
        <w:outlineLvl w:val="2"/>
        <w:rPr>
          <w:rFonts w:ascii="仿宋" w:hAnsi="仿宋" w:eastAsia="仿宋" w:cs="仿宋"/>
          <w:b/>
          <w:sz w:val="24"/>
        </w:rPr>
      </w:pPr>
    </w:p>
    <w:p>
      <w:pPr>
        <w:snapToGrid w:val="0"/>
        <w:spacing w:before="120" w:beforeLines="50" w:line="360" w:lineRule="auto"/>
        <w:ind w:firstLine="484" w:firstLineChars="201"/>
        <w:outlineLvl w:val="2"/>
        <w:rPr>
          <w:rFonts w:ascii="仿宋" w:hAnsi="仿宋" w:eastAsia="仿宋" w:cs="仿宋"/>
          <w:b/>
          <w:sz w:val="24"/>
        </w:rPr>
      </w:pPr>
      <w:r>
        <w:rPr>
          <w:rFonts w:hint="eastAsia" w:ascii="仿宋" w:hAnsi="仿宋" w:eastAsia="仿宋" w:cs="仿宋"/>
          <w:b/>
          <w:sz w:val="24"/>
        </w:rPr>
        <w:t>附件三：合同总价清单</w:t>
      </w:r>
    </w:p>
    <w:tbl>
      <w:tblPr>
        <w:tblStyle w:val="62"/>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31"/>
        <w:gridCol w:w="1126"/>
        <w:gridCol w:w="793"/>
        <w:gridCol w:w="852"/>
        <w:gridCol w:w="1183"/>
        <w:gridCol w:w="963"/>
        <w:gridCol w:w="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68" w:type="pct"/>
            <w:vAlign w:val="center"/>
          </w:tcPr>
          <w:p>
            <w:pPr>
              <w:snapToGrid w:val="0"/>
              <w:spacing w:line="276" w:lineRule="auto"/>
              <w:jc w:val="center"/>
              <w:rPr>
                <w:rFonts w:ascii="仿宋" w:hAnsi="仿宋" w:eastAsia="仿宋" w:cs="仿宋"/>
                <w:b/>
                <w:kern w:val="0"/>
                <w:szCs w:val="21"/>
              </w:rPr>
            </w:pPr>
            <w:bookmarkStart w:id="410" w:name="_Hlk132734807"/>
            <w:r>
              <w:rPr>
                <w:rFonts w:hint="eastAsia" w:ascii="仿宋" w:hAnsi="仿宋" w:eastAsia="仿宋" w:cs="仿宋"/>
                <w:b/>
                <w:kern w:val="0"/>
                <w:szCs w:val="21"/>
              </w:rPr>
              <w:t>序号</w:t>
            </w:r>
          </w:p>
        </w:tc>
        <w:tc>
          <w:tcPr>
            <w:tcW w:w="1140" w:type="pct"/>
            <w:gridSpan w:val="2"/>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名称</w:t>
            </w:r>
          </w:p>
        </w:tc>
        <w:tc>
          <w:tcPr>
            <w:tcW w:w="416" w:type="pct"/>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单位</w:t>
            </w:r>
          </w:p>
        </w:tc>
        <w:tc>
          <w:tcPr>
            <w:tcW w:w="450" w:type="pct"/>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数量</w:t>
            </w:r>
          </w:p>
        </w:tc>
        <w:tc>
          <w:tcPr>
            <w:tcW w:w="625" w:type="pct"/>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单价</w:t>
            </w:r>
          </w:p>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（元/月）</w:t>
            </w:r>
          </w:p>
        </w:tc>
        <w:tc>
          <w:tcPr>
            <w:tcW w:w="509" w:type="pct"/>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月数</w:t>
            </w:r>
          </w:p>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（月）</w:t>
            </w:r>
          </w:p>
        </w:tc>
        <w:tc>
          <w:tcPr>
            <w:tcW w:w="486" w:type="pct"/>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合价</w:t>
            </w:r>
          </w:p>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（元）</w:t>
            </w:r>
          </w:p>
        </w:tc>
        <w:tc>
          <w:tcPr>
            <w:tcW w:w="1002" w:type="pct"/>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68"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1</w:t>
            </w:r>
          </w:p>
        </w:tc>
        <w:tc>
          <w:tcPr>
            <w:tcW w:w="1140" w:type="pct"/>
            <w:gridSpan w:val="2"/>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运维驻场人员服务费</w:t>
            </w:r>
          </w:p>
        </w:tc>
        <w:tc>
          <w:tcPr>
            <w:tcW w:w="416"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人</w:t>
            </w:r>
          </w:p>
        </w:tc>
        <w:tc>
          <w:tcPr>
            <w:tcW w:w="450" w:type="pct"/>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6</w:t>
            </w:r>
          </w:p>
        </w:tc>
        <w:tc>
          <w:tcPr>
            <w:tcW w:w="625" w:type="pct"/>
            <w:vAlign w:val="center"/>
          </w:tcPr>
          <w:p>
            <w:pPr>
              <w:snapToGrid w:val="0"/>
              <w:spacing w:line="276" w:lineRule="auto"/>
              <w:jc w:val="center"/>
              <w:rPr>
                <w:rFonts w:ascii="仿宋" w:hAnsi="仿宋" w:eastAsia="仿宋" w:cs="仿宋"/>
                <w:kern w:val="0"/>
                <w:szCs w:val="21"/>
              </w:rPr>
            </w:pPr>
          </w:p>
        </w:tc>
        <w:tc>
          <w:tcPr>
            <w:tcW w:w="509" w:type="pct"/>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12</w:t>
            </w:r>
          </w:p>
        </w:tc>
        <w:tc>
          <w:tcPr>
            <w:tcW w:w="486" w:type="pct"/>
            <w:vAlign w:val="center"/>
          </w:tcPr>
          <w:p>
            <w:pPr>
              <w:snapToGrid w:val="0"/>
              <w:spacing w:line="276" w:lineRule="auto"/>
              <w:jc w:val="center"/>
              <w:rPr>
                <w:rFonts w:ascii="仿宋" w:hAnsi="仿宋" w:eastAsia="仿宋" w:cs="仿宋"/>
                <w:kern w:val="0"/>
                <w:szCs w:val="21"/>
              </w:rPr>
            </w:pPr>
          </w:p>
        </w:tc>
        <w:tc>
          <w:tcPr>
            <w:tcW w:w="1002" w:type="pct"/>
            <w:vAlign w:val="center"/>
          </w:tcPr>
          <w:p>
            <w:pPr>
              <w:snapToGrid w:val="0"/>
              <w:spacing w:line="276" w:lineRule="auto"/>
              <w:jc w:val="center"/>
              <w:rPr>
                <w:rFonts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8"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2</w:t>
            </w:r>
          </w:p>
        </w:tc>
        <w:tc>
          <w:tcPr>
            <w:tcW w:w="1140" w:type="pct"/>
            <w:gridSpan w:val="2"/>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运维项目经理（项目负责人）人员服务费</w:t>
            </w:r>
          </w:p>
        </w:tc>
        <w:tc>
          <w:tcPr>
            <w:tcW w:w="416"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人</w:t>
            </w:r>
          </w:p>
        </w:tc>
        <w:tc>
          <w:tcPr>
            <w:tcW w:w="450"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w:t>
            </w:r>
          </w:p>
        </w:tc>
        <w:tc>
          <w:tcPr>
            <w:tcW w:w="625" w:type="pct"/>
            <w:vAlign w:val="center"/>
          </w:tcPr>
          <w:p>
            <w:pPr>
              <w:snapToGrid w:val="0"/>
              <w:spacing w:line="276" w:lineRule="auto"/>
              <w:jc w:val="center"/>
              <w:rPr>
                <w:rFonts w:ascii="仿宋" w:hAnsi="仿宋" w:eastAsia="仿宋" w:cs="仿宋"/>
                <w:kern w:val="0"/>
                <w:szCs w:val="21"/>
              </w:rPr>
            </w:pPr>
          </w:p>
        </w:tc>
        <w:tc>
          <w:tcPr>
            <w:tcW w:w="509" w:type="pct"/>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12</w:t>
            </w:r>
          </w:p>
        </w:tc>
        <w:tc>
          <w:tcPr>
            <w:tcW w:w="486" w:type="pct"/>
            <w:vAlign w:val="center"/>
          </w:tcPr>
          <w:p>
            <w:pPr>
              <w:snapToGrid w:val="0"/>
              <w:spacing w:line="276" w:lineRule="auto"/>
              <w:jc w:val="center"/>
              <w:rPr>
                <w:rFonts w:ascii="仿宋" w:hAnsi="仿宋" w:eastAsia="仿宋" w:cs="仿宋"/>
                <w:kern w:val="0"/>
                <w:szCs w:val="21"/>
              </w:rPr>
            </w:pPr>
          </w:p>
        </w:tc>
        <w:tc>
          <w:tcPr>
            <w:tcW w:w="1002" w:type="pct"/>
            <w:vAlign w:val="center"/>
          </w:tcPr>
          <w:p>
            <w:pPr>
              <w:snapToGrid w:val="0"/>
              <w:spacing w:line="276"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8"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3</w:t>
            </w:r>
          </w:p>
        </w:tc>
        <w:tc>
          <w:tcPr>
            <w:tcW w:w="1140" w:type="pct"/>
            <w:gridSpan w:val="2"/>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车辆使用费</w:t>
            </w:r>
          </w:p>
        </w:tc>
        <w:tc>
          <w:tcPr>
            <w:tcW w:w="416"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辆</w:t>
            </w:r>
          </w:p>
        </w:tc>
        <w:tc>
          <w:tcPr>
            <w:tcW w:w="450"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w:t>
            </w:r>
          </w:p>
        </w:tc>
        <w:tc>
          <w:tcPr>
            <w:tcW w:w="625" w:type="pct"/>
            <w:vAlign w:val="center"/>
          </w:tcPr>
          <w:p>
            <w:pPr>
              <w:snapToGrid w:val="0"/>
              <w:spacing w:line="276" w:lineRule="auto"/>
              <w:jc w:val="center"/>
              <w:rPr>
                <w:rFonts w:ascii="仿宋" w:hAnsi="仿宋" w:eastAsia="仿宋" w:cs="仿宋"/>
                <w:kern w:val="0"/>
                <w:szCs w:val="21"/>
              </w:rPr>
            </w:pPr>
          </w:p>
        </w:tc>
        <w:tc>
          <w:tcPr>
            <w:tcW w:w="509"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12</w:t>
            </w:r>
          </w:p>
        </w:tc>
        <w:tc>
          <w:tcPr>
            <w:tcW w:w="486" w:type="pct"/>
            <w:vAlign w:val="center"/>
          </w:tcPr>
          <w:p>
            <w:pPr>
              <w:snapToGrid w:val="0"/>
              <w:spacing w:line="276" w:lineRule="auto"/>
              <w:jc w:val="center"/>
              <w:rPr>
                <w:rFonts w:ascii="仿宋" w:hAnsi="仿宋" w:eastAsia="仿宋" w:cs="仿宋"/>
                <w:kern w:val="0"/>
                <w:szCs w:val="21"/>
              </w:rPr>
            </w:pPr>
          </w:p>
        </w:tc>
        <w:tc>
          <w:tcPr>
            <w:tcW w:w="1002" w:type="pct"/>
            <w:vAlign w:val="center"/>
          </w:tcPr>
          <w:p>
            <w:pPr>
              <w:snapToGrid w:val="0"/>
              <w:spacing w:line="276"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8"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4</w:t>
            </w:r>
          </w:p>
        </w:tc>
        <w:tc>
          <w:tcPr>
            <w:tcW w:w="545" w:type="pct"/>
            <w:vMerge w:val="restar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专项服务（服务质量要求达到原厂服务标准）</w:t>
            </w:r>
          </w:p>
        </w:tc>
        <w:tc>
          <w:tcPr>
            <w:tcW w:w="594"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专项服务(SCATS信号控制系统）</w:t>
            </w:r>
          </w:p>
        </w:tc>
        <w:tc>
          <w:tcPr>
            <w:tcW w:w="416"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项</w:t>
            </w:r>
          </w:p>
        </w:tc>
        <w:tc>
          <w:tcPr>
            <w:tcW w:w="450"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w:t>
            </w:r>
          </w:p>
        </w:tc>
        <w:tc>
          <w:tcPr>
            <w:tcW w:w="625" w:type="pct"/>
            <w:vAlign w:val="center"/>
          </w:tcPr>
          <w:p>
            <w:pPr>
              <w:snapToGrid w:val="0"/>
              <w:spacing w:line="276" w:lineRule="auto"/>
              <w:jc w:val="center"/>
              <w:rPr>
                <w:rFonts w:ascii="仿宋" w:hAnsi="仿宋" w:eastAsia="仿宋" w:cs="仿宋"/>
                <w:kern w:val="0"/>
                <w:szCs w:val="21"/>
              </w:rPr>
            </w:pPr>
          </w:p>
        </w:tc>
        <w:tc>
          <w:tcPr>
            <w:tcW w:w="509" w:type="pct"/>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12</w:t>
            </w:r>
          </w:p>
        </w:tc>
        <w:tc>
          <w:tcPr>
            <w:tcW w:w="486" w:type="pct"/>
            <w:vAlign w:val="center"/>
          </w:tcPr>
          <w:p>
            <w:pPr>
              <w:snapToGrid w:val="0"/>
              <w:spacing w:line="276" w:lineRule="auto"/>
              <w:jc w:val="center"/>
              <w:rPr>
                <w:rFonts w:ascii="仿宋" w:hAnsi="仿宋" w:eastAsia="仿宋" w:cs="仿宋"/>
                <w:kern w:val="0"/>
                <w:szCs w:val="21"/>
              </w:rPr>
            </w:pPr>
          </w:p>
        </w:tc>
        <w:tc>
          <w:tcPr>
            <w:tcW w:w="1002" w:type="pct"/>
            <w:vAlign w:val="center"/>
          </w:tcPr>
          <w:p>
            <w:pPr>
              <w:snapToGrid w:val="0"/>
              <w:spacing w:line="276"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8"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5</w:t>
            </w:r>
          </w:p>
        </w:tc>
        <w:tc>
          <w:tcPr>
            <w:tcW w:w="545" w:type="pct"/>
            <w:vMerge w:val="continue"/>
            <w:vAlign w:val="center"/>
          </w:tcPr>
          <w:p>
            <w:pPr>
              <w:snapToGrid w:val="0"/>
              <w:spacing w:line="276" w:lineRule="auto"/>
              <w:rPr>
                <w:rFonts w:ascii="仿宋" w:hAnsi="仿宋" w:eastAsia="仿宋" w:cs="仿宋"/>
                <w:b/>
                <w:kern w:val="0"/>
                <w:szCs w:val="21"/>
              </w:rPr>
            </w:pPr>
          </w:p>
        </w:tc>
        <w:tc>
          <w:tcPr>
            <w:tcW w:w="594"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专项服务(网络交换机）</w:t>
            </w:r>
          </w:p>
        </w:tc>
        <w:tc>
          <w:tcPr>
            <w:tcW w:w="416"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项</w:t>
            </w:r>
          </w:p>
        </w:tc>
        <w:tc>
          <w:tcPr>
            <w:tcW w:w="450"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w:t>
            </w:r>
          </w:p>
        </w:tc>
        <w:tc>
          <w:tcPr>
            <w:tcW w:w="625" w:type="pct"/>
            <w:vAlign w:val="center"/>
          </w:tcPr>
          <w:p>
            <w:pPr>
              <w:snapToGrid w:val="0"/>
              <w:spacing w:line="276" w:lineRule="auto"/>
              <w:jc w:val="center"/>
              <w:rPr>
                <w:rFonts w:ascii="仿宋" w:hAnsi="仿宋" w:eastAsia="仿宋" w:cs="仿宋"/>
                <w:kern w:val="0"/>
                <w:szCs w:val="21"/>
              </w:rPr>
            </w:pPr>
          </w:p>
        </w:tc>
        <w:tc>
          <w:tcPr>
            <w:tcW w:w="509" w:type="pct"/>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12</w:t>
            </w:r>
          </w:p>
        </w:tc>
        <w:tc>
          <w:tcPr>
            <w:tcW w:w="486" w:type="pct"/>
            <w:vAlign w:val="center"/>
          </w:tcPr>
          <w:p>
            <w:pPr>
              <w:snapToGrid w:val="0"/>
              <w:spacing w:line="276" w:lineRule="auto"/>
              <w:jc w:val="center"/>
              <w:rPr>
                <w:rFonts w:ascii="仿宋" w:hAnsi="仿宋" w:eastAsia="仿宋" w:cs="仿宋"/>
                <w:kern w:val="0"/>
                <w:szCs w:val="21"/>
              </w:rPr>
            </w:pPr>
          </w:p>
        </w:tc>
        <w:tc>
          <w:tcPr>
            <w:tcW w:w="1002" w:type="pct"/>
            <w:vAlign w:val="center"/>
          </w:tcPr>
          <w:p>
            <w:pPr>
              <w:snapToGrid w:val="0"/>
              <w:spacing w:line="276"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8"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6</w:t>
            </w:r>
          </w:p>
        </w:tc>
        <w:tc>
          <w:tcPr>
            <w:tcW w:w="545" w:type="pct"/>
            <w:vMerge w:val="continue"/>
            <w:vAlign w:val="center"/>
          </w:tcPr>
          <w:p>
            <w:pPr>
              <w:snapToGrid w:val="0"/>
              <w:spacing w:line="276" w:lineRule="auto"/>
              <w:jc w:val="center"/>
              <w:rPr>
                <w:rFonts w:ascii="仿宋" w:hAnsi="仿宋" w:eastAsia="仿宋" w:cs="仿宋"/>
                <w:b/>
                <w:kern w:val="0"/>
                <w:szCs w:val="21"/>
              </w:rPr>
            </w:pPr>
          </w:p>
        </w:tc>
        <w:tc>
          <w:tcPr>
            <w:tcW w:w="594"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专项服务(交通小脑服务器）</w:t>
            </w:r>
          </w:p>
        </w:tc>
        <w:tc>
          <w:tcPr>
            <w:tcW w:w="416"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项</w:t>
            </w:r>
          </w:p>
        </w:tc>
        <w:tc>
          <w:tcPr>
            <w:tcW w:w="450"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w:t>
            </w:r>
          </w:p>
        </w:tc>
        <w:tc>
          <w:tcPr>
            <w:tcW w:w="625" w:type="pct"/>
            <w:vAlign w:val="center"/>
          </w:tcPr>
          <w:p>
            <w:pPr>
              <w:snapToGrid w:val="0"/>
              <w:spacing w:line="276" w:lineRule="auto"/>
              <w:jc w:val="center"/>
              <w:rPr>
                <w:rFonts w:ascii="仿宋" w:hAnsi="仿宋" w:eastAsia="仿宋" w:cs="仿宋"/>
                <w:kern w:val="0"/>
                <w:szCs w:val="21"/>
              </w:rPr>
            </w:pPr>
          </w:p>
        </w:tc>
        <w:tc>
          <w:tcPr>
            <w:tcW w:w="509" w:type="pct"/>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12</w:t>
            </w:r>
          </w:p>
        </w:tc>
        <w:tc>
          <w:tcPr>
            <w:tcW w:w="486" w:type="pct"/>
            <w:vAlign w:val="center"/>
          </w:tcPr>
          <w:p>
            <w:pPr>
              <w:snapToGrid w:val="0"/>
              <w:spacing w:line="276" w:lineRule="auto"/>
              <w:jc w:val="center"/>
              <w:rPr>
                <w:rFonts w:ascii="仿宋" w:hAnsi="仿宋" w:eastAsia="仿宋" w:cs="仿宋"/>
                <w:kern w:val="0"/>
                <w:szCs w:val="21"/>
              </w:rPr>
            </w:pPr>
          </w:p>
        </w:tc>
        <w:tc>
          <w:tcPr>
            <w:tcW w:w="1002" w:type="pct"/>
            <w:vAlign w:val="center"/>
          </w:tcPr>
          <w:p>
            <w:pPr>
              <w:snapToGrid w:val="0"/>
              <w:spacing w:line="276"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8"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7</w:t>
            </w:r>
          </w:p>
        </w:tc>
        <w:tc>
          <w:tcPr>
            <w:tcW w:w="545" w:type="pct"/>
            <w:vMerge w:val="continue"/>
            <w:vAlign w:val="center"/>
          </w:tcPr>
          <w:p>
            <w:pPr>
              <w:snapToGrid w:val="0"/>
              <w:spacing w:line="276" w:lineRule="auto"/>
              <w:jc w:val="center"/>
              <w:rPr>
                <w:rFonts w:ascii="仿宋" w:hAnsi="仿宋" w:eastAsia="仿宋" w:cs="仿宋"/>
                <w:b/>
                <w:kern w:val="0"/>
                <w:szCs w:val="21"/>
              </w:rPr>
            </w:pPr>
          </w:p>
        </w:tc>
        <w:tc>
          <w:tcPr>
            <w:tcW w:w="594"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专项服务(网闸）</w:t>
            </w:r>
          </w:p>
        </w:tc>
        <w:tc>
          <w:tcPr>
            <w:tcW w:w="416"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项</w:t>
            </w:r>
          </w:p>
        </w:tc>
        <w:tc>
          <w:tcPr>
            <w:tcW w:w="450"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w:t>
            </w:r>
          </w:p>
        </w:tc>
        <w:tc>
          <w:tcPr>
            <w:tcW w:w="625" w:type="pct"/>
            <w:vAlign w:val="center"/>
          </w:tcPr>
          <w:p>
            <w:pPr>
              <w:snapToGrid w:val="0"/>
              <w:spacing w:line="276" w:lineRule="auto"/>
              <w:jc w:val="center"/>
              <w:rPr>
                <w:rFonts w:ascii="仿宋" w:hAnsi="仿宋" w:eastAsia="仿宋" w:cs="仿宋"/>
                <w:kern w:val="0"/>
                <w:szCs w:val="21"/>
              </w:rPr>
            </w:pPr>
          </w:p>
        </w:tc>
        <w:tc>
          <w:tcPr>
            <w:tcW w:w="509" w:type="pct"/>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12</w:t>
            </w:r>
          </w:p>
        </w:tc>
        <w:tc>
          <w:tcPr>
            <w:tcW w:w="486" w:type="pct"/>
            <w:vAlign w:val="center"/>
          </w:tcPr>
          <w:p>
            <w:pPr>
              <w:snapToGrid w:val="0"/>
              <w:spacing w:line="276" w:lineRule="auto"/>
              <w:jc w:val="center"/>
              <w:rPr>
                <w:rFonts w:ascii="仿宋" w:hAnsi="仿宋" w:eastAsia="仿宋" w:cs="仿宋"/>
                <w:kern w:val="0"/>
                <w:szCs w:val="21"/>
              </w:rPr>
            </w:pPr>
          </w:p>
        </w:tc>
        <w:tc>
          <w:tcPr>
            <w:tcW w:w="1002" w:type="pct"/>
            <w:vAlign w:val="center"/>
          </w:tcPr>
          <w:p>
            <w:pPr>
              <w:snapToGrid w:val="0"/>
              <w:spacing w:line="276"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8"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8</w:t>
            </w:r>
          </w:p>
        </w:tc>
        <w:tc>
          <w:tcPr>
            <w:tcW w:w="545" w:type="pct"/>
            <w:vMerge w:val="continue"/>
            <w:vAlign w:val="center"/>
          </w:tcPr>
          <w:p>
            <w:pPr>
              <w:snapToGrid w:val="0"/>
              <w:spacing w:line="276" w:lineRule="auto"/>
              <w:jc w:val="center"/>
              <w:rPr>
                <w:rFonts w:ascii="仿宋" w:hAnsi="仿宋" w:eastAsia="仿宋" w:cs="仿宋"/>
                <w:b/>
                <w:kern w:val="0"/>
                <w:szCs w:val="21"/>
              </w:rPr>
            </w:pPr>
          </w:p>
        </w:tc>
        <w:tc>
          <w:tcPr>
            <w:tcW w:w="594"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专项服务(网络安全准入设备)</w:t>
            </w:r>
          </w:p>
        </w:tc>
        <w:tc>
          <w:tcPr>
            <w:tcW w:w="416"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项</w:t>
            </w:r>
          </w:p>
        </w:tc>
        <w:tc>
          <w:tcPr>
            <w:tcW w:w="450"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w:t>
            </w:r>
          </w:p>
        </w:tc>
        <w:tc>
          <w:tcPr>
            <w:tcW w:w="625" w:type="pct"/>
            <w:vAlign w:val="center"/>
          </w:tcPr>
          <w:p>
            <w:pPr>
              <w:snapToGrid w:val="0"/>
              <w:spacing w:line="276" w:lineRule="auto"/>
              <w:jc w:val="center"/>
              <w:rPr>
                <w:rFonts w:ascii="仿宋" w:hAnsi="仿宋" w:eastAsia="仿宋" w:cs="仿宋"/>
                <w:kern w:val="0"/>
                <w:szCs w:val="21"/>
              </w:rPr>
            </w:pPr>
          </w:p>
        </w:tc>
        <w:tc>
          <w:tcPr>
            <w:tcW w:w="509" w:type="pct"/>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12</w:t>
            </w:r>
          </w:p>
        </w:tc>
        <w:tc>
          <w:tcPr>
            <w:tcW w:w="486" w:type="pct"/>
            <w:vAlign w:val="center"/>
          </w:tcPr>
          <w:p>
            <w:pPr>
              <w:snapToGrid w:val="0"/>
              <w:spacing w:line="276" w:lineRule="auto"/>
              <w:jc w:val="center"/>
              <w:rPr>
                <w:rFonts w:ascii="仿宋" w:hAnsi="仿宋" w:eastAsia="仿宋" w:cs="仿宋"/>
                <w:kern w:val="0"/>
                <w:szCs w:val="21"/>
              </w:rPr>
            </w:pPr>
          </w:p>
        </w:tc>
        <w:tc>
          <w:tcPr>
            <w:tcW w:w="1002" w:type="pct"/>
            <w:vAlign w:val="center"/>
          </w:tcPr>
          <w:p>
            <w:pPr>
              <w:snapToGrid w:val="0"/>
              <w:spacing w:line="276"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8"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9</w:t>
            </w:r>
          </w:p>
        </w:tc>
        <w:tc>
          <w:tcPr>
            <w:tcW w:w="545" w:type="pct"/>
            <w:vMerge w:val="continue"/>
            <w:vAlign w:val="center"/>
          </w:tcPr>
          <w:p>
            <w:pPr>
              <w:snapToGrid w:val="0"/>
              <w:spacing w:line="276" w:lineRule="auto"/>
              <w:jc w:val="center"/>
              <w:rPr>
                <w:rFonts w:ascii="仿宋" w:hAnsi="仿宋" w:eastAsia="仿宋" w:cs="仿宋"/>
                <w:b/>
                <w:kern w:val="0"/>
                <w:szCs w:val="21"/>
              </w:rPr>
            </w:pPr>
          </w:p>
        </w:tc>
        <w:tc>
          <w:tcPr>
            <w:tcW w:w="594"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专项服务(存储设备)</w:t>
            </w:r>
          </w:p>
        </w:tc>
        <w:tc>
          <w:tcPr>
            <w:tcW w:w="416"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项</w:t>
            </w:r>
          </w:p>
        </w:tc>
        <w:tc>
          <w:tcPr>
            <w:tcW w:w="450"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w:t>
            </w:r>
          </w:p>
        </w:tc>
        <w:tc>
          <w:tcPr>
            <w:tcW w:w="625" w:type="pct"/>
            <w:vAlign w:val="center"/>
          </w:tcPr>
          <w:p>
            <w:pPr>
              <w:snapToGrid w:val="0"/>
              <w:spacing w:line="276" w:lineRule="auto"/>
              <w:jc w:val="center"/>
              <w:rPr>
                <w:rFonts w:ascii="仿宋" w:hAnsi="仿宋" w:eastAsia="仿宋" w:cs="仿宋"/>
                <w:kern w:val="0"/>
                <w:szCs w:val="21"/>
              </w:rPr>
            </w:pPr>
          </w:p>
        </w:tc>
        <w:tc>
          <w:tcPr>
            <w:tcW w:w="509" w:type="pct"/>
            <w:vAlign w:val="center"/>
          </w:tcPr>
          <w:p>
            <w:pPr>
              <w:snapToGrid w:val="0"/>
              <w:spacing w:line="276" w:lineRule="auto"/>
              <w:jc w:val="center"/>
              <w:rPr>
                <w:rFonts w:ascii="仿宋" w:hAnsi="仿宋" w:eastAsia="仿宋" w:cs="仿宋"/>
                <w:kern w:val="0"/>
                <w:szCs w:val="21"/>
              </w:rPr>
            </w:pPr>
            <w:r>
              <w:rPr>
                <w:rFonts w:ascii="仿宋" w:hAnsi="仿宋" w:eastAsia="仿宋" w:cs="仿宋"/>
                <w:kern w:val="0"/>
                <w:szCs w:val="21"/>
              </w:rPr>
              <w:t>12</w:t>
            </w:r>
          </w:p>
        </w:tc>
        <w:tc>
          <w:tcPr>
            <w:tcW w:w="486" w:type="pct"/>
            <w:vAlign w:val="center"/>
          </w:tcPr>
          <w:p>
            <w:pPr>
              <w:snapToGrid w:val="0"/>
              <w:spacing w:line="276" w:lineRule="auto"/>
              <w:jc w:val="center"/>
              <w:rPr>
                <w:rFonts w:ascii="仿宋" w:hAnsi="仿宋" w:eastAsia="仿宋" w:cs="仿宋"/>
                <w:kern w:val="0"/>
                <w:szCs w:val="21"/>
              </w:rPr>
            </w:pPr>
          </w:p>
        </w:tc>
        <w:tc>
          <w:tcPr>
            <w:tcW w:w="1002" w:type="pct"/>
            <w:vAlign w:val="center"/>
          </w:tcPr>
          <w:p>
            <w:pPr>
              <w:snapToGrid w:val="0"/>
              <w:spacing w:line="276"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368" w:type="pct"/>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10</w:t>
            </w:r>
          </w:p>
        </w:tc>
        <w:tc>
          <w:tcPr>
            <w:tcW w:w="1140" w:type="pct"/>
            <w:gridSpan w:val="2"/>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 xml:space="preserve">运维耗材费 </w:t>
            </w:r>
            <w:r>
              <w:rPr>
                <w:rFonts w:ascii="仿宋" w:hAnsi="仿宋" w:eastAsia="仿宋" w:cs="仿宋"/>
                <w:b/>
                <w:kern w:val="0"/>
                <w:szCs w:val="21"/>
              </w:rPr>
              <w:t xml:space="preserve">    </w:t>
            </w:r>
          </w:p>
        </w:tc>
        <w:tc>
          <w:tcPr>
            <w:tcW w:w="416"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项</w:t>
            </w:r>
          </w:p>
        </w:tc>
        <w:tc>
          <w:tcPr>
            <w:tcW w:w="450"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1</w:t>
            </w:r>
          </w:p>
        </w:tc>
        <w:tc>
          <w:tcPr>
            <w:tcW w:w="625" w:type="pct"/>
            <w:vAlign w:val="center"/>
          </w:tcPr>
          <w:p>
            <w:pPr>
              <w:snapToGrid w:val="0"/>
              <w:spacing w:line="276" w:lineRule="auto"/>
              <w:jc w:val="center"/>
              <w:rPr>
                <w:rFonts w:ascii="仿宋" w:hAnsi="仿宋" w:eastAsia="仿宋" w:cs="仿宋"/>
                <w:kern w:val="0"/>
                <w:szCs w:val="21"/>
              </w:rPr>
            </w:pPr>
          </w:p>
        </w:tc>
        <w:tc>
          <w:tcPr>
            <w:tcW w:w="509" w:type="pct"/>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kern w:val="0"/>
                <w:szCs w:val="21"/>
              </w:rPr>
              <w:t>/</w:t>
            </w:r>
          </w:p>
        </w:tc>
        <w:tc>
          <w:tcPr>
            <w:tcW w:w="486" w:type="pct"/>
            <w:vAlign w:val="center"/>
          </w:tcPr>
          <w:p>
            <w:pPr>
              <w:snapToGrid w:val="0"/>
              <w:spacing w:line="276" w:lineRule="auto"/>
              <w:jc w:val="center"/>
              <w:rPr>
                <w:rFonts w:ascii="仿宋" w:hAnsi="仿宋" w:eastAsia="仿宋" w:cs="仿宋"/>
                <w:kern w:val="0"/>
                <w:szCs w:val="21"/>
              </w:rPr>
            </w:pPr>
          </w:p>
        </w:tc>
        <w:tc>
          <w:tcPr>
            <w:tcW w:w="1002" w:type="pct"/>
            <w:vAlign w:val="center"/>
          </w:tcPr>
          <w:p>
            <w:pPr>
              <w:snapToGrid w:val="0"/>
              <w:spacing w:before="120" w:beforeLines="50" w:line="360" w:lineRule="auto"/>
              <w:outlineLvl w:val="2"/>
              <w:rPr>
                <w:rFonts w:ascii="仿宋" w:hAnsi="仿宋" w:eastAsia="仿宋" w:cs="仿宋"/>
                <w:kern w:val="0"/>
                <w:szCs w:val="21"/>
              </w:rPr>
            </w:pPr>
            <w:r>
              <w:rPr>
                <w:rFonts w:hint="eastAsia" w:ascii="仿宋" w:hAnsi="仿宋" w:eastAsia="仿宋"/>
                <w:b/>
                <w:bCs/>
                <w:szCs w:val="21"/>
              </w:rPr>
              <w:t>采用包干方式，详见“</w:t>
            </w:r>
            <w:r>
              <w:rPr>
                <w:rFonts w:ascii="仿宋" w:hAnsi="仿宋" w:eastAsia="仿宋" w:cs="仿宋"/>
                <w:b/>
                <w:szCs w:val="21"/>
              </w:rPr>
              <w:t>附件</w:t>
            </w:r>
            <w:r>
              <w:rPr>
                <w:rFonts w:hint="eastAsia" w:ascii="仿宋" w:hAnsi="仿宋" w:eastAsia="仿宋" w:cs="仿宋"/>
                <w:b/>
                <w:szCs w:val="21"/>
              </w:rPr>
              <w:t>四：运维耗材价格清单</w:t>
            </w:r>
            <w:r>
              <w:rPr>
                <w:rFonts w:hint="eastAsia" w:ascii="仿宋" w:hAnsi="仿宋" w:eastAsia="仿宋"/>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26" w:type="pct"/>
            <w:gridSpan w:val="4"/>
            <w:vAlign w:val="center"/>
          </w:tcPr>
          <w:p>
            <w:pPr>
              <w:snapToGrid w:val="0"/>
              <w:spacing w:line="360" w:lineRule="auto"/>
              <w:jc w:val="center"/>
              <w:rPr>
                <w:rFonts w:ascii="仿宋" w:hAnsi="仿宋" w:eastAsia="仿宋" w:cs="仿宋"/>
                <w:b/>
                <w:kern w:val="0"/>
                <w:szCs w:val="21"/>
              </w:rPr>
            </w:pPr>
            <w:r>
              <w:rPr>
                <w:rFonts w:hint="eastAsia" w:ascii="仿宋" w:hAnsi="仿宋" w:eastAsia="仿宋" w:cs="仿宋"/>
                <w:b/>
                <w:kern w:val="0"/>
                <w:szCs w:val="21"/>
              </w:rPr>
              <w:t>合同总价（小写）人民币</w:t>
            </w:r>
          </w:p>
        </w:tc>
        <w:tc>
          <w:tcPr>
            <w:tcW w:w="3073" w:type="pct"/>
            <w:gridSpan w:val="5"/>
            <w:vAlign w:val="center"/>
          </w:tcPr>
          <w:p>
            <w:pPr>
              <w:snapToGrid w:val="0"/>
              <w:spacing w:line="276"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26" w:type="pct"/>
            <w:gridSpan w:val="4"/>
            <w:vAlign w:val="center"/>
          </w:tcPr>
          <w:p>
            <w:pPr>
              <w:snapToGrid w:val="0"/>
              <w:spacing w:line="360" w:lineRule="auto"/>
              <w:jc w:val="center"/>
              <w:rPr>
                <w:rFonts w:ascii="仿宋" w:hAnsi="仿宋" w:eastAsia="仿宋" w:cs="仿宋"/>
                <w:b/>
                <w:kern w:val="0"/>
                <w:szCs w:val="21"/>
              </w:rPr>
            </w:pPr>
            <w:r>
              <w:rPr>
                <w:rFonts w:hint="eastAsia" w:ascii="仿宋" w:hAnsi="仿宋" w:eastAsia="仿宋" w:cs="仿宋"/>
                <w:b/>
                <w:kern w:val="0"/>
                <w:szCs w:val="21"/>
              </w:rPr>
              <w:t>合同总价（大写）人民币</w:t>
            </w:r>
          </w:p>
        </w:tc>
        <w:tc>
          <w:tcPr>
            <w:tcW w:w="3073" w:type="pct"/>
            <w:gridSpan w:val="5"/>
            <w:vAlign w:val="center"/>
          </w:tcPr>
          <w:p>
            <w:pPr>
              <w:snapToGrid w:val="0"/>
              <w:spacing w:line="276" w:lineRule="auto"/>
              <w:jc w:val="center"/>
              <w:rPr>
                <w:rFonts w:ascii="仿宋" w:hAnsi="仿宋" w:eastAsia="仿宋" w:cs="仿宋"/>
                <w:kern w:val="0"/>
                <w:szCs w:val="21"/>
              </w:rPr>
            </w:pPr>
          </w:p>
        </w:tc>
      </w:tr>
      <w:bookmarkEnd w:id="410"/>
    </w:tbl>
    <w:p>
      <w:pPr>
        <w:widowControl/>
        <w:adjustRightInd/>
        <w:jc w:val="center"/>
        <w:rPr>
          <w:rFonts w:ascii="仿宋" w:hAnsi="仿宋" w:eastAsia="仿宋" w:cs="仿宋"/>
          <w:b/>
          <w:sz w:val="36"/>
          <w:szCs w:val="20"/>
        </w:rPr>
      </w:pPr>
    </w:p>
    <w:p>
      <w:pPr>
        <w:snapToGrid w:val="0"/>
        <w:spacing w:before="120" w:beforeLines="50" w:line="360" w:lineRule="auto"/>
        <w:ind w:firstLine="484" w:firstLineChars="201"/>
        <w:outlineLvl w:val="2"/>
        <w:rPr>
          <w:rFonts w:ascii="仿宋" w:hAnsi="仿宋" w:eastAsia="仿宋" w:cs="仿宋"/>
          <w:b/>
          <w:sz w:val="24"/>
        </w:rPr>
      </w:pPr>
      <w:r>
        <w:rPr>
          <w:rFonts w:hint="eastAsia" w:ascii="仿宋" w:hAnsi="仿宋" w:eastAsia="仿宋" w:cs="仿宋"/>
          <w:b/>
          <w:sz w:val="24"/>
        </w:rPr>
        <w:t>附件四：运维耗材价格清单</w:t>
      </w:r>
    </w:p>
    <w:tbl>
      <w:tblPr>
        <w:tblStyle w:val="62"/>
        <w:tblW w:w="5000" w:type="pct"/>
        <w:jc w:val="center"/>
        <w:tblLayout w:type="autofit"/>
        <w:tblCellMar>
          <w:top w:w="0" w:type="dxa"/>
          <w:left w:w="108" w:type="dxa"/>
          <w:bottom w:w="0" w:type="dxa"/>
          <w:right w:w="108" w:type="dxa"/>
        </w:tblCellMar>
      </w:tblPr>
      <w:tblGrid>
        <w:gridCol w:w="697"/>
        <w:gridCol w:w="1630"/>
        <w:gridCol w:w="1251"/>
        <w:gridCol w:w="1602"/>
        <w:gridCol w:w="1112"/>
        <w:gridCol w:w="1114"/>
        <w:gridCol w:w="940"/>
        <w:gridCol w:w="940"/>
      </w:tblGrid>
      <w:tr>
        <w:tblPrEx>
          <w:tblCellMar>
            <w:top w:w="0" w:type="dxa"/>
            <w:left w:w="108" w:type="dxa"/>
            <w:bottom w:w="0" w:type="dxa"/>
            <w:right w:w="108" w:type="dxa"/>
          </w:tblCellMar>
        </w:tblPrEx>
        <w:trPr>
          <w:trHeight w:val="280" w:hRule="atLeast"/>
          <w:jc w:val="center"/>
        </w:trPr>
        <w:tc>
          <w:tcPr>
            <w:tcW w:w="38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序号</w:t>
            </w:r>
          </w:p>
        </w:tc>
        <w:tc>
          <w:tcPr>
            <w:tcW w:w="891"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耗材名称</w:t>
            </w:r>
          </w:p>
        </w:tc>
        <w:tc>
          <w:tcPr>
            <w:tcW w:w="687"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品牌型号</w:t>
            </w:r>
          </w:p>
        </w:tc>
        <w:tc>
          <w:tcPr>
            <w:tcW w:w="87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规格参数</w:t>
            </w:r>
          </w:p>
        </w:tc>
        <w:tc>
          <w:tcPr>
            <w:tcW w:w="599"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数量</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单位</w:t>
            </w:r>
          </w:p>
        </w:tc>
        <w:tc>
          <w:tcPr>
            <w:tcW w:w="457"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单价</w:t>
            </w:r>
            <w:r>
              <w:rPr>
                <w:rFonts w:hint="eastAsia" w:ascii="仿宋" w:hAnsi="仿宋" w:eastAsia="仿宋" w:cs="仿宋"/>
                <w:b/>
                <w:bCs/>
                <w:sz w:val="24"/>
              </w:rPr>
              <w:t>（元）</w:t>
            </w:r>
          </w:p>
        </w:tc>
        <w:tc>
          <w:tcPr>
            <w:tcW w:w="501"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合价</w:t>
            </w:r>
            <w:r>
              <w:rPr>
                <w:rFonts w:hint="eastAsia" w:ascii="仿宋" w:hAnsi="仿宋" w:eastAsia="仿宋" w:cs="仿宋"/>
                <w:b/>
                <w:bCs/>
                <w:sz w:val="24"/>
              </w:rPr>
              <w:t>（元）</w:t>
            </w:r>
          </w:p>
        </w:tc>
      </w:tr>
      <w:tr>
        <w:tblPrEx>
          <w:tblCellMar>
            <w:top w:w="0" w:type="dxa"/>
            <w:left w:w="108" w:type="dxa"/>
            <w:bottom w:w="0" w:type="dxa"/>
            <w:right w:w="108" w:type="dxa"/>
          </w:tblCellMar>
        </w:tblPrEx>
        <w:trPr>
          <w:trHeight w:val="259"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内存</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硬盘1</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399"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硬盘2</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6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65"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4</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硬盘3</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12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5</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硬盘4</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451"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6</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硬盘5</w:t>
            </w:r>
          </w:p>
        </w:tc>
        <w:tc>
          <w:tcPr>
            <w:tcW w:w="687" w:type="pct"/>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66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7</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硬盘6</w:t>
            </w:r>
          </w:p>
        </w:tc>
        <w:tc>
          <w:tcPr>
            <w:tcW w:w="687" w:type="pct"/>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573"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8</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光纤跳线1</w:t>
            </w:r>
          </w:p>
        </w:tc>
        <w:tc>
          <w:tcPr>
            <w:tcW w:w="687" w:type="pct"/>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10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64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9</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光纤跳线2</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571"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10</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光纤跳线3</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231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69"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11</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光纤跳线4</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12</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光纤跳线5</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51"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13</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成品网线1</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86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14</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成品网线2</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15</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光模块1</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14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个</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16</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光模块2</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6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个</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17</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光收发器</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个</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18</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存储电源</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个</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678" w:hRule="atLeast"/>
          <w:jc w:val="center"/>
        </w:trPr>
        <w:tc>
          <w:tcPr>
            <w:tcW w:w="1967" w:type="pct"/>
            <w:gridSpan w:val="3"/>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仿宋"/>
                <w:b/>
                <w:kern w:val="0"/>
                <w:sz w:val="24"/>
              </w:rPr>
              <w:t>总价（小写）人民币</w:t>
            </w:r>
          </w:p>
        </w:tc>
        <w:tc>
          <w:tcPr>
            <w:tcW w:w="3033" w:type="pct"/>
            <w:gridSpan w:val="5"/>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689" w:hRule="atLeast"/>
          <w:jc w:val="center"/>
        </w:trPr>
        <w:tc>
          <w:tcPr>
            <w:tcW w:w="1967" w:type="pct"/>
            <w:gridSpan w:val="3"/>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仿宋"/>
                <w:b/>
                <w:kern w:val="0"/>
                <w:sz w:val="24"/>
              </w:rPr>
              <w:t>总价（大写）人民币</w:t>
            </w:r>
          </w:p>
        </w:tc>
        <w:tc>
          <w:tcPr>
            <w:tcW w:w="3033" w:type="pct"/>
            <w:gridSpan w:val="5"/>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bl>
    <w:p>
      <w:pPr>
        <w:autoSpaceDE w:val="0"/>
        <w:autoSpaceDN w:val="0"/>
        <w:spacing w:line="360" w:lineRule="auto"/>
        <w:ind w:firstLine="422" w:firstLineChars="200"/>
        <w:rPr>
          <w:rFonts w:ascii="仿宋" w:hAnsi="仿宋" w:eastAsia="仿宋"/>
          <w:b/>
          <w:bCs/>
          <w:szCs w:val="21"/>
        </w:rPr>
      </w:pPr>
      <w:r>
        <w:rPr>
          <w:rFonts w:hint="eastAsia" w:ascii="仿宋" w:hAnsi="仿宋" w:eastAsia="仿宋"/>
          <w:b/>
          <w:bCs/>
          <w:szCs w:val="21"/>
          <w:lang w:val="zh-CN"/>
        </w:rPr>
        <w:t>注：</w:t>
      </w:r>
      <w:r>
        <w:rPr>
          <w:rFonts w:hint="eastAsia" w:ascii="仿宋" w:hAnsi="仿宋" w:eastAsia="仿宋"/>
          <w:b/>
          <w:bCs/>
          <w:szCs w:val="21"/>
        </w:rPr>
        <w:t>运维耗材采用包干方式，在服务期内乙方需提供设备运维所需的所有耗材；上述运维耗材清单仅为预估，实际工作中，若运维耗材超出上述预估的，乙方应予以提供，且甲方不再另行增加成本，可能产生的全部费用包含在合同总价内。</w:t>
      </w: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hint="eastAsia" w:ascii="仿宋" w:hAnsi="仿宋" w:eastAsia="仿宋" w:cs="仿宋"/>
          <w:b/>
          <w:sz w:val="36"/>
          <w:szCs w:val="20"/>
        </w:rPr>
      </w:pPr>
    </w:p>
    <w:p>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402"/>
      <w:bookmarkEnd w:id="403"/>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杭州市公安局交通警察支队、</w:t>
      </w:r>
      <w:r>
        <w:rPr>
          <w:rFonts w:hint="eastAsia" w:ascii="仿宋" w:hAnsi="仿宋" w:eastAsia="仿宋" w:cs="仿宋"/>
          <w:sz w:val="24"/>
          <w:lang w:eastAsia="zh-CN"/>
        </w:rPr>
        <w:t>浙江信达咨询监理有限公司</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我方参与交通设施维护项目-智能交通运行维护-机房一【招标编号：HZSGAJ-2024-12（代)】政府采购活动，郑重承诺：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jc w:val="right"/>
        <w:rPr>
          <w:rFonts w:ascii="仿宋" w:hAnsi="仿宋" w:eastAsia="仿宋" w:cs="仿宋"/>
          <w:kern w:val="0"/>
          <w:sz w:val="24"/>
          <w:lang w:val="zh-CN"/>
        </w:rPr>
      </w:pPr>
    </w:p>
    <w:p>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pacing w:line="360" w:lineRule="auto"/>
        <w:jc w:val="center"/>
        <w:rPr>
          <w:rFonts w:ascii="仿宋" w:hAnsi="仿宋" w:eastAsia="仿宋" w:cs="仿宋"/>
          <w:sz w:val="24"/>
        </w:rPr>
      </w:pPr>
      <w:r>
        <w:rPr>
          <w:rFonts w:hint="eastAsia" w:ascii="仿宋" w:hAnsi="仿宋" w:eastAsia="仿宋" w:cs="仿宋"/>
          <w:sz w:val="24"/>
        </w:rPr>
        <w:t>有效期内基础电信业务经营许可证</w:t>
      </w:r>
    </w:p>
    <w:p>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杭州市公安局交通警察支队、</w:t>
      </w:r>
      <w:r>
        <w:rPr>
          <w:rFonts w:hint="eastAsia" w:ascii="仿宋" w:hAnsi="仿宋" w:eastAsia="仿宋" w:cs="仿宋"/>
          <w:sz w:val="24"/>
          <w:lang w:eastAsia="zh-CN"/>
        </w:rPr>
        <w:t>浙江信达咨询监理有限公司</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我方参加你方组织的交通设施维护项目-智能交通运行维护-机房一【招标编号：HZSGAJ-2024-12（代)】招标的有关活动，并对此项目进行投标。为此：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411" w:name="_Hlk101257010"/>
      <w:r>
        <w:rPr>
          <w:rFonts w:hint="eastAsia" w:ascii="仿宋" w:hAnsi="仿宋" w:eastAsia="仿宋" w:cs="仿宋"/>
          <w:sz w:val="24"/>
        </w:rPr>
        <w:t>（如果有)</w:t>
      </w:r>
      <w:bookmarkEnd w:id="411"/>
      <w:r>
        <w:rPr>
          <w:rFonts w:hint="eastAsia" w:ascii="仿宋" w:hAnsi="仿宋" w:eastAsia="仿宋" w:cs="仿宋"/>
          <w:snapToGrid w:val="0"/>
          <w:kern w:val="28"/>
          <w:sz w:val="24"/>
          <w:szCs w:val="20"/>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2.3.2报价情况说明（如果有）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ascii="仿宋" w:hAnsi="仿宋" w:eastAsia="仿宋" w:cs="仿宋"/>
          <w:b/>
          <w:kern w:val="0"/>
          <w:sz w:val="32"/>
          <w:szCs w:val="32"/>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2"/>
        <w:rPr>
          <w:rFonts w:ascii="仿宋" w:eastAsia="仿宋" w:cs="仿宋"/>
          <w:lang w:val="en-US"/>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杭州市公安局交通警察支队、</w:t>
      </w:r>
      <w:r>
        <w:rPr>
          <w:rFonts w:hint="eastAsia" w:ascii="仿宋" w:hAnsi="仿宋" w:eastAsia="仿宋" w:cs="仿宋"/>
          <w:sz w:val="24"/>
          <w:lang w:eastAsia="zh-CN"/>
        </w:rPr>
        <w:t>浙江信达咨询监理有限公司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现委托（姓名）为我方代理人（身份证号码：，手机：，所在单位：），以我方名义处理交通设施维护项目-智能交通运行维护-机房一【招标编号：HZSGAJ-2024-12（代)】政府采购投标的一切事项，其法律后果由我方承担。</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委托期限：自年月日起至年月日止。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杭州市公安局交通警察支队、</w:t>
      </w:r>
      <w:r>
        <w:rPr>
          <w:rFonts w:hint="eastAsia" w:ascii="仿宋" w:hAnsi="仿宋" w:eastAsia="仿宋" w:cs="仿宋"/>
          <w:sz w:val="24"/>
          <w:lang w:eastAsia="zh-CN"/>
        </w:rPr>
        <w:t>浙江信达咨询监理有限公司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现委托（姓名）为我方代理人（身份证号码：，手机：，所在单位：），以我方名义处理</w:t>
      </w:r>
      <w:r>
        <w:rPr>
          <w:rFonts w:hint="eastAsia" w:ascii="仿宋" w:hAnsi="仿宋" w:eastAsia="仿宋" w:cs="仿宋"/>
          <w:sz w:val="24"/>
        </w:rPr>
        <w:t>交通设施维护项目-智能交通运行维护-机房一【招标编号：HZSGAJ-2024-12（代)】</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6"/>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ascii="仿宋" w:hAnsi="仿宋" w:eastAsia="仿宋" w:cs="仿宋"/>
          <w:kern w:val="0"/>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见投标文件第页</w:t>
            </w: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49"/>
        <w:gridCol w:w="1616"/>
        <w:gridCol w:w="1616"/>
        <w:gridCol w:w="251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134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姓名</w:t>
            </w:r>
          </w:p>
        </w:tc>
        <w:tc>
          <w:tcPr>
            <w:tcW w:w="1608"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身份证号码</w:t>
            </w:r>
          </w:p>
        </w:tc>
        <w:tc>
          <w:tcPr>
            <w:tcW w:w="1608"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联系方式</w:t>
            </w:r>
          </w:p>
        </w:tc>
        <w:tc>
          <w:tcPr>
            <w:tcW w:w="250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本项目承担的职责</w:t>
            </w:r>
          </w:p>
        </w:tc>
        <w:tc>
          <w:tcPr>
            <w:tcW w:w="1738"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342" w:type="dxa"/>
            <w:noWrap/>
            <w:vAlign w:val="center"/>
          </w:tcPr>
          <w:p>
            <w:pPr>
              <w:snapToGrid w:val="0"/>
              <w:spacing w:line="360" w:lineRule="auto"/>
              <w:jc w:val="center"/>
              <w:rPr>
                <w:rFonts w:ascii="仿宋" w:hAnsi="仿宋" w:eastAsia="仿宋" w:cs="仿宋"/>
                <w:sz w:val="24"/>
              </w:rPr>
            </w:pPr>
          </w:p>
        </w:tc>
        <w:tc>
          <w:tcPr>
            <w:tcW w:w="1608" w:type="dxa"/>
            <w:noWrap/>
          </w:tcPr>
          <w:p>
            <w:pPr>
              <w:spacing w:line="360" w:lineRule="auto"/>
              <w:jc w:val="center"/>
              <w:rPr>
                <w:rFonts w:ascii="仿宋" w:hAnsi="仿宋" w:eastAsia="仿宋" w:cs="仿宋"/>
                <w:b/>
                <w:sz w:val="24"/>
              </w:rPr>
            </w:pPr>
          </w:p>
        </w:tc>
        <w:tc>
          <w:tcPr>
            <w:tcW w:w="1608" w:type="dxa"/>
            <w:noWrap/>
            <w:vAlign w:val="center"/>
          </w:tcPr>
          <w:p>
            <w:pPr>
              <w:spacing w:line="360" w:lineRule="auto"/>
              <w:jc w:val="center"/>
              <w:rPr>
                <w:rFonts w:ascii="仿宋" w:hAnsi="仿宋" w:eastAsia="仿宋" w:cs="仿宋"/>
                <w:b/>
                <w:sz w:val="24"/>
              </w:rPr>
            </w:pPr>
          </w:p>
        </w:tc>
        <w:tc>
          <w:tcPr>
            <w:tcW w:w="2503" w:type="dxa"/>
            <w:noWrap/>
            <w:vAlign w:val="center"/>
          </w:tcPr>
          <w:p>
            <w:pPr>
              <w:spacing w:line="360" w:lineRule="auto"/>
              <w:jc w:val="center"/>
              <w:rPr>
                <w:rFonts w:ascii="仿宋" w:hAnsi="仿宋" w:eastAsia="仿宋" w:cs="仿宋"/>
                <w:sz w:val="24"/>
              </w:rPr>
            </w:pPr>
          </w:p>
        </w:tc>
        <w:tc>
          <w:tcPr>
            <w:tcW w:w="1738" w:type="dxa"/>
            <w:noWrap/>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6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342" w:type="dxa"/>
            <w:noWrap/>
            <w:vAlign w:val="center"/>
          </w:tcPr>
          <w:p>
            <w:pPr>
              <w:snapToGrid w:val="0"/>
              <w:spacing w:line="360" w:lineRule="auto"/>
              <w:jc w:val="center"/>
              <w:rPr>
                <w:rFonts w:ascii="仿宋" w:hAnsi="仿宋" w:eastAsia="仿宋" w:cs="仿宋"/>
                <w:sz w:val="24"/>
              </w:rPr>
            </w:pPr>
          </w:p>
        </w:tc>
        <w:tc>
          <w:tcPr>
            <w:tcW w:w="1608" w:type="dxa"/>
            <w:noWrap/>
          </w:tcPr>
          <w:p>
            <w:pPr>
              <w:spacing w:line="360" w:lineRule="auto"/>
              <w:jc w:val="center"/>
              <w:rPr>
                <w:rFonts w:ascii="仿宋" w:hAnsi="仿宋" w:eastAsia="仿宋" w:cs="仿宋"/>
                <w:b/>
                <w:sz w:val="24"/>
              </w:rPr>
            </w:pPr>
          </w:p>
        </w:tc>
        <w:tc>
          <w:tcPr>
            <w:tcW w:w="1608" w:type="dxa"/>
            <w:noWrap/>
            <w:vAlign w:val="center"/>
          </w:tcPr>
          <w:p>
            <w:pPr>
              <w:spacing w:line="360" w:lineRule="auto"/>
              <w:jc w:val="center"/>
              <w:rPr>
                <w:rFonts w:ascii="仿宋" w:hAnsi="仿宋" w:eastAsia="仿宋" w:cs="仿宋"/>
                <w:b/>
                <w:sz w:val="24"/>
              </w:rPr>
            </w:pPr>
          </w:p>
        </w:tc>
        <w:tc>
          <w:tcPr>
            <w:tcW w:w="2503" w:type="dxa"/>
            <w:noWrap/>
            <w:vAlign w:val="center"/>
          </w:tcPr>
          <w:p>
            <w:pPr>
              <w:spacing w:line="360" w:lineRule="auto"/>
              <w:jc w:val="center"/>
              <w:rPr>
                <w:rFonts w:ascii="仿宋" w:hAnsi="仿宋" w:eastAsia="仿宋" w:cs="仿宋"/>
                <w:sz w:val="24"/>
              </w:rPr>
            </w:pPr>
          </w:p>
        </w:tc>
        <w:tc>
          <w:tcPr>
            <w:tcW w:w="1738" w:type="dxa"/>
            <w:noWrap/>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342" w:type="dxa"/>
            <w:noWrap/>
            <w:vAlign w:val="center"/>
          </w:tcPr>
          <w:p>
            <w:pPr>
              <w:snapToGrid w:val="0"/>
              <w:spacing w:line="360" w:lineRule="auto"/>
              <w:jc w:val="center"/>
              <w:rPr>
                <w:rFonts w:ascii="仿宋" w:hAnsi="仿宋" w:eastAsia="仿宋" w:cs="仿宋"/>
                <w:sz w:val="24"/>
              </w:rPr>
            </w:pPr>
          </w:p>
        </w:tc>
        <w:tc>
          <w:tcPr>
            <w:tcW w:w="1608" w:type="dxa"/>
            <w:noWrap/>
          </w:tcPr>
          <w:p>
            <w:pPr>
              <w:spacing w:line="360" w:lineRule="auto"/>
              <w:jc w:val="center"/>
              <w:rPr>
                <w:rFonts w:ascii="仿宋" w:hAnsi="仿宋" w:eastAsia="仿宋" w:cs="仿宋"/>
                <w:b/>
                <w:sz w:val="24"/>
              </w:rPr>
            </w:pPr>
          </w:p>
        </w:tc>
        <w:tc>
          <w:tcPr>
            <w:tcW w:w="1608" w:type="dxa"/>
            <w:noWrap/>
            <w:vAlign w:val="center"/>
          </w:tcPr>
          <w:p>
            <w:pPr>
              <w:spacing w:line="360" w:lineRule="auto"/>
              <w:jc w:val="center"/>
              <w:rPr>
                <w:rFonts w:ascii="仿宋" w:hAnsi="仿宋" w:eastAsia="仿宋" w:cs="仿宋"/>
                <w:b/>
                <w:sz w:val="24"/>
              </w:rPr>
            </w:pPr>
          </w:p>
        </w:tc>
        <w:tc>
          <w:tcPr>
            <w:tcW w:w="2503" w:type="dxa"/>
            <w:noWrap/>
            <w:vAlign w:val="center"/>
          </w:tcPr>
          <w:p>
            <w:pPr>
              <w:spacing w:line="360" w:lineRule="auto"/>
              <w:jc w:val="center"/>
              <w:rPr>
                <w:rFonts w:ascii="仿宋" w:hAnsi="仿宋" w:eastAsia="仿宋" w:cs="仿宋"/>
                <w:sz w:val="24"/>
              </w:rPr>
            </w:pPr>
          </w:p>
        </w:tc>
        <w:tc>
          <w:tcPr>
            <w:tcW w:w="1738" w:type="dxa"/>
            <w:noWrap/>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342" w:type="dxa"/>
            <w:noWrap/>
            <w:vAlign w:val="center"/>
          </w:tcPr>
          <w:p>
            <w:pPr>
              <w:snapToGrid w:val="0"/>
              <w:spacing w:line="360" w:lineRule="auto"/>
              <w:jc w:val="center"/>
              <w:rPr>
                <w:rFonts w:ascii="仿宋" w:hAnsi="仿宋" w:eastAsia="仿宋" w:cs="仿宋"/>
                <w:sz w:val="24"/>
              </w:rPr>
            </w:pPr>
          </w:p>
        </w:tc>
        <w:tc>
          <w:tcPr>
            <w:tcW w:w="1608" w:type="dxa"/>
            <w:noWrap/>
          </w:tcPr>
          <w:p>
            <w:pPr>
              <w:spacing w:line="360" w:lineRule="auto"/>
              <w:jc w:val="center"/>
              <w:rPr>
                <w:rFonts w:ascii="仿宋" w:hAnsi="仿宋" w:eastAsia="仿宋" w:cs="仿宋"/>
                <w:b/>
                <w:sz w:val="24"/>
              </w:rPr>
            </w:pPr>
          </w:p>
        </w:tc>
        <w:tc>
          <w:tcPr>
            <w:tcW w:w="1608" w:type="dxa"/>
            <w:noWrap/>
            <w:vAlign w:val="center"/>
          </w:tcPr>
          <w:p>
            <w:pPr>
              <w:spacing w:line="360" w:lineRule="auto"/>
              <w:jc w:val="center"/>
              <w:rPr>
                <w:rFonts w:ascii="仿宋" w:hAnsi="仿宋" w:eastAsia="仿宋" w:cs="仿宋"/>
                <w:b/>
                <w:sz w:val="24"/>
              </w:rPr>
            </w:pPr>
          </w:p>
        </w:tc>
        <w:tc>
          <w:tcPr>
            <w:tcW w:w="2503" w:type="dxa"/>
            <w:noWrap/>
            <w:vAlign w:val="center"/>
          </w:tcPr>
          <w:p>
            <w:pPr>
              <w:spacing w:line="360" w:lineRule="auto"/>
              <w:jc w:val="center"/>
              <w:rPr>
                <w:rFonts w:ascii="仿宋" w:hAnsi="仿宋" w:eastAsia="仿宋" w:cs="仿宋"/>
                <w:sz w:val="24"/>
              </w:rPr>
            </w:pPr>
          </w:p>
        </w:tc>
        <w:tc>
          <w:tcPr>
            <w:tcW w:w="1738" w:type="dxa"/>
            <w:noWrap/>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杭州市公安局交通警察支队、</w:t>
      </w:r>
      <w:r>
        <w:rPr>
          <w:rFonts w:hint="eastAsia" w:ascii="仿宋" w:hAnsi="仿宋" w:eastAsia="仿宋" w:cs="仿宋"/>
          <w:sz w:val="24"/>
          <w:lang w:eastAsia="zh-CN"/>
        </w:rPr>
        <w:t>浙江信达咨询监理有限公司</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（2）报价情况说明…………………………………………………………………（页码）</w:t>
      </w:r>
    </w:p>
    <w:p>
      <w:pPr>
        <w:snapToGrid w:val="0"/>
        <w:spacing w:line="360" w:lineRule="auto"/>
        <w:rPr>
          <w:rFonts w:ascii="仿宋" w:hAnsi="仿宋" w:eastAsia="仿宋" w:cs="仿宋"/>
          <w:sz w:val="24"/>
        </w:rPr>
      </w:pPr>
      <w:r>
        <w:rPr>
          <w:rFonts w:hint="eastAsia" w:ascii="仿宋" w:hAnsi="仿宋" w:eastAsia="仿宋" w:cs="仿宋"/>
          <w:sz w:val="24"/>
        </w:rPr>
        <w:t>（3）中小企业声明函………………………………………………………………（页码）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杭州市公安局交通警察支队、</w:t>
      </w:r>
      <w:r>
        <w:rPr>
          <w:rFonts w:hint="eastAsia" w:ascii="仿宋" w:hAnsi="仿宋" w:eastAsia="仿宋" w:cs="仿宋"/>
          <w:sz w:val="24"/>
          <w:lang w:eastAsia="zh-CN"/>
        </w:rPr>
        <w:t>浙江信达咨询监理有限公司</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交通设施维护项目-智能交通运行维护-机房一</w:t>
      </w:r>
      <w:r>
        <w:rPr>
          <w:rFonts w:hint="eastAsia" w:ascii="仿宋" w:hAnsi="仿宋" w:eastAsia="仿宋" w:cs="仿宋"/>
          <w:kern w:val="0"/>
          <w:sz w:val="24"/>
          <w:lang w:val="zh-CN"/>
        </w:rPr>
        <w:t>【招标编号：</w:t>
      </w:r>
      <w:r>
        <w:rPr>
          <w:rFonts w:hint="eastAsia" w:ascii="仿宋" w:hAnsi="仿宋" w:eastAsia="仿宋" w:cs="仿宋"/>
          <w:sz w:val="24"/>
        </w:rPr>
        <w:t>HZSGAJ-2024-12（代)】的实施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611"/>
        <w:gridCol w:w="1762"/>
        <w:gridCol w:w="1241"/>
        <w:gridCol w:w="1333"/>
        <w:gridCol w:w="1845"/>
        <w:gridCol w:w="1511"/>
        <w:gridCol w:w="144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69"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序号</w:t>
            </w:r>
          </w:p>
        </w:tc>
        <w:tc>
          <w:tcPr>
            <w:tcW w:w="1139" w:type="pct"/>
            <w:gridSpan w:val="2"/>
            <w:vAlign w:val="center"/>
          </w:tcPr>
          <w:p>
            <w:pPr>
              <w:snapToGrid w:val="0"/>
              <w:spacing w:line="276" w:lineRule="auto"/>
              <w:jc w:val="center"/>
              <w:rPr>
                <w:rFonts w:ascii="仿宋" w:hAnsi="仿宋" w:eastAsia="仿宋" w:cs="仿宋"/>
                <w:b/>
                <w:bCs/>
                <w:sz w:val="24"/>
              </w:rPr>
            </w:pPr>
            <w:r>
              <w:rPr>
                <w:rFonts w:hint="eastAsia" w:ascii="仿宋" w:hAnsi="仿宋" w:eastAsia="仿宋" w:cs="仿宋"/>
                <w:b/>
                <w:bCs/>
                <w:sz w:val="24"/>
              </w:rPr>
              <w:t>名称</w:t>
            </w:r>
          </w:p>
        </w:tc>
        <w:tc>
          <w:tcPr>
            <w:tcW w:w="417" w:type="pct"/>
            <w:vAlign w:val="center"/>
          </w:tcPr>
          <w:p>
            <w:pPr>
              <w:snapToGrid w:val="0"/>
              <w:spacing w:line="276" w:lineRule="auto"/>
              <w:jc w:val="center"/>
              <w:rPr>
                <w:rFonts w:ascii="仿宋" w:hAnsi="仿宋" w:eastAsia="仿宋" w:cs="仿宋"/>
                <w:b/>
                <w:bCs/>
                <w:sz w:val="24"/>
              </w:rPr>
            </w:pPr>
            <w:r>
              <w:rPr>
                <w:rFonts w:hint="eastAsia" w:ascii="仿宋" w:hAnsi="仿宋" w:eastAsia="仿宋" w:cs="仿宋"/>
                <w:b/>
                <w:bCs/>
                <w:sz w:val="24"/>
              </w:rPr>
              <w:t>单位</w:t>
            </w:r>
          </w:p>
        </w:tc>
        <w:tc>
          <w:tcPr>
            <w:tcW w:w="450" w:type="pct"/>
            <w:vAlign w:val="center"/>
          </w:tcPr>
          <w:p>
            <w:pPr>
              <w:snapToGrid w:val="0"/>
              <w:spacing w:line="276" w:lineRule="auto"/>
              <w:jc w:val="center"/>
              <w:rPr>
                <w:rFonts w:ascii="仿宋" w:hAnsi="仿宋" w:eastAsia="仿宋" w:cs="仿宋"/>
                <w:b/>
                <w:bCs/>
                <w:sz w:val="24"/>
              </w:rPr>
            </w:pPr>
            <w:r>
              <w:rPr>
                <w:rFonts w:hint="eastAsia" w:ascii="仿宋" w:hAnsi="仿宋" w:eastAsia="仿宋" w:cs="仿宋"/>
                <w:b/>
                <w:bCs/>
                <w:sz w:val="24"/>
              </w:rPr>
              <w:t>数量</w:t>
            </w:r>
          </w:p>
        </w:tc>
        <w:tc>
          <w:tcPr>
            <w:tcW w:w="623" w:type="pct"/>
            <w:vAlign w:val="center"/>
          </w:tcPr>
          <w:p>
            <w:pPr>
              <w:snapToGrid w:val="0"/>
              <w:spacing w:line="276" w:lineRule="auto"/>
              <w:jc w:val="center"/>
              <w:rPr>
                <w:rFonts w:ascii="仿宋" w:hAnsi="仿宋" w:eastAsia="仿宋" w:cs="仿宋"/>
                <w:b/>
                <w:bCs/>
                <w:sz w:val="24"/>
              </w:rPr>
            </w:pPr>
            <w:r>
              <w:rPr>
                <w:rFonts w:hint="eastAsia" w:ascii="仿宋" w:hAnsi="仿宋" w:eastAsia="仿宋" w:cs="仿宋"/>
                <w:b/>
                <w:bCs/>
                <w:sz w:val="24"/>
              </w:rPr>
              <w:t>单价</w:t>
            </w:r>
          </w:p>
          <w:p>
            <w:pPr>
              <w:snapToGrid w:val="0"/>
              <w:spacing w:line="276" w:lineRule="auto"/>
              <w:jc w:val="center"/>
              <w:rPr>
                <w:rFonts w:ascii="仿宋" w:hAnsi="仿宋" w:eastAsia="仿宋" w:cs="仿宋"/>
                <w:b/>
                <w:bCs/>
                <w:sz w:val="24"/>
              </w:rPr>
            </w:pPr>
            <w:r>
              <w:rPr>
                <w:rFonts w:hint="eastAsia" w:ascii="仿宋" w:hAnsi="仿宋" w:eastAsia="仿宋" w:cs="仿宋"/>
                <w:b/>
                <w:bCs/>
                <w:sz w:val="24"/>
              </w:rPr>
              <w:t>（元/月）</w:t>
            </w:r>
          </w:p>
        </w:tc>
        <w:tc>
          <w:tcPr>
            <w:tcW w:w="510" w:type="pct"/>
            <w:vAlign w:val="center"/>
          </w:tcPr>
          <w:p>
            <w:pPr>
              <w:snapToGrid w:val="0"/>
              <w:spacing w:line="276" w:lineRule="auto"/>
              <w:jc w:val="center"/>
              <w:rPr>
                <w:rFonts w:ascii="仿宋" w:hAnsi="仿宋" w:eastAsia="仿宋" w:cs="仿宋"/>
                <w:b/>
                <w:bCs/>
                <w:sz w:val="24"/>
              </w:rPr>
            </w:pPr>
            <w:r>
              <w:rPr>
                <w:rFonts w:hint="eastAsia" w:ascii="仿宋" w:hAnsi="仿宋" w:eastAsia="仿宋" w:cs="仿宋"/>
                <w:b/>
                <w:bCs/>
                <w:sz w:val="24"/>
              </w:rPr>
              <w:t>月数</w:t>
            </w:r>
          </w:p>
          <w:p>
            <w:pPr>
              <w:snapToGrid w:val="0"/>
              <w:spacing w:line="276" w:lineRule="auto"/>
              <w:jc w:val="center"/>
              <w:rPr>
                <w:rFonts w:ascii="仿宋" w:hAnsi="仿宋" w:eastAsia="仿宋" w:cs="仿宋"/>
                <w:b/>
                <w:bCs/>
                <w:sz w:val="24"/>
              </w:rPr>
            </w:pPr>
            <w:r>
              <w:rPr>
                <w:rFonts w:hint="eastAsia" w:ascii="仿宋" w:hAnsi="仿宋" w:eastAsia="仿宋" w:cs="仿宋"/>
                <w:b/>
                <w:bCs/>
                <w:sz w:val="24"/>
              </w:rPr>
              <w:t>（月）</w:t>
            </w:r>
          </w:p>
        </w:tc>
        <w:tc>
          <w:tcPr>
            <w:tcW w:w="486" w:type="pct"/>
            <w:vAlign w:val="center"/>
          </w:tcPr>
          <w:p>
            <w:pPr>
              <w:snapToGrid w:val="0"/>
              <w:spacing w:line="276" w:lineRule="auto"/>
              <w:jc w:val="center"/>
              <w:rPr>
                <w:rFonts w:ascii="仿宋" w:hAnsi="仿宋" w:eastAsia="仿宋" w:cs="仿宋"/>
                <w:b/>
                <w:bCs/>
                <w:sz w:val="24"/>
              </w:rPr>
            </w:pPr>
            <w:r>
              <w:rPr>
                <w:rFonts w:hint="eastAsia" w:ascii="仿宋" w:hAnsi="仿宋" w:eastAsia="仿宋" w:cs="仿宋"/>
                <w:b/>
                <w:bCs/>
                <w:sz w:val="24"/>
              </w:rPr>
              <w:t>合价</w:t>
            </w:r>
          </w:p>
          <w:p>
            <w:pPr>
              <w:snapToGrid w:val="0"/>
              <w:spacing w:line="276" w:lineRule="auto"/>
              <w:jc w:val="center"/>
              <w:rPr>
                <w:rFonts w:ascii="仿宋" w:hAnsi="仿宋" w:eastAsia="仿宋" w:cs="仿宋"/>
                <w:b/>
                <w:bCs/>
                <w:sz w:val="24"/>
              </w:rPr>
            </w:pPr>
            <w:r>
              <w:rPr>
                <w:rFonts w:hint="eastAsia" w:ascii="仿宋" w:hAnsi="仿宋" w:eastAsia="仿宋" w:cs="仿宋"/>
                <w:b/>
                <w:bCs/>
                <w:sz w:val="24"/>
              </w:rPr>
              <w:t>（元）</w:t>
            </w:r>
          </w:p>
        </w:tc>
        <w:tc>
          <w:tcPr>
            <w:tcW w:w="1003" w:type="pct"/>
            <w:vAlign w:val="center"/>
          </w:tcPr>
          <w:p>
            <w:pPr>
              <w:snapToGrid w:val="0"/>
              <w:spacing w:line="276" w:lineRule="auto"/>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69"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1</w:t>
            </w:r>
          </w:p>
        </w:tc>
        <w:tc>
          <w:tcPr>
            <w:tcW w:w="1139" w:type="pct"/>
            <w:gridSpan w:val="2"/>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运维驻场人员服务费</w:t>
            </w:r>
          </w:p>
        </w:tc>
        <w:tc>
          <w:tcPr>
            <w:tcW w:w="417"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人</w:t>
            </w:r>
          </w:p>
        </w:tc>
        <w:tc>
          <w:tcPr>
            <w:tcW w:w="450" w:type="pct"/>
            <w:vAlign w:val="center"/>
          </w:tcPr>
          <w:p>
            <w:pPr>
              <w:snapToGrid w:val="0"/>
              <w:spacing w:line="276" w:lineRule="auto"/>
              <w:jc w:val="center"/>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6</w:t>
            </w:r>
          </w:p>
        </w:tc>
        <w:tc>
          <w:tcPr>
            <w:tcW w:w="623" w:type="pct"/>
            <w:vAlign w:val="center"/>
          </w:tcPr>
          <w:p>
            <w:pPr>
              <w:snapToGrid w:val="0"/>
              <w:spacing w:line="276" w:lineRule="auto"/>
              <w:jc w:val="center"/>
              <w:rPr>
                <w:rFonts w:ascii="仿宋" w:hAnsi="仿宋" w:eastAsia="仿宋" w:cs="仿宋"/>
                <w:kern w:val="0"/>
                <w:sz w:val="24"/>
              </w:rPr>
            </w:pPr>
          </w:p>
        </w:tc>
        <w:tc>
          <w:tcPr>
            <w:tcW w:w="510" w:type="pct"/>
            <w:vAlign w:val="center"/>
          </w:tcPr>
          <w:p>
            <w:pPr>
              <w:snapToGrid w:val="0"/>
              <w:spacing w:line="276" w:lineRule="auto"/>
              <w:jc w:val="center"/>
              <w:rPr>
                <w:rFonts w:ascii="仿宋" w:hAnsi="仿宋" w:eastAsia="仿宋" w:cs="仿宋"/>
                <w:kern w:val="0"/>
                <w:sz w:val="24"/>
              </w:rPr>
            </w:pPr>
            <w:r>
              <w:rPr>
                <w:rFonts w:ascii="仿宋" w:hAnsi="仿宋" w:eastAsia="仿宋" w:cs="仿宋"/>
                <w:kern w:val="0"/>
                <w:sz w:val="24"/>
              </w:rPr>
              <w:t>12</w:t>
            </w:r>
          </w:p>
        </w:tc>
        <w:tc>
          <w:tcPr>
            <w:tcW w:w="486" w:type="pct"/>
            <w:vAlign w:val="center"/>
          </w:tcPr>
          <w:p>
            <w:pPr>
              <w:snapToGrid w:val="0"/>
              <w:spacing w:line="276" w:lineRule="auto"/>
              <w:jc w:val="center"/>
              <w:rPr>
                <w:rFonts w:ascii="仿宋" w:hAnsi="仿宋" w:eastAsia="仿宋" w:cs="仿宋"/>
                <w:kern w:val="0"/>
                <w:sz w:val="24"/>
              </w:rPr>
            </w:pPr>
          </w:p>
        </w:tc>
        <w:tc>
          <w:tcPr>
            <w:tcW w:w="1003" w:type="pct"/>
            <w:vAlign w:val="center"/>
          </w:tcPr>
          <w:p>
            <w:pPr>
              <w:snapToGrid w:val="0"/>
              <w:spacing w:line="276" w:lineRule="auto"/>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9"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2</w:t>
            </w:r>
          </w:p>
        </w:tc>
        <w:tc>
          <w:tcPr>
            <w:tcW w:w="1139" w:type="pct"/>
            <w:gridSpan w:val="2"/>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运维项目经理（项目负责人）人员服务费</w:t>
            </w:r>
          </w:p>
        </w:tc>
        <w:tc>
          <w:tcPr>
            <w:tcW w:w="417"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人</w:t>
            </w:r>
          </w:p>
        </w:tc>
        <w:tc>
          <w:tcPr>
            <w:tcW w:w="450"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1</w:t>
            </w:r>
          </w:p>
        </w:tc>
        <w:tc>
          <w:tcPr>
            <w:tcW w:w="623" w:type="pct"/>
            <w:vAlign w:val="center"/>
          </w:tcPr>
          <w:p>
            <w:pPr>
              <w:snapToGrid w:val="0"/>
              <w:spacing w:line="276" w:lineRule="auto"/>
              <w:jc w:val="center"/>
              <w:rPr>
                <w:rFonts w:ascii="仿宋" w:hAnsi="仿宋" w:eastAsia="仿宋" w:cs="仿宋"/>
                <w:kern w:val="0"/>
                <w:sz w:val="24"/>
              </w:rPr>
            </w:pPr>
          </w:p>
        </w:tc>
        <w:tc>
          <w:tcPr>
            <w:tcW w:w="510" w:type="pct"/>
            <w:vAlign w:val="center"/>
          </w:tcPr>
          <w:p>
            <w:pPr>
              <w:snapToGrid w:val="0"/>
              <w:spacing w:line="276" w:lineRule="auto"/>
              <w:jc w:val="center"/>
              <w:rPr>
                <w:rFonts w:ascii="仿宋" w:hAnsi="仿宋" w:eastAsia="仿宋" w:cs="仿宋"/>
                <w:kern w:val="0"/>
                <w:sz w:val="24"/>
              </w:rPr>
            </w:pPr>
            <w:r>
              <w:rPr>
                <w:rFonts w:ascii="仿宋" w:hAnsi="仿宋" w:eastAsia="仿宋" w:cs="仿宋"/>
                <w:kern w:val="0"/>
                <w:sz w:val="24"/>
              </w:rPr>
              <w:t>12</w:t>
            </w:r>
          </w:p>
        </w:tc>
        <w:tc>
          <w:tcPr>
            <w:tcW w:w="486" w:type="pct"/>
            <w:vAlign w:val="center"/>
          </w:tcPr>
          <w:p>
            <w:pPr>
              <w:snapToGrid w:val="0"/>
              <w:spacing w:line="276" w:lineRule="auto"/>
              <w:jc w:val="center"/>
              <w:rPr>
                <w:rFonts w:ascii="仿宋" w:hAnsi="仿宋" w:eastAsia="仿宋" w:cs="仿宋"/>
                <w:kern w:val="0"/>
                <w:sz w:val="24"/>
              </w:rPr>
            </w:pPr>
          </w:p>
        </w:tc>
        <w:tc>
          <w:tcPr>
            <w:tcW w:w="1003" w:type="pct"/>
            <w:vAlign w:val="center"/>
          </w:tcPr>
          <w:p>
            <w:pPr>
              <w:snapToGrid w:val="0"/>
              <w:spacing w:line="276"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9"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3</w:t>
            </w:r>
          </w:p>
        </w:tc>
        <w:tc>
          <w:tcPr>
            <w:tcW w:w="1139" w:type="pct"/>
            <w:gridSpan w:val="2"/>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车辆使用费</w:t>
            </w:r>
          </w:p>
        </w:tc>
        <w:tc>
          <w:tcPr>
            <w:tcW w:w="417"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辆</w:t>
            </w:r>
          </w:p>
        </w:tc>
        <w:tc>
          <w:tcPr>
            <w:tcW w:w="450"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1</w:t>
            </w:r>
          </w:p>
        </w:tc>
        <w:tc>
          <w:tcPr>
            <w:tcW w:w="623" w:type="pct"/>
            <w:vAlign w:val="center"/>
          </w:tcPr>
          <w:p>
            <w:pPr>
              <w:snapToGrid w:val="0"/>
              <w:spacing w:line="276" w:lineRule="auto"/>
              <w:jc w:val="center"/>
              <w:rPr>
                <w:rFonts w:ascii="仿宋" w:hAnsi="仿宋" w:eastAsia="仿宋" w:cs="仿宋"/>
                <w:kern w:val="0"/>
                <w:sz w:val="24"/>
              </w:rPr>
            </w:pPr>
          </w:p>
        </w:tc>
        <w:tc>
          <w:tcPr>
            <w:tcW w:w="510"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12</w:t>
            </w:r>
          </w:p>
        </w:tc>
        <w:tc>
          <w:tcPr>
            <w:tcW w:w="486" w:type="pct"/>
            <w:vAlign w:val="center"/>
          </w:tcPr>
          <w:p>
            <w:pPr>
              <w:snapToGrid w:val="0"/>
              <w:spacing w:line="276" w:lineRule="auto"/>
              <w:jc w:val="center"/>
              <w:rPr>
                <w:rFonts w:ascii="仿宋" w:hAnsi="仿宋" w:eastAsia="仿宋" w:cs="仿宋"/>
                <w:kern w:val="0"/>
                <w:sz w:val="24"/>
              </w:rPr>
            </w:pPr>
          </w:p>
        </w:tc>
        <w:tc>
          <w:tcPr>
            <w:tcW w:w="1003" w:type="pct"/>
            <w:vAlign w:val="center"/>
          </w:tcPr>
          <w:p>
            <w:pPr>
              <w:snapToGrid w:val="0"/>
              <w:spacing w:line="276"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9"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4</w:t>
            </w:r>
          </w:p>
        </w:tc>
        <w:tc>
          <w:tcPr>
            <w:tcW w:w="544" w:type="pct"/>
            <w:vMerge w:val="restar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专项服务（服务质量要求达到原厂服务标准）</w:t>
            </w:r>
          </w:p>
        </w:tc>
        <w:tc>
          <w:tcPr>
            <w:tcW w:w="594"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专项服务(SCATS信号控制系统）</w:t>
            </w:r>
          </w:p>
        </w:tc>
        <w:tc>
          <w:tcPr>
            <w:tcW w:w="417"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项</w:t>
            </w:r>
          </w:p>
        </w:tc>
        <w:tc>
          <w:tcPr>
            <w:tcW w:w="450"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1</w:t>
            </w:r>
          </w:p>
        </w:tc>
        <w:tc>
          <w:tcPr>
            <w:tcW w:w="623" w:type="pct"/>
            <w:vAlign w:val="center"/>
          </w:tcPr>
          <w:p>
            <w:pPr>
              <w:snapToGrid w:val="0"/>
              <w:spacing w:line="276" w:lineRule="auto"/>
              <w:jc w:val="center"/>
              <w:rPr>
                <w:rFonts w:ascii="仿宋" w:hAnsi="仿宋" w:eastAsia="仿宋" w:cs="仿宋"/>
                <w:kern w:val="0"/>
                <w:sz w:val="24"/>
              </w:rPr>
            </w:pPr>
          </w:p>
        </w:tc>
        <w:tc>
          <w:tcPr>
            <w:tcW w:w="510" w:type="pct"/>
            <w:vAlign w:val="center"/>
          </w:tcPr>
          <w:p>
            <w:pPr>
              <w:snapToGrid w:val="0"/>
              <w:spacing w:line="276" w:lineRule="auto"/>
              <w:jc w:val="center"/>
              <w:rPr>
                <w:rFonts w:ascii="仿宋" w:hAnsi="仿宋" w:eastAsia="仿宋" w:cs="仿宋"/>
                <w:kern w:val="0"/>
                <w:sz w:val="24"/>
              </w:rPr>
            </w:pPr>
            <w:r>
              <w:rPr>
                <w:rFonts w:ascii="仿宋" w:hAnsi="仿宋" w:eastAsia="仿宋" w:cs="仿宋"/>
                <w:kern w:val="0"/>
                <w:sz w:val="24"/>
              </w:rPr>
              <w:t>12</w:t>
            </w:r>
          </w:p>
        </w:tc>
        <w:tc>
          <w:tcPr>
            <w:tcW w:w="486" w:type="pct"/>
            <w:vAlign w:val="center"/>
          </w:tcPr>
          <w:p>
            <w:pPr>
              <w:snapToGrid w:val="0"/>
              <w:spacing w:line="276" w:lineRule="auto"/>
              <w:jc w:val="center"/>
              <w:rPr>
                <w:rFonts w:ascii="仿宋" w:hAnsi="仿宋" w:eastAsia="仿宋" w:cs="仿宋"/>
                <w:kern w:val="0"/>
                <w:sz w:val="24"/>
              </w:rPr>
            </w:pPr>
          </w:p>
        </w:tc>
        <w:tc>
          <w:tcPr>
            <w:tcW w:w="1003" w:type="pct"/>
            <w:vAlign w:val="center"/>
          </w:tcPr>
          <w:p>
            <w:pPr>
              <w:snapToGrid w:val="0"/>
              <w:spacing w:line="276"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9"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5</w:t>
            </w:r>
          </w:p>
        </w:tc>
        <w:tc>
          <w:tcPr>
            <w:tcW w:w="544" w:type="pct"/>
            <w:vMerge w:val="continue"/>
            <w:vAlign w:val="center"/>
          </w:tcPr>
          <w:p>
            <w:pPr>
              <w:snapToGrid w:val="0"/>
              <w:spacing w:line="276" w:lineRule="auto"/>
              <w:rPr>
                <w:rFonts w:ascii="仿宋" w:hAnsi="仿宋" w:eastAsia="仿宋" w:cs="仿宋"/>
                <w:b/>
                <w:kern w:val="0"/>
                <w:sz w:val="24"/>
              </w:rPr>
            </w:pPr>
          </w:p>
        </w:tc>
        <w:tc>
          <w:tcPr>
            <w:tcW w:w="594"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专项服务(网络交换机）</w:t>
            </w:r>
          </w:p>
        </w:tc>
        <w:tc>
          <w:tcPr>
            <w:tcW w:w="417"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项</w:t>
            </w:r>
          </w:p>
        </w:tc>
        <w:tc>
          <w:tcPr>
            <w:tcW w:w="450"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1</w:t>
            </w:r>
          </w:p>
        </w:tc>
        <w:tc>
          <w:tcPr>
            <w:tcW w:w="623" w:type="pct"/>
            <w:vAlign w:val="center"/>
          </w:tcPr>
          <w:p>
            <w:pPr>
              <w:snapToGrid w:val="0"/>
              <w:spacing w:line="276" w:lineRule="auto"/>
              <w:jc w:val="center"/>
              <w:rPr>
                <w:rFonts w:ascii="仿宋" w:hAnsi="仿宋" w:eastAsia="仿宋" w:cs="仿宋"/>
                <w:kern w:val="0"/>
                <w:sz w:val="24"/>
              </w:rPr>
            </w:pPr>
          </w:p>
        </w:tc>
        <w:tc>
          <w:tcPr>
            <w:tcW w:w="510" w:type="pct"/>
            <w:vAlign w:val="center"/>
          </w:tcPr>
          <w:p>
            <w:pPr>
              <w:snapToGrid w:val="0"/>
              <w:spacing w:line="276" w:lineRule="auto"/>
              <w:jc w:val="center"/>
              <w:rPr>
                <w:rFonts w:ascii="仿宋" w:hAnsi="仿宋" w:eastAsia="仿宋" w:cs="仿宋"/>
                <w:kern w:val="0"/>
                <w:sz w:val="24"/>
              </w:rPr>
            </w:pPr>
            <w:r>
              <w:rPr>
                <w:rFonts w:ascii="仿宋" w:hAnsi="仿宋" w:eastAsia="仿宋" w:cs="仿宋"/>
                <w:kern w:val="0"/>
                <w:sz w:val="24"/>
              </w:rPr>
              <w:t>12</w:t>
            </w:r>
          </w:p>
        </w:tc>
        <w:tc>
          <w:tcPr>
            <w:tcW w:w="486" w:type="pct"/>
            <w:vAlign w:val="center"/>
          </w:tcPr>
          <w:p>
            <w:pPr>
              <w:snapToGrid w:val="0"/>
              <w:spacing w:line="276" w:lineRule="auto"/>
              <w:jc w:val="center"/>
              <w:rPr>
                <w:rFonts w:ascii="仿宋" w:hAnsi="仿宋" w:eastAsia="仿宋" w:cs="仿宋"/>
                <w:kern w:val="0"/>
                <w:sz w:val="24"/>
              </w:rPr>
            </w:pPr>
          </w:p>
        </w:tc>
        <w:tc>
          <w:tcPr>
            <w:tcW w:w="1003" w:type="pct"/>
            <w:vAlign w:val="center"/>
          </w:tcPr>
          <w:p>
            <w:pPr>
              <w:snapToGrid w:val="0"/>
              <w:spacing w:line="276"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9"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6</w:t>
            </w:r>
          </w:p>
        </w:tc>
        <w:tc>
          <w:tcPr>
            <w:tcW w:w="544" w:type="pct"/>
            <w:vMerge w:val="continue"/>
            <w:vAlign w:val="center"/>
          </w:tcPr>
          <w:p>
            <w:pPr>
              <w:snapToGrid w:val="0"/>
              <w:spacing w:line="276" w:lineRule="auto"/>
              <w:jc w:val="center"/>
              <w:rPr>
                <w:rFonts w:ascii="仿宋" w:hAnsi="仿宋" w:eastAsia="仿宋" w:cs="仿宋"/>
                <w:b/>
                <w:kern w:val="0"/>
                <w:sz w:val="24"/>
              </w:rPr>
            </w:pPr>
          </w:p>
        </w:tc>
        <w:tc>
          <w:tcPr>
            <w:tcW w:w="594"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专项服务(交通小脑服务器）</w:t>
            </w:r>
          </w:p>
        </w:tc>
        <w:tc>
          <w:tcPr>
            <w:tcW w:w="417"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项</w:t>
            </w:r>
          </w:p>
        </w:tc>
        <w:tc>
          <w:tcPr>
            <w:tcW w:w="450"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1</w:t>
            </w:r>
          </w:p>
        </w:tc>
        <w:tc>
          <w:tcPr>
            <w:tcW w:w="623" w:type="pct"/>
            <w:vAlign w:val="center"/>
          </w:tcPr>
          <w:p>
            <w:pPr>
              <w:snapToGrid w:val="0"/>
              <w:spacing w:line="276" w:lineRule="auto"/>
              <w:jc w:val="center"/>
              <w:rPr>
                <w:rFonts w:ascii="仿宋" w:hAnsi="仿宋" w:eastAsia="仿宋" w:cs="仿宋"/>
                <w:kern w:val="0"/>
                <w:sz w:val="24"/>
              </w:rPr>
            </w:pPr>
          </w:p>
        </w:tc>
        <w:tc>
          <w:tcPr>
            <w:tcW w:w="510" w:type="pct"/>
            <w:vAlign w:val="center"/>
          </w:tcPr>
          <w:p>
            <w:pPr>
              <w:snapToGrid w:val="0"/>
              <w:spacing w:line="276" w:lineRule="auto"/>
              <w:jc w:val="center"/>
              <w:rPr>
                <w:rFonts w:ascii="仿宋" w:hAnsi="仿宋" w:eastAsia="仿宋" w:cs="仿宋"/>
                <w:kern w:val="0"/>
                <w:sz w:val="24"/>
              </w:rPr>
            </w:pPr>
            <w:r>
              <w:rPr>
                <w:rFonts w:ascii="仿宋" w:hAnsi="仿宋" w:eastAsia="仿宋" w:cs="仿宋"/>
                <w:kern w:val="0"/>
                <w:sz w:val="24"/>
              </w:rPr>
              <w:t>12</w:t>
            </w:r>
          </w:p>
        </w:tc>
        <w:tc>
          <w:tcPr>
            <w:tcW w:w="486" w:type="pct"/>
            <w:vAlign w:val="center"/>
          </w:tcPr>
          <w:p>
            <w:pPr>
              <w:snapToGrid w:val="0"/>
              <w:spacing w:line="276" w:lineRule="auto"/>
              <w:jc w:val="center"/>
              <w:rPr>
                <w:rFonts w:ascii="仿宋" w:hAnsi="仿宋" w:eastAsia="仿宋" w:cs="仿宋"/>
                <w:kern w:val="0"/>
                <w:sz w:val="24"/>
              </w:rPr>
            </w:pPr>
          </w:p>
        </w:tc>
        <w:tc>
          <w:tcPr>
            <w:tcW w:w="1003" w:type="pct"/>
            <w:vAlign w:val="center"/>
          </w:tcPr>
          <w:p>
            <w:pPr>
              <w:snapToGrid w:val="0"/>
              <w:spacing w:line="276"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9"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7</w:t>
            </w:r>
          </w:p>
        </w:tc>
        <w:tc>
          <w:tcPr>
            <w:tcW w:w="544" w:type="pct"/>
            <w:vMerge w:val="continue"/>
            <w:vAlign w:val="center"/>
          </w:tcPr>
          <w:p>
            <w:pPr>
              <w:snapToGrid w:val="0"/>
              <w:spacing w:line="276" w:lineRule="auto"/>
              <w:jc w:val="center"/>
              <w:rPr>
                <w:rFonts w:ascii="仿宋" w:hAnsi="仿宋" w:eastAsia="仿宋" w:cs="仿宋"/>
                <w:b/>
                <w:kern w:val="0"/>
                <w:sz w:val="24"/>
              </w:rPr>
            </w:pPr>
          </w:p>
        </w:tc>
        <w:tc>
          <w:tcPr>
            <w:tcW w:w="594"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专项服务(网闸）</w:t>
            </w:r>
          </w:p>
        </w:tc>
        <w:tc>
          <w:tcPr>
            <w:tcW w:w="417"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项</w:t>
            </w:r>
          </w:p>
        </w:tc>
        <w:tc>
          <w:tcPr>
            <w:tcW w:w="450"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1</w:t>
            </w:r>
          </w:p>
        </w:tc>
        <w:tc>
          <w:tcPr>
            <w:tcW w:w="623" w:type="pct"/>
            <w:vAlign w:val="center"/>
          </w:tcPr>
          <w:p>
            <w:pPr>
              <w:snapToGrid w:val="0"/>
              <w:spacing w:line="276" w:lineRule="auto"/>
              <w:jc w:val="center"/>
              <w:rPr>
                <w:rFonts w:ascii="仿宋" w:hAnsi="仿宋" w:eastAsia="仿宋" w:cs="仿宋"/>
                <w:kern w:val="0"/>
                <w:sz w:val="24"/>
              </w:rPr>
            </w:pPr>
          </w:p>
        </w:tc>
        <w:tc>
          <w:tcPr>
            <w:tcW w:w="510" w:type="pct"/>
            <w:vAlign w:val="center"/>
          </w:tcPr>
          <w:p>
            <w:pPr>
              <w:snapToGrid w:val="0"/>
              <w:spacing w:line="276" w:lineRule="auto"/>
              <w:jc w:val="center"/>
              <w:rPr>
                <w:rFonts w:ascii="仿宋" w:hAnsi="仿宋" w:eastAsia="仿宋" w:cs="仿宋"/>
                <w:kern w:val="0"/>
                <w:sz w:val="24"/>
              </w:rPr>
            </w:pPr>
            <w:r>
              <w:rPr>
                <w:rFonts w:ascii="仿宋" w:hAnsi="仿宋" w:eastAsia="仿宋" w:cs="仿宋"/>
                <w:kern w:val="0"/>
                <w:sz w:val="24"/>
              </w:rPr>
              <w:t>12</w:t>
            </w:r>
          </w:p>
        </w:tc>
        <w:tc>
          <w:tcPr>
            <w:tcW w:w="486" w:type="pct"/>
            <w:vAlign w:val="center"/>
          </w:tcPr>
          <w:p>
            <w:pPr>
              <w:snapToGrid w:val="0"/>
              <w:spacing w:line="276" w:lineRule="auto"/>
              <w:jc w:val="center"/>
              <w:rPr>
                <w:rFonts w:ascii="仿宋" w:hAnsi="仿宋" w:eastAsia="仿宋" w:cs="仿宋"/>
                <w:kern w:val="0"/>
                <w:sz w:val="24"/>
              </w:rPr>
            </w:pPr>
          </w:p>
        </w:tc>
        <w:tc>
          <w:tcPr>
            <w:tcW w:w="1003" w:type="pct"/>
            <w:vAlign w:val="center"/>
          </w:tcPr>
          <w:p>
            <w:pPr>
              <w:snapToGrid w:val="0"/>
              <w:spacing w:line="276"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9"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8</w:t>
            </w:r>
          </w:p>
        </w:tc>
        <w:tc>
          <w:tcPr>
            <w:tcW w:w="544" w:type="pct"/>
            <w:vMerge w:val="continue"/>
            <w:vAlign w:val="center"/>
          </w:tcPr>
          <w:p>
            <w:pPr>
              <w:snapToGrid w:val="0"/>
              <w:spacing w:line="276" w:lineRule="auto"/>
              <w:jc w:val="center"/>
              <w:rPr>
                <w:rFonts w:ascii="仿宋" w:hAnsi="仿宋" w:eastAsia="仿宋" w:cs="仿宋"/>
                <w:b/>
                <w:kern w:val="0"/>
                <w:sz w:val="24"/>
              </w:rPr>
            </w:pPr>
          </w:p>
        </w:tc>
        <w:tc>
          <w:tcPr>
            <w:tcW w:w="594"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专项服务(网络安全准入设备)</w:t>
            </w:r>
          </w:p>
        </w:tc>
        <w:tc>
          <w:tcPr>
            <w:tcW w:w="417"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项</w:t>
            </w:r>
          </w:p>
        </w:tc>
        <w:tc>
          <w:tcPr>
            <w:tcW w:w="450"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1</w:t>
            </w:r>
          </w:p>
        </w:tc>
        <w:tc>
          <w:tcPr>
            <w:tcW w:w="623" w:type="pct"/>
            <w:vAlign w:val="center"/>
          </w:tcPr>
          <w:p>
            <w:pPr>
              <w:snapToGrid w:val="0"/>
              <w:spacing w:line="276" w:lineRule="auto"/>
              <w:jc w:val="center"/>
              <w:rPr>
                <w:rFonts w:ascii="仿宋" w:hAnsi="仿宋" w:eastAsia="仿宋" w:cs="仿宋"/>
                <w:kern w:val="0"/>
                <w:sz w:val="24"/>
              </w:rPr>
            </w:pPr>
          </w:p>
        </w:tc>
        <w:tc>
          <w:tcPr>
            <w:tcW w:w="510" w:type="pct"/>
            <w:vAlign w:val="center"/>
          </w:tcPr>
          <w:p>
            <w:pPr>
              <w:snapToGrid w:val="0"/>
              <w:spacing w:line="276" w:lineRule="auto"/>
              <w:jc w:val="center"/>
              <w:rPr>
                <w:rFonts w:ascii="仿宋" w:hAnsi="仿宋" w:eastAsia="仿宋" w:cs="仿宋"/>
                <w:kern w:val="0"/>
                <w:sz w:val="24"/>
              </w:rPr>
            </w:pPr>
            <w:r>
              <w:rPr>
                <w:rFonts w:ascii="仿宋" w:hAnsi="仿宋" w:eastAsia="仿宋" w:cs="仿宋"/>
                <w:kern w:val="0"/>
                <w:sz w:val="24"/>
              </w:rPr>
              <w:t>12</w:t>
            </w:r>
          </w:p>
        </w:tc>
        <w:tc>
          <w:tcPr>
            <w:tcW w:w="486" w:type="pct"/>
            <w:vAlign w:val="center"/>
          </w:tcPr>
          <w:p>
            <w:pPr>
              <w:snapToGrid w:val="0"/>
              <w:spacing w:line="276" w:lineRule="auto"/>
              <w:jc w:val="center"/>
              <w:rPr>
                <w:rFonts w:ascii="仿宋" w:hAnsi="仿宋" w:eastAsia="仿宋" w:cs="仿宋"/>
                <w:kern w:val="0"/>
                <w:sz w:val="24"/>
              </w:rPr>
            </w:pPr>
          </w:p>
        </w:tc>
        <w:tc>
          <w:tcPr>
            <w:tcW w:w="1003" w:type="pct"/>
            <w:vAlign w:val="center"/>
          </w:tcPr>
          <w:p>
            <w:pPr>
              <w:snapToGrid w:val="0"/>
              <w:spacing w:line="276"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9"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9</w:t>
            </w:r>
          </w:p>
        </w:tc>
        <w:tc>
          <w:tcPr>
            <w:tcW w:w="544" w:type="pct"/>
            <w:vMerge w:val="continue"/>
            <w:vAlign w:val="center"/>
          </w:tcPr>
          <w:p>
            <w:pPr>
              <w:snapToGrid w:val="0"/>
              <w:spacing w:line="276" w:lineRule="auto"/>
              <w:jc w:val="center"/>
              <w:rPr>
                <w:rFonts w:ascii="仿宋" w:hAnsi="仿宋" w:eastAsia="仿宋" w:cs="仿宋"/>
                <w:b/>
                <w:kern w:val="0"/>
                <w:sz w:val="24"/>
              </w:rPr>
            </w:pPr>
          </w:p>
        </w:tc>
        <w:tc>
          <w:tcPr>
            <w:tcW w:w="594"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专项服务(存储设备)</w:t>
            </w:r>
          </w:p>
        </w:tc>
        <w:tc>
          <w:tcPr>
            <w:tcW w:w="417"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项</w:t>
            </w:r>
          </w:p>
        </w:tc>
        <w:tc>
          <w:tcPr>
            <w:tcW w:w="450"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1</w:t>
            </w:r>
          </w:p>
        </w:tc>
        <w:tc>
          <w:tcPr>
            <w:tcW w:w="623" w:type="pct"/>
            <w:vAlign w:val="center"/>
          </w:tcPr>
          <w:p>
            <w:pPr>
              <w:snapToGrid w:val="0"/>
              <w:spacing w:line="276" w:lineRule="auto"/>
              <w:jc w:val="center"/>
              <w:rPr>
                <w:rFonts w:ascii="仿宋" w:hAnsi="仿宋" w:eastAsia="仿宋" w:cs="仿宋"/>
                <w:kern w:val="0"/>
                <w:sz w:val="24"/>
              </w:rPr>
            </w:pPr>
          </w:p>
        </w:tc>
        <w:tc>
          <w:tcPr>
            <w:tcW w:w="510" w:type="pct"/>
            <w:vAlign w:val="center"/>
          </w:tcPr>
          <w:p>
            <w:pPr>
              <w:snapToGrid w:val="0"/>
              <w:spacing w:line="276" w:lineRule="auto"/>
              <w:jc w:val="center"/>
              <w:rPr>
                <w:rFonts w:ascii="仿宋" w:hAnsi="仿宋" w:eastAsia="仿宋" w:cs="仿宋"/>
                <w:kern w:val="0"/>
                <w:sz w:val="24"/>
              </w:rPr>
            </w:pPr>
            <w:r>
              <w:rPr>
                <w:rFonts w:ascii="仿宋" w:hAnsi="仿宋" w:eastAsia="仿宋" w:cs="仿宋"/>
                <w:kern w:val="0"/>
                <w:sz w:val="24"/>
              </w:rPr>
              <w:t>12</w:t>
            </w:r>
          </w:p>
        </w:tc>
        <w:tc>
          <w:tcPr>
            <w:tcW w:w="486" w:type="pct"/>
            <w:vAlign w:val="center"/>
          </w:tcPr>
          <w:p>
            <w:pPr>
              <w:snapToGrid w:val="0"/>
              <w:spacing w:line="276" w:lineRule="auto"/>
              <w:jc w:val="center"/>
              <w:rPr>
                <w:rFonts w:ascii="仿宋" w:hAnsi="仿宋" w:eastAsia="仿宋" w:cs="仿宋"/>
                <w:kern w:val="0"/>
                <w:sz w:val="24"/>
              </w:rPr>
            </w:pPr>
          </w:p>
        </w:tc>
        <w:tc>
          <w:tcPr>
            <w:tcW w:w="1003" w:type="pct"/>
            <w:vAlign w:val="center"/>
          </w:tcPr>
          <w:p>
            <w:pPr>
              <w:snapToGrid w:val="0"/>
              <w:spacing w:line="276"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369" w:type="pct"/>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10</w:t>
            </w:r>
          </w:p>
        </w:tc>
        <w:tc>
          <w:tcPr>
            <w:tcW w:w="1139" w:type="pct"/>
            <w:gridSpan w:val="2"/>
            <w:vAlign w:val="center"/>
          </w:tcPr>
          <w:p>
            <w:pPr>
              <w:snapToGrid w:val="0"/>
              <w:spacing w:line="276" w:lineRule="auto"/>
              <w:jc w:val="center"/>
              <w:rPr>
                <w:rFonts w:ascii="仿宋" w:hAnsi="仿宋" w:eastAsia="仿宋" w:cs="仿宋"/>
                <w:b/>
                <w:kern w:val="0"/>
                <w:sz w:val="24"/>
              </w:rPr>
            </w:pPr>
            <w:r>
              <w:rPr>
                <w:rFonts w:hint="eastAsia" w:ascii="仿宋" w:hAnsi="仿宋" w:eastAsia="仿宋" w:cs="仿宋"/>
                <w:b/>
                <w:kern w:val="0"/>
                <w:sz w:val="24"/>
              </w:rPr>
              <w:t xml:space="preserve">运维耗材费 </w:t>
            </w:r>
            <w:r>
              <w:rPr>
                <w:rFonts w:ascii="仿宋" w:hAnsi="仿宋" w:eastAsia="仿宋" w:cs="仿宋"/>
                <w:b/>
                <w:kern w:val="0"/>
                <w:sz w:val="24"/>
              </w:rPr>
              <w:t xml:space="preserve">    </w:t>
            </w:r>
          </w:p>
        </w:tc>
        <w:tc>
          <w:tcPr>
            <w:tcW w:w="417"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项</w:t>
            </w:r>
          </w:p>
        </w:tc>
        <w:tc>
          <w:tcPr>
            <w:tcW w:w="450"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1</w:t>
            </w:r>
          </w:p>
        </w:tc>
        <w:tc>
          <w:tcPr>
            <w:tcW w:w="623" w:type="pct"/>
            <w:vAlign w:val="center"/>
          </w:tcPr>
          <w:p>
            <w:pPr>
              <w:snapToGrid w:val="0"/>
              <w:spacing w:line="276" w:lineRule="auto"/>
              <w:jc w:val="center"/>
              <w:rPr>
                <w:rFonts w:ascii="仿宋" w:hAnsi="仿宋" w:eastAsia="仿宋" w:cs="仿宋"/>
                <w:kern w:val="0"/>
                <w:sz w:val="24"/>
              </w:rPr>
            </w:pPr>
          </w:p>
        </w:tc>
        <w:tc>
          <w:tcPr>
            <w:tcW w:w="510" w:type="pct"/>
            <w:vAlign w:val="center"/>
          </w:tcPr>
          <w:p>
            <w:pPr>
              <w:snapToGrid w:val="0"/>
              <w:spacing w:line="276" w:lineRule="auto"/>
              <w:jc w:val="center"/>
              <w:rPr>
                <w:rFonts w:ascii="仿宋" w:hAnsi="仿宋" w:eastAsia="仿宋" w:cs="仿宋"/>
                <w:kern w:val="0"/>
                <w:sz w:val="24"/>
              </w:rPr>
            </w:pPr>
            <w:r>
              <w:rPr>
                <w:rFonts w:hint="eastAsia" w:ascii="仿宋" w:hAnsi="仿宋" w:eastAsia="仿宋" w:cs="仿宋"/>
                <w:kern w:val="0"/>
                <w:sz w:val="24"/>
              </w:rPr>
              <w:t>/</w:t>
            </w:r>
          </w:p>
        </w:tc>
        <w:tc>
          <w:tcPr>
            <w:tcW w:w="486" w:type="pct"/>
            <w:vAlign w:val="center"/>
          </w:tcPr>
          <w:p>
            <w:pPr>
              <w:snapToGrid w:val="0"/>
              <w:spacing w:line="276" w:lineRule="auto"/>
              <w:jc w:val="center"/>
              <w:rPr>
                <w:rFonts w:ascii="仿宋" w:hAnsi="仿宋" w:eastAsia="仿宋" w:cs="仿宋"/>
                <w:kern w:val="0"/>
                <w:sz w:val="24"/>
              </w:rPr>
            </w:pPr>
          </w:p>
        </w:tc>
        <w:tc>
          <w:tcPr>
            <w:tcW w:w="1003" w:type="pct"/>
            <w:vAlign w:val="center"/>
          </w:tcPr>
          <w:p>
            <w:pPr>
              <w:snapToGrid w:val="0"/>
              <w:spacing w:before="120" w:beforeLines="50" w:line="360" w:lineRule="auto"/>
              <w:outlineLvl w:val="2"/>
              <w:rPr>
                <w:rFonts w:ascii="仿宋" w:hAnsi="仿宋" w:eastAsia="仿宋" w:cs="仿宋"/>
                <w:kern w:val="0"/>
                <w:sz w:val="24"/>
              </w:rPr>
            </w:pPr>
            <w:r>
              <w:rPr>
                <w:rFonts w:hint="eastAsia" w:ascii="仿宋" w:hAnsi="仿宋" w:eastAsia="仿宋"/>
                <w:b/>
                <w:bCs/>
                <w:sz w:val="24"/>
              </w:rPr>
              <w:t>采用包干方式，详见“</w:t>
            </w:r>
            <w:r>
              <w:rPr>
                <w:rFonts w:ascii="仿宋" w:hAnsi="仿宋" w:eastAsia="仿宋" w:cs="仿宋"/>
                <w:b/>
                <w:sz w:val="24"/>
              </w:rPr>
              <w:t>附件</w:t>
            </w:r>
            <w:r>
              <w:rPr>
                <w:rFonts w:hint="eastAsia" w:ascii="仿宋" w:hAnsi="仿宋" w:eastAsia="仿宋" w:cs="仿宋"/>
                <w:b/>
                <w:sz w:val="24"/>
              </w:rPr>
              <w:t>：运维耗材价格清单</w:t>
            </w:r>
            <w:r>
              <w:rPr>
                <w:rFonts w:hint="eastAsia" w:ascii="仿宋" w:hAnsi="仿宋" w:eastAsia="仿宋"/>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26" w:type="pct"/>
            <w:gridSpan w:val="4"/>
            <w:vAlign w:val="center"/>
          </w:tcPr>
          <w:p>
            <w:pPr>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投标报价（小写）人民币</w:t>
            </w:r>
          </w:p>
        </w:tc>
        <w:tc>
          <w:tcPr>
            <w:tcW w:w="3073" w:type="pct"/>
            <w:gridSpan w:val="5"/>
            <w:vAlign w:val="center"/>
          </w:tcPr>
          <w:p>
            <w:pPr>
              <w:snapToGrid w:val="0"/>
              <w:spacing w:line="276"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26" w:type="pct"/>
            <w:gridSpan w:val="4"/>
            <w:vAlign w:val="center"/>
          </w:tcPr>
          <w:p>
            <w:pPr>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投标报价（大写）人民币</w:t>
            </w:r>
          </w:p>
        </w:tc>
        <w:tc>
          <w:tcPr>
            <w:tcW w:w="3073" w:type="pct"/>
            <w:gridSpan w:val="5"/>
            <w:vAlign w:val="center"/>
          </w:tcPr>
          <w:p>
            <w:pPr>
              <w:snapToGrid w:val="0"/>
              <w:spacing w:line="276" w:lineRule="auto"/>
              <w:jc w:val="center"/>
              <w:rPr>
                <w:rFonts w:ascii="仿宋" w:hAnsi="仿宋" w:eastAsia="仿宋" w:cs="仿宋"/>
                <w:kern w:val="0"/>
                <w:sz w:val="24"/>
              </w:rPr>
            </w:pPr>
          </w:p>
        </w:tc>
      </w:tr>
    </w:tbl>
    <w:p>
      <w:pPr>
        <w:snapToGrid w:val="0"/>
        <w:spacing w:line="360" w:lineRule="auto"/>
        <w:ind w:left="480"/>
        <w:rPr>
          <w:rFonts w:ascii="仿宋" w:hAnsi="仿宋" w:eastAsia="仿宋" w:cs="仿宋"/>
          <w:b/>
          <w:kern w:val="0"/>
          <w:sz w:val="24"/>
          <w:lang w:val="zh-CN"/>
        </w:rPr>
      </w:pP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before="120" w:beforeLines="50" w:line="360" w:lineRule="auto"/>
        <w:ind w:firstLine="484" w:firstLineChars="201"/>
        <w:outlineLvl w:val="2"/>
        <w:rPr>
          <w:rFonts w:ascii="仿宋" w:hAnsi="仿宋" w:eastAsia="仿宋" w:cs="仿宋"/>
          <w:b/>
          <w:sz w:val="24"/>
        </w:rPr>
      </w:pPr>
      <w:r>
        <w:rPr>
          <w:rFonts w:hint="eastAsia" w:ascii="仿宋" w:hAnsi="仿宋" w:eastAsia="仿宋" w:cs="仿宋"/>
          <w:b/>
          <w:kern w:val="0"/>
          <w:sz w:val="24"/>
        </w:rPr>
        <w:t>附件：</w:t>
      </w:r>
      <w:r>
        <w:rPr>
          <w:rFonts w:hint="eastAsia" w:ascii="仿宋" w:hAnsi="仿宋" w:eastAsia="仿宋" w:cs="仿宋"/>
          <w:b/>
          <w:sz w:val="24"/>
        </w:rPr>
        <w:t>运维耗材价格清单</w:t>
      </w:r>
    </w:p>
    <w:tbl>
      <w:tblPr>
        <w:tblStyle w:val="62"/>
        <w:tblW w:w="5000" w:type="pct"/>
        <w:jc w:val="center"/>
        <w:tblLayout w:type="autofit"/>
        <w:tblCellMar>
          <w:top w:w="0" w:type="dxa"/>
          <w:left w:w="108" w:type="dxa"/>
          <w:bottom w:w="0" w:type="dxa"/>
          <w:right w:w="108" w:type="dxa"/>
        </w:tblCellMar>
      </w:tblPr>
      <w:tblGrid>
        <w:gridCol w:w="1130"/>
        <w:gridCol w:w="2589"/>
        <w:gridCol w:w="1997"/>
        <w:gridCol w:w="2546"/>
        <w:gridCol w:w="1741"/>
        <w:gridCol w:w="1744"/>
        <w:gridCol w:w="1328"/>
        <w:gridCol w:w="1456"/>
      </w:tblGrid>
      <w:tr>
        <w:tblPrEx>
          <w:tblCellMar>
            <w:top w:w="0" w:type="dxa"/>
            <w:left w:w="108" w:type="dxa"/>
            <w:bottom w:w="0" w:type="dxa"/>
            <w:right w:w="108" w:type="dxa"/>
          </w:tblCellMar>
        </w:tblPrEx>
        <w:trPr>
          <w:trHeight w:val="280" w:hRule="atLeast"/>
          <w:jc w:val="center"/>
        </w:trPr>
        <w:tc>
          <w:tcPr>
            <w:tcW w:w="38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序号</w:t>
            </w:r>
          </w:p>
        </w:tc>
        <w:tc>
          <w:tcPr>
            <w:tcW w:w="891"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耗材名称</w:t>
            </w:r>
          </w:p>
        </w:tc>
        <w:tc>
          <w:tcPr>
            <w:tcW w:w="687"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品牌型号</w:t>
            </w:r>
          </w:p>
        </w:tc>
        <w:tc>
          <w:tcPr>
            <w:tcW w:w="87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规格参数</w:t>
            </w:r>
          </w:p>
        </w:tc>
        <w:tc>
          <w:tcPr>
            <w:tcW w:w="599"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数量</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单位</w:t>
            </w:r>
          </w:p>
        </w:tc>
        <w:tc>
          <w:tcPr>
            <w:tcW w:w="457"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单价</w:t>
            </w:r>
            <w:r>
              <w:rPr>
                <w:rFonts w:hint="eastAsia" w:ascii="仿宋" w:hAnsi="仿宋" w:eastAsia="仿宋" w:cs="仿宋"/>
                <w:b/>
                <w:bCs/>
                <w:sz w:val="24"/>
              </w:rPr>
              <w:t>（元）</w:t>
            </w:r>
          </w:p>
        </w:tc>
        <w:tc>
          <w:tcPr>
            <w:tcW w:w="501" w:type="pct"/>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合价</w:t>
            </w:r>
            <w:r>
              <w:rPr>
                <w:rFonts w:hint="eastAsia" w:ascii="仿宋" w:hAnsi="仿宋" w:eastAsia="仿宋" w:cs="仿宋"/>
                <w:b/>
                <w:bCs/>
                <w:sz w:val="24"/>
              </w:rPr>
              <w:t>（元）</w:t>
            </w:r>
          </w:p>
        </w:tc>
      </w:tr>
      <w:tr>
        <w:tblPrEx>
          <w:tblCellMar>
            <w:top w:w="0" w:type="dxa"/>
            <w:left w:w="108" w:type="dxa"/>
            <w:bottom w:w="0" w:type="dxa"/>
            <w:right w:w="108" w:type="dxa"/>
          </w:tblCellMar>
        </w:tblPrEx>
        <w:trPr>
          <w:trHeight w:val="259"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内存</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硬盘1</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399"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硬盘2</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6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65"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4</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硬盘3</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12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5</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硬盘4</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451"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6</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硬盘5</w:t>
            </w:r>
          </w:p>
        </w:tc>
        <w:tc>
          <w:tcPr>
            <w:tcW w:w="687" w:type="pct"/>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66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7</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硬盘6</w:t>
            </w:r>
          </w:p>
        </w:tc>
        <w:tc>
          <w:tcPr>
            <w:tcW w:w="687" w:type="pct"/>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块</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573"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8</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光纤跳线1</w:t>
            </w:r>
          </w:p>
        </w:tc>
        <w:tc>
          <w:tcPr>
            <w:tcW w:w="687" w:type="pct"/>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10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64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9</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光纤跳线2</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571"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10</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光纤跳线3</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231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69"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11</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光纤跳线4</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12</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光纤跳线5</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51"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13</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成品网线1</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86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14</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成品网线2</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根</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15</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光模块1</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14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个</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16</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光模块2</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6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个</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17</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sz w:val="24"/>
              </w:rPr>
              <w:t>光收发器</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个</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280" w:hRule="atLeast"/>
          <w:jc w:val="center"/>
        </w:trPr>
        <w:tc>
          <w:tcPr>
            <w:tcW w:w="389" w:type="pct"/>
            <w:tcBorders>
              <w:top w:val="nil"/>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18</w:t>
            </w:r>
          </w:p>
        </w:tc>
        <w:tc>
          <w:tcPr>
            <w:tcW w:w="1655" w:type="dxa"/>
            <w:tcBorders>
              <w:top w:val="nil"/>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存储电源</w:t>
            </w:r>
          </w:p>
        </w:tc>
        <w:tc>
          <w:tcPr>
            <w:tcW w:w="687" w:type="pc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876" w:type="pct"/>
            <w:tcBorders>
              <w:top w:val="nil"/>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1112"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 xml:space="preserve">4 </w:t>
            </w:r>
          </w:p>
        </w:tc>
        <w:tc>
          <w:tcPr>
            <w:tcW w:w="1114" w:type="dxa"/>
            <w:tcBorders>
              <w:top w:val="nil"/>
              <w:left w:val="nil"/>
              <w:bottom w:val="single" w:color="auto" w:sz="4" w:space="0"/>
              <w:right w:val="single" w:color="auto" w:sz="4" w:space="0"/>
            </w:tcBorders>
            <w:noWrap/>
            <w:vAlign w:val="center"/>
          </w:tcPr>
          <w:p>
            <w:pPr>
              <w:jc w:val="center"/>
              <w:rPr>
                <w:rFonts w:ascii="仿宋" w:hAnsi="仿宋" w:eastAsia="仿宋" w:cs="宋体"/>
                <w:kern w:val="0"/>
                <w:sz w:val="24"/>
              </w:rPr>
            </w:pPr>
            <w:r>
              <w:rPr>
                <w:rFonts w:hint="eastAsia" w:ascii="仿宋" w:hAnsi="仿宋" w:eastAsia="仿宋"/>
                <w:sz w:val="24"/>
              </w:rPr>
              <w:t>个</w:t>
            </w:r>
          </w:p>
        </w:tc>
        <w:tc>
          <w:tcPr>
            <w:tcW w:w="457"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501" w:type="pc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678" w:hRule="atLeast"/>
          <w:jc w:val="center"/>
        </w:trPr>
        <w:tc>
          <w:tcPr>
            <w:tcW w:w="1967" w:type="pct"/>
            <w:gridSpan w:val="3"/>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仿宋"/>
                <w:b/>
                <w:kern w:val="0"/>
                <w:sz w:val="24"/>
              </w:rPr>
              <w:t>总价（小写）人民币</w:t>
            </w:r>
          </w:p>
        </w:tc>
        <w:tc>
          <w:tcPr>
            <w:tcW w:w="3033" w:type="pct"/>
            <w:gridSpan w:val="5"/>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689" w:hRule="atLeast"/>
          <w:jc w:val="center"/>
        </w:trPr>
        <w:tc>
          <w:tcPr>
            <w:tcW w:w="1967" w:type="pct"/>
            <w:gridSpan w:val="3"/>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仿宋"/>
                <w:b/>
                <w:kern w:val="0"/>
                <w:sz w:val="24"/>
              </w:rPr>
              <w:t>总价（大写）人民币</w:t>
            </w:r>
          </w:p>
        </w:tc>
        <w:tc>
          <w:tcPr>
            <w:tcW w:w="3033" w:type="pct"/>
            <w:gridSpan w:val="5"/>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r>
    </w:tbl>
    <w:p>
      <w:pPr>
        <w:autoSpaceDE w:val="0"/>
        <w:autoSpaceDN w:val="0"/>
        <w:spacing w:line="360" w:lineRule="auto"/>
        <w:ind w:firstLine="422" w:firstLineChars="200"/>
        <w:rPr>
          <w:rFonts w:ascii="仿宋" w:hAnsi="仿宋" w:eastAsia="仿宋"/>
          <w:b/>
          <w:bCs/>
          <w:szCs w:val="21"/>
        </w:rPr>
      </w:pPr>
      <w:r>
        <w:rPr>
          <w:rFonts w:hint="eastAsia" w:ascii="仿宋" w:hAnsi="仿宋" w:eastAsia="仿宋"/>
          <w:b/>
          <w:bCs/>
          <w:szCs w:val="21"/>
          <w:lang w:val="zh-CN"/>
        </w:rPr>
        <w:t>注：</w:t>
      </w:r>
      <w:r>
        <w:rPr>
          <w:rFonts w:hint="eastAsia" w:ascii="仿宋" w:hAnsi="仿宋" w:eastAsia="仿宋"/>
          <w:b/>
          <w:bCs/>
          <w:szCs w:val="21"/>
        </w:rPr>
        <w:t>运维耗材采用包干方式，在服务期内投标人需提供设备运维所需的所有耗材；上述运维耗材清单仅为预估，实际工作中，若运维耗材超出上述预估的，投标人应予以提供，且采购人不再另行增加成本，可能产生的全部费用包含在投标报价内。</w:t>
      </w: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二、报价情况说明（如果有）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（如供应商报价低于项目预算50%的，应当提交本文档，详细阐述不影响产品质量或者诚信履约的具体原因。）</w:t>
      </w: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12" w:name="OLE_LINK13"/>
      <w:bookmarkStart w:id="413" w:name="OLE_LINK14"/>
      <w:r>
        <w:rPr>
          <w:rFonts w:hint="eastAsia" w:ascii="仿宋" w:hAnsi="仿宋" w:eastAsia="仿宋" w:cs="仿宋"/>
          <w:b/>
          <w:spacing w:val="6"/>
          <w:sz w:val="32"/>
          <w:szCs w:val="32"/>
        </w:rPr>
        <w:t>残疾人福利性单位声明函</w:t>
      </w:r>
    </w:p>
    <w:bookmarkEnd w:id="412"/>
    <w:bookmarkEnd w:id="413"/>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交通设施维护项目-智能交通运行维护-机房一</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 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杭州市公安局交通警察支队、</w:t>
      </w:r>
      <w:r>
        <w:rPr>
          <w:rFonts w:hint="eastAsia" w:ascii="仿宋" w:hAnsi="仿宋" w:eastAsia="仿宋" w:cs="仿宋"/>
          <w:sz w:val="24"/>
          <w:u w:val="single"/>
          <w:lang w:eastAsia="zh-CN"/>
        </w:rPr>
        <w:t>浙江信达咨询监理有限公司</w:t>
      </w:r>
      <w:r>
        <w:rPr>
          <w:rFonts w:hint="eastAsia" w:ascii="仿宋" w:hAnsi="仿宋" w:eastAsia="仿宋" w:cs="仿宋"/>
          <w:sz w:val="24"/>
          <w:u w:val="single"/>
        </w:rPr>
        <w:t>：</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你方组织的交通设施维护项目-智能交通运行维护-机房一【招标编号：HZSGAJ-2024-12（代)】</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交通设施维护项目-智能交通运行维护-机房一【招标编号：HZSGAJ-2024-12（代)】</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414" w:name="_Hlk101131882"/>
      <w:r>
        <w:rPr>
          <w:rFonts w:hint="eastAsia" w:ascii="仿宋" w:hAnsi="仿宋" w:eastAsia="仿宋" w:cs="仿宋"/>
          <w:kern w:val="0"/>
          <w:sz w:val="24"/>
          <w:u w:val="single"/>
        </w:rPr>
        <w:t>联合体成员X,……</w:t>
      </w:r>
      <w:bookmarkEnd w:id="414"/>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415"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415"/>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416" w:name="_Hlk101133173"/>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416"/>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widowControl/>
        <w:adjustRightInd/>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spacing w:val="6"/>
          <w:sz w:val="32"/>
          <w:szCs w:val="32"/>
        </w:rPr>
      </w:pPr>
      <w:r>
        <w:rPr>
          <w:rFonts w:hint="eastAsia" w:ascii="仿宋" w:hAnsi="仿宋" w:eastAsia="仿宋" w:cs="仿宋"/>
          <w:b/>
          <w:spacing w:val="6"/>
          <w:sz w:val="32"/>
          <w:szCs w:val="32"/>
        </w:rPr>
        <w:t>附件6：分包意向协议</w:t>
      </w:r>
    </w:p>
    <w:p>
      <w:pPr>
        <w:widowControl/>
        <w:spacing w:line="360" w:lineRule="auto"/>
        <w:ind w:firstLine="120" w:firstLineChars="50"/>
        <w:jc w:val="left"/>
        <w:rPr>
          <w:rFonts w:ascii="仿宋" w:hAnsi="仿宋" w:eastAsia="仿宋" w:cs="仿宋"/>
          <w:sz w:val="24"/>
        </w:rPr>
      </w:pP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交通设施维护项目-智能交通运行维护-机房一【招标编号：HZSGAJ-2024-12（代)】</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rPr>
          <w:rFonts w:ascii="仿宋" w:hAnsi="仿宋" w:eastAsia="仿宋" w:cs="仿宋"/>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r>
        <w:rPr>
          <w:rFonts w:hint="eastAsia" w:ascii="仿宋" w:hAnsi="仿宋" w:eastAsia="仿宋" w:cs="仿宋"/>
          <w:b/>
          <w:spacing w:val="6"/>
          <w:sz w:val="32"/>
          <w:szCs w:val="32"/>
        </w:rPr>
        <w:t>附件7：中小企业声明函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杭州市公安局交通警察支队</w:t>
      </w:r>
      <w:r>
        <w:rPr>
          <w:rFonts w:hint="eastAsia" w:ascii="仿宋" w:hAnsi="仿宋" w:eastAsia="仿宋" w:cs="仿宋"/>
          <w:sz w:val="24"/>
        </w:rPr>
        <w:t>的</w:t>
      </w:r>
      <w:r>
        <w:rPr>
          <w:rFonts w:hint="eastAsia" w:ascii="仿宋" w:hAnsi="仿宋" w:eastAsia="仿宋" w:cs="仿宋"/>
          <w:sz w:val="24"/>
          <w:u w:val="single"/>
        </w:rPr>
        <w:t>交通设施维护项目-智能交通运行维护-机房一</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仿宋" w:eastAsia="仿宋" w:cs="仿宋"/>
          <w:lang w:val="en-US"/>
        </w:rPr>
      </w:pP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417" w:name="_Toc164085800"/>
    <w:bookmarkStart w:id="418" w:name="_Toc131845147"/>
    <w:bookmarkStart w:id="419" w:name="_Toc36110187"/>
    <w:bookmarkStart w:id="420" w:name="_Toc91899912"/>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58F5C"/>
    <w:multiLevelType w:val="singleLevel"/>
    <w:tmpl w:val="77B58F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zM4YzVlMTBkMWM4MjU2NTNhZGI3ZDI4OGVjMTQifQ=="/>
  </w:docVars>
  <w:rsids>
    <w:rsidRoot w:val="00172A27"/>
    <w:rsid w:val="00000451"/>
    <w:rsid w:val="00000F53"/>
    <w:rsid w:val="0000108B"/>
    <w:rsid w:val="0000133D"/>
    <w:rsid w:val="00001509"/>
    <w:rsid w:val="00001E3F"/>
    <w:rsid w:val="00002B6C"/>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E78"/>
    <w:rsid w:val="0006640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316"/>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56"/>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8C1"/>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2EE"/>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4FB"/>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3C1"/>
    <w:rsid w:val="003577EF"/>
    <w:rsid w:val="00357A60"/>
    <w:rsid w:val="00360304"/>
    <w:rsid w:val="00360A78"/>
    <w:rsid w:val="00361750"/>
    <w:rsid w:val="00363894"/>
    <w:rsid w:val="00363B2A"/>
    <w:rsid w:val="00363BF1"/>
    <w:rsid w:val="00365DD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9D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0DF2"/>
    <w:rsid w:val="003F1AA2"/>
    <w:rsid w:val="003F26DC"/>
    <w:rsid w:val="003F3BD0"/>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F5E"/>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B04"/>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07D"/>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2E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3C0"/>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0D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694"/>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0A1"/>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4C8"/>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025"/>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4D5"/>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ED8"/>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15"/>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6FA0"/>
    <w:rsid w:val="0068790B"/>
    <w:rsid w:val="00687AF2"/>
    <w:rsid w:val="006901AC"/>
    <w:rsid w:val="00690C8D"/>
    <w:rsid w:val="00691890"/>
    <w:rsid w:val="00691AAD"/>
    <w:rsid w:val="00692416"/>
    <w:rsid w:val="00692AFF"/>
    <w:rsid w:val="00692D2D"/>
    <w:rsid w:val="006935A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78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EBF"/>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C35"/>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4D5F"/>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CF8"/>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1B"/>
    <w:rsid w:val="00757029"/>
    <w:rsid w:val="007571FD"/>
    <w:rsid w:val="0075723D"/>
    <w:rsid w:val="007602D4"/>
    <w:rsid w:val="00760B79"/>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134"/>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C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1FAE"/>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D58"/>
    <w:rsid w:val="00886112"/>
    <w:rsid w:val="008872B3"/>
    <w:rsid w:val="00887392"/>
    <w:rsid w:val="00887A8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254"/>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D6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981"/>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896"/>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6F03"/>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3ED"/>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F1"/>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38F"/>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215"/>
    <w:rsid w:val="00BC3BCB"/>
    <w:rsid w:val="00BC3CF1"/>
    <w:rsid w:val="00BC40EF"/>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1"/>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964"/>
    <w:rsid w:val="00C24C2E"/>
    <w:rsid w:val="00C24C7A"/>
    <w:rsid w:val="00C24FFB"/>
    <w:rsid w:val="00C25CFF"/>
    <w:rsid w:val="00C25EA6"/>
    <w:rsid w:val="00C26164"/>
    <w:rsid w:val="00C261C1"/>
    <w:rsid w:val="00C26574"/>
    <w:rsid w:val="00C266A3"/>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4C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10"/>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CE"/>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6D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8A5"/>
    <w:rsid w:val="00D92A87"/>
    <w:rsid w:val="00D9384E"/>
    <w:rsid w:val="00D93AEE"/>
    <w:rsid w:val="00D9413E"/>
    <w:rsid w:val="00D9456E"/>
    <w:rsid w:val="00D94C8D"/>
    <w:rsid w:val="00D95F88"/>
    <w:rsid w:val="00D96698"/>
    <w:rsid w:val="00D96876"/>
    <w:rsid w:val="00D96940"/>
    <w:rsid w:val="00D96B12"/>
    <w:rsid w:val="00D96F59"/>
    <w:rsid w:val="00D9726C"/>
    <w:rsid w:val="00DA0175"/>
    <w:rsid w:val="00DA099C"/>
    <w:rsid w:val="00DA0F18"/>
    <w:rsid w:val="00DA1A57"/>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2F04"/>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7EE"/>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DAE"/>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7EE"/>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745"/>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21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65"/>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17CA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6D3"/>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591"/>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55"/>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F74"/>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5603"/>
    <w:rsid w:val="011F6449"/>
    <w:rsid w:val="01236AFB"/>
    <w:rsid w:val="01303B82"/>
    <w:rsid w:val="019F7441"/>
    <w:rsid w:val="01B37585"/>
    <w:rsid w:val="01D55165"/>
    <w:rsid w:val="01DF6BF8"/>
    <w:rsid w:val="01EC2C57"/>
    <w:rsid w:val="025F0711"/>
    <w:rsid w:val="026A583C"/>
    <w:rsid w:val="026B2E25"/>
    <w:rsid w:val="02757AE3"/>
    <w:rsid w:val="02824D4D"/>
    <w:rsid w:val="02DC4B10"/>
    <w:rsid w:val="02DD76CE"/>
    <w:rsid w:val="02F36323"/>
    <w:rsid w:val="02F5619C"/>
    <w:rsid w:val="0326446A"/>
    <w:rsid w:val="032D5555"/>
    <w:rsid w:val="036634D2"/>
    <w:rsid w:val="03C37A47"/>
    <w:rsid w:val="03DD35E4"/>
    <w:rsid w:val="04076900"/>
    <w:rsid w:val="041A5A3B"/>
    <w:rsid w:val="041B684A"/>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47A2A"/>
    <w:rsid w:val="06930BB8"/>
    <w:rsid w:val="07245D42"/>
    <w:rsid w:val="07264C62"/>
    <w:rsid w:val="0779354C"/>
    <w:rsid w:val="07E9376A"/>
    <w:rsid w:val="07F36916"/>
    <w:rsid w:val="08061376"/>
    <w:rsid w:val="08452D77"/>
    <w:rsid w:val="086401F8"/>
    <w:rsid w:val="08751CAA"/>
    <w:rsid w:val="087E4C40"/>
    <w:rsid w:val="08A763B7"/>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F25C2"/>
    <w:rsid w:val="09E04166"/>
    <w:rsid w:val="0A1C0718"/>
    <w:rsid w:val="0A3E7710"/>
    <w:rsid w:val="0A435CD0"/>
    <w:rsid w:val="0A5B7E63"/>
    <w:rsid w:val="0A887B3C"/>
    <w:rsid w:val="0AA374A5"/>
    <w:rsid w:val="0AAB7649"/>
    <w:rsid w:val="0ABC5606"/>
    <w:rsid w:val="0AE76655"/>
    <w:rsid w:val="0B181B9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74EA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4068F"/>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97976"/>
    <w:rsid w:val="146D271E"/>
    <w:rsid w:val="14982588"/>
    <w:rsid w:val="149A5AD9"/>
    <w:rsid w:val="14A7619D"/>
    <w:rsid w:val="150536C3"/>
    <w:rsid w:val="150C1963"/>
    <w:rsid w:val="151447A0"/>
    <w:rsid w:val="15411442"/>
    <w:rsid w:val="154A6454"/>
    <w:rsid w:val="15762120"/>
    <w:rsid w:val="16A8729C"/>
    <w:rsid w:val="16B33777"/>
    <w:rsid w:val="16BC70A7"/>
    <w:rsid w:val="16C6339E"/>
    <w:rsid w:val="16DD17B5"/>
    <w:rsid w:val="172F2D79"/>
    <w:rsid w:val="17435EBC"/>
    <w:rsid w:val="174B2AC6"/>
    <w:rsid w:val="17557BEF"/>
    <w:rsid w:val="175E1D9C"/>
    <w:rsid w:val="17D349C1"/>
    <w:rsid w:val="1830729E"/>
    <w:rsid w:val="1870062C"/>
    <w:rsid w:val="18817102"/>
    <w:rsid w:val="18830A15"/>
    <w:rsid w:val="18852B28"/>
    <w:rsid w:val="188B5321"/>
    <w:rsid w:val="1911083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1E6EE4"/>
    <w:rsid w:val="1C88086E"/>
    <w:rsid w:val="1D266CE1"/>
    <w:rsid w:val="1D3963AF"/>
    <w:rsid w:val="1D6A673C"/>
    <w:rsid w:val="1D9247AE"/>
    <w:rsid w:val="1DB567EC"/>
    <w:rsid w:val="1DF51A98"/>
    <w:rsid w:val="1DF83E91"/>
    <w:rsid w:val="1E0972B0"/>
    <w:rsid w:val="1E310E35"/>
    <w:rsid w:val="1E3D060F"/>
    <w:rsid w:val="1E3F7D2E"/>
    <w:rsid w:val="1E4134E4"/>
    <w:rsid w:val="1E5062B3"/>
    <w:rsid w:val="1E523514"/>
    <w:rsid w:val="1E714A66"/>
    <w:rsid w:val="1E802593"/>
    <w:rsid w:val="1E8B6156"/>
    <w:rsid w:val="1EA703CC"/>
    <w:rsid w:val="1EB7330C"/>
    <w:rsid w:val="1F0A0FF3"/>
    <w:rsid w:val="1F560A50"/>
    <w:rsid w:val="1F5771FF"/>
    <w:rsid w:val="1F76156B"/>
    <w:rsid w:val="1FD52DD5"/>
    <w:rsid w:val="1FE868A9"/>
    <w:rsid w:val="20034907"/>
    <w:rsid w:val="20173E4B"/>
    <w:rsid w:val="204E48BC"/>
    <w:rsid w:val="205307CD"/>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980CAE"/>
    <w:rsid w:val="25A917A6"/>
    <w:rsid w:val="25BE27CC"/>
    <w:rsid w:val="25F74A5C"/>
    <w:rsid w:val="2628662C"/>
    <w:rsid w:val="262D45DE"/>
    <w:rsid w:val="26871DC8"/>
    <w:rsid w:val="26A53EF9"/>
    <w:rsid w:val="26A94201"/>
    <w:rsid w:val="26AC274F"/>
    <w:rsid w:val="26BE7513"/>
    <w:rsid w:val="26F0266A"/>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B5393"/>
    <w:rsid w:val="29345E77"/>
    <w:rsid w:val="29485069"/>
    <w:rsid w:val="294C65AD"/>
    <w:rsid w:val="29806583"/>
    <w:rsid w:val="298B3C4C"/>
    <w:rsid w:val="29BB42B4"/>
    <w:rsid w:val="29D54DB9"/>
    <w:rsid w:val="29F26D24"/>
    <w:rsid w:val="2A15033F"/>
    <w:rsid w:val="2A1662C1"/>
    <w:rsid w:val="2A1C7367"/>
    <w:rsid w:val="2A2815FA"/>
    <w:rsid w:val="2A6D6092"/>
    <w:rsid w:val="2A7D76B4"/>
    <w:rsid w:val="2B437463"/>
    <w:rsid w:val="2B7807EE"/>
    <w:rsid w:val="2B823AF3"/>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9A0F71"/>
    <w:rsid w:val="2FD25781"/>
    <w:rsid w:val="2FDC745C"/>
    <w:rsid w:val="2FFD7934"/>
    <w:rsid w:val="304E4A3D"/>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DC224D"/>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0056E0"/>
    <w:rsid w:val="38296C89"/>
    <w:rsid w:val="383002EB"/>
    <w:rsid w:val="38586797"/>
    <w:rsid w:val="38BC0149"/>
    <w:rsid w:val="38D87D1C"/>
    <w:rsid w:val="391E455B"/>
    <w:rsid w:val="39314774"/>
    <w:rsid w:val="39636459"/>
    <w:rsid w:val="396B7F6C"/>
    <w:rsid w:val="39B417A9"/>
    <w:rsid w:val="39B8639A"/>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55164"/>
    <w:rsid w:val="3D8734BB"/>
    <w:rsid w:val="3D9A11D4"/>
    <w:rsid w:val="3DA16D89"/>
    <w:rsid w:val="3DA364BE"/>
    <w:rsid w:val="3DE041CB"/>
    <w:rsid w:val="3E065C45"/>
    <w:rsid w:val="3E0D48F6"/>
    <w:rsid w:val="3E1868B4"/>
    <w:rsid w:val="3E377251"/>
    <w:rsid w:val="3E42664B"/>
    <w:rsid w:val="3E5A7334"/>
    <w:rsid w:val="3E7347AA"/>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228F2"/>
    <w:rsid w:val="40543C97"/>
    <w:rsid w:val="40592157"/>
    <w:rsid w:val="406E1CAE"/>
    <w:rsid w:val="40A0133A"/>
    <w:rsid w:val="40C31A53"/>
    <w:rsid w:val="40DA7341"/>
    <w:rsid w:val="40FF545D"/>
    <w:rsid w:val="410067C8"/>
    <w:rsid w:val="41073B5F"/>
    <w:rsid w:val="418F0D2A"/>
    <w:rsid w:val="41D01505"/>
    <w:rsid w:val="41F4465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E1448"/>
    <w:rsid w:val="46C4686E"/>
    <w:rsid w:val="477B778F"/>
    <w:rsid w:val="478203EC"/>
    <w:rsid w:val="47B025FA"/>
    <w:rsid w:val="47CA1D7C"/>
    <w:rsid w:val="47FA2BA3"/>
    <w:rsid w:val="4809698F"/>
    <w:rsid w:val="4811697D"/>
    <w:rsid w:val="487A3E25"/>
    <w:rsid w:val="487E4A9D"/>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2E355A"/>
    <w:rsid w:val="4D312C52"/>
    <w:rsid w:val="4D4D7016"/>
    <w:rsid w:val="4D905305"/>
    <w:rsid w:val="4D964A72"/>
    <w:rsid w:val="4D9C1254"/>
    <w:rsid w:val="4DA84DDE"/>
    <w:rsid w:val="4E793892"/>
    <w:rsid w:val="4E800872"/>
    <w:rsid w:val="4E8F5C19"/>
    <w:rsid w:val="4EC569ED"/>
    <w:rsid w:val="4ED50EA1"/>
    <w:rsid w:val="4EEC050C"/>
    <w:rsid w:val="4F104EC3"/>
    <w:rsid w:val="4F47354A"/>
    <w:rsid w:val="4F911C54"/>
    <w:rsid w:val="4FE625E0"/>
    <w:rsid w:val="500D6CC3"/>
    <w:rsid w:val="5021480F"/>
    <w:rsid w:val="50962ECB"/>
    <w:rsid w:val="50A42E38"/>
    <w:rsid w:val="50A4577F"/>
    <w:rsid w:val="50B01FE6"/>
    <w:rsid w:val="50B73D1F"/>
    <w:rsid w:val="50BD5BC9"/>
    <w:rsid w:val="50C11EEE"/>
    <w:rsid w:val="50E97CFC"/>
    <w:rsid w:val="50FA4028"/>
    <w:rsid w:val="5105541E"/>
    <w:rsid w:val="510D65B7"/>
    <w:rsid w:val="511157AB"/>
    <w:rsid w:val="5142540C"/>
    <w:rsid w:val="518832C8"/>
    <w:rsid w:val="519D3C50"/>
    <w:rsid w:val="519F3AE7"/>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42F95"/>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5F5307"/>
    <w:rsid w:val="57610A87"/>
    <w:rsid w:val="577B1140"/>
    <w:rsid w:val="577B7F21"/>
    <w:rsid w:val="577F181B"/>
    <w:rsid w:val="57921984"/>
    <w:rsid w:val="579737F0"/>
    <w:rsid w:val="57AB7B30"/>
    <w:rsid w:val="57AF5251"/>
    <w:rsid w:val="57B26373"/>
    <w:rsid w:val="57B63F04"/>
    <w:rsid w:val="57C37281"/>
    <w:rsid w:val="57CD20C2"/>
    <w:rsid w:val="57D675AB"/>
    <w:rsid w:val="57D95FDD"/>
    <w:rsid w:val="58124045"/>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212C"/>
    <w:rsid w:val="5AA85BE2"/>
    <w:rsid w:val="5AAD6F28"/>
    <w:rsid w:val="5AD63A24"/>
    <w:rsid w:val="5AEC69EC"/>
    <w:rsid w:val="5B2E1A1D"/>
    <w:rsid w:val="5B843A1C"/>
    <w:rsid w:val="5B873E3F"/>
    <w:rsid w:val="5C02690E"/>
    <w:rsid w:val="5C196DA7"/>
    <w:rsid w:val="5C2A048C"/>
    <w:rsid w:val="5C3308B3"/>
    <w:rsid w:val="5C347D69"/>
    <w:rsid w:val="5C80234E"/>
    <w:rsid w:val="5C8A680C"/>
    <w:rsid w:val="5CCB3B7A"/>
    <w:rsid w:val="5D0C4701"/>
    <w:rsid w:val="5D0F0395"/>
    <w:rsid w:val="5D221076"/>
    <w:rsid w:val="5D397964"/>
    <w:rsid w:val="5D5A391C"/>
    <w:rsid w:val="5D5F10C0"/>
    <w:rsid w:val="5D891B7B"/>
    <w:rsid w:val="5DAD38EE"/>
    <w:rsid w:val="5E006862"/>
    <w:rsid w:val="5E0207B9"/>
    <w:rsid w:val="5E1825A8"/>
    <w:rsid w:val="5E1834A1"/>
    <w:rsid w:val="5E261785"/>
    <w:rsid w:val="5E3075BC"/>
    <w:rsid w:val="5E4A7017"/>
    <w:rsid w:val="5E523AC7"/>
    <w:rsid w:val="5E552BBA"/>
    <w:rsid w:val="5E611C10"/>
    <w:rsid w:val="5E7A0F3F"/>
    <w:rsid w:val="5E972130"/>
    <w:rsid w:val="5EFC7377"/>
    <w:rsid w:val="5EFE5BC3"/>
    <w:rsid w:val="5F06174D"/>
    <w:rsid w:val="5F3A3602"/>
    <w:rsid w:val="5F45733B"/>
    <w:rsid w:val="5F6277C6"/>
    <w:rsid w:val="5F6D0B1D"/>
    <w:rsid w:val="5F8D0B82"/>
    <w:rsid w:val="5FCC5339"/>
    <w:rsid w:val="5FE34A5B"/>
    <w:rsid w:val="5FFE1E36"/>
    <w:rsid w:val="60232584"/>
    <w:rsid w:val="607330CE"/>
    <w:rsid w:val="60825176"/>
    <w:rsid w:val="608B7CE6"/>
    <w:rsid w:val="609F2AC4"/>
    <w:rsid w:val="60AA2335"/>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12FB4"/>
    <w:rsid w:val="64C158BF"/>
    <w:rsid w:val="64CE2EAA"/>
    <w:rsid w:val="652A2F3A"/>
    <w:rsid w:val="653C3090"/>
    <w:rsid w:val="65854376"/>
    <w:rsid w:val="658767BE"/>
    <w:rsid w:val="65892531"/>
    <w:rsid w:val="66195831"/>
    <w:rsid w:val="662E75B1"/>
    <w:rsid w:val="66342C2E"/>
    <w:rsid w:val="663E784C"/>
    <w:rsid w:val="666E22B6"/>
    <w:rsid w:val="668B6A45"/>
    <w:rsid w:val="66BC437B"/>
    <w:rsid w:val="67011F07"/>
    <w:rsid w:val="672F3F24"/>
    <w:rsid w:val="673E055F"/>
    <w:rsid w:val="67551CE3"/>
    <w:rsid w:val="679B1CFF"/>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864960"/>
    <w:rsid w:val="6ADE0BD1"/>
    <w:rsid w:val="6AE96859"/>
    <w:rsid w:val="6B147746"/>
    <w:rsid w:val="6B24787C"/>
    <w:rsid w:val="6B500E56"/>
    <w:rsid w:val="6B573233"/>
    <w:rsid w:val="6B591ABD"/>
    <w:rsid w:val="6B5B6274"/>
    <w:rsid w:val="6B935D53"/>
    <w:rsid w:val="6BF87F3C"/>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86046"/>
    <w:rsid w:val="6F2A7D94"/>
    <w:rsid w:val="6F6C4B35"/>
    <w:rsid w:val="6F8331F1"/>
    <w:rsid w:val="6FAE1A09"/>
    <w:rsid w:val="6FD75BF8"/>
    <w:rsid w:val="6FF55FD4"/>
    <w:rsid w:val="704C4790"/>
    <w:rsid w:val="707723D0"/>
    <w:rsid w:val="70F5661B"/>
    <w:rsid w:val="71335E40"/>
    <w:rsid w:val="71360107"/>
    <w:rsid w:val="713B688E"/>
    <w:rsid w:val="71D43752"/>
    <w:rsid w:val="71F1796A"/>
    <w:rsid w:val="72154626"/>
    <w:rsid w:val="72262B5D"/>
    <w:rsid w:val="72283FF7"/>
    <w:rsid w:val="722E7212"/>
    <w:rsid w:val="723A0474"/>
    <w:rsid w:val="725923E4"/>
    <w:rsid w:val="72864BF7"/>
    <w:rsid w:val="729023FC"/>
    <w:rsid w:val="72B154E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F1278"/>
    <w:rsid w:val="776026B5"/>
    <w:rsid w:val="777F31F2"/>
    <w:rsid w:val="77D1700D"/>
    <w:rsid w:val="77EC04CC"/>
    <w:rsid w:val="78775729"/>
    <w:rsid w:val="789142C3"/>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3F7E6B"/>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21200"/>
    <w:rsid w:val="7C853BEA"/>
    <w:rsid w:val="7C881368"/>
    <w:rsid w:val="7CE27788"/>
    <w:rsid w:val="7D0C32F1"/>
    <w:rsid w:val="7D0F408D"/>
    <w:rsid w:val="7D491C6C"/>
    <w:rsid w:val="7D5429C0"/>
    <w:rsid w:val="7D6E6D43"/>
    <w:rsid w:val="7D7C4B24"/>
    <w:rsid w:val="7DB57A34"/>
    <w:rsid w:val="7DD54940"/>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9"/>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文本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99"/>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样式 行距: 1.5 倍行距 首行缩进:  2 字符"/>
    <w:basedOn w:val="1"/>
    <w:autoRedefine/>
    <w:qFormat/>
    <w:uiPriority w:val="0"/>
    <w:pPr>
      <w:adjustRightInd/>
      <w:spacing w:line="360" w:lineRule="auto"/>
      <w:ind w:firstLine="420" w:firstLineChars="200"/>
    </w:pPr>
    <w:rPr>
      <w:rFonts w:eastAsia="仿宋" w:cs="宋体"/>
      <w:sz w:val="28"/>
      <w:szCs w:val="20"/>
    </w:rPr>
  </w:style>
  <w:style w:type="paragraph" w:customStyle="1" w:styleId="963">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12740</Words>
  <Characters>72623</Characters>
  <Lines>605</Lines>
  <Paragraphs>170</Paragraphs>
  <TotalTime>3</TotalTime>
  <ScaleCrop>false</ScaleCrop>
  <LinksUpToDate>false</LinksUpToDate>
  <CharactersWithSpaces>85193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七彩沙漠</cp:lastModifiedBy>
  <cp:lastPrinted>2021-12-27T03:06:00Z</cp:lastPrinted>
  <dcterms:modified xsi:type="dcterms:W3CDTF">2024-05-14T09:40:20Z</dcterms:modified>
  <dc:title>杭州市市民卡扩大发卡工程</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65E63E0C6DA942CF830CFF90B0B76F39_13</vt:lpwstr>
  </property>
</Properties>
</file>