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4500"/>
        </w:tabs>
        <w:snapToGrid w:val="0"/>
        <w:spacing w:line="360" w:lineRule="auto"/>
        <w:jc w:val="center"/>
        <w:textAlignment w:val="bottom"/>
        <w:rPr>
          <w:rFonts w:ascii="仿宋" w:hAnsi="仿宋" w:eastAsia="仿宋" w:cs="仿宋"/>
          <w:b/>
          <w:bCs/>
          <w:spacing w:val="6"/>
          <w:sz w:val="44"/>
          <w:szCs w:val="44"/>
        </w:rPr>
      </w:pPr>
      <w:r>
        <w:rPr>
          <w:rFonts w:hint="eastAsia" w:ascii="仿宋" w:hAnsi="仿宋" w:eastAsia="仿宋" w:cs="仿宋"/>
          <w:b/>
          <w:bCs/>
          <w:spacing w:val="6"/>
          <w:sz w:val="44"/>
          <w:szCs w:val="44"/>
        </w:rPr>
        <w:t>杭州市公安局交通警察支队</w:t>
      </w:r>
    </w:p>
    <w:p>
      <w:pPr>
        <w:shd w:val="clear" w:color="auto" w:fill="FFFFFF"/>
        <w:tabs>
          <w:tab w:val="left" w:pos="4500"/>
        </w:tabs>
        <w:snapToGrid w:val="0"/>
        <w:spacing w:line="360" w:lineRule="auto"/>
        <w:jc w:val="center"/>
        <w:textAlignment w:val="bottom"/>
        <w:rPr>
          <w:rFonts w:ascii="仿宋" w:hAnsi="仿宋" w:eastAsia="仿宋" w:cs="仿宋"/>
          <w:b/>
          <w:sz w:val="44"/>
          <w:szCs w:val="44"/>
        </w:rPr>
      </w:pPr>
      <w:r>
        <w:rPr>
          <w:rFonts w:hint="eastAsia" w:ascii="仿宋" w:hAnsi="仿宋" w:eastAsia="仿宋" w:cs="仿宋"/>
          <w:b/>
          <w:sz w:val="44"/>
          <w:szCs w:val="44"/>
        </w:rPr>
        <w:t>2022年杭州交警业务系统使用服务（2022年杭州公安交警机动车违法鸣笛抓拍系统使用项目）</w:t>
      </w:r>
    </w:p>
    <w:p>
      <w:pPr>
        <w:shd w:val="clear" w:color="auto" w:fill="FFFFFF"/>
        <w:tabs>
          <w:tab w:val="left" w:pos="4500"/>
        </w:tabs>
        <w:snapToGrid w:val="0"/>
        <w:spacing w:line="360" w:lineRule="auto"/>
        <w:jc w:val="center"/>
        <w:textAlignment w:val="bottom"/>
        <w:rPr>
          <w:rFonts w:ascii="仿宋" w:hAnsi="仿宋" w:eastAsia="仿宋" w:cs="仿宋"/>
          <w:b/>
          <w:bCs/>
          <w:sz w:val="52"/>
          <w:szCs w:val="52"/>
        </w:rPr>
      </w:pPr>
    </w:p>
    <w:p>
      <w:pPr>
        <w:shd w:val="clear" w:color="auto" w:fill="FFFFFF"/>
        <w:tabs>
          <w:tab w:val="left" w:pos="4500"/>
        </w:tabs>
        <w:snapToGrid w:val="0"/>
        <w:spacing w:line="360" w:lineRule="auto"/>
        <w:jc w:val="center"/>
        <w:textAlignment w:val="bottom"/>
        <w:rPr>
          <w:rFonts w:ascii="仿宋" w:hAnsi="仿宋" w:eastAsia="仿宋" w:cs="仿宋"/>
          <w:b/>
          <w:bCs/>
          <w:sz w:val="72"/>
          <w:szCs w:val="72"/>
        </w:rPr>
      </w:pPr>
      <w:r>
        <w:rPr>
          <w:rFonts w:hint="eastAsia" w:ascii="仿宋" w:hAnsi="仿宋" w:eastAsia="仿宋" w:cs="仿宋"/>
          <w:b/>
          <w:bCs/>
          <w:sz w:val="72"/>
          <w:szCs w:val="72"/>
        </w:rPr>
        <w:t>招标文件</w:t>
      </w:r>
    </w:p>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（电子招投标）</w:t>
      </w:r>
    </w:p>
    <w:p>
      <w:pPr>
        <w:spacing w:line="360" w:lineRule="auto"/>
        <w:jc w:val="center"/>
        <w:rPr>
          <w:rFonts w:ascii="仿宋" w:hAnsi="仿宋" w:eastAsia="仿宋" w:cs="仿宋"/>
          <w:b/>
          <w:sz w:val="36"/>
        </w:rPr>
      </w:pPr>
    </w:p>
    <w:p>
      <w:pPr>
        <w:widowControl/>
        <w:snapToGrid w:val="0"/>
        <w:spacing w:line="360" w:lineRule="auto"/>
        <w:jc w:val="center"/>
        <w:rPr>
          <w:rFonts w:ascii="仿宋" w:hAnsi="仿宋" w:eastAsia="仿宋" w:cs="仿宋"/>
        </w:rPr>
      </w:pPr>
    </w:p>
    <w:p>
      <w:pPr>
        <w:shd w:val="clear" w:color="auto" w:fill="FFFFFF"/>
        <w:snapToGrid w:val="0"/>
        <w:spacing w:line="360" w:lineRule="auto"/>
        <w:rPr>
          <w:rFonts w:ascii="仿宋" w:hAnsi="仿宋" w:eastAsia="仿宋" w:cs="仿宋"/>
          <w:b/>
          <w:sz w:val="36"/>
        </w:rPr>
      </w:pPr>
    </w:p>
    <w:p>
      <w:pPr>
        <w:shd w:val="clear" w:color="auto" w:fill="FFFFFF"/>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招标编号：</w:t>
      </w:r>
      <w:r>
        <w:rPr>
          <w:rFonts w:ascii="仿宋" w:hAnsi="仿宋" w:eastAsia="仿宋" w:cs="仿宋"/>
          <w:b/>
          <w:bCs/>
          <w:sz w:val="32"/>
          <w:szCs w:val="32"/>
        </w:rPr>
        <w:t>HZSGAJ-2022-33（代)</w:t>
      </w:r>
    </w:p>
    <w:p>
      <w:pPr>
        <w:shd w:val="clear" w:color="auto" w:fill="FFFFFF"/>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采购方式：公开招标</w:t>
      </w:r>
    </w:p>
    <w:p>
      <w:pPr>
        <w:shd w:val="clear" w:color="auto" w:fill="FFFFFF"/>
        <w:snapToGrid w:val="0"/>
        <w:spacing w:line="360" w:lineRule="auto"/>
        <w:textAlignment w:val="bottom"/>
        <w:rPr>
          <w:rFonts w:ascii="仿宋" w:hAnsi="仿宋" w:eastAsia="仿宋" w:cs="仿宋"/>
          <w:b/>
          <w:bCs/>
          <w:sz w:val="48"/>
          <w:szCs w:val="48"/>
        </w:rPr>
      </w:pPr>
      <w:r>
        <w:rPr>
          <w:rFonts w:ascii="仿宋" w:hAnsi="仿宋" w:eastAsia="仿宋" w:cs="仿宋"/>
          <w:sz w:val="48"/>
          <w:szCs w:val="48"/>
        </w:rPr>
        <w:pict>
          <v:line id="_x0000_s2050" o:spid="_x0000_s2050" o:spt="20" style="position:absolute;left:0pt;margin-left:330pt;margin-top:5.75pt;height:0pt;width:0.05pt;mso-wrap-distance-bottom:0pt;mso-wrap-distance-left:9pt;mso-wrap-distance-right:9pt;mso-wrap-distance-top:0pt;z-index:251660288;mso-width-relative:page;mso-height-relative:page;" coordsize="21600,21600" o:allowincell="f" o:gfxdata="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Jkwv1AAAAAkBAAAP&#10;AAAAAAAAAAEAIAAAACIAAABkcnMvZG93bnJldi54bWxQSwECFAAUAAAACACHTuJAIC6b0eMBAADX&#10;AwAADgAAAAAAAAABACAAAAAjAQAAZHJzL2Uyb0RvYy54bWxQSwUGAAAAAAYABgBZAQAAeAUAAAAA&#10;">
            <v:path arrowok="t"/>
            <v:fill focussize="0,0"/>
            <v:stroke/>
            <v:imagedata o:title=""/>
            <o:lock v:ext="edit"/>
            <w10:wrap type="square"/>
          </v:line>
        </w:pict>
      </w:r>
    </w:p>
    <w:p>
      <w:pPr>
        <w:shd w:val="clear" w:color="auto" w:fill="FFFFFF"/>
        <w:snapToGrid w:val="0"/>
        <w:spacing w:line="360" w:lineRule="auto"/>
        <w:jc w:val="center"/>
        <w:textAlignment w:val="bottom"/>
        <w:rPr>
          <w:rFonts w:ascii="仿宋" w:hAnsi="仿宋" w:eastAsia="仿宋" w:cs="仿宋"/>
          <w:b/>
          <w:bCs/>
          <w:sz w:val="30"/>
          <w:szCs w:val="30"/>
        </w:rPr>
      </w:pPr>
    </w:p>
    <w:p>
      <w:pPr>
        <w:shd w:val="clear" w:color="auto" w:fill="FFFFFF"/>
        <w:snapToGrid w:val="0"/>
        <w:spacing w:line="360" w:lineRule="auto"/>
        <w:jc w:val="center"/>
        <w:textAlignment w:val="bottom"/>
        <w:rPr>
          <w:rFonts w:ascii="仿宋" w:hAnsi="仿宋" w:eastAsia="仿宋" w:cs="仿宋"/>
          <w:b/>
          <w:bCs/>
          <w:sz w:val="30"/>
          <w:szCs w:val="30"/>
        </w:rPr>
      </w:pPr>
    </w:p>
    <w:p>
      <w:pPr>
        <w:shd w:val="clear" w:color="auto" w:fill="FFFFFF"/>
        <w:snapToGrid w:val="0"/>
        <w:spacing w:line="360" w:lineRule="auto"/>
        <w:ind w:firstLine="426"/>
        <w:textAlignment w:val="bottom"/>
        <w:rPr>
          <w:rFonts w:ascii="仿宋" w:hAnsi="仿宋" w:eastAsia="仿宋" w:cs="仿宋"/>
          <w:b/>
          <w:bCs/>
          <w:sz w:val="30"/>
          <w:szCs w:val="30"/>
        </w:rPr>
      </w:pPr>
      <w:r>
        <w:rPr>
          <w:rFonts w:hint="eastAsia" w:ascii="仿宋" w:hAnsi="仿宋" w:eastAsia="仿宋" w:cs="仿宋"/>
          <w:b/>
          <w:bCs/>
          <w:sz w:val="30"/>
          <w:szCs w:val="30"/>
        </w:rPr>
        <w:t xml:space="preserve">        采   购   人：杭州市公安局交通警察支队</w:t>
      </w:r>
    </w:p>
    <w:p>
      <w:pPr>
        <w:shd w:val="clear" w:color="auto" w:fill="FFFFFF"/>
        <w:snapToGrid w:val="0"/>
        <w:spacing w:line="360" w:lineRule="auto"/>
        <w:ind w:firstLine="426"/>
        <w:textAlignment w:val="bottom"/>
        <w:rPr>
          <w:rFonts w:ascii="仿宋" w:hAnsi="仿宋" w:eastAsia="仿宋" w:cs="仿宋"/>
          <w:b/>
          <w:bCs/>
          <w:sz w:val="30"/>
          <w:szCs w:val="30"/>
        </w:rPr>
      </w:pPr>
      <w:r>
        <w:rPr>
          <w:rFonts w:hint="eastAsia" w:ascii="仿宋" w:hAnsi="仿宋" w:eastAsia="仿宋" w:cs="仿宋"/>
          <w:b/>
          <w:bCs/>
          <w:sz w:val="30"/>
          <w:szCs w:val="30"/>
        </w:rPr>
        <w:t xml:space="preserve">   采购代理机构：杭州信达投资咨询估价监理有限公司</w:t>
      </w:r>
    </w:p>
    <w:p>
      <w:pPr>
        <w:shd w:val="clear" w:color="auto" w:fill="FFFFFF"/>
        <w:snapToGrid w:val="0"/>
        <w:spacing w:line="360" w:lineRule="auto"/>
        <w:ind w:firstLine="426"/>
        <w:textAlignment w:val="bottom"/>
        <w:rPr>
          <w:rFonts w:ascii="仿宋" w:hAnsi="仿宋" w:eastAsia="仿宋" w:cs="仿宋"/>
          <w:b/>
          <w:bCs/>
          <w:sz w:val="30"/>
          <w:szCs w:val="30"/>
        </w:rPr>
      </w:pPr>
      <w:r>
        <w:rPr>
          <w:rFonts w:hint="eastAsia" w:ascii="仿宋" w:hAnsi="仿宋" w:eastAsia="仿宋" w:cs="仿宋"/>
          <w:b/>
          <w:bCs/>
          <w:sz w:val="30"/>
          <w:szCs w:val="30"/>
        </w:rPr>
        <w:t xml:space="preserve">        日        期：2022年</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 xml:space="preserve">月 </w:t>
      </w:r>
    </w:p>
    <w:p>
      <w:pPr>
        <w:pStyle w:val="65"/>
        <w:tabs>
          <w:tab w:val="right" w:leader="dot" w:pos="8958"/>
        </w:tabs>
        <w:snapToGrid w:val="0"/>
        <w:spacing w:line="360" w:lineRule="auto"/>
        <w:rPr>
          <w:rFonts w:ascii="仿宋" w:hAnsi="仿宋" w:eastAsia="仿宋" w:cs="宋体"/>
          <w:bCs/>
          <w:sz w:val="24"/>
          <w:szCs w:val="24"/>
        </w:rPr>
      </w:pPr>
    </w:p>
    <w:p>
      <w:pPr>
        <w:rPr>
          <w:rFonts w:ascii="仿宋" w:hAnsi="仿宋" w:eastAsia="仿宋"/>
        </w:rPr>
      </w:pPr>
    </w:p>
    <w:p>
      <w:pPr>
        <w:pStyle w:val="31"/>
        <w:rPr>
          <w:rFonts w:ascii="仿宋" w:hAnsi="仿宋" w:eastAsia="仿宋"/>
        </w:rPr>
      </w:pPr>
    </w:p>
    <w:p>
      <w:pPr>
        <w:pStyle w:val="31"/>
        <w:rPr>
          <w:rFonts w:ascii="仿宋" w:hAnsi="仿宋" w:eastAsia="仿宋"/>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  录</w:t>
      </w:r>
    </w:p>
    <w:p>
      <w:pPr>
        <w:spacing w:line="360" w:lineRule="auto"/>
        <w:ind w:firstLine="1280" w:firstLineChars="400"/>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第二部分      </w:t>
      </w:r>
      <w:r>
        <w:rPr>
          <w:rFonts w:hint="eastAsia" w:ascii="仿宋" w:hAnsi="仿宋" w:eastAsia="仿宋" w:cs="仿宋_GB2312"/>
          <w:sz w:val="32"/>
          <w:szCs w:val="32"/>
        </w:rPr>
        <w:t>投标人</w:t>
      </w:r>
      <w:r>
        <w:rPr>
          <w:rFonts w:hint="eastAsia" w:ascii="仿宋" w:hAnsi="仿宋" w:eastAsia="仿宋" w:cs="仿宋"/>
          <w:sz w:val="32"/>
          <w:szCs w:val="32"/>
        </w:rPr>
        <w:t>须知</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_GB2312"/>
          <w:sz w:val="32"/>
          <w:szCs w:val="32"/>
        </w:rPr>
        <w:t>采购需求</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48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pStyle w:val="31"/>
        <w:rPr>
          <w:rFonts w:ascii="仿宋" w:hAnsi="仿宋" w:eastAsia="仿宋"/>
        </w:rPr>
      </w:pPr>
    </w:p>
    <w:p>
      <w:pPr>
        <w:rPr>
          <w:rFonts w:ascii="仿宋" w:hAnsi="仿宋" w:eastAsia="仿宋"/>
        </w:rPr>
      </w:pPr>
    </w:p>
    <w:p>
      <w:pPr>
        <w:rPr>
          <w:rFonts w:ascii="仿宋" w:hAnsi="仿宋" w:eastAsia="仿宋"/>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tabs>
          <w:tab w:val="right" w:leader="dot" w:pos="8296"/>
        </w:tabs>
        <w:snapToGrid w:val="0"/>
        <w:spacing w:line="360" w:lineRule="auto"/>
        <w:jc w:val="center"/>
        <w:rPr>
          <w:rFonts w:ascii="仿宋" w:hAnsi="仿宋" w:eastAsia="仿宋" w:cs="宋体"/>
          <w:sz w:val="24"/>
        </w:rPr>
      </w:pPr>
    </w:p>
    <w:p>
      <w:pPr>
        <w:shd w:val="clear" w:color="auto" w:fill="FFFFFF"/>
        <w:snapToGrid w:val="0"/>
        <w:spacing w:line="360" w:lineRule="auto"/>
        <w:jc w:val="center"/>
        <w:outlineLvl w:val="0"/>
        <w:rPr>
          <w:rFonts w:ascii="仿宋" w:hAnsi="仿宋" w:eastAsia="仿宋" w:cs="仿宋"/>
          <w:b/>
          <w:bCs/>
          <w:sz w:val="24"/>
        </w:rPr>
      </w:pPr>
      <w:r>
        <w:rPr>
          <w:rFonts w:hint="eastAsia" w:ascii="仿宋" w:hAnsi="仿宋" w:eastAsia="仿宋" w:cs="仿宋"/>
          <w:b/>
          <w:bCs/>
          <w:sz w:val="24"/>
        </w:rPr>
        <w:t>第一部分 2022年杭州交警业务系统使用服务（2022年杭州公安交警机动车违法鸣笛抓拍系统使用项目）公开招标公告</w:t>
      </w:r>
    </w:p>
    <w:p>
      <w:pPr>
        <w:pBdr>
          <w:top w:val="single" w:color="auto" w:sz="4" w:space="1"/>
          <w:left w:val="single" w:color="auto" w:sz="4" w:space="4"/>
          <w:bottom w:val="single" w:color="auto" w:sz="4" w:space="1"/>
          <w:right w:val="single" w:color="auto" w:sz="4" w:space="4"/>
        </w:pBdr>
        <w:snapToGrid w:val="0"/>
        <w:spacing w:line="360" w:lineRule="auto"/>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
          <w:sz w:val="24"/>
          <w:u w:val="single"/>
        </w:rPr>
        <w:t>2022年杭州交警业务系统使用服务（2022年杭州公安交警机动车违法鸣笛抓拍系统使用项目）</w:t>
      </w:r>
      <w:r>
        <w:rPr>
          <w:rFonts w:hint="eastAsia" w:ascii="仿宋" w:hAnsi="仿宋" w:eastAsia="仿宋"/>
          <w:sz w:val="24"/>
        </w:rPr>
        <w:t>的潜在投标人应在政采云平台（</w:t>
      </w:r>
      <w:r>
        <w:fldChar w:fldCharType="begin"/>
      </w:r>
      <w:r>
        <w:instrText xml:space="preserve"> HYPERLINK "https://www.zcygov.cn/）获取（下载）招标文件，并于2021年" </w:instrText>
      </w:r>
      <w:r>
        <w:fldChar w:fldCharType="separate"/>
      </w:r>
      <w:r>
        <w:rPr>
          <w:rStyle w:val="84"/>
          <w:rFonts w:hint="eastAsia" w:ascii="仿宋" w:hAnsi="仿宋" w:eastAsia="仿宋"/>
          <w:color w:val="auto"/>
          <w:sz w:val="24"/>
        </w:rPr>
        <w:t>https://www.zcygov.cn/）获取（下载</w:t>
      </w:r>
      <w:bookmarkStart w:id="0" w:name="_Hlt81821820"/>
      <w:bookmarkStart w:id="1" w:name="_Hlt81821819"/>
      <w:r>
        <w:rPr>
          <w:rStyle w:val="84"/>
          <w:rFonts w:hint="eastAsia" w:ascii="仿宋" w:hAnsi="仿宋" w:eastAsia="仿宋"/>
          <w:color w:val="auto"/>
          <w:sz w:val="24"/>
        </w:rPr>
        <w:t>）</w:t>
      </w:r>
      <w:bookmarkEnd w:id="0"/>
      <w:bookmarkEnd w:id="1"/>
      <w:r>
        <w:rPr>
          <w:rStyle w:val="84"/>
          <w:rFonts w:hint="eastAsia" w:ascii="仿宋" w:hAnsi="仿宋" w:eastAsia="仿宋"/>
          <w:color w:val="auto"/>
          <w:sz w:val="24"/>
        </w:rPr>
        <w:t>招标文件，</w:t>
      </w:r>
      <w:bookmarkStart w:id="2" w:name="_Hlt93998306"/>
      <w:bookmarkStart w:id="3" w:name="_Hlt93998307"/>
      <w:r>
        <w:rPr>
          <w:rStyle w:val="84"/>
          <w:rFonts w:hint="eastAsia" w:ascii="仿宋" w:hAnsi="仿宋" w:eastAsia="仿宋"/>
          <w:color w:val="auto"/>
          <w:sz w:val="24"/>
        </w:rPr>
        <w:t>并</w:t>
      </w:r>
      <w:bookmarkEnd w:id="2"/>
      <w:bookmarkEnd w:id="3"/>
      <w:r>
        <w:rPr>
          <w:rStyle w:val="84"/>
          <w:rFonts w:hint="eastAsia" w:ascii="仿宋" w:hAnsi="仿宋" w:eastAsia="仿宋"/>
          <w:color w:val="auto"/>
          <w:sz w:val="24"/>
        </w:rPr>
        <w:t>于2022年</w:t>
      </w:r>
      <w:r>
        <w:rPr>
          <w:rStyle w:val="84"/>
          <w:rFonts w:hint="eastAsia" w:ascii="仿宋" w:hAnsi="仿宋" w:eastAsia="仿宋"/>
          <w:color w:val="auto"/>
          <w:sz w:val="24"/>
        </w:rPr>
        <w:fldChar w:fldCharType="end"/>
      </w:r>
      <w:r>
        <w:rPr>
          <w:rFonts w:hint="eastAsia" w:ascii="仿宋" w:hAnsi="仿宋" w:eastAsia="仿宋"/>
          <w:sz w:val="24"/>
          <w:u w:val="single"/>
          <w:lang w:val="en-US" w:eastAsia="zh-CN"/>
        </w:rPr>
        <w:t>9</w:t>
      </w:r>
      <w:r>
        <w:rPr>
          <w:rFonts w:hint="eastAsia" w:ascii="仿宋" w:hAnsi="仿宋" w:eastAsia="仿宋"/>
          <w:sz w:val="24"/>
          <w:u w:val="single"/>
        </w:rPr>
        <w:t>月</w:t>
      </w:r>
      <w:r>
        <w:rPr>
          <w:rFonts w:hint="eastAsia" w:ascii="仿宋" w:hAnsi="仿宋" w:eastAsia="仿宋"/>
          <w:sz w:val="24"/>
          <w:u w:val="single"/>
          <w:lang w:val="en-US" w:eastAsia="zh-CN"/>
        </w:rPr>
        <w:t>28</w:t>
      </w:r>
      <w:r>
        <w:rPr>
          <w:rFonts w:hint="eastAsia" w:ascii="仿宋" w:hAnsi="仿宋" w:eastAsia="仿宋"/>
          <w:sz w:val="24"/>
          <w:u w:val="single"/>
        </w:rPr>
        <w:t>日</w:t>
      </w:r>
      <w:r>
        <w:rPr>
          <w:rFonts w:ascii="仿宋" w:hAnsi="仿宋" w:eastAsia="仿宋"/>
          <w:sz w:val="24"/>
          <w:u w:val="single"/>
        </w:rPr>
        <w:t>14</w:t>
      </w:r>
      <w:r>
        <w:rPr>
          <w:rFonts w:hint="eastAsia" w:ascii="仿宋" w:hAnsi="仿宋" w:eastAsia="仿宋"/>
          <w:sz w:val="24"/>
          <w:u w:val="single"/>
        </w:rPr>
        <w:t>点3</w:t>
      </w:r>
      <w:r>
        <w:rPr>
          <w:rFonts w:ascii="仿宋" w:hAnsi="仿宋" w:eastAsia="仿宋"/>
          <w:sz w:val="24"/>
          <w:u w:val="single"/>
        </w:rPr>
        <w:t>0</w:t>
      </w:r>
      <w:r>
        <w:rPr>
          <w:rFonts w:hint="eastAsia" w:ascii="仿宋" w:hAnsi="仿宋" w:eastAsia="仿宋"/>
          <w:sz w:val="24"/>
          <w:u w:val="single"/>
        </w:rPr>
        <w:t>分00秒</w:t>
      </w:r>
      <w:r>
        <w:rPr>
          <w:rFonts w:hint="eastAsia" w:ascii="仿宋" w:hAnsi="仿宋" w:eastAsia="仿宋"/>
          <w:bCs/>
          <w:sz w:val="24"/>
        </w:rPr>
        <w:t>（北京时间）前</w:t>
      </w:r>
      <w:r>
        <w:rPr>
          <w:rFonts w:hint="eastAsia" w:ascii="仿宋" w:hAnsi="仿宋" w:eastAsia="仿宋"/>
          <w:sz w:val="24"/>
        </w:rPr>
        <w:t>递交（上传）投标文件。</w:t>
      </w:r>
    </w:p>
    <w:p>
      <w:pPr>
        <w:pStyle w:val="494"/>
        <w:ind w:firstLine="0" w:firstLineChars="0"/>
        <w:rPr>
          <w:rFonts w:ascii="仿宋" w:hAnsi="仿宋" w:eastAsia="仿宋" w:cs="仿宋"/>
          <w:b/>
          <w:szCs w:val="24"/>
        </w:rPr>
      </w:pPr>
      <w:r>
        <w:rPr>
          <w:rFonts w:hint="eastAsia" w:ascii="仿宋" w:hAnsi="仿宋" w:eastAsia="仿宋" w:cs="仿宋"/>
          <w:b/>
          <w:bCs/>
          <w:szCs w:val="24"/>
        </w:rPr>
        <w:t>一、项目基本情况</w:t>
      </w:r>
    </w:p>
    <w:p>
      <w:pPr>
        <w:pStyle w:val="494"/>
        <w:ind w:firstLine="0" w:firstLineChars="0"/>
        <w:rPr>
          <w:rFonts w:ascii="仿宋" w:hAnsi="仿宋" w:eastAsia="仿宋" w:cs="仿宋"/>
          <w:szCs w:val="24"/>
        </w:rPr>
      </w:pPr>
      <w:r>
        <w:rPr>
          <w:rFonts w:hint="eastAsia" w:ascii="仿宋" w:hAnsi="仿宋" w:eastAsia="仿宋" w:cs="仿宋"/>
          <w:b/>
          <w:szCs w:val="24"/>
        </w:rPr>
        <w:t>项目编号：</w:t>
      </w:r>
      <w:r>
        <w:rPr>
          <w:rFonts w:hint="eastAsia" w:ascii="仿宋" w:hAnsi="仿宋" w:eastAsia="仿宋" w:cs="仿宋"/>
          <w:szCs w:val="24"/>
        </w:rPr>
        <w:t>HZSGAJ-2022-33（代)</w:t>
      </w:r>
    </w:p>
    <w:p>
      <w:pPr>
        <w:pStyle w:val="494"/>
        <w:ind w:firstLine="0" w:firstLineChars="0"/>
        <w:rPr>
          <w:rFonts w:ascii="仿宋" w:hAnsi="仿宋" w:eastAsia="仿宋" w:cs="仿宋"/>
          <w:szCs w:val="24"/>
        </w:rPr>
      </w:pPr>
      <w:r>
        <w:rPr>
          <w:rFonts w:hint="eastAsia" w:ascii="仿宋" w:hAnsi="仿宋" w:eastAsia="仿宋" w:cs="仿宋"/>
          <w:b/>
          <w:szCs w:val="24"/>
        </w:rPr>
        <w:t>项目名称：</w:t>
      </w:r>
      <w:r>
        <w:rPr>
          <w:rFonts w:hint="eastAsia" w:ascii="仿宋" w:hAnsi="仿宋" w:eastAsia="仿宋" w:cs="仿宋"/>
          <w:szCs w:val="24"/>
        </w:rPr>
        <w:t>2022年杭州交警业务系统使用服务（2022年杭州公安交警机动车违法鸣笛抓拍系统使用项目）</w:t>
      </w:r>
    </w:p>
    <w:p>
      <w:pPr>
        <w:spacing w:line="360" w:lineRule="auto"/>
        <w:jc w:val="left"/>
        <w:rPr>
          <w:rFonts w:ascii="仿宋" w:hAnsi="仿宋" w:eastAsia="仿宋" w:cs="仿宋"/>
          <w:sz w:val="24"/>
        </w:rPr>
      </w:pPr>
      <w:r>
        <w:rPr>
          <w:rFonts w:hint="eastAsia" w:ascii="仿宋" w:hAnsi="仿宋" w:eastAsia="仿宋" w:cs="仿宋"/>
          <w:b/>
          <w:sz w:val="24"/>
        </w:rPr>
        <w:t>预算金额：</w:t>
      </w:r>
      <w:r>
        <w:rPr>
          <w:rFonts w:hint="eastAsia" w:ascii="仿宋" w:hAnsi="仿宋" w:eastAsia="仿宋" w:cs="仿宋"/>
          <w:kern w:val="2"/>
          <w:sz w:val="24"/>
          <w:szCs w:val="24"/>
          <w:lang w:val="en-US" w:eastAsia="zh-CN" w:bidi="ar-SA"/>
        </w:rPr>
        <w:t>55万元，最高限价：53.325万元。</w:t>
      </w:r>
    </w:p>
    <w:p>
      <w:pPr>
        <w:spacing w:line="360" w:lineRule="auto"/>
        <w:jc w:val="left"/>
        <w:rPr>
          <w:rFonts w:ascii="仿宋" w:hAnsi="仿宋" w:eastAsia="仿宋" w:cs="仿宋"/>
          <w:sz w:val="24"/>
          <w:u w:val="single"/>
        </w:rPr>
      </w:pPr>
      <w:r>
        <w:rPr>
          <w:rFonts w:hint="eastAsia" w:ascii="仿宋" w:hAnsi="仿宋" w:eastAsia="仿宋" w:cs="仿宋_GB2312"/>
          <w:b/>
          <w:sz w:val="24"/>
        </w:rPr>
        <w:t>简要规格描述或项目基本概况介绍、用途：</w:t>
      </w:r>
      <w:r>
        <w:rPr>
          <w:rFonts w:hint="eastAsia" w:ascii="仿宋" w:hAnsi="仿宋" w:eastAsia="仿宋" w:cs="仿宋"/>
          <w:sz w:val="24"/>
          <w:u w:val="single"/>
        </w:rPr>
        <w:t>以购买服务方式，提供5套的违法鸣笛抓拍点位的使用服务，用于抓拍举证机动车违法鸣笛的交通违法行为，遏制交通违法陋习。主要内容包括：鸣笛抓拍前端设备的安装运维服务，平台的基础运行环境服务，鸣笛抓拍业务系统的使用服务。具体包括：提供杭州市市区道路5个方向违法鸣笛抓拍系统使用服务，覆盖每个方向所有机动车道和辅道，包含声学探头、车牌抓拍识别、主控机三大子系统，提供租用期间7*24小时技术服务（含运行维护、性能调优、故障排除、例行巡检等）。</w:t>
      </w:r>
    </w:p>
    <w:p>
      <w:pPr>
        <w:spacing w:line="360" w:lineRule="auto"/>
        <w:jc w:val="left"/>
        <w:rPr>
          <w:rFonts w:ascii="仿宋" w:hAnsi="仿宋" w:eastAsia="仿宋" w:cs="仿宋_GB2312"/>
          <w:snapToGrid w:val="0"/>
          <w:kern w:val="28"/>
          <w:sz w:val="24"/>
          <w:szCs w:val="20"/>
        </w:rPr>
      </w:pPr>
      <w:r>
        <w:rPr>
          <w:rFonts w:hint="eastAsia" w:ascii="仿宋" w:hAnsi="仿宋" w:eastAsia="仿宋" w:cs="仿宋_GB2312"/>
          <w:b/>
          <w:snapToGrid w:val="0"/>
          <w:kern w:val="28"/>
          <w:sz w:val="24"/>
          <w:szCs w:val="20"/>
        </w:rPr>
        <w:t>履行时间（期限）：</w:t>
      </w:r>
      <w:r>
        <w:rPr>
          <w:rFonts w:ascii="仿宋" w:hAnsi="仿宋" w:eastAsia="仿宋" w:cs="宋体"/>
          <w:sz w:val="24"/>
          <w:u w:val="single"/>
        </w:rPr>
        <w:t>1</w:t>
      </w:r>
      <w:r>
        <w:rPr>
          <w:rFonts w:hint="eastAsia" w:ascii="仿宋" w:hAnsi="仿宋" w:eastAsia="仿宋" w:cs="宋体"/>
          <w:sz w:val="24"/>
          <w:u w:val="single"/>
        </w:rPr>
        <w:t>2个月，</w:t>
      </w:r>
      <w:r>
        <w:rPr>
          <w:rFonts w:ascii="仿宋" w:hAnsi="仿宋" w:eastAsia="仿宋" w:cs="宋体"/>
          <w:sz w:val="24"/>
          <w:u w:val="single"/>
        </w:rPr>
        <w:t>2021年</w:t>
      </w:r>
      <w:r>
        <w:rPr>
          <w:rFonts w:hint="eastAsia" w:ascii="仿宋" w:hAnsi="仿宋" w:eastAsia="仿宋" w:cs="宋体"/>
          <w:sz w:val="24"/>
          <w:u w:val="single"/>
        </w:rPr>
        <w:t>12月</w:t>
      </w:r>
      <w:r>
        <w:rPr>
          <w:rFonts w:ascii="仿宋" w:hAnsi="仿宋" w:eastAsia="仿宋" w:cs="宋体"/>
          <w:sz w:val="24"/>
          <w:u w:val="single"/>
        </w:rPr>
        <w:t>1日-202</w:t>
      </w:r>
      <w:r>
        <w:rPr>
          <w:rFonts w:hint="eastAsia" w:ascii="仿宋" w:hAnsi="仿宋" w:eastAsia="仿宋" w:cs="宋体"/>
          <w:sz w:val="24"/>
          <w:u w:val="single"/>
        </w:rPr>
        <w:t>2年</w:t>
      </w:r>
      <w:r>
        <w:rPr>
          <w:rFonts w:ascii="仿宋" w:hAnsi="仿宋" w:eastAsia="仿宋" w:cs="宋体"/>
          <w:sz w:val="24"/>
          <w:u w:val="single"/>
        </w:rPr>
        <w:t>11月30日。</w:t>
      </w:r>
      <w:r>
        <w:rPr>
          <w:rFonts w:hint="eastAsia" w:ascii="仿宋" w:hAnsi="仿宋" w:eastAsia="仿宋" w:cs="宋体"/>
          <w:sz w:val="24"/>
          <w:u w:val="single"/>
        </w:rPr>
        <w:t>如非原供应商中标，需在合同签订之日起</w:t>
      </w:r>
      <w:r>
        <w:rPr>
          <w:rFonts w:ascii="仿宋" w:hAnsi="仿宋" w:eastAsia="仿宋" w:cs="宋体"/>
          <w:sz w:val="24"/>
          <w:u w:val="single"/>
        </w:rPr>
        <w:t>14日内，完成各项工作的转换、衔接、上线使用。2021年1</w:t>
      </w:r>
      <w:r>
        <w:rPr>
          <w:rFonts w:hint="eastAsia" w:ascii="仿宋" w:hAnsi="仿宋" w:eastAsia="仿宋" w:cs="宋体"/>
          <w:sz w:val="24"/>
          <w:u w:val="single"/>
        </w:rPr>
        <w:t>2月</w:t>
      </w:r>
      <w:r>
        <w:rPr>
          <w:rFonts w:ascii="仿宋" w:hAnsi="仿宋" w:eastAsia="仿宋" w:cs="宋体"/>
          <w:sz w:val="24"/>
          <w:u w:val="single"/>
        </w:rPr>
        <w:t>1日至新供应商开始提供服务之前由原供应商（202</w:t>
      </w:r>
      <w:r>
        <w:rPr>
          <w:rFonts w:hint="eastAsia" w:ascii="仿宋" w:hAnsi="仿宋" w:eastAsia="仿宋" w:cs="宋体"/>
          <w:sz w:val="24"/>
          <w:u w:val="single"/>
        </w:rPr>
        <w:t>1年供应商）按照</w:t>
      </w:r>
      <w:r>
        <w:rPr>
          <w:rFonts w:ascii="仿宋" w:hAnsi="仿宋" w:eastAsia="仿宋" w:cs="宋体"/>
          <w:sz w:val="24"/>
          <w:u w:val="single"/>
        </w:rPr>
        <w:t>202</w:t>
      </w:r>
      <w:r>
        <w:rPr>
          <w:rFonts w:hint="eastAsia" w:ascii="仿宋" w:hAnsi="仿宋" w:eastAsia="仿宋" w:cs="宋体"/>
          <w:sz w:val="24"/>
          <w:u w:val="single"/>
        </w:rPr>
        <w:t>2年需求提供服务，期间产生的费用由新供应商，按照实际服务时间及</w:t>
      </w:r>
      <w:r>
        <w:rPr>
          <w:rFonts w:ascii="仿宋" w:hAnsi="仿宋" w:eastAsia="仿宋" w:cs="宋体"/>
          <w:sz w:val="24"/>
          <w:u w:val="single"/>
        </w:rPr>
        <w:t>202</w:t>
      </w:r>
      <w:r>
        <w:rPr>
          <w:rFonts w:hint="eastAsia" w:ascii="仿宋" w:hAnsi="仿宋" w:eastAsia="仿宋" w:cs="宋体"/>
          <w:sz w:val="24"/>
          <w:u w:val="single"/>
        </w:rPr>
        <w:t>2年合同单价与原供应商按实结算</w:t>
      </w:r>
      <w:r>
        <w:rPr>
          <w:rFonts w:ascii="仿宋" w:hAnsi="仿宋" w:eastAsia="仿宋" w:cs="宋体"/>
          <w:sz w:val="24"/>
          <w:u w:val="single"/>
        </w:rPr>
        <w:t>,同时扣除考核违约金（交还采购人）。</w:t>
      </w:r>
      <w:r>
        <w:rPr>
          <w:rFonts w:hint="eastAsia" w:ascii="仿宋" w:hAnsi="仿宋" w:eastAsia="仿宋" w:cs="宋体"/>
          <w:sz w:val="24"/>
          <w:u w:val="single"/>
        </w:rPr>
        <w:t>各供应商在投标报价时充分考虑因以上问题而产生的间接费用，投标时并做相应承诺。</w:t>
      </w:r>
    </w:p>
    <w:p>
      <w:pPr>
        <w:spacing w:line="360" w:lineRule="auto"/>
        <w:rPr>
          <w:rFonts w:ascii="仿宋" w:hAnsi="仿宋" w:eastAsia="仿宋" w:cs="仿宋_GB2312"/>
          <w:snapToGrid w:val="0"/>
          <w:kern w:val="28"/>
          <w:sz w:val="24"/>
          <w:szCs w:val="20"/>
        </w:rPr>
      </w:pPr>
      <w:r>
        <w:rPr>
          <w:rFonts w:hint="eastAsia" w:ascii="仿宋" w:hAnsi="仿宋" w:eastAsia="仿宋" w:cs="仿宋_GB2312"/>
          <w:b/>
          <w:snapToGrid w:val="0"/>
          <w:kern w:val="28"/>
          <w:sz w:val="24"/>
          <w:szCs w:val="20"/>
        </w:rPr>
        <w:t>本项目接受联合体投标：</w:t>
      </w:r>
      <w:r>
        <w:rPr>
          <w:rFonts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是，</w:t>
      </w:r>
      <w:r>
        <w:rPr>
          <w:rFonts w:ascii="Segoe UI Symbol" w:hAnsi="Segoe UI Symbol" w:eastAsia="仿宋" w:cs="Segoe UI Symbol"/>
          <w:snapToGrid w:val="0"/>
          <w:kern w:val="28"/>
          <w:sz w:val="24"/>
          <w:szCs w:val="20"/>
        </w:rPr>
        <w:t>☐</w:t>
      </w:r>
      <w:r>
        <w:rPr>
          <w:rFonts w:hint="eastAsia" w:ascii="仿宋" w:hAnsi="仿宋" w:eastAsia="仿宋" w:cs="仿宋_GB2312"/>
          <w:snapToGrid w:val="0"/>
          <w:kern w:val="28"/>
          <w:sz w:val="24"/>
          <w:szCs w:val="20"/>
        </w:rPr>
        <w:t>否。</w:t>
      </w:r>
    </w:p>
    <w:p>
      <w:pPr>
        <w:pStyle w:val="494"/>
        <w:ind w:firstLine="0" w:firstLineChars="0"/>
        <w:rPr>
          <w:rFonts w:ascii="仿宋" w:hAnsi="仿宋" w:eastAsia="仿宋" w:cs="仿宋"/>
          <w:b/>
          <w:kern w:val="0"/>
          <w:szCs w:val="24"/>
        </w:rPr>
      </w:pPr>
      <w:bookmarkStart w:id="4" w:name="_Hlk33175756"/>
      <w:r>
        <w:rPr>
          <w:rFonts w:hint="eastAsia" w:ascii="仿宋" w:hAnsi="仿宋" w:eastAsia="仿宋" w:cs="仿宋"/>
          <w:b/>
          <w:kern w:val="0"/>
          <w:szCs w:val="24"/>
        </w:rPr>
        <w:t>二、申请人的资格要求：</w:t>
      </w:r>
    </w:p>
    <w:p>
      <w:pPr>
        <w:pStyle w:val="70"/>
        <w:snapToGrid w:val="0"/>
        <w:spacing w:beforeAutospacing="0" w:afterAutospacing="0" w:line="360" w:lineRule="auto"/>
        <w:ind w:firstLine="120" w:firstLineChars="50"/>
        <w:rPr>
          <w:rFonts w:ascii="仿宋" w:hAnsi="仿宋" w:eastAsia="仿宋" w:cs="仿宋"/>
        </w:rPr>
      </w:pPr>
      <w:r>
        <w:rPr>
          <w:rFonts w:hint="eastAsia" w:ascii="仿宋" w:hAnsi="仿宋" w:eastAsia="仿宋" w:cs="仿宋"/>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 w:hAnsi="仿宋" w:eastAsia="仿宋" w:cs="Arial"/>
          <w:kern w:val="0"/>
          <w:sz w:val="24"/>
        </w:rPr>
      </w:pPr>
      <w:r>
        <w:rPr>
          <w:rFonts w:ascii="Segoe UI Symbol" w:hAnsi="Segoe UI Symbol" w:eastAsia="仿宋" w:cs="Segoe UI Symbol"/>
          <w:kern w:val="0"/>
          <w:sz w:val="24"/>
        </w:rPr>
        <w:t>☐</w:t>
      </w:r>
      <w:r>
        <w:rPr>
          <w:rFonts w:hint="eastAsia" w:ascii="仿宋" w:hAnsi="仿宋" w:eastAsia="仿宋" w:cs="Arial"/>
          <w:kern w:val="0"/>
          <w:sz w:val="24"/>
        </w:rPr>
        <w:t>无。</w:t>
      </w:r>
    </w:p>
    <w:p>
      <w:pPr>
        <w:spacing w:line="360" w:lineRule="auto"/>
        <w:ind w:firstLine="480" w:firstLineChars="200"/>
        <w:rPr>
          <w:rFonts w:ascii="仿宋" w:hAnsi="仿宋" w:eastAsia="仿宋"/>
          <w:sz w:val="24"/>
        </w:rPr>
      </w:pPr>
      <w:r>
        <w:rPr>
          <w:rFonts w:ascii="仿宋" w:hAnsi="仿宋" w:eastAsia="仿宋" w:cs="Arial"/>
          <w:kern w:val="0"/>
          <w:sz w:val="24"/>
        </w:rPr>
        <w:sym w:font="Wingdings" w:char="F0FE"/>
      </w:r>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480" w:firstLineChars="200"/>
        <w:rPr>
          <w:rFonts w:ascii="仿宋" w:hAnsi="仿宋" w:eastAsia="仿宋" w:cs="Arial"/>
          <w:kern w:val="0"/>
          <w:sz w:val="24"/>
        </w:rPr>
      </w:pPr>
      <w:r>
        <w:rPr>
          <w:rFonts w:ascii="仿宋" w:hAnsi="仿宋" w:eastAsia="仿宋" w:cs="Arial"/>
          <w:kern w:val="0"/>
          <w:sz w:val="24"/>
        </w:rPr>
        <w:sym w:font="Wingdings" w:char="F0FE"/>
      </w:r>
      <w:r>
        <w:rPr>
          <w:rFonts w:hint="eastAsia" w:ascii="仿宋" w:hAnsi="仿宋" w:eastAsia="仿宋" w:cs="Arial"/>
          <w:kern w:val="0"/>
          <w:sz w:val="24"/>
        </w:rPr>
        <w:t>服务全部由符合政策要求的中小企业承接，提供中小企业声明函；</w:t>
      </w:r>
    </w:p>
    <w:p>
      <w:pPr>
        <w:spacing w:line="360" w:lineRule="auto"/>
        <w:ind w:firstLine="480" w:firstLineChars="200"/>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Segoe UI Symbol" w:hAnsi="Segoe UI Symbol" w:eastAsia="仿宋" w:cs="Segoe UI Symbol"/>
          <w:kern w:val="0"/>
          <w:sz w:val="24"/>
        </w:rPr>
        <w:t>☐</w:t>
      </w:r>
      <w:r>
        <w:rPr>
          <w:rFonts w:hint="eastAsia" w:ascii="仿宋" w:hAnsi="仿宋" w:eastAsia="仿宋"/>
          <w:sz w:val="24"/>
        </w:rPr>
        <w:t>要求合同分包，提供分包意向协议和中小企业声明函，分包意向协议中中小企业合同金额应当达到达到</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rPr>
        <w:t>3.本项目的特定资格要求：无</w:t>
      </w:r>
      <w:r>
        <w:rPr>
          <w:rFonts w:hint="eastAsia" w:ascii="仿宋" w:hAnsi="仿宋" w:eastAsia="仿宋" w:cs="仿宋_GB2312"/>
          <w:sz w:val="24"/>
        </w:rPr>
        <w:t>。</w:t>
      </w:r>
    </w:p>
    <w:p>
      <w:pPr>
        <w:pStyle w:val="494"/>
        <w:ind w:firstLine="480"/>
        <w:rPr>
          <w:rFonts w:ascii="仿宋" w:hAnsi="仿宋" w:eastAsia="仿宋" w:cs="仿宋"/>
          <w:szCs w:val="24"/>
        </w:rPr>
      </w:pPr>
      <w:r>
        <w:rPr>
          <w:rFonts w:ascii="仿宋" w:hAnsi="仿宋" w:eastAsia="仿宋"/>
        </w:rPr>
        <w:t>4.</w:t>
      </w:r>
      <w:r>
        <w:rPr>
          <w:rFonts w:hint="eastAsia" w:ascii="仿宋" w:hAnsi="仿宋" w:eastAsia="仿宋"/>
        </w:rPr>
        <w:t>单位负责人为同一人或者存在直接控股、管理关系的不同供应商，不得参加同一合同项下的政府采购活动；</w:t>
      </w:r>
      <w:r>
        <w:rPr>
          <w:rFonts w:ascii="仿宋" w:hAnsi="仿宋" w:eastAsia="仿宋" w:cs="仿宋_GB2312"/>
        </w:rPr>
        <w:t>为采购项目提供整体设计、规范编制或者项目管理、监理、检测等服务后</w:t>
      </w:r>
      <w:r>
        <w:rPr>
          <w:rFonts w:hint="eastAsia" w:ascii="仿宋" w:hAnsi="仿宋" w:eastAsia="仿宋" w:cs="仿宋_GB2312"/>
        </w:rPr>
        <w:t>不得</w:t>
      </w:r>
      <w:r>
        <w:rPr>
          <w:rFonts w:ascii="仿宋" w:hAnsi="仿宋" w:eastAsia="仿宋" w:cs="仿宋_GB2312"/>
        </w:rPr>
        <w:t>再参加该采购项目的其他采购活动。</w:t>
      </w:r>
    </w:p>
    <w:bookmarkEnd w:id="4"/>
    <w:p>
      <w:pPr>
        <w:pStyle w:val="494"/>
        <w:rPr>
          <w:rFonts w:ascii="仿宋" w:hAnsi="仿宋" w:eastAsia="仿宋" w:cs="仿宋"/>
          <w:b/>
          <w:kern w:val="0"/>
          <w:szCs w:val="24"/>
        </w:rPr>
      </w:pPr>
      <w:r>
        <w:rPr>
          <w:rFonts w:hint="eastAsia" w:ascii="仿宋" w:hAnsi="仿宋" w:eastAsia="仿宋" w:cs="仿宋"/>
          <w:b/>
          <w:kern w:val="0"/>
          <w:szCs w:val="24"/>
        </w:rPr>
        <w:t>三、</w:t>
      </w:r>
      <w:r>
        <w:rPr>
          <w:rFonts w:hint="eastAsia" w:ascii="仿宋" w:hAnsi="仿宋" w:eastAsia="仿宋" w:cs="仿宋"/>
          <w:b/>
          <w:bCs/>
          <w:szCs w:val="24"/>
        </w:rPr>
        <w:t>获取招标文件</w:t>
      </w:r>
      <w:r>
        <w:rPr>
          <w:rFonts w:hint="eastAsia" w:ascii="仿宋" w:hAnsi="仿宋" w:eastAsia="仿宋" w:cs="仿宋"/>
          <w:b/>
          <w:kern w:val="0"/>
          <w:szCs w:val="24"/>
        </w:rPr>
        <w:t>：</w:t>
      </w:r>
    </w:p>
    <w:p>
      <w:pPr>
        <w:pStyle w:val="494"/>
        <w:rPr>
          <w:rFonts w:ascii="仿宋" w:hAnsi="仿宋" w:eastAsia="仿宋" w:cs="仿宋"/>
          <w:szCs w:val="24"/>
        </w:rPr>
      </w:pPr>
      <w:r>
        <w:rPr>
          <w:rFonts w:hint="eastAsia" w:ascii="仿宋" w:hAnsi="仿宋" w:eastAsia="仿宋" w:cs="仿宋"/>
          <w:b/>
          <w:szCs w:val="24"/>
        </w:rPr>
        <w:t>时间：</w:t>
      </w:r>
      <w:r>
        <w:rPr>
          <w:rFonts w:hint="eastAsia" w:ascii="仿宋" w:hAnsi="仿宋" w:eastAsia="仿宋" w:cs="仿宋"/>
          <w:szCs w:val="24"/>
        </w:rPr>
        <w:t>公告发布之日起至投标截止时间，每天上午00:00至12:00</w:t>
      </w:r>
      <w:r>
        <w:rPr>
          <w:rFonts w:ascii="Calibri" w:hAnsi="Calibri" w:eastAsia="仿宋" w:cs="Calibri"/>
          <w:szCs w:val="24"/>
        </w:rPr>
        <w:t> </w:t>
      </w:r>
      <w:r>
        <w:rPr>
          <w:rFonts w:hint="eastAsia" w:ascii="仿宋" w:hAnsi="仿宋" w:eastAsia="仿宋" w:cs="仿宋"/>
          <w:szCs w:val="24"/>
        </w:rPr>
        <w:t>，下午12:00至23:59（北京时间，线上获取法定节假日均可，线下获取文件法定节假日除外）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https://www.zcygov.cn/在线申请获取采购文件（进入“项目采购”应用，在获取采购文件菜单中选择项目，申请获取采购文件）。</w:t>
      </w:r>
    </w:p>
    <w:p>
      <w:pPr>
        <w:pStyle w:val="494"/>
        <w:ind w:firstLine="480"/>
        <w:rPr>
          <w:rFonts w:ascii="仿宋" w:hAnsi="仿宋" w:eastAsia="仿宋" w:cs="仿宋"/>
          <w:szCs w:val="24"/>
        </w:rPr>
      </w:pPr>
      <w:r>
        <w:rPr>
          <w:rFonts w:hint="eastAsia" w:ascii="仿宋" w:hAnsi="仿宋" w:eastAsia="仿宋" w:cs="仿宋"/>
          <w:szCs w:val="24"/>
        </w:rPr>
        <w:t>售价（元）：0</w:t>
      </w:r>
      <w:r>
        <w:rPr>
          <w:rFonts w:ascii="Calibri" w:hAnsi="Calibri" w:eastAsia="仿宋" w:cs="Calibri"/>
          <w:szCs w:val="24"/>
        </w:rPr>
        <w:t> </w:t>
      </w:r>
    </w:p>
    <w:p>
      <w:pPr>
        <w:pStyle w:val="494"/>
        <w:rPr>
          <w:rFonts w:ascii="仿宋" w:hAnsi="仿宋" w:eastAsia="仿宋" w:cs="仿宋"/>
          <w:szCs w:val="24"/>
        </w:rPr>
      </w:pPr>
      <w:r>
        <w:rPr>
          <w:rFonts w:hint="eastAsia" w:ascii="仿宋" w:hAnsi="仿宋" w:eastAsia="仿宋" w:cs="仿宋"/>
          <w:b/>
          <w:szCs w:val="24"/>
        </w:rPr>
        <w:t>四、</w:t>
      </w:r>
      <w:r>
        <w:rPr>
          <w:rStyle w:val="79"/>
          <w:rFonts w:hint="eastAsia" w:ascii="仿宋" w:hAnsi="仿宋" w:eastAsia="仿宋" w:cs="仿宋"/>
          <w:bCs/>
          <w:szCs w:val="24"/>
        </w:rPr>
        <w:t>提交投标文件截止时间、开标时间和地点</w:t>
      </w:r>
    </w:p>
    <w:p>
      <w:pPr>
        <w:spacing w:line="360" w:lineRule="auto"/>
        <w:ind w:firstLine="480" w:firstLineChars="200"/>
        <w:rPr>
          <w:rFonts w:ascii="仿宋" w:hAnsi="仿宋" w:eastAsia="仿宋"/>
          <w:sz w:val="24"/>
        </w:rPr>
      </w:pPr>
      <w:r>
        <w:rPr>
          <w:rFonts w:hint="eastAsia" w:ascii="仿宋" w:hAnsi="仿宋" w:eastAsia="仿宋" w:cs="仿宋"/>
          <w:kern w:val="0"/>
          <w:sz w:val="24"/>
        </w:rPr>
        <w:t>提交投标文件截止时间：</w:t>
      </w:r>
      <w:r>
        <w:rPr>
          <w:rFonts w:hint="eastAsia" w:ascii="仿宋" w:hAnsi="仿宋" w:eastAsia="仿宋"/>
          <w:sz w:val="24"/>
          <w:u w:val="single"/>
        </w:rPr>
        <w:t>2022年</w:t>
      </w:r>
      <w:r>
        <w:rPr>
          <w:rFonts w:hint="eastAsia" w:ascii="仿宋" w:hAnsi="仿宋" w:eastAsia="仿宋"/>
          <w:sz w:val="24"/>
          <w:u w:val="single"/>
          <w:lang w:val="en-US" w:eastAsia="zh-CN"/>
        </w:rPr>
        <w:t>9</w:t>
      </w:r>
      <w:r>
        <w:rPr>
          <w:rFonts w:hint="eastAsia" w:ascii="仿宋" w:hAnsi="仿宋" w:eastAsia="仿宋"/>
          <w:sz w:val="24"/>
          <w:u w:val="single"/>
        </w:rPr>
        <w:t>月</w:t>
      </w:r>
      <w:r>
        <w:rPr>
          <w:rFonts w:hint="eastAsia" w:ascii="仿宋" w:hAnsi="仿宋" w:eastAsia="仿宋"/>
          <w:sz w:val="24"/>
          <w:u w:val="single"/>
          <w:lang w:val="en-US" w:eastAsia="zh-CN"/>
        </w:rPr>
        <w:t>28</w:t>
      </w:r>
      <w:r>
        <w:rPr>
          <w:rFonts w:hint="eastAsia" w:ascii="仿宋" w:hAnsi="仿宋" w:eastAsia="仿宋"/>
          <w:sz w:val="24"/>
          <w:u w:val="single"/>
        </w:rPr>
        <w:t>日</w:t>
      </w:r>
      <w:r>
        <w:rPr>
          <w:rFonts w:ascii="仿宋" w:hAnsi="仿宋" w:eastAsia="仿宋"/>
          <w:sz w:val="24"/>
          <w:u w:val="single"/>
        </w:rPr>
        <w:t>14</w:t>
      </w:r>
      <w:r>
        <w:rPr>
          <w:rFonts w:hint="eastAsia" w:ascii="仿宋" w:hAnsi="仿宋" w:eastAsia="仿宋"/>
          <w:sz w:val="24"/>
          <w:u w:val="single"/>
        </w:rPr>
        <w:t>点</w:t>
      </w:r>
      <w:r>
        <w:rPr>
          <w:rFonts w:ascii="仿宋" w:hAnsi="仿宋" w:eastAsia="仿宋"/>
          <w:sz w:val="24"/>
          <w:u w:val="single"/>
        </w:rPr>
        <w:t>30</w:t>
      </w:r>
      <w:r>
        <w:rPr>
          <w:rFonts w:hint="eastAsia" w:ascii="仿宋" w:hAnsi="仿宋" w:eastAsia="仿宋"/>
          <w:sz w:val="24"/>
          <w:u w:val="single"/>
        </w:rPr>
        <w:t>分00秒</w:t>
      </w:r>
      <w:r>
        <w:rPr>
          <w:rFonts w:hint="eastAsia" w:ascii="仿宋" w:hAnsi="仿宋" w:eastAsia="仿宋"/>
          <w:sz w:val="24"/>
        </w:rPr>
        <w:t>（北京时间）</w:t>
      </w:r>
    </w:p>
    <w:p>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pPr>
        <w:spacing w:line="360" w:lineRule="auto"/>
        <w:ind w:firstLine="482" w:firstLineChars="200"/>
        <w:rPr>
          <w:rFonts w:ascii="仿宋" w:hAnsi="仿宋" w:eastAsia="仿宋"/>
          <w:b/>
          <w:sz w:val="24"/>
        </w:rPr>
      </w:pPr>
      <w:r>
        <w:rPr>
          <w:rFonts w:hint="eastAsia" w:ascii="仿宋" w:hAnsi="仿宋" w:eastAsia="仿宋"/>
          <w:b/>
          <w:sz w:val="24"/>
        </w:rPr>
        <w:t>开标时间：</w:t>
      </w:r>
      <w:r>
        <w:rPr>
          <w:rFonts w:ascii="仿宋" w:hAnsi="仿宋" w:eastAsia="仿宋"/>
          <w:sz w:val="24"/>
          <w:u w:val="single"/>
        </w:rPr>
        <w:t>2022年</w:t>
      </w:r>
      <w:r>
        <w:rPr>
          <w:rFonts w:hint="eastAsia" w:ascii="仿宋" w:hAnsi="仿宋" w:eastAsia="仿宋"/>
          <w:sz w:val="24"/>
          <w:u w:val="single"/>
          <w:lang w:val="en-US" w:eastAsia="zh-CN"/>
        </w:rPr>
        <w:t>9</w:t>
      </w:r>
      <w:r>
        <w:rPr>
          <w:rFonts w:hint="eastAsia" w:ascii="仿宋" w:hAnsi="仿宋" w:eastAsia="仿宋"/>
          <w:sz w:val="24"/>
          <w:u w:val="single"/>
        </w:rPr>
        <w:t>月</w:t>
      </w:r>
      <w:r>
        <w:rPr>
          <w:rFonts w:hint="eastAsia" w:ascii="仿宋" w:hAnsi="仿宋" w:eastAsia="仿宋"/>
          <w:sz w:val="24"/>
          <w:u w:val="single"/>
          <w:lang w:val="en-US" w:eastAsia="zh-CN"/>
        </w:rPr>
        <w:t>28</w:t>
      </w:r>
      <w:r>
        <w:rPr>
          <w:rFonts w:hint="eastAsia" w:ascii="仿宋" w:hAnsi="仿宋" w:eastAsia="仿宋"/>
          <w:sz w:val="24"/>
          <w:u w:val="single"/>
        </w:rPr>
        <w:t>日</w:t>
      </w:r>
      <w:r>
        <w:rPr>
          <w:rFonts w:ascii="仿宋" w:hAnsi="仿宋" w:eastAsia="仿宋"/>
          <w:sz w:val="24"/>
          <w:u w:val="single"/>
        </w:rPr>
        <w:t>14</w:t>
      </w:r>
      <w:r>
        <w:rPr>
          <w:rFonts w:hint="eastAsia" w:ascii="仿宋" w:hAnsi="仿宋" w:eastAsia="仿宋"/>
          <w:sz w:val="24"/>
          <w:u w:val="single"/>
        </w:rPr>
        <w:t>点</w:t>
      </w:r>
      <w:r>
        <w:rPr>
          <w:rFonts w:ascii="仿宋" w:hAnsi="仿宋" w:eastAsia="仿宋"/>
          <w:sz w:val="24"/>
          <w:u w:val="single"/>
        </w:rPr>
        <w:t>30</w:t>
      </w:r>
      <w:r>
        <w:rPr>
          <w:rFonts w:hint="eastAsia" w:ascii="仿宋" w:hAnsi="仿宋" w:eastAsia="仿宋"/>
          <w:sz w:val="24"/>
          <w:u w:val="single"/>
        </w:rPr>
        <w:t>分</w:t>
      </w:r>
      <w:r>
        <w:rPr>
          <w:rFonts w:ascii="仿宋" w:hAnsi="仿宋" w:eastAsia="仿宋"/>
          <w:sz w:val="24"/>
          <w:u w:val="single"/>
        </w:rPr>
        <w:t>00秒（北京时间）</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pStyle w:val="494"/>
        <w:rPr>
          <w:rFonts w:ascii="仿宋" w:hAnsi="仿宋" w:eastAsia="仿宋" w:cs="仿宋"/>
          <w:b/>
          <w:kern w:val="0"/>
          <w:szCs w:val="24"/>
        </w:rPr>
      </w:pPr>
      <w:r>
        <w:rPr>
          <w:rFonts w:hint="eastAsia" w:ascii="仿宋" w:hAnsi="仿宋" w:eastAsia="仿宋" w:cs="仿宋"/>
          <w:b/>
          <w:bCs/>
          <w:kern w:val="0"/>
          <w:szCs w:val="24"/>
        </w:rPr>
        <w:t>五、公告期限</w:t>
      </w:r>
    </w:p>
    <w:p>
      <w:pPr>
        <w:pStyle w:val="494"/>
        <w:ind w:firstLine="480"/>
        <w:rPr>
          <w:rFonts w:ascii="仿宋" w:hAnsi="仿宋" w:eastAsia="仿宋" w:cs="仿宋"/>
          <w:bCs/>
          <w:szCs w:val="24"/>
        </w:rPr>
      </w:pPr>
      <w:r>
        <w:rPr>
          <w:rFonts w:hint="eastAsia" w:ascii="仿宋" w:hAnsi="仿宋" w:eastAsia="仿宋" w:cs="仿宋"/>
          <w:szCs w:val="24"/>
        </w:rPr>
        <w:t>自本公告发布之日起5个工作日。</w:t>
      </w:r>
    </w:p>
    <w:p>
      <w:pPr>
        <w:pStyle w:val="494"/>
        <w:rPr>
          <w:rFonts w:ascii="仿宋" w:hAnsi="仿宋" w:eastAsia="仿宋" w:cs="仿宋"/>
          <w:b/>
          <w:kern w:val="0"/>
          <w:szCs w:val="24"/>
        </w:rPr>
      </w:pPr>
      <w:r>
        <w:rPr>
          <w:rFonts w:hint="eastAsia" w:ascii="仿宋" w:hAnsi="仿宋" w:eastAsia="仿宋" w:cs="仿宋"/>
          <w:b/>
          <w:bCs/>
          <w:szCs w:val="24"/>
        </w:rPr>
        <w:t>六、其他补充事宜</w:t>
      </w:r>
      <w:r>
        <w:rPr>
          <w:rFonts w:hint="eastAsia" w:ascii="仿宋" w:hAnsi="仿宋" w:eastAsia="仿宋" w:cs="仿宋"/>
          <w:b/>
          <w:kern w:val="0"/>
          <w:szCs w:val="24"/>
        </w:rPr>
        <w:t>；</w:t>
      </w:r>
    </w:p>
    <w:p>
      <w:pPr>
        <w:spacing w:line="360" w:lineRule="auto"/>
        <w:ind w:firstLine="480" w:firstLineChars="200"/>
        <w:rPr>
          <w:rFonts w:ascii="仿宋" w:hAnsi="仿宋" w:eastAsia="仿宋"/>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代理机构提出质疑。质疑供应商对采购代理机构的答复不满意或者采购代理机构未在规定的时间内作出答复的，可以在答复期满后15个工作日内向同级政府采购监督管理部门投诉。质疑函范本、投诉书范本请到浙江政府采购网下载专区下载。</w:t>
      </w:r>
    </w:p>
    <w:p>
      <w:pPr>
        <w:pStyle w:val="494"/>
        <w:ind w:firstLine="480"/>
        <w:rPr>
          <w:rFonts w:ascii="仿宋" w:hAnsi="仿宋" w:eastAsia="仿宋" w:cs="仿宋_GB2312"/>
        </w:rPr>
      </w:pPr>
      <w:r>
        <w:rPr>
          <w:rFonts w:hint="eastAsia" w:ascii="仿宋" w:hAnsi="仿宋" w:eastAsia="仿宋"/>
        </w:rPr>
        <w:t>2.其他事项：（1）需要落实的政府采购政策：包括节约资源、保护环境、支持创新、促进中小企业发展等。详见招标文件的第二部分总则。（2）</w:t>
      </w:r>
      <w:r>
        <w:rPr>
          <w:rFonts w:ascii="仿宋" w:hAnsi="仿宋" w:eastAsia="仿宋"/>
        </w:rPr>
        <w:t>电子招投标的说明：</w:t>
      </w:r>
      <w:r>
        <w:rPr>
          <w:rFonts w:hint="eastAsia" w:ascii="仿宋" w:hAnsi="仿宋" w:eastAsia="仿宋" w:cs="仿宋_GB2312"/>
        </w:rPr>
        <w:t>①</w:t>
      </w:r>
      <w:r>
        <w:rPr>
          <w:rFonts w:ascii="仿宋" w:hAnsi="仿宋" w:eastAsia="仿宋" w:cs="仿宋_GB2312"/>
        </w:rPr>
        <w:t>电子招投标：本项目以数据电文形式，依托“政府采购云平台（www.zcygov.cn）”进行招投标活动，不接受纸质投标文件</w:t>
      </w:r>
      <w:r>
        <w:rPr>
          <w:rFonts w:hint="eastAsia" w:ascii="仿宋" w:hAnsi="仿宋" w:eastAsia="仿宋" w:cs="仿宋_GB2312"/>
        </w:rPr>
        <w:t>；②</w:t>
      </w:r>
      <w:r>
        <w:rPr>
          <w:rFonts w:ascii="仿宋" w:hAnsi="仿宋" w:eastAsia="仿宋" w:cs="仿宋_GB2312"/>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rPr>
        <w:t>采云电子交易客户端”</w:t>
      </w:r>
      <w:r>
        <w:rPr>
          <w:rFonts w:ascii="仿宋" w:hAnsi="仿宋" w:eastAsia="仿宋" w:cs="仿宋_GB2312"/>
        </w:rPr>
        <w:t>----前往“浙江政府采购网-下载专区-电子交易客户端”进行下载并安装</w:t>
      </w:r>
      <w:r>
        <w:rPr>
          <w:rFonts w:hint="eastAsia" w:ascii="仿宋" w:hAnsi="仿宋" w:eastAsia="仿宋" w:cs="仿宋_GB2312"/>
        </w:rPr>
        <w:t>；③</w:t>
      </w:r>
      <w:r>
        <w:rPr>
          <w:rFonts w:ascii="仿宋" w:hAnsi="仿宋" w:eastAsia="仿宋" w:cs="仿宋_GB2312"/>
        </w:rPr>
        <w:t>招标文件的获取：使用账号登录或者使用CA登录政</w:t>
      </w:r>
      <w:r>
        <w:rPr>
          <w:rFonts w:hint="eastAsia" w:ascii="仿宋" w:hAnsi="仿宋" w:eastAsia="仿宋" w:cs="仿宋_GB2312"/>
        </w:rPr>
        <w:t>采云平台；进入“项目采购”应用，在获取采购文件菜单中选择项目，获取招标文件；④</w:t>
      </w:r>
      <w:r>
        <w:rPr>
          <w:rFonts w:ascii="仿宋" w:hAnsi="仿宋" w:eastAsia="仿宋" w:cs="仿宋_GB2312"/>
        </w:rPr>
        <w:t>投标文件的制作：在“政</w:t>
      </w:r>
      <w:r>
        <w:rPr>
          <w:rFonts w:hint="eastAsia" w:ascii="仿宋" w:hAnsi="仿宋" w:eastAsia="仿宋" w:cs="仿宋_GB2312"/>
        </w:rPr>
        <w:t>采云电子交易客户端”中完成“填写基本信息”、“导入投标文件”、“标书关联”、“标书检查”、“电子签名”、“生成电子标书”等操作；</w:t>
      </w:r>
      <w:r>
        <w:rPr>
          <w:rFonts w:hint="eastAsia" w:ascii="仿宋" w:hAnsi="仿宋" w:eastAsia="仿宋"/>
        </w:rPr>
        <w:t>⑤</w:t>
      </w:r>
      <w:r>
        <w:rPr>
          <w:rFonts w:ascii="仿宋" w:hAnsi="仿宋" w:eastAsia="仿宋"/>
        </w:rPr>
        <w:t>采购人、采购机构将依托政</w:t>
      </w:r>
      <w:r>
        <w:rPr>
          <w:rFonts w:hint="eastAsia" w:ascii="仿宋" w:hAnsi="仿宋" w:eastAsia="仿宋"/>
        </w:rPr>
        <w:t>采云平台完成本项目的电子交易活动，平台不接受未按上述方式获取招标文件的供应商进行投标活动；⑥</w:t>
      </w:r>
      <w:r>
        <w:rPr>
          <w:rFonts w:ascii="仿宋" w:hAnsi="仿宋" w:eastAsia="仿宋"/>
        </w:rPr>
        <w:t>对未按上述方式获取招标文件的供应商对该文件提出的质疑，采购人或采购代理机构将</w:t>
      </w:r>
      <w:r>
        <w:rPr>
          <w:rFonts w:hint="eastAsia" w:ascii="仿宋" w:hAnsi="仿宋" w:eastAsia="仿宋"/>
        </w:rPr>
        <w:t>不予处理；⑦</w:t>
      </w:r>
      <w:r>
        <w:rPr>
          <w:rFonts w:ascii="仿宋" w:hAnsi="仿宋" w:eastAsia="仿宋"/>
        </w:rPr>
        <w:t>不提供招标文件纸质版</w:t>
      </w:r>
      <w:r>
        <w:rPr>
          <w:rFonts w:hint="eastAsia" w:ascii="仿宋" w:hAnsi="仿宋" w:eastAsia="仿宋"/>
        </w:rPr>
        <w:t>；</w:t>
      </w:r>
      <w:r>
        <w:rPr>
          <w:rFonts w:hint="eastAsia" w:ascii="仿宋" w:hAnsi="仿宋" w:eastAsia="仿宋" w:cs="仿宋_GB2312"/>
        </w:rPr>
        <w:t>⑧</w:t>
      </w:r>
      <w:r>
        <w:rPr>
          <w:rFonts w:ascii="仿宋" w:hAnsi="仿宋" w:eastAsia="仿宋" w:cs="仿宋_GB2312"/>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rPr>
        <w:t>；</w:t>
      </w:r>
      <w:r>
        <w:rPr>
          <w:rFonts w:hint="eastAsia" w:ascii="仿宋" w:hAnsi="仿宋" w:eastAsia="仿宋"/>
        </w:rPr>
        <w:t>⑨</w:t>
      </w:r>
      <w:r>
        <w:rPr>
          <w:rFonts w:hint="eastAsia" w:ascii="仿宋" w:hAnsi="仿宋" w:eastAsia="仿宋" w:cs="仿宋_GB2312"/>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rPr>
        <w:t>具体操作指南：详见政</w:t>
      </w:r>
      <w:r>
        <w:rPr>
          <w:rFonts w:hint="eastAsia" w:ascii="仿宋" w:hAnsi="仿宋" w:eastAsia="仿宋" w:cs="仿宋_GB2312"/>
        </w:rPr>
        <w:t>采云平台“服务中心</w:t>
      </w:r>
      <w:r>
        <w:rPr>
          <w:rFonts w:ascii="仿宋" w:hAnsi="仿宋" w:eastAsia="仿宋" w:cs="仿宋_GB2312"/>
        </w:rPr>
        <w:t>-帮助文档-项目采购-操作流程-电子招投标-政府采购项目电子交易管理操作指南-供应商”。</w:t>
      </w:r>
    </w:p>
    <w:p>
      <w:pPr>
        <w:pStyle w:val="494"/>
        <w:ind w:firstLine="480"/>
        <w:rPr>
          <w:rFonts w:ascii="仿宋" w:hAnsi="仿宋" w:eastAsia="仿宋" w:cs="仿宋_GB2312"/>
        </w:rPr>
      </w:pPr>
      <w:r>
        <w:rPr>
          <w:rFonts w:hint="eastAsia" w:ascii="仿宋" w:hAnsi="仿宋" w:eastAsia="仿宋" w:cs="仿宋_GB2312"/>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4"/>
        <w:ind w:firstLine="480"/>
        <w:rPr>
          <w:rFonts w:ascii="仿宋" w:hAnsi="仿宋" w:eastAsia="仿宋" w:cs="仿宋"/>
        </w:rPr>
      </w:pPr>
      <w:r>
        <w:rPr>
          <w:rFonts w:hint="eastAsia" w:ascii="仿宋" w:hAnsi="仿宋" w:eastAsia="仿宋" w:cs="仿宋_GB2312"/>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94"/>
        <w:rPr>
          <w:rFonts w:ascii="仿宋" w:hAnsi="仿宋" w:eastAsia="仿宋" w:cs="仿宋"/>
          <w:b/>
          <w:kern w:val="0"/>
          <w:szCs w:val="24"/>
        </w:rPr>
      </w:pPr>
      <w:r>
        <w:rPr>
          <w:rFonts w:hint="eastAsia" w:ascii="仿宋" w:hAnsi="仿宋" w:eastAsia="仿宋" w:cs="仿宋"/>
          <w:b/>
          <w:bCs/>
          <w:szCs w:val="24"/>
        </w:rPr>
        <w:t>七、对本次招标提出询问、质疑、投诉，请按以下方式联系</w:t>
      </w:r>
      <w:r>
        <w:rPr>
          <w:rFonts w:hint="eastAsia" w:ascii="仿宋" w:hAnsi="仿宋" w:eastAsia="仿宋" w:cs="仿宋"/>
          <w:b/>
          <w:kern w:val="0"/>
          <w:szCs w:val="24"/>
        </w:rPr>
        <w:t>：</w:t>
      </w:r>
    </w:p>
    <w:p>
      <w:pPr>
        <w:pStyle w:val="70"/>
        <w:snapToGrid w:val="0"/>
        <w:spacing w:beforeAutospacing="0" w:afterAutospacing="0" w:line="360" w:lineRule="auto"/>
        <w:ind w:firstLine="240" w:firstLineChars="100"/>
        <w:rPr>
          <w:rFonts w:ascii="仿宋" w:hAnsi="仿宋" w:eastAsia="仿宋" w:cs="仿宋"/>
        </w:rPr>
      </w:pPr>
      <w:r>
        <w:rPr>
          <w:rFonts w:hint="eastAsia" w:ascii="仿宋" w:hAnsi="仿宋" w:eastAsia="仿宋" w:cs="仿宋"/>
          <w:bCs/>
        </w:rPr>
        <w:t>（1）</w:t>
      </w:r>
      <w:r>
        <w:rPr>
          <w:rFonts w:hint="eastAsia" w:ascii="仿宋" w:hAnsi="仿宋" w:eastAsia="仿宋" w:cs="仿宋"/>
        </w:rPr>
        <w:t>采购人信息</w:t>
      </w:r>
      <w:r>
        <w:rPr>
          <w:rFonts w:hint="eastAsia" w:ascii="仿宋" w:hAnsi="仿宋" w:eastAsia="仿宋" w:cs="仿宋"/>
          <w:bCs/>
        </w:rPr>
        <w:t>：</w:t>
      </w:r>
    </w:p>
    <w:p>
      <w:pPr>
        <w:pStyle w:val="70"/>
        <w:snapToGrid w:val="0"/>
        <w:spacing w:beforeAutospacing="0" w:afterAutospacing="0" w:line="360" w:lineRule="auto"/>
        <w:ind w:firstLine="480" w:firstLineChars="200"/>
        <w:rPr>
          <w:rStyle w:val="186"/>
          <w:rFonts w:ascii="仿宋" w:hAnsi="仿宋" w:eastAsia="仿宋" w:cs="仿宋"/>
        </w:rPr>
      </w:pPr>
      <w:r>
        <w:rPr>
          <w:rStyle w:val="186"/>
          <w:rFonts w:hint="eastAsia" w:ascii="仿宋" w:hAnsi="仿宋" w:eastAsia="仿宋" w:cs="仿宋"/>
        </w:rPr>
        <w:t>名称：杭州市公安局交通警察支队</w:t>
      </w:r>
    </w:p>
    <w:p>
      <w:pPr>
        <w:pStyle w:val="70"/>
        <w:snapToGrid w:val="0"/>
        <w:spacing w:beforeAutospacing="0" w:afterAutospacing="0" w:line="360" w:lineRule="auto"/>
        <w:ind w:firstLine="480" w:firstLineChars="200"/>
        <w:rPr>
          <w:rFonts w:ascii="仿宋" w:hAnsi="仿宋" w:eastAsia="仿宋"/>
        </w:rPr>
      </w:pPr>
      <w:r>
        <w:rPr>
          <w:rFonts w:ascii="仿宋" w:hAnsi="仿宋" w:eastAsia="仿宋"/>
        </w:rPr>
        <w:t>地    址：</w:t>
      </w:r>
      <w:r>
        <w:rPr>
          <w:rFonts w:hint="eastAsia" w:ascii="仿宋" w:hAnsi="仿宋" w:eastAsia="仿宋" w:cs="仿宋"/>
        </w:rPr>
        <w:t>杭州市长江路179号F楼</w:t>
      </w:r>
    </w:p>
    <w:p>
      <w:pPr>
        <w:spacing w:line="360" w:lineRule="auto"/>
        <w:ind w:firstLine="480"/>
        <w:rPr>
          <w:rStyle w:val="186"/>
          <w:rFonts w:ascii="仿宋" w:hAnsi="仿宋" w:eastAsia="仿宋" w:cs="Times New Roman"/>
          <w:snapToGrid/>
          <w:kern w:val="2"/>
          <w:sz w:val="24"/>
          <w:szCs w:val="24"/>
        </w:rPr>
      </w:pPr>
      <w:r>
        <w:rPr>
          <w:rFonts w:hint="eastAsia" w:ascii="仿宋" w:hAnsi="仿宋" w:eastAsia="仿宋"/>
          <w:sz w:val="24"/>
        </w:rPr>
        <w:t>传</w:t>
      </w:r>
      <w:r>
        <w:rPr>
          <w:rFonts w:ascii="仿宋" w:hAnsi="仿宋" w:eastAsia="仿宋"/>
          <w:sz w:val="24"/>
        </w:rPr>
        <w:t xml:space="preserve">    真： /</w:t>
      </w:r>
    </w:p>
    <w:p>
      <w:pPr>
        <w:pStyle w:val="70"/>
        <w:snapToGrid w:val="0"/>
        <w:spacing w:beforeAutospacing="0" w:afterAutospacing="0" w:line="360" w:lineRule="auto"/>
        <w:ind w:firstLine="480" w:firstLineChars="200"/>
        <w:rPr>
          <w:rStyle w:val="186"/>
          <w:rFonts w:ascii="仿宋" w:hAnsi="仿宋" w:eastAsia="仿宋" w:cs="仿宋"/>
        </w:rPr>
      </w:pPr>
      <w:r>
        <w:rPr>
          <w:rStyle w:val="186"/>
          <w:rFonts w:hint="eastAsia" w:ascii="仿宋" w:hAnsi="仿宋" w:eastAsia="仿宋" w:cs="仿宋"/>
        </w:rPr>
        <w:t>项目联系人：</w:t>
      </w:r>
      <w:r>
        <w:rPr>
          <w:rFonts w:hint="eastAsia" w:ascii="仿宋" w:hAnsi="仿宋" w:eastAsia="仿宋" w:cs="仿宋"/>
        </w:rPr>
        <w:t>蒋斌</w:t>
      </w:r>
    </w:p>
    <w:p>
      <w:pPr>
        <w:pStyle w:val="70"/>
        <w:snapToGrid w:val="0"/>
        <w:spacing w:beforeAutospacing="0" w:afterAutospacing="0" w:line="360" w:lineRule="auto"/>
        <w:ind w:firstLine="480" w:firstLineChars="200"/>
        <w:rPr>
          <w:rStyle w:val="186"/>
          <w:rFonts w:ascii="仿宋" w:hAnsi="仿宋" w:eastAsia="仿宋" w:cs="仿宋"/>
        </w:rPr>
      </w:pPr>
      <w:r>
        <w:rPr>
          <w:rStyle w:val="186"/>
          <w:rFonts w:hint="eastAsia" w:ascii="仿宋" w:hAnsi="仿宋" w:eastAsia="仿宋" w:cs="仿宋"/>
        </w:rPr>
        <w:t>项目联系方式： 87282217</w:t>
      </w:r>
    </w:p>
    <w:p>
      <w:pPr>
        <w:pStyle w:val="70"/>
        <w:snapToGrid w:val="0"/>
        <w:spacing w:beforeAutospacing="0" w:afterAutospacing="0" w:line="360" w:lineRule="auto"/>
        <w:ind w:firstLine="480" w:firstLineChars="200"/>
        <w:rPr>
          <w:rStyle w:val="186"/>
          <w:rFonts w:ascii="仿宋" w:hAnsi="仿宋" w:eastAsia="仿宋" w:cs="仿宋"/>
        </w:rPr>
      </w:pPr>
      <w:r>
        <w:rPr>
          <w:rStyle w:val="186"/>
          <w:rFonts w:hint="eastAsia" w:ascii="仿宋" w:hAnsi="仿宋" w:eastAsia="仿宋" w:cs="仿宋"/>
        </w:rPr>
        <w:t>质疑联系人：陈怿</w:t>
      </w:r>
    </w:p>
    <w:p>
      <w:pPr>
        <w:pStyle w:val="70"/>
        <w:snapToGrid w:val="0"/>
        <w:spacing w:beforeAutospacing="0" w:afterAutospacing="0" w:line="360" w:lineRule="auto"/>
        <w:ind w:firstLine="480" w:firstLineChars="200"/>
        <w:rPr>
          <w:rFonts w:ascii="仿宋" w:hAnsi="仿宋" w:eastAsia="仿宋"/>
        </w:rPr>
      </w:pPr>
      <w:r>
        <w:rPr>
          <w:rStyle w:val="186"/>
          <w:rFonts w:hint="eastAsia" w:ascii="仿宋" w:hAnsi="仿宋" w:eastAsia="仿宋" w:cs="仿宋"/>
        </w:rPr>
        <w:t>质疑联系方式：87282389</w:t>
      </w:r>
      <w:r>
        <w:rPr>
          <w:rStyle w:val="186"/>
          <w:rFonts w:hint="eastAsia" w:ascii="仿宋" w:hAnsi="仿宋" w:eastAsia="仿宋" w:cs="仿宋"/>
        </w:rPr>
        <w:br w:type="textWrapping"/>
      </w:r>
      <w:r>
        <w:rPr>
          <w:rFonts w:hint="eastAsia" w:ascii="仿宋" w:hAnsi="仿宋" w:eastAsia="仿宋"/>
          <w:bCs/>
        </w:rPr>
        <w:t>（2）</w:t>
      </w:r>
      <w:r>
        <w:rPr>
          <w:rFonts w:hint="eastAsia" w:ascii="仿宋" w:hAnsi="仿宋" w:eastAsia="仿宋"/>
        </w:rPr>
        <w:t>采购代理机构信息</w:t>
      </w:r>
    </w:p>
    <w:p>
      <w:pPr>
        <w:pStyle w:val="494"/>
        <w:ind w:firstLine="480"/>
        <w:rPr>
          <w:rFonts w:ascii="仿宋" w:hAnsi="仿宋" w:eastAsia="仿宋"/>
          <w:szCs w:val="24"/>
        </w:rPr>
      </w:pPr>
      <w:r>
        <w:rPr>
          <w:rFonts w:hint="eastAsia" w:ascii="仿宋" w:hAnsi="仿宋" w:eastAsia="仿宋"/>
          <w:szCs w:val="24"/>
        </w:rPr>
        <w:t>名称：杭州信达投资咨询估价监理有限公司</w:t>
      </w:r>
    </w:p>
    <w:p>
      <w:pPr>
        <w:pStyle w:val="494"/>
        <w:ind w:firstLine="480"/>
        <w:rPr>
          <w:rFonts w:ascii="仿宋" w:hAnsi="仿宋" w:eastAsia="仿宋" w:cs="仿宋_GB2312"/>
          <w:szCs w:val="24"/>
        </w:rPr>
      </w:pPr>
      <w:r>
        <w:rPr>
          <w:rFonts w:hint="eastAsia" w:ascii="仿宋" w:hAnsi="仿宋" w:eastAsia="仿宋"/>
          <w:szCs w:val="24"/>
        </w:rPr>
        <w:t>地址：</w:t>
      </w:r>
      <w:r>
        <w:rPr>
          <w:rFonts w:hint="eastAsia" w:ascii="仿宋" w:hAnsi="仿宋" w:eastAsia="仿宋" w:cs="仿宋_GB2312"/>
          <w:szCs w:val="24"/>
        </w:rPr>
        <w:t>杭州市德胜路289号602；</w:t>
      </w:r>
    </w:p>
    <w:p>
      <w:pPr>
        <w:pStyle w:val="494"/>
        <w:ind w:firstLine="480"/>
        <w:rPr>
          <w:rFonts w:ascii="仿宋" w:hAnsi="仿宋" w:eastAsia="仿宋"/>
          <w:kern w:val="0"/>
          <w:szCs w:val="24"/>
        </w:rPr>
      </w:pPr>
      <w:r>
        <w:rPr>
          <w:rFonts w:ascii="仿宋" w:hAnsi="仿宋" w:eastAsia="仿宋"/>
          <w:kern w:val="0"/>
          <w:szCs w:val="24"/>
        </w:rPr>
        <w:t>项目联系人：</w:t>
      </w:r>
      <w:r>
        <w:rPr>
          <w:rFonts w:hint="eastAsia" w:ascii="仿宋" w:hAnsi="仿宋" w:eastAsia="仿宋"/>
          <w:kern w:val="0"/>
          <w:szCs w:val="24"/>
        </w:rPr>
        <w:t>朱祺</w:t>
      </w:r>
    </w:p>
    <w:p>
      <w:pPr>
        <w:pStyle w:val="494"/>
        <w:ind w:firstLine="480"/>
        <w:rPr>
          <w:rFonts w:ascii="仿宋" w:hAnsi="仿宋" w:eastAsia="仿宋"/>
          <w:kern w:val="0"/>
          <w:szCs w:val="24"/>
        </w:rPr>
      </w:pPr>
      <w:r>
        <w:rPr>
          <w:rFonts w:ascii="仿宋" w:hAnsi="仿宋" w:eastAsia="仿宋"/>
          <w:kern w:val="0"/>
          <w:szCs w:val="24"/>
        </w:rPr>
        <w:t>项目联系方式：</w:t>
      </w:r>
      <w:r>
        <w:rPr>
          <w:rFonts w:hint="eastAsia" w:ascii="仿宋" w:hAnsi="仿宋" w:eastAsia="仿宋"/>
          <w:kern w:val="0"/>
          <w:szCs w:val="24"/>
        </w:rPr>
        <w:t>0571-85116015、18057188023</w:t>
      </w:r>
      <w:r>
        <w:rPr>
          <w:rFonts w:ascii="Calibri" w:hAnsi="Calibri" w:eastAsia="仿宋" w:cs="Calibri"/>
          <w:kern w:val="0"/>
          <w:szCs w:val="24"/>
        </w:rPr>
        <w:t> </w:t>
      </w:r>
    </w:p>
    <w:p>
      <w:pPr>
        <w:pStyle w:val="494"/>
        <w:ind w:firstLine="480"/>
        <w:rPr>
          <w:rFonts w:ascii="仿宋" w:hAnsi="仿宋" w:eastAsia="仿宋"/>
          <w:kern w:val="0"/>
          <w:szCs w:val="24"/>
        </w:rPr>
      </w:pPr>
      <w:r>
        <w:rPr>
          <w:rFonts w:ascii="仿宋" w:hAnsi="仿宋" w:eastAsia="仿宋"/>
          <w:kern w:val="0"/>
          <w:szCs w:val="24"/>
        </w:rPr>
        <w:t>质疑联系人：</w:t>
      </w:r>
      <w:r>
        <w:rPr>
          <w:rFonts w:hint="eastAsia" w:ascii="仿宋" w:hAnsi="仿宋" w:eastAsia="仿宋"/>
          <w:kern w:val="0"/>
          <w:szCs w:val="24"/>
        </w:rPr>
        <w:t>吴秀琴</w:t>
      </w:r>
    </w:p>
    <w:p>
      <w:pPr>
        <w:pStyle w:val="494"/>
        <w:ind w:firstLine="480"/>
        <w:rPr>
          <w:rFonts w:ascii="仿宋" w:hAnsi="仿宋" w:eastAsia="仿宋"/>
          <w:kern w:val="0"/>
          <w:szCs w:val="24"/>
        </w:rPr>
      </w:pPr>
      <w:r>
        <w:rPr>
          <w:rFonts w:ascii="仿宋" w:hAnsi="仿宋" w:eastAsia="仿宋"/>
          <w:kern w:val="0"/>
          <w:szCs w:val="24"/>
        </w:rPr>
        <w:t>质疑联系方式：</w:t>
      </w:r>
      <w:r>
        <w:rPr>
          <w:rFonts w:hint="eastAsia" w:ascii="仿宋" w:hAnsi="仿宋" w:eastAsia="仿宋"/>
          <w:kern w:val="0"/>
          <w:szCs w:val="24"/>
        </w:rPr>
        <w:t>1</w:t>
      </w:r>
      <w:r>
        <w:rPr>
          <w:rFonts w:ascii="仿宋" w:hAnsi="仿宋" w:eastAsia="仿宋"/>
          <w:kern w:val="0"/>
          <w:szCs w:val="24"/>
        </w:rPr>
        <w:t>3588007576</w:t>
      </w:r>
    </w:p>
    <w:p>
      <w:pPr>
        <w:pStyle w:val="494"/>
        <w:ind w:firstLine="480"/>
        <w:rPr>
          <w:rFonts w:ascii="仿宋" w:hAnsi="仿宋" w:eastAsia="仿宋"/>
          <w:szCs w:val="24"/>
        </w:rPr>
      </w:pPr>
      <w:r>
        <w:rPr>
          <w:rFonts w:hint="eastAsia" w:ascii="仿宋" w:hAnsi="仿宋" w:eastAsia="仿宋"/>
          <w:bCs/>
          <w:szCs w:val="24"/>
        </w:rPr>
        <w:t>（3）</w:t>
      </w:r>
      <w:r>
        <w:rPr>
          <w:rFonts w:ascii="仿宋" w:hAnsi="仿宋" w:eastAsia="仿宋"/>
          <w:szCs w:val="24"/>
        </w:rPr>
        <w:t>同级政府采购监督管理部门</w:t>
      </w:r>
    </w:p>
    <w:p>
      <w:pPr>
        <w:pStyle w:val="494"/>
        <w:ind w:firstLine="480"/>
        <w:rPr>
          <w:rFonts w:ascii="仿宋" w:hAnsi="仿宋" w:eastAsia="仿宋"/>
          <w:kern w:val="0"/>
          <w:szCs w:val="24"/>
        </w:rPr>
      </w:pPr>
      <w:r>
        <w:rPr>
          <w:rFonts w:ascii="仿宋" w:hAnsi="仿宋" w:eastAsia="仿宋"/>
          <w:kern w:val="0"/>
          <w:szCs w:val="24"/>
        </w:rPr>
        <w:t>名称：杭州市财政局政府采购监管处</w:t>
      </w:r>
      <w:r>
        <w:rPr>
          <w:rFonts w:ascii="Calibri" w:hAnsi="Calibri" w:eastAsia="仿宋" w:cs="Calibri"/>
          <w:kern w:val="0"/>
          <w:szCs w:val="24"/>
        </w:rPr>
        <w:t> </w:t>
      </w:r>
    </w:p>
    <w:p>
      <w:pPr>
        <w:pStyle w:val="494"/>
        <w:ind w:firstLine="480"/>
        <w:rPr>
          <w:rFonts w:ascii="仿宋" w:hAnsi="仿宋" w:eastAsia="仿宋"/>
          <w:kern w:val="0"/>
          <w:szCs w:val="24"/>
        </w:rPr>
      </w:pPr>
      <w:r>
        <w:rPr>
          <w:rFonts w:ascii="仿宋" w:hAnsi="仿宋" w:eastAsia="仿宋"/>
          <w:kern w:val="0"/>
          <w:szCs w:val="24"/>
        </w:rPr>
        <w:t>地址：杭州市中河中路152号617办公室</w:t>
      </w:r>
      <w:r>
        <w:rPr>
          <w:rFonts w:ascii="Calibri" w:hAnsi="Calibri" w:eastAsia="仿宋" w:cs="Calibri"/>
          <w:kern w:val="0"/>
          <w:szCs w:val="24"/>
        </w:rPr>
        <w:t> </w:t>
      </w:r>
    </w:p>
    <w:p>
      <w:pPr>
        <w:pStyle w:val="494"/>
        <w:ind w:firstLine="480"/>
        <w:rPr>
          <w:rFonts w:ascii="仿宋" w:hAnsi="仿宋" w:eastAsia="仿宋"/>
          <w:kern w:val="0"/>
          <w:szCs w:val="24"/>
        </w:rPr>
      </w:pPr>
      <w:r>
        <w:rPr>
          <w:rFonts w:ascii="仿宋" w:hAnsi="仿宋" w:eastAsia="仿宋"/>
          <w:kern w:val="0"/>
          <w:szCs w:val="24"/>
        </w:rPr>
        <w:t>传真：</w:t>
      </w:r>
      <w:r>
        <w:rPr>
          <w:rFonts w:hint="eastAsia" w:ascii="仿宋" w:hAnsi="仿宋" w:eastAsia="仿宋"/>
          <w:kern w:val="0"/>
          <w:szCs w:val="24"/>
        </w:rPr>
        <w:t>0571-</w:t>
      </w:r>
      <w:r>
        <w:rPr>
          <w:rFonts w:ascii="仿宋" w:hAnsi="仿宋" w:eastAsia="仿宋"/>
          <w:kern w:val="0"/>
          <w:szCs w:val="24"/>
        </w:rPr>
        <w:t>877233323</w:t>
      </w:r>
      <w:r>
        <w:rPr>
          <w:rFonts w:ascii="Calibri" w:hAnsi="Calibri" w:eastAsia="仿宋" w:cs="Calibri"/>
          <w:kern w:val="0"/>
          <w:szCs w:val="24"/>
        </w:rPr>
        <w:t> </w:t>
      </w:r>
    </w:p>
    <w:p>
      <w:pPr>
        <w:pStyle w:val="494"/>
        <w:ind w:firstLine="480"/>
        <w:rPr>
          <w:rFonts w:ascii="仿宋" w:hAnsi="仿宋" w:eastAsia="仿宋"/>
          <w:kern w:val="0"/>
          <w:szCs w:val="24"/>
        </w:rPr>
      </w:pPr>
      <w:r>
        <w:rPr>
          <w:rFonts w:ascii="仿宋" w:hAnsi="仿宋" w:eastAsia="仿宋"/>
          <w:kern w:val="0"/>
          <w:szCs w:val="24"/>
        </w:rPr>
        <w:t>联系人 ：</w:t>
      </w:r>
      <w:r>
        <w:rPr>
          <w:rFonts w:hint="eastAsia" w:ascii="仿宋" w:hAnsi="仿宋" w:eastAsia="仿宋"/>
          <w:kern w:val="0"/>
          <w:szCs w:val="24"/>
        </w:rPr>
        <w:t>厉</w:t>
      </w:r>
      <w:r>
        <w:rPr>
          <w:rFonts w:ascii="仿宋" w:hAnsi="仿宋" w:eastAsia="仿宋"/>
          <w:kern w:val="0"/>
          <w:szCs w:val="24"/>
        </w:rPr>
        <w:t>先生</w:t>
      </w:r>
    </w:p>
    <w:p>
      <w:pPr>
        <w:pStyle w:val="494"/>
        <w:ind w:firstLine="480"/>
        <w:rPr>
          <w:rFonts w:ascii="仿宋" w:hAnsi="仿宋" w:eastAsia="仿宋"/>
          <w:kern w:val="0"/>
          <w:szCs w:val="24"/>
        </w:rPr>
      </w:pPr>
      <w:r>
        <w:rPr>
          <w:rFonts w:ascii="仿宋" w:hAnsi="仿宋" w:eastAsia="仿宋"/>
          <w:kern w:val="0"/>
          <w:szCs w:val="24"/>
        </w:rPr>
        <w:t>监督投诉电话：0571-877233323</w:t>
      </w:r>
    </w:p>
    <w:p>
      <w:pPr>
        <w:pStyle w:val="494"/>
        <w:ind w:firstLine="480"/>
        <w:rPr>
          <w:rFonts w:ascii="仿宋" w:hAnsi="仿宋" w:eastAsia="仿宋"/>
          <w:szCs w:val="24"/>
        </w:rPr>
      </w:pPr>
    </w:p>
    <w:p>
      <w:pPr>
        <w:pStyle w:val="494"/>
        <w:ind w:firstLine="480"/>
        <w:rPr>
          <w:rFonts w:ascii="仿宋" w:hAnsi="仿宋" w:eastAsia="仿宋"/>
          <w:szCs w:val="24"/>
        </w:rPr>
      </w:pPr>
      <w:r>
        <w:rPr>
          <w:rFonts w:ascii="仿宋" w:hAnsi="仿宋" w:eastAsia="仿宋"/>
          <w:szCs w:val="24"/>
        </w:rPr>
        <w:t>若对项目采购电子交易系统操作有疑问，可登录政采云（https://www.zcygov.cn/），点击右侧咨询小采，获取采小蜜智能服务管家帮助，或拨打政采云服务热线400-881-7190获取热线服务帮助。</w:t>
      </w:r>
      <w:r>
        <w:rPr>
          <w:rFonts w:ascii="仿宋" w:hAnsi="仿宋" w:eastAsia="仿宋"/>
          <w:szCs w:val="24"/>
        </w:rPr>
        <w:br w:type="textWrapping"/>
      </w:r>
      <w:r>
        <w:rPr>
          <w:rFonts w:ascii="仿宋" w:hAnsi="仿宋" w:eastAsia="仿宋"/>
          <w:szCs w:val="24"/>
        </w:rPr>
        <w:t>CA问题联系电话（人工）：汇信CA 400-888-4636；天谷CA 400-087-8198。</w:t>
      </w:r>
    </w:p>
    <w:p>
      <w:pPr>
        <w:spacing w:line="360" w:lineRule="auto"/>
        <w:jc w:val="center"/>
        <w:outlineLvl w:val="0"/>
        <w:rPr>
          <w:rFonts w:ascii="仿宋" w:hAnsi="仿宋" w:eastAsia="仿宋" w:cs="仿宋"/>
          <w:b/>
          <w:sz w:val="36"/>
          <w:szCs w:val="20"/>
        </w:rPr>
      </w:pPr>
    </w:p>
    <w:p>
      <w:pPr>
        <w:wordWrap w:val="0"/>
        <w:spacing w:line="360" w:lineRule="auto"/>
        <w:jc w:val="right"/>
        <w:outlineLvl w:val="0"/>
        <w:rPr>
          <w:rFonts w:ascii="仿宋" w:hAnsi="仿宋" w:eastAsia="仿宋" w:cs="仿宋"/>
          <w:b/>
          <w:sz w:val="24"/>
        </w:rPr>
      </w:pPr>
    </w:p>
    <w:p>
      <w:pPr>
        <w:spacing w:line="360" w:lineRule="auto"/>
        <w:jc w:val="right"/>
        <w:outlineLvl w:val="0"/>
        <w:rPr>
          <w:rFonts w:ascii="仿宋" w:hAnsi="仿宋" w:eastAsia="仿宋" w:cs="仿宋"/>
          <w:b/>
          <w:sz w:val="24"/>
        </w:rPr>
      </w:pPr>
    </w:p>
    <w:p>
      <w:pPr>
        <w:shd w:val="clear" w:color="auto" w:fill="FFFFFF"/>
        <w:snapToGrid w:val="0"/>
        <w:spacing w:line="360" w:lineRule="auto"/>
        <w:textAlignment w:val="bottom"/>
        <w:rPr>
          <w:rFonts w:ascii="仿宋" w:hAnsi="仿宋" w:eastAsia="仿宋" w:cs="仿宋"/>
          <w:b/>
          <w:snapToGrid w:val="0"/>
          <w:kern w:val="28"/>
          <w:sz w:val="24"/>
        </w:rPr>
      </w:pPr>
    </w:p>
    <w:p>
      <w:pPr>
        <w:pageBreakBefore/>
        <w:shd w:val="clear" w:color="auto" w:fill="FFFFFF"/>
        <w:snapToGrid w:val="0"/>
        <w:spacing w:line="360" w:lineRule="auto"/>
        <w:jc w:val="center"/>
        <w:outlineLvl w:val="0"/>
        <w:rPr>
          <w:rFonts w:ascii="仿宋" w:hAnsi="仿宋" w:eastAsia="仿宋" w:cs="仿宋"/>
          <w:b/>
          <w:bCs/>
          <w:sz w:val="24"/>
        </w:rPr>
      </w:pPr>
      <w:bookmarkStart w:id="5" w:name="_Hlt74649545"/>
      <w:bookmarkEnd w:id="5"/>
      <w:bookmarkStart w:id="6" w:name="_Hlt74707423"/>
      <w:bookmarkEnd w:id="6"/>
      <w:bookmarkStart w:id="7" w:name="_Hlt74729822"/>
      <w:bookmarkEnd w:id="7"/>
      <w:bookmarkStart w:id="8" w:name="_Hlt74728647"/>
      <w:bookmarkEnd w:id="8"/>
      <w:bookmarkStart w:id="9" w:name="_Toc354996694"/>
      <w:bookmarkStart w:id="10" w:name="_Toc33194386"/>
      <w:bookmarkStart w:id="11" w:name="_Toc225840107"/>
      <w:r>
        <w:rPr>
          <w:rFonts w:hint="eastAsia" w:ascii="仿宋" w:hAnsi="仿宋" w:eastAsia="仿宋" w:cs="仿宋"/>
          <w:b/>
          <w:bCs/>
          <w:sz w:val="24"/>
        </w:rPr>
        <w:t>第二部分  编制和提交投标文件须知</w:t>
      </w:r>
      <w:bookmarkEnd w:id="9"/>
      <w:bookmarkEnd w:id="10"/>
    </w:p>
    <w:p>
      <w:pPr>
        <w:keepNext/>
        <w:keepLines/>
        <w:shd w:val="clear" w:color="auto" w:fill="FFFFFF"/>
        <w:tabs>
          <w:tab w:val="left" w:pos="706"/>
        </w:tabs>
        <w:snapToGrid w:val="0"/>
        <w:spacing w:line="360" w:lineRule="auto"/>
        <w:ind w:left="560" w:firstLine="454"/>
        <w:jc w:val="center"/>
        <w:outlineLvl w:val="1"/>
        <w:rPr>
          <w:rFonts w:ascii="仿宋" w:hAnsi="仿宋" w:eastAsia="仿宋" w:cs="仿宋"/>
          <w:b/>
          <w:bCs/>
          <w:sz w:val="24"/>
        </w:rPr>
      </w:pPr>
      <w:bookmarkStart w:id="12" w:name="_Toc354996695"/>
      <w:bookmarkStart w:id="13" w:name="_Toc233618971"/>
      <w:bookmarkStart w:id="14" w:name="_Toc33194387"/>
      <w:r>
        <w:rPr>
          <w:rFonts w:hint="eastAsia" w:ascii="仿宋" w:hAnsi="仿宋" w:eastAsia="仿宋" w:cs="仿宋"/>
          <w:b/>
          <w:bCs/>
          <w:sz w:val="24"/>
        </w:rPr>
        <w:t>前 附 表</w:t>
      </w:r>
      <w:bookmarkEnd w:id="12"/>
      <w:bookmarkEnd w:id="13"/>
      <w:bookmarkEnd w:id="14"/>
    </w:p>
    <w:tbl>
      <w:tblPr>
        <w:tblStyle w:val="7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18"/>
        <w:gridCol w:w="1428"/>
        <w:gridCol w:w="6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718" w:type="dxa"/>
            <w:tcBorders>
              <w:top w:val="single" w:color="000000" w:sz="8"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条款</w:t>
            </w:r>
          </w:p>
        </w:tc>
        <w:tc>
          <w:tcPr>
            <w:tcW w:w="1428" w:type="dxa"/>
            <w:tcBorders>
              <w:top w:val="single" w:color="000000" w:sz="8" w:space="0"/>
              <w:left w:val="single" w:color="000000" w:sz="2" w:space="0"/>
              <w:bottom w:val="single" w:color="000000" w:sz="2" w:space="0"/>
              <w:right w:val="single" w:color="000000" w:sz="2" w:space="0"/>
            </w:tcBorders>
          </w:tcPr>
          <w:p>
            <w:pPr>
              <w:snapToGrid w:val="0"/>
              <w:spacing w:line="360" w:lineRule="auto"/>
              <w:jc w:val="center"/>
              <w:rPr>
                <w:rFonts w:ascii="仿宋" w:hAnsi="仿宋" w:eastAsia="仿宋" w:cs="仿宋"/>
                <w:bCs/>
                <w:sz w:val="24"/>
              </w:rPr>
            </w:pPr>
            <w:r>
              <w:rPr>
                <w:rFonts w:hint="eastAsia" w:ascii="仿宋" w:hAnsi="仿宋" w:eastAsia="仿宋" w:cs="仿宋_GB2312"/>
                <w:sz w:val="24"/>
              </w:rPr>
              <w:t>事项</w:t>
            </w:r>
          </w:p>
        </w:tc>
        <w:tc>
          <w:tcPr>
            <w:tcW w:w="6445" w:type="dxa"/>
            <w:tcBorders>
              <w:top w:val="single" w:color="000000" w:sz="8" w:space="0"/>
              <w:left w:val="single" w:color="000000" w:sz="2" w:space="0"/>
              <w:bottom w:val="single" w:color="000000" w:sz="2"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_GB2312"/>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1428" w:type="dxa"/>
            <w:tcBorders>
              <w:top w:val="single" w:color="000000" w:sz="2" w:space="0"/>
              <w:left w:val="single" w:color="000000" w:sz="2" w:space="0"/>
              <w:bottom w:val="single" w:color="000000" w:sz="2" w:space="0"/>
              <w:right w:val="single" w:color="000000" w:sz="2" w:space="0"/>
            </w:tcBorders>
          </w:tcPr>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b/>
                <w:sz w:val="24"/>
              </w:rPr>
            </w:pPr>
            <w:r>
              <w:rPr>
                <w:rFonts w:ascii="仿宋" w:hAnsi="仿宋" w:eastAsia="仿宋" w:cs="仿宋"/>
                <w:b/>
                <w:sz w:val="24"/>
              </w:rPr>
              <w:t>报价要求</w:t>
            </w:r>
          </w:p>
        </w:tc>
        <w:tc>
          <w:tcPr>
            <w:tcW w:w="6445" w:type="dxa"/>
            <w:tcBorders>
              <w:top w:val="single" w:color="000000" w:sz="2" w:space="0"/>
              <w:left w:val="single" w:color="000000" w:sz="2" w:space="0"/>
              <w:bottom w:val="single" w:color="000000" w:sz="2" w:space="0"/>
              <w:right w:val="single" w:color="000000" w:sz="8" w:space="0"/>
            </w:tcBorders>
          </w:tcPr>
          <w:p>
            <w:pPr>
              <w:snapToGrid w:val="0"/>
              <w:spacing w:line="360" w:lineRule="auto"/>
              <w:jc w:val="left"/>
              <w:rPr>
                <w:rFonts w:ascii="仿宋" w:hAnsi="仿宋" w:eastAsia="仿宋" w:cs="仿宋_GB2312"/>
                <w:b/>
                <w:kern w:val="0"/>
                <w:sz w:val="24"/>
                <w:lang w:val="zh-CN"/>
              </w:rPr>
            </w:pPr>
            <w:bookmarkStart w:id="15" w:name="_Hlt75139851"/>
            <w:bookmarkEnd w:id="15"/>
            <w:r>
              <w:rPr>
                <w:rFonts w:hint="eastAsia" w:ascii="仿宋" w:hAnsi="仿宋" w:eastAsia="仿宋" w:cs="仿宋"/>
                <w:sz w:val="24"/>
              </w:rPr>
              <w:t>投标报价包含为完成本项目各项服务可能发生的全部费用及供应商的利润和应交纳的税金、项目不可预见的风险等一切费用（包括</w:t>
            </w:r>
            <w:r>
              <w:rPr>
                <w:rFonts w:hint="eastAsia" w:ascii="仿宋" w:hAnsi="仿宋" w:eastAsia="仿宋" w:cs="宋体"/>
                <w:sz w:val="24"/>
              </w:rPr>
              <w:t>本项目设备使用费、安装调试、运行维护、技术支持和税金等</w:t>
            </w:r>
            <w:r>
              <w:rPr>
                <w:rFonts w:hint="eastAsia" w:ascii="仿宋" w:hAnsi="仿宋" w:eastAsia="仿宋" w:cs="仿宋"/>
                <w:sz w:val="24"/>
              </w:rPr>
              <w:t>）。《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_GB2312"/>
                <w:b/>
                <w:kern w:val="0"/>
                <w:sz w:val="24"/>
                <w:lang w:val="zh-CN"/>
              </w:rPr>
              <w:t>提醒：验收时检测费用由采购人承担，不包含在投标总价中。</w:t>
            </w:r>
          </w:p>
          <w:p>
            <w:pPr>
              <w:snapToGrid w:val="0"/>
              <w:spacing w:line="360" w:lineRule="auto"/>
              <w:jc w:val="left"/>
              <w:rPr>
                <w:rFonts w:ascii="仿宋" w:hAnsi="仿宋" w:eastAsia="仿宋" w:cs="仿宋"/>
                <w:b/>
                <w:sz w:val="24"/>
              </w:rPr>
            </w:pPr>
            <w:r>
              <w:rPr>
                <w:rFonts w:hint="eastAsia" w:ascii="仿宋" w:hAnsi="仿宋" w:eastAsia="仿宋" w:cs="仿宋"/>
                <w:b/>
                <w:sz w:val="24"/>
              </w:rPr>
              <w:t>投标报价出现下列情形的，投标无效：</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▲投标文件出现不是唯一的、有选择性投标报价的；</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▲投标报价高于本项目采购预算的</w:t>
            </w:r>
            <w:r>
              <w:rPr>
                <w:rFonts w:ascii="仿宋" w:hAnsi="仿宋" w:eastAsia="仿宋" w:cs="仿宋"/>
                <w:b/>
                <w:sz w:val="24"/>
              </w:rPr>
              <w:t>;</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▲报价明显低于其他通过符合性审查投标人的报价或出现“</w:t>
            </w:r>
            <w:r>
              <w:rPr>
                <w:rFonts w:ascii="仿宋" w:hAnsi="仿宋" w:eastAsia="仿宋" w:cs="仿宋"/>
                <w:b/>
                <w:sz w:val="24"/>
              </w:rPr>
              <w:t>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▲《投标（开标）一览表》填写不完整或字迹不能辨认或有漏项的；</w:t>
            </w:r>
          </w:p>
          <w:p>
            <w:pPr>
              <w:autoSpaceDE w:val="0"/>
              <w:autoSpaceDN w:val="0"/>
              <w:snapToGrid w:val="0"/>
              <w:spacing w:line="360" w:lineRule="auto"/>
              <w:jc w:val="left"/>
              <w:rPr>
                <w:rFonts w:ascii="仿宋" w:hAnsi="仿宋" w:eastAsia="仿宋" w:cs="宋体"/>
                <w:sz w:val="24"/>
              </w:rPr>
            </w:pPr>
            <w:r>
              <w:rPr>
                <w:rFonts w:hint="eastAsia" w:ascii="仿宋" w:hAnsi="仿宋" w:eastAsia="仿宋" w:cs="仿宋"/>
                <w:b/>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2</w:t>
            </w:r>
          </w:p>
        </w:tc>
        <w:tc>
          <w:tcPr>
            <w:tcW w:w="1428" w:type="dxa"/>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rPr>
                <w:rFonts w:ascii="仿宋" w:hAnsi="仿宋" w:eastAsia="仿宋" w:cs="仿宋"/>
                <w:b/>
                <w:bCs/>
                <w:sz w:val="24"/>
                <w:lang w:val="zh-CN"/>
              </w:rPr>
            </w:pPr>
            <w:r>
              <w:rPr>
                <w:rFonts w:hint="eastAsia" w:ascii="仿宋" w:hAnsi="仿宋" w:eastAsia="仿宋" w:cs="仿宋_GB2312"/>
                <w:b/>
                <w:sz w:val="24"/>
              </w:rPr>
              <w:t>分包</w:t>
            </w:r>
          </w:p>
        </w:tc>
        <w:tc>
          <w:tcPr>
            <w:tcW w:w="6445"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仿宋" w:hAnsi="仿宋" w:eastAsia="仿宋" w:cs="仿宋"/>
                <w:sz w:val="24"/>
              </w:rPr>
            </w:pPr>
            <w:r>
              <w:rPr>
                <w:rFonts w:ascii="Segoe UI Symbol" w:hAnsi="Segoe UI Symbol" w:eastAsia="仿宋" w:cs="Segoe UI Symbol"/>
                <w:kern w:val="0"/>
                <w:sz w:val="24"/>
              </w:rPr>
              <w:t>☐</w:t>
            </w:r>
            <w:r>
              <w:rPr>
                <w:rFonts w:ascii="仿宋" w:hAnsi="仿宋" w:eastAsia="仿宋" w:cs="Arial"/>
                <w:kern w:val="0"/>
                <w:sz w:val="24"/>
              </w:rPr>
              <w:t xml:space="preserve"> A</w:t>
            </w:r>
            <w:r>
              <w:rPr>
                <w:rFonts w:hint="eastAsia" w:ascii="仿宋" w:hAnsi="仿宋" w:eastAsia="仿宋"/>
                <w:sz w:val="24"/>
              </w:rPr>
              <w:t>同意将非主体、非关键性的工作分包。</w:t>
            </w:r>
            <w:r>
              <w:rPr>
                <w:rFonts w:ascii="仿宋" w:hAnsi="仿宋" w:eastAsia="仿宋" w:cs="Arial"/>
                <w:kern w:val="0"/>
                <w:sz w:val="24"/>
              </w:rPr>
              <w:sym w:font="Wingdings" w:char="F0FE"/>
            </w:r>
            <w:r>
              <w:rPr>
                <w:rFonts w:ascii="仿宋" w:hAnsi="仿宋" w:eastAsia="仿宋" w:cs="Arial"/>
                <w:kern w:val="0"/>
                <w:sz w:val="24"/>
              </w:rPr>
              <w:t xml:space="preserve"> B</w:t>
            </w:r>
            <w:r>
              <w:rPr>
                <w:rFonts w:hint="eastAsia" w:ascii="仿宋" w:hAnsi="仿宋" w:eastAsia="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3</w:t>
            </w:r>
          </w:p>
        </w:tc>
        <w:tc>
          <w:tcPr>
            <w:tcW w:w="1428" w:type="dxa"/>
            <w:tcBorders>
              <w:top w:val="single" w:color="000000" w:sz="2" w:space="0"/>
              <w:left w:val="single" w:color="000000" w:sz="2" w:space="0"/>
              <w:bottom w:val="single" w:color="000000" w:sz="2" w:space="0"/>
              <w:right w:val="single" w:color="000000" w:sz="2" w:space="0"/>
            </w:tcBorders>
          </w:tcPr>
          <w:p>
            <w:pPr>
              <w:snapToGrid w:val="0"/>
              <w:spacing w:line="360" w:lineRule="auto"/>
              <w:jc w:val="left"/>
              <w:rPr>
                <w:rFonts w:ascii="仿宋" w:hAnsi="仿宋" w:eastAsia="仿宋" w:cs="仿宋"/>
                <w:snapToGrid w:val="0"/>
                <w:kern w:val="0"/>
                <w:sz w:val="24"/>
              </w:rPr>
            </w:pPr>
            <w:r>
              <w:rPr>
                <w:rFonts w:hint="eastAsia" w:ascii="仿宋" w:hAnsi="仿宋" w:eastAsia="仿宋" w:cs="仿宋_GB2312"/>
                <w:b/>
                <w:sz w:val="24"/>
              </w:rPr>
              <w:t>投标人应当提供的资格、资信证明文件</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1）资格证明文件：见招标文件第二部分11.1。</w:t>
            </w:r>
          </w:p>
          <w:p>
            <w:pPr>
              <w:snapToGrid w:val="0"/>
              <w:spacing w:line="360" w:lineRule="auto"/>
              <w:jc w:val="left"/>
              <w:rPr>
                <w:rFonts w:ascii="仿宋" w:hAnsi="仿宋" w:eastAsia="仿宋"/>
                <w:kern w:val="0"/>
                <w:sz w:val="24"/>
                <w:lang w:val="zh-CN"/>
              </w:rPr>
            </w:pPr>
            <w:r>
              <w:rPr>
                <w:rFonts w:hint="eastAsia" w:ascii="仿宋" w:hAnsi="仿宋" w:eastAsia="仿宋"/>
                <w:kern w:val="0"/>
                <w:sz w:val="24"/>
                <w:lang w:val="zh-CN"/>
              </w:rPr>
              <w:t>投标人未提供有效的资格证明文件的，视为投标人不具备招标文件中规定的资格要求，投标无效。</w:t>
            </w:r>
          </w:p>
          <w:p>
            <w:pPr>
              <w:snapToGrid w:val="0"/>
              <w:spacing w:line="360" w:lineRule="auto"/>
              <w:jc w:val="left"/>
              <w:rPr>
                <w:rFonts w:ascii="仿宋" w:hAnsi="仿宋" w:eastAsia="仿宋" w:cs="仿宋"/>
                <w:bCs/>
                <w:sz w:val="24"/>
                <w:lang w:val="zh-CN"/>
              </w:rPr>
            </w:pPr>
            <w:r>
              <w:rPr>
                <w:rFonts w:hint="eastAsia" w:ascii="仿宋" w:hAnsi="仿宋" w:eastAsia="仿宋"/>
                <w:sz w:val="24"/>
              </w:rPr>
              <w:t>（</w:t>
            </w:r>
            <w:r>
              <w:rPr>
                <w:rFonts w:ascii="仿宋" w:hAnsi="仿宋" w:eastAsia="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_GB2312"/>
                <w:sz w:val="24"/>
              </w:rPr>
            </w:pPr>
          </w:p>
          <w:p>
            <w:pPr>
              <w:snapToGrid w:val="0"/>
              <w:spacing w:line="360" w:lineRule="auto"/>
              <w:jc w:val="center"/>
              <w:rPr>
                <w:rFonts w:ascii="仿宋" w:hAnsi="仿宋" w:eastAsia="仿宋" w:cs="仿宋"/>
                <w:bCs/>
                <w:sz w:val="24"/>
              </w:rPr>
            </w:pPr>
            <w:r>
              <w:rPr>
                <w:rFonts w:ascii="仿宋" w:hAnsi="仿宋" w:eastAsia="仿宋" w:cs="仿宋_GB2312"/>
                <w:sz w:val="24"/>
              </w:rPr>
              <w:t>4</w:t>
            </w:r>
          </w:p>
        </w:tc>
        <w:tc>
          <w:tcPr>
            <w:tcW w:w="1428" w:type="dxa"/>
            <w:tcBorders>
              <w:top w:val="single" w:color="000000" w:sz="2" w:space="0"/>
              <w:left w:val="single" w:color="000000" w:sz="2" w:space="0"/>
              <w:bottom w:val="single" w:color="auto" w:sz="4" w:space="0"/>
              <w:right w:val="single" w:color="000000" w:sz="2" w:space="0"/>
            </w:tcBorders>
            <w:vAlign w:val="center"/>
          </w:tcPr>
          <w:p>
            <w:pPr>
              <w:snapToGrid w:val="0"/>
              <w:spacing w:line="360" w:lineRule="auto"/>
              <w:jc w:val="left"/>
              <w:rPr>
                <w:rFonts w:ascii="仿宋" w:hAnsi="仿宋" w:eastAsia="仿宋" w:cs="仿宋"/>
                <w:b/>
                <w:bCs/>
                <w:sz w:val="24"/>
              </w:rPr>
            </w:pPr>
            <w:r>
              <w:rPr>
                <w:rFonts w:hint="eastAsia" w:ascii="仿宋" w:hAnsi="仿宋" w:eastAsia="仿宋" w:cs="仿宋_GB2312"/>
                <w:b/>
                <w:sz w:val="24"/>
              </w:rPr>
              <w:t>开标前答疑会或现场考察</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rPr>
            </w:pPr>
            <w:r>
              <w:rPr>
                <w:rFonts w:ascii="仿宋" w:hAnsi="仿宋" w:eastAsia="仿宋" w:cs="Arial"/>
                <w:kern w:val="0"/>
                <w:sz w:val="24"/>
              </w:rPr>
              <w:sym w:font="Wingdings" w:char="F0FE"/>
            </w:r>
            <w:r>
              <w:rPr>
                <w:rFonts w:ascii="仿宋" w:hAnsi="仿宋" w:eastAsia="仿宋" w:cs="Arial"/>
                <w:kern w:val="0"/>
                <w:sz w:val="24"/>
              </w:rPr>
              <w:t>A</w:t>
            </w:r>
            <w:r>
              <w:rPr>
                <w:rFonts w:hint="eastAsia" w:ascii="仿宋" w:hAnsi="仿宋" w:eastAsia="仿宋"/>
                <w:sz w:val="24"/>
              </w:rPr>
              <w:t>不组织。</w:t>
            </w:r>
          </w:p>
          <w:p>
            <w:pPr>
              <w:snapToGrid w:val="0"/>
              <w:spacing w:line="360" w:lineRule="auto"/>
              <w:rPr>
                <w:rFonts w:ascii="仿宋" w:hAnsi="仿宋" w:eastAsia="仿宋" w:cs="仿宋"/>
                <w:snapToGrid w:val="0"/>
                <w:kern w:val="0"/>
                <w:sz w:val="24"/>
              </w:rPr>
            </w:pPr>
            <w:r>
              <w:rPr>
                <w:rFonts w:ascii="Segoe UI Symbol" w:hAnsi="Segoe UI Symbol" w:eastAsia="仿宋" w:cs="Segoe UI Symbol"/>
                <w:kern w:val="0"/>
                <w:sz w:val="24"/>
              </w:rPr>
              <w:t>☐</w:t>
            </w:r>
            <w:r>
              <w:rPr>
                <w:rFonts w:ascii="仿宋" w:hAnsi="仿宋" w:eastAsia="仿宋"/>
                <w:kern w:val="0"/>
                <w:sz w:val="24"/>
              </w:rPr>
              <w:t>B组织，</w:t>
            </w:r>
            <w:r>
              <w:rPr>
                <w:rFonts w:hint="eastAsia" w:ascii="仿宋" w:hAnsi="仿宋" w:eastAsia="仿宋"/>
                <w:sz w:val="24"/>
              </w:rPr>
              <w:t>时间：</w:t>
            </w:r>
            <w:r>
              <w:rPr>
                <w:rFonts w:ascii="仿宋" w:hAnsi="仿宋" w:eastAsia="仿宋"/>
                <w:sz w:val="24"/>
              </w:rPr>
              <w:t>,地点：</w:t>
            </w:r>
            <w:r>
              <w:rPr>
                <w:rFonts w:hint="eastAsia" w:ascii="仿宋" w:hAnsi="仿宋" w:eastAsia="仿宋"/>
                <w:sz w:val="24"/>
              </w:rPr>
              <w:t>，联系人：，联系方式：</w:t>
            </w:r>
            <w:r>
              <w:rPr>
                <w:rFonts w:hint="eastAsia" w:ascii="仿宋" w:hAnsi="仿宋" w:eastAsia="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Cs/>
                <w:sz w:val="24"/>
              </w:rPr>
            </w:pPr>
            <w:r>
              <w:rPr>
                <w:rFonts w:ascii="仿宋" w:hAnsi="仿宋" w:eastAsia="仿宋" w:cs="仿宋_GB2312"/>
                <w:sz w:val="24"/>
              </w:rPr>
              <w:t>5</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rPr>
            </w:pPr>
            <w:r>
              <w:rPr>
                <w:rFonts w:hint="eastAsia" w:ascii="仿宋" w:hAnsi="仿宋" w:eastAsia="仿宋" w:cs="仿宋_GB2312"/>
                <w:b/>
                <w:sz w:val="24"/>
              </w:rPr>
              <w:t>样品提供</w:t>
            </w:r>
          </w:p>
        </w:tc>
        <w:tc>
          <w:tcPr>
            <w:tcW w:w="6445" w:type="dxa"/>
            <w:tcBorders>
              <w:top w:val="single" w:color="000000" w:sz="2" w:space="0"/>
              <w:left w:val="single" w:color="auto" w:sz="4" w:space="0"/>
              <w:bottom w:val="single" w:color="000000" w:sz="2" w:space="0"/>
              <w:right w:val="single" w:color="000000" w:sz="8" w:space="0"/>
            </w:tcBorders>
            <w:vAlign w:val="center"/>
          </w:tcPr>
          <w:p>
            <w:pPr>
              <w:spacing w:line="360" w:lineRule="auto"/>
              <w:jc w:val="left"/>
              <w:rPr>
                <w:rFonts w:ascii="仿宋" w:hAnsi="仿宋" w:eastAsia="仿宋"/>
                <w:sz w:val="24"/>
              </w:rPr>
            </w:pPr>
            <w:r>
              <w:rPr>
                <w:rFonts w:ascii="仿宋" w:hAnsi="仿宋" w:eastAsia="仿宋" w:cs="Arial"/>
                <w:kern w:val="0"/>
                <w:sz w:val="24"/>
              </w:rPr>
              <w:sym w:font="Wingdings" w:char="F0FE"/>
            </w:r>
            <w:r>
              <w:rPr>
                <w:rFonts w:ascii="仿宋" w:hAnsi="仿宋" w:eastAsia="仿宋" w:cs="Arial"/>
                <w:kern w:val="0"/>
                <w:sz w:val="24"/>
              </w:rPr>
              <w:t>A</w:t>
            </w:r>
            <w:r>
              <w:rPr>
                <w:rFonts w:hint="eastAsia" w:ascii="仿宋" w:hAnsi="仿宋" w:eastAsia="仿宋"/>
                <w:sz w:val="24"/>
              </w:rPr>
              <w:t>不要求提供。</w:t>
            </w:r>
          </w:p>
          <w:p>
            <w:pPr>
              <w:spacing w:line="360" w:lineRule="auto"/>
              <w:jc w:val="left"/>
              <w:rPr>
                <w:rFonts w:ascii="仿宋" w:hAnsi="仿宋" w:eastAsia="仿宋"/>
                <w:kern w:val="0"/>
                <w:sz w:val="24"/>
              </w:rPr>
            </w:pPr>
            <w:r>
              <w:rPr>
                <w:rFonts w:ascii="Segoe UI Symbol" w:hAnsi="Segoe UI Symbol" w:eastAsia="仿宋" w:cs="Segoe UI Symbol"/>
                <w:kern w:val="0"/>
                <w:sz w:val="24"/>
              </w:rPr>
              <w:t>☐</w:t>
            </w:r>
            <w:r>
              <w:rPr>
                <w:rFonts w:ascii="仿宋" w:hAnsi="仿宋" w:eastAsia="仿宋"/>
                <w:kern w:val="0"/>
                <w:sz w:val="24"/>
              </w:rPr>
              <w:t>B</w:t>
            </w:r>
            <w:r>
              <w:rPr>
                <w:rFonts w:hint="eastAsia" w:ascii="仿宋" w:hAnsi="仿宋" w:eastAsia="仿宋"/>
                <w:kern w:val="0"/>
                <w:sz w:val="24"/>
              </w:rPr>
              <w:t>要求提供，</w:t>
            </w:r>
          </w:p>
          <w:p>
            <w:pPr>
              <w:spacing w:line="360" w:lineRule="auto"/>
              <w:jc w:val="lef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w:t>
            </w:r>
            <w:r>
              <w:rPr>
                <w:rFonts w:hint="eastAsia" w:ascii="仿宋" w:hAnsi="仿宋" w:eastAsia="仿宋"/>
                <w:snapToGrid w:val="0"/>
                <w:kern w:val="28"/>
                <w:sz w:val="24"/>
              </w:rPr>
              <w:t>样品：</w:t>
            </w:r>
            <w:r>
              <w:rPr>
                <w:rFonts w:hint="eastAsia" w:ascii="仿宋" w:hAnsi="仿宋" w:eastAsia="仿宋"/>
                <w:kern w:val="0"/>
                <w:sz w:val="24"/>
              </w:rPr>
              <w:t>；</w:t>
            </w:r>
          </w:p>
          <w:p>
            <w:pPr>
              <w:spacing w:line="360" w:lineRule="auto"/>
              <w:jc w:val="lef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snapToGrid w:val="0"/>
                <w:kern w:val="28"/>
                <w:sz w:val="24"/>
              </w:rPr>
              <w:t>样品制作的标准和要求：</w:t>
            </w:r>
            <w:r>
              <w:rPr>
                <w:rFonts w:hint="eastAsia" w:ascii="仿宋" w:hAnsi="仿宋" w:eastAsia="仿宋"/>
                <w:kern w:val="0"/>
                <w:sz w:val="24"/>
              </w:rPr>
              <w:t>；</w:t>
            </w:r>
          </w:p>
          <w:p>
            <w:pPr>
              <w:spacing w:line="360" w:lineRule="auto"/>
              <w:jc w:val="lef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z w:val="24"/>
                <w:u w:val="single"/>
              </w:rPr>
              <w:t>评标办法</w:t>
            </w:r>
            <w:r>
              <w:rPr>
                <w:rFonts w:hint="eastAsia" w:ascii="仿宋" w:hAnsi="仿宋" w:eastAsia="仿宋"/>
                <w:kern w:val="0"/>
                <w:sz w:val="24"/>
              </w:rPr>
              <w:t>；</w:t>
            </w:r>
          </w:p>
          <w:p>
            <w:pPr>
              <w:spacing w:line="360" w:lineRule="auto"/>
              <w:jc w:val="left"/>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4）是否需要随样品提交检测报告</w:t>
            </w:r>
            <w:r>
              <w:rPr>
                <w:rFonts w:hint="eastAsia" w:ascii="仿宋" w:hAnsi="仿宋" w:eastAsia="仿宋"/>
                <w:kern w:val="0"/>
                <w:sz w:val="24"/>
              </w:rPr>
              <w:t>：</w:t>
            </w:r>
            <w:r>
              <w:rPr>
                <w:rFonts w:ascii="仿宋" w:hAnsi="仿宋" w:eastAsia="仿宋" w:cs="Arial"/>
                <w:kern w:val="0"/>
                <w:sz w:val="24"/>
              </w:rPr>
              <w:sym w:font="Wingdings" w:char="F0FE"/>
            </w:r>
            <w:r>
              <w:rPr>
                <w:rFonts w:ascii="仿宋" w:hAnsi="仿宋" w:eastAsia="仿宋"/>
                <w:kern w:val="0"/>
                <w:sz w:val="24"/>
              </w:rPr>
              <w:t>否；</w:t>
            </w:r>
            <w:r>
              <w:rPr>
                <w:rFonts w:ascii="Segoe UI Symbol" w:hAnsi="Segoe UI Symbol" w:eastAsia="仿宋" w:cs="Segoe UI Symbol"/>
                <w:kern w:val="0"/>
                <w:sz w:val="24"/>
              </w:rPr>
              <w:t>☐</w:t>
            </w:r>
            <w:r>
              <w:rPr>
                <w:rFonts w:ascii="仿宋" w:hAnsi="仿宋" w:eastAsia="仿宋"/>
                <w:kern w:val="0"/>
                <w:sz w:val="24"/>
              </w:rPr>
              <w:t>是，检测机构的要求</w:t>
            </w:r>
            <w:r>
              <w:rPr>
                <w:rFonts w:hint="eastAsia" w:ascii="仿宋" w:hAnsi="仿宋" w:eastAsia="仿宋"/>
                <w:sz w:val="24"/>
              </w:rPr>
              <w:t>：</w:t>
            </w:r>
            <w:r>
              <w:rPr>
                <w:rFonts w:hint="eastAsia" w:ascii="仿宋" w:hAnsi="仿宋" w:eastAsia="仿宋"/>
                <w:kern w:val="0"/>
                <w:sz w:val="24"/>
              </w:rPr>
              <w:t>；检测内容</w:t>
            </w:r>
            <w:r>
              <w:rPr>
                <w:rFonts w:hint="eastAsia" w:ascii="仿宋" w:hAnsi="仿宋" w:eastAsia="仿宋"/>
                <w:sz w:val="24"/>
              </w:rPr>
              <w:t>：</w:t>
            </w:r>
            <w:r>
              <w:rPr>
                <w:rFonts w:hint="eastAsia" w:ascii="仿宋" w:hAnsi="仿宋" w:eastAsia="仿宋"/>
                <w:kern w:val="0"/>
                <w:sz w:val="24"/>
              </w:rPr>
              <w:t>。</w:t>
            </w:r>
          </w:p>
          <w:p>
            <w:pPr>
              <w:spacing w:line="360" w:lineRule="auto"/>
              <w:jc w:val="left"/>
              <w:rPr>
                <w:rFonts w:ascii="仿宋" w:hAnsi="仿宋" w:eastAsia="仿宋"/>
                <w:sz w:val="24"/>
              </w:rPr>
            </w:pPr>
            <w:r>
              <w:rPr>
                <w:rFonts w:hint="eastAsia" w:ascii="仿宋" w:hAnsi="仿宋" w:eastAsia="仿宋"/>
                <w:sz w:val="24"/>
              </w:rPr>
              <w:t>（</w:t>
            </w:r>
            <w:r>
              <w:rPr>
                <w:rFonts w:ascii="仿宋" w:hAnsi="仿宋" w:eastAsia="仿宋"/>
                <w:sz w:val="24"/>
              </w:rPr>
              <w:t>5）提供样品的时间：</w:t>
            </w:r>
            <w:r>
              <w:rPr>
                <w:rFonts w:hint="eastAsia" w:ascii="仿宋" w:hAnsi="仿宋" w:eastAsia="仿宋"/>
                <w:kern w:val="0"/>
                <w:sz w:val="24"/>
              </w:rPr>
              <w:t>；地点：；联系人</w:t>
            </w:r>
            <w:r>
              <w:rPr>
                <w:rFonts w:hint="eastAsia" w:ascii="仿宋" w:hAnsi="仿宋" w:eastAsia="仿宋"/>
                <w:sz w:val="24"/>
              </w:rPr>
              <w:t>：，</w:t>
            </w:r>
            <w:r>
              <w:rPr>
                <w:rFonts w:hint="eastAsia" w:ascii="仿宋" w:hAnsi="仿宋" w:eastAsia="仿宋"/>
                <w:kern w:val="28"/>
                <w:sz w:val="24"/>
              </w:rPr>
              <w:t>联系电话：</w:t>
            </w:r>
            <w:r>
              <w:rPr>
                <w:rFonts w:hint="eastAsia" w:ascii="仿宋" w:hAnsi="仿宋" w:eastAsia="仿宋"/>
                <w:sz w:val="24"/>
              </w:rPr>
              <w:t>。请投标人在上述时间内提供样品并按规定位置安装完毕。超过截止时间的，采购人或采购代理机构将不予接收，并将清场并封闭样品现场。</w:t>
            </w:r>
          </w:p>
          <w:p>
            <w:pPr>
              <w:spacing w:line="360" w:lineRule="auto"/>
              <w:jc w:val="left"/>
              <w:rPr>
                <w:rFonts w:ascii="仿宋" w:hAnsi="仿宋" w:eastAsia="仿宋"/>
                <w:sz w:val="24"/>
              </w:rPr>
            </w:pPr>
            <w:r>
              <w:rPr>
                <w:rFonts w:ascii="仿宋" w:hAnsi="仿宋" w:eastAsia="仿宋"/>
                <w:sz w:val="24"/>
              </w:rPr>
              <w:t>(6)采购活动结束后，对于未中标人提供的样品，</w:t>
            </w:r>
            <w:r>
              <w:rPr>
                <w:rFonts w:hint="eastAsia" w:ascii="仿宋" w:hAnsi="仿宋" w:eastAsia="仿宋"/>
                <w:sz w:val="24"/>
              </w:rPr>
              <w:t>采购人、采购机构将通知</w:t>
            </w:r>
            <w:r>
              <w:rPr>
                <w:rFonts w:ascii="仿宋" w:hAnsi="仿宋" w:eastAsia="仿宋"/>
                <w:sz w:val="24"/>
              </w:rPr>
              <w:t>未中标人</w:t>
            </w:r>
            <w:r>
              <w:rPr>
                <w:rFonts w:hint="eastAsia" w:ascii="仿宋" w:hAnsi="仿宋" w:eastAsia="仿宋"/>
                <w:sz w:val="24"/>
              </w:rPr>
              <w:t>在规定的时间内取回，逾期未取回的，采购人、采购机构不负保管义务</w:t>
            </w:r>
            <w:r>
              <w:rPr>
                <w:rFonts w:ascii="仿宋" w:hAnsi="仿宋" w:eastAsia="仿宋"/>
                <w:sz w:val="24"/>
              </w:rPr>
              <w:t>；对于中标人提供的样品，</w:t>
            </w:r>
            <w:r>
              <w:rPr>
                <w:rFonts w:hint="eastAsia" w:ascii="仿宋" w:hAnsi="仿宋" w:eastAsia="仿宋"/>
                <w:sz w:val="24"/>
              </w:rPr>
              <w:t>采购人将进</w:t>
            </w:r>
            <w:r>
              <w:rPr>
                <w:rFonts w:ascii="仿宋" w:hAnsi="仿宋" w:eastAsia="仿宋"/>
                <w:sz w:val="24"/>
              </w:rPr>
              <w:t>行保管、封存，并作为履约验收的参考。</w:t>
            </w:r>
          </w:p>
          <w:p>
            <w:pPr>
              <w:spacing w:line="360" w:lineRule="auto"/>
              <w:jc w:val="left"/>
              <w:rPr>
                <w:rFonts w:ascii="仿宋" w:hAnsi="仿宋" w:eastAsia="仿宋" w:cs="仿宋"/>
                <w:sz w:val="24"/>
              </w:rPr>
            </w:pPr>
            <w:r>
              <w:rPr>
                <w:rFonts w:hint="eastAsia" w:ascii="仿宋" w:hAnsi="仿宋" w:eastAsia="仿宋"/>
                <w:sz w:val="24"/>
              </w:rPr>
              <w:t>（</w:t>
            </w:r>
            <w:r>
              <w:rPr>
                <w:rFonts w:ascii="仿宋" w:hAnsi="仿宋" w:eastAsia="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6</w:t>
            </w:r>
          </w:p>
        </w:tc>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bCs/>
                <w:sz w:val="24"/>
              </w:rPr>
            </w:pPr>
            <w:r>
              <w:rPr>
                <w:rFonts w:hint="eastAsia" w:ascii="仿宋" w:hAnsi="仿宋" w:eastAsia="仿宋" w:cs="仿宋_GB2312"/>
                <w:b/>
                <w:sz w:val="24"/>
              </w:rPr>
              <w:t>方案讲解演示</w:t>
            </w:r>
          </w:p>
        </w:tc>
        <w:tc>
          <w:tcPr>
            <w:tcW w:w="6445" w:type="dxa"/>
            <w:tcBorders>
              <w:top w:val="single" w:color="000000" w:sz="2" w:space="0"/>
              <w:left w:val="single" w:color="auto" w:sz="4" w:space="0"/>
              <w:bottom w:val="single" w:color="000000" w:sz="2" w:space="0"/>
              <w:right w:val="single" w:color="000000" w:sz="8" w:space="0"/>
            </w:tcBorders>
            <w:vAlign w:val="center"/>
          </w:tcPr>
          <w:p>
            <w:pPr>
              <w:spacing w:line="360" w:lineRule="auto"/>
              <w:rPr>
                <w:rFonts w:ascii="仿宋" w:hAnsi="仿宋" w:eastAsia="仿宋"/>
                <w:sz w:val="24"/>
              </w:rPr>
            </w:pPr>
            <w:r>
              <w:rPr>
                <w:rFonts w:ascii="仿宋" w:hAnsi="仿宋" w:eastAsia="仿宋" w:cs="Arial"/>
                <w:kern w:val="0"/>
                <w:sz w:val="24"/>
              </w:rPr>
              <w:sym w:font="Wingdings" w:char="F0FE"/>
            </w:r>
            <w:r>
              <w:rPr>
                <w:rFonts w:ascii="仿宋" w:hAnsi="仿宋" w:eastAsia="仿宋" w:cs="Arial"/>
                <w:kern w:val="0"/>
                <w:sz w:val="24"/>
              </w:rPr>
              <w:t>A</w:t>
            </w:r>
            <w:r>
              <w:rPr>
                <w:rFonts w:hint="eastAsia" w:ascii="仿宋" w:hAnsi="仿宋" w:eastAsia="仿宋"/>
                <w:sz w:val="24"/>
              </w:rPr>
              <w:t>不组织。</w:t>
            </w:r>
          </w:p>
          <w:p>
            <w:pPr>
              <w:spacing w:line="360" w:lineRule="auto"/>
              <w:rPr>
                <w:rFonts w:ascii="仿宋" w:hAnsi="仿宋" w:eastAsia="仿宋"/>
                <w:kern w:val="0"/>
                <w:sz w:val="24"/>
              </w:rPr>
            </w:pPr>
            <w:r>
              <w:rPr>
                <w:rFonts w:ascii="Segoe UI Symbol" w:hAnsi="Segoe UI Symbol" w:eastAsia="仿宋" w:cs="Segoe UI Symbol"/>
                <w:kern w:val="0"/>
                <w:sz w:val="24"/>
              </w:rPr>
              <w:t>☐</w:t>
            </w:r>
            <w:r>
              <w:rPr>
                <w:rFonts w:ascii="仿宋" w:hAnsi="仿宋" w:eastAsia="仿宋"/>
                <w:kern w:val="0"/>
                <w:sz w:val="24"/>
              </w:rPr>
              <w:t>B组织。</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2）方案讲解演示可选择</w:t>
            </w:r>
            <w:r>
              <w:rPr>
                <w:rFonts w:hint="eastAsia" w:ascii="仿宋" w:hAnsi="仿宋" w:eastAsia="仿宋"/>
                <w:kern w:val="0"/>
                <w:sz w:val="24"/>
              </w:rPr>
              <w:t>以下其中一种方式：</w:t>
            </w:r>
          </w:p>
          <w:p>
            <w:pPr>
              <w:snapToGrid w:val="0"/>
              <w:spacing w:line="360" w:lineRule="auto"/>
              <w:rPr>
                <w:rFonts w:ascii="仿宋" w:hAnsi="仿宋" w:eastAsia="仿宋"/>
                <w:kern w:val="0"/>
                <w:sz w:val="24"/>
              </w:rPr>
            </w:pPr>
            <w:r>
              <w:rPr>
                <w:rFonts w:hint="eastAsia" w:ascii="仿宋" w:hAnsi="仿宋" w:eastAsia="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kern w:val="0"/>
                <w:sz w:val="24"/>
              </w:rPr>
            </w:pPr>
            <w:r>
              <w:rPr>
                <w:rFonts w:hint="eastAsia" w:ascii="仿宋" w:hAnsi="仿宋" w:eastAsia="仿宋"/>
                <w:kern w:val="0"/>
                <w:sz w:val="24"/>
              </w:rPr>
              <w:t>方式二：现场讲解演示。现场讲解地点为，讲解演示所用电脑等设备由投标人自备。现场讲解演示人员进场时提供讲解人员名单（加盖公章）及身份证明，否则不得讲解演示。</w:t>
            </w:r>
          </w:p>
          <w:p>
            <w:pPr>
              <w:spacing w:line="360" w:lineRule="auto"/>
              <w:jc w:val="left"/>
              <w:rPr>
                <w:rFonts w:ascii="仿宋" w:hAnsi="仿宋" w:eastAsia="仿宋" w:cs="仿宋"/>
                <w:sz w:val="24"/>
              </w:rPr>
            </w:pPr>
            <w:r>
              <w:rPr>
                <w:rFonts w:hint="eastAsia" w:ascii="仿宋" w:hAnsi="仿宋" w:eastAsia="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auto" w:sz="4" w:space="0"/>
              <w:left w:val="single" w:color="000000" w:sz="8" w:space="0"/>
              <w:bottom w:val="single" w:color="000000" w:sz="2" w:space="0"/>
              <w:right w:val="single" w:color="000000" w:sz="2" w:space="0"/>
            </w:tcBorders>
            <w:vAlign w:val="center"/>
          </w:tcPr>
          <w:p>
            <w:pPr>
              <w:snapToGrid w:val="0"/>
              <w:spacing w:line="360" w:lineRule="auto"/>
              <w:rPr>
                <w:rFonts w:ascii="仿宋" w:hAnsi="仿宋" w:eastAsia="仿宋" w:cs="仿宋"/>
                <w:bCs/>
                <w:sz w:val="24"/>
              </w:rPr>
            </w:pPr>
            <w:r>
              <w:rPr>
                <w:rFonts w:ascii="仿宋" w:hAnsi="仿宋" w:eastAsia="仿宋" w:cs="仿宋_GB2312"/>
                <w:sz w:val="24"/>
              </w:rPr>
              <w:t>7</w:t>
            </w:r>
          </w:p>
        </w:tc>
        <w:tc>
          <w:tcPr>
            <w:tcW w:w="1428" w:type="dxa"/>
            <w:tcBorders>
              <w:top w:val="single" w:color="auto" w:sz="4"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是否允许采购进口产品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cs="Arial"/>
                <w:kern w:val="0"/>
                <w:sz w:val="24"/>
              </w:rPr>
            </w:pPr>
            <w:r>
              <w:rPr>
                <w:rFonts w:ascii="仿宋" w:hAnsi="仿宋" w:eastAsia="仿宋" w:cs="Arial"/>
                <w:kern w:val="0"/>
                <w:sz w:val="24"/>
              </w:rPr>
              <w:sym w:font="Wingdings" w:char="F0FE"/>
            </w:r>
            <w:r>
              <w:rPr>
                <w:rFonts w:hint="eastAsia" w:ascii="仿宋" w:hAnsi="仿宋" w:eastAsia="仿宋" w:cs="Arial"/>
                <w:kern w:val="0"/>
                <w:sz w:val="24"/>
              </w:rPr>
              <w:t>本项目不允许采购进口产品。</w:t>
            </w:r>
          </w:p>
          <w:p>
            <w:pPr>
              <w:spacing w:line="360" w:lineRule="auto"/>
              <w:rPr>
                <w:rFonts w:ascii="仿宋" w:hAnsi="仿宋" w:eastAsia="仿宋" w:cs="Arial"/>
                <w:kern w:val="0"/>
                <w:sz w:val="24"/>
              </w:rPr>
            </w:pPr>
            <w:r>
              <w:rPr>
                <w:rFonts w:ascii="Segoe UI Symbol" w:hAnsi="Segoe UI Symbol" w:eastAsia="仿宋" w:cs="Segoe UI Symbol"/>
                <w:kern w:val="0"/>
                <w:sz w:val="24"/>
              </w:rPr>
              <w:t>☐</w:t>
            </w:r>
            <w:r>
              <w:rPr>
                <w:rFonts w:hint="eastAsia" w:ascii="仿宋" w:hAnsi="仿宋" w:eastAsia="仿宋"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snapToGrid w:val="0"/>
              <w:spacing w:line="360" w:lineRule="auto"/>
              <w:jc w:val="center"/>
              <w:rPr>
                <w:rFonts w:ascii="仿宋" w:hAnsi="仿宋" w:eastAsia="仿宋" w:cs="仿宋_GB2312"/>
                <w:sz w:val="24"/>
              </w:rPr>
            </w:pPr>
          </w:p>
          <w:p>
            <w:pPr>
              <w:snapToGrid w:val="0"/>
              <w:spacing w:line="360" w:lineRule="auto"/>
              <w:rPr>
                <w:rFonts w:ascii="仿宋" w:hAnsi="仿宋" w:eastAsia="仿宋" w:cs="仿宋_GB2312"/>
                <w:sz w:val="24"/>
              </w:rPr>
            </w:pPr>
            <w:r>
              <w:rPr>
                <w:rFonts w:ascii="仿宋" w:hAnsi="仿宋" w:eastAsia="仿宋" w:cs="仿宋_GB2312"/>
                <w:sz w:val="24"/>
              </w:rPr>
              <w:t>8</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项目属性与核心产品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rPr>
                <w:rFonts w:ascii="仿宋" w:hAnsi="仿宋" w:eastAsia="仿宋"/>
                <w:sz w:val="24"/>
              </w:rPr>
            </w:pPr>
            <w:r>
              <w:rPr>
                <w:rFonts w:ascii="Segoe UI Symbol" w:hAnsi="Segoe UI Symbol" w:eastAsia="仿宋" w:cs="Segoe UI Symbol"/>
                <w:kern w:val="0"/>
                <w:sz w:val="24"/>
              </w:rPr>
              <w:t>☐</w:t>
            </w:r>
            <w:r>
              <w:rPr>
                <w:rFonts w:ascii="仿宋" w:hAnsi="仿宋" w:eastAsia="仿宋" w:cs="Arial"/>
                <w:kern w:val="0"/>
                <w:sz w:val="24"/>
              </w:rPr>
              <w:t>A</w:t>
            </w:r>
            <w:r>
              <w:rPr>
                <w:rFonts w:hint="eastAsia" w:ascii="仿宋" w:hAnsi="仿宋" w:eastAsia="仿宋"/>
                <w:sz w:val="24"/>
              </w:rPr>
              <w:t>货物类，单一产品或</w:t>
            </w:r>
            <w:r>
              <w:rPr>
                <w:rFonts w:hint="eastAsia" w:ascii="仿宋" w:hAnsi="仿宋" w:eastAsia="仿宋"/>
                <w:kern w:val="0"/>
                <w:sz w:val="24"/>
              </w:rPr>
              <w:t>核心产品为：</w:t>
            </w:r>
            <w:r>
              <w:rPr>
                <w:rFonts w:hint="eastAsia" w:ascii="仿宋" w:hAnsi="仿宋" w:eastAsia="仿宋"/>
                <w:sz w:val="24"/>
              </w:rPr>
              <w:t>。</w:t>
            </w:r>
          </w:p>
          <w:p>
            <w:pPr>
              <w:spacing w:line="360" w:lineRule="auto"/>
              <w:rPr>
                <w:rFonts w:ascii="仿宋" w:hAnsi="仿宋" w:eastAsia="仿宋" w:cs="Arial"/>
                <w:kern w:val="0"/>
                <w:sz w:val="24"/>
              </w:rPr>
            </w:pPr>
            <w:r>
              <w:rPr>
                <w:rFonts w:ascii="仿宋" w:hAnsi="仿宋" w:eastAsia="仿宋" w:cs="Arial"/>
                <w:kern w:val="0"/>
                <w:sz w:val="24"/>
              </w:rPr>
              <w:sym w:font="Wingdings" w:char="F0FE"/>
            </w:r>
            <w:r>
              <w:rPr>
                <w:rFonts w:ascii="仿宋" w:hAnsi="仿宋" w:eastAsia="仿宋" w:cs="Arial"/>
                <w:kern w:val="0"/>
                <w:sz w:val="24"/>
              </w:rPr>
              <w:t>B</w:t>
            </w:r>
            <w:r>
              <w:rPr>
                <w:rFonts w:hint="eastAsia" w:ascii="仿宋" w:hAnsi="仿宋" w:eastAsia="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采购标的对应的中小企业划分标准所属行业</w:t>
            </w:r>
          </w:p>
        </w:tc>
        <w:tc>
          <w:tcPr>
            <w:tcW w:w="6445" w:type="dxa"/>
            <w:tcBorders>
              <w:top w:val="single" w:color="000000" w:sz="2" w:space="0"/>
              <w:left w:val="single" w:color="000000" w:sz="2" w:space="0"/>
              <w:bottom w:val="single" w:color="000000" w:sz="2" w:space="0"/>
              <w:right w:val="single" w:color="000000" w:sz="8" w:space="0"/>
            </w:tcBorders>
            <w:vAlign w:val="center"/>
          </w:tcPr>
          <w:p>
            <w:pPr>
              <w:numPr>
                <w:ilvl w:val="0"/>
                <w:numId w:val="1"/>
              </w:numPr>
              <w:snapToGrid w:val="0"/>
              <w:spacing w:line="360" w:lineRule="auto"/>
              <w:rPr>
                <w:rFonts w:ascii="仿宋" w:hAnsi="仿宋" w:eastAsia="仿宋" w:cs="Arial"/>
                <w:kern w:val="0"/>
                <w:sz w:val="24"/>
              </w:rPr>
            </w:pPr>
            <w:r>
              <w:rPr>
                <w:rFonts w:hint="eastAsia" w:ascii="仿宋" w:hAnsi="仿宋" w:eastAsia="仿宋" w:cs="Arial"/>
                <w:kern w:val="0"/>
                <w:sz w:val="24"/>
              </w:rPr>
              <w:t>标的：违法鸣笛抓拍系统租赁服务</w:t>
            </w:r>
            <w:r>
              <w:rPr>
                <w:rFonts w:ascii="仿宋" w:hAnsi="仿宋" w:eastAsia="仿宋" w:cs="Arial"/>
                <w:kern w:val="0"/>
                <w:sz w:val="24"/>
              </w:rPr>
              <w:t>，所属行业：</w:t>
            </w:r>
            <w:r>
              <w:rPr>
                <w:rFonts w:hint="eastAsia" w:ascii="仿宋" w:hAnsi="仿宋" w:eastAsia="仿宋" w:cs="Arial"/>
                <w:kern w:val="0"/>
                <w:sz w:val="24"/>
              </w:rPr>
              <w:t>（十五）</w:t>
            </w:r>
            <w:r>
              <w:rPr>
                <w:rFonts w:ascii="仿宋" w:hAnsi="仿宋" w:eastAsia="仿宋" w:cs="Arial"/>
                <w:kern w:val="0"/>
                <w:sz w:val="24"/>
              </w:rPr>
              <w:t>租赁和商务服务业。</w:t>
            </w:r>
          </w:p>
          <w:p>
            <w:pPr>
              <w:pStyle w:val="118"/>
              <w:rPr>
                <w:rFonts w:ascii="仿宋" w:hAnsi="仿宋" w:eastAsia="仿宋"/>
                <w:lang w:val="en-US"/>
              </w:rPr>
            </w:pPr>
            <w:r>
              <w:rPr>
                <w:rFonts w:hint="eastAsia" w:ascii="仿宋" w:hAnsi="仿宋" w:eastAsia="仿宋" w:cs="Arial"/>
                <w:szCs w:val="24"/>
                <w:lang w:val="en-US"/>
              </w:rPr>
              <w:t>（2）本项目专门面向中小企业采购。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
                <w:bCs/>
                <w:kern w:val="0"/>
                <w:sz w:val="24"/>
              </w:rPr>
              <w:t>10</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节能产品、环境标志产品</w:t>
            </w:r>
          </w:p>
        </w:tc>
        <w:tc>
          <w:tcPr>
            <w:tcW w:w="6445" w:type="dxa"/>
            <w:tcBorders>
              <w:top w:val="single" w:color="000000" w:sz="2" w:space="0"/>
              <w:left w:val="single" w:color="000000" w:sz="2" w:space="0"/>
              <w:bottom w:val="single" w:color="000000" w:sz="2" w:space="0"/>
              <w:right w:val="single" w:color="000000" w:sz="8" w:space="0"/>
            </w:tcBorders>
            <w:vAlign w:val="center"/>
          </w:tcPr>
          <w:p>
            <w:pPr>
              <w:snapToGrid w:val="0"/>
              <w:spacing w:line="360" w:lineRule="auto"/>
              <w:rPr>
                <w:rFonts w:ascii="仿宋" w:hAnsi="仿宋" w:eastAsia="仿宋" w:cs="Arial"/>
                <w:kern w:val="0"/>
                <w:sz w:val="24"/>
              </w:rPr>
            </w:pPr>
            <w:r>
              <w:rPr>
                <w:rFonts w:hint="eastAsia" w:ascii="仿宋" w:hAnsi="仿宋" w:eastAsia="仿宋"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vMerge w:val="restart"/>
            <w:tcBorders>
              <w:top w:val="single" w:color="000000" w:sz="2" w:space="0"/>
              <w:left w:val="single" w:color="000000" w:sz="8" w:space="0"/>
              <w:right w:val="single" w:color="000000" w:sz="2" w:space="0"/>
            </w:tcBorders>
            <w:vAlign w:val="center"/>
          </w:tcPr>
          <w:p>
            <w:pPr>
              <w:snapToGrid w:val="0"/>
              <w:spacing w:line="360" w:lineRule="auto"/>
              <w:jc w:val="center"/>
              <w:rPr>
                <w:rFonts w:ascii="仿宋" w:hAnsi="仿宋" w:eastAsia="仿宋" w:cs="仿宋"/>
                <w:bCs/>
                <w:kern w:val="0"/>
                <w:sz w:val="24"/>
              </w:rPr>
            </w:pPr>
            <w:r>
              <w:rPr>
                <w:rFonts w:hint="eastAsia" w:ascii="仿宋" w:hAnsi="仿宋" w:eastAsia="仿宋" w:cs="仿宋"/>
                <w:bCs/>
                <w:kern w:val="0"/>
                <w:sz w:val="24"/>
              </w:rPr>
              <w:t>11</w:t>
            </w:r>
          </w:p>
        </w:tc>
        <w:tc>
          <w:tcPr>
            <w:tcW w:w="1428" w:type="dxa"/>
            <w:vMerge w:val="restart"/>
            <w:tcBorders>
              <w:top w:val="single" w:color="000000" w:sz="2" w:space="0"/>
              <w:left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中小企业信用融资</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rPr>
            </w:pPr>
            <w:r>
              <w:rPr>
                <w:rFonts w:hint="eastAsia" w:ascii="仿宋" w:hAnsi="仿宋" w:eastAsia="仿宋" w:cs="仿宋"/>
                <w:snapToGrid w:val="0"/>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vMerge w:val="continue"/>
            <w:tcBorders>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kern w:val="0"/>
                <w:sz w:val="24"/>
              </w:rPr>
            </w:pPr>
          </w:p>
        </w:tc>
        <w:tc>
          <w:tcPr>
            <w:tcW w:w="1428" w:type="dxa"/>
            <w:vMerge w:val="continue"/>
            <w:tcBorders>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sz w:val="24"/>
              </w:rPr>
            </w:pPr>
            <w:r>
              <w:rPr>
                <w:rFonts w:hint="eastAsia" w:ascii="仿宋" w:hAnsi="仿宋" w:eastAsia="仿宋" w:cs="仿宋"/>
                <w:snapToGrid w:val="0"/>
                <w:kern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tcPr>
          <w:p>
            <w:pPr>
              <w:snapToGrid w:val="0"/>
              <w:spacing w:line="360" w:lineRule="auto"/>
              <w:jc w:val="center"/>
              <w:rPr>
                <w:rFonts w:ascii="仿宋" w:hAnsi="仿宋" w:eastAsia="仿宋" w:cs="仿宋"/>
                <w:bCs/>
                <w:kern w:val="0"/>
                <w:sz w:val="24"/>
              </w:rPr>
            </w:pPr>
            <w:r>
              <w:rPr>
                <w:rFonts w:ascii="仿宋" w:hAnsi="仿宋" w:eastAsia="仿宋" w:cs="仿宋_GB2312"/>
                <w:sz w:val="24"/>
              </w:rPr>
              <w:t>12</w:t>
            </w:r>
          </w:p>
        </w:tc>
        <w:tc>
          <w:tcPr>
            <w:tcW w:w="1428" w:type="dxa"/>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仿宋" w:hAnsi="仿宋" w:eastAsia="仿宋" w:cs="仿宋_GB2312"/>
                <w:b/>
                <w:sz w:val="24"/>
              </w:rPr>
            </w:pPr>
            <w:r>
              <w:rPr>
                <w:rFonts w:hint="eastAsia" w:ascii="仿宋" w:hAnsi="仿宋" w:eastAsia="仿宋" w:cs="仿宋_GB2312"/>
                <w:b/>
                <w:sz w:val="24"/>
              </w:rPr>
              <w:t>备份投标文件送达地点和签收人员</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cs="仿宋"/>
                <w:snapToGrid w:val="0"/>
                <w:kern w:val="0"/>
                <w:sz w:val="24"/>
              </w:rPr>
            </w:pPr>
            <w:r>
              <w:rPr>
                <w:rFonts w:hint="eastAsia" w:ascii="仿宋" w:hAnsi="仿宋" w:eastAsia="仿宋" w:cs="仿宋"/>
                <w:snapToGrid w:val="0"/>
                <w:kern w:val="0"/>
                <w:sz w:val="24"/>
              </w:rPr>
              <w:t>备份投标文件送达地点：杭州市德胜路289号602室；备份投标文件签收人员联系电话：朱祺18057188023。采购人、采购机构不强制或变相强制投标人提交备份投标文件。</w:t>
            </w:r>
          </w:p>
          <w:p>
            <w:pPr>
              <w:spacing w:line="360" w:lineRule="auto"/>
              <w:jc w:val="left"/>
              <w:rPr>
                <w:rFonts w:ascii="仿宋" w:hAnsi="仿宋" w:eastAsia="仿宋" w:cs="仿宋"/>
                <w:snapToGrid w:val="0"/>
                <w:kern w:val="0"/>
                <w:sz w:val="24"/>
              </w:rPr>
            </w:pPr>
            <w:r>
              <w:rPr>
                <w:rFonts w:hint="eastAsia" w:ascii="仿宋" w:hAnsi="仿宋" w:eastAsia="仿宋" w:cs="仿宋"/>
                <w:snapToGrid w:val="0"/>
                <w:kern w:val="0"/>
                <w:sz w:val="24"/>
              </w:rPr>
              <w:t>纸质投标文件一套：请各投标人于投标截止时间后邮寄或现场递交，（邮寄地址：杭州市德胜路289号602室朱祺</w:t>
            </w:r>
            <w:r>
              <w:rPr>
                <w:rFonts w:ascii="仿宋" w:hAnsi="仿宋" w:eastAsia="仿宋" w:cs="仿宋"/>
                <w:snapToGrid w:val="0"/>
                <w:kern w:val="0"/>
                <w:sz w:val="24"/>
              </w:rPr>
              <w:t>收，电话：</w:t>
            </w:r>
            <w:r>
              <w:rPr>
                <w:rFonts w:hint="eastAsia" w:ascii="仿宋" w:hAnsi="仿宋" w:eastAsia="仿宋" w:cs="仿宋"/>
                <w:snapToGrid w:val="0"/>
                <w:kern w:val="0"/>
                <w:sz w:val="24"/>
              </w:rPr>
              <w:t>18057188023</w:t>
            </w:r>
            <w:r>
              <w:rPr>
                <w:rFonts w:ascii="仿宋" w:hAnsi="仿宋" w:eastAsia="仿宋" w:cs="仿宋"/>
                <w:snapToGrid w:val="0"/>
                <w:kern w:val="0"/>
                <w:sz w:val="24"/>
              </w:rPr>
              <w:t>）。注：纸质投标文件仅作为存档使用。将投标文件的资格文件、商务技术文件、报价文件三部分装订成册。纸质投标文件不作为备份投标文件。</w:t>
            </w:r>
          </w:p>
          <w:p>
            <w:pPr>
              <w:spacing w:line="360" w:lineRule="auto"/>
              <w:jc w:val="left"/>
              <w:rPr>
                <w:rFonts w:ascii="仿宋" w:hAnsi="仿宋" w:eastAsia="仿宋"/>
                <w:sz w:val="24"/>
              </w:rPr>
            </w:pPr>
            <w:r>
              <w:rPr>
                <w:rFonts w:hint="eastAsia" w:ascii="仿宋" w:hAnsi="仿宋" w:eastAsia="仿宋" w:cs="仿宋"/>
                <w:snapToGrid w:val="0"/>
                <w:kern w:val="0"/>
                <w:sz w:val="24"/>
              </w:rPr>
              <w:t>第一中标候选人在评标结束后</w:t>
            </w:r>
            <w:r>
              <w:rPr>
                <w:rFonts w:ascii="仿宋" w:hAnsi="仿宋" w:eastAsia="仿宋" w:cs="仿宋"/>
                <w:snapToGrid w:val="0"/>
                <w:kern w:val="0"/>
                <w:sz w:val="24"/>
              </w:rPr>
              <w:t>2天内向</w:t>
            </w:r>
            <w:r>
              <w:rPr>
                <w:rFonts w:hint="eastAsia" w:ascii="仿宋" w:hAnsi="仿宋" w:eastAsia="仿宋" w:cs="仿宋"/>
                <w:snapToGrid w:val="0"/>
                <w:kern w:val="0"/>
                <w:sz w:val="24"/>
              </w:rPr>
              <w:t>采购人</w:t>
            </w:r>
            <w:r>
              <w:rPr>
                <w:rFonts w:ascii="仿宋" w:hAnsi="仿宋" w:eastAsia="仿宋" w:cs="仿宋"/>
                <w:snapToGrid w:val="0"/>
                <w:kern w:val="0"/>
                <w:sz w:val="24"/>
              </w:rPr>
              <w:t>提供3套纸质版投标文件，并确保纸质投标文件与最终上传电子加密投标文件一致，因纸质投标文件与电子投标文件不一致产生的一切结果，均由中标候选人承担。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18" w:type="dxa"/>
            <w:tcBorders>
              <w:top w:val="single" w:color="000000" w:sz="2" w:space="0"/>
              <w:left w:val="single" w:color="000000" w:sz="8" w:space="0"/>
              <w:bottom w:val="single" w:color="000000" w:sz="2" w:space="0"/>
              <w:right w:val="single" w:color="000000" w:sz="2"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14</w:t>
            </w:r>
          </w:p>
        </w:tc>
        <w:tc>
          <w:tcPr>
            <w:tcW w:w="1428" w:type="dxa"/>
            <w:tcBorders>
              <w:top w:val="single" w:color="000000" w:sz="2" w:space="0"/>
              <w:left w:val="single" w:color="000000" w:sz="2" w:space="0"/>
              <w:bottom w:val="single" w:color="000000" w:sz="2" w:space="0"/>
              <w:right w:val="single" w:color="000000" w:sz="2" w:space="0"/>
            </w:tcBorders>
          </w:tcPr>
          <w:p>
            <w:pPr>
              <w:snapToGrid w:val="0"/>
              <w:spacing w:line="360" w:lineRule="auto"/>
              <w:jc w:val="left"/>
              <w:rPr>
                <w:rFonts w:ascii="仿宋" w:hAnsi="仿宋" w:eastAsia="仿宋" w:cs="仿宋"/>
                <w:bCs/>
                <w:sz w:val="24"/>
              </w:rPr>
            </w:pPr>
          </w:p>
          <w:p>
            <w:pPr>
              <w:snapToGrid w:val="0"/>
              <w:spacing w:line="360" w:lineRule="auto"/>
              <w:jc w:val="left"/>
              <w:rPr>
                <w:rFonts w:ascii="仿宋" w:hAnsi="仿宋" w:eastAsia="仿宋" w:cs="仿宋"/>
                <w:bCs/>
                <w:sz w:val="24"/>
              </w:rPr>
            </w:pPr>
          </w:p>
          <w:p>
            <w:pPr>
              <w:spacing w:line="360" w:lineRule="auto"/>
              <w:rPr>
                <w:rFonts w:ascii="仿宋" w:hAnsi="仿宋" w:eastAsia="仿宋" w:cs="仿宋"/>
                <w:b/>
                <w:bCs/>
                <w:sz w:val="24"/>
              </w:rPr>
            </w:pPr>
            <w:r>
              <w:rPr>
                <w:rFonts w:hint="eastAsia" w:ascii="仿宋" w:hAnsi="仿宋" w:eastAsia="仿宋" w:cs="仿宋"/>
                <w:b/>
                <w:bCs/>
                <w:sz w:val="24"/>
              </w:rPr>
              <w:t>招标服务费</w:t>
            </w:r>
          </w:p>
        </w:tc>
        <w:tc>
          <w:tcPr>
            <w:tcW w:w="6445" w:type="dxa"/>
            <w:tcBorders>
              <w:top w:val="single" w:color="000000" w:sz="2" w:space="0"/>
              <w:left w:val="single" w:color="000000" w:sz="2" w:space="0"/>
              <w:bottom w:val="single" w:color="000000" w:sz="2" w:space="0"/>
              <w:right w:val="single" w:color="000000" w:sz="8" w:space="0"/>
            </w:tcBorders>
            <w:vAlign w:val="center"/>
          </w:tcPr>
          <w:p>
            <w:pPr>
              <w:spacing w:line="360" w:lineRule="auto"/>
              <w:jc w:val="left"/>
              <w:rPr>
                <w:rFonts w:ascii="仿宋" w:hAnsi="仿宋" w:eastAsia="仿宋" w:cs="仿宋"/>
                <w:snapToGrid w:val="0"/>
                <w:kern w:val="0"/>
                <w:sz w:val="24"/>
              </w:rPr>
            </w:pPr>
            <w:r>
              <w:rPr>
                <w:rFonts w:hint="eastAsia" w:ascii="仿宋" w:hAnsi="仿宋" w:eastAsia="仿宋" w:cs="仿宋"/>
                <w:snapToGrid w:val="0"/>
                <w:kern w:val="0"/>
                <w:sz w:val="24"/>
              </w:rPr>
              <w:t>中标人需向杭州信达投资咨询估价监理有限公司支付招标代理服务费，收费标准为：以中标通知书中确定的中标总金额作为收费的计算基数，参照《关于杭州市招标代理服务收费管理有关问题的通知》（杭价费[2003]148号）文件规定的相应项目收费标准下浮22%取费。以上费用由中标人在领取中标通知书时一次性向采购代理机构付清。</w:t>
            </w:r>
          </w:p>
        </w:tc>
      </w:tr>
    </w:tbl>
    <w:p>
      <w:pPr>
        <w:shd w:val="clear" w:color="auto" w:fill="FFFFFF"/>
        <w:snapToGrid w:val="0"/>
        <w:spacing w:line="360" w:lineRule="auto"/>
        <w:jc w:val="center"/>
        <w:outlineLvl w:val="1"/>
        <w:rPr>
          <w:rFonts w:ascii="仿宋" w:hAnsi="仿宋" w:eastAsia="仿宋" w:cs="仿宋"/>
          <w:b/>
          <w:bCs/>
          <w:sz w:val="24"/>
        </w:rPr>
      </w:pPr>
      <w:r>
        <w:rPr>
          <w:rFonts w:hint="eastAsia" w:ascii="仿宋" w:hAnsi="仿宋" w:eastAsia="仿宋" w:cs="宋体"/>
          <w:kern w:val="0"/>
          <w:sz w:val="24"/>
        </w:rPr>
        <w:br w:type="page"/>
      </w:r>
      <w:bookmarkEnd w:id="11"/>
      <w:bookmarkStart w:id="16" w:name="_Toc354996696"/>
      <w:bookmarkStart w:id="17" w:name="_Toc33194388"/>
      <w:bookmarkStart w:id="18" w:name="_Toc233618972"/>
      <w:bookmarkStart w:id="19" w:name="_Toc226106516"/>
      <w:bookmarkStart w:id="20" w:name="_Toc226106467"/>
      <w:bookmarkStart w:id="21" w:name="_Toc226521904"/>
      <w:bookmarkStart w:id="22" w:name="_Toc225840109"/>
      <w:r>
        <w:rPr>
          <w:rFonts w:hint="eastAsia" w:ascii="仿宋" w:hAnsi="仿宋" w:eastAsia="仿宋" w:cs="仿宋"/>
          <w:b/>
          <w:bCs/>
          <w:sz w:val="24"/>
        </w:rPr>
        <w:t>一、总 则</w:t>
      </w:r>
      <w:bookmarkEnd w:id="16"/>
      <w:bookmarkEnd w:id="17"/>
      <w:bookmarkEnd w:id="18"/>
      <w:bookmarkStart w:id="23" w:name="_Toc91899877"/>
      <w:bookmarkStart w:id="24" w:name="_Hlt74730303"/>
      <w:bookmarkStart w:id="25" w:name="_Toc354996697"/>
      <w:bookmarkStart w:id="26" w:name="_Toc233618973"/>
    </w:p>
    <w:p>
      <w:pPr>
        <w:snapToGrid w:val="0"/>
        <w:spacing w:line="360" w:lineRule="auto"/>
        <w:ind w:firstLine="361" w:firstLineChars="150"/>
        <w:jc w:val="left"/>
        <w:outlineLvl w:val="1"/>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pPr>
        <w:spacing w:line="360" w:lineRule="auto"/>
        <w:outlineLvl w:val="0"/>
        <w:rPr>
          <w:rFonts w:ascii="仿宋" w:hAnsi="仿宋" w:eastAsia="仿宋" w:cs="仿宋_GB2312"/>
          <w:b/>
          <w:sz w:val="24"/>
        </w:rPr>
      </w:pPr>
      <w:r>
        <w:rPr>
          <w:rFonts w:ascii="仿宋" w:hAnsi="仿宋" w:eastAsia="仿宋" w:cs="仿宋_GB2312"/>
          <w:b/>
          <w:sz w:val="24"/>
        </w:rPr>
        <w:t xml:space="preserve">   2.定义</w:t>
      </w:r>
    </w:p>
    <w:p>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pPr>
        <w:spacing w:line="360" w:lineRule="auto"/>
        <w:ind w:firstLine="480" w:firstLineChars="200"/>
        <w:rPr>
          <w:rFonts w:ascii="仿宋" w:hAnsi="仿宋" w:eastAsia="仿宋"/>
          <w:sz w:val="24"/>
        </w:rPr>
      </w:pPr>
      <w:r>
        <w:rPr>
          <w:rFonts w:ascii="仿宋" w:hAnsi="仿宋" w:eastAsia="仿宋"/>
          <w:sz w:val="24"/>
        </w:rPr>
        <w:t xml:space="preserve">2.2 </w:t>
      </w:r>
      <w:r>
        <w:rPr>
          <w:rFonts w:hint="eastAsia" w:ascii="仿宋" w:hAnsi="仿宋" w:eastAsia="仿宋"/>
          <w:sz w:val="24"/>
        </w:rPr>
        <w:t>“采购机构”系指招标公告中载明的本项目的采购机构。</w:t>
      </w:r>
    </w:p>
    <w:p>
      <w:pPr>
        <w:spacing w:line="360" w:lineRule="auto"/>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“投标人”系指是指响应招标、参加投标竞争的法人、其他组织或者自然人。</w:t>
      </w:r>
    </w:p>
    <w:p>
      <w:pPr>
        <w:spacing w:line="360" w:lineRule="auto"/>
        <w:ind w:firstLine="480" w:firstLineChars="200"/>
        <w:rPr>
          <w:rFonts w:ascii="仿宋" w:hAnsi="仿宋" w:eastAsia="仿宋"/>
          <w:sz w:val="24"/>
        </w:rPr>
      </w:pPr>
      <w:r>
        <w:rPr>
          <w:rFonts w:ascii="仿宋" w:hAnsi="仿宋" w:eastAsia="仿宋"/>
          <w:sz w:val="24"/>
        </w:rPr>
        <w:t xml:space="preserve">2.4 </w:t>
      </w:r>
      <w:r>
        <w:rPr>
          <w:rFonts w:hint="eastAsia" w:ascii="仿宋" w:hAnsi="仿宋" w:eastAsia="仿宋"/>
          <w:sz w:val="24"/>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ascii="仿宋" w:hAnsi="仿宋" w:eastAsia="仿宋"/>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2.6“电子交易平台”是指本项目政府采购活动所依托的政府采购云平台（https://www.zcygov.cn/）。</w:t>
      </w:r>
    </w:p>
    <w:p>
      <w:pPr>
        <w:spacing w:line="360" w:lineRule="auto"/>
        <w:ind w:firstLine="480" w:firstLineChars="200"/>
        <w:rPr>
          <w:rFonts w:ascii="仿宋" w:hAnsi="仿宋" w:eastAsia="仿宋"/>
          <w:sz w:val="24"/>
        </w:rPr>
      </w:pPr>
      <w:r>
        <w:rPr>
          <w:rFonts w:ascii="仿宋" w:hAnsi="仿宋" w:eastAsia="仿宋"/>
          <w:sz w:val="24"/>
        </w:rPr>
        <w:t xml:space="preserve">2.7 </w:t>
      </w:r>
      <w:r>
        <w:rPr>
          <w:rFonts w:hint="eastAsia" w:ascii="仿宋" w:hAnsi="仿宋" w:eastAsia="仿宋"/>
          <w:sz w:val="24"/>
        </w:rPr>
        <w:t>“▲”系指实质性要求条款，“★”系产品采购项目中单一产品或核心产品，</w:t>
      </w:r>
    </w:p>
    <w:p>
      <w:pPr>
        <w:spacing w:line="360" w:lineRule="auto"/>
        <w:ind w:firstLine="480" w:firstLineChars="200"/>
        <w:rPr>
          <w:rFonts w:ascii="仿宋" w:hAnsi="仿宋" w:eastAsia="仿宋" w:cs="仿宋"/>
          <w:sz w:val="24"/>
        </w:rPr>
      </w:pPr>
      <w:r>
        <w:rPr>
          <w:rFonts w:hint="eastAsia" w:ascii="仿宋" w:hAnsi="仿宋" w:eastAsia="仿宋"/>
          <w:sz w:val="24"/>
        </w:rPr>
        <w:t>“</w:t>
      </w:r>
      <w:r>
        <w:rPr>
          <w:rFonts w:ascii="仿宋" w:hAnsi="仿宋" w:eastAsia="仿宋" w:cs="Arial"/>
          <w:kern w:val="0"/>
          <w:sz w:val="24"/>
        </w:rPr>
        <w:sym w:font="Wingdings" w:char="F0FE"/>
      </w:r>
      <w:r>
        <w:rPr>
          <w:rFonts w:hint="eastAsia" w:ascii="仿宋" w:hAnsi="仿宋" w:eastAsia="仿宋"/>
          <w:sz w:val="24"/>
        </w:rPr>
        <w:t>”系指适用本项目的要求，“</w:t>
      </w:r>
      <w:r>
        <w:rPr>
          <w:rFonts w:ascii="Segoe UI Symbol" w:hAnsi="Segoe UI Symbol" w:eastAsia="仿宋" w:cs="Segoe UI Symbol"/>
          <w:kern w:val="0"/>
          <w:sz w:val="24"/>
        </w:rPr>
        <w:t>☐</w:t>
      </w:r>
      <w:r>
        <w:rPr>
          <w:rFonts w:hint="eastAsia" w:ascii="仿宋" w:hAnsi="仿宋" w:eastAsia="仿宋"/>
          <w:sz w:val="24"/>
        </w:rPr>
        <w:t>”系指不适用本项目的要求。</w:t>
      </w:r>
    </w:p>
    <w:p>
      <w:pPr>
        <w:spacing w:line="360" w:lineRule="auto"/>
        <w:ind w:firstLine="241" w:firstLineChars="100"/>
        <w:rPr>
          <w:rFonts w:ascii="仿宋" w:hAnsi="仿宋" w:eastAsia="仿宋"/>
          <w:b/>
          <w:sz w:val="24"/>
        </w:rPr>
      </w:pPr>
      <w:r>
        <w:rPr>
          <w:rFonts w:ascii="仿宋" w:hAnsi="仿宋" w:eastAsia="仿宋"/>
          <w:b/>
          <w:sz w:val="24"/>
        </w:rPr>
        <w:t>3.</w:t>
      </w:r>
      <w:r>
        <w:rPr>
          <w:rFonts w:hint="eastAsia" w:ascii="仿宋" w:hAnsi="仿宋" w:eastAsia="仿宋"/>
          <w:b/>
          <w:sz w:val="24"/>
        </w:rPr>
        <w:t>采购项目需要落实的政府采购政策</w:t>
      </w:r>
    </w:p>
    <w:p>
      <w:pPr>
        <w:spacing w:line="360" w:lineRule="auto"/>
        <w:ind w:firstLine="240" w:firstLineChars="100"/>
        <w:rPr>
          <w:rFonts w:ascii="仿宋" w:hAnsi="仿宋" w:eastAsia="仿宋"/>
          <w:sz w:val="24"/>
        </w:rPr>
      </w:pPr>
      <w:r>
        <w:rPr>
          <w:rFonts w:ascii="仿宋" w:hAnsi="仿宋" w:eastAsia="仿宋"/>
          <w:sz w:val="24"/>
        </w:rPr>
        <w:t xml:space="preserve">3.1 </w:t>
      </w:r>
      <w:r>
        <w:rPr>
          <w:rFonts w:hint="eastAsia" w:ascii="仿宋" w:hAnsi="仿宋" w:eastAsia="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 xml:space="preserve">3.2.2 </w:t>
      </w:r>
      <w:r>
        <w:rPr>
          <w:rFonts w:hint="eastAsia" w:ascii="仿宋" w:hAnsi="仿宋" w:eastAsia="仿宋"/>
          <w:sz w:val="24"/>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sz w:val="24"/>
        </w:rPr>
        <w:t>0%的扣除，用扣除后的价格参与评审。接受大中型企业与小微企业组成联合体或者允许大中型企业向一家或者多家小微企业分包的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sz w:val="24"/>
        </w:rPr>
        <w:t>6</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240" w:firstLineChars="1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w:t>
      </w:r>
      <w:r>
        <w:rPr>
          <w:rFonts w:ascii="仿宋" w:hAnsi="仿宋" w:eastAsia="仿宋"/>
          <w:sz w:val="24"/>
        </w:rPr>
        <w:t>2年内，以及产品核心技术高于国内领先水平，并具有明晰自主知识产权的“制造精品”产品，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80" w:firstLineChars="200"/>
        <w:rPr>
          <w:rFonts w:ascii="仿宋" w:hAnsi="仿宋" w:eastAsia="仿宋" w:cs="仿宋"/>
          <w:sz w:val="24"/>
        </w:rPr>
      </w:pPr>
      <w:r>
        <w:rPr>
          <w:rFonts w:ascii="仿宋" w:hAnsi="仿宋" w:eastAsia="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sz w:val="24"/>
        </w:rPr>
        <w:t>登录</w:t>
      </w:r>
      <w:r>
        <w:rPr>
          <w:rFonts w:ascii="仿宋" w:hAnsi="仿宋" w:eastAsia="仿宋"/>
          <w:sz w:val="24"/>
        </w:rPr>
        <w:t>杭州市政府采购网“中小企业信用融资”模块，查看信用融资政策文件及各相关银行服务方案。</w:t>
      </w:r>
    </w:p>
    <w:p>
      <w:pPr>
        <w:spacing w:line="360" w:lineRule="auto"/>
        <w:ind w:firstLine="480" w:firstLineChars="200"/>
        <w:rPr>
          <w:rFonts w:ascii="仿宋" w:hAnsi="仿宋" w:eastAsia="仿宋"/>
          <w:sz w:val="24"/>
        </w:rPr>
      </w:pPr>
      <w:r>
        <w:rPr>
          <w:rFonts w:hint="eastAsia" w:ascii="仿宋" w:hAnsi="仿宋" w:eastAsia="仿宋"/>
          <w:sz w:val="24"/>
        </w:rPr>
        <w:t>3.6</w:t>
      </w:r>
      <w:r>
        <w:rPr>
          <w:rFonts w:ascii="仿宋" w:hAnsi="仿宋" w:eastAsia="仿宋"/>
          <w:sz w:val="24"/>
        </w:rPr>
        <w:t>平等对待内外资企业和符合条件的破产重整企业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p>
    <w:bookmarkEnd w:id="23"/>
    <w:bookmarkEnd w:id="24"/>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4.1供应商询问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供应商对政府采购活动事项有疑问的，可以提出询问，采购人或者采购代理机构应当在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4.2供应商质疑</w:t>
      </w:r>
    </w:p>
    <w:p>
      <w:pPr>
        <w:pStyle w:val="40"/>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ascii="仿宋" w:hAnsi="仿宋" w:eastAsia="仿宋"/>
          <w:sz w:val="24"/>
        </w:rPr>
      </w:pPr>
      <w:r>
        <w:rPr>
          <w:rFonts w:ascii="仿宋" w:hAnsi="仿宋" w:eastAsia="仿宋" w:cs="微软雅黑"/>
          <w:kern w:val="0"/>
          <w:sz w:val="24"/>
          <w:lang w:val="zh-CN"/>
        </w:rPr>
        <w:t>4.2</w:t>
      </w:r>
      <w:r>
        <w:rPr>
          <w:rFonts w:ascii="仿宋" w:hAnsi="仿宋" w:eastAsia="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9"/>
        <w:spacing w:line="360" w:lineRule="auto"/>
        <w:ind w:firstLine="480" w:firstLineChars="200"/>
        <w:rPr>
          <w:rFonts w:ascii="仿宋" w:hAnsi="仿宋" w:eastAsia="仿宋"/>
          <w:kern w:val="2"/>
        </w:rPr>
      </w:pPr>
      <w:r>
        <w:rPr>
          <w:rFonts w:ascii="仿宋" w:hAnsi="仿宋" w:eastAsia="仿宋"/>
          <w:kern w:val="2"/>
        </w:rPr>
        <w:t>4.2.2.1对招标文件提出质疑的，质疑期限为供应商获得招标文件之日或者招标文件公告期限届满之日起计算。</w:t>
      </w:r>
    </w:p>
    <w:p>
      <w:pPr>
        <w:pStyle w:val="40"/>
        <w:spacing w:line="360" w:lineRule="auto"/>
        <w:ind w:firstLine="480" w:firstLineChars="200"/>
        <w:rPr>
          <w:rFonts w:ascii="仿宋" w:hAnsi="仿宋" w:eastAsia="仿宋"/>
          <w:sz w:val="24"/>
        </w:rPr>
      </w:pPr>
      <w:r>
        <w:rPr>
          <w:rFonts w:ascii="仿宋" w:hAnsi="仿宋" w:eastAsia="仿宋"/>
          <w:sz w:val="24"/>
        </w:rPr>
        <w:t>4.2.2.2对采购过程提出质疑的，质疑期限为各采购程序环节结束之日起计算。对同一采购程序环节的质疑，供应商须一次性提出。</w:t>
      </w:r>
    </w:p>
    <w:p>
      <w:pPr>
        <w:pStyle w:val="40"/>
        <w:spacing w:line="360" w:lineRule="auto"/>
        <w:ind w:firstLine="480" w:firstLineChars="200"/>
        <w:rPr>
          <w:rFonts w:ascii="仿宋" w:hAnsi="仿宋" w:eastAsia="仿宋"/>
          <w:sz w:val="24"/>
        </w:rPr>
      </w:pPr>
      <w:r>
        <w:rPr>
          <w:rFonts w:ascii="仿宋" w:hAnsi="仿宋" w:eastAsia="仿宋"/>
          <w:sz w:val="24"/>
        </w:rPr>
        <w:t>4.2.2.3对采购结果提出质疑的，质疑期限自采购结果公告期限届满之日起计算。</w:t>
      </w:r>
    </w:p>
    <w:p>
      <w:pPr>
        <w:pStyle w:val="40"/>
        <w:spacing w:line="360" w:lineRule="auto"/>
        <w:ind w:firstLine="480" w:firstLineChars="200"/>
        <w:rPr>
          <w:rFonts w:ascii="仿宋" w:hAnsi="仿宋" w:eastAsia="仿宋" w:cs="微软雅黑"/>
          <w:kern w:val="0"/>
          <w:sz w:val="24"/>
          <w:lang w:val="zh-CN"/>
        </w:rPr>
      </w:pPr>
      <w:r>
        <w:rPr>
          <w:rFonts w:ascii="仿宋" w:hAnsi="仿宋" w:eastAsia="仿宋" w:cs="微软雅黑"/>
          <w:kern w:val="0"/>
          <w:sz w:val="24"/>
          <w:lang w:val="zh-CN"/>
        </w:rPr>
        <w:t>4.2.3</w:t>
      </w:r>
      <w:r>
        <w:rPr>
          <w:rFonts w:hint="eastAsia" w:ascii="仿宋" w:hAnsi="仿宋" w:eastAsia="仿宋"/>
          <w:sz w:val="24"/>
        </w:rPr>
        <w:t>供应商提出质疑应当提交质疑函和必要的证明材料。质疑函应当包括下列内容：</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4.2.3.1</w:t>
      </w:r>
      <w:r>
        <w:rPr>
          <w:rFonts w:hint="eastAsia" w:ascii="仿宋" w:hAnsi="仿宋" w:eastAsia="仿宋" w:cs="微软雅黑"/>
          <w:kern w:val="0"/>
          <w:sz w:val="24"/>
          <w:lang w:val="zh-CN"/>
        </w:rPr>
        <w:t>供应商的姓名或者名称、地址、邮编、联系人及联系电话；</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4.2.3.2</w:t>
      </w:r>
      <w:r>
        <w:rPr>
          <w:rFonts w:hint="eastAsia" w:ascii="仿宋" w:hAnsi="仿宋" w:eastAsia="仿宋" w:cs="微软雅黑"/>
          <w:kern w:val="0"/>
          <w:sz w:val="24"/>
          <w:lang w:val="zh-CN"/>
        </w:rPr>
        <w:t>质疑项目的名称、编号；</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4.2.3.3</w:t>
      </w:r>
      <w:r>
        <w:rPr>
          <w:rFonts w:hint="eastAsia" w:ascii="仿宋" w:hAnsi="仿宋" w:eastAsia="仿宋" w:cs="微软雅黑"/>
          <w:kern w:val="0"/>
          <w:sz w:val="24"/>
          <w:lang w:val="zh-CN"/>
        </w:rPr>
        <w:t>具体、明确的质疑事项和与质疑事项相关的请求；</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4.2.3.4</w:t>
      </w:r>
      <w:r>
        <w:rPr>
          <w:rFonts w:hint="eastAsia" w:ascii="仿宋" w:hAnsi="仿宋" w:eastAsia="仿宋" w:cs="微软雅黑"/>
          <w:kern w:val="0"/>
          <w:sz w:val="24"/>
          <w:lang w:val="zh-CN"/>
        </w:rPr>
        <w:t>事实依据；</w:t>
      </w:r>
    </w:p>
    <w:p>
      <w:pPr>
        <w:pStyle w:val="40"/>
        <w:spacing w:line="360" w:lineRule="auto"/>
        <w:ind w:firstLine="480" w:firstLineChars="200"/>
        <w:rPr>
          <w:rFonts w:ascii="仿宋" w:hAnsi="仿宋" w:eastAsia="仿宋" w:cs="微软雅黑"/>
          <w:kern w:val="0"/>
          <w:sz w:val="24"/>
          <w:lang w:val="zh-CN"/>
        </w:rPr>
      </w:pPr>
      <w:r>
        <w:rPr>
          <w:rFonts w:hint="eastAsia" w:ascii="仿宋" w:hAnsi="仿宋" w:eastAsia="仿宋" w:cs="微软雅黑"/>
          <w:kern w:val="0"/>
          <w:sz w:val="24"/>
          <w:lang w:val="zh-CN"/>
        </w:rPr>
        <w:t>　　</w:t>
      </w:r>
      <w:r>
        <w:rPr>
          <w:rFonts w:ascii="仿宋" w:hAnsi="仿宋" w:eastAsia="仿宋" w:cs="微软雅黑"/>
          <w:kern w:val="0"/>
          <w:sz w:val="24"/>
          <w:lang w:val="zh-CN"/>
        </w:rPr>
        <w:t>4.2.3.5</w:t>
      </w:r>
      <w:r>
        <w:rPr>
          <w:rFonts w:hint="eastAsia" w:ascii="仿宋" w:hAnsi="仿宋" w:eastAsia="仿宋" w:cs="微软雅黑"/>
          <w:kern w:val="0"/>
          <w:sz w:val="24"/>
          <w:lang w:val="zh-CN"/>
        </w:rPr>
        <w:t>必要的法律依据；</w:t>
      </w:r>
    </w:p>
    <w:p>
      <w:pPr>
        <w:pStyle w:val="40"/>
        <w:spacing w:line="360" w:lineRule="auto"/>
        <w:ind w:firstLine="960" w:firstLineChars="400"/>
        <w:rPr>
          <w:rFonts w:ascii="仿宋" w:hAnsi="仿宋" w:eastAsia="仿宋" w:cs="微软雅黑"/>
          <w:kern w:val="0"/>
          <w:sz w:val="24"/>
          <w:lang w:val="zh-CN"/>
        </w:rPr>
      </w:pPr>
      <w:r>
        <w:rPr>
          <w:rFonts w:ascii="仿宋" w:hAnsi="仿宋" w:eastAsia="仿宋" w:cs="微软雅黑"/>
          <w:kern w:val="0"/>
          <w:sz w:val="24"/>
          <w:lang w:val="zh-CN"/>
        </w:rPr>
        <w:t>4.2.3.6</w:t>
      </w:r>
      <w:r>
        <w:rPr>
          <w:rFonts w:hint="eastAsia" w:ascii="仿宋" w:hAnsi="仿宋" w:eastAsia="仿宋" w:cs="微软雅黑"/>
          <w:kern w:val="0"/>
          <w:sz w:val="24"/>
          <w:lang w:val="zh-CN"/>
        </w:rPr>
        <w:t>提出质疑的日期。</w:t>
      </w:r>
    </w:p>
    <w:p>
      <w:pPr>
        <w:pStyle w:val="247"/>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247"/>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.4</w:t>
      </w:r>
      <w:r>
        <w:rPr>
          <w:rFonts w:hint="eastAsia" w:ascii="仿宋" w:hAnsi="仿宋" w:eastAsia="仿宋"/>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cs="微软雅黑"/>
          <w:lang w:val="zh-CN"/>
        </w:rPr>
        <w:t>4.2</w:t>
      </w:r>
      <w:r>
        <w:rPr>
          <w:rFonts w:ascii="仿宋" w:hAnsi="仿宋" w:eastAsia="仿宋"/>
        </w:rPr>
        <w:t>.5询问或者质疑事项可能影响采购结果的，采购人应当暂停签订合同，已经签订合同的，应当中止履行合同。</w:t>
      </w:r>
    </w:p>
    <w:p>
      <w:pPr>
        <w:pStyle w:val="247"/>
        <w:shd w:val="clear" w:color="auto" w:fill="FFFFFF"/>
        <w:snapToGrid w:val="0"/>
        <w:spacing w:after="240" w:afterAutospacing="0" w:line="360" w:lineRule="auto"/>
        <w:ind w:firstLine="480" w:firstLineChars="200"/>
        <w:contextualSpacing/>
        <w:rPr>
          <w:rFonts w:ascii="仿宋" w:hAnsi="仿宋" w:eastAsia="仿宋" w:cs="微软雅黑"/>
          <w:lang w:val="zh-CN"/>
        </w:rPr>
      </w:pPr>
      <w:r>
        <w:rPr>
          <w:rFonts w:ascii="仿宋" w:hAnsi="仿宋" w:eastAsia="仿宋" w:cs="微软雅黑"/>
          <w:lang w:val="zh-CN"/>
        </w:rPr>
        <w:t>4.3供应商投诉</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4.3.3供应</w:t>
      </w:r>
      <w:r>
        <w:rPr>
          <w:rFonts w:hint="eastAsia" w:ascii="仿宋" w:hAnsi="仿宋" w:eastAsia="仿宋"/>
        </w:rPr>
        <w:t>商投诉应当有明确的请求和必要的证明材料。</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4.3.</w:t>
      </w:r>
      <w:r>
        <w:rPr>
          <w:rFonts w:hint="eastAsia" w:ascii="仿宋" w:hAnsi="仿宋" w:eastAsia="仿宋"/>
        </w:rPr>
        <w:t>4以联合体形式参加政府采购活动的，其投诉应当由组成联合体的所有供应商共同提出。</w:t>
      </w:r>
    </w:p>
    <w:p>
      <w:pPr>
        <w:pStyle w:val="247"/>
        <w:shd w:val="clear" w:color="auto" w:fill="FFFFFF"/>
        <w:snapToGrid w:val="0"/>
        <w:spacing w:after="240" w:afterAutospacing="0" w:line="360" w:lineRule="auto"/>
        <w:ind w:firstLine="400"/>
        <w:contextualSpacing/>
        <w:rPr>
          <w:rFonts w:ascii="仿宋" w:hAnsi="仿宋" w:eastAsia="仿宋"/>
        </w:rPr>
      </w:pPr>
      <w:r>
        <w:rPr>
          <w:rFonts w:ascii="仿宋" w:hAnsi="仿宋" w:eastAsia="仿宋"/>
        </w:rPr>
        <w:t>4.4在线质疑、投诉。</w:t>
      </w:r>
    </w:p>
    <w:p>
      <w:pPr>
        <w:pStyle w:val="247"/>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根据《浙江省财政厅关于进一步促进政府采购公平竞争打造最优营商环境的通知》（浙财采监（</w:t>
      </w:r>
      <w:r>
        <w:rPr>
          <w:rFonts w:ascii="仿宋" w:hAnsi="仿宋" w:eastAsia="仿宋"/>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rPr>
        <w:t>。</w:t>
      </w:r>
    </w:p>
    <w:p>
      <w:pPr>
        <w:pStyle w:val="247"/>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shd w:val="clear" w:color="auto" w:fill="FFFFFF"/>
        <w:snapToGrid w:val="0"/>
        <w:spacing w:line="360" w:lineRule="auto"/>
        <w:jc w:val="center"/>
        <w:outlineLvl w:val="1"/>
        <w:rPr>
          <w:rFonts w:ascii="仿宋" w:hAnsi="仿宋" w:eastAsia="仿宋" w:cs="宋体"/>
          <w:b/>
          <w:bCs/>
          <w:sz w:val="24"/>
        </w:rPr>
      </w:pPr>
      <w:bookmarkStart w:id="27" w:name="_Toc33194389"/>
      <w:r>
        <w:rPr>
          <w:rFonts w:hint="eastAsia" w:ascii="仿宋" w:hAnsi="仿宋" w:eastAsia="仿宋" w:cs="宋体"/>
          <w:b/>
          <w:bCs/>
          <w:sz w:val="24"/>
        </w:rPr>
        <w:t>二、</w:t>
      </w:r>
      <w:bookmarkEnd w:id="25"/>
      <w:bookmarkEnd w:id="26"/>
      <w:bookmarkEnd w:id="27"/>
      <w:r>
        <w:rPr>
          <w:rFonts w:hint="eastAsia" w:ascii="仿宋" w:hAnsi="仿宋" w:eastAsia="仿宋" w:cs="仿宋"/>
          <w:b/>
          <w:sz w:val="24"/>
        </w:rPr>
        <w:t>招标文件的构成、澄清、修改</w:t>
      </w:r>
    </w:p>
    <w:p>
      <w:pPr>
        <w:pStyle w:val="40"/>
        <w:spacing w:line="360" w:lineRule="auto"/>
        <w:rPr>
          <w:rFonts w:ascii="仿宋" w:hAnsi="仿宋" w:eastAsia="仿宋" w:cs="仿宋_GB2312"/>
          <w:b/>
          <w:sz w:val="24"/>
          <w:szCs w:val="24"/>
        </w:rPr>
      </w:pPr>
      <w:bookmarkStart w:id="28" w:name="_Toc33194390"/>
      <w:r>
        <w:rPr>
          <w:rFonts w:ascii="仿宋" w:hAnsi="仿宋" w:eastAsia="仿宋" w:cs="仿宋_GB2312"/>
          <w:b/>
          <w:sz w:val="24"/>
          <w:szCs w:val="24"/>
        </w:rPr>
        <w:t>5．招标文件的构成</w:t>
      </w:r>
    </w:p>
    <w:p>
      <w:pPr>
        <w:pStyle w:val="40"/>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pPr>
        <w:pStyle w:val="40"/>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pPr>
        <w:pStyle w:val="40"/>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pPr>
        <w:pStyle w:val="135"/>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pPr>
        <w:pStyle w:val="135"/>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_GB2312"/>
          <w:b/>
          <w:sz w:val="24"/>
          <w:szCs w:val="21"/>
        </w:rPr>
      </w:pPr>
    </w:p>
    <w:p>
      <w:pPr>
        <w:shd w:val="clear" w:color="auto" w:fill="FFFFFF"/>
        <w:snapToGrid w:val="0"/>
        <w:spacing w:line="360" w:lineRule="auto"/>
        <w:jc w:val="center"/>
        <w:outlineLvl w:val="1"/>
        <w:rPr>
          <w:rFonts w:ascii="仿宋" w:hAnsi="仿宋" w:eastAsia="仿宋" w:cs="宋体"/>
          <w:b/>
          <w:bCs/>
          <w:sz w:val="24"/>
        </w:rPr>
      </w:pPr>
      <w:r>
        <w:rPr>
          <w:rFonts w:hint="eastAsia" w:ascii="仿宋" w:hAnsi="仿宋" w:eastAsia="仿宋" w:cs="宋体"/>
          <w:b/>
          <w:bCs/>
          <w:sz w:val="24"/>
        </w:rPr>
        <w:t>三、</w:t>
      </w:r>
      <w:bookmarkStart w:id="29" w:name="_Hlt75236011"/>
      <w:bookmarkEnd w:id="29"/>
      <w:bookmarkStart w:id="30" w:name="_Toc354996698"/>
      <w:bookmarkStart w:id="31" w:name="_Toc233618974"/>
      <w:bookmarkStart w:id="32" w:name="_Toc91899884"/>
      <w:r>
        <w:rPr>
          <w:rFonts w:hint="eastAsia" w:ascii="仿宋" w:hAnsi="仿宋" w:eastAsia="仿宋" w:cs="宋体"/>
          <w:b/>
          <w:bCs/>
          <w:sz w:val="24"/>
        </w:rPr>
        <w:t>投标</w:t>
      </w:r>
      <w:bookmarkEnd w:id="28"/>
      <w:bookmarkEnd w:id="30"/>
      <w:bookmarkEnd w:id="31"/>
      <w:bookmarkEnd w:id="32"/>
    </w:p>
    <w:p>
      <w:pPr>
        <w:pStyle w:val="40"/>
        <w:spacing w:line="360" w:lineRule="auto"/>
        <w:rPr>
          <w:rFonts w:ascii="仿宋" w:hAnsi="仿宋" w:eastAsia="仿宋" w:cs="仿宋"/>
          <w:b/>
          <w:sz w:val="24"/>
          <w:szCs w:val="24"/>
        </w:rPr>
      </w:pPr>
      <w:bookmarkStart w:id="33" w:name="_Toc91899887"/>
      <w:r>
        <w:rPr>
          <w:rFonts w:hint="eastAsia" w:ascii="仿宋" w:hAnsi="仿宋" w:eastAsia="仿宋" w:cs="仿宋"/>
          <w:b/>
          <w:sz w:val="24"/>
          <w:szCs w:val="24"/>
        </w:rPr>
        <w:t>7. 招标文件的获取</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详见采购公告中获取招标文件的时间期限、地点、方式。</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40"/>
        <w:spacing w:line="360" w:lineRule="auto"/>
        <w:rPr>
          <w:rFonts w:ascii="仿宋" w:hAnsi="仿宋" w:eastAsia="仿宋" w:cs="仿宋"/>
          <w:sz w:val="24"/>
          <w:szCs w:val="24"/>
        </w:rPr>
      </w:pPr>
      <w:r>
        <w:rPr>
          <w:rFonts w:hint="eastAsia" w:ascii="仿宋" w:hAnsi="仿宋" w:eastAsia="仿宋" w:cs="仿宋"/>
          <w:sz w:val="24"/>
          <w:szCs w:val="24"/>
        </w:rPr>
        <w:t>本项目不组织标前会及现场考察。</w:t>
      </w:r>
    </w:p>
    <w:p>
      <w:pPr>
        <w:pStyle w:val="40"/>
        <w:spacing w:line="360" w:lineRule="auto"/>
        <w:rPr>
          <w:rFonts w:ascii="仿宋" w:hAnsi="仿宋" w:eastAsia="仿宋" w:cs="仿宋"/>
          <w:b/>
          <w:sz w:val="24"/>
          <w:szCs w:val="24"/>
        </w:rPr>
      </w:pPr>
      <w:r>
        <w:rPr>
          <w:rFonts w:hint="eastAsia" w:ascii="仿宋" w:hAnsi="仿宋" w:eastAsia="仿宋" w:cs="仿宋"/>
          <w:b/>
          <w:kern w:val="28"/>
          <w:sz w:val="24"/>
          <w:szCs w:val="24"/>
        </w:rPr>
        <w:t>9.投标保证金</w:t>
      </w:r>
    </w:p>
    <w:p>
      <w:pPr>
        <w:pStyle w:val="19"/>
        <w:spacing w:line="360" w:lineRule="auto"/>
        <w:ind w:firstLine="0"/>
        <w:rPr>
          <w:rFonts w:ascii="仿宋" w:hAnsi="仿宋" w:eastAsia="仿宋" w:cs="仿宋"/>
        </w:rPr>
      </w:pPr>
      <w:r>
        <w:rPr>
          <w:rFonts w:hint="eastAsia" w:ascii="仿宋" w:hAnsi="仿宋" w:eastAsia="仿宋" w:cs="仿宋"/>
        </w:rPr>
        <w:t>本项目不需要交纳投标保证金。</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投标文件及投标供应商与采购有关的来往通知、函件和文件均应使用中文。</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b/>
          <w:sz w:val="24"/>
        </w:rPr>
        <w:t>资格文件</w:t>
      </w:r>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11.1.2联合体协议（如果有）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w:t>
      </w:r>
    </w:p>
    <w:p>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11.2.6投标标的清单</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11.2.7商务技术偏离表；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11.3.1开标一览表（报价表）；</w:t>
      </w:r>
    </w:p>
    <w:p>
      <w:pPr>
        <w:spacing w:line="360" w:lineRule="auto"/>
        <w:ind w:firstLine="482" w:firstLineChars="200"/>
        <w:rPr>
          <w:rFonts w:ascii="仿宋" w:hAnsi="仿宋" w:eastAsia="仿宋"/>
          <w:b/>
          <w:sz w:val="24"/>
        </w:rPr>
      </w:pPr>
      <w:r>
        <w:rPr>
          <w:rFonts w:hint="eastAsia" w:ascii="仿宋" w:hAnsi="仿宋" w:eastAsia="仿宋"/>
          <w:b/>
          <w:sz w:val="24"/>
        </w:rPr>
        <w:t>投标文件含有采购人不能接受的附加条件的，投标无效；</w:t>
      </w:r>
    </w:p>
    <w:p>
      <w:pPr>
        <w:snapToGrid w:val="0"/>
        <w:spacing w:line="360" w:lineRule="auto"/>
        <w:ind w:firstLine="482" w:firstLineChars="200"/>
        <w:rPr>
          <w:rFonts w:ascii="仿宋" w:hAnsi="仿宋" w:eastAsia="仿宋" w:cs="仿宋_GB2312"/>
          <w:kern w:val="0"/>
          <w:sz w:val="24"/>
          <w:lang w:val="zh-CN"/>
        </w:rPr>
      </w:pPr>
      <w:r>
        <w:rPr>
          <w:rFonts w:hint="eastAsia" w:ascii="仿宋" w:hAnsi="仿宋" w:eastAsia="仿宋"/>
          <w:b/>
          <w:sz w:val="24"/>
        </w:rPr>
        <w:t>投标人提供虚假材料投标的，投标无效。</w:t>
      </w:r>
    </w:p>
    <w:bookmarkEnd w:id="33"/>
    <w:p>
      <w:pPr>
        <w:snapToGrid w:val="0"/>
        <w:spacing w:line="360" w:lineRule="auto"/>
        <w:ind w:firstLine="422" w:firstLineChars="200"/>
        <w:rPr>
          <w:rFonts w:ascii="仿宋" w:hAnsi="仿宋" w:eastAsia="仿宋" w:cs="仿宋"/>
          <w:b/>
        </w:rPr>
      </w:pPr>
      <w:bookmarkStart w:id="34" w:name="_Toc86216991"/>
      <w:bookmarkStart w:id="35" w:name="_Toc91899892"/>
      <w:bookmarkStart w:id="36" w:name="_Toc233618975"/>
      <w:r>
        <w:rPr>
          <w:rFonts w:hint="eastAsia" w:ascii="仿宋" w:hAnsi="仿宋" w:eastAsia="仿宋" w:cs="仿宋"/>
          <w:b/>
        </w:rPr>
        <w:t>12</w:t>
      </w:r>
      <w:r>
        <w:rPr>
          <w:rFonts w:hint="eastAsia" w:ascii="仿宋" w:hAnsi="仿宋" w:eastAsia="仿宋" w:cs="仿宋"/>
          <w:b/>
          <w:kern w:val="0"/>
        </w:rPr>
        <w:t xml:space="preserve">. </w:t>
      </w:r>
      <w:r>
        <w:rPr>
          <w:rFonts w:hint="eastAsia" w:ascii="仿宋" w:hAnsi="仿宋" w:eastAsia="仿宋" w:cs="仿宋"/>
          <w:b/>
        </w:rPr>
        <w:t>投标文件的编制</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b/>
          <w:sz w:val="24"/>
        </w:rPr>
      </w:pPr>
      <w:r>
        <w:rPr>
          <w:rFonts w:hint="eastAsia" w:ascii="仿宋" w:hAnsi="仿宋" w:eastAsia="仿宋"/>
          <w:b/>
          <w:sz w:val="24"/>
        </w:rPr>
        <w:t>13.投标文件的签署、盖章</w:t>
      </w:r>
    </w:p>
    <w:p>
      <w:pPr>
        <w:pStyle w:val="135"/>
        <w:snapToGrid w:val="0"/>
        <w:spacing w:before="0"/>
        <w:ind w:firstLine="480"/>
        <w:rPr>
          <w:rFonts w:ascii="仿宋" w:hAnsi="仿宋" w:eastAsia="仿宋" w:cs="仿宋_GB2312"/>
          <w:b/>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135"/>
        <w:snapToGrid w:val="0"/>
        <w:spacing w:before="0"/>
        <w:ind w:firstLine="482"/>
        <w:rPr>
          <w:rFonts w:ascii="仿宋" w:hAnsi="仿宋" w:eastAsia="仿宋" w:cs="仿宋"/>
        </w:rPr>
      </w:pPr>
      <w:r>
        <w:rPr>
          <w:rFonts w:hint="eastAsia" w:ascii="仿宋" w:hAnsi="仿宋" w:eastAsia="仿宋" w:cs="仿宋_GB2312"/>
          <w:b/>
        </w:rPr>
        <w:t>13.2</w:t>
      </w:r>
      <w:r>
        <w:rPr>
          <w:rFonts w:hint="eastAsia" w:ascii="仿宋" w:hAnsi="仿宋" w:eastAsia="仿宋" w:cs="仿宋_GB2312"/>
        </w:rPr>
        <w:t>为确保网上操作合法、有效和安全，投标人应当在投标截止时间前完成在“政府采购云平台”的身份认证，确保在电子投标过程中能够对相关数据电文进行加密和使用电子签名</w:t>
      </w:r>
      <w:r>
        <w:rPr>
          <w:rFonts w:hint="eastAsia" w:ascii="仿宋" w:hAnsi="仿宋" w:eastAsia="仿宋" w:cs="仿宋"/>
        </w:rPr>
        <w:t>。</w:t>
      </w:r>
    </w:p>
    <w:p>
      <w:pPr>
        <w:pStyle w:val="135"/>
        <w:snapToGrid w:val="0"/>
        <w:spacing w:before="0"/>
        <w:ind w:firstLine="480"/>
        <w:rPr>
          <w:rFonts w:ascii="仿宋" w:hAnsi="仿宋" w:eastAsia="仿宋" w:cs="仿宋_GB2312"/>
          <w:szCs w:val="24"/>
        </w:rPr>
      </w:pPr>
      <w:r>
        <w:rPr>
          <w:rFonts w:ascii="仿宋" w:hAnsi="仿宋" w:eastAsia="仿宋" w:cs="仿宋_GB2312"/>
        </w:rPr>
        <w:t>13.3招标文件对投标文件签署、盖章的要求适用于电子签名。</w:t>
      </w:r>
    </w:p>
    <w:p>
      <w:pPr>
        <w:pStyle w:val="135"/>
        <w:spacing w:before="0"/>
        <w:ind w:firstLine="0" w:firstLineChars="0"/>
        <w:rPr>
          <w:rFonts w:ascii="仿宋" w:hAnsi="仿宋" w:eastAsia="仿宋" w:cs="仿宋_GB2312"/>
          <w:b/>
          <w:szCs w:val="24"/>
        </w:rPr>
      </w:pPr>
      <w:r>
        <w:rPr>
          <w:rFonts w:hint="eastAsia" w:ascii="仿宋" w:hAnsi="仿宋" w:eastAsia="仿宋" w:cs="仿宋_GB2312"/>
          <w:b/>
          <w:szCs w:val="24"/>
        </w:rPr>
        <w:t>14. 投标文件的提交、补充、修改、撤回</w:t>
      </w:r>
    </w:p>
    <w:p>
      <w:pPr>
        <w:pStyle w:val="135"/>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600" w:firstLineChars="25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40"/>
        <w:spacing w:line="360" w:lineRule="auto"/>
        <w:rPr>
          <w:rFonts w:ascii="仿宋" w:hAnsi="仿宋" w:eastAsia="仿宋" w:cs="仿宋_GB2312"/>
          <w:b/>
          <w:sz w:val="24"/>
          <w:szCs w:val="24"/>
        </w:rPr>
      </w:pPr>
      <w:r>
        <w:rPr>
          <w:rFonts w:hint="eastAsia" w:ascii="仿宋" w:hAnsi="仿宋" w:eastAsia="仿宋" w:cs="仿宋_GB2312"/>
          <w:b/>
          <w:sz w:val="24"/>
          <w:szCs w:val="24"/>
        </w:rPr>
        <w:t>15.备份投标文件</w:t>
      </w:r>
    </w:p>
    <w:p>
      <w:pPr>
        <w:pStyle w:val="40"/>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 w:val="24"/>
          <w:szCs w:val="24"/>
        </w:rPr>
        <w:t>但采购人、采购代理机构不强制或变相强制投标人提交备份投标文件。</w:t>
      </w:r>
    </w:p>
    <w:p>
      <w:pPr>
        <w:pStyle w:val="40"/>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15.2备份投标文件须在“政采云投标客户端”制作生成，并储存U</w:t>
      </w:r>
      <w:r>
        <w:rPr>
          <w:rFonts w:hint="eastAsia" w:ascii="仿宋" w:hAnsi="仿宋" w:eastAsia="仿宋"/>
          <w:sz w:val="24"/>
        </w:rPr>
        <w:t>盘</w:t>
      </w:r>
      <w:r>
        <w:rPr>
          <w:rFonts w:hint="eastAsia" w:ascii="仿宋" w:hAnsi="仿宋" w:eastAsia="仿宋" w:cs="仿宋_GB2312"/>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存储、密封规定的备份投标文件将被视为无效或者被拒绝接收。</w:t>
      </w:r>
    </w:p>
    <w:p>
      <w:pPr>
        <w:pStyle w:val="40"/>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40"/>
        <w:spacing w:line="360" w:lineRule="auto"/>
        <w:ind w:firstLine="360" w:firstLineChars="150"/>
        <w:jc w:val="left"/>
        <w:rPr>
          <w:rFonts w:ascii="仿宋" w:hAnsi="仿宋" w:eastAsia="仿宋" w:cs="仿宋_GB2312"/>
          <w:sz w:val="24"/>
          <w:szCs w:val="24"/>
        </w:rPr>
      </w:pPr>
      <w:r>
        <w:rPr>
          <w:rFonts w:hint="eastAsia" w:ascii="仿宋" w:hAnsi="仿宋" w:eastAsia="仿宋" w:cs="仿宋_GB2312"/>
          <w:sz w:val="24"/>
          <w:szCs w:val="24"/>
        </w:rPr>
        <w:t>15.4以邮政快递方式递交备份投标文件的，投标人应先将备份投标文件按要求密封和标记，再进行邮政快递包装后邮寄。备份投标文件须在投标截止时间之前送达杭州市德胜路289号602室；送达时间以签收人签收时间为准（签收人：朱祺收，电话：18057188023）。采购代理机构将拒绝接受逾期送达的备份投标文件。邮寄过程中，电子备份投标文件发生泄露、遗失、损坏或延期送达等情况的，由投标人自行负责。</w:t>
      </w:r>
    </w:p>
    <w:p>
      <w:pPr>
        <w:pStyle w:val="40"/>
        <w:spacing w:line="360" w:lineRule="auto"/>
        <w:ind w:firstLine="361" w:firstLineChars="150"/>
        <w:rPr>
          <w:rFonts w:ascii="仿宋" w:hAnsi="仿宋" w:eastAsia="仿宋" w:cs="仿宋_GB2312"/>
          <w:b/>
          <w:sz w:val="24"/>
          <w:szCs w:val="24"/>
        </w:rPr>
      </w:pPr>
      <w:r>
        <w:rPr>
          <w:rFonts w:hint="eastAsia" w:ascii="仿宋" w:hAnsi="仿宋" w:eastAsia="仿宋" w:cs="仿宋_GB2312"/>
          <w:b/>
          <w:sz w:val="24"/>
          <w:szCs w:val="24"/>
        </w:rPr>
        <w:t>15.5投标人仅提交备份投标文件，没有在电子交易平台传输递交投标文件的，投标无效。</w:t>
      </w:r>
    </w:p>
    <w:p>
      <w:pPr>
        <w:pStyle w:val="135"/>
        <w:spacing w:before="0"/>
        <w:ind w:firstLine="0" w:firstLineChars="0"/>
        <w:rPr>
          <w:rFonts w:ascii="仿宋" w:hAnsi="仿宋" w:eastAsia="仿宋" w:cs="仿宋_GB2312"/>
          <w:b/>
          <w:szCs w:val="24"/>
        </w:rPr>
      </w:pPr>
      <w:r>
        <w:rPr>
          <w:rFonts w:hint="eastAsia" w:ascii="仿宋" w:hAnsi="仿宋" w:eastAsia="仿宋" w:cs="仿宋_GB2312"/>
          <w:b/>
          <w:szCs w:val="24"/>
        </w:rPr>
        <w:t>16.投标文件的无效处理</w:t>
      </w:r>
    </w:p>
    <w:p>
      <w:pPr>
        <w:pStyle w:val="31"/>
        <w:spacing w:line="360" w:lineRule="auto"/>
        <w:ind w:firstLine="360"/>
        <w:rPr>
          <w:rFonts w:ascii="仿宋" w:hAnsi="仿宋" w:eastAsia="仿宋" w:cs="仿宋_GB2312"/>
          <w:snapToGrid w:val="0"/>
          <w:sz w:val="24"/>
        </w:rPr>
      </w:pPr>
      <w:r>
        <w:rPr>
          <w:rFonts w:hint="eastAsia" w:ascii="仿宋" w:hAnsi="仿宋" w:eastAsia="仿宋" w:cs="仿宋_GB2312"/>
          <w:snapToGrid w:val="0"/>
          <w:sz w:val="24"/>
        </w:rPr>
        <w:t>有招标文件第四部分第</w:t>
      </w:r>
      <w:r>
        <w:rPr>
          <w:rFonts w:ascii="仿宋" w:hAnsi="仿宋" w:eastAsia="仿宋" w:cs="仿宋_GB2312"/>
          <w:snapToGrid w:val="0"/>
          <w:sz w:val="24"/>
        </w:rPr>
        <w:t>13项规定的情形之一的，投标无效</w:t>
      </w:r>
      <w:r>
        <w:rPr>
          <w:rFonts w:hint="eastAsia" w:ascii="仿宋" w:hAnsi="仿宋" w:eastAsia="仿宋" w:cs="仿宋_GB2312"/>
          <w:snapToGrid w:val="0"/>
          <w:sz w:val="24"/>
        </w:rPr>
        <w:t>。</w:t>
      </w:r>
    </w:p>
    <w:p>
      <w:pPr>
        <w:pStyle w:val="135"/>
        <w:spacing w:before="0"/>
        <w:ind w:firstLine="0" w:firstLineChars="0"/>
        <w:rPr>
          <w:rFonts w:ascii="仿宋" w:hAnsi="仿宋" w:eastAsia="仿宋" w:cs="仿宋_GB2312"/>
          <w:b/>
          <w:szCs w:val="24"/>
        </w:rPr>
      </w:pPr>
      <w:r>
        <w:rPr>
          <w:rFonts w:hint="eastAsia" w:ascii="仿宋" w:hAnsi="仿宋" w:eastAsia="仿宋" w:cs="仿宋_GB2312"/>
          <w:b/>
          <w:szCs w:val="24"/>
        </w:rPr>
        <w:t>17.投标有效期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17.1投标有效期为从提交投标文件的截止之日起90天。▲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pPr>
        <w:pStyle w:val="135"/>
        <w:spacing w:before="0"/>
        <w:ind w:firstLine="480"/>
        <w:rPr>
          <w:rFonts w:ascii="仿宋" w:hAnsi="仿宋" w:eastAsia="仿宋" w:cs="仿宋_GB2312"/>
        </w:rPr>
      </w:pPr>
      <w:r>
        <w:rPr>
          <w:rFonts w:hint="eastAsia" w:ascii="仿宋" w:hAnsi="仿宋" w:eastAsia="仿宋" w:cs="仿宋_GB2312"/>
        </w:rPr>
        <w:t>17.2投标文件合格投递后，自投标截止日期起，在投标有效期内有效。</w:t>
      </w:r>
    </w:p>
    <w:p>
      <w:pPr>
        <w:pStyle w:val="135"/>
        <w:spacing w:before="0"/>
        <w:ind w:firstLine="480"/>
        <w:rPr>
          <w:rFonts w:ascii="仿宋" w:hAnsi="仿宋" w:eastAsia="仿宋" w:cs="仿宋_GB2312"/>
        </w:rPr>
      </w:pPr>
      <w:r>
        <w:rPr>
          <w:rFonts w:hint="eastAsia" w:ascii="仿宋" w:hAnsi="仿宋" w:eastAsia="仿宋"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1"/>
        <w:rPr>
          <w:rFonts w:ascii="仿宋" w:hAnsi="仿宋" w:eastAsia="仿宋"/>
        </w:rPr>
      </w:pPr>
    </w:p>
    <w:p>
      <w:pPr>
        <w:pStyle w:val="135"/>
        <w:spacing w:before="0"/>
        <w:ind w:firstLine="2530" w:firstLineChars="900"/>
        <w:rPr>
          <w:rFonts w:ascii="仿宋" w:hAnsi="仿宋" w:eastAsia="仿宋" w:cs="仿宋"/>
          <w:b/>
          <w:sz w:val="28"/>
        </w:rPr>
      </w:pPr>
      <w:bookmarkStart w:id="37" w:name="_Toc462229099"/>
      <w:bookmarkStart w:id="38" w:name="_Toc412730341"/>
      <w:bookmarkStart w:id="39" w:name="_Toc33194391"/>
      <w:bookmarkStart w:id="40" w:name="_Toc354996699"/>
      <w:r>
        <w:rPr>
          <w:rFonts w:hint="eastAsia" w:ascii="仿宋" w:hAnsi="仿宋" w:eastAsia="仿宋" w:cs="宋体"/>
          <w:b/>
          <w:sz w:val="28"/>
        </w:rPr>
        <w:t>四、</w:t>
      </w:r>
      <w:bookmarkEnd w:id="37"/>
      <w:bookmarkEnd w:id="38"/>
      <w:bookmarkEnd w:id="39"/>
      <w:r>
        <w:rPr>
          <w:rFonts w:hint="eastAsia" w:ascii="仿宋" w:hAnsi="仿宋" w:eastAsia="仿宋" w:cs="仿宋"/>
          <w:b/>
          <w:sz w:val="28"/>
        </w:rPr>
        <w:t>开标、资格审查与信用信息查询</w:t>
      </w:r>
    </w:p>
    <w:p>
      <w:pPr>
        <w:pStyle w:val="313"/>
        <w:spacing w:before="0" w:line="360" w:lineRule="auto"/>
        <w:ind w:left="0" w:firstLine="241" w:firstLineChars="100"/>
        <w:contextualSpacing/>
        <w:rPr>
          <w:rFonts w:ascii="仿宋" w:hAnsi="仿宋" w:eastAsia="仿宋"/>
          <w:sz w:val="24"/>
        </w:rPr>
      </w:pPr>
      <w:r>
        <w:rPr>
          <w:rFonts w:ascii="仿宋" w:hAnsi="仿宋" w:eastAsia="仿宋" w:cs="仿宋_GB2312"/>
          <w:b/>
          <w:sz w:val="24"/>
          <w:szCs w:val="24"/>
        </w:rPr>
        <w:t>18.开标</w:t>
      </w:r>
    </w:p>
    <w:p>
      <w:pPr>
        <w:pStyle w:val="313"/>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18.1采购机构按照招标文件规定的时间通过电子交易平台组织开标，所有投标人均应当准时在线参加。投标人不足3家的，不得开标。</w:t>
      </w:r>
    </w:p>
    <w:p>
      <w:pPr>
        <w:pStyle w:val="313"/>
        <w:spacing w:before="0" w:line="360" w:lineRule="auto"/>
        <w:ind w:left="0" w:firstLine="240" w:firstLineChars="100"/>
        <w:contextualSpacing/>
        <w:rPr>
          <w:rFonts w:ascii="仿宋" w:hAnsi="仿宋" w:eastAsia="仿宋" w:cs="仿宋_GB2312"/>
          <w:sz w:val="24"/>
        </w:rPr>
      </w:pPr>
      <w:r>
        <w:rPr>
          <w:rFonts w:hint="eastAsia" w:ascii="仿宋" w:hAnsi="仿宋" w:eastAsia="仿宋" w:cs="仿宋_GB2312"/>
          <w:sz w:val="24"/>
        </w:rPr>
        <w:t>　</w:t>
      </w:r>
      <w:r>
        <w:rPr>
          <w:rFonts w:ascii="仿宋" w:hAnsi="仿宋" w:eastAsia="仿宋"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135"/>
        <w:spacing w:before="0"/>
        <w:ind w:firstLine="495" w:firstLineChars="0"/>
        <w:rPr>
          <w:rFonts w:ascii="仿宋" w:hAnsi="仿宋" w:eastAsia="仿宋" w:cs="仿宋"/>
          <w:kern w:val="0"/>
          <w:szCs w:val="24"/>
        </w:rPr>
      </w:pPr>
      <w:r>
        <w:rPr>
          <w:rFonts w:ascii="仿宋" w:hAnsi="仿宋" w:eastAsia="仿宋" w:cs="仿宋_GB2312"/>
        </w:rPr>
        <w:t>18.3</w:t>
      </w:r>
      <w:r>
        <w:rPr>
          <w:rFonts w:hint="eastAsia" w:ascii="仿宋" w:hAnsi="仿宋" w:eastAsia="仿宋" w:cs="仿宋_GB2312"/>
          <w:b/>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sz w:val="24"/>
          <w:szCs w:val="20"/>
        </w:rPr>
      </w:pPr>
      <w:r>
        <w:rPr>
          <w:rFonts w:hint="eastAsia" w:ascii="仿宋" w:hAnsi="仿宋" w:eastAsia="仿宋" w:cs="仿宋_GB2312"/>
          <w:b/>
          <w:sz w:val="24"/>
          <w:szCs w:val="20"/>
        </w:rPr>
        <w:t>　19、资格审查</w:t>
      </w:r>
    </w:p>
    <w:p>
      <w:pPr>
        <w:pStyle w:val="135"/>
        <w:spacing w:before="0"/>
        <w:ind w:firstLine="480"/>
        <w:rPr>
          <w:rFonts w:ascii="仿宋" w:hAnsi="仿宋" w:eastAsia="仿宋" w:cs="Arial"/>
          <w:szCs w:val="24"/>
        </w:rPr>
      </w:pPr>
      <w:r>
        <w:rPr>
          <w:rFonts w:hint="eastAsia" w:ascii="仿宋" w:hAnsi="仿宋" w:eastAsia="仿宋" w:cs="Arial"/>
          <w:szCs w:val="24"/>
        </w:rPr>
        <w:t>19.1开标后，采购代理机构将依法对投标人的资格进行审查。</w:t>
      </w:r>
    </w:p>
    <w:p>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19.2</w:t>
      </w:r>
      <w:r>
        <w:rPr>
          <w:rFonts w:hint="eastAsia" w:ascii="仿宋" w:hAnsi="仿宋" w:eastAsia="仿宋" w:cs="仿宋_GB2312"/>
          <w:sz w:val="24"/>
        </w:rPr>
        <w:t>采购人或采购代理机构依据法律法规和招标文件的规定，对投标人的基本资格条件、特定资格条件进行审查。</w:t>
      </w:r>
    </w:p>
    <w:p>
      <w:pPr>
        <w:pStyle w:val="135"/>
        <w:spacing w:before="0"/>
        <w:ind w:firstLine="480"/>
        <w:rPr>
          <w:rFonts w:ascii="仿宋" w:hAnsi="仿宋" w:eastAsia="仿宋" w:cs="仿宋_GB2312"/>
        </w:rPr>
      </w:pPr>
      <w:r>
        <w:rPr>
          <w:rFonts w:hint="eastAsia" w:ascii="仿宋" w:hAnsi="仿宋" w:eastAsia="仿宋" w:cs="Arial"/>
          <w:szCs w:val="24"/>
        </w:rPr>
        <w:t>19.3投标人未按照招标文件要求提供与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szCs w:val="24"/>
        </w:rPr>
        <w:t>有效资格证明材料的，视为</w:t>
      </w:r>
      <w:r>
        <w:rPr>
          <w:rFonts w:hint="eastAsia" w:ascii="仿宋" w:hAnsi="仿宋" w:eastAsia="仿宋" w:cs="仿宋_GB2312"/>
        </w:rPr>
        <w:t>投标人不具备招标文件中规定的资格要求，其投标无效。</w:t>
      </w:r>
    </w:p>
    <w:p>
      <w:pPr>
        <w:pStyle w:val="135"/>
        <w:spacing w:before="0"/>
        <w:ind w:firstLine="480"/>
        <w:rPr>
          <w:rFonts w:ascii="仿宋" w:hAnsi="仿宋" w:eastAsia="仿宋" w:cs="仿宋_GB2312"/>
        </w:rPr>
      </w:pPr>
      <w:r>
        <w:rPr>
          <w:rFonts w:hint="eastAsia" w:ascii="仿宋" w:hAnsi="仿宋" w:eastAsia="仿宋" w:cs="Arial"/>
          <w:szCs w:val="24"/>
        </w:rPr>
        <w:t>19.</w:t>
      </w:r>
      <w:r>
        <w:rPr>
          <w:rFonts w:hint="eastAsia" w:ascii="仿宋" w:hAnsi="仿宋" w:eastAsia="仿宋" w:cs="仿宋_GB2312"/>
        </w:rPr>
        <w:t>4对未通过资格审查的投标人，采购人或采购代理机构告知其未通过的原因。</w:t>
      </w:r>
    </w:p>
    <w:p>
      <w:pPr>
        <w:pStyle w:val="135"/>
        <w:spacing w:before="0"/>
        <w:ind w:firstLine="480"/>
        <w:rPr>
          <w:rFonts w:ascii="仿宋" w:hAnsi="仿宋" w:eastAsia="仿宋" w:cs="仿宋_GB2312"/>
        </w:rPr>
      </w:pPr>
      <w:r>
        <w:rPr>
          <w:rFonts w:hint="eastAsia" w:ascii="仿宋" w:hAnsi="仿宋" w:eastAsia="仿宋" w:cs="Arial"/>
          <w:szCs w:val="24"/>
        </w:rPr>
        <w:t>19.</w:t>
      </w:r>
      <w:r>
        <w:rPr>
          <w:rFonts w:hint="eastAsia" w:ascii="仿宋" w:hAnsi="仿宋" w:eastAsia="仿宋" w:cs="仿宋_GB2312"/>
        </w:rPr>
        <w:t>5合格投标人不足3家的，不再评标。</w:t>
      </w:r>
    </w:p>
    <w:p>
      <w:pPr>
        <w:pStyle w:val="135"/>
        <w:spacing w:before="0"/>
        <w:ind w:firstLine="0" w:firstLineChars="0"/>
        <w:rPr>
          <w:rFonts w:ascii="仿宋" w:hAnsi="仿宋" w:eastAsia="仿宋" w:cs="仿宋_GB2312"/>
          <w:b/>
          <w:szCs w:val="24"/>
        </w:rPr>
      </w:pPr>
      <w:r>
        <w:rPr>
          <w:rFonts w:hint="eastAsia" w:ascii="仿宋" w:hAnsi="仿宋" w:eastAsia="仿宋" w:cs="仿宋_GB2312"/>
          <w:b/>
          <w:szCs w:val="24"/>
        </w:rPr>
        <w:t>20、信用信息查询</w:t>
      </w:r>
    </w:p>
    <w:p>
      <w:pPr>
        <w:pStyle w:val="135"/>
        <w:spacing w:before="0"/>
        <w:ind w:firstLine="495" w:firstLineChars="0"/>
        <w:rPr>
          <w:rFonts w:ascii="仿宋" w:hAnsi="仿宋" w:eastAsia="仿宋" w:cs="Arial"/>
          <w:szCs w:val="24"/>
        </w:rPr>
      </w:pPr>
      <w:r>
        <w:rPr>
          <w:rFonts w:hint="eastAsia" w:ascii="仿宋" w:hAnsi="仿宋" w:eastAsia="仿宋" w:cs="Arial"/>
          <w:szCs w:val="24"/>
        </w:rPr>
        <w:t>20.1信用信息查询渠道及截止时间：采购代理机构将通过“信用中国”网站(www.creditchina.gov.cn)、中国政府采购网(www.ccgp.gov.cn)渠道查询投标人投标截止时间当天的信用记录。</w:t>
      </w:r>
    </w:p>
    <w:p>
      <w:pPr>
        <w:pStyle w:val="135"/>
        <w:spacing w:before="0"/>
        <w:ind w:firstLine="495" w:firstLineChars="0"/>
        <w:rPr>
          <w:rFonts w:ascii="仿宋" w:hAnsi="仿宋" w:eastAsia="仿宋" w:cs="Arial"/>
          <w:szCs w:val="24"/>
        </w:rPr>
      </w:pPr>
      <w:r>
        <w:rPr>
          <w:rFonts w:hint="eastAsia" w:ascii="仿宋" w:hAnsi="仿宋" w:eastAsia="仿宋" w:cs="Arial"/>
          <w:szCs w:val="24"/>
        </w:rPr>
        <w:t>20.2信用信息查询记录和证据留存的具体方式：现场查询的投标人的信用记录、查询结果经确认后将与采购文件一起存档。</w:t>
      </w:r>
    </w:p>
    <w:p>
      <w:pPr>
        <w:pStyle w:val="135"/>
        <w:spacing w:before="0"/>
        <w:ind w:firstLine="495" w:firstLineChars="0"/>
        <w:rPr>
          <w:rFonts w:ascii="仿宋" w:hAnsi="仿宋" w:eastAsia="仿宋" w:cs="Arial"/>
          <w:szCs w:val="24"/>
        </w:rPr>
      </w:pPr>
      <w:r>
        <w:rPr>
          <w:rFonts w:hint="eastAsia" w:ascii="仿宋" w:hAnsi="仿宋" w:eastAsia="仿宋" w:cs="Arial"/>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仿宋" w:hAnsi="仿宋" w:eastAsia="仿宋" w:cs="仿宋_GB2312"/>
        </w:rPr>
      </w:pPr>
      <w:r>
        <w:rPr>
          <w:rFonts w:hint="eastAsia" w:ascii="仿宋" w:hAnsi="仿宋" w:eastAsia="仿宋" w:cs="Arial"/>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rPr>
        <w:t>。</w:t>
      </w:r>
    </w:p>
    <w:p>
      <w:pPr>
        <w:pStyle w:val="135"/>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28"/>
          <w:szCs w:val="28"/>
        </w:rPr>
      </w:pPr>
      <w:bookmarkStart w:id="41" w:name="_Toc91899902"/>
      <w:r>
        <w:rPr>
          <w:rFonts w:hint="eastAsia" w:ascii="仿宋" w:hAnsi="仿宋" w:eastAsia="仿宋" w:cs="仿宋"/>
          <w:b/>
          <w:sz w:val="28"/>
          <w:szCs w:val="28"/>
        </w:rPr>
        <w:t>五、评标</w:t>
      </w:r>
      <w:bookmarkEnd w:id="41"/>
    </w:p>
    <w:p>
      <w:pPr>
        <w:spacing w:line="360" w:lineRule="auto"/>
        <w:rPr>
          <w:rFonts w:ascii="仿宋" w:hAnsi="仿宋" w:eastAsia="仿宋" w:cs="仿宋"/>
          <w:b/>
          <w:sz w:val="28"/>
          <w:szCs w:val="28"/>
        </w:rPr>
      </w:pPr>
      <w:r>
        <w:rPr>
          <w:rFonts w:hint="eastAsia" w:ascii="仿宋" w:hAnsi="仿宋" w:eastAsia="仿宋" w:cs="仿宋_GB2312"/>
          <w:b/>
          <w:sz w:val="24"/>
        </w:rPr>
        <w:t>21.</w:t>
      </w:r>
      <w:r>
        <w:rPr>
          <w:rFonts w:hint="eastAsia" w:ascii="仿宋" w:hAnsi="仿宋" w:eastAsia="仿宋" w:cs="仿宋_GB2312"/>
          <w:sz w:val="24"/>
        </w:rPr>
        <w:t>评标委员会</w:t>
      </w:r>
      <w:r>
        <w:rPr>
          <w:rFonts w:hint="eastAsia" w:ascii="仿宋" w:hAnsi="仿宋" w:eastAsia="仿宋" w:cs="Arial"/>
        </w:rPr>
        <w:t>【</w:t>
      </w:r>
      <w:r>
        <w:rPr>
          <w:rFonts w:ascii="仿宋" w:hAnsi="仿宋" w:eastAsia="仿宋" w:cs="Arial"/>
          <w:sz w:val="24"/>
        </w:rPr>
        <w:t>评标委员会由采购人代表和评审专家组成，成员人数为</w:t>
      </w:r>
      <w:r>
        <w:rPr>
          <w:rFonts w:hint="eastAsia" w:ascii="仿宋" w:hAnsi="仿宋" w:eastAsia="仿宋" w:cs="Arial"/>
          <w:sz w:val="24"/>
        </w:rPr>
        <w:t>5</w:t>
      </w:r>
      <w:r>
        <w:rPr>
          <w:rFonts w:ascii="仿宋" w:hAnsi="仿宋" w:eastAsia="仿宋" w:cs="Arial"/>
          <w:sz w:val="24"/>
        </w:rPr>
        <w:t>人（采购人代表</w:t>
      </w:r>
      <w:r>
        <w:rPr>
          <w:rFonts w:hint="eastAsia" w:ascii="仿宋" w:hAnsi="仿宋" w:eastAsia="仿宋" w:cs="Arial"/>
          <w:sz w:val="24"/>
        </w:rPr>
        <w:t>1人，评标专家4人由政采云平台随机抽取信息技术服务、计算机设备和软件租赁服务等相关专业产生</w:t>
      </w:r>
      <w:r>
        <w:rPr>
          <w:rFonts w:ascii="仿宋" w:hAnsi="仿宋" w:eastAsia="仿宋" w:cs="Arial"/>
          <w:sz w:val="24"/>
        </w:rPr>
        <w:t>）</w:t>
      </w:r>
      <w:r>
        <w:rPr>
          <w:rFonts w:hint="eastAsia" w:ascii="仿宋" w:hAnsi="仿宋" w:eastAsia="仿宋" w:cs="Arial"/>
          <w:sz w:val="24"/>
        </w:rPr>
        <w:t>。</w:t>
      </w:r>
      <w:r>
        <w:rPr>
          <w:rFonts w:hint="eastAsia" w:ascii="仿宋" w:hAnsi="仿宋" w:eastAsia="仿宋" w:cs="Arial"/>
        </w:rPr>
        <w:t>】</w:t>
      </w:r>
      <w:r>
        <w:rPr>
          <w:rFonts w:hint="eastAsia" w:ascii="仿宋" w:hAnsi="仿宋" w:eastAsia="仿宋" w:cs="仿宋_GB2312"/>
          <w:sz w:val="24"/>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pPr>
        <w:snapToGrid w:val="0"/>
        <w:spacing w:line="360" w:lineRule="auto"/>
        <w:jc w:val="center"/>
        <w:outlineLvl w:val="0"/>
        <w:rPr>
          <w:rFonts w:ascii="仿宋" w:hAnsi="仿宋" w:eastAsia="仿宋" w:cs="仿宋"/>
          <w:b/>
          <w:sz w:val="28"/>
          <w:szCs w:val="28"/>
        </w:rPr>
      </w:pPr>
    </w:p>
    <w:p>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六、定 标</w:t>
      </w:r>
    </w:p>
    <w:p>
      <w:pPr>
        <w:pStyle w:val="31"/>
        <w:spacing w:line="360" w:lineRule="auto"/>
        <w:ind w:left="479" w:hanging="479" w:hangingChars="199"/>
        <w:rPr>
          <w:rFonts w:ascii="仿宋" w:hAnsi="仿宋" w:eastAsia="仿宋" w:cs="仿宋_GB2312"/>
          <w:b/>
          <w:sz w:val="24"/>
          <w:szCs w:val="24"/>
        </w:rPr>
      </w:pPr>
      <w:r>
        <w:rPr>
          <w:rFonts w:hint="eastAsia" w:ascii="仿宋" w:hAnsi="仿宋" w:eastAsia="仿宋" w:cs="仿宋"/>
          <w:b/>
          <w:sz w:val="24"/>
          <w:szCs w:val="24"/>
        </w:rPr>
        <w:t>2</w:t>
      </w:r>
      <w:r>
        <w:rPr>
          <w:rFonts w:ascii="仿宋" w:hAnsi="仿宋" w:eastAsia="仿宋" w:cs="仿宋_GB2312"/>
          <w:b/>
          <w:sz w:val="24"/>
          <w:szCs w:val="24"/>
        </w:rPr>
        <w:t xml:space="preserve">2. </w:t>
      </w:r>
      <w:r>
        <w:rPr>
          <w:rFonts w:hint="eastAsia" w:ascii="仿宋" w:hAnsi="仿宋" w:eastAsia="仿宋" w:cs="仿宋_GB2312"/>
          <w:b/>
          <w:sz w:val="24"/>
          <w:szCs w:val="24"/>
        </w:rPr>
        <w:t>确定中标供应商</w:t>
      </w:r>
    </w:p>
    <w:p>
      <w:pPr>
        <w:widowControl/>
        <w:shd w:val="clear" w:color="auto" w:fill="FFFFFF"/>
        <w:adjustRightInd w:val="0"/>
        <w:spacing w:line="360" w:lineRule="auto"/>
        <w:ind w:firstLine="480"/>
        <w:jc w:val="left"/>
        <w:rPr>
          <w:rFonts w:ascii="仿宋" w:hAnsi="仿宋" w:eastAsia="仿宋" w:cs="仿宋_GB2312"/>
          <w:sz w:val="24"/>
        </w:rPr>
      </w:pPr>
      <w:r>
        <w:rPr>
          <w:rFonts w:hint="eastAsia" w:ascii="仿宋" w:hAnsi="仿宋" w:eastAsia="仿宋" w:cs="仿宋_GB2312"/>
          <w:sz w:val="24"/>
        </w:rPr>
        <w:t>采购人将自收到评审报告之日起</w:t>
      </w:r>
      <w:r>
        <w:rPr>
          <w:rFonts w:ascii="仿宋" w:hAnsi="仿宋" w:eastAsia="仿宋" w:cs="仿宋_GB2312"/>
          <w:sz w:val="24"/>
        </w:rPr>
        <w:t>2个工作日内通过电子交易平台在</w:t>
      </w:r>
      <w:r>
        <w:rPr>
          <w:rFonts w:hint="eastAsia" w:ascii="仿宋" w:hAnsi="仿宋" w:eastAsia="仿宋" w:cs="仿宋_GB2312"/>
          <w:sz w:val="24"/>
        </w:rPr>
        <w:t>线</w:t>
      </w:r>
      <w:r>
        <w:rPr>
          <w:rFonts w:ascii="仿宋" w:hAnsi="仿宋" w:eastAsia="仿宋" w:cs="仿宋_GB2312"/>
          <w:sz w:val="24"/>
        </w:rPr>
        <w:t>确定中标</w:t>
      </w:r>
      <w:r>
        <w:rPr>
          <w:rFonts w:hint="eastAsia" w:ascii="仿宋" w:hAnsi="仿宋" w:eastAsia="仿宋" w:cs="仿宋_GB2312"/>
          <w:sz w:val="24"/>
        </w:rPr>
        <w:t>、中标供应商</w:t>
      </w:r>
      <w:r>
        <w:rPr>
          <w:rFonts w:ascii="仿宋" w:hAnsi="仿宋" w:eastAsia="仿宋" w:cs="仿宋_GB2312"/>
          <w:sz w:val="24"/>
        </w:rPr>
        <w:t>。</w:t>
      </w:r>
    </w:p>
    <w:p>
      <w:pPr>
        <w:adjustRightInd w:val="0"/>
        <w:snapToGrid w:val="0"/>
        <w:spacing w:line="360" w:lineRule="auto"/>
        <w:rPr>
          <w:rFonts w:ascii="仿宋" w:hAnsi="仿宋" w:eastAsia="仿宋" w:cs="仿宋_GB2312"/>
          <w:b/>
          <w:sz w:val="24"/>
        </w:rPr>
      </w:pPr>
      <w:r>
        <w:rPr>
          <w:rFonts w:ascii="仿宋" w:hAnsi="仿宋" w:eastAsia="仿宋" w:cs="仿宋_GB2312"/>
          <w:b/>
          <w:sz w:val="24"/>
        </w:rPr>
        <w:t xml:space="preserve">23. </w:t>
      </w:r>
      <w:r>
        <w:rPr>
          <w:rFonts w:hint="eastAsia" w:ascii="仿宋" w:hAnsi="仿宋" w:eastAsia="仿宋" w:cs="仿宋_GB2312"/>
          <w:b/>
          <w:sz w:val="24"/>
        </w:rPr>
        <w:t>中标通知与中标结果公告</w:t>
      </w:r>
    </w:p>
    <w:p>
      <w:pPr>
        <w:widowControl/>
        <w:shd w:val="clear" w:color="auto" w:fill="FFFFFF"/>
        <w:adjustRightInd w:val="0"/>
        <w:spacing w:line="360" w:lineRule="auto"/>
        <w:ind w:firstLine="480"/>
        <w:jc w:val="left"/>
        <w:rPr>
          <w:rFonts w:ascii="仿宋" w:hAnsi="仿宋" w:eastAsia="仿宋" w:cs="仿宋_GB2312"/>
          <w:sz w:val="24"/>
        </w:rPr>
      </w:pPr>
      <w:r>
        <w:rPr>
          <w:rFonts w:ascii="仿宋" w:hAnsi="仿宋" w:eastAsia="仿宋" w:cs="仿宋_GB2312"/>
          <w:sz w:val="24"/>
        </w:rPr>
        <w:t>23.1</w:t>
      </w:r>
      <w:r>
        <w:rPr>
          <w:rFonts w:hint="eastAsia" w:ascii="仿宋" w:hAnsi="仿宋" w:eastAsia="仿宋" w:cs="仿宋_GB2312"/>
          <w:sz w:val="24"/>
        </w:rPr>
        <w:t>采购人将</w:t>
      </w:r>
      <w:r>
        <w:rPr>
          <w:rFonts w:ascii="仿宋" w:hAnsi="仿宋" w:eastAsia="仿宋" w:cs="仿宋_GB2312"/>
          <w:sz w:val="24"/>
        </w:rPr>
        <w:t>自</w:t>
      </w:r>
      <w:r>
        <w:rPr>
          <w:rFonts w:hint="eastAsia" w:ascii="仿宋" w:hAnsi="仿宋" w:eastAsia="仿宋" w:cs="仿宋_GB2312"/>
          <w:sz w:val="24"/>
        </w:rPr>
        <w:t>收到评审报告之日起</w:t>
      </w:r>
      <w:r>
        <w:rPr>
          <w:rFonts w:ascii="仿宋" w:hAnsi="仿宋" w:eastAsia="仿宋" w:cs="仿宋_GB2312"/>
          <w:sz w:val="24"/>
        </w:rPr>
        <w:t>2个工作日内，采购</w:t>
      </w:r>
      <w:r>
        <w:rPr>
          <w:rFonts w:hint="eastAsia" w:ascii="仿宋" w:hAnsi="仿宋" w:eastAsia="仿宋" w:cs="仿宋_GB2312"/>
          <w:sz w:val="24"/>
        </w:rPr>
        <w:t>人</w:t>
      </w:r>
      <w:r>
        <w:rPr>
          <w:rFonts w:ascii="仿宋" w:hAnsi="仿宋" w:eastAsia="仿宋" w:cs="仿宋_GB2312"/>
          <w:sz w:val="24"/>
        </w:rPr>
        <w:t>通过电子交易平台向</w:t>
      </w:r>
      <w:r>
        <w:rPr>
          <w:rFonts w:hint="eastAsia" w:ascii="仿宋" w:hAnsi="仿宋" w:eastAsia="仿宋" w:cs="仿宋_GB2312"/>
          <w:sz w:val="24"/>
        </w:rPr>
        <w:t>中标人</w:t>
      </w:r>
      <w:r>
        <w:rPr>
          <w:rFonts w:ascii="仿宋" w:hAnsi="仿宋" w:eastAsia="仿宋" w:cs="仿宋_GB2312"/>
          <w:sz w:val="24"/>
        </w:rPr>
        <w:t>发出</w:t>
      </w:r>
      <w:r>
        <w:rPr>
          <w:rFonts w:hint="eastAsia" w:ascii="仿宋" w:hAnsi="仿宋" w:eastAsia="仿宋" w:cs="仿宋_GB2312"/>
          <w:sz w:val="24"/>
        </w:rPr>
        <w:t>中标、成交</w:t>
      </w:r>
      <w:r>
        <w:rPr>
          <w:rFonts w:ascii="仿宋" w:hAnsi="仿宋" w:eastAsia="仿宋" w:cs="仿宋_GB2312"/>
          <w:sz w:val="24"/>
        </w:rPr>
        <w:t>通知书，</w:t>
      </w:r>
      <w:r>
        <w:rPr>
          <w:rFonts w:hint="eastAsia" w:ascii="仿宋" w:hAnsi="仿宋" w:eastAsia="仿宋" w:cs="仿宋_GB2312"/>
          <w:sz w:val="24"/>
        </w:rPr>
        <w:t>同时发布采购结果公告。</w:t>
      </w:r>
    </w:p>
    <w:p>
      <w:pPr>
        <w:widowControl/>
        <w:shd w:val="clear" w:color="auto" w:fill="FFFFFF"/>
        <w:adjustRightInd w:val="0"/>
        <w:spacing w:line="360" w:lineRule="auto"/>
        <w:ind w:firstLine="480"/>
        <w:jc w:val="left"/>
        <w:rPr>
          <w:rFonts w:ascii="仿宋" w:hAnsi="仿宋" w:eastAsia="仿宋" w:cs="仿宋_GB2312"/>
          <w:sz w:val="24"/>
        </w:rPr>
      </w:pPr>
      <w:r>
        <w:rPr>
          <w:rFonts w:ascii="仿宋" w:hAnsi="仿宋" w:eastAsia="仿宋" w:cs="仿宋_GB2312"/>
          <w:sz w:val="24"/>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 w:val="24"/>
        </w:rPr>
        <w:t>的名称、规格型号、数量、单价、服务要求，开标记录、未中标情况说明、中标公告期限以及评审专家抽取规则、评审专家名单、资格审查情况、符合性审查情况、专家评分汇总及明细</w:t>
      </w:r>
      <w:r>
        <w:rPr>
          <w:rFonts w:hint="eastAsia" w:ascii="仿宋" w:hAnsi="仿宋" w:eastAsia="仿宋" w:cs="仿宋"/>
          <w:sz w:val="24"/>
        </w:rPr>
        <w:t>、中小企业声明函。</w:t>
      </w:r>
    </w:p>
    <w:p>
      <w:pPr>
        <w:widowControl/>
        <w:shd w:val="clear" w:color="auto" w:fill="FFFFFF"/>
        <w:spacing w:line="360" w:lineRule="atLeast"/>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rPr>
          <w:rFonts w:ascii="仿宋" w:hAnsi="仿宋" w:eastAsia="仿宋" w:cs="仿宋"/>
          <w:b/>
          <w:sz w:val="32"/>
        </w:rPr>
      </w:pPr>
    </w:p>
    <w:p>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七、合同授予</w:t>
      </w:r>
    </w:p>
    <w:p>
      <w:pPr>
        <w:adjustRightInd w:val="0"/>
        <w:spacing w:line="360" w:lineRule="auto"/>
        <w:ind w:left="479" w:hanging="479" w:hangingChars="199"/>
        <w:rPr>
          <w:rFonts w:ascii="仿宋" w:hAnsi="仿宋" w:eastAsia="仿宋" w:cs="仿宋_GB2312"/>
          <w:b/>
          <w:sz w:val="24"/>
        </w:rPr>
      </w:pPr>
      <w:r>
        <w:rPr>
          <w:rFonts w:ascii="仿宋" w:hAnsi="仿宋" w:eastAsia="仿宋" w:cs="仿宋_GB2312"/>
          <w:b/>
          <w:sz w:val="24"/>
        </w:rPr>
        <w:t xml:space="preserve">24. </w:t>
      </w:r>
      <w:r>
        <w:rPr>
          <w:rFonts w:hint="eastAsia" w:ascii="仿宋" w:hAnsi="仿宋" w:eastAsia="仿宋" w:cs="仿宋_GB2312"/>
          <w:sz w:val="24"/>
        </w:rPr>
        <w:t>合同主要条款详见第五部分拟签订的合同文本。</w:t>
      </w:r>
    </w:p>
    <w:p>
      <w:pPr>
        <w:adjustRightInd w:val="0"/>
        <w:spacing w:line="360" w:lineRule="auto"/>
        <w:ind w:left="479" w:hanging="479" w:hangingChars="199"/>
        <w:rPr>
          <w:rFonts w:ascii="仿宋" w:hAnsi="仿宋" w:eastAsia="仿宋" w:cs="仿宋_GB2312"/>
          <w:b/>
          <w:sz w:val="24"/>
        </w:rPr>
      </w:pPr>
      <w:r>
        <w:rPr>
          <w:rFonts w:ascii="仿宋" w:hAnsi="仿宋" w:eastAsia="仿宋" w:cs="仿宋_GB2312"/>
          <w:b/>
          <w:sz w:val="24"/>
        </w:rPr>
        <w:t xml:space="preserve">25. </w:t>
      </w:r>
      <w:r>
        <w:rPr>
          <w:rFonts w:hint="eastAsia" w:ascii="仿宋" w:hAnsi="仿宋" w:eastAsia="仿宋" w:cs="仿宋_GB2312"/>
          <w:b/>
          <w:sz w:val="24"/>
        </w:rPr>
        <w:t>合同的签订</w:t>
      </w:r>
    </w:p>
    <w:p>
      <w:pPr>
        <w:widowControl/>
        <w:shd w:val="clear" w:color="auto" w:fill="FFFFFF"/>
        <w:adjustRightInd w:val="0"/>
        <w:spacing w:line="360" w:lineRule="auto"/>
        <w:ind w:firstLine="480"/>
        <w:jc w:val="left"/>
        <w:rPr>
          <w:rFonts w:ascii="仿宋" w:hAnsi="仿宋" w:eastAsia="仿宋" w:cs="Arial"/>
          <w:kern w:val="0"/>
          <w:sz w:val="24"/>
        </w:rPr>
      </w:pPr>
      <w:r>
        <w:rPr>
          <w:rFonts w:ascii="仿宋" w:hAnsi="仿宋" w:eastAsia="仿宋" w:cs="仿宋_GB2312"/>
          <w:sz w:val="24"/>
        </w:rPr>
        <w:t>25.1</w:t>
      </w:r>
      <w:r>
        <w:rPr>
          <w:rFonts w:hint="eastAsia" w:ascii="仿宋" w:hAnsi="仿宋" w:eastAsia="仿宋" w:cs="Arial"/>
          <w:kern w:val="0"/>
          <w:sz w:val="24"/>
        </w:rPr>
        <w:t>采购人与中标人应当通过电子交易平台在中标通知书发出之日起三十日内，按照招标文件确定的事项签订政府采购合同，并在签订之日起</w:t>
      </w:r>
      <w:r>
        <w:rPr>
          <w:rFonts w:ascii="仿宋" w:hAnsi="仿宋" w:eastAsia="仿宋" w:cs="Arial"/>
          <w:kern w:val="0"/>
          <w:sz w:val="24"/>
        </w:rPr>
        <w:t>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adjustRightInd w:val="0"/>
        <w:snapToGrid w:val="0"/>
        <w:spacing w:line="360" w:lineRule="auto"/>
        <w:ind w:firstLine="480" w:firstLineChars="200"/>
        <w:rPr>
          <w:rFonts w:ascii="仿宋" w:hAnsi="仿宋" w:eastAsia="仿宋"/>
          <w:kern w:val="0"/>
          <w:sz w:val="24"/>
          <w:szCs w:val="20"/>
        </w:rPr>
      </w:pPr>
      <w:r>
        <w:rPr>
          <w:rFonts w:ascii="仿宋" w:hAnsi="仿宋" w:eastAsia="仿宋" w:cs="仿宋_GB2312"/>
          <w:kern w:val="0"/>
          <w:sz w:val="24"/>
          <w:szCs w:val="20"/>
          <w:lang w:val="zh-CN"/>
        </w:rPr>
        <w:t>25.2</w:t>
      </w:r>
      <w:r>
        <w:rPr>
          <w:rFonts w:hint="eastAsia" w:ascii="仿宋" w:hAnsi="仿宋" w:eastAsia="仿宋"/>
          <w:kern w:val="0"/>
          <w:sz w:val="24"/>
          <w:szCs w:val="20"/>
          <w:lang w:val="zh-CN"/>
        </w:rPr>
        <w:t>中标人按规定的日期、时间、地点，由法定代表人或其授权代表与采购人代表签订合同。如中标人为联合体的，由联合体成员各方法定代表人或其授权代表与采购人代表签订合同。</w:t>
      </w:r>
    </w:p>
    <w:p>
      <w:pPr>
        <w:adjustRightInd w:val="0"/>
        <w:snapToGrid w:val="0"/>
        <w:spacing w:line="360" w:lineRule="auto"/>
        <w:ind w:firstLine="480" w:firstLineChars="200"/>
        <w:rPr>
          <w:rFonts w:ascii="仿宋" w:hAnsi="仿宋" w:eastAsia="仿宋" w:cs="仿宋_GB2312"/>
          <w:sz w:val="24"/>
          <w:szCs w:val="20"/>
        </w:rPr>
      </w:pPr>
      <w:r>
        <w:rPr>
          <w:rFonts w:ascii="仿宋" w:hAnsi="仿宋" w:eastAsia="仿宋" w:cs="仿宋_GB2312"/>
          <w:sz w:val="24"/>
          <w:szCs w:val="20"/>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ascii="仿宋" w:hAnsi="仿宋" w:eastAsia="仿宋" w:cs="仿宋_GB2312"/>
          <w:sz w:val="24"/>
          <w:szCs w:val="20"/>
        </w:rPr>
      </w:pPr>
      <w:r>
        <w:rPr>
          <w:rFonts w:ascii="仿宋" w:hAnsi="仿宋" w:eastAsia="仿宋" w:cs="仿宋_GB2312"/>
          <w:sz w:val="24"/>
          <w:szCs w:val="20"/>
        </w:rPr>
        <w:t>25.4中标供应</w:t>
      </w:r>
      <w:r>
        <w:rPr>
          <w:rFonts w:hint="eastAsia" w:ascii="仿宋" w:hAnsi="仿宋" w:eastAsia="仿宋" w:cs="仿宋_GB2312"/>
          <w:sz w:val="24"/>
          <w:szCs w:val="20"/>
        </w:rPr>
        <w:t>商拒绝与采购人签订合同的，采购人可以按照评审报告推荐的中标或者成交候选人名单排序，确定下一候选人为中标供应商，也可以重新开展政府采购活动。</w:t>
      </w:r>
    </w:p>
    <w:p>
      <w:pPr>
        <w:adjustRightInd w:val="0"/>
        <w:snapToGrid w:val="0"/>
        <w:spacing w:after="120" w:line="360" w:lineRule="auto"/>
        <w:ind w:firstLine="480" w:firstLineChars="200"/>
        <w:rPr>
          <w:rFonts w:ascii="仿宋" w:hAnsi="仿宋" w:eastAsia="仿宋" w:cs="仿宋_GB2312"/>
          <w:sz w:val="24"/>
          <w:szCs w:val="20"/>
        </w:rPr>
      </w:pPr>
      <w:r>
        <w:rPr>
          <w:rFonts w:ascii="仿宋" w:hAnsi="仿宋" w:eastAsia="仿宋" w:cs="仿宋_GB2312"/>
          <w:sz w:val="24"/>
          <w:szCs w:val="20"/>
        </w:rPr>
        <w:t>25.5采购合同由采购人与中标供应商根据</w:t>
      </w:r>
      <w:r>
        <w:rPr>
          <w:rFonts w:hint="eastAsia" w:ascii="仿宋" w:hAnsi="仿宋" w:eastAsia="仿宋" w:cs="仿宋_GB2312"/>
          <w:sz w:val="24"/>
          <w:szCs w:val="20"/>
        </w:rPr>
        <w:t>招标文件、投标文件等内容通过政府采购电子交易平台在线签订，自动备案。</w:t>
      </w:r>
    </w:p>
    <w:p>
      <w:pPr>
        <w:pStyle w:val="31"/>
        <w:spacing w:line="360" w:lineRule="auto"/>
        <w:ind w:left="479" w:hanging="479" w:hangingChars="199"/>
        <w:rPr>
          <w:rFonts w:ascii="仿宋" w:hAnsi="仿宋" w:eastAsia="仿宋" w:cs="仿宋"/>
          <w:b/>
          <w:sz w:val="24"/>
          <w:szCs w:val="24"/>
        </w:rPr>
      </w:pPr>
      <w:r>
        <w:rPr>
          <w:rFonts w:hint="eastAsia" w:ascii="仿宋" w:hAnsi="仿宋" w:eastAsia="仿宋" w:cs="仿宋"/>
          <w:b/>
          <w:sz w:val="24"/>
          <w:szCs w:val="24"/>
        </w:rPr>
        <w:t>26. 履约保证金</w:t>
      </w:r>
    </w:p>
    <w:p>
      <w:pPr>
        <w:tabs>
          <w:tab w:val="left" w:pos="0"/>
        </w:tabs>
        <w:spacing w:line="360" w:lineRule="auto"/>
        <w:ind w:firstLine="482"/>
        <w:rPr>
          <w:rFonts w:ascii="仿宋" w:hAnsi="仿宋" w:eastAsia="仿宋"/>
          <w:b/>
          <w:sz w:val="24"/>
        </w:rPr>
      </w:pPr>
      <w:r>
        <w:rPr>
          <w:rFonts w:hint="eastAsia" w:ascii="仿宋" w:hAnsi="仿宋" w:eastAsia="仿宋" w:cs="Helvetica"/>
          <w:kern w:val="0"/>
          <w:sz w:val="24"/>
        </w:rPr>
        <w:t>拟签订的合同文本要求中标供应商提交履约保证金的，供应商应当以支票、汇票、本票或者金融机构、担保机构出具的</w:t>
      </w:r>
      <w:r>
        <w:rPr>
          <w:rFonts w:hint="eastAsia" w:ascii="仿宋" w:hAnsi="仿宋" w:eastAsia="仿宋"/>
          <w:sz w:val="24"/>
        </w:rPr>
        <w:t>履约</w:t>
      </w:r>
      <w:r>
        <w:rPr>
          <w:rFonts w:hint="eastAsia" w:ascii="仿宋" w:hAnsi="仿宋" w:eastAsia="仿宋" w:cs="Helvetica"/>
          <w:kern w:val="0"/>
          <w:sz w:val="24"/>
        </w:rPr>
        <w:t>保函等非现金形式提交</w:t>
      </w:r>
      <w:r>
        <w:rPr>
          <w:rFonts w:hint="eastAsia" w:ascii="仿宋" w:hAnsi="仿宋" w:eastAsia="仿宋"/>
          <w:sz w:val="24"/>
        </w:rPr>
        <w:t>。履约保证金的数额不得超过政府采购合同金额的1</w:t>
      </w:r>
      <w:r>
        <w:rPr>
          <w:rFonts w:ascii="仿宋" w:hAnsi="仿宋" w:eastAsia="仿宋"/>
          <w:sz w:val="24"/>
        </w:rPr>
        <w:t>%。</w:t>
      </w:r>
      <w:r>
        <w:rPr>
          <w:rFonts w:hint="eastAsia" w:ascii="仿宋" w:hAnsi="仿宋" w:eastAsia="仿宋"/>
          <w:sz w:val="24"/>
        </w:rPr>
        <w:t>按供应商履约评价缴纳履约保证金,鼓励和支持供应商以保函形式提供履约保证金。</w:t>
      </w:r>
      <w:r>
        <w:rPr>
          <w:rFonts w:hint="eastAsia" w:ascii="仿宋" w:hAnsi="仿宋" w:eastAsia="仿宋"/>
          <w:b/>
          <w:sz w:val="24"/>
        </w:rPr>
        <w:t>采购人不得拒收履约保函。</w:t>
      </w:r>
    </w:p>
    <w:p>
      <w:pPr>
        <w:tabs>
          <w:tab w:val="left" w:pos="0"/>
        </w:tabs>
        <w:spacing w:line="360" w:lineRule="auto"/>
        <w:ind w:firstLine="482"/>
        <w:rPr>
          <w:rFonts w:ascii="仿宋" w:hAnsi="仿宋" w:eastAsia="仿宋" w:cs="仿宋_GB2312"/>
          <w:sz w:val="24"/>
          <w:szCs w:val="20"/>
        </w:rPr>
      </w:pPr>
      <w:r>
        <w:rPr>
          <w:rFonts w:hint="eastAsia" w:ascii="仿宋" w:hAnsi="仿宋" w:eastAsia="仿宋"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100分以下或者暂无评分的，收取履约保证金为合同金额1%。</w:t>
      </w:r>
    </w:p>
    <w:p>
      <w:pPr>
        <w:tabs>
          <w:tab w:val="left" w:pos="0"/>
        </w:tabs>
        <w:spacing w:line="360" w:lineRule="auto"/>
        <w:ind w:firstLine="482"/>
        <w:rPr>
          <w:rFonts w:ascii="仿宋" w:hAnsi="仿宋" w:eastAsia="仿宋" w:cs="仿宋_GB2312"/>
          <w:sz w:val="24"/>
          <w:szCs w:val="20"/>
        </w:rPr>
      </w:pPr>
      <w:r>
        <w:rPr>
          <w:rFonts w:hint="eastAsia" w:ascii="仿宋" w:hAnsi="仿宋" w:eastAsia="仿宋" w:cs="仿宋_GB2312"/>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rPr>
          <w:rFonts w:ascii="仿宋" w:hAnsi="仿宋" w:eastAsia="仿宋" w:cs="仿宋"/>
          <w:sz w:val="24"/>
        </w:rPr>
      </w:pPr>
    </w:p>
    <w:p>
      <w:pPr>
        <w:snapToGrid w:val="0"/>
        <w:spacing w:line="360" w:lineRule="auto"/>
        <w:ind w:firstLine="2645" w:firstLineChars="1098"/>
        <w:rPr>
          <w:rFonts w:ascii="仿宋" w:hAnsi="仿宋" w:eastAsia="仿宋"/>
          <w:b/>
          <w:sz w:val="24"/>
        </w:rPr>
      </w:pPr>
      <w:r>
        <w:rPr>
          <w:rFonts w:hint="eastAsia" w:ascii="仿宋" w:hAnsi="仿宋" w:eastAsia="仿宋" w:cs="仿宋_GB2312"/>
          <w:b/>
          <w:sz w:val="24"/>
        </w:rPr>
        <w:t>八、电子交易活动的中止</w:t>
      </w:r>
    </w:p>
    <w:p>
      <w:pPr>
        <w:pStyle w:val="135"/>
        <w:snapToGrid w:val="0"/>
        <w:spacing w:before="0"/>
        <w:ind w:firstLine="0" w:firstLineChars="0"/>
        <w:rPr>
          <w:rFonts w:ascii="仿宋" w:hAnsi="仿宋" w:eastAsia="仿宋" w:cs="仿宋_GB2312"/>
        </w:rPr>
      </w:pPr>
      <w:r>
        <w:rPr>
          <w:rFonts w:hint="eastAsia" w:ascii="仿宋" w:hAnsi="仿宋" w:eastAsia="仿宋" w:cs="仿宋_GB2312"/>
        </w:rPr>
        <w:t>2</w:t>
      </w:r>
      <w:r>
        <w:rPr>
          <w:rFonts w:hint="eastAsia" w:ascii="仿宋" w:hAnsi="仿宋" w:eastAsia="仿宋" w:cs="仿宋_GB2312"/>
          <w:b/>
          <w:szCs w:val="24"/>
        </w:rPr>
        <w:t>7. 电子交易活动的中止。</w:t>
      </w:r>
      <w:r>
        <w:rPr>
          <w:rFonts w:hint="eastAsia" w:ascii="仿宋" w:hAnsi="仿宋" w:eastAsia="仿宋" w:cs="仿宋_GB2312"/>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仿宋" w:hAnsi="仿宋" w:eastAsia="仿宋" w:cs="仿宋_GB2312"/>
        </w:rPr>
      </w:pPr>
      <w:r>
        <w:rPr>
          <w:rFonts w:hint="eastAsia" w:ascii="仿宋" w:hAnsi="仿宋" w:eastAsia="仿宋" w:cs="仿宋_GB2312"/>
        </w:rPr>
        <w:t xml:space="preserve">27.1电子交易平台发生故障而无法登录访问的； </w:t>
      </w:r>
    </w:p>
    <w:p>
      <w:pPr>
        <w:pStyle w:val="135"/>
        <w:snapToGrid w:val="0"/>
        <w:spacing w:before="0"/>
        <w:ind w:firstLine="480"/>
        <w:rPr>
          <w:rFonts w:ascii="仿宋" w:hAnsi="仿宋" w:eastAsia="仿宋" w:cs="仿宋_GB2312"/>
        </w:rPr>
      </w:pPr>
      <w:r>
        <w:rPr>
          <w:rFonts w:hint="eastAsia" w:ascii="仿宋" w:hAnsi="仿宋" w:eastAsia="仿宋" w:cs="仿宋_GB2312"/>
        </w:rPr>
        <w:t>27.2电子交易平台应用或数据库出现错误，不能进行正常操作的；</w:t>
      </w:r>
    </w:p>
    <w:p>
      <w:pPr>
        <w:pStyle w:val="135"/>
        <w:snapToGrid w:val="0"/>
        <w:spacing w:before="0"/>
        <w:ind w:firstLine="480"/>
        <w:rPr>
          <w:rFonts w:ascii="仿宋" w:hAnsi="仿宋" w:eastAsia="仿宋" w:cs="仿宋_GB2312"/>
        </w:rPr>
      </w:pPr>
      <w:r>
        <w:rPr>
          <w:rFonts w:hint="eastAsia" w:ascii="仿宋" w:hAnsi="仿宋" w:eastAsia="仿宋" w:cs="仿宋_GB2312"/>
        </w:rPr>
        <w:t>27.3电子交易平台发现严重安全漏洞，有潜在泄密危险的；</w:t>
      </w:r>
    </w:p>
    <w:p>
      <w:pPr>
        <w:pStyle w:val="135"/>
        <w:snapToGrid w:val="0"/>
        <w:spacing w:before="0"/>
        <w:ind w:firstLine="480"/>
        <w:rPr>
          <w:rFonts w:ascii="仿宋" w:hAnsi="仿宋" w:eastAsia="仿宋" w:cs="仿宋_GB2312"/>
        </w:rPr>
      </w:pPr>
      <w:r>
        <w:rPr>
          <w:rFonts w:hint="eastAsia" w:ascii="仿宋" w:hAnsi="仿宋" w:eastAsia="仿宋" w:cs="仿宋_GB2312"/>
        </w:rPr>
        <w:t xml:space="preserve">27.4病毒发作导致不能进行正常操作的； </w:t>
      </w:r>
    </w:p>
    <w:p>
      <w:pPr>
        <w:pStyle w:val="135"/>
        <w:snapToGrid w:val="0"/>
        <w:spacing w:before="0"/>
        <w:ind w:firstLine="480"/>
        <w:rPr>
          <w:rFonts w:ascii="仿宋" w:hAnsi="仿宋" w:eastAsia="仿宋" w:cs="仿宋_GB2312"/>
        </w:rPr>
      </w:pPr>
      <w:r>
        <w:rPr>
          <w:rFonts w:hint="eastAsia" w:ascii="仿宋" w:hAnsi="仿宋" w:eastAsia="仿宋" w:cs="仿宋_GB2312"/>
        </w:rPr>
        <w:t>27.5其他无法保证电子交易的公平、公正和安全的情况。</w:t>
      </w:r>
    </w:p>
    <w:p>
      <w:pPr>
        <w:pStyle w:val="135"/>
        <w:snapToGrid w:val="0"/>
        <w:spacing w:before="0"/>
        <w:ind w:firstLine="0" w:firstLineChars="0"/>
        <w:rPr>
          <w:rFonts w:ascii="仿宋" w:hAnsi="仿宋" w:eastAsia="仿宋" w:cs="仿宋_GB2312"/>
        </w:rPr>
      </w:pPr>
      <w:r>
        <w:rPr>
          <w:rFonts w:hint="eastAsia"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ascii="仿宋" w:hAnsi="仿宋" w:eastAsia="仿宋" w:cs="仿宋"/>
          <w:sz w:val="24"/>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九、验收</w:t>
      </w:r>
    </w:p>
    <w:p>
      <w:pPr>
        <w:pStyle w:val="31"/>
        <w:spacing w:line="360" w:lineRule="auto"/>
        <w:ind w:firstLine="0"/>
        <w:rPr>
          <w:rFonts w:ascii="仿宋" w:hAnsi="仿宋" w:eastAsia="仿宋" w:cs="仿宋"/>
          <w:b/>
          <w:sz w:val="24"/>
          <w:szCs w:val="24"/>
        </w:rPr>
      </w:pPr>
      <w:r>
        <w:rPr>
          <w:rFonts w:hint="eastAsia" w:ascii="仿宋" w:hAnsi="仿宋" w:eastAsia="仿宋" w:cs="仿宋"/>
          <w:b/>
          <w:sz w:val="24"/>
          <w:szCs w:val="24"/>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按照《杭州市政府采购履约验收暂行办法》（杭财采监[2019]10号）规定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480"/>
        <w:rPr>
          <w:rFonts w:ascii="仿宋" w:hAnsi="仿宋" w:eastAsia="仿宋" w:cs="宋体"/>
          <w:sz w:val="24"/>
        </w:rPr>
      </w:pPr>
      <w:r>
        <w:rPr>
          <w:rFonts w:hint="eastAsia" w:ascii="仿宋" w:hAnsi="仿宋" w:eastAsia="仿宋" w:cs="仿宋"/>
          <w:kern w:val="0"/>
          <w:sz w:val="24"/>
        </w:rPr>
        <w:t>29.2</w:t>
      </w:r>
      <w:r>
        <w:rPr>
          <w:rFonts w:hint="eastAsia" w:ascii="仿宋" w:hAnsi="仿宋" w:eastAsia="仿宋" w:cs="宋体"/>
          <w:sz w:val="24"/>
        </w:rPr>
        <w:t>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napToGrid w:val="0"/>
        <w:spacing w:line="360" w:lineRule="auto"/>
        <w:ind w:firstLine="480" w:firstLineChars="200"/>
        <w:rPr>
          <w:rFonts w:ascii="仿宋" w:hAnsi="仿宋" w:eastAsia="仿宋" w:cs="宋体"/>
          <w:sz w:val="24"/>
        </w:rPr>
      </w:pPr>
      <w:r>
        <w:rPr>
          <w:rFonts w:hint="eastAsia" w:ascii="仿宋" w:hAnsi="仿宋" w:eastAsia="仿宋" w:cs="仿宋"/>
          <w:kern w:val="0"/>
          <w:sz w:val="24"/>
        </w:rPr>
        <w:t>29.3严格按照采购合同开展履约验收。采购人成立验收小组，按照采购合同的约定对投标供应商履约情况进行验收，</w:t>
      </w:r>
      <w:r>
        <w:rPr>
          <w:rFonts w:hint="eastAsia" w:ascii="仿宋" w:hAnsi="仿宋" w:eastAsia="仿宋" w:cs="宋体"/>
          <w:sz w:val="24"/>
        </w:rPr>
        <w:t>验收时，按照采购合同的约定对每一项技术、服务、安全标准的履约情况进行确认，验收小组由5人组成：采购人1名，专家4名（由代理机构抽取信息技术服务、计算机设备和软件租赁服务等相关专业专家），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采购人根据验收报告形成验收意见并经采购人与供应商签字盖章，并在财政指定媒体上公示无异议后生效。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b/>
          <w:sz w:val="24"/>
        </w:rPr>
      </w:pPr>
      <w:r>
        <w:rPr>
          <w:rFonts w:hint="eastAsia" w:ascii="仿宋" w:hAnsi="仿宋" w:eastAsia="仿宋" w:cs="仿宋"/>
          <w:kern w:val="0"/>
          <w:sz w:val="24"/>
        </w:rPr>
        <w:t>29.4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bookmarkEnd w:id="34"/>
    <w:bookmarkEnd w:id="35"/>
    <w:bookmarkEnd w:id="36"/>
    <w:bookmarkEnd w:id="40"/>
    <w:p>
      <w:pPr>
        <w:pageBreakBefore/>
        <w:shd w:val="clear" w:color="auto" w:fill="FFFFFF"/>
        <w:snapToGrid w:val="0"/>
        <w:spacing w:line="360" w:lineRule="auto"/>
        <w:jc w:val="center"/>
        <w:outlineLvl w:val="0"/>
        <w:rPr>
          <w:rFonts w:ascii="仿宋" w:hAnsi="仿宋" w:eastAsia="仿宋" w:cs="宋体"/>
          <w:b/>
          <w:bCs/>
          <w:sz w:val="28"/>
          <w:szCs w:val="28"/>
        </w:rPr>
      </w:pPr>
      <w:bookmarkStart w:id="42" w:name="_Toc33194400"/>
      <w:r>
        <w:rPr>
          <w:rFonts w:hint="eastAsia" w:ascii="仿宋" w:hAnsi="仿宋" w:eastAsia="仿宋" w:cs="宋体"/>
          <w:b/>
          <w:bCs/>
          <w:sz w:val="28"/>
          <w:szCs w:val="28"/>
        </w:rPr>
        <w:t xml:space="preserve">第三部分  </w:t>
      </w:r>
      <w:bookmarkEnd w:id="42"/>
      <w:r>
        <w:rPr>
          <w:rFonts w:hint="eastAsia" w:ascii="仿宋" w:hAnsi="仿宋" w:eastAsia="仿宋" w:cs="仿宋_GB2312"/>
          <w:b/>
          <w:sz w:val="28"/>
          <w:szCs w:val="28"/>
        </w:rPr>
        <w:t>采购需求</w:t>
      </w:r>
    </w:p>
    <w:p>
      <w:pPr>
        <w:spacing w:line="360" w:lineRule="auto"/>
        <w:jc w:val="left"/>
        <w:rPr>
          <w:rFonts w:ascii="仿宋" w:hAnsi="仿宋" w:eastAsia="仿宋" w:cs="仿宋"/>
          <w:sz w:val="24"/>
        </w:rPr>
      </w:pPr>
      <w:bookmarkStart w:id="43" w:name="_Toc33194401"/>
      <w:bookmarkStart w:id="44" w:name="_Toc86217003"/>
      <w:bookmarkStart w:id="45" w:name="_Toc354996706"/>
      <w:bookmarkStart w:id="46" w:name="_Toc233618986"/>
      <w:r>
        <w:rPr>
          <w:rFonts w:hint="eastAsia" w:ascii="仿宋" w:hAnsi="仿宋" w:eastAsia="仿宋" w:cs="仿宋"/>
          <w:sz w:val="24"/>
        </w:rPr>
        <w:t>（一）项目概况</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租赁内容包括：以购买服务方式，提供5套的违法鸣笛抓拍点位的使用服务，用于抓拍举证机动车违法鸣笛的交通违法行为，遏制交通违法陋习。主要内容包括：鸣笛抓拍前端设备的安装运维服务，平台的基础运行环境服务，鸣笛抓拍业务系统的使用服务。具体包括：提供杭州市市区道路5个方向违法鸣笛抓拍系统使用服务，覆盖每个方向所有机动车道和辅道，包含声学探头、车牌抓拍识别、主控机三大子系统，提供租用期间7*24小时技术服务（含运行维护、性能调优、故障排除、例行巡检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u w:val="single"/>
        </w:rPr>
        <w:t>具体说明：租赁期：12个月，2021年12月1日-2022年11月30日。如非原供应商中标，需在合同签订之日起14日内，完成各项工作的转换、衔接、上线使用。2021年12月1日至新供应商开始提供服务之前由原供应商（2021年供应商）按照2022年需求提供服务，期间产生的费用由新供应商，按照实际服务时间及2022年合同单价与原供应商按实结算,同时扣除考核违约金（交还采购人）。各供应商在投标报价时充分考虑因以上问题而产生的间接费用，投标时并做相应承诺。</w:t>
      </w:r>
    </w:p>
    <w:p>
      <w:pPr>
        <w:spacing w:line="360" w:lineRule="auto"/>
        <w:jc w:val="left"/>
        <w:rPr>
          <w:rFonts w:ascii="仿宋" w:hAnsi="仿宋" w:eastAsia="仿宋" w:cs="仿宋"/>
          <w:sz w:val="24"/>
        </w:rPr>
      </w:pPr>
      <w:r>
        <w:rPr>
          <w:rFonts w:hint="eastAsia" w:ascii="仿宋" w:hAnsi="仿宋" w:eastAsia="仿宋" w:cs="仿宋"/>
          <w:sz w:val="24"/>
        </w:rPr>
        <w:t>（二）预算金额：</w:t>
      </w:r>
      <w:r>
        <w:rPr>
          <w:rFonts w:hint="eastAsia" w:ascii="仿宋" w:hAnsi="仿宋" w:eastAsia="仿宋" w:cs="仿宋"/>
          <w:bCs/>
          <w:sz w:val="24"/>
          <w:highlight w:val="none"/>
        </w:rPr>
        <w:t>55</w:t>
      </w:r>
      <w:r>
        <w:rPr>
          <w:rFonts w:ascii="仿宋" w:hAnsi="仿宋" w:eastAsia="仿宋" w:cs="仿宋"/>
          <w:bCs/>
          <w:sz w:val="24"/>
          <w:highlight w:val="none"/>
        </w:rPr>
        <w:t>万元</w:t>
      </w:r>
      <w:r>
        <w:rPr>
          <w:rFonts w:hint="eastAsia" w:ascii="仿宋" w:hAnsi="仿宋" w:eastAsia="仿宋" w:cs="仿宋"/>
          <w:bCs/>
          <w:sz w:val="24"/>
          <w:highlight w:val="none"/>
        </w:rPr>
        <w:t>，</w:t>
      </w:r>
      <w:r>
        <w:rPr>
          <w:rFonts w:ascii="仿宋" w:hAnsi="仿宋" w:eastAsia="仿宋" w:cs="仿宋"/>
          <w:bCs/>
          <w:sz w:val="24"/>
          <w:highlight w:val="none"/>
        </w:rPr>
        <w:t>最高限价</w:t>
      </w:r>
      <w:r>
        <w:rPr>
          <w:rFonts w:hint="eastAsia" w:ascii="仿宋" w:hAnsi="仿宋" w:eastAsia="仿宋" w:cs="仿宋"/>
          <w:bCs/>
          <w:sz w:val="24"/>
          <w:highlight w:val="none"/>
        </w:rPr>
        <w:t>：53.325万元。</w:t>
      </w:r>
    </w:p>
    <w:p>
      <w:pPr>
        <w:spacing w:line="360" w:lineRule="auto"/>
        <w:jc w:val="left"/>
        <w:rPr>
          <w:rFonts w:ascii="仿宋" w:hAnsi="仿宋" w:eastAsia="仿宋" w:cs="仿宋"/>
          <w:sz w:val="24"/>
        </w:rPr>
      </w:pPr>
      <w:r>
        <w:rPr>
          <w:rFonts w:hint="eastAsia" w:ascii="仿宋" w:hAnsi="仿宋" w:eastAsia="仿宋" w:cs="仿宋"/>
          <w:sz w:val="24"/>
        </w:rPr>
        <w:t>（三）需满足的政府采购政策目标和具体支持对象：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扶持中小企业 </w:t>
      </w:r>
      <w:r>
        <w:rPr>
          <w:rFonts w:hint="eastAsia" w:ascii="仿宋" w:hAnsi="仿宋" w:eastAsia="仿宋" w:cs="仿宋"/>
          <w:sz w:val="24"/>
        </w:rPr>
        <w:sym w:font="Wingdings" w:char="00A8"/>
      </w:r>
      <w:r>
        <w:rPr>
          <w:rFonts w:hint="eastAsia" w:ascii="仿宋" w:hAnsi="仿宋" w:eastAsia="仿宋" w:cs="仿宋"/>
          <w:sz w:val="24"/>
        </w:rPr>
        <w:t xml:space="preserve">节能环保 </w:t>
      </w:r>
      <w:r>
        <w:rPr>
          <w:rFonts w:hint="eastAsia" w:ascii="仿宋" w:hAnsi="仿宋" w:eastAsia="仿宋" w:cs="仿宋"/>
          <w:sz w:val="24"/>
        </w:rPr>
        <w:sym w:font="Wingdings" w:char="00A8"/>
      </w:r>
      <w:r>
        <w:rPr>
          <w:rFonts w:hint="eastAsia" w:ascii="仿宋" w:hAnsi="仿宋" w:eastAsia="仿宋" w:cs="仿宋"/>
          <w:sz w:val="24"/>
        </w:rPr>
        <w:t>其他（）</w:t>
      </w:r>
    </w:p>
    <w:p>
      <w:pPr>
        <w:spacing w:line="360" w:lineRule="auto"/>
        <w:jc w:val="left"/>
        <w:rPr>
          <w:rFonts w:ascii="仿宋" w:hAnsi="仿宋" w:eastAsia="仿宋" w:cs="仿宋"/>
          <w:sz w:val="24"/>
        </w:rPr>
      </w:pPr>
      <w:r>
        <w:rPr>
          <w:rFonts w:hint="eastAsia" w:ascii="仿宋" w:hAnsi="仿宋" w:eastAsia="仿宋" w:cs="仿宋"/>
          <w:sz w:val="24"/>
        </w:rPr>
        <w:t xml:space="preserve">（四）采购标的是否进口产品： </w:t>
      </w:r>
      <w:r>
        <w:rPr>
          <w:rFonts w:hint="eastAsia" w:ascii="仿宋" w:hAnsi="仿宋" w:eastAsia="仿宋" w:cs="仿宋"/>
          <w:sz w:val="24"/>
        </w:rPr>
        <w:sym w:font="Wingdings" w:char="00A8"/>
      </w:r>
      <w:r>
        <w:rPr>
          <w:rFonts w:hint="eastAsia" w:ascii="仿宋" w:hAnsi="仿宋" w:eastAsia="仿宋" w:cs="仿宋"/>
          <w:sz w:val="24"/>
        </w:rPr>
        <w:t xml:space="preserve">进口  </w:t>
      </w:r>
      <w:r>
        <w:rPr>
          <w:rFonts w:hint="eastAsia" w:ascii="仿宋" w:hAnsi="仿宋" w:eastAsia="仿宋" w:cs="仿宋"/>
          <w:sz w:val="24"/>
        </w:rPr>
        <w:sym w:font="Wingdings" w:char="00A8"/>
      </w:r>
      <w:r>
        <w:rPr>
          <w:rFonts w:hint="eastAsia" w:ascii="仿宋" w:hAnsi="仿宋" w:eastAsia="仿宋" w:cs="仿宋"/>
          <w:sz w:val="24"/>
        </w:rPr>
        <w:t>国产（服务类项目）</w:t>
      </w:r>
    </w:p>
    <w:p>
      <w:pPr>
        <w:spacing w:line="360" w:lineRule="auto"/>
        <w:jc w:val="left"/>
        <w:rPr>
          <w:rFonts w:ascii="仿宋" w:hAnsi="仿宋" w:eastAsia="仿宋" w:cs="仿宋"/>
          <w:sz w:val="24"/>
        </w:rPr>
      </w:pPr>
      <w:r>
        <w:rPr>
          <w:rFonts w:hint="eastAsia" w:ascii="仿宋" w:hAnsi="仿宋" w:eastAsia="仿宋" w:cs="仿宋"/>
          <w:sz w:val="24"/>
        </w:rPr>
        <w:t>（五）拟采购标的的技术要求</w:t>
      </w:r>
    </w:p>
    <w:p>
      <w:pPr>
        <w:pStyle w:val="4"/>
        <w:rPr>
          <w:rFonts w:ascii="仿宋" w:hAnsi="仿宋" w:eastAsia="仿宋" w:cs="仿宋"/>
          <w:sz w:val="24"/>
          <w:szCs w:val="24"/>
        </w:rPr>
      </w:pPr>
      <w:bookmarkStart w:id="47" w:name="_Toc21003"/>
      <w:r>
        <w:rPr>
          <w:rFonts w:hint="eastAsia" w:ascii="仿宋" w:hAnsi="仿宋" w:eastAsia="仿宋" w:cs="仿宋"/>
          <w:sz w:val="24"/>
          <w:szCs w:val="24"/>
        </w:rPr>
        <w:t>1.本次租赁项目采购内容如下：</w:t>
      </w:r>
      <w:bookmarkEnd w:id="47"/>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51"/>
        <w:gridCol w:w="538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bookmarkStart w:id="48" w:name="_Toc518"/>
            <w:r>
              <w:rPr>
                <w:rFonts w:hint="eastAsia" w:ascii="仿宋" w:hAnsi="仿宋" w:eastAsia="仿宋" w:cs="仿宋"/>
                <w:b/>
                <w:bCs/>
                <w:sz w:val="24"/>
                <w:szCs w:val="24"/>
              </w:rPr>
              <w:t>序号</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产品类型</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配置</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1</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声音定位探头（声呐）</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30个（含）以上麦克风；</w:t>
            </w:r>
          </w:p>
          <w:p>
            <w:pPr>
              <w:pStyle w:val="555"/>
              <w:rPr>
                <w:rFonts w:ascii="仿宋" w:hAnsi="仿宋" w:eastAsia="仿宋" w:cs="仿宋"/>
                <w:sz w:val="24"/>
                <w:szCs w:val="24"/>
              </w:rPr>
            </w:pPr>
            <w:r>
              <w:rPr>
                <w:rFonts w:hint="eastAsia" w:ascii="仿宋" w:hAnsi="仿宋" w:eastAsia="仿宋" w:cs="仿宋"/>
                <w:sz w:val="24"/>
                <w:szCs w:val="24"/>
              </w:rPr>
              <w:t>温度适用范围：－20°C～70°C；</w:t>
            </w:r>
          </w:p>
          <w:p>
            <w:pPr>
              <w:pStyle w:val="555"/>
              <w:rPr>
                <w:rFonts w:ascii="仿宋" w:hAnsi="仿宋" w:eastAsia="仿宋" w:cs="仿宋"/>
                <w:sz w:val="24"/>
                <w:szCs w:val="24"/>
              </w:rPr>
            </w:pPr>
            <w:r>
              <w:rPr>
                <w:rFonts w:hint="eastAsia" w:ascii="仿宋" w:hAnsi="仿宋" w:eastAsia="仿宋" w:cs="仿宋"/>
                <w:sz w:val="24"/>
                <w:szCs w:val="24"/>
              </w:rPr>
              <w:t>防护等级：IP65或以上；</w:t>
            </w:r>
          </w:p>
          <w:p>
            <w:pPr>
              <w:pStyle w:val="555"/>
              <w:rPr>
                <w:rFonts w:ascii="仿宋" w:hAnsi="仿宋" w:eastAsia="仿宋" w:cs="仿宋"/>
                <w:sz w:val="24"/>
                <w:szCs w:val="24"/>
              </w:rPr>
            </w:pPr>
            <w:r>
              <w:rPr>
                <w:rFonts w:hint="eastAsia" w:ascii="仿宋" w:hAnsi="仿宋" w:eastAsia="仿宋" w:cs="仿宋"/>
                <w:sz w:val="24"/>
                <w:szCs w:val="24"/>
              </w:rPr>
              <w:t>防雷击设计，≥1500V耐压；</w:t>
            </w:r>
          </w:p>
          <w:p>
            <w:pPr>
              <w:pStyle w:val="555"/>
              <w:rPr>
                <w:rFonts w:ascii="仿宋" w:hAnsi="仿宋" w:eastAsia="仿宋" w:cs="仿宋"/>
                <w:sz w:val="24"/>
                <w:szCs w:val="24"/>
              </w:rPr>
            </w:pPr>
            <w:r>
              <w:rPr>
                <w:rFonts w:hint="eastAsia" w:ascii="仿宋" w:hAnsi="仿宋" w:eastAsia="仿宋" w:cs="仿宋"/>
                <w:sz w:val="24"/>
                <w:szCs w:val="24"/>
              </w:rPr>
              <w:t>重量≤4kg，尺寸≤400x300x300mm；</w:t>
            </w:r>
          </w:p>
          <w:p>
            <w:pPr>
              <w:pStyle w:val="555"/>
              <w:rPr>
                <w:rFonts w:ascii="仿宋" w:hAnsi="仿宋" w:eastAsia="仿宋" w:cs="仿宋"/>
                <w:sz w:val="24"/>
                <w:szCs w:val="24"/>
              </w:rPr>
            </w:pPr>
            <w:r>
              <w:rPr>
                <w:rFonts w:hint="eastAsia" w:ascii="仿宋" w:hAnsi="仿宋" w:eastAsia="仿宋" w:cs="仿宋"/>
                <w:sz w:val="24"/>
                <w:szCs w:val="24"/>
              </w:rPr>
              <w:t>可生成动态“声音视频”</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2</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摄像机</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主流≥900万像素分辨率≥4096*2160,帧率≥25帧；视频和抓拍独立控制自动曝光、AGC、白平衡；</w:t>
            </w:r>
          </w:p>
          <w:p>
            <w:pPr>
              <w:pStyle w:val="555"/>
              <w:rPr>
                <w:rFonts w:ascii="仿宋" w:hAnsi="仿宋" w:eastAsia="仿宋" w:cs="仿宋"/>
                <w:sz w:val="24"/>
                <w:szCs w:val="24"/>
              </w:rPr>
            </w:pPr>
            <w:r>
              <w:rPr>
                <w:rFonts w:hint="eastAsia" w:ascii="仿宋" w:hAnsi="仿宋" w:eastAsia="仿宋" w:cs="仿宋"/>
                <w:sz w:val="24"/>
                <w:szCs w:val="24"/>
              </w:rPr>
              <w:t>饱和度，亮度，对比度，白平衡，增益通过软件可调；支持多种补光方式：独立闪、不闪和频闪等；</w:t>
            </w:r>
          </w:p>
          <w:p>
            <w:pPr>
              <w:pStyle w:val="555"/>
              <w:rPr>
                <w:rFonts w:ascii="仿宋" w:hAnsi="仿宋" w:eastAsia="仿宋" w:cs="仿宋"/>
                <w:sz w:val="24"/>
                <w:szCs w:val="24"/>
              </w:rPr>
            </w:pPr>
            <w:r>
              <w:rPr>
                <w:rFonts w:hint="eastAsia" w:ascii="仿宋" w:hAnsi="仿宋" w:eastAsia="仿宋" w:cs="仿宋"/>
                <w:sz w:val="24"/>
                <w:szCs w:val="24"/>
              </w:rPr>
              <w:t>≥1个RJ4510M/100M/1000M自适应以太网口；</w:t>
            </w:r>
          </w:p>
          <w:p>
            <w:pPr>
              <w:pStyle w:val="555"/>
              <w:rPr>
                <w:rFonts w:ascii="仿宋" w:hAnsi="仿宋" w:eastAsia="仿宋" w:cs="仿宋"/>
                <w:sz w:val="24"/>
                <w:szCs w:val="24"/>
              </w:rPr>
            </w:pPr>
            <w:r>
              <w:rPr>
                <w:rFonts w:hint="eastAsia" w:ascii="仿宋" w:hAnsi="仿宋" w:eastAsia="仿宋" w:cs="仿宋"/>
                <w:sz w:val="24"/>
                <w:szCs w:val="24"/>
              </w:rPr>
              <w:t>每台摄像机需配套≥2个频闪补光灯设备。</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3</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LED显示屏</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LED像素间距≤16mm；面积≤1.0x1.2米；三排号牌显示。</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4</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主控机</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CPU主频≥2.4 GHz,SSD ≥256GB硬盘,内存≥8GB，无风扇设计，支持远程界面显示。</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w:t>
            </w:r>
          </w:p>
        </w:tc>
      </w:tr>
    </w:tbl>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注：1）本项目的系统设备产品的详细指标“技术规格要求”，供应商必须对指标要求有明确的响应，针对采购要求如实描述是否偏离。</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sz w:val="24"/>
        </w:rPr>
        <w:t>如供应商认为设备清单中的设备数量尚不足以实现采购需求“3.项目技术需求”的，可自行增加；但不得减少清单中的设备以及设备的数量。</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3）周抓拍成功率不得低于97%，周识别成功率不得低于92%，</w:t>
      </w:r>
      <w:r>
        <w:rPr>
          <w:rFonts w:hint="eastAsia" w:ascii="仿宋" w:hAnsi="仿宋" w:eastAsia="仿宋" w:cs="仿宋"/>
          <w:sz w:val="24"/>
        </w:rPr>
        <w:t>每周及时修复率不得低于90%，以运维通APP数据为准</w:t>
      </w: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周抓拍成功率=周抓拍成功数量/周过车总量</w:t>
      </w:r>
    </w:p>
    <w:p>
      <w:pPr>
        <w:spacing w:line="360" w:lineRule="auto"/>
        <w:ind w:firstLine="480" w:firstLineChars="200"/>
        <w:rPr>
          <w:rFonts w:ascii="仿宋" w:hAnsi="仿宋" w:eastAsia="仿宋" w:cs="仿宋"/>
          <w:sz w:val="24"/>
        </w:rPr>
      </w:pPr>
      <w:r>
        <w:rPr>
          <w:rFonts w:hint="eastAsia" w:ascii="仿宋" w:hAnsi="仿宋" w:eastAsia="仿宋" w:cs="仿宋"/>
          <w:sz w:val="24"/>
        </w:rPr>
        <w:t>周识别成功率=周成功识别数量/周识别总量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周修复率=周修复数量/周损坏数量。</w:t>
      </w:r>
    </w:p>
    <w:p>
      <w:pPr>
        <w:snapToGrid w:val="0"/>
        <w:spacing w:line="360" w:lineRule="auto"/>
        <w:ind w:firstLine="480" w:firstLineChars="200"/>
        <w:rPr>
          <w:rFonts w:ascii="仿宋" w:hAnsi="仿宋" w:eastAsia="仿宋" w:cs="仿宋"/>
          <w:bCs/>
          <w:sz w:val="24"/>
        </w:rPr>
      </w:pPr>
      <w:r>
        <w:rPr>
          <w:rFonts w:hint="eastAsia" w:ascii="仿宋" w:hAnsi="仿宋" w:eastAsia="仿宋"/>
          <w:sz w:val="24"/>
        </w:rPr>
        <w:t>由科信处运维中心周通报形式进行考核。</w:t>
      </w:r>
      <w:r>
        <w:rPr>
          <w:rFonts w:hint="eastAsia" w:ascii="仿宋" w:hAnsi="仿宋" w:eastAsia="仿宋" w:cs="仿宋"/>
          <w:bCs/>
          <w:sz w:val="24"/>
        </w:rPr>
        <w:t>。</w:t>
      </w:r>
    </w:p>
    <w:p>
      <w:pPr>
        <w:pStyle w:val="4"/>
        <w:rPr>
          <w:rFonts w:ascii="仿宋" w:hAnsi="仿宋" w:eastAsia="仿宋" w:cs="仿宋"/>
          <w:sz w:val="24"/>
          <w:szCs w:val="24"/>
        </w:rPr>
      </w:pPr>
      <w:r>
        <w:rPr>
          <w:rFonts w:hint="eastAsia" w:ascii="仿宋" w:hAnsi="仿宋" w:eastAsia="仿宋" w:cs="仿宋"/>
          <w:sz w:val="24"/>
          <w:szCs w:val="24"/>
        </w:rPr>
        <w:t>2.点位清单</w:t>
      </w:r>
    </w:p>
    <w:p>
      <w:pPr>
        <w:spacing w:line="360" w:lineRule="auto"/>
        <w:ind w:firstLine="480" w:firstLineChars="200"/>
        <w:rPr>
          <w:rFonts w:ascii="仿宋" w:hAnsi="仿宋" w:eastAsia="仿宋" w:cs="仿宋"/>
          <w:sz w:val="24"/>
        </w:rPr>
      </w:pPr>
      <w:r>
        <w:rPr>
          <w:rFonts w:hint="eastAsia" w:ascii="仿宋" w:hAnsi="仿宋" w:eastAsia="仿宋" w:cs="仿宋"/>
          <w:sz w:val="24"/>
        </w:rPr>
        <w:t>（1）解放东路-钱江路交叉口点位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（2）环城西路-省府路交叉口点位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（3）庆春路-浙一医院门口点位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（4）南山路净寺公交站点位</w:t>
      </w:r>
    </w:p>
    <w:p>
      <w:pPr>
        <w:spacing w:line="360" w:lineRule="auto"/>
        <w:ind w:firstLine="480" w:firstLineChars="200"/>
        <w:rPr>
          <w:rFonts w:ascii="仿宋" w:hAnsi="仿宋" w:eastAsia="仿宋" w:cs="仿宋"/>
          <w:sz w:val="24"/>
        </w:rPr>
      </w:pPr>
      <w:r>
        <w:rPr>
          <w:rFonts w:hint="eastAsia" w:ascii="仿宋" w:hAnsi="仿宋" w:eastAsia="仿宋" w:cs="仿宋"/>
          <w:sz w:val="24"/>
        </w:rPr>
        <w:t>（5）西湖大道-定安路交叉口</w:t>
      </w:r>
    </w:p>
    <w:p>
      <w:pPr>
        <w:pStyle w:val="4"/>
        <w:rPr>
          <w:rFonts w:ascii="仿宋" w:hAnsi="仿宋" w:eastAsia="仿宋" w:cs="仿宋"/>
          <w:sz w:val="24"/>
          <w:szCs w:val="24"/>
        </w:rPr>
      </w:pPr>
      <w:r>
        <w:rPr>
          <w:rFonts w:hint="eastAsia" w:ascii="仿宋" w:hAnsi="仿宋" w:eastAsia="仿宋" w:cs="仿宋"/>
          <w:sz w:val="24"/>
          <w:szCs w:val="24"/>
        </w:rPr>
        <w:t>3.项目技术需求</w:t>
      </w:r>
      <w:bookmarkEnd w:id="48"/>
    </w:p>
    <w:p>
      <w:pPr>
        <w:pStyle w:val="5"/>
        <w:spacing w:before="0" w:after="0"/>
        <w:ind w:left="719" w:leftChars="228" w:hanging="240" w:hangingChars="100"/>
        <w:jc w:val="both"/>
        <w:rPr>
          <w:rFonts w:ascii="仿宋" w:hAnsi="仿宋" w:eastAsia="仿宋" w:cs="仿宋"/>
          <w:b w:val="0"/>
          <w:bCs/>
          <w:sz w:val="24"/>
          <w:szCs w:val="24"/>
        </w:rPr>
      </w:pPr>
      <w:bookmarkStart w:id="49" w:name="_Toc19555"/>
      <w:bookmarkStart w:id="50" w:name="_Toc14404"/>
      <w:r>
        <w:rPr>
          <w:rFonts w:hint="eastAsia" w:ascii="仿宋" w:hAnsi="仿宋" w:eastAsia="仿宋" w:cs="仿宋"/>
          <w:b w:val="0"/>
          <w:sz w:val="24"/>
          <w:szCs w:val="24"/>
        </w:rPr>
        <w:t>1）遵循和参考的标准规范</w:t>
      </w:r>
    </w:p>
    <w:p>
      <w:pPr>
        <w:numPr>
          <w:ilvl w:val="0"/>
          <w:numId w:val="2"/>
        </w:numPr>
        <w:spacing w:line="360" w:lineRule="auto"/>
        <w:rPr>
          <w:rFonts w:ascii="仿宋" w:hAnsi="仿宋" w:eastAsia="仿宋" w:cs="仿宋"/>
          <w:sz w:val="24"/>
        </w:rPr>
      </w:pPr>
      <w:r>
        <w:rPr>
          <w:rFonts w:hint="eastAsia" w:ascii="仿宋" w:hAnsi="仿宋" w:eastAsia="仿宋" w:cs="仿宋"/>
          <w:sz w:val="24"/>
        </w:rPr>
        <w:t>《道路交通安全违法行为视频取证设备技术规范》GAT995-2012</w:t>
      </w:r>
    </w:p>
    <w:p>
      <w:pPr>
        <w:numPr>
          <w:ilvl w:val="0"/>
          <w:numId w:val="2"/>
        </w:numPr>
        <w:spacing w:line="360" w:lineRule="auto"/>
        <w:rPr>
          <w:rFonts w:ascii="仿宋" w:hAnsi="仿宋" w:eastAsia="仿宋" w:cs="仿宋"/>
          <w:sz w:val="24"/>
        </w:rPr>
      </w:pPr>
      <w:r>
        <w:rPr>
          <w:rFonts w:hint="eastAsia" w:ascii="仿宋" w:hAnsi="仿宋" w:eastAsia="仿宋" w:cs="仿宋"/>
          <w:sz w:val="24"/>
        </w:rPr>
        <w:t>《道路交通安全违法行为图像取证技术规范》GAT832-2014</w:t>
      </w:r>
    </w:p>
    <w:p>
      <w:pPr>
        <w:numPr>
          <w:ilvl w:val="0"/>
          <w:numId w:val="2"/>
        </w:numPr>
        <w:spacing w:line="360" w:lineRule="auto"/>
        <w:rPr>
          <w:rFonts w:ascii="仿宋" w:hAnsi="仿宋" w:eastAsia="仿宋" w:cs="仿宋"/>
          <w:sz w:val="24"/>
        </w:rPr>
      </w:pPr>
      <w:r>
        <w:rPr>
          <w:rFonts w:hint="eastAsia" w:ascii="仿宋" w:hAnsi="仿宋" w:eastAsia="仿宋" w:cs="仿宋"/>
          <w:sz w:val="24"/>
        </w:rPr>
        <w:t>《机动车号牌图像自动识别技术规范》GA/T833-2016</w:t>
      </w:r>
    </w:p>
    <w:p>
      <w:pPr>
        <w:numPr>
          <w:ilvl w:val="0"/>
          <w:numId w:val="2"/>
        </w:numPr>
        <w:spacing w:line="360" w:lineRule="auto"/>
        <w:rPr>
          <w:rFonts w:ascii="仿宋" w:hAnsi="仿宋" w:eastAsia="仿宋" w:cs="仿宋"/>
          <w:sz w:val="24"/>
        </w:rPr>
      </w:pPr>
      <w:r>
        <w:rPr>
          <w:rFonts w:hint="eastAsia" w:ascii="仿宋" w:hAnsi="仿宋" w:eastAsia="仿宋" w:cs="仿宋"/>
          <w:sz w:val="24"/>
        </w:rPr>
        <w:t>《公安交通管理外场设备基础施工通用要求》GA/T652-2017</w:t>
      </w:r>
    </w:p>
    <w:p>
      <w:pPr>
        <w:numPr>
          <w:ilvl w:val="0"/>
          <w:numId w:val="2"/>
        </w:numPr>
        <w:spacing w:line="360" w:lineRule="auto"/>
        <w:rPr>
          <w:rFonts w:ascii="仿宋" w:hAnsi="仿宋" w:eastAsia="仿宋" w:cs="仿宋"/>
          <w:sz w:val="24"/>
        </w:rPr>
      </w:pPr>
      <w:r>
        <w:rPr>
          <w:rFonts w:hint="eastAsia" w:ascii="仿宋" w:hAnsi="仿宋" w:eastAsia="仿宋" w:cs="仿宋"/>
          <w:sz w:val="24"/>
        </w:rPr>
        <w:t>《公路交通安全设施设计技术规范》JTGD81-2017</w:t>
      </w:r>
    </w:p>
    <w:p>
      <w:pPr>
        <w:numPr>
          <w:ilvl w:val="0"/>
          <w:numId w:val="2"/>
        </w:numPr>
        <w:spacing w:line="360" w:lineRule="auto"/>
        <w:rPr>
          <w:rFonts w:ascii="仿宋" w:hAnsi="仿宋" w:eastAsia="仿宋" w:cs="仿宋"/>
          <w:sz w:val="24"/>
        </w:rPr>
      </w:pPr>
      <w:r>
        <w:rPr>
          <w:rFonts w:hint="eastAsia" w:ascii="仿宋" w:hAnsi="仿宋" w:eastAsia="仿宋" w:cs="仿宋"/>
          <w:sz w:val="24"/>
        </w:rPr>
        <w:t>《电气装置安装工程低压电器施工及验收规范》GB50254-96</w:t>
      </w:r>
    </w:p>
    <w:p>
      <w:pPr>
        <w:numPr>
          <w:ilvl w:val="0"/>
          <w:numId w:val="2"/>
        </w:numPr>
        <w:spacing w:line="360" w:lineRule="auto"/>
        <w:rPr>
          <w:rFonts w:ascii="仿宋" w:hAnsi="仿宋" w:eastAsia="仿宋" w:cs="仿宋"/>
          <w:sz w:val="24"/>
        </w:rPr>
      </w:pPr>
      <w:r>
        <w:rPr>
          <w:rFonts w:hint="eastAsia" w:ascii="仿宋" w:hAnsi="仿宋" w:eastAsia="仿宋" w:cs="仿宋"/>
          <w:sz w:val="24"/>
        </w:rPr>
        <w:t>《电气装置安装工程电缆线路施工及验收规范》GB50168-2016</w:t>
      </w:r>
    </w:p>
    <w:p>
      <w:pPr>
        <w:numPr>
          <w:ilvl w:val="0"/>
          <w:numId w:val="2"/>
        </w:numPr>
        <w:spacing w:line="360" w:lineRule="auto"/>
        <w:rPr>
          <w:rFonts w:ascii="仿宋" w:hAnsi="仿宋" w:eastAsia="仿宋" w:cs="仿宋"/>
          <w:sz w:val="24"/>
        </w:rPr>
      </w:pPr>
      <w:r>
        <w:rPr>
          <w:rFonts w:hint="eastAsia" w:ascii="仿宋" w:hAnsi="仿宋" w:eastAsia="仿宋" w:cs="仿宋"/>
          <w:sz w:val="24"/>
        </w:rPr>
        <w:t>《安全防范系统验收规则》GA308-2001</w:t>
      </w:r>
    </w:p>
    <w:p>
      <w:pPr>
        <w:numPr>
          <w:ilvl w:val="0"/>
          <w:numId w:val="2"/>
        </w:numPr>
        <w:spacing w:line="360" w:lineRule="auto"/>
        <w:rPr>
          <w:rFonts w:ascii="仿宋" w:hAnsi="仿宋" w:eastAsia="仿宋" w:cs="仿宋"/>
          <w:sz w:val="24"/>
        </w:rPr>
      </w:pPr>
      <w:r>
        <w:rPr>
          <w:rFonts w:hint="eastAsia" w:ascii="仿宋" w:hAnsi="仿宋" w:eastAsia="仿宋" w:cs="仿宋"/>
          <w:sz w:val="24"/>
        </w:rPr>
        <w:t>《机动车、驾驶员及违法管理等相关数据库规范》</w:t>
      </w:r>
    </w:p>
    <w:p>
      <w:pPr>
        <w:numPr>
          <w:ilvl w:val="0"/>
          <w:numId w:val="2"/>
        </w:numPr>
        <w:spacing w:line="360" w:lineRule="auto"/>
        <w:rPr>
          <w:rFonts w:ascii="仿宋" w:hAnsi="仿宋" w:eastAsia="仿宋" w:cs="仿宋"/>
          <w:sz w:val="24"/>
        </w:rPr>
      </w:pPr>
      <w:r>
        <w:rPr>
          <w:rFonts w:hint="eastAsia" w:ascii="仿宋" w:hAnsi="仿宋" w:eastAsia="仿宋" w:cs="仿宋"/>
          <w:sz w:val="24"/>
        </w:rPr>
        <w:t>《中华人民共和国道路交通安全法实施条例》</w:t>
      </w:r>
    </w:p>
    <w:p>
      <w:pPr>
        <w:numPr>
          <w:ilvl w:val="0"/>
          <w:numId w:val="2"/>
        </w:numPr>
        <w:spacing w:line="360" w:lineRule="auto"/>
        <w:rPr>
          <w:rFonts w:ascii="仿宋" w:hAnsi="仿宋" w:eastAsia="仿宋" w:cs="仿宋"/>
          <w:sz w:val="24"/>
        </w:rPr>
      </w:pPr>
      <w:r>
        <w:rPr>
          <w:rFonts w:hint="eastAsia" w:ascii="仿宋" w:hAnsi="仿宋" w:eastAsia="仿宋" w:cs="仿宋"/>
          <w:sz w:val="24"/>
        </w:rPr>
        <w:t>《中华人民共和国道路交通安全法》</w:t>
      </w:r>
    </w:p>
    <w:p>
      <w:pPr>
        <w:pStyle w:val="5"/>
        <w:spacing w:before="0" w:after="0"/>
        <w:ind w:left="719" w:leftChars="228" w:hanging="240" w:hangingChars="100"/>
        <w:jc w:val="both"/>
        <w:rPr>
          <w:rFonts w:ascii="仿宋" w:hAnsi="仿宋" w:eastAsia="仿宋" w:cs="仿宋"/>
          <w:b w:val="0"/>
          <w:sz w:val="24"/>
          <w:szCs w:val="24"/>
        </w:rPr>
      </w:pPr>
      <w:r>
        <w:rPr>
          <w:rFonts w:hint="eastAsia" w:ascii="仿宋" w:hAnsi="仿宋" w:eastAsia="仿宋" w:cs="仿宋"/>
          <w:b w:val="0"/>
          <w:sz w:val="24"/>
          <w:szCs w:val="24"/>
        </w:rPr>
        <w:t>2）建设原则</w:t>
      </w:r>
    </w:p>
    <w:p>
      <w:pPr>
        <w:spacing w:line="360" w:lineRule="auto"/>
        <w:ind w:firstLine="480" w:firstLineChars="200"/>
        <w:rPr>
          <w:rFonts w:ascii="仿宋" w:hAnsi="仿宋" w:eastAsia="仿宋" w:cs="仿宋"/>
          <w:sz w:val="24"/>
        </w:rPr>
      </w:pPr>
      <w:r>
        <w:rPr>
          <w:rFonts w:hint="eastAsia" w:ascii="仿宋" w:hAnsi="仿宋" w:eastAsia="仿宋" w:cs="仿宋"/>
          <w:sz w:val="24"/>
        </w:rPr>
        <w:t>2.1标准化</w:t>
      </w:r>
    </w:p>
    <w:p>
      <w:pPr>
        <w:spacing w:line="360" w:lineRule="auto"/>
        <w:ind w:firstLine="480" w:firstLineChars="200"/>
        <w:rPr>
          <w:rFonts w:ascii="仿宋" w:hAnsi="仿宋" w:eastAsia="仿宋" w:cs="仿宋"/>
          <w:sz w:val="24"/>
        </w:rPr>
      </w:pPr>
      <w:r>
        <w:rPr>
          <w:rFonts w:hint="eastAsia" w:ascii="仿宋" w:hAnsi="仿宋" w:eastAsia="仿宋" w:cs="仿宋"/>
          <w:sz w:val="24"/>
        </w:rPr>
        <w:t>以各项国标及法规条例作为最基础的要求，同时结合当前交警业务开展的实际需要，进行必要的功能扩展。</w:t>
      </w:r>
    </w:p>
    <w:p>
      <w:pPr>
        <w:spacing w:line="360" w:lineRule="auto"/>
        <w:ind w:firstLine="480" w:firstLineChars="200"/>
        <w:rPr>
          <w:rFonts w:ascii="仿宋" w:hAnsi="仿宋" w:eastAsia="仿宋" w:cs="仿宋"/>
          <w:sz w:val="24"/>
        </w:rPr>
      </w:pPr>
      <w:r>
        <w:rPr>
          <w:rFonts w:hint="eastAsia" w:ascii="仿宋" w:hAnsi="仿宋" w:eastAsia="仿宋" w:cs="仿宋"/>
          <w:sz w:val="24"/>
        </w:rPr>
        <w:t>2.2严谨性</w:t>
      </w:r>
    </w:p>
    <w:p>
      <w:pPr>
        <w:spacing w:line="360" w:lineRule="auto"/>
        <w:ind w:firstLine="480" w:firstLineChars="200"/>
        <w:rPr>
          <w:rFonts w:ascii="仿宋" w:hAnsi="仿宋" w:eastAsia="仿宋" w:cs="仿宋"/>
          <w:sz w:val="24"/>
        </w:rPr>
      </w:pPr>
      <w:r>
        <w:rPr>
          <w:rFonts w:hint="eastAsia" w:ascii="仿宋" w:hAnsi="仿宋" w:eastAsia="仿宋" w:cs="仿宋"/>
          <w:sz w:val="24"/>
        </w:rPr>
        <w:t>用于违法取证的设备，选用更精密精准的检测仪器，更高清的摄像机产品和逻辑严密的取证规范可为交管部门提供真实、有效的违法取证图片，在违法行为抓得到的前提下，做到看得清，罚得无异议。</w:t>
      </w:r>
    </w:p>
    <w:p>
      <w:pPr>
        <w:spacing w:line="360" w:lineRule="auto"/>
        <w:ind w:firstLine="480" w:firstLineChars="200"/>
        <w:rPr>
          <w:rFonts w:ascii="仿宋" w:hAnsi="仿宋" w:eastAsia="仿宋" w:cs="仿宋"/>
          <w:sz w:val="24"/>
        </w:rPr>
      </w:pPr>
      <w:r>
        <w:rPr>
          <w:rFonts w:hint="eastAsia" w:ascii="仿宋" w:hAnsi="仿宋" w:eastAsia="仿宋" w:cs="仿宋"/>
          <w:sz w:val="24"/>
        </w:rPr>
        <w:t>2.3先进性</w:t>
      </w:r>
    </w:p>
    <w:p>
      <w:pPr>
        <w:spacing w:line="360" w:lineRule="auto"/>
        <w:ind w:firstLine="480" w:firstLineChars="200"/>
        <w:rPr>
          <w:rFonts w:ascii="仿宋" w:hAnsi="仿宋" w:eastAsia="仿宋" w:cs="仿宋"/>
          <w:sz w:val="24"/>
        </w:rPr>
      </w:pPr>
      <w:r>
        <w:rPr>
          <w:rFonts w:hint="eastAsia" w:ascii="仿宋" w:hAnsi="仿宋" w:eastAsia="仿宋" w:cs="仿宋"/>
          <w:sz w:val="24"/>
        </w:rPr>
        <w:t>本系统采用先进的、具有前瞻性的技术，在系统设计过程中，充分借鉴、利用国内外的先进技术和成功经验，在系统结构上和设备选型上精益求精，将这些代表行业发展趋势的先进技术有机结合在一起。整个设计具有一定的超前意识而不局限于目前的使用条件和规模。</w:t>
      </w:r>
    </w:p>
    <w:p>
      <w:pPr>
        <w:spacing w:line="360" w:lineRule="auto"/>
        <w:ind w:firstLine="480" w:firstLineChars="200"/>
        <w:rPr>
          <w:rFonts w:ascii="仿宋" w:hAnsi="仿宋" w:eastAsia="仿宋" w:cs="仿宋"/>
          <w:sz w:val="24"/>
        </w:rPr>
      </w:pPr>
      <w:r>
        <w:rPr>
          <w:rFonts w:hint="eastAsia" w:ascii="仿宋" w:hAnsi="仿宋" w:eastAsia="仿宋" w:cs="仿宋"/>
          <w:sz w:val="24"/>
        </w:rPr>
        <w:t>2.4稳定性</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是一个系统运行环境复杂、使用率高的复杂系统，系统设计时将统筹考虑所用设备和控制系统，选用国内外有多年使用经验的成熟、可靠、标准化的知名产品，符合当前技术和公安交管部门管理工作的发展方向，同时系统选用成熟的技术，减少了系统的技术风险。系统中核心的抓拍单元及后台服务软件等，可实现掉电恢复后设备及软件自动恢复正常连接、断网恢复后设备及软件自动恢复正常连接等故障自动恢复的能力，启动过程无需过多人工干预。</w:t>
      </w:r>
    </w:p>
    <w:p>
      <w:pPr>
        <w:spacing w:line="360" w:lineRule="auto"/>
        <w:ind w:firstLine="480" w:firstLineChars="200"/>
        <w:rPr>
          <w:rFonts w:ascii="仿宋" w:hAnsi="仿宋" w:eastAsia="仿宋" w:cs="仿宋"/>
          <w:sz w:val="24"/>
        </w:rPr>
      </w:pPr>
      <w:r>
        <w:rPr>
          <w:rFonts w:hint="eastAsia" w:ascii="仿宋" w:hAnsi="仿宋" w:eastAsia="仿宋" w:cs="仿宋"/>
          <w:sz w:val="24"/>
        </w:rPr>
        <w:t>2.5可扩展性</w:t>
      </w:r>
    </w:p>
    <w:p>
      <w:pPr>
        <w:spacing w:line="360" w:lineRule="auto"/>
        <w:ind w:firstLine="480" w:firstLineChars="200"/>
        <w:rPr>
          <w:rFonts w:ascii="仿宋" w:hAnsi="仿宋" w:eastAsia="仿宋" w:cs="仿宋"/>
          <w:sz w:val="24"/>
        </w:rPr>
      </w:pPr>
      <w:r>
        <w:rPr>
          <w:rFonts w:hint="eastAsia" w:ascii="仿宋" w:hAnsi="仿宋" w:eastAsia="仿宋" w:cs="仿宋"/>
          <w:sz w:val="24"/>
        </w:rPr>
        <w:t>系统采用灵活、开放的模块化设计，赋予结构上极大的灵活性，为系统扩展、升级及可预见的管理模式的改变留有余地。核心设备如存储设备、中心服务设备等具有强大的扩展功能，可随着交通需求的不断增长能够很方便的扩充和平滑升级，为以后的扩充和发展提供技术上的保障。各子系统能互联互控，实现信息共享。</w:t>
      </w:r>
    </w:p>
    <w:p>
      <w:pPr>
        <w:pStyle w:val="5"/>
        <w:spacing w:before="0" w:after="0"/>
        <w:ind w:left="719" w:leftChars="228" w:hanging="240" w:hangingChars="100"/>
        <w:jc w:val="both"/>
        <w:rPr>
          <w:rFonts w:ascii="仿宋" w:hAnsi="仿宋" w:eastAsia="仿宋" w:cs="仿宋"/>
          <w:b w:val="0"/>
          <w:sz w:val="24"/>
          <w:szCs w:val="24"/>
        </w:rPr>
      </w:pPr>
      <w:bookmarkStart w:id="51" w:name="_Toc1208899600"/>
      <w:bookmarkStart w:id="52" w:name="_Toc30814"/>
      <w:r>
        <w:rPr>
          <w:rFonts w:hint="eastAsia" w:ascii="仿宋" w:hAnsi="仿宋" w:eastAsia="仿宋" w:cs="仿宋"/>
          <w:b w:val="0"/>
          <w:sz w:val="24"/>
          <w:szCs w:val="24"/>
        </w:rPr>
        <w:t>3）技术架构</w:t>
      </w:r>
      <w:bookmarkEnd w:id="51"/>
      <w:bookmarkEnd w:id="52"/>
    </w:p>
    <w:p>
      <w:pPr>
        <w:spacing w:line="360" w:lineRule="auto"/>
        <w:ind w:firstLine="480" w:firstLineChars="200"/>
        <w:rPr>
          <w:rFonts w:ascii="仿宋" w:hAnsi="仿宋" w:eastAsia="仿宋" w:cs="仿宋"/>
          <w:sz w:val="24"/>
        </w:rPr>
      </w:pPr>
      <w:r>
        <w:rPr>
          <w:rFonts w:hint="eastAsia" w:ascii="仿宋" w:hAnsi="仿宋" w:eastAsia="仿宋" w:cs="仿宋"/>
          <w:sz w:val="24"/>
        </w:rPr>
        <w:t>抓拍系统主要由声学探头、车牌抓拍识别、主控机三大部分构成。</w:t>
      </w:r>
    </w:p>
    <w:p>
      <w:pPr>
        <w:spacing w:line="360" w:lineRule="auto"/>
        <w:ind w:firstLine="480" w:firstLineChars="200"/>
        <w:rPr>
          <w:rFonts w:ascii="仿宋" w:hAnsi="仿宋" w:eastAsia="仿宋" w:cs="仿宋"/>
          <w:sz w:val="24"/>
        </w:rPr>
      </w:pPr>
      <w:r>
        <w:rPr>
          <w:rFonts w:hint="eastAsia" w:ascii="仿宋" w:hAnsi="仿宋" w:eastAsia="仿宋" w:cs="仿宋"/>
          <w:sz w:val="24"/>
        </w:rPr>
        <w:t>声学探头是一体化的声呐探头，利用声呐及相控阵雷达技术，检测汽车鸣笛行为并定位。</w:t>
      </w:r>
    </w:p>
    <w:p>
      <w:pPr>
        <w:spacing w:line="360" w:lineRule="auto"/>
        <w:ind w:firstLine="480" w:firstLineChars="200"/>
        <w:rPr>
          <w:rFonts w:ascii="仿宋" w:hAnsi="仿宋" w:eastAsia="仿宋" w:cs="仿宋"/>
          <w:sz w:val="24"/>
        </w:rPr>
      </w:pPr>
      <w:r>
        <w:rPr>
          <w:rFonts w:hint="eastAsia" w:ascii="仿宋" w:hAnsi="仿宋" w:eastAsia="仿宋" w:cs="仿宋"/>
          <w:sz w:val="24"/>
        </w:rPr>
        <w:t>车牌抓拍识别子系统由高清摄像头和车辆抓拍识别处理器组成，在声学探头检测到汽车鸣笛后，抓拍鸣笛车辆的车牌号码。</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主控机直接接入交警执法系统，将违法鸣笛车辆鸣笛行为证据上传到交警执法系统，在现场通过电子显示屏实时显示违法车辆号牌。</w:t>
      </w:r>
      <w:r>
        <w:rPr>
          <w:rFonts w:hint="eastAsia" w:ascii="仿宋" w:hAnsi="仿宋" w:eastAsia="仿宋" w:cs="仿宋"/>
          <w:sz w:val="24"/>
        </w:rPr>
        <w:drawing>
          <wp:inline distT="0" distB="0" distL="114300" distR="114300">
            <wp:extent cx="5276850" cy="4184015"/>
            <wp:effectExtent l="0" t="0" r="635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stretch>
                      <a:fillRect/>
                    </a:stretch>
                  </pic:blipFill>
                  <pic:spPr>
                    <a:xfrm>
                      <a:off x="0" y="0"/>
                      <a:ext cx="5276850" cy="4184015"/>
                    </a:xfrm>
                    <a:prstGeom prst="rect">
                      <a:avLst/>
                    </a:prstGeom>
                    <a:noFill/>
                    <a:ln>
                      <a:noFill/>
                    </a:ln>
                  </pic:spPr>
                </pic:pic>
              </a:graphicData>
            </a:graphic>
          </wp:inline>
        </w:drawing>
      </w:r>
    </w:p>
    <w:bookmarkEnd w:id="49"/>
    <w:p>
      <w:pPr>
        <w:pStyle w:val="5"/>
        <w:spacing w:before="0" w:after="0"/>
        <w:ind w:left="719" w:leftChars="228" w:hanging="240" w:hangingChars="100"/>
        <w:jc w:val="both"/>
        <w:rPr>
          <w:rFonts w:ascii="仿宋" w:hAnsi="仿宋" w:eastAsia="仿宋" w:cs="仿宋"/>
          <w:b w:val="0"/>
          <w:sz w:val="24"/>
          <w:szCs w:val="24"/>
        </w:rPr>
      </w:pPr>
      <w:bookmarkStart w:id="53" w:name="_Toc20542"/>
      <w:bookmarkStart w:id="54" w:name="_Toc21110"/>
      <w:r>
        <w:rPr>
          <w:rFonts w:hint="eastAsia" w:ascii="仿宋" w:hAnsi="仿宋" w:eastAsia="仿宋" w:cs="仿宋"/>
          <w:b w:val="0"/>
          <w:sz w:val="24"/>
          <w:szCs w:val="24"/>
        </w:rPr>
        <w:t>4）设计方案</w:t>
      </w:r>
      <w:bookmarkEnd w:id="53"/>
    </w:p>
    <w:p>
      <w:pPr>
        <w:pStyle w:val="5"/>
        <w:spacing w:before="0" w:after="0"/>
        <w:ind w:left="719" w:leftChars="228" w:hanging="240" w:hangingChars="100"/>
        <w:jc w:val="both"/>
        <w:rPr>
          <w:rFonts w:ascii="仿宋" w:hAnsi="仿宋" w:eastAsia="仿宋" w:cs="仿宋"/>
          <w:b w:val="0"/>
          <w:sz w:val="24"/>
          <w:szCs w:val="24"/>
        </w:rPr>
      </w:pPr>
      <w:bookmarkStart w:id="55" w:name="_Toc29197"/>
      <w:bookmarkStart w:id="56" w:name="_Toc530560449"/>
      <w:bookmarkStart w:id="57" w:name="_Toc516048270"/>
      <w:r>
        <w:rPr>
          <w:rFonts w:hint="eastAsia" w:ascii="仿宋" w:hAnsi="仿宋" w:eastAsia="仿宋" w:cs="仿宋"/>
          <w:b w:val="0"/>
          <w:sz w:val="24"/>
          <w:szCs w:val="24"/>
        </w:rPr>
        <w:t>4.1系统功能</w:t>
      </w:r>
      <w:bookmarkEnd w:id="55"/>
      <w:bookmarkEnd w:id="56"/>
      <w:bookmarkEnd w:id="57"/>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声音图像采集与记录</w:t>
      </w:r>
    </w:p>
    <w:p>
      <w:pPr>
        <w:spacing w:line="360" w:lineRule="auto"/>
        <w:ind w:firstLine="480" w:firstLineChars="200"/>
        <w:rPr>
          <w:rFonts w:ascii="仿宋" w:hAnsi="仿宋" w:eastAsia="仿宋" w:cs="仿宋"/>
          <w:sz w:val="24"/>
        </w:rPr>
      </w:pPr>
      <w:r>
        <w:rPr>
          <w:rFonts w:hint="eastAsia" w:ascii="仿宋" w:hAnsi="仿宋" w:eastAsia="仿宋" w:cs="仿宋"/>
          <w:sz w:val="24"/>
        </w:rPr>
        <w:t>同步采集声传感器阵列所有传感器的声音信号和摄像头图像信号。</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声音大小分布成像</w:t>
      </w:r>
    </w:p>
    <w:p>
      <w:pPr>
        <w:spacing w:line="360" w:lineRule="auto"/>
        <w:ind w:firstLine="480" w:firstLineChars="200"/>
        <w:rPr>
          <w:rFonts w:ascii="仿宋" w:hAnsi="仿宋" w:eastAsia="仿宋" w:cs="仿宋"/>
          <w:sz w:val="24"/>
        </w:rPr>
      </w:pPr>
      <w:r>
        <w:rPr>
          <w:rFonts w:hint="eastAsia" w:ascii="仿宋" w:hAnsi="仿宋" w:eastAsia="仿宋" w:cs="仿宋"/>
          <w:sz w:val="24"/>
        </w:rPr>
        <w:t>生成监视区域的声音云图，显示路面上各点声音相对大小。声音云图与视频同步叠加播放，实时显示鸣笛声声源区域。</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声源定位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可获得声音大于设定阈值的声源点坐标和区域。</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触发抓拍</w:t>
      </w:r>
    </w:p>
    <w:p>
      <w:pPr>
        <w:spacing w:line="360" w:lineRule="auto"/>
        <w:ind w:firstLine="480" w:firstLineChars="200"/>
        <w:rPr>
          <w:rFonts w:ascii="仿宋" w:hAnsi="仿宋" w:eastAsia="仿宋" w:cs="仿宋"/>
          <w:sz w:val="24"/>
        </w:rPr>
      </w:pPr>
      <w:r>
        <w:rPr>
          <w:rFonts w:hint="eastAsia" w:ascii="仿宋" w:hAnsi="仿宋" w:eastAsia="仿宋" w:cs="仿宋"/>
          <w:sz w:val="24"/>
        </w:rPr>
        <w:t>对车辆鸣笛噪声进行信号采集与处理，排除其他噪声的干扰。保存鸣笛前后各1秒的音视频信号。保存视频时间长短可设置。对于车辆引擎声、鸟叫声、雨点声等其他城市噪声能够区分，避免误触发。</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声压级</w:t>
      </w:r>
    </w:p>
    <w:p>
      <w:pPr>
        <w:spacing w:line="360" w:lineRule="auto"/>
        <w:ind w:firstLine="480" w:firstLineChars="200"/>
        <w:rPr>
          <w:rFonts w:ascii="仿宋" w:hAnsi="仿宋" w:eastAsia="仿宋" w:cs="仿宋"/>
          <w:sz w:val="24"/>
        </w:rPr>
      </w:pPr>
      <w:r>
        <w:rPr>
          <w:rFonts w:hint="eastAsia" w:ascii="仿宋" w:hAnsi="仿宋" w:eastAsia="仿宋" w:cs="仿宋"/>
          <w:sz w:val="24"/>
        </w:rPr>
        <w:t>设备具有声压级测量功能，能显示设备处的A计权声压级。</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音视频回放</w:t>
      </w:r>
    </w:p>
    <w:p>
      <w:pPr>
        <w:spacing w:line="360" w:lineRule="auto"/>
        <w:ind w:firstLine="480" w:firstLineChars="200"/>
        <w:rPr>
          <w:rFonts w:ascii="仿宋" w:hAnsi="仿宋" w:eastAsia="仿宋" w:cs="仿宋"/>
          <w:sz w:val="24"/>
        </w:rPr>
      </w:pPr>
      <w:r>
        <w:rPr>
          <w:rFonts w:hint="eastAsia" w:ascii="仿宋" w:hAnsi="仿宋" w:eastAsia="仿宋" w:cs="仿宋"/>
          <w:sz w:val="24"/>
        </w:rPr>
        <w:t>可任意选取时间段，对记录的声音视频进行回放。回放过程，可对鸣笛声进行重听并通过声音云图识别鸣笛车辆。鸣笛车辆的特征可以人工从声音云图中识别。</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车牌自动识别</w:t>
      </w:r>
    </w:p>
    <w:p>
      <w:pPr>
        <w:spacing w:line="360" w:lineRule="auto"/>
        <w:ind w:firstLine="480" w:firstLineChars="200"/>
        <w:rPr>
          <w:rFonts w:ascii="仿宋" w:hAnsi="仿宋" w:eastAsia="仿宋" w:cs="仿宋"/>
          <w:sz w:val="24"/>
        </w:rPr>
      </w:pPr>
      <w:r>
        <w:rPr>
          <w:rFonts w:hint="eastAsia" w:ascii="仿宋" w:hAnsi="仿宋" w:eastAsia="仿宋" w:cs="仿宋"/>
          <w:sz w:val="24"/>
        </w:rPr>
        <w:t>自动识别鸣笛车辆及其车牌。</w:t>
      </w:r>
    </w:p>
    <w:p>
      <w:pPr>
        <w:pStyle w:val="557"/>
        <w:numPr>
          <w:ilvl w:val="0"/>
          <w:numId w:val="3"/>
        </w:numPr>
        <w:spacing w:line="360" w:lineRule="auto"/>
        <w:ind w:left="0" w:firstLine="480"/>
        <w:rPr>
          <w:rFonts w:ascii="仿宋" w:hAnsi="仿宋" w:eastAsia="仿宋" w:cs="仿宋"/>
          <w:sz w:val="24"/>
        </w:rPr>
      </w:pPr>
      <w:r>
        <w:rPr>
          <w:rFonts w:hint="eastAsia" w:ascii="仿宋" w:hAnsi="仿宋" w:eastAsia="仿宋" w:cs="仿宋"/>
          <w:bCs/>
          <w:sz w:val="24"/>
        </w:rPr>
        <w:t>接入交通执法系统</w:t>
      </w:r>
    </w:p>
    <w:p>
      <w:pPr>
        <w:spacing w:line="360" w:lineRule="auto"/>
        <w:ind w:firstLine="480" w:firstLineChars="200"/>
        <w:rPr>
          <w:rFonts w:ascii="仿宋" w:hAnsi="仿宋" w:eastAsia="仿宋" w:cs="仿宋"/>
          <w:sz w:val="24"/>
        </w:rPr>
      </w:pPr>
      <w:r>
        <w:rPr>
          <w:rFonts w:hint="eastAsia" w:ascii="仿宋" w:hAnsi="仿宋" w:eastAsia="仿宋" w:cs="仿宋"/>
          <w:sz w:val="24"/>
        </w:rPr>
        <w:t>自动获得的鸣笛车辆信息可与交通执法系统联网，保留取证材料和原始数据。可现场实时显示鸣笛车辆信息。</w:t>
      </w:r>
      <w:bookmarkStart w:id="58" w:name="_Toc530560450"/>
      <w:bookmarkStart w:id="59" w:name="_Toc8398"/>
      <w:bookmarkStart w:id="60" w:name="_Toc516048271"/>
    </w:p>
    <w:p>
      <w:pPr>
        <w:pStyle w:val="557"/>
        <w:numPr>
          <w:ilvl w:val="255"/>
          <w:numId w:val="0"/>
        </w:numPr>
        <w:spacing w:line="360" w:lineRule="auto"/>
        <w:ind w:firstLine="480"/>
        <w:rPr>
          <w:rFonts w:ascii="仿宋" w:hAnsi="仿宋" w:eastAsia="仿宋" w:cs="仿宋"/>
          <w:sz w:val="24"/>
        </w:rPr>
      </w:pPr>
      <w:r>
        <w:rPr>
          <w:rFonts w:hint="eastAsia" w:ascii="仿宋" w:hAnsi="仿宋" w:eastAsia="仿宋" w:cs="仿宋"/>
          <w:sz w:val="24"/>
        </w:rPr>
        <w:t>4.2系统性能</w:t>
      </w:r>
      <w:bookmarkEnd w:id="58"/>
      <w:bookmarkEnd w:id="59"/>
      <w:bookmarkEnd w:id="60"/>
    </w:p>
    <w:p>
      <w:pPr>
        <w:spacing w:line="360" w:lineRule="auto"/>
        <w:ind w:firstLine="480" w:firstLineChars="200"/>
        <w:rPr>
          <w:rFonts w:ascii="仿宋" w:hAnsi="仿宋" w:eastAsia="仿宋" w:cs="仿宋"/>
          <w:sz w:val="24"/>
        </w:rPr>
      </w:pPr>
      <w:r>
        <w:rPr>
          <w:rFonts w:hint="eastAsia" w:ascii="仿宋" w:hAnsi="仿宋" w:eastAsia="仿宋" w:cs="仿宋"/>
          <w:sz w:val="24"/>
        </w:rPr>
        <w:t>本系统的核心部分为声学探头。声学探头采用先进的声音成像算法，通过几十个高精度麦克风同时采集声音信号，在内置芯片上实时处理，生产声音云图，将声音可视化，从而定位鸣笛车辆。</w:t>
      </w:r>
    </w:p>
    <w:p>
      <w:pPr>
        <w:pStyle w:val="4"/>
        <w:rPr>
          <w:rFonts w:ascii="仿宋" w:hAnsi="仿宋" w:eastAsia="仿宋" w:cs="仿宋"/>
          <w:sz w:val="24"/>
          <w:szCs w:val="24"/>
        </w:rPr>
      </w:pPr>
      <w:r>
        <w:rPr>
          <w:rFonts w:hint="eastAsia" w:ascii="仿宋" w:hAnsi="仿宋" w:eastAsia="仿宋" w:cs="仿宋"/>
          <w:sz w:val="24"/>
          <w:szCs w:val="24"/>
        </w:rPr>
        <w:t>4.质量保证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1）供应商须保证所提供产品为质检合格产品。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2）供应商必须保证解决项目所涉及的技术问题，如因技术原因无法满足采购人需求，由此产生的风险由供应商承担。</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3）供应商在服务期内，如遇产品软件升级，应提供升级服务。</w:t>
      </w:r>
    </w:p>
    <w:p>
      <w:pPr>
        <w:spacing w:line="360" w:lineRule="auto"/>
        <w:ind w:firstLine="480" w:firstLineChars="200"/>
        <w:rPr>
          <w:rFonts w:ascii="仿宋" w:hAnsi="仿宋" w:eastAsia="仿宋" w:cs="仿宋"/>
          <w:sz w:val="24"/>
        </w:rPr>
      </w:pPr>
      <w:r>
        <w:rPr>
          <w:rFonts w:hint="eastAsia" w:ascii="仿宋" w:hAnsi="仿宋" w:eastAsia="仿宋" w:cs="仿宋"/>
          <w:sz w:val="24"/>
        </w:rPr>
        <w:t>4）车辆识别须具有车牌识别、车辆类型、车辆颜色识别、车标识别、车辆子品牌等功能，拍头式卡口要求清晰分辨前排司乘人员图像，拍尾式卡口要求完整反映车尾特征。</w:t>
      </w:r>
    </w:p>
    <w:bookmarkEnd w:id="54"/>
    <w:p>
      <w:pPr>
        <w:pStyle w:val="4"/>
        <w:rPr>
          <w:rFonts w:ascii="仿宋" w:hAnsi="仿宋" w:eastAsia="仿宋" w:cs="仿宋"/>
          <w:sz w:val="24"/>
          <w:szCs w:val="24"/>
        </w:rPr>
      </w:pPr>
      <w:r>
        <w:rPr>
          <w:rFonts w:hint="eastAsia" w:ascii="仿宋" w:hAnsi="仿宋" w:eastAsia="仿宋" w:cs="仿宋"/>
          <w:sz w:val="24"/>
          <w:szCs w:val="24"/>
        </w:rPr>
        <w:t>5.技术服务要求</w:t>
      </w:r>
      <w:bookmarkEnd w:id="50"/>
    </w:p>
    <w:p>
      <w:pPr>
        <w:spacing w:line="360" w:lineRule="auto"/>
        <w:ind w:firstLine="480" w:firstLineChars="200"/>
        <w:rPr>
          <w:rFonts w:ascii="仿宋" w:hAnsi="仿宋" w:eastAsia="仿宋" w:cs="仿宋"/>
          <w:sz w:val="24"/>
        </w:rPr>
      </w:pPr>
      <w:r>
        <w:rPr>
          <w:rFonts w:hint="eastAsia" w:ascii="仿宋" w:hAnsi="仿宋" w:eastAsia="仿宋" w:cs="仿宋"/>
          <w:sz w:val="24"/>
        </w:rPr>
        <w:t>1）服务期内提供7*24小时服务，如果设备在服务期内发生设备故障，供应商应48小时内解决，如无法按时排除故障，需提供备用设备以保障采购人方正常使用。备用设备应与投标设备品牌、型号一致。遇电力故障、链路故障、道路施工、交通事故客观外力原因导致暂时无法修复（优化），可申请延期。</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维修或巡检过程中须保证窨井、手孔井不可封闭；线缆裸露应提前报备；因外力或第三方原因造成设备损坏的，供应商未及时检查发现责任主体的，供应商负责维修，无法维修的应24小时内提供投标时相同型号数量的设备供采购人使用。</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维修或巡检过程中，维护车辆停放和设施摆放要安全规范，不得影响交通，地面根据主干道、次干道、支路分别做好100米、50米、30米全方位维护，须有导向车道牌、路锥桶，夜间导向车道牌需为LED导向牌，主次干道应有应急闪光灯。</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4）供应商私自拆除系统外场设施，有偷梁换柱、监守自盗的情况涉及金额较大，符合立案标准的，保留追究法律责任的权力。</w:t>
      </w:r>
    </w:p>
    <w:p>
      <w:pPr>
        <w:spacing w:line="360" w:lineRule="auto"/>
        <w:ind w:firstLine="480" w:firstLineChars="200"/>
        <w:rPr>
          <w:rFonts w:ascii="仿宋" w:hAnsi="仿宋" w:eastAsia="仿宋" w:cs="仿宋"/>
          <w:sz w:val="24"/>
        </w:rPr>
      </w:pPr>
      <w:r>
        <w:rPr>
          <w:rFonts w:hint="eastAsia" w:ascii="仿宋" w:hAnsi="仿宋" w:eastAsia="仿宋" w:cs="仿宋"/>
          <w:sz w:val="24"/>
        </w:rPr>
        <w:t>5）服务期内，每月安排人员进行1次巡检，检查全部点位及租赁设备的运行情况，并在</w:t>
      </w:r>
      <w:r>
        <w:rPr>
          <w:rFonts w:hint="eastAsia" w:ascii="仿宋" w:hAnsi="仿宋" w:eastAsia="仿宋" w:cs="宋体"/>
          <w:sz w:val="24"/>
        </w:rPr>
        <w:t>次月15日前</w:t>
      </w:r>
      <w:r>
        <w:rPr>
          <w:rFonts w:ascii="仿宋" w:hAnsi="仿宋" w:eastAsia="仿宋" w:cs="宋体"/>
          <w:sz w:val="24"/>
        </w:rPr>
        <w:t>出具当月的</w:t>
      </w:r>
      <w:r>
        <w:rPr>
          <w:rFonts w:hint="eastAsia" w:ascii="仿宋" w:hAnsi="仿宋" w:eastAsia="仿宋" w:cs="仿宋"/>
          <w:sz w:val="24"/>
        </w:rPr>
        <w:t>出具巡检报告；服务期满后，7个工作日内出具租赁总结报告。</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供应商应在10个工作日内提交采购人交办的文档资料、监理单位需要供应商配合完成的文档资料等。</w:t>
      </w:r>
    </w:p>
    <w:p>
      <w:pPr>
        <w:spacing w:line="360" w:lineRule="auto"/>
        <w:ind w:firstLine="480" w:firstLineChars="200"/>
        <w:rPr>
          <w:rFonts w:ascii="仿宋" w:hAnsi="仿宋" w:eastAsia="仿宋" w:cs="仿宋"/>
          <w:sz w:val="24"/>
        </w:rPr>
      </w:pPr>
      <w:r>
        <w:rPr>
          <w:rFonts w:hint="eastAsia" w:ascii="仿宋" w:hAnsi="仿宋" w:eastAsia="仿宋" w:cs="仿宋"/>
          <w:sz w:val="24"/>
        </w:rPr>
        <w:t>6）供应商未经许可，擅自将系统的操作管理权限、视频影像资料、数据及分析应用成果泄露外传；涉及泄密或侵犯个人隐私的，符合立案标准的，保留追究法律责任的权力。</w:t>
      </w:r>
    </w:p>
    <w:p>
      <w:pPr>
        <w:spacing w:line="360" w:lineRule="auto"/>
        <w:ind w:firstLine="480" w:firstLineChars="200"/>
        <w:rPr>
          <w:rFonts w:ascii="仿宋" w:hAnsi="仿宋" w:eastAsia="仿宋" w:cs="仿宋"/>
          <w:sz w:val="24"/>
        </w:rPr>
      </w:pPr>
      <w:r>
        <w:rPr>
          <w:rFonts w:hint="eastAsia" w:ascii="仿宋" w:hAnsi="仿宋" w:eastAsia="仿宋" w:cs="仿宋"/>
          <w:sz w:val="24"/>
        </w:rPr>
        <w:t>8）在重要会议和重大活动安保工作期间，供应商人员、车辆、设备保障到位，工作不疏漏或差错，对会议活动不造成影响。</w:t>
      </w:r>
    </w:p>
    <w:p>
      <w:pPr>
        <w:spacing w:line="360" w:lineRule="auto"/>
        <w:ind w:firstLine="480" w:firstLineChars="200"/>
        <w:rPr>
          <w:rFonts w:ascii="仿宋" w:hAnsi="仿宋" w:eastAsia="仿宋" w:cs="仿宋"/>
          <w:sz w:val="24"/>
        </w:rPr>
      </w:pPr>
      <w:r>
        <w:rPr>
          <w:rFonts w:hint="eastAsia" w:ascii="仿宋" w:hAnsi="仿宋" w:eastAsia="仿宋" w:cs="仿宋"/>
          <w:sz w:val="24"/>
        </w:rPr>
        <w:t>9）供应商应当对本单位人员进行生产安全教育，保持着装规范，应穿戴印有本单位名称或LOGO的反光衣、高空作业应系安全带、戴好安全帽、穿戴电工胶鞋。</w:t>
      </w:r>
    </w:p>
    <w:p>
      <w:pPr>
        <w:spacing w:line="360" w:lineRule="auto"/>
        <w:ind w:firstLine="480" w:firstLineChars="200"/>
        <w:rPr>
          <w:rFonts w:ascii="仿宋" w:hAnsi="仿宋" w:eastAsia="仿宋" w:cs="仿宋"/>
          <w:sz w:val="24"/>
        </w:rPr>
      </w:pPr>
      <w:r>
        <w:rPr>
          <w:rFonts w:hint="eastAsia" w:ascii="仿宋" w:hAnsi="仿宋" w:eastAsia="仿宋" w:cs="仿宋"/>
          <w:sz w:val="24"/>
        </w:rPr>
        <w:t>10）采购人交办的任务和临时性工作，不得推诿拖延、不执行或执行不到位。</w:t>
      </w:r>
    </w:p>
    <w:p>
      <w:pPr>
        <w:spacing w:line="360" w:lineRule="auto"/>
        <w:ind w:firstLine="480" w:firstLineChars="200"/>
        <w:rPr>
          <w:rFonts w:ascii="仿宋" w:hAnsi="仿宋" w:eastAsia="仿宋" w:cs="仿宋"/>
          <w:sz w:val="24"/>
        </w:rPr>
      </w:pPr>
      <w:r>
        <w:rPr>
          <w:rFonts w:hint="eastAsia" w:ascii="仿宋" w:hAnsi="仿宋" w:eastAsia="仿宋" w:cs="仿宋"/>
          <w:sz w:val="24"/>
        </w:rPr>
        <w:t>11）所有的运维工单（含数字城管）以运维通APP工单为准。</w:t>
      </w:r>
    </w:p>
    <w:p>
      <w:pPr>
        <w:spacing w:line="360" w:lineRule="auto"/>
        <w:ind w:firstLine="480" w:firstLineChars="200"/>
        <w:rPr>
          <w:rFonts w:ascii="仿宋" w:hAnsi="仿宋" w:eastAsia="仿宋" w:cs="宋体"/>
          <w:sz w:val="24"/>
        </w:rPr>
      </w:pPr>
      <w:r>
        <w:rPr>
          <w:rFonts w:hint="eastAsia" w:ascii="仿宋" w:hAnsi="仿宋" w:eastAsia="仿宋" w:cs="宋体"/>
          <w:sz w:val="24"/>
        </w:rPr>
        <w:t>12）项目实施过程中如发生变更，应严格办理变更手续，采购人及供应商填写《信息化建设项目变更审批表》，说明变更理由和内容，并随附相关文件和监理公司意见，按《杭州市公安局信息化项目管理办法》变更管理措施，否则该变更内容在款项结算时，采购人有权不予认可。</w:t>
      </w:r>
    </w:p>
    <w:p>
      <w:pPr>
        <w:spacing w:line="360" w:lineRule="auto"/>
        <w:ind w:firstLine="480" w:firstLineChars="200"/>
        <w:rPr>
          <w:rFonts w:ascii="仿宋" w:hAnsi="仿宋" w:eastAsia="仿宋" w:cs="宋体"/>
          <w:sz w:val="24"/>
        </w:rPr>
      </w:pPr>
      <w:r>
        <w:rPr>
          <w:rFonts w:hint="eastAsia" w:ascii="仿宋" w:hAnsi="仿宋" w:eastAsia="仿宋" w:cs="宋体"/>
          <w:sz w:val="24"/>
        </w:rPr>
        <w:t>13）供应商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pStyle w:val="4"/>
        <w:rPr>
          <w:rFonts w:ascii="仿宋" w:hAnsi="仿宋" w:eastAsia="仿宋" w:cs="仿宋"/>
          <w:sz w:val="24"/>
          <w:szCs w:val="24"/>
        </w:rPr>
      </w:pPr>
      <w:r>
        <w:rPr>
          <w:rFonts w:hint="eastAsia" w:ascii="仿宋" w:hAnsi="仿宋" w:eastAsia="仿宋" w:cs="仿宋"/>
          <w:sz w:val="24"/>
          <w:szCs w:val="24"/>
        </w:rPr>
        <w:t>6.人员服务及车辆要求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1）服务人员要求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需配备1名为项目负责人，负责与采购人对接工作安排运维技术人员处理技术故障；运维技术人员由供应商自行配备，负责巡检工作及故障维修。项目负责人及运维技术人员均需具备信息化软硬件运维工作经验（需提供合同及业主证明材料）。</w:t>
      </w:r>
    </w:p>
    <w:p>
      <w:pPr>
        <w:spacing w:line="360" w:lineRule="auto"/>
        <w:ind w:firstLine="480" w:firstLineChars="200"/>
        <w:rPr>
          <w:rFonts w:ascii="仿宋" w:hAnsi="仿宋" w:eastAsia="仿宋" w:cs="宋体"/>
          <w:sz w:val="24"/>
        </w:rPr>
      </w:pPr>
      <w:r>
        <w:rPr>
          <w:rFonts w:hint="eastAsia" w:ascii="仿宋" w:hAnsi="仿宋" w:eastAsia="仿宋" w:cs="宋体"/>
          <w:sz w:val="24"/>
        </w:rPr>
        <w:t>2）服务响应时间：承诺实行7</w:t>
      </w:r>
      <w:r>
        <w:rPr>
          <w:rFonts w:ascii="仿宋" w:hAnsi="仿宋" w:eastAsia="仿宋" w:cs="宋体"/>
          <w:sz w:val="24"/>
        </w:rPr>
        <w:t>*24小时电话服务，并保证电话畅通，服务期内供应商必须确保</w:t>
      </w:r>
      <w:r>
        <w:rPr>
          <w:rFonts w:hint="eastAsia" w:ascii="仿宋" w:hAnsi="仿宋" w:eastAsia="仿宋" w:cs="宋体"/>
          <w:sz w:val="24"/>
        </w:rPr>
        <w:t>设备</w:t>
      </w:r>
      <w:r>
        <w:rPr>
          <w:rFonts w:ascii="仿宋" w:hAnsi="仿宋" w:eastAsia="仿宋" w:cs="宋体"/>
          <w:sz w:val="24"/>
        </w:rPr>
        <w:t>的稳定运行，提供完善的运行维保服务。出现故障时，供应商在接到故障申告后</w:t>
      </w:r>
      <w:r>
        <w:rPr>
          <w:rFonts w:hint="eastAsia" w:ascii="仿宋" w:hAnsi="仿宋" w:eastAsia="仿宋" w:cs="宋体"/>
          <w:sz w:val="24"/>
        </w:rPr>
        <w:t>4小时以内</w:t>
      </w:r>
      <w:r>
        <w:rPr>
          <w:rFonts w:ascii="仿宋" w:hAnsi="仿宋" w:eastAsia="仿宋" w:cs="宋体"/>
          <w:sz w:val="24"/>
        </w:rPr>
        <w:t>派技术人员现场检修，并在</w:t>
      </w:r>
      <w:r>
        <w:rPr>
          <w:rFonts w:hint="eastAsia" w:ascii="仿宋" w:hAnsi="仿宋" w:eastAsia="仿宋" w:cs="宋体"/>
          <w:sz w:val="24"/>
        </w:rPr>
        <w:t>48小时内修复故障。</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3）本项目巡检、检修时供应商应配备安全的登高设备如专项作业登高车用于巡检、故障检修服务。</w:t>
      </w:r>
    </w:p>
    <w:p>
      <w:pPr>
        <w:spacing w:line="360" w:lineRule="auto"/>
        <w:jc w:val="left"/>
        <w:rPr>
          <w:rFonts w:ascii="仿宋" w:hAnsi="仿宋" w:eastAsia="仿宋" w:cs="仿宋"/>
          <w:b/>
          <w:sz w:val="24"/>
        </w:rPr>
      </w:pPr>
      <w:r>
        <w:rPr>
          <w:rFonts w:hint="eastAsia" w:ascii="仿宋" w:hAnsi="仿宋" w:eastAsia="仿宋" w:cs="仿宋"/>
          <w:b/>
          <w:sz w:val="24"/>
        </w:rPr>
        <w:t>7.培训要求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1）培训对象：本租赁项目涉及辖区有关的职员。</w:t>
      </w:r>
    </w:p>
    <w:p>
      <w:pPr>
        <w:spacing w:line="360" w:lineRule="auto"/>
        <w:ind w:firstLine="480" w:firstLineChars="200"/>
        <w:rPr>
          <w:rFonts w:ascii="仿宋" w:hAnsi="仿宋" w:eastAsia="仿宋" w:cs="仿宋"/>
          <w:sz w:val="24"/>
        </w:rPr>
      </w:pPr>
      <w:r>
        <w:rPr>
          <w:rFonts w:hint="eastAsia" w:ascii="仿宋" w:hAnsi="仿宋" w:eastAsia="仿宋" w:cs="仿宋"/>
          <w:sz w:val="24"/>
        </w:rPr>
        <w:t>2）培训方式：项目租赁期间，至少每半年进行一次培训，主要为集中授课和现场操作应用指导培训。</w:t>
      </w:r>
    </w:p>
    <w:p>
      <w:pPr>
        <w:spacing w:line="360" w:lineRule="auto"/>
        <w:ind w:firstLine="480" w:firstLineChars="200"/>
        <w:rPr>
          <w:rFonts w:ascii="仿宋" w:hAnsi="仿宋" w:eastAsia="仿宋" w:cs="仿宋"/>
          <w:sz w:val="24"/>
        </w:rPr>
      </w:pPr>
      <w:bookmarkStart w:id="61" w:name="_Toc457900746"/>
      <w:bookmarkStart w:id="62" w:name="_Toc19783521"/>
      <w:bookmarkStart w:id="63" w:name="_Toc2059358731"/>
      <w:bookmarkStart w:id="64" w:name="_Toc458245751"/>
      <w:bookmarkStart w:id="65" w:name="_Toc6155"/>
      <w:r>
        <w:rPr>
          <w:rFonts w:hint="eastAsia" w:ascii="仿宋" w:hAnsi="仿宋" w:eastAsia="仿宋" w:cs="仿宋"/>
          <w:sz w:val="24"/>
        </w:rPr>
        <w:t>3）培训地点</w:t>
      </w:r>
      <w:bookmarkEnd w:id="61"/>
      <w:bookmarkEnd w:id="62"/>
      <w:bookmarkEnd w:id="63"/>
      <w:bookmarkEnd w:id="64"/>
      <w:bookmarkEnd w:id="65"/>
      <w:r>
        <w:rPr>
          <w:rFonts w:hint="eastAsia" w:ascii="仿宋" w:hAnsi="仿宋" w:eastAsia="仿宋" w:cs="仿宋"/>
          <w:sz w:val="24"/>
        </w:rPr>
        <w:t>：培训地点由采购人与供应商共同协商确定。</w:t>
      </w:r>
    </w:p>
    <w:p>
      <w:pPr>
        <w:spacing w:line="360" w:lineRule="auto"/>
        <w:ind w:firstLine="480" w:firstLineChars="200"/>
        <w:rPr>
          <w:rFonts w:ascii="仿宋" w:hAnsi="仿宋" w:eastAsia="仿宋" w:cs="仿宋"/>
          <w:sz w:val="24"/>
        </w:rPr>
      </w:pPr>
      <w:bookmarkStart w:id="66" w:name="_Toc458245752"/>
      <w:bookmarkStart w:id="67" w:name="_Toc19783522"/>
      <w:bookmarkStart w:id="68" w:name="_Toc457900747"/>
      <w:bookmarkStart w:id="69" w:name="_Toc648253218"/>
      <w:bookmarkStart w:id="70" w:name="_Toc8832"/>
      <w:r>
        <w:rPr>
          <w:rFonts w:hint="eastAsia" w:ascii="仿宋" w:hAnsi="仿宋" w:eastAsia="仿宋" w:cs="仿宋"/>
          <w:sz w:val="24"/>
        </w:rPr>
        <w:t>4）培训内容</w:t>
      </w:r>
      <w:bookmarkEnd w:id="66"/>
      <w:bookmarkEnd w:id="67"/>
      <w:bookmarkEnd w:id="68"/>
      <w:bookmarkEnd w:id="69"/>
      <w:bookmarkEnd w:id="70"/>
      <w:r>
        <w:rPr>
          <w:rFonts w:hint="eastAsia" w:ascii="仿宋" w:hAnsi="仿宋" w:eastAsia="仿宋" w:cs="仿宋"/>
          <w:sz w:val="24"/>
        </w:rPr>
        <w:t>:按技术规范中的内容提供培训设施与培训课程，保证业主与本租赁项目有关的职员掌握功能模块的操作。涉及违法鸣笛数据的查询、确认等操作与失真、误拍以及应用故障的判断分析等方面的知识与能力。具体以使用方要求为准。</w:t>
      </w:r>
    </w:p>
    <w:p>
      <w:pPr>
        <w:spacing w:line="360" w:lineRule="auto"/>
        <w:ind w:firstLine="480" w:firstLineChars="200"/>
        <w:rPr>
          <w:rFonts w:ascii="仿宋" w:hAnsi="仿宋" w:eastAsia="仿宋" w:cs="仿宋"/>
          <w:sz w:val="24"/>
        </w:rPr>
      </w:pPr>
      <w:bookmarkStart w:id="71" w:name="_Toc1007293695"/>
      <w:bookmarkStart w:id="72" w:name="_Toc458245753"/>
      <w:bookmarkStart w:id="73" w:name="_Toc10513"/>
      <w:bookmarkStart w:id="74" w:name="_Toc457900748"/>
      <w:bookmarkStart w:id="75" w:name="_Toc19783523"/>
      <w:r>
        <w:rPr>
          <w:rFonts w:hint="eastAsia" w:ascii="仿宋" w:hAnsi="仿宋" w:eastAsia="仿宋" w:cs="仿宋"/>
          <w:sz w:val="24"/>
        </w:rPr>
        <w:t>5）培训师资</w:t>
      </w:r>
      <w:bookmarkEnd w:id="71"/>
      <w:bookmarkEnd w:id="72"/>
      <w:bookmarkEnd w:id="73"/>
      <w:bookmarkEnd w:id="74"/>
      <w:bookmarkEnd w:id="75"/>
      <w:r>
        <w:rPr>
          <w:rFonts w:hint="eastAsia" w:ascii="仿宋" w:hAnsi="仿宋" w:eastAsia="仿宋" w:cs="仿宋"/>
          <w:sz w:val="24"/>
        </w:rPr>
        <w:t>：租赁项目的项目负责人和技术工程师负责培训，并在培训完成后形成相应培训记录。</w:t>
      </w:r>
    </w:p>
    <w:p>
      <w:pPr>
        <w:spacing w:line="360" w:lineRule="auto"/>
        <w:jc w:val="left"/>
        <w:rPr>
          <w:rFonts w:ascii="仿宋" w:hAnsi="仿宋" w:eastAsia="仿宋" w:cs="仿宋"/>
          <w:sz w:val="24"/>
        </w:rPr>
      </w:pPr>
      <w:r>
        <w:rPr>
          <w:rFonts w:hint="eastAsia" w:ascii="仿宋" w:hAnsi="仿宋" w:eastAsia="仿宋" w:cs="仿宋"/>
          <w:sz w:val="24"/>
        </w:rPr>
        <w:t>（六）拟采购标的的商务要求</w:t>
      </w:r>
    </w:p>
    <w:p>
      <w:pPr>
        <w:spacing w:line="360" w:lineRule="auto"/>
        <w:ind w:left="210" w:leftChars="100"/>
        <w:jc w:val="left"/>
        <w:rPr>
          <w:rFonts w:ascii="仿宋" w:hAnsi="仿宋" w:eastAsia="仿宋" w:cs="仿宋"/>
          <w:sz w:val="24"/>
          <w:u w:val="single"/>
        </w:rPr>
      </w:pPr>
      <w:r>
        <w:rPr>
          <w:rFonts w:hint="eastAsia" w:ascii="仿宋" w:hAnsi="仿宋" w:eastAsia="仿宋" w:cs="仿宋"/>
          <w:sz w:val="24"/>
        </w:rPr>
        <w:t>1.交付（实施）的时间（期限）：</w:t>
      </w:r>
      <w:r>
        <w:rPr>
          <w:rFonts w:hint="eastAsia" w:ascii="仿宋" w:hAnsi="仿宋" w:eastAsia="仿宋" w:cs="仿宋"/>
          <w:sz w:val="24"/>
          <w:u w:val="single"/>
        </w:rPr>
        <w:t>2021年12月1日至2022年11月30日</w:t>
      </w:r>
    </w:p>
    <w:p>
      <w:pPr>
        <w:spacing w:line="360" w:lineRule="auto"/>
        <w:ind w:left="210" w:leftChars="100"/>
        <w:jc w:val="left"/>
        <w:rPr>
          <w:rFonts w:ascii="仿宋" w:hAnsi="仿宋" w:eastAsia="仿宋" w:cs="仿宋"/>
          <w:sz w:val="24"/>
          <w:u w:val="single"/>
        </w:rPr>
      </w:pPr>
      <w:r>
        <w:rPr>
          <w:rFonts w:hint="eastAsia" w:ascii="仿宋" w:hAnsi="仿宋" w:eastAsia="仿宋" w:cs="仿宋"/>
          <w:sz w:val="24"/>
        </w:rPr>
        <w:t>2.交付（实施）的地点（范围）：</w:t>
      </w:r>
      <w:r>
        <w:rPr>
          <w:rFonts w:hint="eastAsia" w:ascii="仿宋" w:hAnsi="仿宋" w:eastAsia="仿宋" w:cs="仿宋"/>
          <w:sz w:val="24"/>
          <w:u w:val="single"/>
        </w:rPr>
        <w:t>杭州市公安局交通警察支队及点位（解放东路-钱江路交叉口点位、环城西路-省府路交叉口点位、庆春路-浙一医院门口点位、南山路净寺公交站点位、西湖大道-定安路交叉口）。</w:t>
      </w:r>
    </w:p>
    <w:p>
      <w:pPr>
        <w:spacing w:line="360" w:lineRule="auto"/>
        <w:ind w:left="210" w:leftChars="100"/>
        <w:jc w:val="left"/>
        <w:rPr>
          <w:rFonts w:ascii="仿宋" w:hAnsi="仿宋" w:eastAsia="仿宋" w:cs="仿宋"/>
          <w:sz w:val="24"/>
        </w:rPr>
      </w:pPr>
      <w:r>
        <w:rPr>
          <w:rFonts w:hint="eastAsia" w:ascii="仿宋" w:hAnsi="仿宋" w:eastAsia="仿宋" w:cs="仿宋"/>
          <w:sz w:val="24"/>
        </w:rPr>
        <w:t>3.付款条件（进度和方式）</w:t>
      </w:r>
    </w:p>
    <w:tbl>
      <w:tblPr>
        <w:tblStyle w:val="76"/>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3"/>
        <w:gridCol w:w="4275"/>
        <w:gridCol w:w="285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1173" w:type="dxa"/>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4275" w:type="dxa"/>
            <w:vAlign w:val="center"/>
          </w:tcPr>
          <w:p>
            <w:pPr>
              <w:spacing w:line="360" w:lineRule="auto"/>
              <w:jc w:val="center"/>
              <w:rPr>
                <w:rFonts w:ascii="仿宋" w:hAnsi="仿宋" w:eastAsia="仿宋" w:cs="仿宋"/>
                <w:sz w:val="24"/>
              </w:rPr>
            </w:pPr>
            <w:r>
              <w:rPr>
                <w:rFonts w:hint="eastAsia" w:ascii="仿宋" w:hAnsi="仿宋" w:eastAsia="仿宋" w:cs="仿宋"/>
                <w:sz w:val="24"/>
              </w:rPr>
              <w:t>付款比例（%）</w:t>
            </w:r>
          </w:p>
        </w:tc>
        <w:tc>
          <w:tcPr>
            <w:tcW w:w="2851" w:type="dxa"/>
            <w:vAlign w:val="center"/>
          </w:tcPr>
          <w:p>
            <w:pPr>
              <w:spacing w:line="360" w:lineRule="auto"/>
              <w:jc w:val="center"/>
              <w:rPr>
                <w:rFonts w:ascii="仿宋" w:hAnsi="仿宋" w:eastAsia="仿宋" w:cs="仿宋"/>
                <w:sz w:val="24"/>
              </w:rPr>
            </w:pPr>
            <w:r>
              <w:rPr>
                <w:rFonts w:hint="eastAsia" w:ascii="仿宋" w:hAnsi="仿宋" w:eastAsia="仿宋" w:cs="仿宋"/>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4275" w:type="dxa"/>
            <w:vAlign w:val="center"/>
          </w:tcPr>
          <w:p>
            <w:pPr>
              <w:spacing w:line="360" w:lineRule="auto"/>
              <w:rPr>
                <w:rFonts w:ascii="仿宋" w:hAnsi="仿宋" w:eastAsia="仿宋" w:cs="仿宋"/>
                <w:sz w:val="24"/>
              </w:rPr>
            </w:pPr>
            <w:r>
              <w:rPr>
                <w:rFonts w:hint="eastAsia" w:ascii="仿宋" w:hAnsi="仿宋" w:eastAsia="仿宋" w:cs="仿宋"/>
                <w:sz w:val="24"/>
              </w:rPr>
              <w:t>第一期付款：合同签订后5个工作日内，采购人根据杭州市政府采购网公布的供应商履约评价情况减免履约保证金。履约验收评价总分为100分的，采购单位应当免收履约保证金；评价总分在100分以下或者暂无评分的，收取履约保证金为合同总价1%，采购人支付合同总价70％的款项。</w:t>
            </w:r>
          </w:p>
        </w:tc>
        <w:tc>
          <w:tcPr>
            <w:tcW w:w="2851" w:type="dxa"/>
          </w:tcPr>
          <w:p>
            <w:pPr>
              <w:spacing w:line="360" w:lineRule="auto"/>
              <w:jc w:val="center"/>
              <w:rPr>
                <w:rFonts w:ascii="仿宋" w:hAnsi="仿宋" w:eastAsia="仿宋" w:cs="仿宋"/>
                <w:sz w:val="24"/>
              </w:rPr>
            </w:pPr>
            <w:r>
              <w:rPr>
                <w:rFonts w:hint="eastAsia" w:ascii="仿宋" w:hAnsi="仿宋" w:eastAsia="仿宋" w:cs="仿宋"/>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1173"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4275" w:type="dxa"/>
            <w:vAlign w:val="center"/>
          </w:tcPr>
          <w:p>
            <w:pPr>
              <w:spacing w:line="360" w:lineRule="auto"/>
              <w:rPr>
                <w:rFonts w:ascii="仿宋" w:hAnsi="仿宋" w:eastAsia="仿宋" w:cs="仿宋"/>
                <w:sz w:val="24"/>
              </w:rPr>
            </w:pPr>
            <w:r>
              <w:rPr>
                <w:rFonts w:hint="eastAsia" w:ascii="仿宋" w:hAnsi="仿宋" w:eastAsia="仿宋" w:cs="仿宋"/>
                <w:sz w:val="24"/>
              </w:rPr>
              <w:t>第二期付款：服务期结束，无任何服务问题，凭双方及监理签字盖章的验收意见、验收小组签字的验收报告、租赁设备清单、巡检报告、车辆信息、租赁总结报告、项目组人员清单、保密承诺书、每月社保缴纳材料、每月考核材料、培训记录、验收报审表、信息化建设项目变更审批表（如有）、合同履约情况审计意见及公示截图等相关资料，根据合同单价、租赁设备数量、租赁天数按实结算，且不超过合同总价（同时扣除考核违约金）。</w:t>
            </w:r>
          </w:p>
        </w:tc>
        <w:tc>
          <w:tcPr>
            <w:tcW w:w="2851" w:type="dxa"/>
          </w:tcPr>
          <w:p>
            <w:pPr>
              <w:spacing w:line="360" w:lineRule="auto"/>
              <w:jc w:val="center"/>
              <w:rPr>
                <w:rFonts w:ascii="仿宋" w:hAnsi="仿宋" w:eastAsia="仿宋" w:cs="仿宋"/>
                <w:sz w:val="24"/>
              </w:rPr>
            </w:pPr>
            <w:r>
              <w:rPr>
                <w:rFonts w:hint="eastAsia" w:ascii="仿宋" w:hAnsi="仿宋" w:eastAsia="仿宋" w:cs="仿宋"/>
                <w:sz w:val="24"/>
              </w:rPr>
              <w:t>国库转账支付</w:t>
            </w:r>
          </w:p>
        </w:tc>
      </w:tr>
    </w:tbl>
    <w:p>
      <w:pPr>
        <w:spacing w:line="360" w:lineRule="auto"/>
        <w:ind w:left="210" w:leftChars="100" w:firstLine="480" w:firstLineChars="200"/>
        <w:jc w:val="left"/>
        <w:rPr>
          <w:rFonts w:hint="eastAsia" w:ascii="仿宋" w:hAnsi="仿宋" w:eastAsia="仿宋" w:cs="仿宋"/>
          <w:sz w:val="24"/>
          <w:lang w:val="zh-CN"/>
        </w:rPr>
      </w:pPr>
      <w:r>
        <w:rPr>
          <w:rFonts w:hint="eastAsia" w:ascii="仿宋" w:hAnsi="仿宋" w:eastAsia="仿宋" w:cs="仿宋"/>
          <w:sz w:val="24"/>
          <w:lang w:val="zh-CN"/>
        </w:rPr>
        <w:t>双方确认，</w:t>
      </w:r>
      <w:r>
        <w:rPr>
          <w:rFonts w:hint="eastAsia" w:ascii="仿宋" w:hAnsi="仿宋" w:eastAsia="仿宋" w:cs="仿宋"/>
          <w:sz w:val="24"/>
        </w:rPr>
        <w:t>采购人</w:t>
      </w:r>
      <w:r>
        <w:rPr>
          <w:rFonts w:hint="eastAsia" w:ascii="仿宋" w:hAnsi="仿宋" w:eastAsia="仿宋" w:cs="仿宋"/>
          <w:sz w:val="24"/>
          <w:lang w:val="zh-CN"/>
        </w:rPr>
        <w:t>按前两款结算并向</w:t>
      </w:r>
      <w:r>
        <w:rPr>
          <w:rFonts w:hint="eastAsia" w:ascii="仿宋" w:hAnsi="仿宋" w:eastAsia="仿宋" w:cs="仿宋"/>
          <w:sz w:val="24"/>
        </w:rPr>
        <w:t>投标人</w:t>
      </w:r>
      <w:r>
        <w:rPr>
          <w:rFonts w:hint="eastAsia" w:ascii="仿宋" w:hAnsi="仿宋" w:eastAsia="仿宋" w:cs="仿宋"/>
          <w:sz w:val="24"/>
          <w:lang w:val="zh-CN"/>
        </w:rPr>
        <w:t>支付的款项总额不超过合同总价。</w:t>
      </w:r>
    </w:p>
    <w:p>
      <w:pPr>
        <w:spacing w:line="360" w:lineRule="auto"/>
        <w:ind w:left="210" w:leftChars="100" w:firstLine="480" w:firstLineChars="200"/>
        <w:jc w:val="left"/>
        <w:rPr>
          <w:rFonts w:ascii="仿宋" w:hAnsi="仿宋" w:eastAsia="仿宋" w:cs="仿宋"/>
          <w:sz w:val="24"/>
          <w:lang w:val="zh-CN"/>
        </w:rPr>
      </w:pPr>
      <w:r>
        <w:rPr>
          <w:rFonts w:hint="eastAsia" w:ascii="仿宋" w:hAnsi="仿宋" w:eastAsia="仿宋" w:cs="仿宋"/>
          <w:sz w:val="24"/>
          <w:lang w:val="zh-CN"/>
        </w:rPr>
        <w:t>前述采购人实际使用</w:t>
      </w:r>
      <w:r>
        <w:rPr>
          <w:rFonts w:hint="eastAsia" w:ascii="仿宋" w:hAnsi="仿宋" w:eastAsia="仿宋" w:cs="仿宋"/>
          <w:sz w:val="24"/>
        </w:rPr>
        <w:t>租用设备数量</w:t>
      </w:r>
      <w:r>
        <w:rPr>
          <w:rFonts w:hint="eastAsia" w:ascii="仿宋" w:hAnsi="仿宋" w:eastAsia="仿宋" w:cs="仿宋"/>
          <w:sz w:val="24"/>
          <w:lang w:val="zh-CN"/>
        </w:rPr>
        <w:t>、服务天数及合同单价与供应商进行结算付款的方式不影响供应商承担其因未全面履行本项目义务而产生的相应违约金。</w:t>
      </w:r>
    </w:p>
    <w:p>
      <w:pPr>
        <w:spacing w:line="360" w:lineRule="auto"/>
        <w:ind w:left="210" w:leftChars="100"/>
        <w:jc w:val="left"/>
        <w:rPr>
          <w:rFonts w:ascii="仿宋" w:hAnsi="仿宋" w:eastAsia="仿宋" w:cs="仿宋"/>
          <w:sz w:val="24"/>
          <w:u w:val="single"/>
        </w:rPr>
      </w:pPr>
      <w:r>
        <w:rPr>
          <w:rFonts w:hint="eastAsia" w:ascii="仿宋" w:hAnsi="仿宋" w:eastAsia="仿宋" w:cs="仿宋"/>
          <w:sz w:val="24"/>
        </w:rPr>
        <w:t>4.售后服务要求：</w:t>
      </w:r>
      <w:r>
        <w:rPr>
          <w:rFonts w:hint="eastAsia" w:ascii="仿宋" w:hAnsi="仿宋" w:eastAsia="仿宋" w:cs="仿宋"/>
          <w:sz w:val="24"/>
          <w:u w:val="single"/>
        </w:rPr>
        <w:t>服务类，无售后服务。</w:t>
      </w:r>
    </w:p>
    <w:p>
      <w:pPr>
        <w:spacing w:line="360" w:lineRule="auto"/>
        <w:ind w:left="210" w:leftChars="100"/>
        <w:jc w:val="left"/>
        <w:rPr>
          <w:rFonts w:ascii="仿宋" w:hAnsi="仿宋" w:eastAsia="仿宋" w:cs="仿宋"/>
          <w:sz w:val="24"/>
        </w:rPr>
      </w:pPr>
      <w:r>
        <w:rPr>
          <w:rFonts w:hint="eastAsia" w:ascii="仿宋" w:hAnsi="仿宋" w:eastAsia="仿宋" w:cs="仿宋"/>
          <w:sz w:val="24"/>
        </w:rPr>
        <w:t>5.其他商务要求（包装和运输、保险等）</w:t>
      </w:r>
    </w:p>
    <w:p>
      <w:pPr>
        <w:spacing w:line="360" w:lineRule="auto"/>
        <w:ind w:firstLine="420"/>
        <w:jc w:val="left"/>
        <w:rPr>
          <w:rFonts w:ascii="仿宋" w:hAnsi="仿宋" w:eastAsia="仿宋" w:cs="仿宋"/>
          <w:sz w:val="24"/>
        </w:rPr>
      </w:pPr>
      <w:r>
        <w:rPr>
          <w:rFonts w:hint="eastAsia" w:ascii="仿宋" w:hAnsi="仿宋" w:eastAsia="仿宋" w:cs="仿宋"/>
          <w:sz w:val="24"/>
        </w:rPr>
        <w:t>1、履约保证金退还：服务期满，通过验收，采购人于收到供应商退还履约保证金申请之日起5个工作日内凭双方签字盖章的验收意见，退还供应商履约保证金。</w:t>
      </w:r>
    </w:p>
    <w:p>
      <w:pPr>
        <w:spacing w:line="360" w:lineRule="auto"/>
        <w:ind w:firstLine="420"/>
        <w:jc w:val="left"/>
        <w:rPr>
          <w:rFonts w:ascii="仿宋" w:hAnsi="仿宋" w:eastAsia="仿宋" w:cs="仿宋"/>
          <w:sz w:val="24"/>
        </w:rPr>
      </w:pPr>
      <w:r>
        <w:rPr>
          <w:rFonts w:hint="eastAsia" w:ascii="仿宋" w:hAnsi="仿宋" w:eastAsia="仿宋" w:cs="仿宋"/>
          <w:sz w:val="24"/>
        </w:rPr>
        <w:t>2、投标报价包含有关本项目设备使用费、安装调试、运行维护、技术支持和税金等服务期内所有产生的一切费用均计入。</w:t>
      </w:r>
    </w:p>
    <w:p>
      <w:pPr>
        <w:spacing w:line="360" w:lineRule="auto"/>
        <w:ind w:firstLine="480" w:firstLineChars="200"/>
        <w:rPr>
          <w:rFonts w:ascii="仿宋" w:hAnsi="仿宋" w:eastAsia="仿宋" w:cs="仿宋"/>
          <w:sz w:val="24"/>
        </w:rPr>
      </w:pPr>
      <w:r>
        <w:rPr>
          <w:rFonts w:hint="eastAsia" w:ascii="仿宋" w:hAnsi="仿宋" w:eastAsia="仿宋" w:cs="仿宋"/>
          <w:sz w:val="24"/>
        </w:rPr>
        <w:t>3、保密条款：供应商需与采购人签订保密协议，采取安全预防措施，保障在合同服务期间将掌握的任何有关采购人机密或专有信息透露给任何未经授权的人等，如发生泄密责任，采购人将追究供应商一切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采购人对供应商及工作人员开展常态化安全保密教育，组织签订安全保密承诺书，明确具体安全管理内容、安全保密义务和责任；</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供应商及工作人员违反安全管理要求，构成违法犯罪的，采购人将及时报送本级政府采购和市场监督管理部门，提请列入政府采购严重违法失信行为记录名单、市场监督管理严重失信名单，并追究相关责任。</w:t>
      </w:r>
    </w:p>
    <w:p>
      <w:pPr>
        <w:spacing w:line="360" w:lineRule="auto"/>
        <w:jc w:val="left"/>
        <w:rPr>
          <w:rFonts w:ascii="仿宋" w:hAnsi="仿宋" w:eastAsia="仿宋" w:cs="仿宋"/>
          <w:sz w:val="24"/>
          <w:u w:val="single"/>
        </w:rPr>
      </w:pPr>
      <w:r>
        <w:rPr>
          <w:rFonts w:hint="eastAsia" w:ascii="仿宋" w:hAnsi="仿宋" w:eastAsia="仿宋" w:cs="仿宋"/>
          <w:sz w:val="24"/>
        </w:rPr>
        <w:t>（七）采购项目的其他要求</w:t>
      </w:r>
    </w:p>
    <w:p>
      <w:pPr>
        <w:spacing w:line="360" w:lineRule="auto"/>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 xml:space="preserve"> 验收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验收时，按照采购合同的约定对每一项技术、服务、安全标准的履约情况进行确认，验收小组由5人组成：采购人1名,专家4名（由代理机构抽取信息技术服务、计算机设备和软件租赁服务等相关专业专家），验收小组现场组织对设备进行清点、系统运行情况进行演示，出具验收报告并经验收小组全体成员签字。验收结果分为通过和不通过。验收结果为通过的，如存在待改进完善的问题，供应商应及时整改到位；验收结果为不通过的，供应商应及时整改并重新提出验收申请。若因供应商原因验收不通过，并造成项目未能在合同约定时限内完成终验，按合同条款执行。采购人根据验收报告形成验收意见并经采购人与供应商签字盖章，并在财政指定媒体上公示无异议后生效。验收结果与采购合同约定的资金支付及履约保证金返还条件挂钩。履约验收的各项资料应当存档备查。</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（4）验收产生的费用首次验收费用由采购人承担，如首次验收不合格，后续验收费用由中标人支付。</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（5）履约验收内容</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376"/>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1398"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验收内容</w:t>
            </w:r>
          </w:p>
        </w:tc>
        <w:tc>
          <w:tcPr>
            <w:tcW w:w="3192" w:type="pct"/>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租赁设备</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sz w:val="24"/>
              </w:rPr>
              <w:t>核对租赁清单，对设备的品牌、型号数量、布置点位、设备技术参数功能进行验收。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租赁期间的维护服务</w:t>
            </w:r>
          </w:p>
        </w:tc>
        <w:tc>
          <w:tcPr>
            <w:tcW w:w="3192" w:type="pct"/>
            <w:vAlign w:val="center"/>
          </w:tcPr>
          <w:p>
            <w:pPr>
              <w:spacing w:line="360" w:lineRule="auto"/>
              <w:rPr>
                <w:rFonts w:ascii="仿宋" w:hAnsi="仿宋" w:eastAsia="仿宋" w:cs="仿宋"/>
                <w:bCs/>
                <w:kern w:val="0"/>
                <w:sz w:val="24"/>
              </w:rPr>
            </w:pPr>
            <w:r>
              <w:rPr>
                <w:rFonts w:ascii="仿宋" w:hAnsi="仿宋" w:eastAsia="仿宋" w:cs="仿宋"/>
                <w:bCs/>
                <w:kern w:val="0"/>
                <w:sz w:val="24"/>
              </w:rPr>
              <w:t>巡检、培训、</w:t>
            </w:r>
            <w:r>
              <w:rPr>
                <w:rFonts w:hint="eastAsia" w:ascii="仿宋" w:hAnsi="仿宋" w:eastAsia="仿宋" w:cs="仿宋"/>
                <w:sz w:val="24"/>
              </w:rPr>
              <w:t>周抓拍成功率、周识别成功率、周修复率等满足采购需求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服务人员情况</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服务人员（包括项目负责人、其他服务人员）人数按照合同及投标文件要求提供。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1398" w:type="pct"/>
            <w:noWrap/>
            <w:vAlign w:val="center"/>
          </w:tcPr>
          <w:p>
            <w:pPr>
              <w:widowControl/>
              <w:spacing w:line="360" w:lineRule="auto"/>
              <w:jc w:val="left"/>
              <w:rPr>
                <w:rFonts w:ascii="仿宋" w:hAnsi="仿宋" w:eastAsia="仿宋" w:cs="仿宋"/>
                <w:bCs/>
                <w:kern w:val="0"/>
                <w:sz w:val="24"/>
              </w:rPr>
            </w:pPr>
            <w:r>
              <w:rPr>
                <w:rFonts w:ascii="仿宋" w:hAnsi="仿宋" w:eastAsia="仿宋" w:cs="仿宋"/>
                <w:bCs/>
                <w:kern w:val="0"/>
                <w:sz w:val="24"/>
              </w:rPr>
              <w:t>车辆情况</w:t>
            </w:r>
          </w:p>
        </w:tc>
        <w:tc>
          <w:tcPr>
            <w:tcW w:w="3192" w:type="pct"/>
            <w:vAlign w:val="center"/>
          </w:tcPr>
          <w:p>
            <w:pPr>
              <w:widowControl/>
              <w:spacing w:line="360" w:lineRule="auto"/>
              <w:jc w:val="left"/>
              <w:rPr>
                <w:rFonts w:ascii="仿宋" w:hAnsi="仿宋" w:eastAsia="仿宋" w:cs="仿宋"/>
                <w:bCs/>
                <w:kern w:val="0"/>
                <w:sz w:val="24"/>
              </w:rPr>
            </w:pPr>
            <w:r>
              <w:rPr>
                <w:rFonts w:ascii="仿宋" w:hAnsi="仿宋" w:eastAsia="仿宋" w:cs="仿宋"/>
                <w:bCs/>
                <w:kern w:val="0"/>
                <w:sz w:val="24"/>
              </w:rPr>
              <w:t>车辆</w:t>
            </w:r>
            <w:r>
              <w:rPr>
                <w:rFonts w:hint="eastAsia" w:ascii="仿宋" w:hAnsi="仿宋" w:eastAsia="仿宋" w:cs="仿宋"/>
                <w:bCs/>
                <w:kern w:val="0"/>
                <w:sz w:val="24"/>
              </w:rPr>
              <w:t>按照合同及投标文件提供。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故障维修情况</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故障响应时间按照合同及投标文件要求实施响应、修复。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6</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保密要求</w:t>
            </w:r>
          </w:p>
        </w:tc>
        <w:tc>
          <w:tcPr>
            <w:tcW w:w="3192" w:type="pct"/>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满足采购人的保密规定实施，签订保密承诺书。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7</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项目资料</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kern w:val="0"/>
                <w:sz w:val="24"/>
              </w:rPr>
              <w:t>要及时做好租赁总结报告、巡检报告、</w:t>
            </w:r>
            <w:r>
              <w:rPr>
                <w:rFonts w:hint="eastAsia" w:ascii="仿宋" w:hAnsi="仿宋" w:eastAsia="仿宋" w:cs="宋体"/>
                <w:sz w:val="24"/>
              </w:rPr>
              <w:t>采购人交办的文档资料、监理单位出具监理工程师通知单需要供应商配合完成的文档资料、信息化建设项目变更审批表（如有）等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8</w:t>
            </w:r>
          </w:p>
        </w:tc>
        <w:tc>
          <w:tcPr>
            <w:tcW w:w="1398" w:type="pct"/>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其他工作</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履行项目采购文件、投标文件、合同条款中涉及的其他承诺的情况</w:t>
            </w:r>
          </w:p>
        </w:tc>
      </w:tr>
    </w:tbl>
    <w:p/>
    <w:p>
      <w:pPr>
        <w:snapToGrid w:val="0"/>
        <w:spacing w:line="360" w:lineRule="auto"/>
        <w:rPr>
          <w:rFonts w:ascii="仿宋" w:hAnsi="仿宋" w:eastAsia="仿宋" w:cs="仿宋"/>
          <w:sz w:val="24"/>
        </w:rPr>
      </w:pPr>
      <w:r>
        <w:rPr>
          <w:rFonts w:hint="eastAsia" w:ascii="仿宋" w:hAnsi="仿宋" w:eastAsia="仿宋" w:cs="仿宋"/>
          <w:sz w:val="24"/>
        </w:rPr>
        <w:t>验收资料清单如下：</w:t>
      </w:r>
    </w:p>
    <w:p>
      <w:pPr>
        <w:spacing w:line="360" w:lineRule="auto"/>
        <w:ind w:firstLine="560"/>
        <w:rPr>
          <w:rFonts w:ascii="仿宋" w:hAnsi="仿宋" w:eastAsia="仿宋" w:cs="仿宋"/>
          <w:sz w:val="24"/>
        </w:rPr>
      </w:pPr>
      <w:r>
        <w:rPr>
          <w:rFonts w:hint="eastAsia" w:ascii="仿宋" w:hAnsi="仿宋" w:eastAsia="仿宋" w:cs="仿宋"/>
          <w:sz w:val="24"/>
        </w:rPr>
        <w:t>1）招标文件；</w:t>
      </w:r>
    </w:p>
    <w:p>
      <w:pPr>
        <w:spacing w:line="360" w:lineRule="auto"/>
        <w:ind w:firstLine="560"/>
        <w:rPr>
          <w:rFonts w:ascii="仿宋" w:hAnsi="仿宋" w:eastAsia="仿宋" w:cs="仿宋"/>
          <w:sz w:val="24"/>
        </w:rPr>
      </w:pPr>
      <w:r>
        <w:rPr>
          <w:rFonts w:hint="eastAsia" w:ascii="仿宋" w:hAnsi="仿宋" w:eastAsia="仿宋" w:cs="仿宋"/>
          <w:sz w:val="24"/>
        </w:rPr>
        <w:t>2）投标文件；</w:t>
      </w:r>
    </w:p>
    <w:p>
      <w:pPr>
        <w:spacing w:line="360" w:lineRule="auto"/>
        <w:ind w:firstLine="560"/>
        <w:rPr>
          <w:rFonts w:ascii="仿宋" w:hAnsi="仿宋" w:eastAsia="仿宋" w:cs="仿宋"/>
          <w:sz w:val="24"/>
        </w:rPr>
      </w:pPr>
      <w:r>
        <w:rPr>
          <w:rFonts w:hint="eastAsia" w:ascii="仿宋" w:hAnsi="仿宋" w:eastAsia="仿宋" w:cs="仿宋"/>
          <w:sz w:val="24"/>
        </w:rPr>
        <w:t>3）项目合同；</w:t>
      </w:r>
    </w:p>
    <w:p>
      <w:pPr>
        <w:spacing w:line="360" w:lineRule="auto"/>
        <w:ind w:firstLine="560"/>
        <w:rPr>
          <w:rFonts w:ascii="仿宋" w:hAnsi="仿宋" w:eastAsia="仿宋" w:cs="仿宋"/>
          <w:sz w:val="24"/>
        </w:rPr>
      </w:pPr>
      <w:r>
        <w:rPr>
          <w:rFonts w:hint="eastAsia" w:ascii="仿宋" w:hAnsi="仿宋" w:eastAsia="仿宋" w:cs="仿宋"/>
          <w:sz w:val="24"/>
        </w:rPr>
        <w:t>4）租赁设备清单；需采购人、供应商、监理单位签字并盖章；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5）每月巡检：需采购人、供应商、监理单位签字并盖章；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6）租赁总结报告；</w:t>
      </w:r>
    </w:p>
    <w:p>
      <w:pPr>
        <w:spacing w:line="360" w:lineRule="auto"/>
        <w:ind w:firstLine="560"/>
        <w:rPr>
          <w:rFonts w:ascii="仿宋" w:hAnsi="仿宋" w:eastAsia="仿宋" w:cs="仿宋"/>
          <w:sz w:val="24"/>
        </w:rPr>
      </w:pPr>
      <w:r>
        <w:rPr>
          <w:rFonts w:hint="eastAsia" w:ascii="仿宋" w:hAnsi="仿宋" w:eastAsia="仿宋" w:cs="仿宋"/>
          <w:sz w:val="24"/>
        </w:rPr>
        <w:t>7）项目组人员清单、社保缴纳记录；</w:t>
      </w:r>
    </w:p>
    <w:p>
      <w:pPr>
        <w:spacing w:line="360" w:lineRule="auto"/>
        <w:ind w:firstLine="560"/>
        <w:rPr>
          <w:rFonts w:ascii="仿宋" w:hAnsi="仿宋" w:eastAsia="仿宋" w:cs="仿宋"/>
          <w:sz w:val="24"/>
        </w:rPr>
      </w:pPr>
      <w:r>
        <w:rPr>
          <w:rFonts w:hint="eastAsia" w:ascii="仿宋" w:hAnsi="仿宋" w:eastAsia="仿宋" w:cs="仿宋"/>
          <w:sz w:val="24"/>
        </w:rPr>
        <w:t>8）每月考核材料：需采购人经办人、供应商、监理单位签字并盖章；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9）培训记录：由培训参与人员签字。</w:t>
      </w:r>
    </w:p>
    <w:p>
      <w:pPr>
        <w:spacing w:line="360" w:lineRule="auto"/>
        <w:ind w:firstLine="560"/>
        <w:rPr>
          <w:rFonts w:ascii="仿宋" w:hAnsi="仿宋" w:eastAsia="仿宋" w:cs="仿宋"/>
          <w:sz w:val="24"/>
        </w:rPr>
      </w:pPr>
      <w:r>
        <w:rPr>
          <w:rFonts w:hint="eastAsia" w:ascii="仿宋" w:hAnsi="仿宋" w:eastAsia="仿宋" w:cs="仿宋"/>
          <w:sz w:val="24"/>
        </w:rPr>
        <w:t>10）验收报审表：由供应商提交，经监理单位及采购人审批；</w:t>
      </w:r>
    </w:p>
    <w:p>
      <w:pPr>
        <w:spacing w:line="360" w:lineRule="auto"/>
        <w:ind w:firstLine="560"/>
        <w:rPr>
          <w:rFonts w:ascii="仿宋" w:hAnsi="仿宋" w:eastAsia="仿宋" w:cs="仿宋"/>
          <w:sz w:val="24"/>
        </w:rPr>
      </w:pPr>
      <w:r>
        <w:rPr>
          <w:rFonts w:hint="eastAsia" w:ascii="仿宋" w:hAnsi="仿宋" w:eastAsia="仿宋" w:cs="仿宋"/>
          <w:sz w:val="24"/>
        </w:rPr>
        <w:t>11）信息化建设项目变更审批表（如有）；</w:t>
      </w:r>
    </w:p>
    <w:p>
      <w:pPr>
        <w:spacing w:line="360" w:lineRule="auto"/>
        <w:ind w:firstLine="560"/>
        <w:rPr>
          <w:rFonts w:ascii="仿宋" w:hAnsi="仿宋" w:eastAsia="仿宋" w:cs="仿宋"/>
          <w:sz w:val="24"/>
        </w:rPr>
      </w:pPr>
      <w:r>
        <w:rPr>
          <w:rFonts w:hint="eastAsia" w:ascii="仿宋" w:hAnsi="仿宋" w:eastAsia="仿宋" w:cs="仿宋"/>
          <w:sz w:val="24"/>
        </w:rPr>
        <w:t>12）其他项目所需的资料：如车辆信息、保密承诺书。</w:t>
      </w:r>
    </w:p>
    <w:p>
      <w:pPr>
        <w:spacing w:line="360" w:lineRule="auto"/>
        <w:ind w:firstLine="120" w:firstLineChars="50"/>
        <w:jc w:val="left"/>
        <w:rPr>
          <w:rFonts w:ascii="仿宋" w:hAnsi="仿宋" w:eastAsia="仿宋" w:cs="仿宋"/>
          <w:sz w:val="24"/>
        </w:rPr>
      </w:pPr>
      <w:r>
        <w:rPr>
          <w:rFonts w:hint="eastAsia" w:ascii="仿宋" w:hAnsi="仿宋" w:eastAsia="仿宋" w:cs="仿宋"/>
          <w:sz w:val="24"/>
        </w:rPr>
        <w:t>（6）履约验收标准</w:t>
      </w:r>
    </w:p>
    <w:p>
      <w:pPr>
        <w:spacing w:line="360" w:lineRule="auto"/>
        <w:ind w:firstLine="480" w:firstLineChars="200"/>
        <w:jc w:val="left"/>
        <w:rPr>
          <w:rFonts w:ascii="仿宋" w:hAnsi="仿宋" w:eastAsia="仿宋" w:cs="仿宋"/>
          <w:sz w:val="24"/>
          <w:u w:val="single"/>
        </w:rPr>
      </w:pPr>
      <w:r>
        <w:rPr>
          <w:rFonts w:hint="eastAsia" w:ascii="仿宋" w:hAnsi="仿宋" w:eastAsia="仿宋" w:cs="仿宋"/>
          <w:sz w:val="24"/>
          <w:u w:val="single"/>
        </w:rPr>
        <w:t>采购人按照《杭州市政府采购履约验收暂行办法》（杭财采监[2019]10号）规定组织对投标人履约的验收。</w:t>
      </w:r>
    </w:p>
    <w:p>
      <w:pPr>
        <w:spacing w:line="360" w:lineRule="auto"/>
        <w:rPr>
          <w:rFonts w:ascii="仿宋" w:hAnsi="仿宋" w:eastAsia="仿宋" w:cs="仿宋"/>
          <w:sz w:val="24"/>
        </w:rPr>
      </w:pPr>
      <w:r>
        <w:rPr>
          <w:rFonts w:hint="eastAsia" w:ascii="仿宋" w:hAnsi="仿宋" w:eastAsia="仿宋" w:cs="仿宋"/>
          <w:sz w:val="24"/>
        </w:rPr>
        <w:t>2.考核</w:t>
      </w:r>
    </w:p>
    <w:p>
      <w:pPr>
        <w:spacing w:line="360" w:lineRule="auto"/>
        <w:ind w:firstLine="480" w:firstLineChars="200"/>
        <w:rPr>
          <w:rFonts w:ascii="仿宋" w:hAnsi="仿宋" w:eastAsia="仿宋" w:cs="宋体"/>
          <w:snapToGrid w:val="0"/>
          <w:kern w:val="28"/>
          <w:sz w:val="24"/>
          <w:lang w:val="zh-CN"/>
        </w:rPr>
      </w:pPr>
      <w:r>
        <w:rPr>
          <w:rFonts w:hint="eastAsia" w:ascii="仿宋" w:hAnsi="仿宋" w:eastAsia="仿宋" w:cs="仿宋"/>
          <w:snapToGrid w:val="0"/>
          <w:kern w:val="28"/>
          <w:sz w:val="24"/>
        </w:rPr>
        <w:t>本考核</w:t>
      </w:r>
      <w:r>
        <w:rPr>
          <w:rFonts w:hint="eastAsia" w:ascii="仿宋" w:hAnsi="仿宋" w:eastAsia="仿宋" w:cs="仿宋"/>
          <w:snapToGrid w:val="0"/>
          <w:kern w:val="28"/>
          <w:sz w:val="24"/>
          <w:lang w:val="zh-CN"/>
        </w:rPr>
        <w:t>对供应商服务工作进行考核</w:t>
      </w:r>
      <w:r>
        <w:rPr>
          <w:rFonts w:hint="eastAsia" w:ascii="仿宋" w:hAnsi="仿宋" w:eastAsia="仿宋" w:cs="仿宋"/>
          <w:snapToGrid w:val="0"/>
          <w:kern w:val="28"/>
          <w:sz w:val="24"/>
        </w:rPr>
        <w:t>以月为考核周期，采用百分制计分方式，每月1日初始计分为100分，采购人</w:t>
      </w:r>
      <w:r>
        <w:rPr>
          <w:rFonts w:hint="eastAsia" w:ascii="仿宋" w:hAnsi="仿宋" w:eastAsia="仿宋" w:cs="仿宋"/>
          <w:snapToGrid w:val="0"/>
          <w:kern w:val="28"/>
          <w:sz w:val="24"/>
          <w:lang w:val="zh-CN"/>
        </w:rPr>
        <w:t>委托监理单位</w:t>
      </w:r>
      <w:r>
        <w:rPr>
          <w:rFonts w:hint="eastAsia" w:ascii="仿宋" w:hAnsi="仿宋" w:eastAsia="仿宋" w:cs="仿宋"/>
          <w:snapToGrid w:val="0"/>
          <w:kern w:val="28"/>
          <w:sz w:val="24"/>
        </w:rPr>
        <w:t>根据逐条考核事项及对应扣分对供应商（人员）进行计分。供应商每被扣1分，扣除违约金3000元，如考核周期内重复出现相同扣分情形，累计计算扣除分值，违约金在结算合同款时扣除。当月考核结果低于80分的，应递交书面整改报告。供应商当月考核结果低于60分、或连续二个月考核结果低于70分、或连续三个月考核结果低于80分，采购人有权没收供应商全部履约保证金</w:t>
      </w:r>
      <w:r>
        <w:rPr>
          <w:rFonts w:hint="eastAsia" w:ascii="仿宋" w:hAnsi="仿宋" w:eastAsia="仿宋" w:cs="宋体"/>
          <w:sz w:val="24"/>
        </w:rPr>
        <w:t>并单方解除</w:t>
      </w:r>
      <w:r>
        <w:rPr>
          <w:rFonts w:ascii="仿宋" w:hAnsi="仿宋" w:eastAsia="仿宋" w:cs="宋体"/>
          <w:sz w:val="24"/>
        </w:rPr>
        <w:t>合同，如给</w:t>
      </w:r>
      <w:r>
        <w:rPr>
          <w:rFonts w:hint="eastAsia" w:ascii="仿宋" w:hAnsi="仿宋" w:eastAsia="仿宋" w:cs="宋体"/>
          <w:sz w:val="24"/>
        </w:rPr>
        <w:t>采购人</w:t>
      </w:r>
      <w:r>
        <w:rPr>
          <w:rFonts w:ascii="仿宋" w:hAnsi="仿宋" w:eastAsia="仿宋" w:cs="宋体"/>
          <w:sz w:val="24"/>
        </w:rPr>
        <w:t>造成损失的，有权要求</w:t>
      </w:r>
      <w:r>
        <w:rPr>
          <w:rFonts w:hint="eastAsia" w:ascii="仿宋" w:hAnsi="仿宋" w:eastAsia="仿宋" w:cs="宋体"/>
          <w:sz w:val="24"/>
        </w:rPr>
        <w:t>供应商</w:t>
      </w:r>
      <w:r>
        <w:rPr>
          <w:rFonts w:ascii="仿宋" w:hAnsi="仿宋" w:eastAsia="仿宋" w:cs="宋体"/>
          <w:sz w:val="24"/>
        </w:rPr>
        <w:t>进行赔偿。具体考核过程中双方意见存在分歧的，以</w:t>
      </w:r>
      <w:r>
        <w:rPr>
          <w:rFonts w:hint="eastAsia" w:ascii="仿宋" w:hAnsi="仿宋" w:eastAsia="仿宋" w:cs="宋体"/>
          <w:sz w:val="24"/>
        </w:rPr>
        <w:t>采购人</w:t>
      </w:r>
      <w:r>
        <w:rPr>
          <w:rFonts w:ascii="仿宋" w:hAnsi="仿宋" w:eastAsia="仿宋" w:cs="宋体"/>
          <w:sz w:val="24"/>
        </w:rPr>
        <w:t>对考核表的最终解释意见为准。</w:t>
      </w:r>
    </w:p>
    <w:p>
      <w:pPr>
        <w:spacing w:line="360" w:lineRule="auto"/>
        <w:jc w:val="center"/>
        <w:rPr>
          <w:rFonts w:ascii="仿宋" w:hAnsi="仿宋" w:eastAsia="仿宋" w:cs="仿宋"/>
          <w:snapToGrid w:val="0"/>
          <w:kern w:val="28"/>
          <w:sz w:val="24"/>
        </w:rPr>
      </w:pPr>
      <w:r>
        <w:rPr>
          <w:rFonts w:hint="eastAsia" w:ascii="仿宋" w:hAnsi="仿宋" w:eastAsia="仿宋" w:cs="仿宋"/>
          <w:snapToGrid w:val="0"/>
          <w:kern w:val="28"/>
          <w:sz w:val="24"/>
        </w:rPr>
        <w:t>考核表</w:t>
      </w:r>
    </w:p>
    <w:tbl>
      <w:tblPr>
        <w:tblStyle w:val="76"/>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5"/>
        <w:gridCol w:w="2132"/>
        <w:gridCol w:w="2367"/>
        <w:gridCol w:w="383"/>
        <w:gridCol w:w="8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gridSpan w:val="2"/>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w:t>
            </w:r>
          </w:p>
        </w:tc>
        <w:tc>
          <w:tcPr>
            <w:tcW w:w="2132" w:type="dxa"/>
            <w:vAlign w:val="center"/>
          </w:tcPr>
          <w:p>
            <w:pPr>
              <w:snapToGrid w:val="0"/>
              <w:spacing w:line="360" w:lineRule="auto"/>
              <w:jc w:val="center"/>
              <w:rPr>
                <w:rFonts w:ascii="仿宋" w:hAnsi="仿宋" w:eastAsia="仿宋" w:cs="仿宋"/>
                <w:sz w:val="24"/>
              </w:rPr>
            </w:pPr>
          </w:p>
        </w:tc>
        <w:tc>
          <w:tcPr>
            <w:tcW w:w="2750" w:type="dxa"/>
            <w:gridSpan w:val="2"/>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考核月份：</w:t>
            </w:r>
          </w:p>
        </w:tc>
        <w:tc>
          <w:tcPr>
            <w:tcW w:w="2359" w:type="dxa"/>
            <w:gridSpan w:val="2"/>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5814" w:type="dxa"/>
            <w:gridSpan w:val="3"/>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考核内容</w:t>
            </w:r>
          </w:p>
        </w:tc>
        <w:tc>
          <w:tcPr>
            <w:tcW w:w="1183" w:type="dxa"/>
            <w:gridSpan w:val="2"/>
            <w:vAlign w:val="center"/>
          </w:tcPr>
          <w:p>
            <w:pPr>
              <w:snapToGrid w:val="0"/>
              <w:spacing w:line="360" w:lineRule="auto"/>
              <w:rPr>
                <w:rFonts w:ascii="仿宋" w:hAnsi="仿宋" w:eastAsia="仿宋" w:cs="仿宋"/>
                <w:b/>
                <w:sz w:val="24"/>
              </w:rPr>
            </w:pPr>
            <w:r>
              <w:rPr>
                <w:rFonts w:hint="eastAsia" w:ascii="仿宋" w:hAnsi="仿宋" w:eastAsia="仿宋" w:cs="仿宋"/>
                <w:b/>
                <w:sz w:val="24"/>
              </w:rPr>
              <w:t>考核得分</w:t>
            </w:r>
          </w:p>
        </w:tc>
        <w:tc>
          <w:tcPr>
            <w:tcW w:w="1559"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kern w:val="0"/>
                <w:sz w:val="24"/>
              </w:rPr>
              <w:t>租用的设备不满足采购需求或与投标承诺不符的，每发生一次扣5分。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2</w:t>
            </w:r>
          </w:p>
        </w:tc>
        <w:tc>
          <w:tcPr>
            <w:tcW w:w="5814" w:type="dxa"/>
            <w:gridSpan w:val="3"/>
            <w:vAlign w:val="center"/>
          </w:tcPr>
          <w:p>
            <w:pPr>
              <w:snapToGrid w:val="0"/>
              <w:spacing w:line="276" w:lineRule="auto"/>
              <w:rPr>
                <w:rFonts w:ascii="仿宋" w:hAnsi="仿宋" w:eastAsia="仿宋" w:cs="仿宋"/>
                <w:sz w:val="24"/>
              </w:rPr>
            </w:pPr>
            <w:r>
              <w:rPr>
                <w:rFonts w:ascii="仿宋" w:hAnsi="仿宋" w:eastAsia="仿宋" w:cs="仿宋"/>
                <w:sz w:val="24"/>
              </w:rPr>
              <w:t>未在</w:t>
            </w:r>
            <w:r>
              <w:rPr>
                <w:rFonts w:hint="eastAsia" w:ascii="仿宋" w:hAnsi="仿宋" w:eastAsia="仿宋" w:cs="仿宋"/>
                <w:sz w:val="24"/>
              </w:rPr>
              <w:t>48小时内修复的，每发生一次扣2分。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3</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bCs/>
                <w:sz w:val="24"/>
              </w:rPr>
              <w:t>周抓拍成功率低于97%，周识别成功率低于92%的，每发生一次扣1分。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4</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每周及时修复率不得低于90%。每发生一次口2分。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5</w:t>
            </w:r>
          </w:p>
        </w:tc>
        <w:tc>
          <w:tcPr>
            <w:tcW w:w="5814" w:type="dxa"/>
            <w:gridSpan w:val="3"/>
            <w:vAlign w:val="center"/>
          </w:tcPr>
          <w:p>
            <w:pPr>
              <w:spacing w:line="360" w:lineRule="auto"/>
              <w:rPr>
                <w:rFonts w:ascii="仿宋" w:hAnsi="仿宋" w:eastAsia="仿宋" w:cs="仿宋"/>
                <w:sz w:val="24"/>
              </w:rPr>
            </w:pPr>
            <w:r>
              <w:rPr>
                <w:rFonts w:ascii="仿宋" w:hAnsi="仿宋" w:eastAsia="仿宋" w:cs="仿宋"/>
                <w:sz w:val="24"/>
              </w:rPr>
              <w:t>未</w:t>
            </w:r>
            <w:r>
              <w:rPr>
                <w:rFonts w:hint="eastAsia" w:ascii="仿宋" w:hAnsi="仿宋" w:eastAsia="仿宋" w:cs="仿宋"/>
                <w:sz w:val="24"/>
              </w:rPr>
              <w:t>及时</w:t>
            </w:r>
            <w:r>
              <w:rPr>
                <w:rFonts w:ascii="仿宋" w:hAnsi="仿宋" w:eastAsia="仿宋" w:cs="仿宋"/>
                <w:sz w:val="24"/>
              </w:rPr>
              <w:t>提交</w:t>
            </w:r>
            <w:r>
              <w:rPr>
                <w:rFonts w:hint="eastAsia" w:ascii="仿宋" w:hAnsi="仿宋" w:eastAsia="仿宋" w:cs="仿宋"/>
                <w:sz w:val="24"/>
              </w:rPr>
              <w:t>文档资料的，每发生一次扣1分。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6</w:t>
            </w:r>
          </w:p>
        </w:tc>
        <w:tc>
          <w:tcPr>
            <w:tcW w:w="5814" w:type="dxa"/>
            <w:gridSpan w:val="3"/>
            <w:vAlign w:val="center"/>
          </w:tcPr>
          <w:p>
            <w:pPr>
              <w:snapToGrid w:val="0"/>
              <w:spacing w:line="276" w:lineRule="auto"/>
              <w:rPr>
                <w:rFonts w:ascii="仿宋" w:hAnsi="仿宋" w:eastAsia="仿宋" w:cs="仿宋"/>
                <w:kern w:val="0"/>
                <w:sz w:val="24"/>
              </w:rPr>
            </w:pPr>
            <w:r>
              <w:rPr>
                <w:rFonts w:hint="eastAsia" w:ascii="仿宋" w:hAnsi="仿宋" w:eastAsia="仿宋" w:cs="仿宋"/>
                <w:sz w:val="24"/>
              </w:rPr>
              <w:t>未按要求巡检的，每发生一次，扣3分。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7</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未按要求提供人员、车辆的，每少1辆或少1人的一次扣1分。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8</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未提供7*24小时技术支持的，每发生一次，扣1分；本项最高扣3分。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9</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维修过程中，维修安全未按采购人要求实施的，每发生一次扣2分。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10</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kern w:val="0"/>
                <w:sz w:val="24"/>
              </w:rPr>
              <w:t>出现工作疏漏或差错，对大型会议等保障活动造成影响的，每发生一次扣10分。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11</w:t>
            </w:r>
          </w:p>
        </w:tc>
        <w:tc>
          <w:tcPr>
            <w:tcW w:w="5814" w:type="dxa"/>
            <w:gridSpan w:val="3"/>
            <w:vAlign w:val="center"/>
          </w:tcPr>
          <w:p>
            <w:pPr>
              <w:rPr>
                <w:rFonts w:ascii="仿宋" w:hAnsi="仿宋" w:eastAsia="仿宋" w:cs="仿宋"/>
                <w:kern w:val="0"/>
                <w:sz w:val="24"/>
              </w:rPr>
            </w:pPr>
            <w:r>
              <w:rPr>
                <w:rFonts w:hint="eastAsia" w:ascii="仿宋" w:hAnsi="仿宋" w:eastAsia="仿宋" w:cs="仿宋"/>
                <w:kern w:val="0"/>
                <w:sz w:val="24"/>
              </w:rPr>
              <w:t>未按采购需求保密要求履行的，每发生一次扣5分。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12</w:t>
            </w:r>
          </w:p>
        </w:tc>
        <w:tc>
          <w:tcPr>
            <w:tcW w:w="5814" w:type="dxa"/>
            <w:gridSpan w:val="3"/>
            <w:vAlign w:val="center"/>
          </w:tcPr>
          <w:p>
            <w:pPr>
              <w:widowControl/>
              <w:jc w:val="left"/>
              <w:rPr>
                <w:rFonts w:ascii="仿宋" w:hAnsi="仿宋" w:eastAsia="仿宋" w:cs="仿宋"/>
                <w:kern w:val="0"/>
                <w:sz w:val="24"/>
              </w:rPr>
            </w:pPr>
            <w:r>
              <w:rPr>
                <w:rFonts w:hint="eastAsia" w:ascii="仿宋" w:hAnsi="仿宋" w:eastAsia="仿宋" w:cs="仿宋"/>
                <w:kern w:val="0"/>
                <w:sz w:val="24"/>
              </w:rPr>
              <w:t>未按采购需求组织培训的，每发生一次扣2分。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13</w:t>
            </w:r>
          </w:p>
        </w:tc>
        <w:tc>
          <w:tcPr>
            <w:tcW w:w="5814" w:type="dxa"/>
            <w:gridSpan w:val="3"/>
            <w:vAlign w:val="center"/>
          </w:tcPr>
          <w:p>
            <w:pPr>
              <w:widowControl/>
              <w:jc w:val="left"/>
              <w:rPr>
                <w:rFonts w:ascii="仿宋" w:hAnsi="仿宋" w:eastAsia="仿宋" w:cs="仿宋"/>
                <w:kern w:val="0"/>
                <w:sz w:val="24"/>
              </w:rPr>
            </w:pPr>
            <w:r>
              <w:rPr>
                <w:rFonts w:hint="eastAsia" w:ascii="仿宋" w:hAnsi="仿宋" w:eastAsia="仿宋" w:cs="仿宋"/>
                <w:kern w:val="0"/>
                <w:sz w:val="24"/>
              </w:rPr>
              <w:t>其他工作</w:t>
            </w:r>
            <w:r>
              <w:rPr>
                <w:rFonts w:ascii="仿宋" w:hAnsi="仿宋" w:eastAsia="仿宋" w:cs="仿宋"/>
                <w:kern w:val="0"/>
                <w:sz w:val="24"/>
              </w:rPr>
              <w:t>未满足采购人要求</w:t>
            </w:r>
            <w:r>
              <w:rPr>
                <w:rFonts w:hint="eastAsia" w:ascii="仿宋" w:hAnsi="仿宋" w:eastAsia="仿宋" w:cs="仿宋"/>
                <w:kern w:val="0"/>
                <w:sz w:val="24"/>
              </w:rPr>
              <w:t>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1" w:type="dxa"/>
            <w:gridSpan w:val="4"/>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考核分小计</w:t>
            </w:r>
          </w:p>
        </w:tc>
        <w:tc>
          <w:tcPr>
            <w:tcW w:w="2742" w:type="dxa"/>
            <w:gridSpan w:val="3"/>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3" w:type="dxa"/>
            <w:gridSpan w:val="7"/>
            <w:vAlign w:val="center"/>
          </w:tcPr>
          <w:p>
            <w:pPr>
              <w:autoSpaceDE w:val="0"/>
              <w:autoSpaceDN w:val="0"/>
              <w:snapToGrid w:val="0"/>
              <w:spacing w:line="360" w:lineRule="auto"/>
              <w:rPr>
                <w:rFonts w:ascii="仿宋" w:hAnsi="仿宋" w:eastAsia="仿宋" w:cs="仿宋"/>
                <w:b/>
                <w:sz w:val="24"/>
              </w:rPr>
            </w:pPr>
            <w:r>
              <w:rPr>
                <w:rFonts w:hint="eastAsia" w:ascii="仿宋" w:hAnsi="仿宋" w:eastAsia="仿宋" w:cs="仿宋"/>
                <w:b/>
                <w:sz w:val="24"/>
              </w:rPr>
              <w:t xml:space="preserve">供应商签字（盖章）：                    监理单位签字（盖章）：          </w:t>
            </w:r>
          </w:p>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 xml:space="preserve">采购人经办人、 审核人签字（盖章）： </w:t>
            </w:r>
          </w:p>
          <w:p>
            <w:pPr>
              <w:snapToGrid w:val="0"/>
              <w:spacing w:line="360" w:lineRule="auto"/>
              <w:rPr>
                <w:rFonts w:ascii="仿宋" w:hAnsi="仿宋" w:eastAsia="仿宋" w:cs="仿宋"/>
                <w:b/>
                <w:sz w:val="24"/>
              </w:rPr>
            </w:pPr>
          </w:p>
        </w:tc>
      </w:tr>
    </w:tbl>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cs="仿宋"/>
          <w:b/>
          <w:sz w:val="28"/>
          <w:szCs w:val="28"/>
        </w:rPr>
      </w:pPr>
      <w:r>
        <w:rPr>
          <w:rFonts w:hint="eastAsia" w:ascii="仿宋" w:hAnsi="仿宋" w:eastAsia="仿宋"/>
          <w:b/>
          <w:sz w:val="28"/>
          <w:szCs w:val="28"/>
        </w:rPr>
        <w:t xml:space="preserve">第四部分  </w:t>
      </w:r>
      <w:r>
        <w:rPr>
          <w:rFonts w:hint="eastAsia" w:ascii="仿宋" w:hAnsi="仿宋" w:eastAsia="仿宋" w:cs="仿宋"/>
          <w:b/>
          <w:sz w:val="28"/>
          <w:szCs w:val="28"/>
        </w:rPr>
        <w:t>评标办法</w:t>
      </w:r>
    </w:p>
    <w:tbl>
      <w:tblPr>
        <w:tblStyle w:val="76"/>
        <w:tblpPr w:leftFromText="180" w:rightFromText="180" w:vertAnchor="text" w:horzAnchor="margin" w:tblpXSpec="center" w:tblpY="473"/>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4533"/>
        <w:gridCol w:w="127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4533"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评标标准</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权重</w:t>
            </w:r>
          </w:p>
        </w:tc>
        <w:tc>
          <w:tcPr>
            <w:tcW w:w="1846"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4533" w:type="dxa"/>
            <w:noWrap/>
            <w:vAlign w:val="center"/>
          </w:tcPr>
          <w:p>
            <w:pPr>
              <w:spacing w:line="360" w:lineRule="auto"/>
              <w:rPr>
                <w:rFonts w:ascii="仿宋" w:hAnsi="仿宋" w:eastAsia="仿宋" w:cs="仿宋"/>
                <w:kern w:val="0"/>
                <w:sz w:val="24"/>
              </w:rPr>
            </w:pPr>
            <w:r>
              <w:rPr>
                <w:rFonts w:hint="eastAsia" w:ascii="仿宋" w:hAnsi="仿宋" w:eastAsia="仿宋" w:cs="仿宋"/>
                <w:sz w:val="24"/>
              </w:rPr>
              <w:t>本项目租赁设备：包括声音定位探头（声呐）、摄像机、LED显示屏、主控机，提供设备的品牌型号及技术资料证明完全满足采购需求的得40分，每有1项设备未提供证明资料或证明资料不能体现满足采购需求的扣4分，扣完为止。（证明材料为：设备生产厂家出具的设备技术规格书或对技术参数确认的承诺）</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40分</w:t>
            </w:r>
          </w:p>
        </w:tc>
        <w:tc>
          <w:tcPr>
            <w:tcW w:w="1846" w:type="dxa"/>
            <w:noWrap/>
            <w:vAlign w:val="center"/>
          </w:tcPr>
          <w:p>
            <w:pPr>
              <w:spacing w:line="360" w:lineRule="auto"/>
              <w:rPr>
                <w:rFonts w:ascii="仿宋" w:hAnsi="仿宋" w:eastAsia="仿宋" w:cs="仿宋"/>
                <w:kern w:val="0"/>
                <w:sz w:val="24"/>
              </w:rPr>
            </w:pPr>
            <w:r>
              <w:rPr>
                <w:rFonts w:hint="eastAsia" w:ascii="仿宋" w:hAnsi="仿宋" w:eastAsia="仿宋" w:cs="仿宋"/>
                <w:kern w:val="0"/>
                <w:sz w:val="24"/>
              </w:rPr>
              <w:t>（一）、租赁设备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4533" w:type="dxa"/>
            <w:noWrap/>
            <w:vAlign w:val="center"/>
          </w:tcPr>
          <w:p>
            <w:pPr>
              <w:spacing w:line="360" w:lineRule="auto"/>
              <w:rPr>
                <w:rFonts w:ascii="仿宋" w:hAnsi="仿宋" w:eastAsia="仿宋" w:cs="仿宋"/>
                <w:sz w:val="24"/>
              </w:rPr>
            </w:pPr>
            <w:r>
              <w:rPr>
                <w:rFonts w:hint="eastAsia" w:ascii="仿宋" w:hAnsi="仿宋" w:eastAsia="仿宋" w:cs="仿宋"/>
                <w:sz w:val="24"/>
              </w:rPr>
              <w:t>●承诺</w:t>
            </w:r>
            <w:r>
              <w:rPr>
                <w:rFonts w:hint="eastAsia" w:ascii="仿宋" w:hAnsi="仿宋" w:eastAsia="仿宋" w:cs="仿宋"/>
                <w:bCs/>
                <w:sz w:val="24"/>
              </w:rPr>
              <w:t>周抓拍成功率不得低于97%，周识别成功率不得低于92%，的</w:t>
            </w:r>
            <w:r>
              <w:rPr>
                <w:rFonts w:hint="eastAsia" w:ascii="仿宋" w:hAnsi="仿宋" w:eastAsia="仿宋" w:cs="仿宋"/>
                <w:sz w:val="24"/>
              </w:rPr>
              <w:t>得4分，无承诺函不得分。</w:t>
            </w:r>
          </w:p>
          <w:p>
            <w:pPr>
              <w:spacing w:line="360" w:lineRule="auto"/>
              <w:rPr>
                <w:rFonts w:ascii="仿宋" w:hAnsi="仿宋" w:eastAsia="仿宋" w:cs="仿宋"/>
                <w:sz w:val="24"/>
              </w:rPr>
            </w:pPr>
            <w:r>
              <w:rPr>
                <w:rFonts w:hint="eastAsia" w:ascii="仿宋" w:hAnsi="仿宋" w:eastAsia="仿宋" w:cs="仿宋"/>
                <w:sz w:val="24"/>
              </w:rPr>
              <w:t>●承诺提供7*24小时服务，如果设备在服务期内发生设备故障，供应商应48小时内解决，如无法按时排除故障，需提供备用设备以保障采购人方正常使用。备用设备应与投标设备品牌、型号一致的得4分，无承诺函不得分。</w:t>
            </w:r>
          </w:p>
          <w:p>
            <w:pPr>
              <w:spacing w:line="360" w:lineRule="auto"/>
              <w:rPr>
                <w:rFonts w:ascii="仿宋" w:hAnsi="仿宋" w:eastAsia="仿宋" w:cs="仿宋"/>
                <w:sz w:val="24"/>
              </w:rPr>
            </w:pPr>
            <w:r>
              <w:rPr>
                <w:rFonts w:hint="eastAsia" w:ascii="仿宋" w:hAnsi="仿宋" w:eastAsia="仿宋" w:cs="仿宋"/>
                <w:sz w:val="24"/>
              </w:rPr>
              <w:t>●承诺维修或巡检过程中，地面根据主干道、次干道、支路分别做好100米、50米、30米全方位维护，须有导向车道牌、路锥桶，夜间导向车道牌需为LED导向牌，主次干道应有应急闪光灯的得4分，无承诺函不得分。</w:t>
            </w:r>
          </w:p>
          <w:p>
            <w:pPr>
              <w:spacing w:line="360" w:lineRule="auto"/>
              <w:rPr>
                <w:rFonts w:ascii="仿宋" w:hAnsi="仿宋" w:eastAsia="仿宋" w:cs="仿宋"/>
                <w:sz w:val="24"/>
              </w:rPr>
            </w:pPr>
            <w:r>
              <w:rPr>
                <w:rFonts w:hint="eastAsia" w:ascii="仿宋" w:hAnsi="仿宋" w:eastAsia="仿宋" w:cs="仿宋"/>
                <w:sz w:val="24"/>
              </w:rPr>
              <w:t>●承诺在重要会议和重大活动安保工作期间，供应商人员、车辆、设备保障到位，工作不疏漏或差错，对会议活动不造成影响的得4分，无承诺函不得分。</w:t>
            </w:r>
          </w:p>
          <w:p>
            <w:pPr>
              <w:spacing w:line="360" w:lineRule="auto"/>
              <w:rPr>
                <w:rFonts w:ascii="仿宋" w:hAnsi="仿宋" w:eastAsia="仿宋" w:cs="仿宋"/>
                <w:sz w:val="24"/>
              </w:rPr>
            </w:pPr>
            <w:r>
              <w:rPr>
                <w:rFonts w:hint="eastAsia" w:ascii="仿宋" w:hAnsi="仿宋" w:eastAsia="仿宋" w:cs="仿宋"/>
                <w:sz w:val="24"/>
              </w:rPr>
              <w:t>●承诺对本单位人员进行生产安全教育，保持着装规范，应穿戴印有本单位名称或LOGO的反光衣、高空作业应系安全带、戴好安全帽、穿戴电工胶鞋得2分，无承诺函不得分。</w:t>
            </w:r>
          </w:p>
          <w:p>
            <w:pPr>
              <w:spacing w:line="360" w:lineRule="auto"/>
              <w:rPr>
                <w:rFonts w:ascii="仿宋" w:hAnsi="仿宋" w:eastAsia="仿宋" w:cs="仿宋"/>
                <w:sz w:val="24"/>
              </w:rPr>
            </w:pPr>
            <w:r>
              <w:rPr>
                <w:rFonts w:hint="eastAsia" w:ascii="仿宋" w:hAnsi="仿宋" w:eastAsia="仿宋" w:cs="仿宋"/>
                <w:sz w:val="24"/>
              </w:rPr>
              <w:t>●承诺维护车辆停放和设施摆放要安全规范，不发生影响交通、安全措施到位得2分，无承诺函不得分。</w:t>
            </w:r>
          </w:p>
          <w:p>
            <w:pPr>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承诺</w:t>
            </w:r>
            <w:r>
              <w:rPr>
                <w:rFonts w:hint="eastAsia" w:ascii="仿宋" w:hAnsi="仿宋" w:eastAsia="仿宋" w:cs="仿宋"/>
                <w:sz w:val="24"/>
              </w:rPr>
              <w:t>每周及时修复率不得低于90%得4分，无承诺函不得分。</w:t>
            </w:r>
          </w:p>
          <w:p>
            <w:pPr>
              <w:spacing w:line="360" w:lineRule="auto"/>
              <w:rPr>
                <w:rFonts w:ascii="仿宋" w:hAnsi="仿宋" w:eastAsia="仿宋" w:cs="仿宋"/>
                <w:sz w:val="24"/>
              </w:rPr>
            </w:pPr>
            <w:r>
              <w:rPr>
                <w:rFonts w:hint="eastAsia" w:ascii="仿宋" w:hAnsi="仿宋" w:eastAsia="仿宋" w:cs="仿宋"/>
                <w:sz w:val="24"/>
              </w:rPr>
              <w:t>●承诺培训要求满足采购需求的得2分，无承诺函不得分。</w:t>
            </w:r>
          </w:p>
          <w:p>
            <w:pPr>
              <w:spacing w:line="360" w:lineRule="auto"/>
              <w:rPr>
                <w:rFonts w:ascii="仿宋" w:hAnsi="仿宋" w:eastAsia="仿宋" w:cs="仿宋"/>
                <w:sz w:val="24"/>
              </w:rPr>
            </w:pPr>
            <w:r>
              <w:rPr>
                <w:rFonts w:hint="eastAsia" w:ascii="仿宋" w:hAnsi="仿宋" w:eastAsia="仿宋" w:cs="仿宋"/>
                <w:sz w:val="24"/>
              </w:rPr>
              <w:t>●承诺保密要求满足采购需求的得2分，无承诺函不得分。</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28分</w:t>
            </w:r>
          </w:p>
        </w:tc>
        <w:tc>
          <w:tcPr>
            <w:tcW w:w="1846" w:type="dxa"/>
            <w:noWrap/>
            <w:vAlign w:val="center"/>
          </w:tcPr>
          <w:p>
            <w:pPr>
              <w:spacing w:line="360" w:lineRule="auto"/>
              <w:rPr>
                <w:rFonts w:ascii="仿宋" w:hAnsi="仿宋" w:eastAsia="仿宋" w:cs="仿宋"/>
                <w:kern w:val="0"/>
                <w:sz w:val="24"/>
              </w:rPr>
            </w:pPr>
            <w:r>
              <w:rPr>
                <w:rFonts w:hint="eastAsia" w:ascii="仿宋" w:hAnsi="仿宋" w:eastAsia="仿宋" w:cs="仿宋"/>
                <w:kern w:val="0"/>
                <w:sz w:val="24"/>
              </w:rPr>
              <w:t>（二）、服务承诺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4533" w:type="dxa"/>
            <w:noWrap/>
            <w:vAlign w:val="center"/>
          </w:tcPr>
          <w:p>
            <w:pPr>
              <w:spacing w:line="360" w:lineRule="auto"/>
              <w:rPr>
                <w:rFonts w:ascii="仿宋" w:hAnsi="仿宋" w:eastAsia="仿宋" w:cs="仿宋"/>
                <w:sz w:val="24"/>
              </w:rPr>
            </w:pPr>
            <w:r>
              <w:rPr>
                <w:rFonts w:hint="eastAsia" w:ascii="仿宋" w:hAnsi="仿宋" w:eastAsia="仿宋" w:cs="仿宋"/>
                <w:sz w:val="24"/>
              </w:rPr>
              <w:t>巡检方案包括巡检内容、巡检的登高设备、车辆、巡检的路线、出具巡检报告的时间，满足采购需求的得6分，略有不足的得3分，未提供方案的不得分。</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6分</w:t>
            </w:r>
          </w:p>
        </w:tc>
        <w:tc>
          <w:tcPr>
            <w:tcW w:w="1846"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（三）、巡检方案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4533" w:type="dxa"/>
            <w:noWrap/>
            <w:vAlign w:val="center"/>
          </w:tcPr>
          <w:p>
            <w:pPr>
              <w:spacing w:line="360" w:lineRule="auto"/>
              <w:rPr>
                <w:rFonts w:ascii="仿宋" w:hAnsi="仿宋" w:eastAsia="仿宋" w:cs="仿宋"/>
                <w:sz w:val="24"/>
              </w:rPr>
            </w:pPr>
            <w:r>
              <w:rPr>
                <w:rFonts w:hint="eastAsia" w:ascii="仿宋" w:hAnsi="仿宋" w:eastAsia="仿宋" w:cs="仿宋"/>
                <w:sz w:val="24"/>
              </w:rPr>
              <w:t>●项目负责人具有信息化软硬件运维工作经验的，得2分。（须提供项目合同、业主证明）</w:t>
            </w:r>
          </w:p>
          <w:p>
            <w:pPr>
              <w:spacing w:line="360" w:lineRule="auto"/>
              <w:rPr>
                <w:rFonts w:ascii="仿宋" w:hAnsi="仿宋" w:eastAsia="仿宋" w:cs="仿宋"/>
                <w:sz w:val="24"/>
              </w:rPr>
            </w:pPr>
            <w:r>
              <w:rPr>
                <w:rFonts w:hint="eastAsia" w:ascii="仿宋" w:hAnsi="仿宋" w:eastAsia="仿宋" w:cs="仿宋"/>
                <w:sz w:val="24"/>
              </w:rPr>
              <w:t>●运维技术人员具有信息化软硬件运维工作经验的得2分。（须项目合同、业主证明）</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4分</w:t>
            </w:r>
          </w:p>
        </w:tc>
        <w:tc>
          <w:tcPr>
            <w:tcW w:w="1846"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（四）、人员要求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4533" w:type="dxa"/>
            <w:noWrap/>
            <w:vAlign w:val="center"/>
          </w:tcPr>
          <w:p>
            <w:pPr>
              <w:spacing w:line="360" w:lineRule="auto"/>
              <w:jc w:val="left"/>
              <w:rPr>
                <w:rFonts w:ascii="仿宋" w:hAnsi="仿宋" w:eastAsia="仿宋" w:cs="仿宋"/>
                <w:kern w:val="0"/>
                <w:sz w:val="24"/>
              </w:rPr>
            </w:pPr>
            <w:r>
              <w:rPr>
                <w:rFonts w:hint="eastAsia" w:ascii="仿宋" w:hAnsi="仿宋" w:eastAsia="仿宋" w:cs="仿宋"/>
                <w:kern w:val="0"/>
                <w:sz w:val="24"/>
              </w:rPr>
              <w:t>供应商自2019年1月1日（以合同签订</w:t>
            </w:r>
            <w:r>
              <w:rPr>
                <w:rFonts w:hint="eastAsia" w:ascii="仿宋" w:hAnsi="仿宋" w:eastAsia="仿宋" w:cs="仿宋"/>
                <w:kern w:val="0"/>
                <w:sz w:val="24"/>
                <w:highlight w:val="none"/>
              </w:rPr>
              <w:t>日期为准）以来承担过承担过</w:t>
            </w:r>
            <w:r>
              <w:rPr>
                <w:rFonts w:hint="eastAsia" w:ascii="仿宋" w:hAnsi="仿宋" w:eastAsia="仿宋" w:cs="仿宋"/>
                <w:sz w:val="24"/>
                <w:highlight w:val="none"/>
              </w:rPr>
              <w:t>信息化软、硬件设备维护项目</w:t>
            </w:r>
            <w:r>
              <w:rPr>
                <w:rFonts w:hint="eastAsia" w:ascii="仿宋" w:hAnsi="仿宋" w:eastAsia="仿宋" w:cs="仿宋"/>
                <w:kern w:val="0"/>
                <w:sz w:val="24"/>
                <w:highlight w:val="none"/>
              </w:rPr>
              <w:t>的，每个得1分，本项最高得2分。注：同时提供合同和项目业主对其履约情况的证明材料，否则不得分。</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2分</w:t>
            </w:r>
          </w:p>
        </w:tc>
        <w:tc>
          <w:tcPr>
            <w:tcW w:w="1846"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lang w:val="zh-CN"/>
              </w:rPr>
              <w:t>（</w:t>
            </w:r>
            <w:r>
              <w:rPr>
                <w:rFonts w:hint="eastAsia" w:ascii="仿宋" w:hAnsi="仿宋" w:eastAsia="仿宋" w:cs="仿宋"/>
                <w:kern w:val="0"/>
                <w:sz w:val="24"/>
              </w:rPr>
              <w:t>五</w:t>
            </w:r>
            <w:r>
              <w:rPr>
                <w:rFonts w:hint="eastAsia" w:ascii="仿宋" w:hAnsi="仿宋" w:eastAsia="仿宋" w:cs="仿宋"/>
                <w:kern w:val="0"/>
                <w:sz w:val="24"/>
                <w:lang w:val="zh-CN"/>
              </w:rPr>
              <w:t>）供应商的业绩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4533" w:type="dxa"/>
            <w:noWrap/>
            <w:vAlign w:val="center"/>
          </w:tcPr>
          <w:p>
            <w:pPr>
              <w:spacing w:line="360" w:lineRule="auto"/>
              <w:jc w:val="left"/>
              <w:rPr>
                <w:rFonts w:ascii="仿宋" w:hAnsi="仿宋" w:eastAsia="仿宋" w:cs="仿宋"/>
                <w:kern w:val="0"/>
                <w:sz w:val="24"/>
              </w:rPr>
            </w:pPr>
            <w:r>
              <w:rPr>
                <w:rFonts w:hint="eastAsia" w:ascii="仿宋" w:hAnsi="仿宋" w:eastAsia="仿宋" w:cs="仿宋"/>
                <w:kern w:val="0"/>
                <w:sz w:val="24"/>
              </w:rPr>
              <w:t>有效投标报价的最低价作为评标基准价，其最低报价为满分；按［投标报价得分=（评标基准价/投标报价）*20］的计算公式计算。评标过程中，不得去掉报价中的最高报价和最低报价。</w:t>
            </w:r>
          </w:p>
        </w:tc>
        <w:tc>
          <w:tcPr>
            <w:tcW w:w="1275" w:type="dxa"/>
            <w:noWrap/>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20分</w:t>
            </w:r>
          </w:p>
        </w:tc>
        <w:tc>
          <w:tcPr>
            <w:tcW w:w="1846" w:type="dxa"/>
            <w:noWrap/>
            <w:vAlign w:val="center"/>
          </w:tcPr>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w:t>
            </w:r>
          </w:p>
        </w:tc>
      </w:tr>
    </w:tbl>
    <w:p>
      <w:pPr>
        <w:adjustRightInd w:val="0"/>
        <w:snapToGrid w:val="0"/>
        <w:spacing w:line="360" w:lineRule="auto"/>
        <w:rPr>
          <w:rFonts w:ascii="仿宋" w:hAnsi="仿宋" w:eastAsia="仿宋" w:cs="仿宋_GB2312"/>
          <w:b/>
          <w:sz w:val="24"/>
        </w:rPr>
      </w:pPr>
      <w:r>
        <w:rPr>
          <w:rFonts w:ascii="Calibri" w:hAnsi="Calibri" w:eastAsia="仿宋" w:cs="Calibri"/>
          <w:sz w:val="20"/>
          <w:szCs w:val="20"/>
          <w:shd w:val="clear" w:color="auto" w:fill="FFFFFF"/>
        </w:rPr>
        <w:t> </w:t>
      </w:r>
      <w:r>
        <w:rPr>
          <w:rFonts w:hint="eastAsia" w:ascii="仿宋" w:hAnsi="仿宋" w:eastAsia="仿宋" w:cs="仿宋"/>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p>
      <w:pPr>
        <w:adjustRightInd w:val="0"/>
        <w:snapToGrid w:val="0"/>
        <w:spacing w:line="360" w:lineRule="auto"/>
        <w:ind w:firstLine="138" w:firstLineChars="49"/>
        <w:rPr>
          <w:rFonts w:ascii="仿宋" w:hAnsi="仿宋" w:eastAsia="仿宋"/>
          <w:b/>
          <w:sz w:val="28"/>
          <w:szCs w:val="28"/>
        </w:rPr>
      </w:pPr>
      <w:r>
        <w:rPr>
          <w:rFonts w:hint="eastAsia" w:ascii="仿宋" w:hAnsi="仿宋" w:eastAsia="仿宋" w:cs="仿宋_GB2312"/>
          <w:b/>
          <w:sz w:val="28"/>
          <w:szCs w:val="28"/>
        </w:rPr>
        <w:t>一、评标方法</w:t>
      </w:r>
    </w:p>
    <w:p>
      <w:pPr>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spacing w:line="360" w:lineRule="auto"/>
        <w:rPr>
          <w:rFonts w:ascii="仿宋" w:hAnsi="仿宋" w:eastAsia="仿宋" w:cs="Arial"/>
          <w:kern w:val="0"/>
          <w:sz w:val="28"/>
          <w:szCs w:val="28"/>
        </w:rPr>
      </w:pPr>
      <w:r>
        <w:rPr>
          <w:rFonts w:hint="eastAsia" w:ascii="仿宋" w:hAnsi="仿宋" w:eastAsia="仿宋" w:cs="仿宋_GB2312"/>
          <w:b/>
          <w:sz w:val="28"/>
          <w:szCs w:val="28"/>
        </w:rPr>
        <w:t>二、评标标准</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2.</w:t>
      </w:r>
      <w:r>
        <w:rPr>
          <w:rFonts w:hint="eastAsia" w:ascii="仿宋" w:hAnsi="仿宋" w:eastAsia="仿宋" w:cs="Arial"/>
          <w:b/>
          <w:kern w:val="0"/>
          <w:sz w:val="24"/>
        </w:rPr>
        <w:t>评标标准：</w:t>
      </w:r>
      <w:r>
        <w:rPr>
          <w:rFonts w:hint="eastAsia" w:ascii="仿宋" w:hAnsi="仿宋" w:eastAsia="仿宋" w:cs="Arial"/>
          <w:kern w:val="0"/>
          <w:sz w:val="24"/>
        </w:rPr>
        <w:t>见评标办法前附表。</w:t>
      </w:r>
    </w:p>
    <w:p>
      <w:pPr>
        <w:adjustRightInd w:val="0"/>
        <w:spacing w:line="360" w:lineRule="auto"/>
        <w:outlineLvl w:val="0"/>
        <w:rPr>
          <w:rFonts w:ascii="仿宋" w:hAnsi="仿宋" w:eastAsia="仿宋" w:cs="仿宋_GB2312"/>
          <w:b/>
          <w:sz w:val="28"/>
          <w:szCs w:val="28"/>
        </w:rPr>
      </w:pPr>
      <w:r>
        <w:rPr>
          <w:rFonts w:hint="eastAsia" w:ascii="仿宋" w:hAnsi="仿宋" w:eastAsia="仿宋" w:cs="仿宋_GB2312"/>
          <w:b/>
          <w:sz w:val="28"/>
          <w:szCs w:val="28"/>
        </w:rPr>
        <w:t>三、评标程序</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3.1符合性审查。</w:t>
      </w:r>
      <w:r>
        <w:rPr>
          <w:rFonts w:ascii="仿宋" w:hAnsi="仿宋" w:eastAsia="仿宋" w:cs="Arial"/>
          <w:kern w:val="0"/>
          <w:sz w:val="24"/>
        </w:rPr>
        <w:t>评标委员会应当对符合资格的投标人的投标文件进行符合性审查，以确定其是否满足招标文件的实质性要求。</w:t>
      </w:r>
      <w:r>
        <w:rPr>
          <w:rFonts w:hint="eastAsia" w:ascii="仿宋" w:hAnsi="仿宋" w:eastAsia="仿宋" w:cs="Arial"/>
          <w:kern w:val="0"/>
          <w:sz w:val="24"/>
        </w:rPr>
        <w:t>不</w:t>
      </w:r>
      <w:r>
        <w:rPr>
          <w:rFonts w:ascii="仿宋" w:hAnsi="仿宋" w:eastAsia="仿宋" w:cs="Arial"/>
          <w:kern w:val="0"/>
          <w:sz w:val="24"/>
        </w:rPr>
        <w:t>满足招标文件的实质性要求</w:t>
      </w:r>
      <w:r>
        <w:rPr>
          <w:rFonts w:hint="eastAsia" w:ascii="仿宋" w:hAnsi="仿宋" w:eastAsia="仿宋" w:cs="Arial"/>
          <w:kern w:val="0"/>
          <w:sz w:val="24"/>
        </w:rPr>
        <w:t>的，投标无效。</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 xml:space="preserve">3.2 </w:t>
      </w:r>
      <w:r>
        <w:rPr>
          <w:rFonts w:hint="eastAsia" w:ascii="仿宋" w:hAnsi="仿宋" w:eastAsia="仿宋" w:cs="Arial"/>
          <w:b/>
          <w:kern w:val="0"/>
          <w:sz w:val="24"/>
        </w:rPr>
        <w:t>比较与评价。</w:t>
      </w:r>
      <w:r>
        <w:rPr>
          <w:rFonts w:ascii="仿宋" w:hAnsi="仿宋" w:eastAsia="仿宋" w:cs="Arial"/>
          <w:kern w:val="0"/>
          <w:sz w:val="24"/>
        </w:rPr>
        <w:t>评标委员会应当按照招标文件中规定的评标方法和标准，对符合性审查合格的投标文件进行商务和技术评估，综合比较与评价。</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adjustRightInd w:val="0"/>
        <w:spacing w:line="360" w:lineRule="auto"/>
        <w:ind w:firstLine="472" w:firstLineChars="196"/>
        <w:rPr>
          <w:rFonts w:ascii="仿宋" w:hAnsi="仿宋" w:eastAsia="仿宋" w:cs="Arial"/>
          <w:b/>
          <w:kern w:val="0"/>
          <w:sz w:val="24"/>
        </w:rPr>
      </w:pPr>
      <w:r>
        <w:rPr>
          <w:rFonts w:ascii="仿宋" w:hAnsi="仿宋" w:eastAsia="仿宋" w:cs="Arial"/>
          <w:b/>
          <w:kern w:val="0"/>
          <w:sz w:val="24"/>
        </w:rPr>
        <w:t>3.4报价评审。</w:t>
      </w:r>
    </w:p>
    <w:p>
      <w:pPr>
        <w:adjustRightInd w:val="0"/>
        <w:spacing w:line="360" w:lineRule="auto"/>
        <w:ind w:firstLine="508" w:firstLineChars="212"/>
        <w:rPr>
          <w:rFonts w:ascii="仿宋" w:hAnsi="仿宋" w:eastAsia="仿宋" w:cs="Arial"/>
          <w:kern w:val="0"/>
          <w:sz w:val="24"/>
          <w:szCs w:val="20"/>
        </w:rPr>
      </w:pPr>
      <w:r>
        <w:rPr>
          <w:rFonts w:ascii="仿宋" w:hAnsi="仿宋" w:eastAsia="仿宋" w:cs="Arial"/>
          <w:kern w:val="0"/>
          <w:sz w:val="24"/>
          <w:szCs w:val="20"/>
        </w:rPr>
        <w:t>3.4.1投标文件报价出现前后不一致的，按照下列规定修正：</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3.4.1.1投标文件中开标一览表(报价表)内容与投标文件中相应内容不一致的，以开标一览表(报价表)为准;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3.4.1.2大写金额和小写金额不一致的，以大写金额为准;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3.4.1.3单价金额小数点或者百分比有明显错位的，以开标一览表的总价为准，并修改单价;</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3.4.1.4总价金额与按单价汇总金额不一致的，以单价金额计算结果为准。</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3.4.1.5同时出现两种以上不一致的，按照3.4.1</w:t>
      </w:r>
      <w:r>
        <w:rPr>
          <w:rFonts w:hint="eastAsia" w:ascii="仿宋" w:hAnsi="仿宋" w:eastAsia="仿宋" w:cs="仿宋"/>
          <w:kern w:val="0"/>
          <w:sz w:val="24"/>
        </w:rPr>
        <w:t>规定的顺序修正。修正后的报价按照财政部第</w:t>
      </w:r>
      <w:r>
        <w:rPr>
          <w:rFonts w:ascii="仿宋" w:hAnsi="仿宋" w:eastAsia="仿宋" w:cs="仿宋"/>
          <w:kern w:val="0"/>
          <w:sz w:val="24"/>
        </w:rPr>
        <w:t xml:space="preserve">87号令 </w:t>
      </w:r>
      <w:r>
        <w:rPr>
          <w:rFonts w:hint="eastAsia" w:ascii="仿宋" w:hAnsi="仿宋" w:eastAsia="仿宋" w:cs="仿宋"/>
          <w:kern w:val="0"/>
          <w:sz w:val="24"/>
        </w:rPr>
        <w:t>《政府采购货物和服务招标投标管理办法》第五十一条第二款的规定经投标人确认后产生约束力。</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adjustRightInd w:val="0"/>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adjustRightInd w:val="0"/>
        <w:spacing w:line="360" w:lineRule="auto"/>
        <w:ind w:firstLine="480" w:firstLineChars="200"/>
        <w:rPr>
          <w:rFonts w:ascii="仿宋" w:hAnsi="仿宋" w:eastAsia="仿宋" w:cs="仿宋"/>
          <w:kern w:val="0"/>
          <w:sz w:val="24"/>
        </w:rPr>
      </w:pPr>
      <w:r>
        <w:rPr>
          <w:rFonts w:ascii="仿宋" w:hAnsi="仿宋" w:eastAsia="仿宋" w:cs="仿宋"/>
          <w:kern w:val="0"/>
          <w:sz w:val="24"/>
        </w:rPr>
        <w:t>3.4.4</w:t>
      </w:r>
      <w:r>
        <w:rPr>
          <w:rFonts w:hint="eastAsia" w:ascii="仿宋" w:hAnsi="仿宋" w:eastAsia="仿宋" w:cs="仿宋"/>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 w:val="24"/>
        </w:rPr>
        <w:t>;投标人不能证明其报价合理性的，评标委员会应当将其作为无效投标处理。</w:t>
      </w:r>
    </w:p>
    <w:p>
      <w:pPr>
        <w:adjustRightInd w:val="0"/>
        <w:spacing w:line="360" w:lineRule="auto"/>
        <w:ind w:firstLine="482" w:firstLineChars="200"/>
        <w:rPr>
          <w:rFonts w:ascii="仿宋" w:hAnsi="仿宋" w:eastAsia="仿宋" w:cs="Arial"/>
          <w:kern w:val="0"/>
          <w:sz w:val="24"/>
        </w:rPr>
      </w:pPr>
      <w:r>
        <w:rPr>
          <w:rFonts w:ascii="仿宋" w:hAnsi="仿宋" w:eastAsia="仿宋" w:cs="Arial"/>
          <w:b/>
          <w:kern w:val="0"/>
          <w:sz w:val="24"/>
        </w:rPr>
        <w:t>3.5</w:t>
      </w:r>
      <w:r>
        <w:rPr>
          <w:rFonts w:hint="eastAsia" w:ascii="仿宋" w:hAnsi="仿宋" w:eastAsia="仿宋" w:cs="Arial"/>
          <w:b/>
          <w:kern w:val="0"/>
          <w:sz w:val="24"/>
        </w:rPr>
        <w:t>排序与推荐。</w:t>
      </w:r>
      <w:r>
        <w:rPr>
          <w:rFonts w:ascii="仿宋" w:hAnsi="仿宋" w:eastAsia="仿宋"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 w:val="24"/>
        </w:rPr>
        <w:t>。</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3.6编写评标报告。</w:t>
      </w:r>
      <w:r>
        <w:rPr>
          <w:rFonts w:ascii="仿宋" w:hAnsi="仿宋" w:eastAsia="仿宋" w:cs="Arial"/>
          <w:kern w:val="0"/>
          <w:sz w:val="24"/>
        </w:rPr>
        <w:t>评标委员会根据全体评标成员签字的原始评标记录和评标结果编写评标报告。</w:t>
      </w:r>
      <w:r>
        <w:rPr>
          <w:rFonts w:hint="eastAsia" w:ascii="仿宋" w:hAnsi="仿宋" w:eastAsia="仿宋"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仿宋" w:hAnsi="仿宋" w:eastAsia="仿宋" w:cs="仿宋_GB2312"/>
          <w:b/>
          <w:sz w:val="32"/>
        </w:rPr>
      </w:pPr>
      <w:r>
        <w:rPr>
          <w:rFonts w:hint="eastAsia" w:ascii="仿宋" w:hAnsi="仿宋" w:eastAsia="仿宋" w:cs="仿宋_GB2312"/>
          <w:b/>
          <w:sz w:val="32"/>
        </w:rPr>
        <w:t>四、评标中的其他事项</w:t>
      </w:r>
    </w:p>
    <w:p>
      <w:pPr>
        <w:adjustRightInd w:val="0"/>
        <w:spacing w:line="360" w:lineRule="auto"/>
        <w:ind w:firstLine="472" w:firstLineChars="196"/>
        <w:rPr>
          <w:rFonts w:ascii="仿宋" w:hAnsi="仿宋" w:eastAsia="仿宋" w:cs="Arial"/>
          <w:kern w:val="0"/>
          <w:sz w:val="24"/>
        </w:rPr>
      </w:pPr>
      <w:r>
        <w:rPr>
          <w:rFonts w:ascii="仿宋" w:hAnsi="仿宋" w:eastAsia="仿宋" w:cs="Arial"/>
          <w:b/>
          <w:kern w:val="0"/>
          <w:sz w:val="24"/>
        </w:rPr>
        <w:t>4.1</w:t>
      </w:r>
      <w:r>
        <w:rPr>
          <w:rFonts w:hint="eastAsia" w:ascii="仿宋" w:hAnsi="仿宋" w:eastAsia="仿宋" w:cs="Arial"/>
          <w:b/>
          <w:kern w:val="0"/>
          <w:sz w:val="24"/>
        </w:rPr>
        <w:t>投标人澄清、说明或者补正。</w:t>
      </w:r>
      <w:r>
        <w:rPr>
          <w:rFonts w:hint="eastAsia" w:ascii="仿宋" w:hAnsi="仿宋" w:eastAsia="仿宋" w:cs="Arial"/>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pacing w:line="360" w:lineRule="auto"/>
        <w:ind w:left="954" w:leftChars="226" w:hanging="479"/>
        <w:rPr>
          <w:rFonts w:ascii="仿宋" w:hAnsi="仿宋" w:eastAsia="仿宋" w:cs="仿宋_GB2312"/>
          <w:sz w:val="24"/>
          <w:szCs w:val="21"/>
        </w:rPr>
      </w:pPr>
      <w:r>
        <w:rPr>
          <w:rFonts w:ascii="仿宋" w:hAnsi="仿宋" w:eastAsia="仿宋" w:cs="Arial"/>
          <w:b/>
          <w:kern w:val="0"/>
          <w:sz w:val="24"/>
        </w:rPr>
        <w:t>4.2投标无效。</w:t>
      </w:r>
      <w:r>
        <w:rPr>
          <w:rFonts w:hint="eastAsia" w:ascii="仿宋" w:hAnsi="仿宋" w:eastAsia="仿宋" w:cs="仿宋_GB2312"/>
          <w:sz w:val="24"/>
          <w:szCs w:val="21"/>
        </w:rPr>
        <w:t>有下列情况之一的，投标无效：</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4.2.1投标人不具备招标文件中规定的资格要求的（投标人未提供有效的资格文件的，视为投标人不具备招标文件中规定的资格要求）；</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4.2.2投标文件未按照招标文件要求签署、盖章的；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3</w:t>
      </w:r>
      <w:r>
        <w:rPr>
          <w:rFonts w:ascii="仿宋" w:hAnsi="仿宋" w:eastAsia="仿宋" w:cs="Arial"/>
          <w:kern w:val="0"/>
          <w:sz w:val="24"/>
        </w:rPr>
        <w:t>投标文件含有采购人不能接受的附加条件的；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4</w:t>
      </w:r>
      <w:r>
        <w:rPr>
          <w:rFonts w:ascii="仿宋" w:hAnsi="仿宋" w:eastAsia="仿宋" w:cs="Arial"/>
          <w:kern w:val="0"/>
          <w:sz w:val="24"/>
        </w:rPr>
        <w:t>投标文件中承诺的投标有效期少于招标文件中载明的投标有效期的；</w:t>
      </w:r>
    </w:p>
    <w:p>
      <w:pPr>
        <w:adjustRightInd w:val="0"/>
        <w:snapToGrid w:val="0"/>
        <w:spacing w:line="360" w:lineRule="auto"/>
        <w:ind w:firstLine="480" w:firstLineChars="200"/>
        <w:jc w:val="left"/>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5</w:t>
      </w:r>
      <w:r>
        <w:rPr>
          <w:rFonts w:ascii="仿宋" w:hAnsi="仿宋" w:eastAsia="仿宋" w:cs="Arial"/>
          <w:kern w:val="0"/>
          <w:sz w:val="24"/>
        </w:rPr>
        <w:t>投标文件出现不是唯一的、有选择性投标报价的;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6</w:t>
      </w:r>
      <w:r>
        <w:rPr>
          <w:rFonts w:ascii="仿宋" w:hAnsi="仿宋" w:eastAsia="仿宋" w:cs="Arial"/>
          <w:kern w:val="0"/>
          <w:sz w:val="24"/>
        </w:rPr>
        <w:t>投标报价超过招标文件中规定的预算金额或者最高限价的;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7</w:t>
      </w:r>
      <w:r>
        <w:rPr>
          <w:rFonts w:ascii="仿宋" w:hAnsi="仿宋" w:eastAsia="仿宋" w:cs="Arial"/>
          <w:kern w:val="0"/>
          <w:sz w:val="24"/>
        </w:rPr>
        <w:t>报价明显低于其他通过符合性审查投标人的报价，有可能影响产品质量或者不能诚信履约的，未能按要求提供书面说明或者提交相关证明材料，不能证明其报价合理性的;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8</w:t>
      </w:r>
      <w:r>
        <w:rPr>
          <w:rFonts w:ascii="仿宋" w:hAnsi="仿宋" w:eastAsia="仿宋" w:cs="Arial"/>
          <w:kern w:val="0"/>
          <w:sz w:val="24"/>
        </w:rPr>
        <w:t>投标人对根据修正原则修正后的报价不确认的；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w:t>
      </w:r>
      <w:r>
        <w:rPr>
          <w:rFonts w:hint="eastAsia" w:ascii="仿宋" w:hAnsi="仿宋" w:eastAsia="仿宋" w:cs="Arial"/>
          <w:kern w:val="0"/>
          <w:sz w:val="24"/>
        </w:rPr>
        <w:t>9</w:t>
      </w:r>
      <w:r>
        <w:rPr>
          <w:rFonts w:ascii="仿宋" w:hAnsi="仿宋" w:eastAsia="仿宋" w:cs="Arial"/>
          <w:kern w:val="0"/>
          <w:sz w:val="24"/>
        </w:rPr>
        <w:t>投标人提供虚假材料投标的；</w:t>
      </w:r>
    </w:p>
    <w:p>
      <w:pPr>
        <w:adjustRightInd w:val="0"/>
        <w:spacing w:line="360" w:lineRule="auto"/>
        <w:ind w:firstLine="240" w:firstLineChars="100"/>
        <w:rPr>
          <w:rFonts w:ascii="仿宋" w:hAnsi="仿宋" w:eastAsia="仿宋" w:cs="Arial"/>
          <w:kern w:val="0"/>
          <w:sz w:val="24"/>
        </w:rPr>
      </w:pPr>
      <w:r>
        <w:rPr>
          <w:rFonts w:ascii="仿宋" w:hAnsi="仿宋" w:eastAsia="仿宋" w:cs="Arial"/>
          <w:kern w:val="0"/>
          <w:sz w:val="24"/>
        </w:rPr>
        <w:t xml:space="preserve">  4.2.1</w:t>
      </w:r>
      <w:r>
        <w:rPr>
          <w:rFonts w:hint="eastAsia" w:ascii="仿宋" w:hAnsi="仿宋" w:eastAsia="仿宋" w:cs="Arial"/>
          <w:kern w:val="0"/>
          <w:sz w:val="24"/>
        </w:rPr>
        <w:t>0</w:t>
      </w:r>
      <w:r>
        <w:rPr>
          <w:rFonts w:ascii="仿宋" w:hAnsi="仿宋" w:eastAsia="仿宋" w:cs="Arial"/>
          <w:kern w:val="0"/>
          <w:sz w:val="24"/>
        </w:rPr>
        <w:t>投标人有恶意串通、妨碍其他投标人的竞争行为、损害采购人或者其他投标人的合法权益情形的；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1</w:t>
      </w:r>
      <w:r>
        <w:rPr>
          <w:rFonts w:ascii="仿宋" w:hAnsi="仿宋" w:eastAsia="仿宋" w:cs="Arial"/>
          <w:kern w:val="0"/>
          <w:sz w:val="24"/>
        </w:rPr>
        <w:t>投标人仅提交备份投标文件，没有在电子交易平台传输递交投标文件的，投标无效；</w:t>
      </w:r>
    </w:p>
    <w:p>
      <w:pPr>
        <w:keepNext/>
        <w:keepLines/>
        <w:tabs>
          <w:tab w:val="left" w:pos="432"/>
        </w:tabs>
        <w:spacing w:line="360" w:lineRule="auto"/>
        <w:ind w:left="430"/>
        <w:jc w:val="left"/>
        <w:outlineLvl w:val="1"/>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2投标文件不满足招标文件的其它实质性要求的；</w:t>
      </w:r>
    </w:p>
    <w:p>
      <w:pPr>
        <w:adjustRightInd w:val="0"/>
        <w:spacing w:line="360" w:lineRule="auto"/>
        <w:ind w:firstLine="480" w:firstLineChars="200"/>
        <w:rPr>
          <w:rFonts w:ascii="仿宋" w:hAnsi="仿宋" w:eastAsia="仿宋" w:cs="Arial"/>
          <w:kern w:val="0"/>
          <w:sz w:val="24"/>
        </w:rPr>
      </w:pPr>
      <w:r>
        <w:rPr>
          <w:rFonts w:ascii="仿宋" w:hAnsi="仿宋" w:eastAsia="仿宋" w:cs="Arial"/>
          <w:kern w:val="0"/>
          <w:sz w:val="24"/>
        </w:rPr>
        <w:t>4.2.1</w:t>
      </w:r>
      <w:r>
        <w:rPr>
          <w:rFonts w:hint="eastAsia" w:ascii="仿宋" w:hAnsi="仿宋" w:eastAsia="仿宋" w:cs="Arial"/>
          <w:kern w:val="0"/>
          <w:sz w:val="24"/>
        </w:rPr>
        <w:t>3</w:t>
      </w:r>
      <w:r>
        <w:rPr>
          <w:rFonts w:ascii="仿宋" w:hAnsi="仿宋" w:eastAsia="仿宋" w:cs="Arial"/>
          <w:kern w:val="0"/>
          <w:sz w:val="24"/>
        </w:rPr>
        <w:t>法律、法规、规章（适用本市的）及省级以上规范性文件（适用本市的）规定的其他无效情形。</w:t>
      </w:r>
    </w:p>
    <w:p>
      <w:pPr>
        <w:adjustRightInd w:val="0"/>
        <w:snapToGrid w:val="0"/>
        <w:spacing w:line="360" w:lineRule="auto"/>
        <w:ind w:firstLine="472" w:firstLineChars="196"/>
        <w:rPr>
          <w:rFonts w:ascii="仿宋" w:hAnsi="仿宋" w:eastAsia="仿宋" w:cs="仿宋_GB2312"/>
          <w:sz w:val="24"/>
        </w:rPr>
      </w:pPr>
      <w:r>
        <w:rPr>
          <w:rFonts w:ascii="仿宋" w:hAnsi="仿宋" w:eastAsia="仿宋" w:cs="仿宋_GB2312"/>
          <w:b/>
          <w:sz w:val="24"/>
        </w:rPr>
        <w:t>5.废标。</w:t>
      </w:r>
      <w:r>
        <w:rPr>
          <w:rFonts w:hint="eastAsia" w:ascii="仿宋" w:hAnsi="仿宋" w:eastAsia="仿宋" w:cs="仿宋_GB2312"/>
          <w:sz w:val="24"/>
        </w:rPr>
        <w:t>根据《中华人民共和国政府采购法》第三十六条之规定，在采购中，出现下列情形之一的，应予废标：</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5.1符合专业条件的供应商或者对招标文件作实质响应的供应商不足3家的；</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5.2出现影响采购公正的违法、违规行为的；</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5.3投标人的报价均超过了采购预算，采购人不能支付的；</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5.4因重大变故，采购任务取消的。</w:t>
      </w:r>
    </w:p>
    <w:p>
      <w:pPr>
        <w:adjustRightInd w:val="0"/>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废标后，采购机构应当将废标理由通知所有投标人。</w:t>
      </w:r>
    </w:p>
    <w:p>
      <w:pPr>
        <w:adjustRightInd w:val="0"/>
        <w:snapToGrid w:val="0"/>
        <w:spacing w:line="360" w:lineRule="auto"/>
        <w:ind w:firstLine="590" w:firstLineChars="245"/>
        <w:rPr>
          <w:rFonts w:ascii="仿宋" w:hAnsi="仿宋" w:eastAsia="仿宋" w:cs="仿宋_GB2312"/>
          <w:sz w:val="24"/>
        </w:rPr>
      </w:pPr>
      <w:r>
        <w:rPr>
          <w:rFonts w:ascii="仿宋" w:hAnsi="仿宋" w:eastAsia="仿宋" w:cs="仿宋_GB2312"/>
          <w:b/>
          <w:sz w:val="24"/>
        </w:rPr>
        <w:t>6.修改招标文件，重新组织采购活动。</w:t>
      </w:r>
      <w:r>
        <w:rPr>
          <w:rFonts w:hint="eastAsia" w:ascii="仿宋" w:hAnsi="仿宋" w:eastAsia="仿宋" w:cs="仿宋_GB2312"/>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adjustRightInd w:val="0"/>
        <w:snapToGrid w:val="0"/>
        <w:spacing w:line="360" w:lineRule="auto"/>
        <w:ind w:firstLine="590" w:firstLineChars="245"/>
        <w:rPr>
          <w:rFonts w:ascii="仿宋" w:hAnsi="仿宋" w:eastAsia="仿宋" w:cs="仿宋_GB2312"/>
          <w:sz w:val="24"/>
        </w:rPr>
      </w:pPr>
      <w:r>
        <w:rPr>
          <w:rFonts w:hint="eastAsia" w:ascii="仿宋" w:hAnsi="仿宋" w:eastAsia="仿宋" w:cs="Helvetica"/>
          <w:b/>
          <w:kern w:val="0"/>
          <w:sz w:val="24"/>
        </w:rPr>
        <w:t>7.重新开展采购。</w:t>
      </w:r>
      <w:r>
        <w:rPr>
          <w:rFonts w:hint="eastAsia" w:ascii="仿宋" w:hAnsi="仿宋" w:eastAsia="仿宋" w:cs="仿宋_GB2312"/>
          <w:sz w:val="24"/>
        </w:rPr>
        <w:t>有政府采购法第七十一条、第七十二条规定的违法行为之一，影响或者可能影响中标、成交结果的，依照下列规定处理：</w:t>
      </w:r>
    </w:p>
    <w:p>
      <w:pPr>
        <w:adjustRightInd w:val="0"/>
        <w:snapToGrid w:val="0"/>
        <w:spacing w:line="360" w:lineRule="auto"/>
        <w:ind w:firstLine="600" w:firstLineChars="250"/>
        <w:rPr>
          <w:rFonts w:ascii="仿宋" w:hAnsi="仿宋" w:eastAsia="仿宋" w:cs="仿宋_GB2312"/>
          <w:sz w:val="24"/>
        </w:rPr>
      </w:pPr>
      <w:r>
        <w:rPr>
          <w:rFonts w:ascii="仿宋" w:hAnsi="仿宋" w:eastAsia="仿宋" w:cs="仿宋_GB2312"/>
          <w:sz w:val="24"/>
        </w:rPr>
        <w:t>7.1未确定中标或者中标人的，终止本次政府采购活动，重新开展政府采购</w:t>
      </w:r>
      <w:r>
        <w:rPr>
          <w:rFonts w:hint="eastAsia" w:ascii="仿宋" w:hAnsi="仿宋" w:eastAsia="仿宋" w:cs="仿宋_GB2312"/>
          <w:sz w:val="24"/>
        </w:rPr>
        <w:t>活动。</w:t>
      </w:r>
    </w:p>
    <w:p>
      <w:pPr>
        <w:adjustRightInd w:val="0"/>
        <w:snapToGrid w:val="0"/>
        <w:spacing w:line="360" w:lineRule="auto"/>
        <w:ind w:firstLine="600" w:firstLineChars="250"/>
        <w:rPr>
          <w:rFonts w:ascii="仿宋" w:hAnsi="仿宋" w:eastAsia="仿宋" w:cs="仿宋_GB2312"/>
          <w:sz w:val="24"/>
        </w:rPr>
      </w:pPr>
      <w:r>
        <w:rPr>
          <w:rFonts w:ascii="仿宋" w:hAnsi="仿宋" w:eastAsia="仿宋" w:cs="仿宋_GB2312"/>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adjustRightInd w:val="0"/>
        <w:snapToGrid w:val="0"/>
        <w:spacing w:line="360" w:lineRule="auto"/>
        <w:ind w:firstLine="600" w:firstLineChars="250"/>
        <w:rPr>
          <w:rFonts w:ascii="仿宋" w:hAnsi="仿宋" w:eastAsia="仿宋" w:cs="仿宋_GB2312"/>
          <w:sz w:val="24"/>
        </w:rPr>
      </w:pPr>
      <w:r>
        <w:rPr>
          <w:rFonts w:ascii="仿宋" w:hAnsi="仿宋" w:eastAsia="仿宋" w:cs="仿宋_GB2312"/>
          <w:sz w:val="24"/>
        </w:rPr>
        <w:t>7.3政府采购合同已签订但尚未履行的，撤销合同，从合格的中标或者成交候选人中另行确定中标或者中标人；没有合格的中标或者成交候选人的，重新开展政府采购活动。</w:t>
      </w:r>
    </w:p>
    <w:p>
      <w:pPr>
        <w:adjustRightInd w:val="0"/>
        <w:snapToGrid w:val="0"/>
        <w:spacing w:line="360" w:lineRule="auto"/>
        <w:ind w:firstLine="480" w:firstLineChars="200"/>
        <w:rPr>
          <w:rFonts w:ascii="仿宋" w:hAnsi="仿宋" w:eastAsia="仿宋" w:cs="仿宋_GB2312"/>
          <w:sz w:val="24"/>
        </w:rPr>
      </w:pPr>
      <w:r>
        <w:rPr>
          <w:rFonts w:ascii="仿宋" w:hAnsi="仿宋" w:eastAsia="仿宋" w:cs="仿宋_GB2312"/>
          <w:sz w:val="24"/>
        </w:rPr>
        <w:t>7.4政府采购合同已经履行，给采购人、供应</w:t>
      </w:r>
      <w:r>
        <w:rPr>
          <w:rFonts w:hint="eastAsia" w:ascii="仿宋" w:hAnsi="仿宋" w:eastAsia="仿宋" w:cs="仿宋_GB2312"/>
          <w:sz w:val="24"/>
        </w:rPr>
        <w:t>商造成损失的，由责任人承担赔偿责任。</w:t>
      </w:r>
    </w:p>
    <w:p>
      <w:pPr>
        <w:adjustRightInd w:val="0"/>
        <w:snapToGrid w:val="0"/>
        <w:spacing w:line="360" w:lineRule="auto"/>
        <w:ind w:firstLine="480" w:firstLineChars="200"/>
        <w:rPr>
          <w:rFonts w:ascii="仿宋" w:hAnsi="仿宋" w:eastAsia="仿宋"/>
          <w:b/>
          <w:sz w:val="28"/>
          <w:szCs w:val="28"/>
        </w:rPr>
      </w:pPr>
      <w:r>
        <w:rPr>
          <w:rFonts w:ascii="仿宋" w:hAnsi="仿宋" w:eastAsia="仿宋" w:cs="仿宋_GB2312"/>
          <w:sz w:val="24"/>
        </w:rPr>
        <w:t>7.5政府采购当事人有其他违反政府采购</w:t>
      </w:r>
      <w:r>
        <w:rPr>
          <w:rFonts w:hint="eastAsia" w:ascii="仿宋" w:hAnsi="仿宋" w:eastAsia="仿宋" w:cs="仿宋_GB2312"/>
          <w:sz w:val="24"/>
        </w:rPr>
        <w:t>法</w:t>
      </w:r>
      <w:r>
        <w:rPr>
          <w:rFonts w:hint="eastAsia" w:ascii="仿宋" w:hAnsi="仿宋" w:eastAsia="仿宋" w:cs="Arial"/>
          <w:kern w:val="0"/>
          <w:sz w:val="24"/>
        </w:rPr>
        <w:t>或者政府采购法实施条例等法律法规规定</w:t>
      </w:r>
      <w:r>
        <w:rPr>
          <w:rFonts w:hint="eastAsia" w:ascii="仿宋" w:hAnsi="仿宋" w:eastAsia="仿宋" w:cs="仿宋_GB2312"/>
          <w:sz w:val="24"/>
        </w:rPr>
        <w:t>的行为，经改正后仍然影响或者可能影响中标、成交结果或者依法被认定为中标、成交无效的，依照</w:t>
      </w:r>
      <w:r>
        <w:rPr>
          <w:rFonts w:ascii="仿宋" w:hAnsi="仿宋" w:eastAsia="仿宋" w:cs="仿宋_GB2312"/>
          <w:sz w:val="24"/>
        </w:rPr>
        <w:t>7.1-7.4规定处理。</w:t>
      </w:r>
    </w:p>
    <w:bookmarkEnd w:id="43"/>
    <w:p>
      <w:pPr>
        <w:pStyle w:val="308"/>
        <w:ind w:firstLine="0" w:firstLineChars="0"/>
        <w:jc w:val="center"/>
        <w:rPr>
          <w:rFonts w:ascii="仿宋" w:hAnsi="仿宋" w:eastAsia="仿宋"/>
          <w:b/>
          <w:sz w:val="28"/>
          <w:szCs w:val="28"/>
        </w:rPr>
      </w:pPr>
      <w:bookmarkStart w:id="76" w:name="_Toc33194402"/>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b/>
          <w:sz w:val="28"/>
          <w:szCs w:val="28"/>
        </w:rPr>
      </w:pPr>
    </w:p>
    <w:p>
      <w:pPr>
        <w:pStyle w:val="308"/>
        <w:ind w:firstLine="0" w:firstLineChars="0"/>
        <w:jc w:val="center"/>
        <w:rPr>
          <w:rFonts w:ascii="仿宋" w:hAnsi="仿宋" w:eastAsia="仿宋" w:cs="仿宋"/>
          <w:b/>
          <w:sz w:val="28"/>
          <w:szCs w:val="28"/>
        </w:rPr>
      </w:pPr>
      <w:r>
        <w:rPr>
          <w:rFonts w:hint="eastAsia" w:ascii="仿宋" w:hAnsi="仿宋" w:eastAsia="仿宋"/>
          <w:b/>
          <w:sz w:val="28"/>
          <w:szCs w:val="28"/>
        </w:rPr>
        <w:t>第五部分</w:t>
      </w:r>
      <w:r>
        <w:rPr>
          <w:rFonts w:hint="eastAsia" w:ascii="仿宋" w:hAnsi="仿宋" w:eastAsia="仿宋" w:cs="仿宋"/>
          <w:b/>
          <w:sz w:val="28"/>
          <w:szCs w:val="28"/>
        </w:rPr>
        <w:t>拟签订的合同文本</w:t>
      </w:r>
    </w:p>
    <w:p>
      <w:pPr>
        <w:adjustRightInd w:val="0"/>
        <w:rPr>
          <w:rFonts w:ascii="仿宋" w:hAnsi="仿宋" w:eastAsia="仿宋"/>
          <w:sz w:val="24"/>
          <w:u w:val="single"/>
        </w:rPr>
      </w:pPr>
      <w:r>
        <w:rPr>
          <w:rFonts w:hint="eastAsia" w:ascii="仿宋" w:hAnsi="仿宋" w:eastAsia="仿宋"/>
          <w:sz w:val="24"/>
        </w:rPr>
        <w:t>合同编号：</w:t>
      </w:r>
    </w:p>
    <w:p>
      <w:pPr>
        <w:adjustRightInd w:val="0"/>
        <w:spacing w:line="480" w:lineRule="auto"/>
        <w:jc w:val="center"/>
        <w:rPr>
          <w:rFonts w:ascii="仿宋" w:hAnsi="仿宋" w:eastAsia="仿宋"/>
          <w:b/>
          <w:sz w:val="28"/>
          <w:szCs w:val="28"/>
        </w:rPr>
      </w:pPr>
    </w:p>
    <w:p>
      <w:pPr>
        <w:autoSpaceDE w:val="0"/>
        <w:autoSpaceDN w:val="0"/>
        <w:adjustRightInd w:val="0"/>
        <w:snapToGrid w:val="0"/>
        <w:spacing w:after="120" w:line="360" w:lineRule="auto"/>
        <w:ind w:left="420" w:leftChars="200" w:firstLine="480" w:firstLineChars="200"/>
        <w:jc w:val="center"/>
        <w:rPr>
          <w:rFonts w:ascii="仿宋" w:hAnsi="仿宋" w:eastAsia="仿宋"/>
          <w:sz w:val="24"/>
        </w:rPr>
      </w:pPr>
    </w:p>
    <w:p>
      <w:pPr>
        <w:autoSpaceDE w:val="0"/>
        <w:autoSpaceDN w:val="0"/>
        <w:adjustRightInd w:val="0"/>
        <w:snapToGrid w:val="0"/>
        <w:spacing w:after="120" w:line="360" w:lineRule="auto"/>
        <w:jc w:val="center"/>
        <w:rPr>
          <w:rFonts w:ascii="仿宋" w:hAnsi="仿宋" w:eastAsia="仿宋"/>
          <w:b/>
          <w:sz w:val="28"/>
          <w:szCs w:val="28"/>
        </w:rPr>
      </w:pPr>
      <w:r>
        <w:rPr>
          <w:rFonts w:hint="eastAsia" w:ascii="仿宋" w:hAnsi="仿宋" w:eastAsia="仿宋"/>
          <w:b/>
          <w:sz w:val="28"/>
          <w:szCs w:val="28"/>
        </w:rPr>
        <w:t>第一部分合同书</w:t>
      </w:r>
    </w:p>
    <w:p>
      <w:pPr>
        <w:autoSpaceDE w:val="0"/>
        <w:autoSpaceDN w:val="0"/>
        <w:adjustRightInd w:val="0"/>
        <w:snapToGrid w:val="0"/>
        <w:spacing w:after="120" w:line="360" w:lineRule="auto"/>
        <w:ind w:left="420" w:leftChars="200" w:firstLine="480" w:firstLineChars="200"/>
        <w:rPr>
          <w:rFonts w:ascii="仿宋" w:hAnsi="仿宋" w:eastAsia="仿宋"/>
          <w:sz w:val="24"/>
        </w:rPr>
      </w:pPr>
    </w:p>
    <w:p>
      <w:pPr>
        <w:autoSpaceDE w:val="0"/>
        <w:autoSpaceDN w:val="0"/>
        <w:adjustRightInd w:val="0"/>
        <w:snapToGrid w:val="0"/>
        <w:spacing w:after="120" w:line="360" w:lineRule="auto"/>
        <w:ind w:left="420" w:leftChars="200" w:firstLine="560" w:firstLineChars="200"/>
        <w:rPr>
          <w:rFonts w:ascii="仿宋" w:hAnsi="仿宋" w:eastAsia="仿宋"/>
          <w:sz w:val="28"/>
          <w:szCs w:val="28"/>
        </w:rPr>
      </w:pPr>
    </w:p>
    <w:p>
      <w:pPr>
        <w:adjustRightInd w:val="0"/>
        <w:spacing w:before="120" w:line="22" w:lineRule="atLeast"/>
        <w:rPr>
          <w:rFonts w:ascii="仿宋" w:hAnsi="仿宋" w:eastAsia="仿宋"/>
          <w:sz w:val="28"/>
          <w:szCs w:val="28"/>
        </w:rPr>
      </w:pPr>
    </w:p>
    <w:p>
      <w:pPr>
        <w:adjustRightInd w:val="0"/>
        <w:spacing w:before="120" w:line="22" w:lineRule="atLeast"/>
        <w:ind w:left="96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b/>
          <w:sz w:val="28"/>
          <w:szCs w:val="28"/>
        </w:rPr>
        <w:t>2022年杭州交警业务系统使用服务（2022年杭州公安交警机动车违法鸣笛抓拍系统使用项目）</w:t>
      </w:r>
    </w:p>
    <w:p>
      <w:pPr>
        <w:spacing w:before="120" w:line="22" w:lineRule="atLeast"/>
        <w:rPr>
          <w:rFonts w:ascii="仿宋" w:hAnsi="仿宋" w:eastAsia="仿宋"/>
          <w:sz w:val="28"/>
          <w:szCs w:val="28"/>
        </w:rPr>
      </w:pPr>
    </w:p>
    <w:p>
      <w:pPr>
        <w:spacing w:before="120" w:line="22" w:lineRule="atLeast"/>
        <w:rPr>
          <w:rFonts w:ascii="仿宋" w:hAnsi="仿宋" w:eastAsia="仿宋"/>
          <w:sz w:val="28"/>
          <w:szCs w:val="28"/>
        </w:rPr>
      </w:pPr>
    </w:p>
    <w:p>
      <w:pPr>
        <w:adjustRightInd w:val="0"/>
        <w:rPr>
          <w:rFonts w:ascii="仿宋" w:hAnsi="仿宋" w:eastAsia="仿宋"/>
          <w:sz w:val="28"/>
          <w:szCs w:val="28"/>
        </w:rPr>
      </w:pPr>
    </w:p>
    <w:p>
      <w:pPr>
        <w:adjustRightInd w:val="0"/>
        <w:spacing w:before="120" w:line="22" w:lineRule="atLeast"/>
        <w:ind w:left="960"/>
        <w:rPr>
          <w:rFonts w:ascii="仿宋" w:hAnsi="仿宋" w:eastAsia="仿宋"/>
          <w:sz w:val="28"/>
          <w:szCs w:val="28"/>
          <w:u w:val="single"/>
        </w:rPr>
      </w:pPr>
      <w:r>
        <w:rPr>
          <w:rFonts w:hint="eastAsia" w:ascii="仿宋" w:hAnsi="仿宋" w:eastAsia="仿宋"/>
          <w:sz w:val="28"/>
          <w:szCs w:val="28"/>
        </w:rPr>
        <w:t>甲方：</w:t>
      </w:r>
      <w:r>
        <w:rPr>
          <w:rFonts w:hint="eastAsia" w:ascii="仿宋" w:hAnsi="仿宋" w:eastAsia="仿宋"/>
          <w:b/>
          <w:bCs/>
          <w:sz w:val="28"/>
          <w:szCs w:val="28"/>
        </w:rPr>
        <w:t>杭州市公安局</w:t>
      </w:r>
    </w:p>
    <w:p>
      <w:pPr>
        <w:adjustRightInd w:val="0"/>
        <w:spacing w:before="120" w:line="22" w:lineRule="atLeast"/>
        <w:rPr>
          <w:rFonts w:ascii="仿宋" w:hAnsi="仿宋" w:eastAsia="仿宋"/>
          <w:sz w:val="28"/>
          <w:szCs w:val="28"/>
        </w:rPr>
      </w:pPr>
    </w:p>
    <w:p>
      <w:pPr>
        <w:adjustRightInd w:val="0"/>
        <w:spacing w:before="120" w:line="22" w:lineRule="atLeast"/>
        <w:ind w:left="960"/>
        <w:rPr>
          <w:rFonts w:ascii="仿宋" w:hAnsi="仿宋" w:eastAsia="仿宋"/>
          <w:sz w:val="28"/>
          <w:szCs w:val="28"/>
          <w:u w:val="single"/>
        </w:rPr>
      </w:pPr>
      <w:r>
        <w:rPr>
          <w:rFonts w:hint="eastAsia" w:ascii="仿宋" w:hAnsi="仿宋" w:eastAsia="仿宋"/>
          <w:sz w:val="28"/>
          <w:szCs w:val="28"/>
        </w:rPr>
        <w:t>乙方：</w:t>
      </w:r>
    </w:p>
    <w:p>
      <w:pPr>
        <w:adjustRightInd w:val="0"/>
        <w:spacing w:before="120" w:line="22" w:lineRule="atLeast"/>
        <w:rPr>
          <w:rFonts w:ascii="仿宋" w:hAnsi="仿宋" w:eastAsia="仿宋"/>
          <w:sz w:val="28"/>
          <w:szCs w:val="28"/>
        </w:rPr>
      </w:pPr>
    </w:p>
    <w:p>
      <w:pPr>
        <w:adjustRightInd w:val="0"/>
        <w:spacing w:before="120" w:line="22" w:lineRule="atLeast"/>
        <w:ind w:firstLine="1120" w:firstLineChars="400"/>
        <w:rPr>
          <w:rFonts w:ascii="仿宋" w:hAnsi="仿宋" w:eastAsia="仿宋"/>
          <w:sz w:val="28"/>
          <w:szCs w:val="28"/>
          <w:u w:val="single"/>
        </w:rPr>
      </w:pPr>
      <w:r>
        <w:rPr>
          <w:rFonts w:hint="eastAsia" w:ascii="仿宋" w:hAnsi="仿宋" w:eastAsia="仿宋"/>
          <w:sz w:val="28"/>
          <w:szCs w:val="28"/>
        </w:rPr>
        <w:t>签订地：杭州市</w:t>
      </w:r>
    </w:p>
    <w:p>
      <w:pPr>
        <w:adjustRightInd w:val="0"/>
        <w:spacing w:before="120" w:line="22" w:lineRule="atLeast"/>
        <w:rPr>
          <w:rFonts w:ascii="仿宋" w:hAnsi="仿宋" w:eastAsia="仿宋"/>
          <w:sz w:val="28"/>
          <w:szCs w:val="28"/>
        </w:rPr>
      </w:pPr>
    </w:p>
    <w:p>
      <w:pPr>
        <w:adjustRightInd w:val="0"/>
        <w:spacing w:before="120" w:line="22" w:lineRule="atLeast"/>
        <w:ind w:firstLine="1120" w:firstLineChars="400"/>
        <w:rPr>
          <w:rFonts w:ascii="仿宋" w:hAnsi="仿宋" w:eastAsia="仿宋"/>
          <w:sz w:val="28"/>
          <w:szCs w:val="28"/>
          <w:u w:val="single"/>
        </w:rPr>
      </w:pPr>
      <w:r>
        <w:rPr>
          <w:rFonts w:hint="eastAsia" w:ascii="仿宋" w:hAnsi="仿宋" w:eastAsia="仿宋"/>
          <w:sz w:val="28"/>
          <w:szCs w:val="28"/>
        </w:rPr>
        <w:t>签订日期：    年   月   日</w:t>
      </w:r>
    </w:p>
    <w:p>
      <w:pPr>
        <w:widowControl/>
        <w:jc w:val="left"/>
        <w:rPr>
          <w:rFonts w:ascii="仿宋" w:hAnsi="仿宋" w:eastAsia="仿宋"/>
          <w:kern w:val="0"/>
          <w:sz w:val="28"/>
          <w:szCs w:val="28"/>
        </w:rPr>
        <w:sectPr>
          <w:footerReference r:id="rId3" w:type="default"/>
          <w:pgSz w:w="11907" w:h="16840"/>
          <w:pgMar w:top="1474" w:right="1814" w:bottom="1474" w:left="1814" w:header="851" w:footer="851" w:gutter="0"/>
          <w:cols w:space="720" w:num="1"/>
        </w:sectPr>
      </w:pPr>
    </w:p>
    <w:p>
      <w:pPr>
        <w:adjustRightInd w:val="0"/>
        <w:spacing w:line="560" w:lineRule="exact"/>
        <w:ind w:firstLine="480" w:firstLineChars="200"/>
        <w:rPr>
          <w:rFonts w:ascii="仿宋" w:hAnsi="仿宋" w:eastAsia="仿宋"/>
          <w:sz w:val="24"/>
        </w:rPr>
      </w:pPr>
      <w:r>
        <w:rPr>
          <w:rFonts w:hint="eastAsia" w:ascii="仿宋" w:hAnsi="仿宋" w:eastAsia="仿宋" w:cs="仿宋"/>
          <w:sz w:val="24"/>
          <w:u w:val="single"/>
        </w:rPr>
        <w:t>2022</w:t>
      </w: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b/>
          <w:bCs/>
          <w:sz w:val="24"/>
          <w:u w:val="single"/>
        </w:rPr>
        <w:t>杭州市公安局</w:t>
      </w:r>
      <w:r>
        <w:rPr>
          <w:rFonts w:hint="eastAsia" w:ascii="仿宋" w:hAnsi="仿宋" w:eastAsia="仿宋"/>
          <w:sz w:val="24"/>
        </w:rPr>
        <w:t>以</w:t>
      </w:r>
      <w:r>
        <w:rPr>
          <w:rFonts w:ascii="仿宋" w:hAnsi="仿宋" w:eastAsia="仿宋"/>
          <w:sz w:val="24"/>
          <w:u w:val="single"/>
        </w:rPr>
        <w:t xml:space="preserve">  公开招标  </w:t>
      </w:r>
      <w:r>
        <w:rPr>
          <w:rFonts w:hint="eastAsia" w:ascii="仿宋" w:hAnsi="仿宋" w:eastAsia="仿宋"/>
          <w:sz w:val="24"/>
        </w:rPr>
        <w:t>对</w:t>
      </w:r>
      <w:r>
        <w:rPr>
          <w:rFonts w:hint="eastAsia" w:ascii="仿宋" w:hAnsi="仿宋" w:eastAsia="仿宋"/>
          <w:b/>
          <w:sz w:val="24"/>
          <w:u w:val="single"/>
        </w:rPr>
        <w:t>2022年杭州交警业务系统使用服务（2022年杭州公安交警机动车违法鸣笛抓拍系统使用项目）</w:t>
      </w:r>
      <w:r>
        <w:rPr>
          <w:rFonts w:hint="eastAsia" w:ascii="仿宋" w:hAnsi="仿宋" w:eastAsia="仿宋"/>
          <w:sz w:val="24"/>
        </w:rPr>
        <w:t>进行了采购。经</w:t>
      </w:r>
      <w:r>
        <w:rPr>
          <w:rFonts w:ascii="仿宋" w:hAnsi="仿宋" w:eastAsia="仿宋"/>
          <w:sz w:val="24"/>
          <w:u w:val="single"/>
        </w:rPr>
        <w:t>评标委员会</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为该项目中标供应商。现于中标通知书发出之日起十个工作日内，按照采购文件确定的事项签订本合同。</w:t>
      </w:r>
    </w:p>
    <w:p>
      <w:pPr>
        <w:adjustRightInd w:val="0"/>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杭州市公安局</w:t>
      </w:r>
      <w:r>
        <w:rPr>
          <w:rFonts w:ascii="仿宋" w:hAnsi="仿宋" w:eastAsia="仿宋"/>
          <w:sz w:val="24"/>
          <w:lang w:val="zh-CN"/>
        </w:rPr>
        <w:t xml:space="preserve"> (以下简称：甲方)和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adjustRightInd w:val="0"/>
        <w:spacing w:line="560" w:lineRule="exact"/>
        <w:ind w:firstLine="482" w:firstLineChars="200"/>
        <w:outlineLvl w:val="0"/>
        <w:rPr>
          <w:rFonts w:ascii="仿宋" w:hAnsi="仿宋" w:eastAsia="仿宋"/>
          <w:b/>
          <w:sz w:val="24"/>
        </w:rPr>
      </w:pPr>
      <w:bookmarkStart w:id="77" w:name="_Toc2232"/>
      <w:bookmarkStart w:id="78" w:name="_Toc24059"/>
      <w:bookmarkStart w:id="79" w:name="_Toc3029"/>
      <w:r>
        <w:rPr>
          <w:rFonts w:ascii="仿宋" w:hAnsi="仿宋" w:eastAsia="仿宋"/>
          <w:b/>
          <w:sz w:val="24"/>
        </w:rPr>
        <w:t xml:space="preserve">1.1 </w:t>
      </w:r>
      <w:r>
        <w:rPr>
          <w:rFonts w:hint="eastAsia" w:ascii="仿宋" w:hAnsi="仿宋" w:eastAsia="仿宋"/>
          <w:b/>
          <w:sz w:val="24"/>
        </w:rPr>
        <w:t>合同组成部分</w:t>
      </w:r>
      <w:bookmarkEnd w:id="77"/>
      <w:bookmarkEnd w:id="78"/>
      <w:bookmarkEnd w:id="79"/>
    </w:p>
    <w:p>
      <w:pPr>
        <w:adjustRightInd w:val="0"/>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adjustRightInd w:val="0"/>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adjustRightInd w:val="0"/>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adjustRightInd w:val="0"/>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adjustRightInd w:val="0"/>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adjustRightInd w:val="0"/>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adjustRightInd w:val="0"/>
        <w:spacing w:line="560" w:lineRule="exact"/>
        <w:ind w:firstLine="482" w:firstLineChars="200"/>
        <w:outlineLvl w:val="0"/>
        <w:rPr>
          <w:rFonts w:ascii="仿宋" w:hAnsi="仿宋" w:eastAsia="仿宋"/>
          <w:b/>
          <w:sz w:val="24"/>
        </w:rPr>
      </w:pPr>
      <w:bookmarkStart w:id="80" w:name="_Toc24300"/>
      <w:bookmarkStart w:id="81" w:name="_Toc21295"/>
      <w:bookmarkStart w:id="82" w:name="_Toc27126"/>
      <w:r>
        <w:rPr>
          <w:rFonts w:ascii="仿宋" w:hAnsi="仿宋" w:eastAsia="仿宋"/>
          <w:b/>
          <w:sz w:val="24"/>
        </w:rPr>
        <w:t>1.2</w:t>
      </w:r>
      <w:bookmarkEnd w:id="80"/>
      <w:bookmarkEnd w:id="81"/>
      <w:bookmarkEnd w:id="82"/>
      <w:r>
        <w:rPr>
          <w:rFonts w:hint="eastAsia" w:ascii="仿宋" w:hAnsi="仿宋" w:eastAsia="仿宋"/>
          <w:b/>
          <w:sz w:val="24"/>
        </w:rPr>
        <w:t>2022年杭州交警业务系统使用服务（2022年杭州公安交警机动车违法鸣笛抓拍系统使用项目）</w:t>
      </w:r>
      <w:r>
        <w:rPr>
          <w:rFonts w:ascii="仿宋" w:hAnsi="仿宋" w:eastAsia="仿宋"/>
          <w:b/>
          <w:sz w:val="24"/>
        </w:rPr>
        <w:t>服务</w:t>
      </w:r>
    </w:p>
    <w:p>
      <w:pPr>
        <w:adjustRightInd w:val="0"/>
        <w:spacing w:line="560" w:lineRule="exact"/>
        <w:ind w:firstLine="480" w:firstLineChars="200"/>
        <w:rPr>
          <w:rFonts w:ascii="仿宋" w:hAnsi="仿宋" w:eastAsia="仿宋"/>
          <w:sz w:val="24"/>
        </w:rPr>
      </w:pPr>
      <w:r>
        <w:rPr>
          <w:rFonts w:ascii="仿宋" w:hAnsi="仿宋" w:eastAsia="仿宋"/>
          <w:sz w:val="24"/>
        </w:rPr>
        <w:t>1.2.1</w:t>
      </w:r>
      <w:r>
        <w:rPr>
          <w:rFonts w:hint="eastAsia" w:ascii="仿宋" w:hAnsi="仿宋" w:eastAsia="仿宋"/>
          <w:sz w:val="24"/>
        </w:rPr>
        <w:t>项目名称：2022年杭州交警业务系统使用服务（2022年杭州公安交警机动车违法鸣笛抓拍系统使用项目）；</w:t>
      </w:r>
    </w:p>
    <w:p>
      <w:pPr>
        <w:adjustRightInd w:val="0"/>
        <w:spacing w:line="560" w:lineRule="exact"/>
        <w:ind w:firstLine="480" w:firstLineChars="200"/>
        <w:rPr>
          <w:rFonts w:ascii="仿宋" w:hAnsi="仿宋" w:eastAsia="仿宋"/>
          <w:sz w:val="24"/>
        </w:rPr>
      </w:pPr>
      <w:r>
        <w:rPr>
          <w:rFonts w:hint="eastAsia" w:ascii="仿宋" w:hAnsi="仿宋" w:eastAsia="仿宋"/>
          <w:sz w:val="24"/>
        </w:rPr>
        <w:t>1.2.2 服务内容：以购买服务方式，提供5套的违法鸣笛抓拍点位的使用服务，用于抓拍举证机动车违法鸣笛的交通违法行为，遏制交通违法陋习。主要内容包括：鸣笛抓拍前端设备的安装运维服务，平台的基础运行环境服务，鸣笛抓拍业务系统的使用服务。具体包括：提供杭州市市区道路5个方向违法鸣笛抓拍系统使用服务，覆盖每个方向所有机动车道和辅道，包含声学探头、车牌抓拍识别、主控机三大子系统，提供租用期间7*24小时技术服务（含运行维护、性能调优、故障排除、例行巡检等）。</w:t>
      </w:r>
    </w:p>
    <w:p>
      <w:pPr>
        <w:tabs>
          <w:tab w:val="left" w:pos="904"/>
        </w:tabs>
        <w:adjustRightInd w:val="0"/>
        <w:snapToGrid w:val="0"/>
        <w:spacing w:line="360" w:lineRule="auto"/>
        <w:ind w:firstLine="480" w:firstLineChars="200"/>
        <w:jc w:val="left"/>
        <w:rPr>
          <w:rFonts w:ascii="仿宋" w:hAnsi="仿宋" w:eastAsia="仿宋"/>
          <w:sz w:val="24"/>
        </w:rPr>
      </w:pPr>
    </w:p>
    <w:p>
      <w:pPr>
        <w:tabs>
          <w:tab w:val="left" w:pos="904"/>
        </w:tabs>
        <w:adjustRightInd w:val="0"/>
        <w:snapToGrid w:val="0"/>
        <w:spacing w:line="360" w:lineRule="auto"/>
        <w:ind w:firstLine="480" w:firstLineChars="200"/>
        <w:jc w:val="left"/>
        <w:rPr>
          <w:rFonts w:ascii="仿宋" w:hAnsi="仿宋" w:eastAsia="仿宋"/>
          <w:sz w:val="24"/>
          <w:u w:val="single"/>
        </w:rPr>
      </w:pPr>
      <w:r>
        <w:rPr>
          <w:rFonts w:ascii="仿宋" w:hAnsi="仿宋" w:eastAsia="仿宋"/>
          <w:sz w:val="24"/>
        </w:rPr>
        <w:t>1.2.3服务</w:t>
      </w:r>
      <w:r>
        <w:rPr>
          <w:rFonts w:hint="eastAsia" w:ascii="仿宋" w:hAnsi="仿宋" w:eastAsia="仿宋"/>
          <w:sz w:val="24"/>
        </w:rPr>
        <w:t>质量：</w:t>
      </w:r>
      <w:r>
        <w:rPr>
          <w:rFonts w:hint="eastAsia" w:ascii="仿宋" w:hAnsi="仿宋" w:eastAsia="仿宋"/>
          <w:sz w:val="24"/>
          <w:u w:val="single"/>
        </w:rPr>
        <w:t>根据采购文件确定的技术指标或者服务要求确定验收指标和标准。未进行相应约定的，应当符合国家强制性规定、政策要求、安全标准、行业或企业有关标准等。</w:t>
      </w:r>
    </w:p>
    <w:p>
      <w:pPr>
        <w:adjustRightInd w:val="0"/>
        <w:spacing w:line="560" w:lineRule="exact"/>
        <w:ind w:firstLine="482" w:firstLineChars="200"/>
        <w:outlineLvl w:val="0"/>
        <w:rPr>
          <w:rFonts w:ascii="仿宋" w:hAnsi="仿宋" w:eastAsia="仿宋"/>
          <w:b/>
          <w:sz w:val="24"/>
        </w:rPr>
      </w:pPr>
      <w:bookmarkStart w:id="83" w:name="_Toc21631"/>
      <w:bookmarkStart w:id="84" w:name="_Toc21551"/>
      <w:bookmarkStart w:id="85" w:name="_Toc23292"/>
      <w:r>
        <w:rPr>
          <w:rFonts w:ascii="仿宋" w:hAnsi="仿宋" w:eastAsia="仿宋"/>
          <w:b/>
          <w:sz w:val="24"/>
        </w:rPr>
        <w:t xml:space="preserve">1.3 </w:t>
      </w:r>
      <w:r>
        <w:rPr>
          <w:rFonts w:hint="eastAsia" w:ascii="仿宋" w:hAnsi="仿宋" w:eastAsia="仿宋"/>
          <w:b/>
          <w:sz w:val="24"/>
        </w:rPr>
        <w:t>价款</w:t>
      </w:r>
      <w:bookmarkEnd w:id="83"/>
      <w:bookmarkEnd w:id="84"/>
      <w:bookmarkEnd w:id="85"/>
    </w:p>
    <w:p>
      <w:pPr>
        <w:snapToGrid w:val="0"/>
        <w:spacing w:line="560" w:lineRule="exact"/>
        <w:ind w:firstLine="480" w:firstLineChars="200"/>
        <w:jc w:val="left"/>
        <w:rPr>
          <w:rFonts w:ascii="仿宋" w:hAnsi="仿宋" w:eastAsia="仿宋"/>
          <w:sz w:val="24"/>
        </w:rPr>
      </w:pPr>
      <w:bookmarkStart w:id="86" w:name="_Toc22618"/>
      <w:bookmarkStart w:id="87" w:name="_Toc1814"/>
      <w:bookmarkStart w:id="88" w:name="_Toc10340"/>
      <w:r>
        <w:rPr>
          <w:rFonts w:hint="eastAsia" w:ascii="仿宋" w:hAnsi="仿宋" w:eastAsia="仿宋"/>
          <w:sz w:val="24"/>
        </w:rPr>
        <w:t>本合同总价按人民币          元（大写：              元人民币），</w:t>
      </w:r>
      <w:r>
        <w:rPr>
          <w:rFonts w:hint="eastAsia" w:ascii="仿宋" w:hAnsi="仿宋" w:eastAsia="仿宋" w:cs="仿宋_GB2312"/>
          <w:sz w:val="24"/>
        </w:rPr>
        <w:t>按</w:t>
      </w:r>
      <w:r>
        <w:rPr>
          <w:rFonts w:hint="eastAsia" w:ascii="仿宋" w:hAnsi="仿宋" w:eastAsia="仿宋" w:cs="仿宋_GB2312"/>
          <w:sz w:val="24"/>
          <w:lang w:val="zh-CN"/>
        </w:rPr>
        <w:t>实际使用</w:t>
      </w:r>
      <w:r>
        <w:rPr>
          <w:rFonts w:hint="eastAsia" w:ascii="仿宋" w:hAnsi="仿宋" w:eastAsia="仿宋" w:cs="仿宋_GB2312"/>
          <w:sz w:val="24"/>
        </w:rPr>
        <w:t>租用设备数量</w:t>
      </w:r>
      <w:r>
        <w:rPr>
          <w:rFonts w:hint="eastAsia" w:ascii="仿宋" w:hAnsi="仿宋" w:eastAsia="仿宋" w:cs="仿宋_GB2312"/>
          <w:sz w:val="24"/>
          <w:lang w:val="zh-CN"/>
        </w:rPr>
        <w:t>、服务天数及合同单价</w:t>
      </w:r>
      <w:r>
        <w:rPr>
          <w:rFonts w:hint="eastAsia" w:ascii="仿宋" w:hAnsi="仿宋" w:eastAsia="仿宋" w:cs="仿宋_GB2312"/>
          <w:sz w:val="24"/>
        </w:rPr>
        <w:t>结算支付</w:t>
      </w:r>
      <w:r>
        <w:rPr>
          <w:rFonts w:hint="eastAsia" w:ascii="仿宋" w:hAnsi="仿宋" w:eastAsia="仿宋"/>
          <w:sz w:val="24"/>
        </w:rPr>
        <w:t>，且不超过合同总价，同时扣除考核违约金</w:t>
      </w:r>
      <w:r>
        <w:rPr>
          <w:rFonts w:ascii="仿宋" w:hAnsi="仿宋" w:eastAsia="仿宋"/>
          <w:sz w:val="24"/>
        </w:rPr>
        <w:t>。</w:t>
      </w:r>
    </w:p>
    <w:p>
      <w:pPr>
        <w:adjustRightInd w:val="0"/>
        <w:spacing w:line="560" w:lineRule="exact"/>
        <w:ind w:firstLine="480" w:firstLineChars="200"/>
        <w:outlineLvl w:val="0"/>
        <w:rPr>
          <w:rFonts w:ascii="仿宋" w:hAnsi="仿宋" w:eastAsia="仿宋"/>
          <w:sz w:val="24"/>
        </w:rPr>
      </w:pPr>
      <w:r>
        <w:rPr>
          <w:rFonts w:hint="eastAsia" w:ascii="仿宋" w:hAnsi="仿宋" w:eastAsia="仿宋"/>
          <w:sz w:val="24"/>
        </w:rPr>
        <w:t>人员清单：详见附件二。</w:t>
      </w:r>
    </w:p>
    <w:p>
      <w:pPr>
        <w:adjustRightInd w:val="0"/>
        <w:spacing w:line="560" w:lineRule="exact"/>
        <w:ind w:firstLine="480" w:firstLineChars="200"/>
        <w:outlineLvl w:val="0"/>
        <w:rPr>
          <w:rFonts w:ascii="仿宋" w:hAnsi="仿宋" w:eastAsia="仿宋"/>
          <w:sz w:val="24"/>
        </w:rPr>
      </w:pPr>
      <w:r>
        <w:rPr>
          <w:rFonts w:hint="eastAsia" w:ascii="仿宋" w:hAnsi="仿宋" w:eastAsia="仿宋"/>
          <w:sz w:val="24"/>
        </w:rPr>
        <w:t xml:space="preserve">合同价格清单：详见附件三。 </w:t>
      </w:r>
    </w:p>
    <w:p>
      <w:pPr>
        <w:adjustRightInd w:val="0"/>
        <w:spacing w:line="560" w:lineRule="exact"/>
        <w:ind w:firstLine="480" w:firstLineChars="200"/>
        <w:outlineLvl w:val="0"/>
        <w:rPr>
          <w:rFonts w:ascii="仿宋" w:hAnsi="仿宋" w:eastAsia="仿宋"/>
          <w:sz w:val="24"/>
        </w:rPr>
      </w:pPr>
      <w:r>
        <w:rPr>
          <w:rFonts w:hint="eastAsia" w:ascii="仿宋" w:hAnsi="仿宋" w:eastAsia="仿宋"/>
          <w:sz w:val="24"/>
        </w:rPr>
        <w:t>车辆清单：详见附件四。</w:t>
      </w:r>
    </w:p>
    <w:p>
      <w:pPr>
        <w:adjustRightInd w:val="0"/>
        <w:spacing w:line="560" w:lineRule="exact"/>
        <w:ind w:firstLine="482" w:firstLineChars="200"/>
        <w:outlineLvl w:val="0"/>
        <w:rPr>
          <w:rFonts w:ascii="仿宋" w:hAnsi="仿宋" w:eastAsia="仿宋"/>
          <w:b/>
          <w:sz w:val="24"/>
        </w:rPr>
      </w:pPr>
      <w:r>
        <w:rPr>
          <w:rFonts w:ascii="仿宋" w:hAnsi="仿宋" w:eastAsia="仿宋"/>
          <w:b/>
          <w:sz w:val="24"/>
        </w:rPr>
        <w:t xml:space="preserve">1.4 </w:t>
      </w:r>
      <w:r>
        <w:rPr>
          <w:rFonts w:hint="eastAsia" w:ascii="仿宋" w:hAnsi="仿宋" w:eastAsia="仿宋"/>
          <w:b/>
          <w:sz w:val="24"/>
        </w:rPr>
        <w:t>付款</w:t>
      </w:r>
      <w:bookmarkEnd w:id="86"/>
      <w:bookmarkEnd w:id="87"/>
      <w:bookmarkEnd w:id="88"/>
      <w:r>
        <w:rPr>
          <w:rFonts w:hint="eastAsia" w:ascii="仿宋" w:hAnsi="仿宋" w:eastAsia="仿宋"/>
          <w:b/>
          <w:sz w:val="24"/>
        </w:rPr>
        <w:t>方式、时间和条件</w:t>
      </w:r>
    </w:p>
    <w:p>
      <w:pPr>
        <w:spacing w:line="560" w:lineRule="exact"/>
        <w:ind w:firstLine="480" w:firstLineChars="200"/>
        <w:rPr>
          <w:rFonts w:ascii="仿宋" w:hAnsi="仿宋" w:eastAsia="仿宋" w:cs="仿宋"/>
          <w:sz w:val="24"/>
        </w:rPr>
      </w:pPr>
      <w:bookmarkStart w:id="89" w:name="_Toc2846"/>
      <w:bookmarkStart w:id="90" w:name="_Toc19304"/>
      <w:bookmarkStart w:id="91" w:name="_Toc32071"/>
      <w:r>
        <w:rPr>
          <w:rFonts w:hint="eastAsia" w:ascii="仿宋" w:hAnsi="仿宋" w:eastAsia="仿宋" w:cs="仿宋"/>
          <w:sz w:val="24"/>
        </w:rPr>
        <w:t>1.4.1甲方应严格履行合同，及时组织验收，验收合格后及时将合同款支付。对于满足合同约定支付条件的，甲方可以即时支付。甲方不得以机构变动、人员更替、政策调整、单位放假等为由延迟付款。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w:t>
      </w:r>
      <w:bookmarkStart w:id="92" w:name="_Hlk102798959"/>
      <w:r>
        <w:rPr>
          <w:rFonts w:hint="eastAsia" w:ascii="仿宋" w:hAnsi="仿宋" w:eastAsia="仿宋" w:cs="仿宋"/>
          <w:sz w:val="24"/>
        </w:rPr>
        <w:t>合同总价得7</w:t>
      </w:r>
      <w:r>
        <w:rPr>
          <w:rFonts w:ascii="仿宋" w:hAnsi="仿宋" w:eastAsia="仿宋" w:cs="仿宋"/>
          <w:sz w:val="24"/>
        </w:rPr>
        <w:t>0%</w:t>
      </w:r>
      <w:bookmarkEnd w:id="92"/>
      <w:r>
        <w:rPr>
          <w:rFonts w:hint="eastAsia" w:ascii="仿宋" w:hAnsi="仿宋" w:eastAsia="仿宋" w:cs="仿宋"/>
          <w:sz w:val="24"/>
        </w:rPr>
        <w:t>；乙方可登录政采云前台大厅选择金融服务-【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bookmarkStart w:id="93" w:name="_Toc94189529"/>
      <w:bookmarkStart w:id="94" w:name="_Toc94189286"/>
      <w:bookmarkStart w:id="95" w:name="_Toc94869410"/>
      <w:r>
        <w:rPr>
          <w:rFonts w:hint="eastAsia" w:ascii="仿宋" w:hAnsi="仿宋" w:eastAsia="仿宋" w:cs="仿宋"/>
          <w:sz w:val="24"/>
        </w:rPr>
        <w:t>1.4.3资金支付的方式、时间和条件</w:t>
      </w:r>
      <w:bookmarkEnd w:id="93"/>
      <w:bookmarkEnd w:id="94"/>
      <w:r>
        <w:rPr>
          <w:rFonts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sz w:val="24"/>
        </w:rPr>
        <w:t>。</w:t>
      </w:r>
      <w:bookmarkEnd w:id="95"/>
    </w:p>
    <w:p>
      <w:pPr>
        <w:spacing w:line="560" w:lineRule="exact"/>
        <w:ind w:firstLine="480" w:firstLineChars="200"/>
        <w:outlineLvl w:val="0"/>
        <w:rPr>
          <w:rFonts w:ascii="仿宋" w:hAnsi="仿宋" w:eastAsia="仿宋" w:cs="仿宋"/>
          <w:sz w:val="24"/>
        </w:rPr>
      </w:pPr>
      <w:bookmarkStart w:id="96" w:name="_Toc94189287"/>
      <w:bookmarkStart w:id="97" w:name="_Toc94189530"/>
      <w:bookmarkStart w:id="98" w:name="_Toc94869411"/>
      <w:r>
        <w:rPr>
          <w:rFonts w:hint="eastAsia" w:ascii="仿宋" w:hAnsi="仿宋" w:eastAsia="仿宋" w:cs="仿宋"/>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bookmarkEnd w:id="96"/>
      <w:bookmarkEnd w:id="97"/>
      <w:bookmarkEnd w:id="98"/>
    </w:p>
    <w:p>
      <w:pPr>
        <w:spacing w:line="560" w:lineRule="exact"/>
        <w:ind w:firstLine="482" w:firstLineChars="200"/>
        <w:outlineLvl w:val="0"/>
        <w:rPr>
          <w:rFonts w:ascii="仿宋" w:hAnsi="仿宋" w:eastAsia="仿宋" w:cs="仿宋"/>
          <w:b/>
          <w:sz w:val="24"/>
        </w:rPr>
      </w:pPr>
      <w:bookmarkStart w:id="99" w:name="_Toc94869412"/>
      <w:bookmarkStart w:id="100" w:name="_Toc94189531"/>
      <w:bookmarkStart w:id="101" w:name="_Toc94189288"/>
      <w:r>
        <w:rPr>
          <w:rFonts w:hint="eastAsia" w:ascii="仿宋" w:hAnsi="仿宋" w:eastAsia="仿宋" w:cs="仿宋"/>
          <w:b/>
          <w:sz w:val="24"/>
        </w:rPr>
        <w:t>1.5服务期限、地点和方式</w:t>
      </w:r>
      <w:bookmarkEnd w:id="99"/>
      <w:bookmarkEnd w:id="100"/>
      <w:bookmarkEnd w:id="101"/>
    </w:p>
    <w:p>
      <w:pPr>
        <w:spacing w:line="560" w:lineRule="exact"/>
        <w:ind w:firstLine="480" w:firstLineChars="200"/>
        <w:rPr>
          <w:rFonts w:ascii="仿宋" w:hAnsi="仿宋" w:eastAsia="仿宋"/>
          <w:sz w:val="24"/>
        </w:rPr>
      </w:pPr>
      <w:r>
        <w:rPr>
          <w:rFonts w:ascii="仿宋" w:hAnsi="仿宋" w:eastAsia="仿宋"/>
          <w:sz w:val="24"/>
        </w:rPr>
        <w:t xml:space="preserve">1.5.1 </w:t>
      </w:r>
      <w:r>
        <w:rPr>
          <w:rFonts w:hint="eastAsia" w:ascii="仿宋" w:hAnsi="仿宋" w:eastAsia="仿宋"/>
          <w:sz w:val="24"/>
        </w:rPr>
        <w:t>服务期限：</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服务地点：</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服务方式：</w:t>
      </w:r>
      <w:r>
        <w:rPr>
          <w:rFonts w:hint="eastAsia" w:ascii="仿宋" w:hAnsi="仿宋" w:eastAsia="仿宋"/>
          <w:b/>
          <w:i/>
          <w:sz w:val="24"/>
          <w:u w:val="single"/>
        </w:rPr>
        <w:t>合同专用条款。</w:t>
      </w:r>
      <w:bookmarkEnd w:id="89"/>
      <w:bookmarkEnd w:id="90"/>
      <w:bookmarkEnd w:id="91"/>
    </w:p>
    <w:p>
      <w:pPr>
        <w:adjustRightInd w:val="0"/>
        <w:spacing w:line="560" w:lineRule="exact"/>
        <w:ind w:firstLine="482" w:firstLineChars="200"/>
        <w:outlineLvl w:val="0"/>
        <w:rPr>
          <w:rFonts w:ascii="仿宋" w:hAnsi="仿宋" w:eastAsia="仿宋"/>
          <w:b/>
          <w:sz w:val="24"/>
        </w:rPr>
      </w:pPr>
      <w:bookmarkStart w:id="102" w:name="_Toc21423"/>
      <w:bookmarkStart w:id="103" w:name="_Toc27250"/>
      <w:bookmarkStart w:id="104" w:name="_Toc19554"/>
      <w:r>
        <w:rPr>
          <w:rFonts w:ascii="仿宋" w:hAnsi="仿宋" w:eastAsia="仿宋"/>
          <w:b/>
          <w:sz w:val="24"/>
        </w:rPr>
        <w:t xml:space="preserve">1.6 </w:t>
      </w:r>
      <w:r>
        <w:rPr>
          <w:rFonts w:hint="eastAsia" w:ascii="仿宋" w:hAnsi="仿宋" w:eastAsia="仿宋"/>
          <w:b/>
          <w:sz w:val="24"/>
        </w:rPr>
        <w:t>违约责任</w:t>
      </w:r>
      <w:bookmarkEnd w:id="102"/>
      <w:bookmarkEnd w:id="103"/>
      <w:bookmarkEnd w:id="104"/>
    </w:p>
    <w:p>
      <w:pPr>
        <w:spacing w:line="560" w:lineRule="exact"/>
        <w:ind w:firstLine="480" w:firstLineChars="200"/>
        <w:rPr>
          <w:rFonts w:ascii="仿宋" w:hAnsi="仿宋" w:eastAsia="仿宋"/>
          <w:sz w:val="24"/>
        </w:rPr>
      </w:pPr>
      <w:r>
        <w:rPr>
          <w:rFonts w:ascii="仿宋" w:hAnsi="仿宋" w:eastAsia="仿宋"/>
          <w:sz w:val="24"/>
        </w:rPr>
        <w:t xml:space="preserve">1.6.1 </w:t>
      </w:r>
      <w:r>
        <w:rPr>
          <w:rFonts w:hint="eastAsia" w:ascii="仿宋" w:hAnsi="仿宋" w:eastAsia="仿宋"/>
          <w:sz w:val="24"/>
        </w:rPr>
        <w:t>除不可抗力外，如果乙方没有按照本合同约定的期限、地点和方式提供服务，那么甲方可要求乙方支付违约金，违约金按每迟延提供服务一日的应提供而未提供服务价格的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w:t>
      </w:r>
      <w:r>
        <w:rPr>
          <w:rFonts w:hint="eastAsia" w:ascii="仿宋" w:hAnsi="仿宋" w:eastAsia="仿宋"/>
          <w:sz w:val="24"/>
        </w:rPr>
        <w:t>提供服务</w:t>
      </w:r>
      <w:r>
        <w:rPr>
          <w:rFonts w:ascii="仿宋" w:hAnsi="仿宋" w:eastAsia="仿宋"/>
          <w:sz w:val="24"/>
        </w:rPr>
        <w:t>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rPr>
      </w:pPr>
      <w:r>
        <w:rPr>
          <w:rFonts w:ascii="仿宋" w:hAnsi="仿宋" w:eastAsia="仿宋"/>
          <w:sz w:val="24"/>
        </w:rPr>
        <w:t xml:space="preserve">1.6.2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hint="eastAsia" w:ascii="仿宋" w:hAnsi="仿宋" w:eastAsia="仿宋"/>
          <w:sz w:val="24"/>
          <w:u w:val="single"/>
        </w:rPr>
        <w:t>0.05</w:t>
      </w:r>
      <w:r>
        <w:rPr>
          <w:rFonts w:ascii="仿宋" w:hAnsi="仿宋" w:eastAsia="仿宋"/>
          <w:sz w:val="24"/>
        </w:rPr>
        <w:t>%计算，最高限额为本合同总价的</w:t>
      </w:r>
      <w:r>
        <w:rPr>
          <w:rFonts w:hint="eastAsia" w:ascii="仿宋" w:hAnsi="仿宋" w:eastAsia="仿宋"/>
          <w:sz w:val="24"/>
          <w:u w:val="single"/>
        </w:rPr>
        <w:t>20</w:t>
      </w:r>
      <w:r>
        <w:rPr>
          <w:rFonts w:ascii="仿宋" w:hAnsi="仿宋" w:eastAsia="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如果出现政府采购监督管理部门在处理投诉事项期间，书面通知甲方暂停采购活动的情形，或者询问或质疑事项可能影响成交结果的，导致甲方中止履行合同的情形，均不视为甲方违约。</w:t>
      </w:r>
    </w:p>
    <w:p>
      <w:pPr>
        <w:adjustRightInd w:val="0"/>
        <w:spacing w:line="560" w:lineRule="exact"/>
        <w:ind w:left="-420" w:leftChars="-200" w:right="-420" w:rightChars="-200" w:firstLine="960" w:firstLineChars="400"/>
        <w:rPr>
          <w:rFonts w:ascii="仿宋" w:hAnsi="仿宋" w:eastAsia="仿宋"/>
        </w:rPr>
      </w:pPr>
      <w:r>
        <w:rPr>
          <w:rFonts w:hint="eastAsia"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adjustRightInd w:val="0"/>
        <w:spacing w:line="560" w:lineRule="exact"/>
        <w:ind w:firstLine="482" w:firstLineChars="200"/>
        <w:outlineLvl w:val="0"/>
        <w:rPr>
          <w:rFonts w:ascii="仿宋" w:hAnsi="仿宋" w:eastAsia="仿宋"/>
          <w:b/>
          <w:sz w:val="24"/>
        </w:rPr>
      </w:pPr>
      <w:bookmarkStart w:id="105" w:name="_Toc16021"/>
      <w:bookmarkStart w:id="106" w:name="_Toc15583"/>
      <w:bookmarkStart w:id="107" w:name="_Toc28375"/>
      <w:r>
        <w:rPr>
          <w:rFonts w:ascii="仿宋" w:hAnsi="仿宋" w:eastAsia="仿宋"/>
          <w:b/>
          <w:sz w:val="24"/>
        </w:rPr>
        <w:t xml:space="preserve">1.7 </w:t>
      </w:r>
      <w:r>
        <w:rPr>
          <w:rFonts w:hint="eastAsia" w:ascii="仿宋" w:hAnsi="仿宋" w:eastAsia="仿宋"/>
          <w:b/>
          <w:sz w:val="24"/>
        </w:rPr>
        <w:t>合同争议的解决</w:t>
      </w:r>
      <w:bookmarkEnd w:id="105"/>
      <w:bookmarkEnd w:id="106"/>
      <w:bookmarkEnd w:id="107"/>
    </w:p>
    <w:p>
      <w:pPr>
        <w:adjustRightInd w:val="0"/>
        <w:spacing w:line="560" w:lineRule="exact"/>
        <w:ind w:left="-61" w:leftChars="-29" w:right="-420" w:rightChars="-200" w:firstLine="240" w:firstLineChars="1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b/>
          <w:i/>
          <w:sz w:val="24"/>
          <w:u w:val="single"/>
        </w:rPr>
        <w:t xml:space="preserve"> 合同专用条款  </w:t>
      </w:r>
      <w:r>
        <w:rPr>
          <w:rFonts w:hint="eastAsia" w:ascii="仿宋" w:hAnsi="仿宋" w:eastAsia="仿宋"/>
          <w:sz w:val="24"/>
        </w:rPr>
        <w:t>条款规定的方式解决：</w:t>
      </w:r>
    </w:p>
    <w:p>
      <w:pPr>
        <w:adjustRightInd w:val="0"/>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adjustRightInd w:val="0"/>
        <w:spacing w:line="560" w:lineRule="exact"/>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adjustRightInd w:val="0"/>
        <w:spacing w:line="560" w:lineRule="exact"/>
        <w:ind w:firstLine="482" w:firstLineChars="200"/>
        <w:outlineLvl w:val="0"/>
        <w:rPr>
          <w:rFonts w:ascii="仿宋" w:hAnsi="仿宋" w:eastAsia="仿宋"/>
          <w:b/>
          <w:sz w:val="24"/>
        </w:rPr>
      </w:pPr>
      <w:bookmarkStart w:id="108" w:name="_Toc11173"/>
      <w:bookmarkStart w:id="109" w:name="_Toc15322"/>
      <w:bookmarkStart w:id="110" w:name="_Toc7245"/>
      <w:r>
        <w:rPr>
          <w:rFonts w:ascii="仿宋" w:hAnsi="仿宋" w:eastAsia="仿宋"/>
          <w:b/>
          <w:sz w:val="24"/>
        </w:rPr>
        <w:t xml:space="preserve">1.8 </w:t>
      </w:r>
      <w:r>
        <w:rPr>
          <w:rFonts w:hint="eastAsia" w:ascii="仿宋" w:hAnsi="仿宋" w:eastAsia="仿宋"/>
          <w:b/>
          <w:sz w:val="24"/>
        </w:rPr>
        <w:t>合同生效</w:t>
      </w:r>
      <w:bookmarkEnd w:id="108"/>
      <w:bookmarkEnd w:id="109"/>
      <w:bookmarkEnd w:id="110"/>
    </w:p>
    <w:p>
      <w:pPr>
        <w:adjustRightInd w:val="0"/>
        <w:spacing w:line="560" w:lineRule="exact"/>
        <w:ind w:firstLine="480" w:firstLineChars="200"/>
        <w:rPr>
          <w:rFonts w:ascii="仿宋" w:hAnsi="仿宋" w:eastAsia="仿宋"/>
          <w:b/>
          <w:sz w:val="24"/>
        </w:rPr>
      </w:pPr>
      <w:r>
        <w:rPr>
          <w:rFonts w:hint="eastAsia" w:ascii="仿宋" w:hAnsi="仿宋" w:eastAsia="仿宋"/>
          <w:sz w:val="24"/>
        </w:rPr>
        <w:t>本合同自双方当事人盖章或者签字时生效。</w:t>
      </w:r>
    </w:p>
    <w:p>
      <w:pPr>
        <w:autoSpaceDE w:val="0"/>
        <w:autoSpaceDN w:val="0"/>
        <w:adjustRightInd w:val="0"/>
        <w:spacing w:line="560" w:lineRule="exact"/>
        <w:rPr>
          <w:rFonts w:ascii="仿宋" w:hAnsi="仿宋" w:eastAsia="仿宋"/>
          <w:sz w:val="24"/>
          <w:lang w:val="zh-CN"/>
        </w:rPr>
      </w:pPr>
    </w:p>
    <w:p>
      <w:pPr>
        <w:autoSpaceDE w:val="0"/>
        <w:autoSpaceDN w:val="0"/>
        <w:adjustRightInd w:val="0"/>
        <w:spacing w:line="560" w:lineRule="exact"/>
        <w:rPr>
          <w:rFonts w:ascii="仿宋" w:hAnsi="仿宋" w:eastAsia="仿宋"/>
          <w:sz w:val="24"/>
          <w:lang w:val="zh-CN"/>
        </w:rPr>
      </w:pPr>
    </w:p>
    <w:p>
      <w:pPr>
        <w:autoSpaceDE w:val="0"/>
        <w:autoSpaceDN w:val="0"/>
        <w:spacing w:line="560" w:lineRule="exact"/>
        <w:rPr>
          <w:rFonts w:ascii="仿宋" w:hAnsi="仿宋" w:eastAsia="仿宋" w:cs="仿宋"/>
          <w:sz w:val="24"/>
          <w:lang w:val="zh-CN"/>
        </w:rPr>
      </w:pPr>
      <w:bookmarkStart w:id="111" w:name="_Toc331685783"/>
      <w:r>
        <w:rPr>
          <w:rFonts w:hint="eastAsia" w:ascii="仿宋" w:hAnsi="仿宋" w:eastAsia="仿宋" w:cs="仿宋"/>
          <w:b/>
          <w:sz w:val="24"/>
          <w:lang w:val="zh-CN"/>
        </w:rPr>
        <w:t>甲方</w:t>
      </w:r>
      <w:r>
        <w:rPr>
          <w:rFonts w:hint="eastAsia" w:ascii="仿宋" w:hAnsi="仿宋" w:eastAsia="仿宋" w:cs="仿宋"/>
          <w:sz w:val="24"/>
          <w:lang w:val="zh-CN"/>
        </w:rPr>
        <w:t xml:space="preserve">：杭州市公安局                              </w:t>
      </w:r>
      <w:r>
        <w:rPr>
          <w:rFonts w:hint="eastAsia" w:ascii="仿宋" w:hAnsi="仿宋" w:eastAsia="仿宋" w:cs="仿宋"/>
          <w:b/>
          <w:sz w:val="24"/>
          <w:lang w:val="zh-CN"/>
        </w:rPr>
        <w:t>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法定代表人或授权代表（签字）：                    法定代表人或授权代表（签字）:</w:t>
      </w:r>
    </w:p>
    <w:p>
      <w:pPr>
        <w:autoSpaceDE w:val="0"/>
        <w:autoSpaceDN w:val="0"/>
        <w:spacing w:line="560" w:lineRule="exact"/>
        <w:jc w:val="lef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电话:                                           电话:</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开户银行：                                      开户银行：</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开户名称：                                      开户名称：</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                                      开户账号：</w:t>
      </w:r>
    </w:p>
    <w:p>
      <w:pPr>
        <w:widowControl/>
        <w:adjustRightInd w:val="0"/>
        <w:spacing w:line="560" w:lineRule="exact"/>
        <w:jc w:val="left"/>
        <w:rPr>
          <w:rFonts w:ascii="仿宋" w:hAnsi="仿宋" w:eastAsia="仿宋"/>
          <w:b/>
          <w:sz w:val="24"/>
        </w:rPr>
      </w:pPr>
    </w:p>
    <w:bookmarkEnd w:id="111"/>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p>
    <w:p>
      <w:pPr>
        <w:pStyle w:val="320"/>
        <w:spacing w:before="120" w:after="120" w:line="560" w:lineRule="exact"/>
        <w:ind w:firstLine="482"/>
        <w:jc w:val="center"/>
        <w:rPr>
          <w:rFonts w:ascii="仿宋" w:hAnsi="仿宋" w:eastAsia="仿宋" w:cs="仿宋"/>
          <w:b/>
          <w:szCs w:val="24"/>
        </w:rPr>
      </w:pPr>
      <w:r>
        <w:rPr>
          <w:rFonts w:hint="eastAsia" w:ascii="仿宋" w:hAnsi="仿宋" w:eastAsia="仿宋" w:cs="仿宋"/>
          <w:b/>
          <w:szCs w:val="24"/>
        </w:rPr>
        <w:t>第二部分合同条款</w:t>
      </w:r>
    </w:p>
    <w:p>
      <w:pPr>
        <w:spacing w:line="360" w:lineRule="auto"/>
        <w:ind w:firstLine="482" w:firstLineChars="200"/>
        <w:outlineLvl w:val="0"/>
        <w:rPr>
          <w:rFonts w:ascii="仿宋" w:hAnsi="仿宋" w:eastAsia="仿宋" w:cs="仿宋"/>
          <w:b/>
          <w:sz w:val="24"/>
        </w:rPr>
      </w:pPr>
      <w:bookmarkStart w:id="112" w:name="_Toc94869419"/>
      <w:bookmarkStart w:id="113" w:name="_Toc94189294"/>
      <w:bookmarkStart w:id="114" w:name="_Toc16917"/>
      <w:bookmarkStart w:id="115" w:name="_Ref467379094"/>
      <w:bookmarkStart w:id="116" w:name="_Ref467379214"/>
      <w:bookmarkStart w:id="117" w:name="_Toc28763"/>
      <w:bookmarkStart w:id="118" w:name="_Ref467379205"/>
      <w:bookmarkStart w:id="119" w:name="_Ref467379225"/>
      <w:bookmarkStart w:id="120" w:name="_Toc19614"/>
      <w:bookmarkStart w:id="121" w:name="_Toc259093669"/>
      <w:bookmarkStart w:id="122" w:name="_Toc94189537"/>
      <w:bookmarkStart w:id="123" w:name="_Ref467379109"/>
      <w:bookmarkStart w:id="124" w:name="_Ref467378499"/>
      <w:bookmarkStart w:id="125" w:name="_Ref467378404"/>
      <w:bookmarkStart w:id="126" w:name="_Ref467378463"/>
      <w:bookmarkStart w:id="127" w:name="_Toc487900349"/>
      <w:bookmarkStart w:id="128" w:name="_Toc279701240"/>
      <w:bookmarkStart w:id="129" w:name="_Ref467379101"/>
      <w:bookmarkStart w:id="130" w:name="_Ref467379195"/>
      <w:r>
        <w:rPr>
          <w:rFonts w:hint="eastAsia" w:ascii="仿宋" w:hAnsi="仿宋" w:eastAsia="仿宋" w:cs="仿宋"/>
          <w:b/>
          <w:sz w:val="24"/>
        </w:rPr>
        <w:t>2.1定义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2.1.2“合同价”系指根据合同约定，中标供应商在完全履行合同义务后，采购人应支付给中标供应商的价格。</w:t>
      </w:r>
    </w:p>
    <w:p>
      <w:pPr>
        <w:spacing w:line="360" w:lineRule="auto"/>
        <w:ind w:firstLine="480" w:firstLineChars="200"/>
        <w:jc w:val="left"/>
        <w:rPr>
          <w:rFonts w:ascii="仿宋" w:hAnsi="仿宋" w:eastAsia="仿宋" w:cs="宋体"/>
          <w:sz w:val="24"/>
        </w:rPr>
      </w:pPr>
      <w:r>
        <w:rPr>
          <w:rFonts w:hint="eastAsia" w:ascii="仿宋" w:hAnsi="仿宋" w:eastAsia="仿宋" w:cs="仿宋"/>
          <w:sz w:val="24"/>
        </w:rPr>
        <w:t>2.1.3“服务”系</w:t>
      </w:r>
      <w:r>
        <w:rPr>
          <w:rFonts w:hint="eastAsia" w:ascii="仿宋" w:hAnsi="仿宋" w:eastAsia="仿宋" w:cs="宋体"/>
          <w:sz w:val="24"/>
        </w:rPr>
        <w:t>指招标文件规定乙方须承担的合同范围服务以及其它类似的义务。</w:t>
      </w:r>
    </w:p>
    <w:p>
      <w:pPr>
        <w:snapToGrid w:val="0"/>
        <w:spacing w:line="360" w:lineRule="auto"/>
        <w:ind w:firstLine="480" w:firstLineChars="200"/>
        <w:rPr>
          <w:rFonts w:ascii="仿宋" w:hAnsi="仿宋" w:eastAsia="仿宋" w:cs="仿宋"/>
          <w:sz w:val="24"/>
        </w:rPr>
      </w:pPr>
      <w:bookmarkStart w:id="131" w:name="_Ref467378840"/>
      <w:r>
        <w:rPr>
          <w:rFonts w:hint="eastAsia" w:ascii="仿宋" w:hAnsi="仿宋" w:eastAsia="仿宋" w:cs="仿宋"/>
          <w:sz w:val="24"/>
        </w:rPr>
        <w:t>2.1.4“甲方”系指与中标供应商签署合同的采购人</w:t>
      </w:r>
      <w:bookmarkEnd w:id="131"/>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bookmarkStart w:id="132" w:name="_Ref467379400"/>
      <w:r>
        <w:rPr>
          <w:rFonts w:hint="eastAsia" w:ascii="仿宋" w:hAnsi="仿宋" w:eastAsia="仿宋" w:cs="仿宋"/>
          <w:sz w:val="24"/>
        </w:rPr>
        <w:t>2.1.5“乙方”系指根据合同约定提供服务的中标供应商</w:t>
      </w:r>
      <w:bookmarkEnd w:id="132"/>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s="仿宋"/>
          <w:sz w:val="24"/>
        </w:rPr>
      </w:pPr>
      <w:bookmarkStart w:id="133" w:name="_Ref467379436"/>
      <w:r>
        <w:rPr>
          <w:rFonts w:hint="eastAsia" w:ascii="仿宋" w:hAnsi="仿宋" w:eastAsia="仿宋" w:cs="仿宋"/>
          <w:sz w:val="24"/>
        </w:rPr>
        <w:t>2.1.6“现场”系指合同约定服务实施的地点。</w:t>
      </w:r>
      <w:bookmarkEnd w:id="133"/>
    </w:p>
    <w:p>
      <w:pPr>
        <w:snapToGrid w:val="0"/>
        <w:spacing w:line="360" w:lineRule="auto"/>
        <w:ind w:firstLine="482" w:firstLineChars="200"/>
        <w:outlineLvl w:val="0"/>
        <w:rPr>
          <w:rFonts w:ascii="仿宋" w:hAnsi="仿宋" w:eastAsia="仿宋" w:cs="仿宋"/>
          <w:b/>
          <w:sz w:val="24"/>
        </w:rPr>
      </w:pPr>
      <w:bookmarkStart w:id="134" w:name="_Toc13336"/>
      <w:bookmarkStart w:id="135" w:name="_Toc94189295"/>
      <w:bookmarkStart w:id="136" w:name="_Toc94189538"/>
      <w:bookmarkStart w:id="137" w:name="_Toc27635"/>
      <w:bookmarkStart w:id="138" w:name="_Toc487900350"/>
      <w:bookmarkStart w:id="139" w:name="_Toc259093670"/>
      <w:bookmarkStart w:id="140" w:name="_Toc94869420"/>
      <w:bookmarkStart w:id="141" w:name="_Toc279701241"/>
      <w:bookmarkStart w:id="142" w:name="_Toc32504"/>
      <w:r>
        <w:rPr>
          <w:rFonts w:hint="eastAsia" w:ascii="仿宋" w:hAnsi="仿宋" w:eastAsia="仿宋" w:cs="仿宋"/>
          <w:b/>
          <w:sz w:val="24"/>
        </w:rPr>
        <w:t>2.2技术规范</w:t>
      </w:r>
      <w:bookmarkEnd w:id="134"/>
      <w:bookmarkEnd w:id="135"/>
      <w:bookmarkEnd w:id="136"/>
      <w:bookmarkEnd w:id="137"/>
      <w:bookmarkEnd w:id="138"/>
      <w:bookmarkEnd w:id="139"/>
      <w:bookmarkEnd w:id="140"/>
      <w:bookmarkEnd w:id="141"/>
      <w:bookmarkEnd w:id="142"/>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仿宋" w:hAnsi="仿宋" w:eastAsia="仿宋" w:cs="仿宋"/>
          <w:b/>
          <w:sz w:val="24"/>
        </w:rPr>
      </w:pPr>
      <w:bookmarkStart w:id="143" w:name="_Toc94189296"/>
      <w:bookmarkStart w:id="144" w:name="_Toc94869421"/>
      <w:bookmarkStart w:id="145" w:name="_Toc27853"/>
      <w:bookmarkStart w:id="146" w:name="_Toc487900351"/>
      <w:bookmarkStart w:id="147" w:name="_Toc31634"/>
      <w:bookmarkStart w:id="148" w:name="_Toc279701242"/>
      <w:bookmarkStart w:id="149" w:name="_Toc259093671"/>
      <w:bookmarkStart w:id="150" w:name="_Toc94189539"/>
      <w:bookmarkStart w:id="151" w:name="_Toc9829"/>
      <w:r>
        <w:rPr>
          <w:rFonts w:hint="eastAsia" w:ascii="仿宋" w:hAnsi="仿宋" w:eastAsia="仿宋" w:cs="仿宋"/>
          <w:b/>
          <w:sz w:val="24"/>
        </w:rPr>
        <w:t>2.3知识产权</w:t>
      </w:r>
      <w:bookmarkEnd w:id="143"/>
      <w:bookmarkEnd w:id="144"/>
      <w:bookmarkEnd w:id="145"/>
      <w:bookmarkEnd w:id="146"/>
      <w:bookmarkEnd w:id="147"/>
      <w:bookmarkEnd w:id="148"/>
      <w:bookmarkEnd w:id="149"/>
      <w:bookmarkEnd w:id="150"/>
      <w:bookmarkEnd w:id="151"/>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乙方应保证甲方在使用服务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rPr>
      </w:pPr>
      <w:bookmarkStart w:id="152" w:name="_Ref467379527"/>
      <w:bookmarkStart w:id="153" w:name="_Ref467378591"/>
      <w:bookmarkStart w:id="154" w:name="_Ref467379536"/>
      <w:bookmarkStart w:id="155" w:name="_Ref467379542"/>
      <w:bookmarkStart w:id="156" w:name="_Toc279701245"/>
      <w:bookmarkStart w:id="157" w:name="_Toc259093674"/>
      <w:bookmarkStart w:id="158" w:name="_Toc487900354"/>
      <w:bookmarkStart w:id="159" w:name="_Ref467378541"/>
      <w:bookmarkStart w:id="160" w:name="_Toc19074"/>
      <w:bookmarkStart w:id="161" w:name="_Toc30272"/>
      <w:bookmarkStart w:id="162" w:name="_Toc26182"/>
      <w:bookmarkStart w:id="163" w:name="_Toc94189298"/>
      <w:bookmarkStart w:id="164" w:name="_Toc94189541"/>
      <w:r>
        <w:rPr>
          <w:rFonts w:hint="eastAsia" w:ascii="仿宋" w:hAnsi="仿宋" w:eastAsia="仿宋" w:cs="仿宋"/>
          <w:b/>
          <w:sz w:val="24"/>
        </w:rPr>
        <w:t>2.</w:t>
      </w:r>
      <w:bookmarkEnd w:id="152"/>
      <w:bookmarkEnd w:id="153"/>
      <w:bookmarkEnd w:id="154"/>
      <w:bookmarkEnd w:id="155"/>
      <w:bookmarkEnd w:id="156"/>
      <w:bookmarkEnd w:id="157"/>
      <w:bookmarkEnd w:id="158"/>
      <w:bookmarkEnd w:id="159"/>
      <w:r>
        <w:rPr>
          <w:rFonts w:hint="eastAsia" w:ascii="仿宋" w:hAnsi="仿宋" w:eastAsia="仿宋" w:cs="仿宋"/>
          <w:b/>
          <w:sz w:val="24"/>
        </w:rPr>
        <w:t>4履约检查和问题反馈</w:t>
      </w:r>
      <w:bookmarkEnd w:id="160"/>
      <w:bookmarkEnd w:id="161"/>
      <w:bookmarkEnd w:id="162"/>
      <w:bookmarkEnd w:id="163"/>
      <w:bookmarkEnd w:id="164"/>
    </w:p>
    <w:p>
      <w:pPr>
        <w:snapToGrid w:val="0"/>
        <w:spacing w:line="360" w:lineRule="auto"/>
        <w:ind w:firstLine="480" w:firstLineChars="200"/>
        <w:rPr>
          <w:rFonts w:ascii="仿宋" w:hAnsi="仿宋" w:eastAsia="仿宋" w:cs="仿宋"/>
          <w:sz w:val="24"/>
        </w:rPr>
      </w:pPr>
      <w:bookmarkStart w:id="165" w:name="_Ref467379657"/>
      <w:r>
        <w:rPr>
          <w:rFonts w:hint="eastAsia" w:ascii="仿宋" w:hAnsi="仿宋" w:eastAsia="仿宋" w:cs="仿宋"/>
          <w:sz w:val="24"/>
        </w:rPr>
        <w:t>2.4.1</w:t>
      </w:r>
      <w:bookmarkEnd w:id="165"/>
      <w:bookmarkStart w:id="166" w:name="_Toc186431854"/>
      <w:bookmarkStart w:id="167" w:name="_Toc259093676"/>
      <w:bookmarkStart w:id="168" w:name="_Toc279701247"/>
      <w:bookmarkStart w:id="169" w:name="_Toc487900357"/>
      <w:bookmarkStart w:id="170" w:name="_Ref467379793"/>
      <w:bookmarkStart w:id="171" w:name="_Ref467379807"/>
      <w:r>
        <w:rPr>
          <w:rFonts w:hint="eastAsia" w:ascii="仿宋" w:hAnsi="仿宋" w:eastAsia="仿宋" w:cs="仿宋"/>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2.4.2合同履行期间，甲方有权将履行过程中出现的问题反馈给乙方，双方当事人应以书面形式约定需要完善和改进的内容</w:t>
      </w:r>
      <w:bookmarkEnd w:id="166"/>
      <w:bookmarkStart w:id="172" w:name="_Toc186431855"/>
      <w:r>
        <w:rPr>
          <w:rFonts w:hint="eastAsia" w:ascii="仿宋" w:hAnsi="仿宋" w:eastAsia="仿宋" w:cs="仿宋"/>
          <w:sz w:val="24"/>
        </w:rPr>
        <w:t>。</w:t>
      </w:r>
    </w:p>
    <w:bookmarkEnd w:id="167"/>
    <w:bookmarkEnd w:id="168"/>
    <w:bookmarkEnd w:id="169"/>
    <w:bookmarkEnd w:id="170"/>
    <w:bookmarkEnd w:id="171"/>
    <w:bookmarkEnd w:id="172"/>
    <w:p>
      <w:pPr>
        <w:snapToGrid w:val="0"/>
        <w:spacing w:line="360" w:lineRule="auto"/>
        <w:ind w:firstLine="482" w:firstLineChars="200"/>
        <w:outlineLvl w:val="0"/>
        <w:rPr>
          <w:rFonts w:ascii="仿宋" w:hAnsi="仿宋" w:eastAsia="仿宋" w:cs="仿宋"/>
          <w:b/>
          <w:sz w:val="24"/>
        </w:rPr>
      </w:pPr>
      <w:bookmarkStart w:id="173" w:name="_Toc487900358"/>
      <w:bookmarkStart w:id="174" w:name="_Ref467379863"/>
      <w:bookmarkStart w:id="175" w:name="_Toc279701248"/>
      <w:bookmarkStart w:id="176" w:name="_Toc259093677"/>
      <w:bookmarkStart w:id="177" w:name="_Ref467379923"/>
      <w:bookmarkStart w:id="178" w:name="_Ref467379852"/>
      <w:bookmarkStart w:id="179" w:name="_Toc94189299"/>
      <w:bookmarkStart w:id="180" w:name="_Toc16110"/>
      <w:bookmarkStart w:id="181" w:name="_Toc774"/>
      <w:bookmarkStart w:id="182" w:name="_Toc3225"/>
      <w:bookmarkStart w:id="183" w:name="_Toc94869422"/>
      <w:bookmarkStart w:id="184" w:name="_Toc94189542"/>
      <w:r>
        <w:rPr>
          <w:rFonts w:hint="eastAsia" w:ascii="仿宋" w:hAnsi="仿宋" w:eastAsia="仿宋" w:cs="仿宋"/>
          <w:b/>
          <w:sz w:val="24"/>
        </w:rPr>
        <w:t>2.5技术资料</w:t>
      </w:r>
      <w:bookmarkEnd w:id="173"/>
      <w:bookmarkEnd w:id="174"/>
      <w:bookmarkEnd w:id="175"/>
      <w:bookmarkEnd w:id="176"/>
      <w:bookmarkEnd w:id="177"/>
      <w:bookmarkEnd w:id="178"/>
      <w:r>
        <w:rPr>
          <w:rFonts w:hint="eastAsia" w:ascii="仿宋" w:hAnsi="仿宋" w:eastAsia="仿宋" w:cs="仿宋"/>
          <w:b/>
          <w:sz w:val="24"/>
        </w:rPr>
        <w:t>和保密义务</w:t>
      </w:r>
      <w:bookmarkEnd w:id="179"/>
      <w:bookmarkEnd w:id="180"/>
      <w:bookmarkEnd w:id="181"/>
      <w:bookmarkEnd w:id="182"/>
      <w:bookmarkEnd w:id="183"/>
      <w:bookmarkEnd w:id="184"/>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2.5.1乙方有权依据合同约定和项目需要，向甲方了解有关情况，调阅有关资料等，甲方应予积极配合；</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1）甲方应当对乙方及工作人员开展常态化安全保密教育，组织签订安全保密承诺书，明确具体安全管理内容、安全保密义务和责任；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2）乙方及工作人员违反安全管理要求，构成违法犯罪的，乙方应当及时报送本级政府采购和市场监督管理部门，提请列入政府采购严重违法失信行为记录名单、市场监督管理严重失信名单，并追究相关责任。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2.5.2乙方有义务妥善保管和保护由甲方提供的前款信息和资料等；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0"/>
        <w:rPr>
          <w:rFonts w:ascii="仿宋" w:hAnsi="仿宋" w:eastAsia="仿宋" w:cs="仿宋"/>
          <w:b/>
          <w:sz w:val="24"/>
        </w:rPr>
      </w:pPr>
      <w:bookmarkStart w:id="185" w:name="_Toc94189543"/>
      <w:bookmarkStart w:id="186" w:name="_Toc7860"/>
      <w:bookmarkStart w:id="187" w:name="_Toc94869423"/>
      <w:bookmarkStart w:id="188" w:name="_Toc94189300"/>
      <w:r>
        <w:rPr>
          <w:rFonts w:hint="eastAsia" w:ascii="仿宋" w:hAnsi="仿宋" w:eastAsia="仿宋" w:cs="仿宋"/>
          <w:b/>
          <w:sz w:val="24"/>
        </w:rPr>
        <w:t>2.6质量保证</w:t>
      </w:r>
      <w:bookmarkEnd w:id="185"/>
      <w:bookmarkEnd w:id="186"/>
      <w:bookmarkEnd w:id="187"/>
      <w:bookmarkEnd w:id="18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2.6.1乙方应建立和完善履行合同的内部质量保证体系，并提供相关内部规章制度给甲方，以便甲方进行监督检查；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2.6.2乙方应保证履行合同的人员数量和素质满足全面履行合同的要求，并应接受甲方的监督检查。</w:t>
      </w:r>
    </w:p>
    <w:p>
      <w:pPr>
        <w:snapToGrid w:val="0"/>
        <w:spacing w:line="360" w:lineRule="auto"/>
        <w:ind w:firstLine="482" w:firstLineChars="200"/>
        <w:outlineLvl w:val="0"/>
        <w:rPr>
          <w:rFonts w:ascii="仿宋" w:hAnsi="仿宋" w:eastAsia="仿宋" w:cs="仿宋"/>
          <w:b/>
          <w:sz w:val="24"/>
        </w:rPr>
      </w:pPr>
      <w:bookmarkStart w:id="189" w:name="_Toc14055"/>
      <w:bookmarkStart w:id="190" w:name="_Toc94189545"/>
      <w:bookmarkStart w:id="191" w:name="_Toc259093681"/>
      <w:bookmarkStart w:id="192" w:name="_Toc279701252"/>
      <w:bookmarkStart w:id="193" w:name="_Toc487900362"/>
      <w:bookmarkStart w:id="194" w:name="_Toc94189302"/>
      <w:bookmarkStart w:id="195" w:name="_Toc94869424"/>
      <w:r>
        <w:rPr>
          <w:rFonts w:hint="eastAsia" w:ascii="仿宋" w:hAnsi="仿宋" w:eastAsia="仿宋" w:cs="仿宋"/>
          <w:b/>
          <w:sz w:val="24"/>
        </w:rPr>
        <w:t>2.7延迟</w:t>
      </w:r>
      <w:bookmarkEnd w:id="189"/>
      <w:bookmarkEnd w:id="190"/>
      <w:bookmarkEnd w:id="191"/>
      <w:bookmarkEnd w:id="192"/>
      <w:bookmarkEnd w:id="193"/>
      <w:bookmarkEnd w:id="194"/>
      <w:r>
        <w:rPr>
          <w:rFonts w:hint="eastAsia" w:ascii="仿宋" w:hAnsi="仿宋" w:eastAsia="仿宋" w:cs="仿宋"/>
          <w:b/>
          <w:sz w:val="24"/>
        </w:rPr>
        <w:t>服务</w:t>
      </w:r>
      <w:bookmarkEnd w:id="195"/>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pPr>
        <w:snapToGrid w:val="0"/>
        <w:spacing w:line="360" w:lineRule="auto"/>
        <w:ind w:firstLine="482" w:firstLineChars="200"/>
        <w:outlineLvl w:val="0"/>
        <w:rPr>
          <w:rFonts w:ascii="仿宋" w:hAnsi="仿宋" w:eastAsia="仿宋" w:cs="仿宋"/>
          <w:b/>
          <w:sz w:val="24"/>
        </w:rPr>
      </w:pPr>
      <w:bookmarkStart w:id="196" w:name="_Toc94189303"/>
      <w:bookmarkStart w:id="197" w:name="_Toc7502"/>
      <w:bookmarkStart w:id="198" w:name="_Toc94189546"/>
      <w:bookmarkStart w:id="199" w:name="_Toc94869425"/>
      <w:bookmarkStart w:id="200" w:name="_Toc279701254"/>
      <w:bookmarkStart w:id="201" w:name="_Toc259093683"/>
      <w:bookmarkStart w:id="202" w:name="_Ref467378121"/>
      <w:bookmarkStart w:id="203" w:name="_Toc487900364"/>
      <w:r>
        <w:rPr>
          <w:rFonts w:hint="eastAsia" w:ascii="仿宋" w:hAnsi="仿宋" w:eastAsia="仿宋" w:cs="仿宋"/>
          <w:b/>
          <w:sz w:val="24"/>
        </w:rPr>
        <w:t>2.8合同变更</w:t>
      </w:r>
      <w:bookmarkEnd w:id="196"/>
      <w:bookmarkEnd w:id="197"/>
      <w:bookmarkEnd w:id="198"/>
      <w:bookmarkEnd w:id="19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204" w:name="_Toc487900369"/>
      <w:bookmarkStart w:id="205" w:name="_Toc259093688"/>
      <w:bookmarkStart w:id="206" w:name="_Toc279701259"/>
    </w:p>
    <w:p>
      <w:pPr>
        <w:snapToGrid w:val="0"/>
        <w:spacing w:line="360" w:lineRule="auto"/>
        <w:ind w:firstLine="482" w:firstLineChars="200"/>
        <w:outlineLvl w:val="0"/>
        <w:rPr>
          <w:rFonts w:ascii="仿宋" w:hAnsi="仿宋" w:eastAsia="仿宋" w:cs="仿宋"/>
          <w:b/>
          <w:sz w:val="24"/>
        </w:rPr>
      </w:pPr>
      <w:bookmarkStart w:id="207" w:name="_Toc94869426"/>
      <w:bookmarkStart w:id="208" w:name="_Toc15237"/>
      <w:bookmarkStart w:id="209" w:name="_Toc94189547"/>
      <w:bookmarkStart w:id="210" w:name="_Toc94189304"/>
      <w:bookmarkStart w:id="211" w:name="_Toc22955"/>
      <w:bookmarkStart w:id="212" w:name="_Toc10366"/>
      <w:r>
        <w:rPr>
          <w:rFonts w:hint="eastAsia" w:ascii="仿宋" w:hAnsi="仿宋" w:eastAsia="仿宋" w:cs="仿宋"/>
          <w:b/>
          <w:sz w:val="24"/>
        </w:rPr>
        <w:t>2.9合同转让</w:t>
      </w:r>
      <w:bookmarkEnd w:id="204"/>
      <w:bookmarkEnd w:id="205"/>
      <w:bookmarkEnd w:id="206"/>
      <w:r>
        <w:rPr>
          <w:rFonts w:hint="eastAsia" w:ascii="仿宋" w:hAnsi="仿宋" w:eastAsia="仿宋" w:cs="仿宋"/>
          <w:b/>
          <w:sz w:val="24"/>
        </w:rPr>
        <w:t>和分包</w:t>
      </w:r>
      <w:bookmarkEnd w:id="207"/>
      <w:bookmarkEnd w:id="208"/>
      <w:bookmarkEnd w:id="209"/>
      <w:bookmarkEnd w:id="210"/>
      <w:bookmarkEnd w:id="211"/>
      <w:bookmarkEnd w:id="212"/>
    </w:p>
    <w:p>
      <w:pPr>
        <w:snapToGrid w:val="0"/>
        <w:spacing w:line="360" w:lineRule="auto"/>
        <w:ind w:firstLine="480" w:firstLineChars="200"/>
        <w:rPr>
          <w:rFonts w:ascii="仿宋" w:hAnsi="仿宋" w:eastAsia="仿宋" w:cs="仿宋"/>
          <w:sz w:val="24"/>
        </w:rPr>
      </w:pPr>
      <w:bookmarkStart w:id="213" w:name="_Toc13566"/>
      <w:bookmarkStart w:id="214" w:name="_Toc94189305"/>
      <w:bookmarkStart w:id="215" w:name="_Toc16508"/>
      <w:bookmarkStart w:id="216" w:name="_Toc94189548"/>
      <w:bookmarkStart w:id="217" w:name="_Toc14066"/>
      <w:r>
        <w:rPr>
          <w:rFonts w:ascii="仿宋" w:hAnsi="仿宋" w:eastAsia="仿宋" w:cs="仿宋"/>
          <w:sz w:val="24"/>
        </w:rPr>
        <w:t>2.9.1</w:t>
      </w:r>
      <w:r>
        <w:rPr>
          <w:rFonts w:hint="eastAsia" w:ascii="仿宋" w:hAnsi="仿宋" w:eastAsia="仿宋" w:cs="仿宋"/>
          <w:sz w:val="24"/>
        </w:rPr>
        <w:t>乙方不得将合同分包或转包。</w:t>
      </w:r>
    </w:p>
    <w:p>
      <w:pPr>
        <w:snapToGrid w:val="0"/>
        <w:spacing w:line="360" w:lineRule="auto"/>
        <w:ind w:firstLine="480" w:firstLineChars="200"/>
        <w:outlineLvl w:val="0"/>
        <w:rPr>
          <w:rFonts w:ascii="仿宋" w:hAnsi="仿宋" w:eastAsia="仿宋"/>
          <w:sz w:val="24"/>
        </w:rPr>
      </w:pPr>
      <w:bookmarkStart w:id="218" w:name="_Toc94869427"/>
      <w:r>
        <w:rPr>
          <w:rFonts w:ascii="仿宋" w:hAnsi="仿宋" w:eastAsia="仿宋"/>
          <w:sz w:val="24"/>
        </w:rPr>
        <w:t>2.9.2</w:t>
      </w:r>
      <w:r>
        <w:rPr>
          <w:rFonts w:hint="eastAsia" w:ascii="仿宋" w:hAnsi="仿宋" w:eastAsia="仿宋"/>
          <w:sz w:val="24"/>
        </w:rPr>
        <w:t>如</w:t>
      </w:r>
      <w:r>
        <w:rPr>
          <w:rFonts w:ascii="仿宋" w:hAnsi="仿宋" w:eastAsia="仿宋"/>
          <w:sz w:val="24"/>
        </w:rPr>
        <w:t>乙方将合同</w:t>
      </w:r>
      <w:r>
        <w:rPr>
          <w:rFonts w:hint="eastAsia" w:ascii="仿宋" w:hAnsi="仿宋" w:eastAsia="仿宋"/>
          <w:sz w:val="24"/>
        </w:rPr>
        <w:t>分包或转包，甲方将追回已支付的合同款，因此造成的一切损失由乙方负责赔偿。</w:t>
      </w:r>
      <w:bookmarkEnd w:id="218"/>
    </w:p>
    <w:p>
      <w:pPr>
        <w:snapToGrid w:val="0"/>
        <w:spacing w:line="360" w:lineRule="auto"/>
        <w:ind w:firstLine="482" w:firstLineChars="200"/>
        <w:outlineLvl w:val="0"/>
        <w:rPr>
          <w:rFonts w:ascii="仿宋" w:hAnsi="仿宋" w:eastAsia="仿宋" w:cs="仿宋"/>
          <w:b/>
          <w:sz w:val="24"/>
        </w:rPr>
      </w:pPr>
      <w:bookmarkStart w:id="219" w:name="_Toc94869428"/>
      <w:r>
        <w:rPr>
          <w:rFonts w:hint="eastAsia" w:ascii="仿宋" w:hAnsi="仿宋" w:eastAsia="仿宋" w:cs="仿宋"/>
          <w:b/>
          <w:sz w:val="24"/>
        </w:rPr>
        <w:t>2.10不可抗力</w:t>
      </w:r>
      <w:bookmarkEnd w:id="213"/>
      <w:bookmarkEnd w:id="214"/>
      <w:bookmarkEnd w:id="215"/>
      <w:bookmarkEnd w:id="216"/>
      <w:bookmarkEnd w:id="217"/>
      <w:bookmarkEnd w:id="21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2.10.2因不可抗力致使不能实现合同目的的，当事人可以解除合同；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hint="eastAsia" w:ascii="仿宋" w:hAnsi="仿宋" w:eastAsia="仿宋"/>
          <w:b/>
          <w:i/>
          <w:sz w:val="24"/>
          <w:u w:val="single"/>
        </w:rPr>
        <w:t>合同专用条款</w:t>
      </w:r>
      <w:r>
        <w:rPr>
          <w:rFonts w:hint="eastAsia" w:ascii="仿宋" w:hAnsi="仿宋" w:eastAsia="仿宋" w:cs="仿宋"/>
          <w:sz w:val="24"/>
        </w:rPr>
        <w:t>内以书面形式变更合同；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hint="eastAsia" w:ascii="仿宋" w:hAnsi="仿宋" w:eastAsia="仿宋"/>
          <w:b/>
          <w:i/>
          <w:sz w:val="24"/>
          <w:u w:val="single"/>
        </w:rPr>
        <w:t>合同专用条款</w:t>
      </w:r>
      <w:r>
        <w:rPr>
          <w:rFonts w:hint="eastAsia" w:ascii="仿宋" w:hAnsi="仿宋" w:eastAsia="仿宋" w:cs="仿宋"/>
          <w:sz w:val="24"/>
        </w:rPr>
        <w:t>内以书面形式通知对方当事人，并在</w:t>
      </w:r>
      <w:r>
        <w:rPr>
          <w:rFonts w:hint="eastAsia" w:ascii="仿宋" w:hAnsi="仿宋" w:eastAsia="仿宋"/>
          <w:b/>
          <w:i/>
          <w:sz w:val="24"/>
          <w:u w:val="single"/>
        </w:rPr>
        <w:t>合同专用条款</w:t>
      </w:r>
      <w:r>
        <w:rPr>
          <w:rFonts w:hint="eastAsia" w:ascii="仿宋" w:hAnsi="仿宋" w:eastAsia="仿宋" w:cs="仿宋"/>
          <w:sz w:val="24"/>
        </w:rPr>
        <w:t>内，将有关部门出具的证明文件送达对方当事人。</w:t>
      </w:r>
    </w:p>
    <w:p>
      <w:pPr>
        <w:snapToGrid w:val="0"/>
        <w:spacing w:line="360" w:lineRule="auto"/>
        <w:ind w:firstLine="482" w:firstLineChars="200"/>
        <w:outlineLvl w:val="0"/>
        <w:rPr>
          <w:rFonts w:ascii="仿宋" w:hAnsi="仿宋" w:eastAsia="仿宋" w:cs="仿宋"/>
          <w:b/>
          <w:sz w:val="24"/>
        </w:rPr>
      </w:pPr>
      <w:bookmarkStart w:id="220" w:name="_Toc279701255"/>
      <w:bookmarkStart w:id="221" w:name="_Toc259093684"/>
      <w:bookmarkStart w:id="222" w:name="_Toc94869429"/>
      <w:bookmarkStart w:id="223" w:name="_Toc30676"/>
      <w:bookmarkStart w:id="224" w:name="_Toc689"/>
      <w:bookmarkStart w:id="225" w:name="_Toc6969"/>
      <w:bookmarkStart w:id="226" w:name="_Toc487900365"/>
      <w:bookmarkStart w:id="227" w:name="_Toc94189306"/>
      <w:bookmarkStart w:id="228" w:name="_Toc94189549"/>
      <w:r>
        <w:rPr>
          <w:rFonts w:hint="eastAsia" w:ascii="仿宋" w:hAnsi="仿宋" w:eastAsia="仿宋" w:cs="仿宋"/>
          <w:b/>
          <w:sz w:val="24"/>
        </w:rPr>
        <w:t>2.11税费</w:t>
      </w:r>
      <w:bookmarkEnd w:id="220"/>
      <w:bookmarkEnd w:id="221"/>
      <w:bookmarkEnd w:id="222"/>
      <w:bookmarkEnd w:id="223"/>
      <w:bookmarkEnd w:id="224"/>
      <w:bookmarkEnd w:id="225"/>
      <w:bookmarkEnd w:id="226"/>
      <w:bookmarkEnd w:id="227"/>
      <w:bookmarkEnd w:id="22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napToGrid w:val="0"/>
        <w:spacing w:line="360" w:lineRule="auto"/>
        <w:ind w:firstLine="482" w:firstLineChars="200"/>
        <w:outlineLvl w:val="0"/>
        <w:rPr>
          <w:rFonts w:ascii="仿宋" w:hAnsi="仿宋" w:eastAsia="仿宋" w:cs="仿宋"/>
          <w:b/>
          <w:sz w:val="24"/>
        </w:rPr>
      </w:pPr>
      <w:bookmarkStart w:id="229" w:name="_Toc94869430"/>
      <w:bookmarkStart w:id="230" w:name="_Toc94189307"/>
      <w:bookmarkStart w:id="231" w:name="_Toc259093687"/>
      <w:bookmarkStart w:id="232" w:name="_Toc7102"/>
      <w:bookmarkStart w:id="233" w:name="_Toc487900368"/>
      <w:bookmarkStart w:id="234" w:name="_Toc279701258"/>
      <w:bookmarkStart w:id="235" w:name="_Toc16959"/>
      <w:bookmarkStart w:id="236" w:name="_Toc94189550"/>
      <w:bookmarkStart w:id="237" w:name="_Toc8298"/>
      <w:r>
        <w:rPr>
          <w:rFonts w:hint="eastAsia" w:ascii="仿宋" w:hAnsi="仿宋" w:eastAsia="仿宋" w:cs="仿宋"/>
          <w:b/>
          <w:sz w:val="24"/>
        </w:rPr>
        <w:t>2.12乙方破产</w:t>
      </w:r>
      <w:bookmarkEnd w:id="229"/>
      <w:bookmarkEnd w:id="230"/>
      <w:bookmarkEnd w:id="231"/>
      <w:bookmarkEnd w:id="232"/>
      <w:bookmarkEnd w:id="233"/>
      <w:bookmarkEnd w:id="234"/>
      <w:bookmarkEnd w:id="235"/>
      <w:bookmarkEnd w:id="236"/>
      <w:bookmarkEnd w:id="237"/>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仿宋" w:hAnsi="仿宋" w:eastAsia="仿宋" w:cs="仿宋"/>
          <w:b/>
          <w:sz w:val="24"/>
        </w:rPr>
      </w:pPr>
      <w:bookmarkStart w:id="238" w:name="_Toc94869431"/>
      <w:bookmarkStart w:id="239" w:name="_Toc6134"/>
      <w:bookmarkStart w:id="240" w:name="_Toc29333"/>
      <w:bookmarkStart w:id="241" w:name="_Toc94189308"/>
      <w:bookmarkStart w:id="242" w:name="_Toc15387"/>
      <w:bookmarkStart w:id="243" w:name="_Toc94189551"/>
      <w:r>
        <w:rPr>
          <w:rFonts w:hint="eastAsia" w:ascii="仿宋" w:hAnsi="仿宋" w:eastAsia="仿宋" w:cs="仿宋"/>
          <w:b/>
          <w:sz w:val="24"/>
        </w:rPr>
        <w:t>2.13合同中止、终止</w:t>
      </w:r>
      <w:bookmarkEnd w:id="238"/>
      <w:bookmarkEnd w:id="239"/>
      <w:bookmarkEnd w:id="240"/>
      <w:bookmarkEnd w:id="241"/>
      <w:bookmarkEnd w:id="242"/>
      <w:bookmarkEnd w:id="243"/>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2.13.1双方当事人不得擅自中止或者终止合同；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2.13.2合同继续履行将损害国家利益和社会公共利益的，双方当事人应当中止或者终止合同。有过错的一方应当承担赔偿责任，双方当事人都有过错的，各自承担相应的责任。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仿宋" w:hAnsi="仿宋" w:eastAsia="仿宋" w:cs="仿宋"/>
          <w:b/>
          <w:sz w:val="24"/>
        </w:rPr>
      </w:pPr>
      <w:bookmarkStart w:id="244" w:name="_Toc94189552"/>
      <w:bookmarkStart w:id="245" w:name="_Toc1125"/>
      <w:bookmarkStart w:id="246" w:name="_Toc94189309"/>
      <w:bookmarkStart w:id="247" w:name="_Toc94869432"/>
      <w:bookmarkStart w:id="248" w:name="_Toc6596"/>
      <w:bookmarkStart w:id="249" w:name="_Toc14563"/>
      <w:r>
        <w:rPr>
          <w:rFonts w:hint="eastAsia" w:ascii="仿宋" w:hAnsi="仿宋" w:eastAsia="仿宋" w:cs="仿宋"/>
          <w:b/>
          <w:sz w:val="24"/>
        </w:rPr>
        <w:t>2.14检验和验收</w:t>
      </w:r>
      <w:bookmarkEnd w:id="244"/>
      <w:bookmarkEnd w:id="245"/>
      <w:bookmarkEnd w:id="246"/>
      <w:bookmarkEnd w:id="247"/>
      <w:bookmarkEnd w:id="248"/>
      <w:bookmarkEnd w:id="249"/>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2.14.1服务期间，乙方在</w:t>
      </w:r>
      <w:r>
        <w:rPr>
          <w:rFonts w:hint="eastAsia" w:ascii="仿宋" w:hAnsi="仿宋" w:eastAsia="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2.14.3检验和验收标准、程序等具体内容以及前述验收书的效力</w:t>
      </w:r>
      <w:bookmarkEnd w:id="200"/>
      <w:bookmarkEnd w:id="201"/>
      <w:bookmarkEnd w:id="202"/>
      <w:bookmarkEnd w:id="203"/>
      <w:bookmarkStart w:id="250" w:name="_Toc259093690"/>
      <w:bookmarkStart w:id="251" w:name="_Toc279701261"/>
      <w:bookmarkStart w:id="252" w:name="_Toc487900371"/>
      <w:bookmarkStart w:id="253" w:name="_Toc94189553"/>
      <w:bookmarkStart w:id="254" w:name="_Toc19604"/>
      <w:bookmarkStart w:id="255" w:name="_Toc11284"/>
      <w:bookmarkStart w:id="256" w:name="_Toc94189310"/>
      <w:bookmarkStart w:id="257" w:name="_Toc25182"/>
      <w:r>
        <w:rPr>
          <w:rFonts w:hint="eastAsia" w:ascii="仿宋" w:hAnsi="仿宋" w:eastAsia="仿宋"/>
          <w:sz w:val="24"/>
        </w:rPr>
        <w:t>详见</w:t>
      </w:r>
      <w:r>
        <w:rPr>
          <w:rFonts w:hint="eastAsia" w:ascii="仿宋" w:hAnsi="仿宋" w:eastAsia="仿宋"/>
          <w:b/>
          <w:i/>
          <w:sz w:val="24"/>
          <w:u w:val="single"/>
        </w:rPr>
        <w:t>合同专用条款</w:t>
      </w:r>
      <w:r>
        <w:rPr>
          <w:rFonts w:hint="eastAsia" w:ascii="仿宋" w:hAnsi="仿宋" w:eastAsia="仿宋"/>
          <w:i/>
          <w:sz w:val="24"/>
        </w:rPr>
        <w:t>。</w:t>
      </w:r>
    </w:p>
    <w:p>
      <w:pPr>
        <w:tabs>
          <w:tab w:val="left" w:pos="360"/>
          <w:tab w:val="left" w:pos="540"/>
          <w:tab w:val="left" w:pos="1080"/>
        </w:tabs>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2.15通知</w:t>
      </w:r>
      <w:bookmarkEnd w:id="250"/>
      <w:bookmarkEnd w:id="251"/>
      <w:bookmarkEnd w:id="252"/>
      <w:r>
        <w:rPr>
          <w:rFonts w:hint="eastAsia" w:ascii="仿宋" w:hAnsi="仿宋" w:eastAsia="仿宋" w:cs="仿宋"/>
          <w:b/>
          <w:sz w:val="24"/>
        </w:rPr>
        <w:t>和送达</w:t>
      </w:r>
      <w:bookmarkEnd w:id="253"/>
      <w:bookmarkEnd w:id="254"/>
      <w:bookmarkEnd w:id="255"/>
      <w:bookmarkEnd w:id="256"/>
      <w:bookmarkEnd w:id="257"/>
    </w:p>
    <w:p>
      <w:pPr>
        <w:snapToGrid w:val="0"/>
        <w:spacing w:line="360" w:lineRule="auto"/>
        <w:ind w:firstLine="480" w:firstLineChars="200"/>
        <w:rPr>
          <w:rFonts w:ascii="仿宋" w:hAnsi="仿宋" w:eastAsia="仿宋" w:cs="仿宋"/>
          <w:sz w:val="24"/>
        </w:rPr>
      </w:pPr>
      <w:bookmarkStart w:id="258" w:name="_Toc6698"/>
      <w:bookmarkStart w:id="259" w:name="_Toc3135"/>
      <w:bookmarkStart w:id="260" w:name="_Toc259093691"/>
      <w:bookmarkStart w:id="261" w:name="_Toc279701262"/>
      <w:bookmarkStart w:id="262" w:name="_Toc487900372"/>
      <w:r>
        <w:rPr>
          <w:rFonts w:hint="eastAsia" w:ascii="仿宋" w:hAnsi="仿宋" w:eastAsia="仿宋" w:cs="仿宋"/>
          <w:sz w:val="24"/>
        </w:rPr>
        <w:t>2.15.1任何一方因履行合同而以合同第一部分尾部所列明的传真或电子邮件发出的所有通知、文件、材料，均视为已向对方当事人送达；任何一方变更上述送达方式或者地址的，应于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258"/>
      <w:bookmarkEnd w:id="259"/>
    </w:p>
    <w:p>
      <w:pPr>
        <w:snapToGrid w:val="0"/>
        <w:spacing w:line="360" w:lineRule="auto"/>
        <w:ind w:firstLine="480" w:firstLineChars="200"/>
        <w:rPr>
          <w:rFonts w:ascii="仿宋" w:hAnsi="仿宋" w:eastAsia="仿宋" w:cs="仿宋"/>
          <w:sz w:val="24"/>
        </w:rPr>
      </w:pPr>
      <w:bookmarkStart w:id="263" w:name="_Toc23128"/>
      <w:bookmarkStart w:id="264" w:name="_Toc23294"/>
      <w:r>
        <w:rPr>
          <w:rFonts w:hint="eastAsia" w:ascii="仿宋" w:hAnsi="仿宋" w:eastAsia="仿宋" w:cs="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pPr>
        <w:snapToGrid w:val="0"/>
        <w:spacing w:line="360" w:lineRule="auto"/>
        <w:ind w:firstLine="482" w:firstLineChars="200"/>
        <w:outlineLvl w:val="0"/>
        <w:rPr>
          <w:rFonts w:ascii="仿宋" w:hAnsi="仿宋" w:eastAsia="仿宋" w:cs="仿宋"/>
          <w:b/>
          <w:sz w:val="24"/>
        </w:rPr>
      </w:pPr>
      <w:bookmarkStart w:id="265" w:name="_Toc18540"/>
      <w:bookmarkStart w:id="266" w:name="_Toc30599"/>
      <w:bookmarkStart w:id="267" w:name="_Toc94189311"/>
      <w:bookmarkStart w:id="268" w:name="_Toc4355"/>
      <w:bookmarkStart w:id="269" w:name="_Toc94189554"/>
      <w:bookmarkStart w:id="270" w:name="_Toc94869433"/>
      <w:r>
        <w:rPr>
          <w:rFonts w:hint="eastAsia" w:ascii="仿宋" w:hAnsi="仿宋" w:eastAsia="仿宋" w:cs="仿宋"/>
          <w:b/>
          <w:sz w:val="24"/>
        </w:rPr>
        <w:t>2.16计量单位</w:t>
      </w:r>
      <w:bookmarkEnd w:id="260"/>
      <w:bookmarkEnd w:id="261"/>
      <w:bookmarkEnd w:id="262"/>
      <w:bookmarkEnd w:id="265"/>
      <w:bookmarkEnd w:id="266"/>
      <w:bookmarkEnd w:id="267"/>
      <w:bookmarkEnd w:id="268"/>
      <w:bookmarkEnd w:id="269"/>
      <w:bookmarkEnd w:id="270"/>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napToGrid w:val="0"/>
        <w:spacing w:line="360" w:lineRule="auto"/>
        <w:ind w:firstLine="482" w:firstLineChars="200"/>
        <w:outlineLvl w:val="0"/>
        <w:rPr>
          <w:rFonts w:ascii="仿宋" w:hAnsi="仿宋" w:eastAsia="仿宋" w:cs="仿宋"/>
          <w:b/>
          <w:sz w:val="24"/>
        </w:rPr>
      </w:pPr>
      <w:bookmarkStart w:id="271" w:name="_Toc259093692"/>
      <w:bookmarkStart w:id="272" w:name="_Toc12773"/>
      <w:bookmarkStart w:id="273" w:name="_Toc10330"/>
      <w:bookmarkStart w:id="274" w:name="_Toc18567"/>
      <w:bookmarkStart w:id="275" w:name="_Toc279701263"/>
      <w:bookmarkStart w:id="276" w:name="_Toc94189555"/>
      <w:bookmarkStart w:id="277" w:name="_Toc94189312"/>
      <w:bookmarkStart w:id="278" w:name="_Toc487900373"/>
      <w:bookmarkStart w:id="279" w:name="_Toc94869434"/>
      <w:r>
        <w:rPr>
          <w:rFonts w:hint="eastAsia" w:ascii="仿宋" w:hAnsi="仿宋" w:eastAsia="仿宋" w:cs="仿宋"/>
          <w:b/>
          <w:sz w:val="24"/>
        </w:rPr>
        <w:t>2.17合同使用的文字和适用的法律</w:t>
      </w:r>
      <w:bookmarkEnd w:id="271"/>
      <w:bookmarkEnd w:id="272"/>
      <w:bookmarkEnd w:id="273"/>
      <w:bookmarkEnd w:id="274"/>
      <w:bookmarkEnd w:id="275"/>
      <w:bookmarkEnd w:id="276"/>
      <w:bookmarkEnd w:id="277"/>
      <w:bookmarkEnd w:id="278"/>
      <w:bookmarkEnd w:id="279"/>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2.17.1合同使用汉语书就、变更和解释；</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2.17.2合同适用中华人民共和国法律。</w:t>
      </w:r>
    </w:p>
    <w:p>
      <w:pPr>
        <w:snapToGrid w:val="0"/>
        <w:spacing w:line="360" w:lineRule="auto"/>
        <w:ind w:firstLine="482" w:firstLineChars="200"/>
        <w:outlineLvl w:val="0"/>
        <w:rPr>
          <w:rFonts w:ascii="仿宋" w:hAnsi="仿宋" w:eastAsia="仿宋" w:cs="仿宋"/>
          <w:b/>
          <w:sz w:val="24"/>
        </w:rPr>
      </w:pPr>
      <w:bookmarkStart w:id="280" w:name="_Toc16673"/>
      <w:bookmarkStart w:id="281" w:name="_Toc94869435"/>
      <w:bookmarkStart w:id="282" w:name="_Toc259093693"/>
      <w:bookmarkStart w:id="283" w:name="_Toc3148"/>
      <w:bookmarkStart w:id="284" w:name="_Toc12004"/>
      <w:bookmarkStart w:id="285" w:name="_Toc94189556"/>
      <w:bookmarkStart w:id="286" w:name="_Toc279701264"/>
      <w:bookmarkStart w:id="287" w:name="_Toc94189313"/>
      <w:bookmarkStart w:id="288" w:name="_Toc487900374"/>
      <w:r>
        <w:rPr>
          <w:rFonts w:hint="eastAsia" w:ascii="仿宋" w:hAnsi="仿宋" w:eastAsia="仿宋" w:cs="仿宋"/>
          <w:b/>
          <w:sz w:val="24"/>
        </w:rPr>
        <w:t>2.18履约保证金</w:t>
      </w:r>
      <w:bookmarkEnd w:id="280"/>
      <w:bookmarkEnd w:id="281"/>
      <w:bookmarkEnd w:id="282"/>
      <w:bookmarkEnd w:id="283"/>
      <w:bookmarkEnd w:id="284"/>
      <w:bookmarkEnd w:id="285"/>
      <w:bookmarkEnd w:id="286"/>
      <w:bookmarkEnd w:id="287"/>
    </w:p>
    <w:p>
      <w:pPr>
        <w:widowControl/>
        <w:spacing w:line="360" w:lineRule="auto"/>
        <w:ind w:firstLine="420"/>
        <w:jc w:val="left"/>
        <w:rPr>
          <w:rFonts w:ascii="仿宋" w:hAnsi="仿宋" w:eastAsia="仿宋" w:cs="宋体"/>
          <w:kern w:val="0"/>
          <w:sz w:val="24"/>
        </w:rPr>
      </w:pPr>
      <w:r>
        <w:rPr>
          <w:rFonts w:hint="eastAsia" w:ascii="仿宋" w:hAnsi="仿宋" w:eastAsia="仿宋" w:cs="仿宋"/>
          <w:sz w:val="24"/>
        </w:rPr>
        <w:t xml:space="preserve">2.18.1 </w:t>
      </w:r>
      <w:r>
        <w:rPr>
          <w:rFonts w:hint="eastAsia" w:ascii="仿宋" w:hAnsi="仿宋" w:eastAsia="仿宋" w:cs="宋体"/>
          <w:kern w:val="0"/>
          <w:sz w:val="24"/>
        </w:rPr>
        <w:t>采购文件要求乙方提交履约保证金的，乙方应按</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约定的方式，以支票、汇票、本票或者金融机构、担保机构出具的保函等非现金形式，提交不超过合同金额1</w:t>
      </w:r>
      <w:r>
        <w:rPr>
          <w:rFonts w:ascii="仿宋" w:hAnsi="仿宋" w:eastAsia="仿宋" w:cs="宋体"/>
          <w:kern w:val="0"/>
          <w:sz w:val="24"/>
        </w:rPr>
        <w:t>%的履约保证金；鼓励和支持乙方以</w:t>
      </w:r>
      <w:r>
        <w:rPr>
          <w:rFonts w:hint="eastAsia" w:ascii="仿宋" w:hAnsi="仿宋" w:eastAsia="仿宋" w:cs="宋体"/>
          <w:kern w:val="0"/>
          <w:sz w:val="24"/>
        </w:rPr>
        <w:t>履约</w:t>
      </w:r>
      <w:r>
        <w:rPr>
          <w:rFonts w:ascii="仿宋" w:hAnsi="仿宋" w:eastAsia="仿宋" w:cs="宋体"/>
          <w:kern w:val="0"/>
          <w:sz w:val="24"/>
        </w:rPr>
        <w:t>保函形式提供履约保证。</w:t>
      </w:r>
    </w:p>
    <w:p>
      <w:pPr>
        <w:widowControl/>
        <w:spacing w:line="360" w:lineRule="auto"/>
        <w:ind w:firstLine="420"/>
        <w:jc w:val="left"/>
        <w:rPr>
          <w:rFonts w:ascii="仿宋" w:hAnsi="仿宋" w:eastAsia="仿宋" w:cs="宋体"/>
          <w:kern w:val="0"/>
          <w:sz w:val="24"/>
        </w:rPr>
      </w:pPr>
      <w:r>
        <w:rPr>
          <w:rFonts w:hint="eastAsia" w:ascii="仿宋" w:hAnsi="仿宋" w:eastAsia="仿宋" w:cs="仿宋"/>
          <w:sz w:val="24"/>
        </w:rPr>
        <w:t>2.18.2</w:t>
      </w:r>
      <w:r>
        <w:rPr>
          <w:rFonts w:hint="eastAsia" w:ascii="仿宋" w:hAnsi="仿宋" w:eastAsia="仿宋" w:cs="宋体"/>
          <w:kern w:val="0"/>
          <w:sz w:val="24"/>
        </w:rPr>
        <w:t>履约保证金在</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约定期间内不予退还。乙方在前述约定期间届满前能履行完合同约定义务事项的，甲方在前述约定期间届满之日起</w:t>
      </w:r>
      <w:r>
        <w:rPr>
          <w:rFonts w:ascii="仿宋" w:hAnsi="仿宋" w:eastAsia="仿宋" w:cs="宋体"/>
          <w:kern w:val="0"/>
          <w:sz w:val="24"/>
        </w:rPr>
        <w:t>5</w:t>
      </w:r>
      <w:r>
        <w:rPr>
          <w:rFonts w:hint="eastAsia" w:ascii="仿宋" w:hAnsi="仿宋" w:eastAsia="仿宋" w:cs="宋体"/>
          <w:kern w:val="0"/>
          <w:sz w:val="24"/>
        </w:rPr>
        <w:t>个工作日内，按</w:t>
      </w:r>
      <w:r>
        <w:rPr>
          <w:rFonts w:hint="eastAsia" w:ascii="仿宋" w:hAnsi="仿宋" w:eastAsia="仿宋" w:cs="宋体"/>
          <w:b/>
          <w:i/>
          <w:kern w:val="0"/>
          <w:sz w:val="24"/>
          <w:u w:val="single"/>
        </w:rPr>
        <w:t>合同专用条款</w:t>
      </w:r>
      <w:r>
        <w:rPr>
          <w:rFonts w:hint="eastAsia" w:ascii="仿宋" w:hAnsi="仿宋" w:eastAsia="仿宋" w:cs="宋体"/>
          <w:kern w:val="0"/>
          <w:sz w:val="24"/>
        </w:rPr>
        <w:t>约定的方式将履约保证金退还乙方，逾期退还的，乙方可要求甲方支付违约金，违约金按每迟延退还一日的应退还而未退还金额的</w:t>
      </w:r>
      <w:r>
        <w:rPr>
          <w:rFonts w:ascii="仿宋" w:hAnsi="仿宋" w:eastAsia="仿宋" w:cs="宋体"/>
          <w:kern w:val="0"/>
          <w:sz w:val="24"/>
        </w:rPr>
        <w:t>0.05%计算，最高限额为本合同履约保证金的20%</w:t>
      </w:r>
      <w:r>
        <w:rPr>
          <w:rFonts w:hint="eastAsia" w:ascii="仿宋" w:hAnsi="仿宋" w:eastAsia="仿宋" w:cs="宋体"/>
          <w:kern w:val="0"/>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2.18.3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2.18.4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8"/>
    <w:p>
      <w:pPr>
        <w:snapToGrid w:val="0"/>
        <w:spacing w:line="360" w:lineRule="auto"/>
        <w:ind w:firstLine="480" w:firstLineChars="200"/>
        <w:outlineLvl w:val="0"/>
        <w:rPr>
          <w:rFonts w:ascii="仿宋" w:hAnsi="仿宋" w:eastAsia="仿宋" w:cs="仿宋"/>
          <w:sz w:val="24"/>
        </w:rPr>
      </w:pPr>
      <w:bookmarkStart w:id="289" w:name="_Toc94869436"/>
      <w:bookmarkStart w:id="290" w:name="_Toc94189557"/>
      <w:bookmarkStart w:id="291" w:name="_Toc19890"/>
      <w:bookmarkStart w:id="292" w:name="_Toc6885"/>
      <w:bookmarkStart w:id="293" w:name="_Toc94189314"/>
      <w:bookmarkStart w:id="294" w:name="_Toc14001"/>
      <w:r>
        <w:rPr>
          <w:rFonts w:hint="eastAsia" w:ascii="仿宋" w:hAnsi="仿宋" w:eastAsia="仿宋" w:cs="仿宋"/>
          <w:sz w:val="24"/>
        </w:rPr>
        <w:t>2.18.5 甲方根据杭州市政府采购网公布的供应商履约评价情况减免履约保证金。乙方履约验收评价总分为100分的，甲方免收履约保证金；评价总分在不满100分或者暂无评分的，收取履约保证金为合同金额1%。</w:t>
      </w:r>
      <w:bookmarkEnd w:id="289"/>
    </w:p>
    <w:p>
      <w:pPr>
        <w:snapToGrid w:val="0"/>
        <w:spacing w:line="360" w:lineRule="auto"/>
        <w:ind w:firstLine="480" w:firstLineChars="200"/>
        <w:outlineLvl w:val="0"/>
        <w:rPr>
          <w:rFonts w:ascii="仿宋" w:hAnsi="仿宋" w:eastAsia="仿宋" w:cs="仿宋"/>
          <w:sz w:val="24"/>
        </w:rPr>
      </w:pPr>
      <w:bookmarkStart w:id="295" w:name="_Toc94869437"/>
      <w:r>
        <w:rPr>
          <w:rFonts w:hint="eastAsia" w:ascii="仿宋" w:hAnsi="仿宋" w:eastAsia="仿宋" w:cs="仿宋"/>
          <w:sz w:val="24"/>
        </w:rPr>
        <w:t>2.18.6甲方在乙方履行完合同约定义务事项后及时退还，延迟退还的，应当按照合同约定和法律规定承担相应的赔偿责任。</w:t>
      </w:r>
      <w:bookmarkEnd w:id="295"/>
    </w:p>
    <w:p>
      <w:pPr>
        <w:snapToGrid w:val="0"/>
        <w:spacing w:line="360" w:lineRule="auto"/>
        <w:ind w:firstLine="480" w:firstLineChars="200"/>
        <w:outlineLvl w:val="0"/>
        <w:rPr>
          <w:rFonts w:ascii="仿宋" w:hAnsi="仿宋" w:eastAsia="仿宋" w:cs="仿宋"/>
          <w:sz w:val="24"/>
        </w:rPr>
      </w:pPr>
      <w:bookmarkStart w:id="296" w:name="_Toc94869438"/>
      <w:r>
        <w:rPr>
          <w:rFonts w:hint="eastAsia" w:ascii="仿宋" w:hAnsi="仿宋" w:eastAsia="仿宋" w:cs="仿宋"/>
          <w:sz w:val="24"/>
        </w:rPr>
        <w:t>2.19对于因甲方原因导致变更、中止或者终止政府采购合同的，甲方应当依照合同约定对乙方受到的损失予以赔偿或者补偿。</w:t>
      </w:r>
      <w:bookmarkEnd w:id="296"/>
    </w:p>
    <w:p>
      <w:pPr>
        <w:spacing w:line="560" w:lineRule="exact"/>
        <w:ind w:firstLine="482" w:firstLineChars="200"/>
        <w:rPr>
          <w:rFonts w:ascii="仿宋" w:hAnsi="仿宋" w:eastAsia="仿宋" w:cs="仿宋"/>
          <w:b/>
          <w:sz w:val="24"/>
        </w:rPr>
      </w:pPr>
      <w:r>
        <w:rPr>
          <w:rFonts w:hint="eastAsia" w:ascii="仿宋" w:hAnsi="仿宋" w:eastAsia="仿宋" w:cs="仿宋"/>
          <w:b/>
          <w:sz w:val="24"/>
        </w:rPr>
        <w:t>2.20合同份数</w:t>
      </w:r>
      <w:bookmarkEnd w:id="290"/>
      <w:bookmarkEnd w:id="291"/>
      <w:bookmarkEnd w:id="292"/>
      <w:bookmarkEnd w:id="293"/>
      <w:bookmarkEnd w:id="294"/>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20"/>
        <w:spacing w:before="120" w:after="120" w:line="560" w:lineRule="exact"/>
        <w:jc w:val="center"/>
        <w:rPr>
          <w:rFonts w:ascii="仿宋" w:hAnsi="仿宋" w:eastAsia="仿宋" w:cs="仿宋"/>
          <w:b/>
          <w:szCs w:val="24"/>
        </w:rPr>
      </w:pPr>
      <w:r>
        <w:rPr>
          <w:rFonts w:ascii="仿宋" w:hAnsi="仿宋" w:eastAsia="仿宋"/>
          <w:kern w:val="0"/>
        </w:rPr>
        <w:br w:type="page"/>
      </w:r>
      <w:bookmarkStart w:id="297" w:name="_Toc331685784"/>
      <w:bookmarkEnd w:id="297"/>
      <w:r>
        <w:rPr>
          <w:rFonts w:hint="eastAsia" w:ascii="仿宋" w:hAnsi="仿宋" w:eastAsia="仿宋" w:cs="仿宋"/>
          <w:b/>
          <w:szCs w:val="24"/>
        </w:rPr>
        <w:t>第三部分合同专用条款</w:t>
      </w:r>
    </w:p>
    <w:p>
      <w:pPr>
        <w:spacing w:line="360" w:lineRule="auto"/>
        <w:ind w:firstLine="480" w:firstLineChars="200"/>
        <w:outlineLvl w:val="0"/>
        <w:rPr>
          <w:rFonts w:ascii="仿宋" w:hAnsi="仿宋" w:eastAsia="仿宋" w:cs="仿宋"/>
          <w:sz w:val="24"/>
        </w:rPr>
      </w:pPr>
      <w:bookmarkStart w:id="298" w:name="_Toc94869439"/>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bookmarkEnd w:id="298"/>
    </w:p>
    <w:p>
      <w:pPr>
        <w:snapToGrid w:val="0"/>
        <w:spacing w:line="360" w:lineRule="auto"/>
        <w:ind w:left="-420" w:leftChars="-200" w:right="-420" w:rightChars="-200" w:firstLine="960" w:firstLineChars="400"/>
        <w:rPr>
          <w:rFonts w:ascii="仿宋" w:hAnsi="仿宋" w:eastAsia="仿宋" w:cs="仿宋"/>
          <w:sz w:val="24"/>
        </w:rPr>
      </w:pPr>
      <w:r>
        <w:rPr>
          <w:rFonts w:hint="eastAsia" w:ascii="仿宋" w:hAnsi="仿宋" w:eastAsia="仿宋" w:cs="仿宋"/>
          <w:sz w:val="24"/>
        </w:rPr>
        <w:t>1.4.</w:t>
      </w:r>
      <w:r>
        <w:rPr>
          <w:rFonts w:ascii="仿宋" w:hAnsi="仿宋" w:eastAsia="仿宋" w:cs="仿宋"/>
          <w:sz w:val="24"/>
        </w:rPr>
        <w:t>3</w:t>
      </w:r>
      <w:r>
        <w:rPr>
          <w:rFonts w:hint="eastAsia" w:ascii="仿宋" w:hAnsi="仿宋" w:eastAsia="仿宋" w:cs="仿宋"/>
          <w:sz w:val="24"/>
        </w:rPr>
        <w:t>资金支付的方式、时间和条件：</w:t>
      </w:r>
    </w:p>
    <w:p>
      <w:pPr>
        <w:spacing w:line="360" w:lineRule="auto"/>
        <w:ind w:firstLine="480" w:firstLineChars="200"/>
        <w:jc w:val="left"/>
        <w:rPr>
          <w:rFonts w:ascii="仿宋" w:hAnsi="仿宋" w:eastAsia="仿宋" w:cs="宋体"/>
          <w:sz w:val="24"/>
        </w:rPr>
      </w:pPr>
      <w:bookmarkStart w:id="299" w:name="_Toc94869444"/>
      <w:r>
        <w:rPr>
          <w:rFonts w:hint="eastAsia" w:ascii="仿宋" w:hAnsi="仿宋" w:eastAsia="仿宋" w:cs="宋体"/>
          <w:sz w:val="24"/>
        </w:rPr>
        <w:t>合同签订后5个工作日内，甲方根据杭州市政府采购网公布的乙方履约评价情况减免履约保证金。乙方履约验收评价总分为100分的，甲方免收履约保证金；评价总分在100分以下或者暂无评分的，收取履约保证金为合同总价1%，</w:t>
      </w:r>
      <w:r>
        <w:rPr>
          <w:rFonts w:ascii="仿宋" w:hAnsi="仿宋" w:eastAsia="仿宋" w:cs="宋体"/>
          <w:sz w:val="24"/>
        </w:rPr>
        <w:t>甲方支付</w:t>
      </w:r>
      <w:r>
        <w:rPr>
          <w:rFonts w:hint="eastAsia" w:ascii="仿宋" w:hAnsi="仿宋" w:eastAsia="仿宋" w:cs="宋体"/>
          <w:sz w:val="24"/>
        </w:rPr>
        <w:t>合同总价70％的款项</w:t>
      </w:r>
      <w:r>
        <w:rPr>
          <w:rFonts w:ascii="仿宋" w:hAnsi="仿宋" w:eastAsia="仿宋" w:cs="宋体"/>
          <w:sz w:val="24"/>
        </w:rPr>
        <w:t>。</w:t>
      </w:r>
    </w:p>
    <w:p>
      <w:pPr>
        <w:spacing w:line="360" w:lineRule="auto"/>
        <w:ind w:firstLine="420"/>
        <w:jc w:val="left"/>
        <w:rPr>
          <w:rFonts w:ascii="仿宋" w:hAnsi="仿宋" w:eastAsia="仿宋" w:cs="仿宋"/>
          <w:sz w:val="24"/>
        </w:rPr>
      </w:pPr>
      <w:r>
        <w:rPr>
          <w:rFonts w:hint="eastAsia" w:ascii="仿宋" w:hAnsi="仿宋" w:eastAsia="仿宋" w:cs="仿宋"/>
          <w:sz w:val="24"/>
        </w:rPr>
        <w:t xml:space="preserve">服务期结束，无任何服务问题，凭双方及监理签字盖章的验收意见、验收小组签字的验收报告、租赁设备清单、巡检报告、车辆信息、租赁总结报告、项目组人员清单、每月社保缴纳材料、每月考核材料、培训记录、验收报审表、信息化建设项目变更审批表（如有）、合同履约情况审计意见及公示截图等相关资料，根据合同单价、租赁设备数量、租赁天数按实结算，且不超过合同总价（同时扣除考核违约金）。    </w:t>
      </w:r>
    </w:p>
    <w:p>
      <w:pPr>
        <w:spacing w:line="360" w:lineRule="auto"/>
        <w:ind w:firstLine="420"/>
        <w:jc w:val="left"/>
        <w:rPr>
          <w:rFonts w:ascii="仿宋" w:hAnsi="仿宋" w:eastAsia="仿宋" w:cs="宋体"/>
          <w:b/>
          <w:sz w:val="24"/>
        </w:rPr>
      </w:pPr>
      <w:r>
        <w:rPr>
          <w:rFonts w:hint="eastAsia" w:ascii="仿宋" w:hAnsi="仿宋" w:eastAsia="仿宋" w:cs="宋体"/>
          <w:b/>
          <w:sz w:val="24"/>
        </w:rPr>
        <w:t>双方确认甲方按前款结算并向乙方支付款项总额不得超过合同总价。</w:t>
      </w:r>
    </w:p>
    <w:p>
      <w:pPr>
        <w:spacing w:line="360" w:lineRule="auto"/>
        <w:ind w:firstLine="480" w:firstLineChars="200"/>
        <w:rPr>
          <w:rFonts w:ascii="仿宋" w:hAnsi="仿宋" w:eastAsia="仿宋" w:cs="仿宋_GB2312"/>
          <w:sz w:val="24"/>
          <w:lang w:val="zh-CN"/>
        </w:rPr>
      </w:pPr>
      <w:r>
        <w:rPr>
          <w:rFonts w:hint="eastAsia" w:ascii="仿宋" w:hAnsi="仿宋" w:eastAsia="仿宋" w:cs="仿宋"/>
          <w:sz w:val="24"/>
          <w:lang w:val="zh-CN"/>
        </w:rPr>
        <w:t>前述甲方</w:t>
      </w:r>
      <w:r>
        <w:rPr>
          <w:rFonts w:hint="eastAsia" w:ascii="仿宋" w:hAnsi="仿宋" w:eastAsia="仿宋" w:cs="仿宋"/>
          <w:sz w:val="24"/>
        </w:rPr>
        <w:t>按</w:t>
      </w:r>
      <w:r>
        <w:rPr>
          <w:rFonts w:hint="eastAsia" w:ascii="仿宋" w:hAnsi="仿宋" w:eastAsia="仿宋" w:cs="仿宋_GB2312"/>
          <w:sz w:val="24"/>
          <w:lang w:val="zh-CN"/>
        </w:rPr>
        <w:t>实际使用</w:t>
      </w:r>
      <w:r>
        <w:rPr>
          <w:rFonts w:hint="eastAsia" w:ascii="仿宋" w:hAnsi="仿宋" w:eastAsia="仿宋" w:cs="仿宋_GB2312"/>
          <w:sz w:val="24"/>
        </w:rPr>
        <w:t>租用设备数量</w:t>
      </w:r>
      <w:r>
        <w:rPr>
          <w:rFonts w:hint="eastAsia" w:ascii="仿宋" w:hAnsi="仿宋" w:eastAsia="仿宋" w:cs="仿宋_GB2312"/>
          <w:sz w:val="24"/>
          <w:lang w:val="zh-CN"/>
        </w:rPr>
        <w:t>、服务天数及合同单价与乙方进行结算付款的方式不影响乙方承担其因未全面履行本项目义务而产生的相应违约金。</w:t>
      </w:r>
    </w:p>
    <w:p>
      <w:pPr>
        <w:spacing w:line="360" w:lineRule="auto"/>
        <w:ind w:firstLine="480" w:firstLineChars="200"/>
        <w:rPr>
          <w:rFonts w:ascii="仿宋" w:hAnsi="仿宋" w:eastAsia="仿宋" w:cs="仿宋"/>
          <w:sz w:val="24"/>
        </w:rPr>
      </w:pPr>
      <w:r>
        <w:rPr>
          <w:rFonts w:ascii="仿宋" w:hAnsi="仿宋" w:eastAsia="仿宋" w:cs="仿宋"/>
          <w:sz w:val="24"/>
        </w:rPr>
        <w:t xml:space="preserve">1.5.1 </w:t>
      </w:r>
      <w:r>
        <w:rPr>
          <w:rFonts w:hint="eastAsia" w:ascii="仿宋" w:hAnsi="仿宋" w:eastAsia="仿宋" w:cs="仿宋"/>
          <w:sz w:val="24"/>
        </w:rPr>
        <w:t>服务期限：</w:t>
      </w:r>
      <w:bookmarkEnd w:id="299"/>
      <w:bookmarkStart w:id="300" w:name="_Toc94869445"/>
      <w:r>
        <w:rPr>
          <w:rFonts w:hint="eastAsia" w:ascii="仿宋" w:hAnsi="仿宋" w:eastAsia="仿宋" w:cs="仿宋"/>
          <w:sz w:val="24"/>
        </w:rPr>
        <w:t>2021年12月1日至2022年11月30日</w:t>
      </w:r>
      <w:r>
        <w:rPr>
          <w:rFonts w:hint="eastAsia" w:ascii="仿宋" w:hAnsi="仿宋" w:eastAsia="仿宋" w:cs="仿宋"/>
          <w:sz w:val="24"/>
          <w:lang w:eastAsia="zh-CN"/>
        </w:rPr>
        <w:t>。</w:t>
      </w:r>
      <w:r>
        <w:rPr>
          <w:rFonts w:hint="eastAsia" w:ascii="仿宋" w:hAnsi="仿宋" w:eastAsia="仿宋" w:cs="仿宋"/>
          <w:sz w:val="24"/>
        </w:rPr>
        <w:t>2021年12月1日至乙方开始提供服务之前由原供应商（2021年供应商）按照2022年需求提供服务，期间产生的费用由乙方，按照实际服务时间及2022年合同单价与原供应商按实结算,同时由乙方扣除原供应商应承担的考核违约金（</w:t>
      </w:r>
      <w:r>
        <w:rPr>
          <w:rFonts w:ascii="仿宋" w:hAnsi="仿宋" w:eastAsia="仿宋" w:cs="仿宋"/>
          <w:sz w:val="24"/>
        </w:rPr>
        <w:t>甲方统一向乙方考核收取乙方及原供应商应承担的考核违约金，乙方与原供应商自行处理考核违约金的承担</w:t>
      </w:r>
      <w:r>
        <w:rPr>
          <w:rFonts w:hint="eastAsia" w:ascii="仿宋" w:hAnsi="仿宋" w:eastAsia="仿宋" w:cs="仿宋"/>
          <w:sz w:val="24"/>
        </w:rPr>
        <w:t>）。如非原供应商中标，需在合同签订之日起14日内，完成各项工作的转换、衔接、上线使用。乙方在合同总价里已充分考虑因以上问题而产生的间接费用，投标时已做相应承诺。</w:t>
      </w:r>
    </w:p>
    <w:p>
      <w:pPr>
        <w:spacing w:line="360" w:lineRule="auto"/>
        <w:ind w:firstLine="480" w:firstLineChars="200"/>
        <w:rPr>
          <w:rFonts w:ascii="仿宋" w:hAnsi="仿宋" w:eastAsia="仿宋" w:cs="仿宋"/>
          <w:sz w:val="24"/>
        </w:rPr>
      </w:pPr>
      <w:bookmarkStart w:id="331" w:name="_GoBack"/>
      <w:bookmarkEnd w:id="331"/>
      <w:r>
        <w:rPr>
          <w:rFonts w:ascii="仿宋" w:hAnsi="仿宋" w:eastAsia="仿宋" w:cs="仿宋"/>
          <w:sz w:val="24"/>
        </w:rPr>
        <w:t xml:space="preserve">1.5.2 </w:t>
      </w:r>
      <w:r>
        <w:rPr>
          <w:rFonts w:hint="eastAsia" w:ascii="仿宋" w:hAnsi="仿宋" w:eastAsia="仿宋" w:cs="仿宋"/>
          <w:sz w:val="24"/>
        </w:rPr>
        <w:t>服务地点：</w:t>
      </w:r>
      <w:bookmarkEnd w:id="300"/>
      <w:bookmarkStart w:id="301" w:name="_Toc94869446"/>
      <w:r>
        <w:rPr>
          <w:rFonts w:hint="eastAsia" w:ascii="仿宋" w:hAnsi="仿宋" w:eastAsia="仿宋" w:cs="仿宋"/>
          <w:sz w:val="24"/>
        </w:rPr>
        <w:t>杭州市公安局交通警察支队及点位（解放东路-钱江路交叉口点位、环城西路-省府路交叉口点位、庆春路-浙一医院门口点位、南山路净寺公交站点位、西湖大道-定安路交叉口）。</w:t>
      </w:r>
    </w:p>
    <w:p>
      <w:pPr>
        <w:spacing w:line="360" w:lineRule="auto"/>
        <w:ind w:firstLine="480" w:firstLineChars="200"/>
        <w:jc w:val="left"/>
        <w:rPr>
          <w:rFonts w:ascii="仿宋" w:hAnsi="仿宋" w:eastAsia="仿宋" w:cs="仿宋"/>
          <w:sz w:val="24"/>
        </w:rPr>
      </w:pPr>
      <w:r>
        <w:rPr>
          <w:rFonts w:ascii="仿宋" w:hAnsi="仿宋" w:eastAsia="仿宋" w:cs="仿宋"/>
          <w:sz w:val="24"/>
        </w:rPr>
        <w:t xml:space="preserve">1.5.3 </w:t>
      </w:r>
      <w:r>
        <w:rPr>
          <w:rFonts w:hint="eastAsia" w:ascii="仿宋" w:hAnsi="仿宋" w:eastAsia="仿宋" w:cs="仿宋"/>
          <w:sz w:val="24"/>
        </w:rPr>
        <w:t>服务内容：</w:t>
      </w:r>
      <w:bookmarkEnd w:id="301"/>
      <w:bookmarkStart w:id="302" w:name="_Toc94869447"/>
      <w:r>
        <w:rPr>
          <w:rFonts w:hint="eastAsia" w:ascii="仿宋" w:hAnsi="仿宋" w:eastAsia="仿宋" w:cs="仿宋"/>
          <w:sz w:val="24"/>
        </w:rPr>
        <w:t>以购买服务方式，提供5套的违法鸣笛抓拍点位的使用服务，用于抓拍举证机动车违法鸣笛的交通违法行为，遏制交通违法陋习。主要内容包括：鸣笛抓拍前端设备的安装运维服务，平台的基础运行环境服务，鸣笛抓拍业务系统的使用服务。具体包括：提供杭州市市区道路5个方向违法鸣笛抓拍系统使用服务，覆盖每个方向所有机动车道和辅道，包含声学探头、车牌抓拍识别、主控机三大子系统，提供租用期间7*24小时技术服务（含运行维护、性能调优、故障排除、例行巡检等）。</w:t>
      </w:r>
    </w:p>
    <w:p>
      <w:pPr>
        <w:spacing w:line="360" w:lineRule="auto"/>
        <w:ind w:firstLine="480" w:firstLineChars="200"/>
        <w:jc w:val="left"/>
        <w:rPr>
          <w:rFonts w:ascii="仿宋" w:hAnsi="仿宋" w:eastAsia="仿宋" w:cs="仿宋"/>
          <w:sz w:val="24"/>
        </w:rPr>
      </w:pPr>
      <w:r>
        <w:rPr>
          <w:rFonts w:ascii="仿宋" w:hAnsi="仿宋" w:eastAsia="仿宋" w:cs="仿宋"/>
          <w:sz w:val="24"/>
        </w:rPr>
        <w:t>1.6.7违约责任</w:t>
      </w:r>
      <w:r>
        <w:rPr>
          <w:rFonts w:hint="eastAsia" w:ascii="仿宋" w:hAnsi="仿宋" w:eastAsia="仿宋" w:cs="仿宋"/>
          <w:sz w:val="24"/>
        </w:rPr>
        <w:t>：</w:t>
      </w:r>
      <w:bookmarkEnd w:id="302"/>
    </w:p>
    <w:p>
      <w:pPr>
        <w:tabs>
          <w:tab w:val="left" w:pos="904"/>
        </w:tabs>
        <w:adjustRightInd w:val="0"/>
        <w:snapToGrid w:val="0"/>
        <w:spacing w:line="360" w:lineRule="auto"/>
        <w:ind w:firstLine="480" w:firstLineChars="200"/>
        <w:jc w:val="left"/>
        <w:rPr>
          <w:rFonts w:ascii="仿宋" w:hAnsi="仿宋" w:eastAsia="仿宋"/>
          <w:sz w:val="24"/>
        </w:rPr>
      </w:pPr>
      <w:bookmarkStart w:id="303" w:name="_Toc94869454"/>
      <w:r>
        <w:rPr>
          <w:rFonts w:hint="eastAsia" w:ascii="仿宋" w:hAnsi="仿宋" w:eastAsia="仿宋"/>
          <w:sz w:val="24"/>
        </w:rPr>
        <w:t>1.6.7.1</w:t>
      </w:r>
      <w:r>
        <w:rPr>
          <w:rFonts w:ascii="仿宋" w:hAnsi="仿宋" w:eastAsia="仿宋"/>
          <w:sz w:val="24"/>
        </w:rPr>
        <w:t>履约保证金在约定期间内（合同签订之日起至项目通过验收，乙方递交退还履约保证金申请前）不予退还。乙方在前述约定期间届满前能履行</w:t>
      </w:r>
      <w:r>
        <w:rPr>
          <w:rFonts w:hint="eastAsia" w:ascii="仿宋" w:hAnsi="仿宋" w:eastAsia="仿宋"/>
          <w:sz w:val="24"/>
        </w:rPr>
        <w:t>完合同约定义务事项的，甲方在前述约定期间届满之日起</w:t>
      </w:r>
      <w:r>
        <w:rPr>
          <w:rFonts w:ascii="仿宋" w:hAnsi="仿宋" w:eastAsia="仿宋"/>
          <w:sz w:val="24"/>
        </w:rPr>
        <w:t>5个工作日内，</w:t>
      </w:r>
      <w:r>
        <w:rPr>
          <w:rFonts w:hint="eastAsia" w:ascii="仿宋" w:hAnsi="仿宋" w:eastAsia="仿宋"/>
          <w:sz w:val="24"/>
        </w:rPr>
        <w:t>按乙方缴纳履约保证金的方式将履约保证金退还乙方，逾期退还的，乙方可要求甲方支付违约金，违约金按每迟延退还一日的应退还而未退还金额的</w:t>
      </w:r>
      <w:r>
        <w:rPr>
          <w:rFonts w:ascii="仿宋" w:hAnsi="仿宋" w:eastAsia="仿宋"/>
          <w:sz w:val="24"/>
        </w:rPr>
        <w:t>0.05%计算，最高限额为本合同履约保证金的20%；</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w:t>
      </w:r>
      <w:r>
        <w:rPr>
          <w:rFonts w:ascii="仿宋" w:hAnsi="仿宋" w:eastAsia="仿宋"/>
          <w:sz w:val="24"/>
        </w:rPr>
        <w:t>2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合同；</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w:t>
      </w:r>
      <w:r>
        <w:rPr>
          <w:rFonts w:ascii="仿宋" w:hAnsi="仿宋" w:eastAsia="仿宋"/>
          <w:sz w:val="24"/>
        </w:rPr>
        <w:t>3除不可抗力外，因甲方</w:t>
      </w:r>
      <w:r>
        <w:rPr>
          <w:rFonts w:hint="eastAsia" w:ascii="仿宋" w:hAnsi="仿宋" w:eastAsia="仿宋"/>
          <w:sz w:val="24"/>
        </w:rPr>
        <w:t>原因导致变更、中止或者终止政府采购合同的，甲方应当依照合同约定对乙方受到的损失予以赔偿或者补偿；</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1.6.7.4</w:t>
      </w:r>
      <w:r>
        <w:rPr>
          <w:rFonts w:ascii="仿宋" w:hAnsi="仿宋" w:eastAsia="仿宋"/>
          <w:sz w:val="24"/>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r>
        <w:rPr>
          <w:rFonts w:hint="eastAsia" w:ascii="仿宋" w:hAnsi="仿宋" w:eastAsia="仿宋"/>
          <w:sz w:val="24"/>
        </w:rPr>
        <w:t>；</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1.6.7.5除不可抗力外，如果乙方没有按照本合同约定的期限、地点和方式提供服务，那么甲方可要求乙方支付违约金，违约金按每迟延提供服务一日的应提供服务未提供服务价格的</w:t>
      </w:r>
      <w:r>
        <w:rPr>
          <w:rFonts w:ascii="仿宋" w:hAnsi="仿宋" w:eastAsia="仿宋"/>
          <w:sz w:val="24"/>
        </w:rPr>
        <w:t>0.05%计算，最高限额为本合同总价的20%；迟延</w:t>
      </w:r>
      <w:r>
        <w:rPr>
          <w:rFonts w:hint="eastAsia" w:ascii="仿宋" w:hAnsi="仿宋" w:eastAsia="仿宋"/>
          <w:sz w:val="24"/>
        </w:rPr>
        <w:t>提供服务</w:t>
      </w:r>
      <w:r>
        <w:rPr>
          <w:rFonts w:ascii="仿宋" w:hAnsi="仿宋" w:eastAsia="仿宋"/>
          <w:sz w:val="24"/>
        </w:rPr>
        <w:t>的违约金计算数额达到前述最高限额之日起，</w:t>
      </w:r>
      <w:r>
        <w:rPr>
          <w:rFonts w:hint="eastAsia" w:ascii="仿宋" w:hAnsi="仿宋" w:eastAsia="仿宋"/>
          <w:sz w:val="24"/>
        </w:rPr>
        <w:t>甲方</w:t>
      </w:r>
      <w:r>
        <w:rPr>
          <w:rFonts w:ascii="仿宋" w:hAnsi="仿宋" w:eastAsia="仿宋"/>
          <w:sz w:val="24"/>
        </w:rPr>
        <w:t>有权在要求</w:t>
      </w:r>
      <w:r>
        <w:rPr>
          <w:rFonts w:hint="eastAsia" w:ascii="仿宋" w:hAnsi="仿宋" w:eastAsia="仿宋"/>
          <w:sz w:val="24"/>
        </w:rPr>
        <w:t>乙方</w:t>
      </w:r>
      <w:r>
        <w:rPr>
          <w:rFonts w:ascii="仿宋" w:hAnsi="仿宋" w:eastAsia="仿宋"/>
          <w:sz w:val="24"/>
        </w:rPr>
        <w:t>支付违约金的同时，书面通知</w:t>
      </w:r>
      <w:r>
        <w:rPr>
          <w:rFonts w:hint="eastAsia" w:ascii="仿宋" w:hAnsi="仿宋" w:eastAsia="仿宋"/>
          <w:sz w:val="24"/>
        </w:rPr>
        <w:t>乙方</w:t>
      </w:r>
      <w:r>
        <w:rPr>
          <w:rFonts w:ascii="仿宋" w:hAnsi="仿宋" w:eastAsia="仿宋"/>
          <w:sz w:val="24"/>
        </w:rPr>
        <w:t>解除本合同；</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1.6.7.6乙方擅自将本合同的全部或部分事务转由第三人承担，甲方可解除本合同，且乙方应按合同总价的</w:t>
      </w:r>
      <w:r>
        <w:rPr>
          <w:rFonts w:ascii="仿宋" w:hAnsi="仿宋" w:eastAsia="仿宋"/>
          <w:sz w:val="24"/>
        </w:rPr>
        <w:t>30％向甲方支付违约金。如发生损失的，乙方还应赔偿甲方损失</w:t>
      </w:r>
      <w:r>
        <w:rPr>
          <w:rFonts w:hint="eastAsia" w:ascii="仿宋" w:hAnsi="仿宋" w:eastAsia="仿宋"/>
          <w:sz w:val="24"/>
        </w:rPr>
        <w:t>；</w:t>
      </w:r>
    </w:p>
    <w:p>
      <w:pPr>
        <w:spacing w:line="360" w:lineRule="auto"/>
        <w:ind w:firstLine="480" w:firstLineChars="200"/>
        <w:jc w:val="left"/>
        <w:rPr>
          <w:rFonts w:ascii="仿宋" w:hAnsi="仿宋" w:eastAsia="仿宋" w:cs="宋体"/>
          <w:iCs/>
          <w:sz w:val="24"/>
        </w:rPr>
      </w:pPr>
      <w:r>
        <w:rPr>
          <w:rFonts w:hint="eastAsia" w:ascii="仿宋" w:hAnsi="仿宋" w:eastAsia="仿宋"/>
          <w:sz w:val="24"/>
        </w:rPr>
        <w:t>1.6.7.7</w:t>
      </w:r>
      <w:bookmarkStart w:id="304" w:name="_Hlk105445564"/>
      <w:r>
        <w:rPr>
          <w:rFonts w:hint="eastAsia" w:ascii="仿宋" w:hAnsi="仿宋" w:eastAsia="仿宋" w:cs="宋体"/>
          <w:iCs/>
          <w:sz w:val="24"/>
        </w:rPr>
        <w:t>乙方在服务期内提供的服务未达到合同要求的，甲方将根据考核办法对乙方处以违约金，直至解除合同</w:t>
      </w:r>
      <w:bookmarkEnd w:id="304"/>
      <w:r>
        <w:rPr>
          <w:rFonts w:hint="eastAsia" w:ascii="仿宋" w:hAnsi="仿宋" w:eastAsia="仿宋" w:cs="宋体"/>
          <w:iCs/>
          <w:sz w:val="24"/>
        </w:rPr>
        <w:t>。</w:t>
      </w:r>
    </w:p>
    <w:p>
      <w:pPr>
        <w:spacing w:line="360" w:lineRule="auto"/>
        <w:ind w:firstLine="480" w:firstLineChars="200"/>
        <w:jc w:val="left"/>
        <w:rPr>
          <w:rFonts w:ascii="仿宋" w:hAnsi="仿宋" w:eastAsia="仿宋" w:cs="宋体"/>
          <w:iCs/>
          <w:sz w:val="24"/>
        </w:rPr>
      </w:pPr>
      <w:r>
        <w:rPr>
          <w:rFonts w:hint="eastAsia" w:ascii="仿宋" w:hAnsi="仿宋" w:eastAsia="仿宋"/>
          <w:sz w:val="24"/>
        </w:rPr>
        <w:t>1.6.7.8</w:t>
      </w:r>
      <w:r>
        <w:rPr>
          <w:rFonts w:hint="eastAsia" w:ascii="仿宋" w:hAnsi="仿宋" w:eastAsia="仿宋" w:cs="宋体"/>
          <w:iCs/>
          <w:sz w:val="24"/>
        </w:rPr>
        <w:t>合同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同时，扣除履约保证金5000元。</w:t>
      </w:r>
    </w:p>
    <w:p>
      <w:pPr>
        <w:tabs>
          <w:tab w:val="left" w:pos="904"/>
        </w:tabs>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1.6.7.8违约金在结算合同尾款时一次性扣除。</w:t>
      </w:r>
    </w:p>
    <w:p>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1.7合同争议的解决</w:t>
      </w:r>
      <w:bookmarkEnd w:id="303"/>
    </w:p>
    <w:p>
      <w:pPr>
        <w:spacing w:line="360" w:lineRule="auto"/>
        <w:ind w:firstLine="480" w:firstLineChars="200"/>
        <w:outlineLvl w:val="0"/>
        <w:rPr>
          <w:rFonts w:ascii="仿宋" w:hAnsi="仿宋" w:eastAsia="仿宋" w:cs="仿宋"/>
          <w:sz w:val="24"/>
        </w:rPr>
      </w:pPr>
      <w:bookmarkStart w:id="305" w:name="_Toc94869455"/>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sz w:val="24"/>
          <w:u w:val="single"/>
        </w:rPr>
        <w:t xml:space="preserve"> 1.7.2条</w:t>
      </w:r>
      <w:r>
        <w:rPr>
          <w:rFonts w:hint="eastAsia" w:ascii="仿宋" w:hAnsi="仿宋" w:eastAsia="仿宋" w:cs="仿宋"/>
          <w:sz w:val="24"/>
        </w:rPr>
        <w:t>款规定的方式解决：</w:t>
      </w:r>
      <w:bookmarkEnd w:id="305"/>
    </w:p>
    <w:p>
      <w:pPr>
        <w:spacing w:line="360" w:lineRule="auto"/>
        <w:ind w:firstLine="480" w:firstLineChars="200"/>
        <w:outlineLvl w:val="0"/>
        <w:rPr>
          <w:rFonts w:ascii="仿宋" w:hAnsi="仿宋" w:eastAsia="仿宋" w:cs="仿宋"/>
          <w:sz w:val="24"/>
        </w:rPr>
      </w:pPr>
      <w:bookmarkStart w:id="306" w:name="_Toc94869456"/>
      <w:r>
        <w:rPr>
          <w:rFonts w:hint="eastAsia" w:ascii="仿宋" w:hAnsi="仿宋" w:eastAsia="仿宋" w:cs="仿宋"/>
          <w:sz w:val="24"/>
        </w:rPr>
        <w:t>1.7.1 将争议提交/仲裁委员会依申请仲裁时其现行有效的仲裁规则裁决；</w:t>
      </w:r>
      <w:bookmarkEnd w:id="306"/>
    </w:p>
    <w:p>
      <w:pPr>
        <w:spacing w:line="360" w:lineRule="auto"/>
        <w:ind w:firstLine="480" w:firstLineChars="200"/>
        <w:outlineLvl w:val="0"/>
        <w:rPr>
          <w:rFonts w:ascii="仿宋" w:hAnsi="仿宋" w:eastAsia="仿宋" w:cs="仿宋"/>
          <w:sz w:val="24"/>
        </w:rPr>
      </w:pPr>
      <w:bookmarkStart w:id="307" w:name="_Toc94869457"/>
      <w:r>
        <w:rPr>
          <w:rFonts w:hint="eastAsia" w:ascii="仿宋" w:hAnsi="仿宋" w:eastAsia="仿宋" w:cs="仿宋"/>
          <w:sz w:val="24"/>
        </w:rPr>
        <w:t>1.7.2 向甲方所在地人民法院起诉。</w:t>
      </w:r>
      <w:bookmarkEnd w:id="307"/>
    </w:p>
    <w:p>
      <w:pPr>
        <w:snapToGrid w:val="0"/>
        <w:spacing w:line="360" w:lineRule="auto"/>
        <w:ind w:firstLine="480" w:firstLineChars="200"/>
        <w:outlineLvl w:val="0"/>
        <w:rPr>
          <w:rFonts w:ascii="仿宋" w:hAnsi="仿宋" w:eastAsia="仿宋" w:cs="仿宋"/>
          <w:sz w:val="24"/>
        </w:rPr>
      </w:pPr>
      <w:bookmarkStart w:id="308" w:name="_Toc94869458"/>
      <w:r>
        <w:rPr>
          <w:rFonts w:hint="eastAsia" w:ascii="仿宋" w:hAnsi="仿宋" w:eastAsia="仿宋" w:cs="仿宋"/>
          <w:sz w:val="24"/>
        </w:rPr>
        <w:t>2.3.2具有知识产权的计算机软件等货物的知识产权归属：无</w:t>
      </w:r>
      <w:r>
        <w:rPr>
          <w:rFonts w:hint="eastAsia" w:ascii="仿宋" w:hAnsi="仿宋" w:eastAsia="仿宋"/>
          <w:sz w:val="24"/>
        </w:rPr>
        <w:t>。</w:t>
      </w:r>
      <w:bookmarkEnd w:id="308"/>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2.10.3因不可抗力致使合同有变更必要的，双方当事人应在</w:t>
      </w:r>
      <w:r>
        <w:rPr>
          <w:rFonts w:ascii="仿宋" w:hAnsi="仿宋" w:eastAsia="仿宋"/>
          <w:b/>
          <w:i/>
          <w:sz w:val="24"/>
          <w:u w:val="single"/>
        </w:rPr>
        <w:t>15</w:t>
      </w:r>
      <w:r>
        <w:rPr>
          <w:rFonts w:hint="eastAsia" w:ascii="仿宋" w:hAnsi="仿宋" w:eastAsia="仿宋"/>
          <w:b/>
          <w:i/>
          <w:sz w:val="24"/>
          <w:u w:val="single"/>
        </w:rPr>
        <w:t>个工作日</w:t>
      </w:r>
      <w:r>
        <w:rPr>
          <w:rFonts w:hint="eastAsia" w:ascii="仿宋" w:hAnsi="仿宋" w:eastAsia="仿宋" w:cs="仿宋"/>
          <w:sz w:val="24"/>
        </w:rPr>
        <w:t>内以书面形式变更合同；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2.10.4受不可抗力影响的一方在不可抗力发生后，应在</w:t>
      </w:r>
      <w:r>
        <w:rPr>
          <w:rFonts w:ascii="仿宋" w:hAnsi="仿宋" w:eastAsia="仿宋"/>
          <w:b/>
          <w:i/>
          <w:sz w:val="24"/>
          <w:u w:val="single"/>
        </w:rPr>
        <w:t>7</w:t>
      </w:r>
      <w:r>
        <w:rPr>
          <w:rFonts w:hint="eastAsia" w:ascii="仿宋" w:hAnsi="仿宋" w:eastAsia="仿宋"/>
          <w:b/>
          <w:i/>
          <w:sz w:val="24"/>
          <w:u w:val="single"/>
        </w:rPr>
        <w:t>个工作日</w:t>
      </w:r>
      <w:r>
        <w:rPr>
          <w:rFonts w:hint="eastAsia" w:ascii="仿宋" w:hAnsi="仿宋" w:eastAsia="仿宋" w:cs="仿宋"/>
          <w:sz w:val="24"/>
        </w:rPr>
        <w:t>内以书面形式通知对方当事人，并在</w:t>
      </w:r>
      <w:r>
        <w:rPr>
          <w:rFonts w:hint="eastAsia" w:ascii="仿宋" w:hAnsi="仿宋" w:eastAsia="仿宋"/>
          <w:b/>
          <w:i/>
          <w:sz w:val="24"/>
          <w:u w:val="single"/>
        </w:rPr>
        <w:t>10个工作日</w:t>
      </w:r>
      <w:r>
        <w:rPr>
          <w:rFonts w:hint="eastAsia" w:ascii="仿宋" w:hAnsi="仿宋" w:eastAsia="仿宋" w:cs="仿宋"/>
          <w:sz w:val="24"/>
        </w:rPr>
        <w:t>内，将有关部门出具的证明文件送达对方当事人。</w:t>
      </w:r>
    </w:p>
    <w:p>
      <w:pPr>
        <w:snapToGrid w:val="0"/>
        <w:spacing w:line="360" w:lineRule="auto"/>
        <w:ind w:firstLine="480" w:firstLineChars="200"/>
        <w:rPr>
          <w:rFonts w:ascii="仿宋" w:hAnsi="仿宋" w:eastAsia="仿宋"/>
          <w:sz w:val="24"/>
        </w:rPr>
      </w:pPr>
      <w:bookmarkStart w:id="309" w:name="_Toc94869459"/>
      <w:r>
        <w:rPr>
          <w:rFonts w:hint="eastAsia" w:ascii="仿宋" w:hAnsi="仿宋" w:eastAsia="仿宋" w:cs="仿宋"/>
          <w:sz w:val="24"/>
        </w:rPr>
        <w:t>2.14.1履约验收时间：</w:t>
      </w:r>
      <w:bookmarkEnd w:id="309"/>
      <w:bookmarkStart w:id="310" w:name="_Toc94869460"/>
      <w:r>
        <w:rPr>
          <w:rFonts w:hint="eastAsia" w:ascii="仿宋" w:hAnsi="仿宋" w:eastAsia="仿宋"/>
          <w:sz w:val="24"/>
        </w:rPr>
        <w:t>服务期结束以后</w:t>
      </w:r>
      <w:r>
        <w:rPr>
          <w:rFonts w:ascii="仿宋" w:hAnsi="仿宋" w:eastAsia="仿宋"/>
          <w:sz w:val="24"/>
        </w:rPr>
        <w:t>。（具体验收时间由甲方最终确定并及时通知乙方）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2.14.3检验和验收标准、程序</w:t>
      </w:r>
      <w:bookmarkEnd w:id="310"/>
    </w:p>
    <w:p>
      <w:pPr>
        <w:pStyle w:val="281"/>
        <w:snapToGrid w:val="0"/>
        <w:spacing w:line="360" w:lineRule="auto"/>
        <w:ind w:firstLine="480"/>
        <w:rPr>
          <w:rFonts w:ascii="仿宋" w:hAnsi="仿宋" w:eastAsia="仿宋" w:cs="仿宋"/>
          <w:sz w:val="24"/>
        </w:rPr>
      </w:pPr>
      <w:r>
        <w:rPr>
          <w:rFonts w:hint="eastAsia" w:ascii="仿宋" w:hAnsi="仿宋" w:eastAsia="仿宋" w:cs="仿宋"/>
          <w:sz w:val="24"/>
        </w:rPr>
        <w:t>2.14.3.1甲方按照《杭州市政府采购履约验收暂行办法》（杭财采监</w:t>
      </w:r>
      <w:r>
        <w:rPr>
          <w:rFonts w:ascii="仿宋" w:hAnsi="仿宋" w:eastAsia="仿宋" w:cs="仿宋"/>
          <w:sz w:val="24"/>
        </w:rPr>
        <w:t>[2019]10号）规定组织对</w:t>
      </w:r>
      <w:r>
        <w:rPr>
          <w:rFonts w:hint="eastAsia" w:ascii="仿宋" w:hAnsi="仿宋" w:eastAsia="仿宋" w:cs="仿宋"/>
          <w:sz w:val="24"/>
        </w:rPr>
        <w:t>乙方</w:t>
      </w:r>
      <w:r>
        <w:rPr>
          <w:rFonts w:ascii="仿宋" w:hAnsi="仿宋" w:eastAsia="仿宋" w:cs="仿宋"/>
          <w:sz w:val="24"/>
        </w:rPr>
        <w:t>履约的验收。验收方成员应当在验收书上签字，并承担相应的法律责任。如果发现与合同中要求不符，</w:t>
      </w:r>
      <w:r>
        <w:rPr>
          <w:rFonts w:hint="eastAsia" w:ascii="仿宋" w:hAnsi="仿宋" w:eastAsia="仿宋" w:cs="仿宋"/>
          <w:sz w:val="24"/>
        </w:rPr>
        <w:t>乙方</w:t>
      </w:r>
      <w:r>
        <w:rPr>
          <w:rFonts w:ascii="仿宋" w:hAnsi="仿宋" w:eastAsia="仿宋" w:cs="仿宋"/>
          <w:sz w:val="24"/>
        </w:rPr>
        <w:t>须承担由此发生的一切损失和费用，并接受相应的处理。</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本项目为信息化项目，根据《杭州市公安局信息化项目管理办法》第27条规定,信息化项目服务期满后,项目单位应向市公安局科信局提交《信息化建设项目验收表》及验收所需相应材料,由市公安局科信局按照市政府履约验收相关管理办法的程序,结合市局相关内控制度组织开展终验。</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验收时，按照采购合同的约定对每一项技术、服务、安全标准的履约情况进行确认，验收小组由5人组成：甲方1名,专家4名（由代理机构抽取信息技术服务、计算机设备和软件租赁服务等相关专业专家），验收小组现场组织对设备进行清点、系统运行情况进行演示，出具验收报告并经验收小组全体成员签字。验收结果分为通过和不通过。验收结果为通过的，如存在待改进完善的问题，乙方应及时整改到位；验收结果为不通过的，乙方应及时整改并重新提出验收申请。若因乙方原因验收不通过，并造成项目未能在合同约定时限内完成终验，按合同条款执行。甲方根据验收报告形成验收意见并经甲方与乙方签字盖章，并在财政指定媒体上公示无异议后生效。验收结果与采购合同约定的资金支付及履约保证金返还条件挂钩。履约验收的各项资料应当存档备查。</w:t>
      </w:r>
    </w:p>
    <w:p>
      <w:pPr>
        <w:pStyle w:val="281"/>
        <w:snapToGrid w:val="0"/>
        <w:spacing w:line="360" w:lineRule="auto"/>
        <w:ind w:firstLine="480"/>
        <w:rPr>
          <w:rFonts w:ascii="仿宋" w:hAnsi="仿宋" w:eastAsia="仿宋" w:cs="仿宋"/>
          <w:sz w:val="24"/>
        </w:rPr>
      </w:pPr>
      <w:r>
        <w:rPr>
          <w:rFonts w:hint="eastAsia" w:ascii="仿宋" w:hAnsi="仿宋" w:eastAsia="仿宋" w:cs="仿宋"/>
          <w:sz w:val="24"/>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pStyle w:val="281"/>
        <w:snapToGrid w:val="0"/>
        <w:spacing w:line="360" w:lineRule="auto"/>
        <w:ind w:firstLine="480"/>
        <w:rPr>
          <w:rFonts w:ascii="仿宋" w:hAnsi="仿宋" w:eastAsia="仿宋" w:cs="仿宋"/>
          <w:sz w:val="24"/>
        </w:rPr>
      </w:pPr>
      <w:r>
        <w:rPr>
          <w:rFonts w:hint="eastAsia" w:ascii="仿宋" w:hAnsi="仿宋" w:eastAsia="仿宋" w:cs="仿宋"/>
          <w:sz w:val="24"/>
        </w:rPr>
        <w:t>验收产生的费用首次验收费用由甲方承担，如首次验收不合格，后续验收费用由乙方支付。</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596"/>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序号</w:t>
            </w:r>
          </w:p>
        </w:tc>
        <w:tc>
          <w:tcPr>
            <w:tcW w:w="1398"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验收内容</w:t>
            </w:r>
          </w:p>
        </w:tc>
        <w:tc>
          <w:tcPr>
            <w:tcW w:w="3192" w:type="pct"/>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租赁设备</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sz w:val="24"/>
              </w:rPr>
              <w:t>核对租赁清单，对设备的品牌、型号数量、布置点位、设备技术参数功能进行验收。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租赁期间的维护服务</w:t>
            </w:r>
          </w:p>
        </w:tc>
        <w:tc>
          <w:tcPr>
            <w:tcW w:w="3192" w:type="pct"/>
            <w:vAlign w:val="center"/>
          </w:tcPr>
          <w:p>
            <w:pPr>
              <w:spacing w:line="360" w:lineRule="auto"/>
              <w:rPr>
                <w:rFonts w:ascii="仿宋" w:hAnsi="仿宋" w:eastAsia="仿宋" w:cs="仿宋"/>
                <w:bCs/>
                <w:kern w:val="0"/>
                <w:sz w:val="24"/>
              </w:rPr>
            </w:pPr>
            <w:r>
              <w:rPr>
                <w:rFonts w:ascii="仿宋" w:hAnsi="仿宋" w:eastAsia="仿宋" w:cs="仿宋"/>
                <w:bCs/>
                <w:kern w:val="0"/>
                <w:sz w:val="24"/>
              </w:rPr>
              <w:t>巡检、培训、</w:t>
            </w:r>
            <w:r>
              <w:rPr>
                <w:rFonts w:hint="eastAsia" w:ascii="仿宋" w:hAnsi="仿宋" w:eastAsia="仿宋" w:cs="仿宋"/>
                <w:sz w:val="24"/>
              </w:rPr>
              <w:t>周抓拍成功率、周识别成功率、周修复率等满足采购需求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服务人员情况</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服务人员（包括项目负责人、其他服务人员）人数按照合同及投标文件要求提供。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4</w:t>
            </w:r>
          </w:p>
        </w:tc>
        <w:tc>
          <w:tcPr>
            <w:tcW w:w="1398" w:type="pct"/>
            <w:noWrap/>
            <w:vAlign w:val="center"/>
          </w:tcPr>
          <w:p>
            <w:pPr>
              <w:widowControl/>
              <w:spacing w:line="360" w:lineRule="auto"/>
              <w:jc w:val="left"/>
              <w:rPr>
                <w:rFonts w:ascii="仿宋" w:hAnsi="仿宋" w:eastAsia="仿宋" w:cs="仿宋"/>
                <w:bCs/>
                <w:kern w:val="0"/>
                <w:sz w:val="24"/>
              </w:rPr>
            </w:pPr>
            <w:r>
              <w:rPr>
                <w:rFonts w:ascii="仿宋" w:hAnsi="仿宋" w:eastAsia="仿宋" w:cs="仿宋"/>
                <w:bCs/>
                <w:kern w:val="0"/>
                <w:sz w:val="24"/>
              </w:rPr>
              <w:t>车辆情况</w:t>
            </w:r>
          </w:p>
        </w:tc>
        <w:tc>
          <w:tcPr>
            <w:tcW w:w="3192" w:type="pct"/>
            <w:vAlign w:val="center"/>
          </w:tcPr>
          <w:p>
            <w:pPr>
              <w:widowControl/>
              <w:spacing w:line="360" w:lineRule="auto"/>
              <w:jc w:val="left"/>
              <w:rPr>
                <w:rFonts w:ascii="仿宋" w:hAnsi="仿宋" w:eastAsia="仿宋" w:cs="仿宋"/>
                <w:bCs/>
                <w:kern w:val="0"/>
                <w:sz w:val="24"/>
              </w:rPr>
            </w:pPr>
            <w:r>
              <w:rPr>
                <w:rFonts w:ascii="仿宋" w:hAnsi="仿宋" w:eastAsia="仿宋" w:cs="仿宋"/>
                <w:bCs/>
                <w:kern w:val="0"/>
                <w:sz w:val="24"/>
              </w:rPr>
              <w:t>车辆</w:t>
            </w:r>
            <w:r>
              <w:rPr>
                <w:rFonts w:hint="eastAsia" w:ascii="仿宋" w:hAnsi="仿宋" w:eastAsia="仿宋" w:cs="仿宋"/>
                <w:bCs/>
                <w:kern w:val="0"/>
                <w:sz w:val="24"/>
              </w:rPr>
              <w:t>按照合同及投标文件提供。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5</w:t>
            </w:r>
          </w:p>
        </w:tc>
        <w:tc>
          <w:tcPr>
            <w:tcW w:w="1398" w:type="pct"/>
            <w:noWrap/>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故障维修情况</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故障响应时间按照合同及投标文件要求实施响应、修复。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6</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保密要求</w:t>
            </w:r>
          </w:p>
        </w:tc>
        <w:tc>
          <w:tcPr>
            <w:tcW w:w="3192" w:type="pct"/>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满足甲方的保密规定实施，签订保密承诺书。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7</w:t>
            </w:r>
          </w:p>
        </w:tc>
        <w:tc>
          <w:tcPr>
            <w:tcW w:w="1398" w:type="pct"/>
            <w:noWrap/>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项目资料</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kern w:val="0"/>
                <w:sz w:val="24"/>
              </w:rPr>
              <w:t>要及时做好租赁总结报告、巡检报告、</w:t>
            </w:r>
            <w:r>
              <w:rPr>
                <w:rFonts w:hint="eastAsia" w:ascii="仿宋" w:hAnsi="仿宋" w:eastAsia="仿宋" w:cs="宋体"/>
                <w:sz w:val="24"/>
              </w:rPr>
              <w:t>甲方交办的文档资料、监理单位出具监理工程师通知单需要乙方配合完成的文档资料、信息化建设项目变更审批表（如有）等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 w:type="pct"/>
            <w:noWrap/>
            <w:vAlign w:val="center"/>
          </w:tcPr>
          <w:p>
            <w:pPr>
              <w:widowControl/>
              <w:spacing w:line="360" w:lineRule="auto"/>
              <w:jc w:val="center"/>
              <w:rPr>
                <w:rFonts w:ascii="仿宋" w:hAnsi="仿宋" w:eastAsia="仿宋" w:cs="仿宋"/>
                <w:bCs/>
                <w:kern w:val="0"/>
                <w:sz w:val="24"/>
              </w:rPr>
            </w:pPr>
            <w:r>
              <w:rPr>
                <w:rFonts w:hint="eastAsia" w:ascii="仿宋" w:hAnsi="仿宋" w:eastAsia="仿宋" w:cs="仿宋"/>
                <w:bCs/>
                <w:kern w:val="0"/>
                <w:sz w:val="24"/>
              </w:rPr>
              <w:t>8</w:t>
            </w:r>
          </w:p>
        </w:tc>
        <w:tc>
          <w:tcPr>
            <w:tcW w:w="1398" w:type="pct"/>
            <w:vAlign w:val="center"/>
          </w:tcPr>
          <w:p>
            <w:pPr>
              <w:widowControl/>
              <w:spacing w:line="360" w:lineRule="auto"/>
              <w:rPr>
                <w:rFonts w:ascii="仿宋" w:hAnsi="仿宋" w:eastAsia="仿宋" w:cs="仿宋"/>
                <w:bCs/>
                <w:kern w:val="0"/>
                <w:sz w:val="24"/>
              </w:rPr>
            </w:pPr>
            <w:r>
              <w:rPr>
                <w:rFonts w:hint="eastAsia" w:ascii="仿宋" w:hAnsi="仿宋" w:eastAsia="仿宋" w:cs="仿宋"/>
                <w:bCs/>
                <w:kern w:val="0"/>
                <w:sz w:val="24"/>
              </w:rPr>
              <w:t>其他工作</w:t>
            </w:r>
          </w:p>
        </w:tc>
        <w:tc>
          <w:tcPr>
            <w:tcW w:w="3192" w:type="pct"/>
            <w:vAlign w:val="center"/>
          </w:tcPr>
          <w:p>
            <w:pPr>
              <w:widowControl/>
              <w:spacing w:line="360" w:lineRule="auto"/>
              <w:jc w:val="left"/>
              <w:rPr>
                <w:rFonts w:ascii="仿宋" w:hAnsi="仿宋" w:eastAsia="仿宋" w:cs="仿宋"/>
                <w:bCs/>
                <w:kern w:val="0"/>
                <w:sz w:val="24"/>
              </w:rPr>
            </w:pPr>
            <w:r>
              <w:rPr>
                <w:rFonts w:hint="eastAsia" w:ascii="仿宋" w:hAnsi="仿宋" w:eastAsia="仿宋" w:cs="仿宋"/>
                <w:bCs/>
                <w:kern w:val="0"/>
                <w:sz w:val="24"/>
              </w:rPr>
              <w:t>履行项目采购文件、投标文件、合同条款中涉及的其他承诺的情况</w:t>
            </w:r>
          </w:p>
        </w:tc>
      </w:tr>
    </w:tbl>
    <w:p>
      <w:pPr>
        <w:pStyle w:val="281"/>
        <w:snapToGrid w:val="0"/>
        <w:spacing w:line="360" w:lineRule="auto"/>
        <w:ind w:firstLine="480"/>
        <w:rPr>
          <w:rFonts w:ascii="仿宋" w:hAnsi="仿宋" w:eastAsia="仿宋" w:cs="仿宋"/>
          <w:sz w:val="24"/>
        </w:rPr>
      </w:pPr>
    </w:p>
    <w:p>
      <w:pPr>
        <w:spacing w:line="360" w:lineRule="auto"/>
        <w:ind w:firstLine="480" w:firstLineChars="200"/>
        <w:jc w:val="left"/>
        <w:rPr>
          <w:rFonts w:ascii="仿宋" w:hAnsi="仿宋" w:eastAsia="仿宋" w:cs="宋体"/>
          <w:sz w:val="24"/>
        </w:rPr>
      </w:pPr>
      <w:r>
        <w:rPr>
          <w:rFonts w:hint="eastAsia" w:ascii="仿宋" w:hAnsi="仿宋" w:eastAsia="仿宋" w:cs="仿宋"/>
          <w:sz w:val="24"/>
        </w:rPr>
        <w:t>2.14.3.2</w:t>
      </w:r>
      <w:r>
        <w:rPr>
          <w:rFonts w:ascii="仿宋" w:hAnsi="仿宋" w:eastAsia="仿宋" w:cs="仿宋"/>
          <w:sz w:val="24"/>
        </w:rPr>
        <w:t>验收标准</w:t>
      </w:r>
      <w:r>
        <w:rPr>
          <w:rFonts w:hint="eastAsia" w:ascii="仿宋" w:hAnsi="仿宋" w:eastAsia="仿宋" w:cs="仿宋"/>
          <w:sz w:val="24"/>
        </w:rPr>
        <w:t>：</w:t>
      </w:r>
      <w:r>
        <w:rPr>
          <w:rFonts w:hint="eastAsia" w:ascii="仿宋" w:hAnsi="仿宋" w:eastAsia="仿宋" w:cs="宋体"/>
          <w:sz w:val="24"/>
        </w:rPr>
        <w:t>甲方按照《杭州市政府采购履约验收暂行办法》（杭财采监[2019]10号）规定组织对投标人履约的验收。</w:t>
      </w:r>
    </w:p>
    <w:p>
      <w:pPr>
        <w:tabs>
          <w:tab w:val="left" w:pos="360"/>
          <w:tab w:val="left" w:pos="540"/>
          <w:tab w:val="left" w:pos="108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2.14.3.3</w:t>
      </w:r>
      <w:r>
        <w:rPr>
          <w:rFonts w:ascii="仿宋" w:hAnsi="仿宋" w:eastAsia="仿宋" w:cs="仿宋"/>
          <w:sz w:val="24"/>
        </w:rPr>
        <w:t>验收内容</w:t>
      </w:r>
    </w:p>
    <w:p>
      <w:pPr>
        <w:tabs>
          <w:tab w:val="left" w:pos="904"/>
        </w:tabs>
        <w:snapToGrid w:val="0"/>
        <w:spacing w:line="360" w:lineRule="auto"/>
        <w:ind w:firstLine="480" w:firstLineChars="200"/>
        <w:jc w:val="left"/>
        <w:rPr>
          <w:rFonts w:ascii="仿宋" w:hAnsi="仿宋" w:eastAsia="仿宋" w:cs="宋体"/>
          <w:sz w:val="24"/>
        </w:rPr>
      </w:pPr>
      <w:bookmarkStart w:id="311" w:name="_Toc94869461"/>
      <w:r>
        <w:rPr>
          <w:rFonts w:hint="eastAsia" w:ascii="仿宋" w:hAnsi="仿宋" w:eastAsia="仿宋" w:cs="宋体"/>
          <w:sz w:val="24"/>
        </w:rPr>
        <w:t>验收资料要求包括（不限于）以下内容：</w:t>
      </w:r>
    </w:p>
    <w:p>
      <w:pPr>
        <w:spacing w:line="360" w:lineRule="auto"/>
        <w:ind w:firstLine="560"/>
        <w:rPr>
          <w:rFonts w:ascii="仿宋" w:hAnsi="仿宋" w:eastAsia="仿宋" w:cs="仿宋"/>
          <w:sz w:val="24"/>
        </w:rPr>
      </w:pPr>
      <w:r>
        <w:rPr>
          <w:rFonts w:hint="eastAsia" w:ascii="仿宋" w:hAnsi="仿宋" w:eastAsia="仿宋" w:cs="仿宋"/>
          <w:sz w:val="24"/>
        </w:rPr>
        <w:t>（1）招标文件；</w:t>
      </w:r>
    </w:p>
    <w:p>
      <w:pPr>
        <w:spacing w:line="360" w:lineRule="auto"/>
        <w:ind w:firstLine="560"/>
        <w:rPr>
          <w:rFonts w:ascii="仿宋" w:hAnsi="仿宋" w:eastAsia="仿宋" w:cs="仿宋"/>
          <w:sz w:val="24"/>
        </w:rPr>
      </w:pPr>
      <w:r>
        <w:rPr>
          <w:rFonts w:hint="eastAsia" w:ascii="仿宋" w:hAnsi="仿宋" w:eastAsia="仿宋" w:cs="仿宋"/>
          <w:sz w:val="24"/>
        </w:rPr>
        <w:t>（2）投标文件；</w:t>
      </w:r>
    </w:p>
    <w:p>
      <w:pPr>
        <w:spacing w:line="360" w:lineRule="auto"/>
        <w:ind w:firstLine="560"/>
        <w:rPr>
          <w:rFonts w:ascii="仿宋" w:hAnsi="仿宋" w:eastAsia="仿宋" w:cs="仿宋"/>
          <w:sz w:val="24"/>
        </w:rPr>
      </w:pPr>
      <w:r>
        <w:rPr>
          <w:rFonts w:hint="eastAsia" w:ascii="仿宋" w:hAnsi="仿宋" w:eastAsia="仿宋" w:cs="仿宋"/>
          <w:sz w:val="24"/>
        </w:rPr>
        <w:t>（3）项目合同；</w:t>
      </w:r>
    </w:p>
    <w:p>
      <w:pPr>
        <w:spacing w:line="360" w:lineRule="auto"/>
        <w:ind w:firstLine="560"/>
        <w:rPr>
          <w:rFonts w:ascii="仿宋" w:hAnsi="仿宋" w:eastAsia="仿宋" w:cs="仿宋"/>
          <w:sz w:val="24"/>
        </w:rPr>
      </w:pPr>
      <w:r>
        <w:rPr>
          <w:rFonts w:hint="eastAsia" w:ascii="仿宋" w:hAnsi="仿宋" w:eastAsia="仿宋" w:cs="仿宋"/>
          <w:sz w:val="24"/>
        </w:rPr>
        <w:t>（4）租赁设备清单：需甲方、乙方、监理单位签字并盖章；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（5）每月巡检报告：需甲方、乙方、监理单位签字并盖章；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（6）租赁总结报告；</w:t>
      </w:r>
    </w:p>
    <w:p>
      <w:pPr>
        <w:spacing w:line="360" w:lineRule="auto"/>
        <w:ind w:firstLine="560"/>
        <w:rPr>
          <w:rFonts w:ascii="仿宋" w:hAnsi="仿宋" w:eastAsia="仿宋" w:cs="仿宋"/>
          <w:sz w:val="24"/>
        </w:rPr>
      </w:pPr>
      <w:r>
        <w:rPr>
          <w:rFonts w:hint="eastAsia" w:ascii="仿宋" w:hAnsi="仿宋" w:eastAsia="仿宋" w:cs="仿宋"/>
          <w:sz w:val="24"/>
        </w:rPr>
        <w:t>（7）项目组人员清单、社保缴纳记录；</w:t>
      </w:r>
    </w:p>
    <w:p>
      <w:pPr>
        <w:spacing w:line="360" w:lineRule="auto"/>
        <w:ind w:firstLine="560"/>
        <w:rPr>
          <w:rFonts w:ascii="仿宋" w:hAnsi="仿宋" w:eastAsia="仿宋" w:cs="仿宋"/>
          <w:sz w:val="24"/>
        </w:rPr>
      </w:pPr>
      <w:r>
        <w:rPr>
          <w:rFonts w:hint="eastAsia" w:ascii="仿宋" w:hAnsi="仿宋" w:eastAsia="仿宋" w:cs="仿宋"/>
          <w:sz w:val="24"/>
        </w:rPr>
        <w:t>（8）每月考核材料：需甲方经办人、乙方、监理单位签字并盖章；</w:t>
      </w:r>
    </w:p>
    <w:p>
      <w:pPr>
        <w:spacing w:line="360" w:lineRule="auto"/>
        <w:ind w:firstLine="560"/>
        <w:rPr>
          <w:rFonts w:ascii="仿宋" w:hAnsi="仿宋" w:eastAsia="仿宋" w:cs="仿宋"/>
          <w:sz w:val="24"/>
        </w:rPr>
      </w:pPr>
      <w:r>
        <w:rPr>
          <w:rFonts w:hint="eastAsia" w:ascii="仿宋" w:hAnsi="仿宋" w:eastAsia="仿宋" w:cs="仿宋"/>
          <w:sz w:val="24"/>
        </w:rPr>
        <w:t>（9）培训记录：由培训参与人员签字。</w:t>
      </w:r>
    </w:p>
    <w:p>
      <w:pPr>
        <w:spacing w:line="360" w:lineRule="auto"/>
        <w:ind w:firstLine="560"/>
        <w:rPr>
          <w:rFonts w:ascii="仿宋" w:hAnsi="仿宋" w:eastAsia="仿宋" w:cs="仿宋"/>
          <w:sz w:val="24"/>
        </w:rPr>
      </w:pPr>
      <w:r>
        <w:rPr>
          <w:rFonts w:hint="eastAsia" w:ascii="仿宋" w:hAnsi="仿宋" w:eastAsia="仿宋" w:cs="仿宋"/>
          <w:sz w:val="24"/>
        </w:rPr>
        <w:t>（10）验收报审表：由乙方提交，经监理单位及甲方审批；</w:t>
      </w:r>
    </w:p>
    <w:p>
      <w:pPr>
        <w:spacing w:line="360" w:lineRule="auto"/>
        <w:ind w:firstLine="560"/>
        <w:rPr>
          <w:rFonts w:ascii="仿宋" w:hAnsi="仿宋" w:eastAsia="仿宋" w:cs="仿宋"/>
          <w:sz w:val="24"/>
        </w:rPr>
      </w:pPr>
      <w:r>
        <w:rPr>
          <w:rFonts w:hint="eastAsia" w:ascii="仿宋" w:hAnsi="仿宋" w:eastAsia="仿宋" w:cs="仿宋"/>
          <w:sz w:val="24"/>
        </w:rPr>
        <w:t>（11）信息化建设项目变更审批表（如有）；</w:t>
      </w:r>
    </w:p>
    <w:p>
      <w:pPr>
        <w:spacing w:line="360" w:lineRule="auto"/>
        <w:ind w:firstLine="560"/>
        <w:rPr>
          <w:rFonts w:ascii="仿宋" w:hAnsi="仿宋" w:eastAsia="仿宋" w:cs="仿宋"/>
          <w:sz w:val="24"/>
        </w:rPr>
      </w:pPr>
      <w:r>
        <w:rPr>
          <w:rFonts w:hint="eastAsia" w:ascii="仿宋" w:hAnsi="仿宋" w:eastAsia="仿宋" w:cs="仿宋"/>
          <w:sz w:val="24"/>
        </w:rPr>
        <w:t>（12）其他项目所需的资料：如车辆信息、保密承诺书。</w:t>
      </w:r>
    </w:p>
    <w:p>
      <w:pPr>
        <w:pStyle w:val="3"/>
        <w:tabs>
          <w:tab w:val="left" w:pos="432"/>
        </w:tabs>
        <w:ind w:firstLine="480" w:firstLineChars="200"/>
        <w:jc w:val="left"/>
        <w:rPr>
          <w:rFonts w:ascii="仿宋" w:hAnsi="仿宋" w:eastAsia="仿宋" w:cs="仿宋"/>
          <w:b w:val="0"/>
          <w:kern w:val="2"/>
          <w:sz w:val="24"/>
          <w:szCs w:val="24"/>
        </w:rPr>
      </w:pPr>
      <w:r>
        <w:rPr>
          <w:rFonts w:ascii="仿宋" w:hAnsi="仿宋" w:eastAsia="仿宋" w:cs="仿宋"/>
          <w:b w:val="0"/>
          <w:kern w:val="2"/>
          <w:sz w:val="24"/>
          <w:szCs w:val="24"/>
        </w:rPr>
        <w:t>2.18.1</w:t>
      </w:r>
      <w:r>
        <w:rPr>
          <w:rFonts w:hint="eastAsia" w:ascii="仿宋" w:hAnsi="仿宋" w:eastAsia="仿宋" w:cs="仿宋"/>
          <w:b w:val="0"/>
          <w:kern w:val="2"/>
          <w:sz w:val="24"/>
          <w:szCs w:val="24"/>
        </w:rPr>
        <w:t>甲方根据杭州市政府采购网公布的乙方履约评价情况减免履约保证金。乙方履约验收评价总分为</w:t>
      </w:r>
      <w:r>
        <w:rPr>
          <w:rFonts w:ascii="仿宋" w:hAnsi="仿宋" w:eastAsia="仿宋" w:cs="仿宋"/>
          <w:b w:val="0"/>
          <w:kern w:val="2"/>
          <w:sz w:val="24"/>
          <w:szCs w:val="24"/>
        </w:rPr>
        <w:t>100分的，</w:t>
      </w:r>
      <w:r>
        <w:rPr>
          <w:rFonts w:hint="eastAsia" w:ascii="仿宋" w:hAnsi="仿宋" w:eastAsia="仿宋" w:cs="仿宋"/>
          <w:b w:val="0"/>
          <w:kern w:val="2"/>
          <w:sz w:val="24"/>
          <w:szCs w:val="24"/>
        </w:rPr>
        <w:t>甲方</w:t>
      </w:r>
      <w:r>
        <w:rPr>
          <w:rFonts w:ascii="仿宋" w:hAnsi="仿宋" w:eastAsia="仿宋" w:cs="仿宋"/>
          <w:b w:val="0"/>
          <w:kern w:val="2"/>
          <w:sz w:val="24"/>
          <w:szCs w:val="24"/>
        </w:rPr>
        <w:t>应当免收履约保证金；评价总分在</w:t>
      </w:r>
      <w:r>
        <w:rPr>
          <w:rFonts w:hint="eastAsia" w:ascii="仿宋" w:hAnsi="仿宋" w:eastAsia="仿宋" w:cs="仿宋"/>
          <w:b w:val="0"/>
          <w:kern w:val="2"/>
          <w:sz w:val="24"/>
          <w:szCs w:val="24"/>
        </w:rPr>
        <w:t>100</w:t>
      </w:r>
      <w:r>
        <w:rPr>
          <w:rFonts w:ascii="仿宋" w:hAnsi="仿宋" w:eastAsia="仿宋" w:cs="仿宋"/>
          <w:b w:val="0"/>
          <w:kern w:val="2"/>
          <w:sz w:val="24"/>
          <w:szCs w:val="24"/>
        </w:rPr>
        <w:t>分以下或者暂无评分的，收取履约保证金</w:t>
      </w:r>
      <w:r>
        <w:rPr>
          <w:rFonts w:hint="eastAsia" w:ascii="仿宋" w:hAnsi="仿宋" w:eastAsia="仿宋" w:cs="仿宋"/>
          <w:b w:val="0"/>
          <w:kern w:val="2"/>
          <w:sz w:val="24"/>
          <w:szCs w:val="24"/>
        </w:rPr>
        <w:t>为</w:t>
      </w:r>
      <w:r>
        <w:rPr>
          <w:rFonts w:ascii="仿宋" w:hAnsi="仿宋" w:eastAsia="仿宋" w:cs="仿宋"/>
          <w:b w:val="0"/>
          <w:kern w:val="2"/>
          <w:sz w:val="24"/>
          <w:szCs w:val="24"/>
        </w:rPr>
        <w:t>合同金额</w:t>
      </w:r>
      <w:r>
        <w:rPr>
          <w:rFonts w:hint="eastAsia" w:ascii="仿宋" w:hAnsi="仿宋" w:eastAsia="仿宋" w:cs="仿宋"/>
          <w:b w:val="0"/>
          <w:kern w:val="2"/>
          <w:sz w:val="24"/>
          <w:szCs w:val="24"/>
        </w:rPr>
        <w:t>1</w:t>
      </w:r>
      <w:r>
        <w:rPr>
          <w:rFonts w:ascii="仿宋" w:hAnsi="仿宋" w:eastAsia="仿宋" w:cs="仿宋"/>
          <w:b w:val="0"/>
          <w:kern w:val="2"/>
          <w:sz w:val="24"/>
          <w:szCs w:val="24"/>
        </w:rPr>
        <w:t>%</w:t>
      </w:r>
      <w:r>
        <w:rPr>
          <w:rFonts w:hint="eastAsia" w:ascii="仿宋" w:hAnsi="仿宋" w:eastAsia="仿宋" w:cs="仿宋"/>
          <w:b w:val="0"/>
          <w:kern w:val="2"/>
          <w:sz w:val="24"/>
          <w:szCs w:val="24"/>
        </w:rPr>
        <w:t>。</w:t>
      </w:r>
      <w:bookmarkEnd w:id="311"/>
    </w:p>
    <w:p>
      <w:pPr>
        <w:pStyle w:val="3"/>
        <w:tabs>
          <w:tab w:val="left" w:pos="432"/>
        </w:tabs>
        <w:ind w:firstLine="480" w:firstLineChars="200"/>
        <w:jc w:val="left"/>
        <w:rPr>
          <w:rFonts w:ascii="仿宋" w:hAnsi="仿宋" w:eastAsia="仿宋" w:cs="仿宋"/>
          <w:b w:val="0"/>
          <w:kern w:val="2"/>
          <w:sz w:val="24"/>
          <w:szCs w:val="24"/>
        </w:rPr>
      </w:pPr>
      <w:bookmarkStart w:id="312" w:name="_Toc94869462"/>
      <w:r>
        <w:rPr>
          <w:rFonts w:hint="eastAsia" w:ascii="仿宋" w:hAnsi="仿宋" w:eastAsia="仿宋" w:cs="仿宋"/>
          <w:b w:val="0"/>
          <w:kern w:val="2"/>
          <w:sz w:val="24"/>
          <w:szCs w:val="24"/>
        </w:rPr>
        <w:t>乙方的履约验收评价分：</w:t>
      </w:r>
      <w:r>
        <w:rPr>
          <w:rFonts w:hint="eastAsia" w:ascii="仿宋" w:hAnsi="仿宋" w:eastAsia="仿宋" w:cs="仿宋"/>
          <w:b w:val="0"/>
          <w:kern w:val="2"/>
          <w:sz w:val="24"/>
          <w:szCs w:val="24"/>
          <w:u w:val="single"/>
        </w:rPr>
        <w:t xml:space="preserve">      分 ；</w:t>
      </w:r>
      <w:r>
        <w:rPr>
          <w:rFonts w:hint="eastAsia" w:ascii="仿宋" w:hAnsi="仿宋" w:eastAsia="仿宋" w:cs="仿宋"/>
          <w:b w:val="0"/>
          <w:kern w:val="2"/>
          <w:sz w:val="24"/>
          <w:szCs w:val="24"/>
        </w:rPr>
        <w:t>收取履约保证金为合同金额</w:t>
      </w:r>
      <w:r>
        <w:rPr>
          <w:rFonts w:hint="eastAsia" w:ascii="仿宋" w:hAnsi="仿宋" w:eastAsia="仿宋" w:cs="仿宋"/>
          <w:b w:val="0"/>
          <w:kern w:val="2"/>
          <w:sz w:val="24"/>
          <w:szCs w:val="24"/>
          <w:u w:val="single"/>
        </w:rPr>
        <w:t>：      %。</w:t>
      </w:r>
      <w:bookmarkEnd w:id="312"/>
    </w:p>
    <w:p>
      <w:pPr>
        <w:pStyle w:val="3"/>
        <w:tabs>
          <w:tab w:val="left" w:pos="432"/>
        </w:tabs>
        <w:ind w:firstLine="480" w:firstLineChars="200"/>
        <w:jc w:val="left"/>
        <w:rPr>
          <w:rFonts w:ascii="仿宋" w:hAnsi="仿宋" w:eastAsia="仿宋" w:cs="仿宋"/>
          <w:b w:val="0"/>
          <w:kern w:val="2"/>
          <w:sz w:val="24"/>
          <w:szCs w:val="24"/>
        </w:rPr>
      </w:pPr>
      <w:bookmarkStart w:id="313" w:name="_Toc94869463"/>
      <w:r>
        <w:rPr>
          <w:rFonts w:hint="eastAsia" w:ascii="仿宋" w:hAnsi="仿宋" w:eastAsia="仿宋" w:cs="仿宋"/>
          <w:b w:val="0"/>
          <w:kern w:val="2"/>
          <w:sz w:val="24"/>
          <w:szCs w:val="24"/>
        </w:rPr>
        <w:t>乙方应在合同签订后5个工作日内，以支票、汇票、本票或者金融机构、担保机构出具的保函等非现金形式提交履约保证金。鼓励和支持乙方以履约保函形式提供履约保证。</w:t>
      </w:r>
      <w:bookmarkEnd w:id="313"/>
    </w:p>
    <w:p>
      <w:pPr>
        <w:pStyle w:val="3"/>
        <w:tabs>
          <w:tab w:val="left" w:pos="432"/>
        </w:tabs>
        <w:ind w:firstLine="480" w:firstLineChars="200"/>
        <w:jc w:val="left"/>
        <w:rPr>
          <w:rFonts w:ascii="仿宋" w:hAnsi="仿宋" w:eastAsia="仿宋" w:cs="仿宋"/>
          <w:b w:val="0"/>
          <w:kern w:val="2"/>
          <w:sz w:val="24"/>
          <w:szCs w:val="24"/>
        </w:rPr>
      </w:pPr>
      <w:bookmarkStart w:id="314" w:name="_Toc94869464"/>
      <w:r>
        <w:rPr>
          <w:rFonts w:hint="eastAsia" w:ascii="仿宋" w:hAnsi="仿宋" w:eastAsia="仿宋" w:cs="仿宋"/>
          <w:b w:val="0"/>
          <w:kern w:val="2"/>
          <w:sz w:val="24"/>
          <w:szCs w:val="24"/>
        </w:rPr>
        <w:t>2.18.2履约保证金在合同签订之日起至项目通过验收，乙方递交退还履约保证金申请前不予退还。</w:t>
      </w:r>
      <w:bookmarkEnd w:id="314"/>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2.20 本合同正本壹式陆份，具有同等法律效力，甲乙双方各执叁份。</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服务要求：</w:t>
      </w:r>
    </w:p>
    <w:p>
      <w:pPr>
        <w:pStyle w:val="4"/>
        <w:rPr>
          <w:rFonts w:ascii="仿宋" w:hAnsi="仿宋" w:eastAsia="仿宋" w:cs="仿宋"/>
          <w:sz w:val="24"/>
          <w:szCs w:val="24"/>
        </w:rPr>
      </w:pPr>
      <w:r>
        <w:rPr>
          <w:rFonts w:hint="eastAsia" w:ascii="仿宋" w:hAnsi="仿宋" w:eastAsia="仿宋" w:cs="仿宋"/>
          <w:sz w:val="24"/>
          <w:szCs w:val="24"/>
        </w:rPr>
        <w:t>1.本次租赁项目采购内容如下：</w:t>
      </w:r>
    </w:p>
    <w:tbl>
      <w:tblPr>
        <w:tblStyle w:val="7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76"/>
        <w:gridCol w:w="5889"/>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产品类型</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配置</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b/>
                <w:bCs/>
                <w:sz w:val="24"/>
                <w:szCs w:val="24"/>
              </w:rPr>
            </w:pPr>
            <w:r>
              <w:rPr>
                <w:rFonts w:hint="eastAsia" w:ascii="仿宋" w:hAnsi="仿宋" w:eastAsia="仿宋" w:cs="仿宋"/>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1</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声音定位探头（声呐）</w:t>
            </w:r>
          </w:p>
        </w:tc>
        <w:tc>
          <w:tcPr>
            <w:tcW w:w="317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ascii="仿宋" w:hAnsi="仿宋" w:eastAsia="仿宋" w:cs="仿宋"/>
                <w:sz w:val="24"/>
                <w:szCs w:val="24"/>
              </w:rPr>
              <w:t>以乙方投标设备参数为准</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2</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摄像机</w:t>
            </w:r>
          </w:p>
        </w:tc>
        <w:tc>
          <w:tcPr>
            <w:tcW w:w="3171" w:type="pct"/>
            <w:tcBorders>
              <w:top w:val="single" w:color="auto" w:sz="4" w:space="0"/>
              <w:left w:val="single" w:color="auto" w:sz="4" w:space="0"/>
              <w:bottom w:val="single" w:color="auto" w:sz="4" w:space="0"/>
              <w:right w:val="single" w:color="auto" w:sz="4" w:space="0"/>
            </w:tcBorders>
            <w:vAlign w:val="center"/>
          </w:tcPr>
          <w:p>
            <w:pPr>
              <w:jc w:val="center"/>
            </w:pPr>
            <w:r>
              <w:rPr>
                <w:rFonts w:ascii="仿宋" w:hAnsi="仿宋" w:eastAsia="仿宋" w:cs="仿宋"/>
                <w:sz w:val="24"/>
              </w:rPr>
              <w:t>以乙方投标设备参数为准</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3</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LED显示屏</w:t>
            </w:r>
          </w:p>
        </w:tc>
        <w:tc>
          <w:tcPr>
            <w:tcW w:w="3171" w:type="pct"/>
            <w:tcBorders>
              <w:top w:val="single" w:color="auto" w:sz="4" w:space="0"/>
              <w:left w:val="single" w:color="auto" w:sz="4" w:space="0"/>
              <w:bottom w:val="single" w:color="auto" w:sz="4" w:space="0"/>
              <w:right w:val="single" w:color="auto" w:sz="4" w:space="0"/>
            </w:tcBorders>
            <w:vAlign w:val="center"/>
          </w:tcPr>
          <w:p>
            <w:pPr>
              <w:jc w:val="center"/>
            </w:pPr>
            <w:r>
              <w:rPr>
                <w:rFonts w:ascii="仿宋" w:hAnsi="仿宋" w:eastAsia="仿宋" w:cs="仿宋"/>
                <w:sz w:val="24"/>
              </w:rPr>
              <w:t>以乙方投标设备参数为准</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53"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4</w:t>
            </w:r>
          </w:p>
        </w:tc>
        <w:tc>
          <w:tcPr>
            <w:tcW w:w="795" w:type="pct"/>
            <w:tcBorders>
              <w:top w:val="single" w:color="auto" w:sz="4" w:space="0"/>
              <w:left w:val="single" w:color="auto" w:sz="4" w:space="0"/>
              <w:bottom w:val="single" w:color="auto" w:sz="4" w:space="0"/>
              <w:right w:val="single" w:color="auto" w:sz="4" w:space="0"/>
            </w:tcBorders>
            <w:vAlign w:val="center"/>
          </w:tcPr>
          <w:p>
            <w:pPr>
              <w:pStyle w:val="555"/>
              <w:rPr>
                <w:rFonts w:ascii="仿宋" w:hAnsi="仿宋" w:eastAsia="仿宋" w:cs="仿宋"/>
                <w:sz w:val="24"/>
                <w:szCs w:val="24"/>
              </w:rPr>
            </w:pPr>
            <w:r>
              <w:rPr>
                <w:rFonts w:hint="eastAsia" w:ascii="仿宋" w:hAnsi="仿宋" w:eastAsia="仿宋" w:cs="仿宋"/>
                <w:sz w:val="24"/>
                <w:szCs w:val="24"/>
              </w:rPr>
              <w:t>主控机</w:t>
            </w:r>
          </w:p>
        </w:tc>
        <w:tc>
          <w:tcPr>
            <w:tcW w:w="3171" w:type="pct"/>
            <w:tcBorders>
              <w:top w:val="single" w:color="auto" w:sz="4" w:space="0"/>
              <w:left w:val="single" w:color="auto" w:sz="4" w:space="0"/>
              <w:bottom w:val="single" w:color="auto" w:sz="4" w:space="0"/>
              <w:right w:val="single" w:color="auto" w:sz="4" w:space="0"/>
            </w:tcBorders>
            <w:vAlign w:val="center"/>
          </w:tcPr>
          <w:p>
            <w:pPr>
              <w:jc w:val="center"/>
            </w:pPr>
            <w:r>
              <w:rPr>
                <w:rFonts w:ascii="仿宋" w:hAnsi="仿宋" w:eastAsia="仿宋" w:cs="仿宋"/>
                <w:sz w:val="24"/>
              </w:rPr>
              <w:t>以乙方投标设备参数为准</w:t>
            </w:r>
          </w:p>
        </w:tc>
        <w:tc>
          <w:tcPr>
            <w:tcW w:w="681" w:type="pct"/>
            <w:tcBorders>
              <w:top w:val="single" w:color="auto" w:sz="4" w:space="0"/>
              <w:left w:val="single" w:color="auto" w:sz="4" w:space="0"/>
              <w:bottom w:val="single" w:color="auto" w:sz="4" w:space="0"/>
              <w:right w:val="single" w:color="auto" w:sz="4" w:space="0"/>
            </w:tcBorders>
            <w:vAlign w:val="center"/>
          </w:tcPr>
          <w:p>
            <w:pPr>
              <w:pStyle w:val="555"/>
              <w:jc w:val="center"/>
              <w:rPr>
                <w:rFonts w:ascii="仿宋" w:hAnsi="仿宋" w:eastAsia="仿宋" w:cs="仿宋"/>
                <w:sz w:val="24"/>
                <w:szCs w:val="24"/>
              </w:rPr>
            </w:pPr>
            <w:r>
              <w:rPr>
                <w:rFonts w:hint="eastAsia" w:ascii="仿宋" w:hAnsi="仿宋" w:eastAsia="仿宋" w:cs="仿宋"/>
                <w:sz w:val="24"/>
                <w:szCs w:val="24"/>
              </w:rPr>
              <w:t>5台</w:t>
            </w:r>
          </w:p>
        </w:tc>
      </w:tr>
    </w:tbl>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注：1）本项目的系统设备产品的详细指标“技术规格要求”，乙方必须对指标要求有明确的响应，针对采购要求如实描述是否偏离。</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sz w:val="24"/>
        </w:rPr>
        <w:t>如乙方认为设备清单中的设备数量尚不足以实现项目技术需求的，可自行增加；但不得减少清单中的设备以及设备的数量。</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3）周抓拍成功率不得低于97%，周识别成功率不得低于92%，</w:t>
      </w:r>
      <w:r>
        <w:rPr>
          <w:rFonts w:hint="eastAsia" w:ascii="仿宋" w:hAnsi="仿宋" w:eastAsia="仿宋" w:cs="仿宋"/>
          <w:sz w:val="24"/>
        </w:rPr>
        <w:t>每周及时修复率不得低于90%，以运维通APP数据为准</w:t>
      </w:r>
      <w:r>
        <w:rPr>
          <w:rFonts w:hint="eastAsia" w:ascii="仿宋" w:hAnsi="仿宋" w:eastAsia="仿宋" w:cs="仿宋"/>
          <w:sz w:val="24"/>
          <w:lang w:val="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周抓拍成功率=周抓拍成功数量/周过车总量</w:t>
      </w:r>
    </w:p>
    <w:p>
      <w:pPr>
        <w:spacing w:line="360" w:lineRule="auto"/>
        <w:ind w:firstLine="480" w:firstLineChars="200"/>
        <w:rPr>
          <w:rFonts w:ascii="仿宋" w:hAnsi="仿宋" w:eastAsia="仿宋" w:cs="仿宋"/>
          <w:sz w:val="24"/>
        </w:rPr>
      </w:pPr>
      <w:r>
        <w:rPr>
          <w:rFonts w:hint="eastAsia" w:ascii="仿宋" w:hAnsi="仿宋" w:eastAsia="仿宋" w:cs="仿宋"/>
          <w:sz w:val="24"/>
        </w:rPr>
        <w:t>周识别成功率=周成功识别数量/周识别总量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周修复率=周修复数量/周损坏数量。</w:t>
      </w:r>
    </w:p>
    <w:p>
      <w:pPr>
        <w:snapToGrid w:val="0"/>
        <w:spacing w:line="360" w:lineRule="auto"/>
        <w:ind w:firstLine="480" w:firstLineChars="200"/>
        <w:rPr>
          <w:rFonts w:ascii="仿宋" w:hAnsi="仿宋" w:eastAsia="仿宋" w:cs="仿宋"/>
          <w:bCs/>
          <w:sz w:val="24"/>
        </w:rPr>
      </w:pPr>
      <w:r>
        <w:rPr>
          <w:rFonts w:hint="eastAsia" w:ascii="仿宋" w:hAnsi="仿宋" w:eastAsia="仿宋"/>
          <w:sz w:val="24"/>
        </w:rPr>
        <w:t>由科信处运维中心周通报形式进行考核。</w:t>
      </w:r>
      <w:r>
        <w:rPr>
          <w:rFonts w:hint="eastAsia" w:ascii="仿宋" w:hAnsi="仿宋" w:eastAsia="仿宋" w:cs="仿宋"/>
          <w:bCs/>
          <w:sz w:val="24"/>
        </w:rPr>
        <w:t>。</w:t>
      </w:r>
    </w:p>
    <w:p>
      <w:pPr>
        <w:pStyle w:val="4"/>
        <w:rPr>
          <w:rFonts w:ascii="仿宋" w:hAnsi="仿宋" w:eastAsia="仿宋" w:cs="仿宋"/>
          <w:sz w:val="24"/>
          <w:szCs w:val="24"/>
        </w:rPr>
      </w:pPr>
      <w:r>
        <w:rPr>
          <w:rFonts w:hint="eastAsia" w:ascii="仿宋" w:hAnsi="仿宋" w:eastAsia="仿宋" w:cs="仿宋"/>
          <w:sz w:val="24"/>
          <w:szCs w:val="24"/>
        </w:rPr>
        <w:t>2.点位清单</w:t>
      </w:r>
    </w:p>
    <w:p>
      <w:pPr>
        <w:spacing w:line="360" w:lineRule="auto"/>
        <w:ind w:firstLine="480" w:firstLineChars="200"/>
        <w:rPr>
          <w:rFonts w:ascii="仿宋" w:hAnsi="仿宋" w:eastAsia="仿宋" w:cs="仿宋"/>
          <w:sz w:val="24"/>
        </w:rPr>
      </w:pPr>
      <w:r>
        <w:rPr>
          <w:rFonts w:hint="eastAsia" w:ascii="仿宋" w:hAnsi="仿宋" w:eastAsia="仿宋" w:cs="仿宋"/>
          <w:sz w:val="24"/>
        </w:rPr>
        <w:t>（1）解放东路-钱江路交叉口点位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（2）环城西路-省府路交叉口点位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（3）庆春路-浙一医院门口点位</w:t>
      </w:r>
    </w:p>
    <w:p>
      <w:pPr>
        <w:spacing w:line="360" w:lineRule="auto"/>
        <w:ind w:firstLine="480" w:firstLineChars="200"/>
        <w:rPr>
          <w:rFonts w:ascii="仿宋" w:hAnsi="仿宋" w:eastAsia="仿宋" w:cs="仿宋"/>
          <w:sz w:val="24"/>
        </w:rPr>
      </w:pPr>
      <w:r>
        <w:rPr>
          <w:rFonts w:hint="eastAsia" w:ascii="仿宋" w:hAnsi="仿宋" w:eastAsia="仿宋" w:cs="仿宋"/>
          <w:sz w:val="24"/>
        </w:rPr>
        <w:t>（4）南山路净寺公交站点位</w:t>
      </w:r>
    </w:p>
    <w:p>
      <w:pPr>
        <w:spacing w:line="360" w:lineRule="auto"/>
        <w:ind w:firstLine="480" w:firstLineChars="200"/>
        <w:rPr>
          <w:rFonts w:ascii="仿宋" w:hAnsi="仿宋" w:eastAsia="仿宋" w:cs="仿宋"/>
          <w:sz w:val="24"/>
        </w:rPr>
      </w:pPr>
      <w:r>
        <w:rPr>
          <w:rFonts w:hint="eastAsia" w:ascii="仿宋" w:hAnsi="仿宋" w:eastAsia="仿宋" w:cs="仿宋"/>
          <w:sz w:val="24"/>
        </w:rPr>
        <w:t>（5）西湖大道-定安路交叉口</w:t>
      </w:r>
    </w:p>
    <w:p>
      <w:pPr>
        <w:pStyle w:val="4"/>
        <w:rPr>
          <w:rFonts w:ascii="仿宋" w:hAnsi="仿宋" w:eastAsia="仿宋" w:cs="仿宋"/>
          <w:sz w:val="24"/>
          <w:szCs w:val="24"/>
        </w:rPr>
      </w:pPr>
      <w:r>
        <w:rPr>
          <w:rFonts w:hint="eastAsia" w:ascii="仿宋" w:hAnsi="仿宋" w:eastAsia="仿宋" w:cs="仿宋"/>
          <w:sz w:val="24"/>
          <w:szCs w:val="24"/>
        </w:rPr>
        <w:t>3.项目技术需求</w:t>
      </w:r>
    </w:p>
    <w:p>
      <w:pPr>
        <w:pStyle w:val="5"/>
        <w:spacing w:before="0" w:after="0"/>
        <w:ind w:left="719" w:leftChars="228" w:hanging="240" w:hangingChars="100"/>
        <w:jc w:val="both"/>
        <w:rPr>
          <w:rFonts w:ascii="仿宋" w:hAnsi="仿宋" w:eastAsia="仿宋" w:cs="仿宋"/>
          <w:b w:val="0"/>
          <w:bCs/>
          <w:sz w:val="24"/>
          <w:szCs w:val="24"/>
        </w:rPr>
      </w:pPr>
      <w:r>
        <w:rPr>
          <w:rFonts w:hint="eastAsia" w:ascii="仿宋" w:hAnsi="仿宋" w:eastAsia="仿宋" w:cs="仿宋"/>
          <w:b w:val="0"/>
          <w:sz w:val="24"/>
          <w:szCs w:val="24"/>
        </w:rPr>
        <w:t>1）遵循和参考的标准规范</w:t>
      </w:r>
    </w:p>
    <w:p>
      <w:pPr>
        <w:numPr>
          <w:ilvl w:val="0"/>
          <w:numId w:val="2"/>
        </w:numPr>
        <w:spacing w:line="360" w:lineRule="auto"/>
        <w:rPr>
          <w:rFonts w:ascii="仿宋" w:hAnsi="仿宋" w:eastAsia="仿宋" w:cs="仿宋"/>
          <w:sz w:val="24"/>
        </w:rPr>
      </w:pPr>
      <w:r>
        <w:rPr>
          <w:rFonts w:hint="eastAsia" w:ascii="仿宋" w:hAnsi="仿宋" w:eastAsia="仿宋" w:cs="仿宋"/>
          <w:sz w:val="24"/>
        </w:rPr>
        <w:t>《道路交通安全违法行为视频取证设备技术规范》GAT995-2012</w:t>
      </w:r>
    </w:p>
    <w:p>
      <w:pPr>
        <w:numPr>
          <w:ilvl w:val="0"/>
          <w:numId w:val="2"/>
        </w:numPr>
        <w:spacing w:line="360" w:lineRule="auto"/>
        <w:rPr>
          <w:rFonts w:ascii="仿宋" w:hAnsi="仿宋" w:eastAsia="仿宋" w:cs="仿宋"/>
          <w:sz w:val="24"/>
        </w:rPr>
      </w:pPr>
      <w:r>
        <w:rPr>
          <w:rFonts w:hint="eastAsia" w:ascii="仿宋" w:hAnsi="仿宋" w:eastAsia="仿宋" w:cs="仿宋"/>
          <w:sz w:val="24"/>
        </w:rPr>
        <w:t>《道路交通安全违法行为图像取证技术规范》GAT832-2014</w:t>
      </w:r>
    </w:p>
    <w:p>
      <w:pPr>
        <w:numPr>
          <w:ilvl w:val="0"/>
          <w:numId w:val="2"/>
        </w:numPr>
        <w:spacing w:line="360" w:lineRule="auto"/>
        <w:rPr>
          <w:rFonts w:ascii="仿宋" w:hAnsi="仿宋" w:eastAsia="仿宋" w:cs="仿宋"/>
          <w:sz w:val="24"/>
        </w:rPr>
      </w:pPr>
      <w:r>
        <w:rPr>
          <w:rFonts w:hint="eastAsia" w:ascii="仿宋" w:hAnsi="仿宋" w:eastAsia="仿宋" w:cs="仿宋"/>
          <w:sz w:val="24"/>
        </w:rPr>
        <w:t>《机动车号牌图像自动识别技术规范》GA/T833-2016</w:t>
      </w:r>
    </w:p>
    <w:p>
      <w:pPr>
        <w:numPr>
          <w:ilvl w:val="0"/>
          <w:numId w:val="2"/>
        </w:numPr>
        <w:spacing w:line="360" w:lineRule="auto"/>
        <w:rPr>
          <w:rFonts w:ascii="仿宋" w:hAnsi="仿宋" w:eastAsia="仿宋" w:cs="仿宋"/>
          <w:sz w:val="24"/>
        </w:rPr>
      </w:pPr>
      <w:r>
        <w:rPr>
          <w:rFonts w:hint="eastAsia" w:ascii="仿宋" w:hAnsi="仿宋" w:eastAsia="仿宋" w:cs="仿宋"/>
          <w:sz w:val="24"/>
        </w:rPr>
        <w:t>《公安交通管理外场设备基础施工通用要求》GA/T652-2017</w:t>
      </w:r>
    </w:p>
    <w:p>
      <w:pPr>
        <w:numPr>
          <w:ilvl w:val="0"/>
          <w:numId w:val="2"/>
        </w:numPr>
        <w:spacing w:line="360" w:lineRule="auto"/>
        <w:rPr>
          <w:rFonts w:ascii="仿宋" w:hAnsi="仿宋" w:eastAsia="仿宋" w:cs="仿宋"/>
          <w:sz w:val="24"/>
        </w:rPr>
      </w:pPr>
      <w:r>
        <w:rPr>
          <w:rFonts w:hint="eastAsia" w:ascii="仿宋" w:hAnsi="仿宋" w:eastAsia="仿宋" w:cs="仿宋"/>
          <w:sz w:val="24"/>
        </w:rPr>
        <w:t>《公路交通安全设施设计技术规范》JTGD81-2017</w:t>
      </w:r>
    </w:p>
    <w:p>
      <w:pPr>
        <w:numPr>
          <w:ilvl w:val="0"/>
          <w:numId w:val="2"/>
        </w:numPr>
        <w:spacing w:line="360" w:lineRule="auto"/>
        <w:rPr>
          <w:rFonts w:ascii="仿宋" w:hAnsi="仿宋" w:eastAsia="仿宋" w:cs="仿宋"/>
          <w:sz w:val="24"/>
        </w:rPr>
      </w:pPr>
      <w:r>
        <w:rPr>
          <w:rFonts w:hint="eastAsia" w:ascii="仿宋" w:hAnsi="仿宋" w:eastAsia="仿宋" w:cs="仿宋"/>
          <w:sz w:val="24"/>
        </w:rPr>
        <w:t>《电气装置安装工程低压电器施工及验收规范》GB50254-96</w:t>
      </w:r>
    </w:p>
    <w:p>
      <w:pPr>
        <w:numPr>
          <w:ilvl w:val="0"/>
          <w:numId w:val="2"/>
        </w:numPr>
        <w:spacing w:line="360" w:lineRule="auto"/>
        <w:rPr>
          <w:rFonts w:ascii="仿宋" w:hAnsi="仿宋" w:eastAsia="仿宋" w:cs="仿宋"/>
          <w:sz w:val="24"/>
        </w:rPr>
      </w:pPr>
      <w:r>
        <w:rPr>
          <w:rFonts w:hint="eastAsia" w:ascii="仿宋" w:hAnsi="仿宋" w:eastAsia="仿宋" w:cs="仿宋"/>
          <w:sz w:val="24"/>
        </w:rPr>
        <w:t>《电气装置安装工程电缆线路施工及验收规范》GB50168-2016</w:t>
      </w:r>
    </w:p>
    <w:p>
      <w:pPr>
        <w:numPr>
          <w:ilvl w:val="0"/>
          <w:numId w:val="2"/>
        </w:numPr>
        <w:spacing w:line="360" w:lineRule="auto"/>
        <w:rPr>
          <w:rFonts w:ascii="仿宋" w:hAnsi="仿宋" w:eastAsia="仿宋" w:cs="仿宋"/>
          <w:sz w:val="24"/>
        </w:rPr>
      </w:pPr>
      <w:r>
        <w:rPr>
          <w:rFonts w:hint="eastAsia" w:ascii="仿宋" w:hAnsi="仿宋" w:eastAsia="仿宋" w:cs="仿宋"/>
          <w:sz w:val="24"/>
        </w:rPr>
        <w:t>《安全防范系统验收规则》GA308-2001</w:t>
      </w:r>
    </w:p>
    <w:p>
      <w:pPr>
        <w:numPr>
          <w:ilvl w:val="0"/>
          <w:numId w:val="2"/>
        </w:numPr>
        <w:spacing w:line="360" w:lineRule="auto"/>
        <w:rPr>
          <w:rFonts w:ascii="仿宋" w:hAnsi="仿宋" w:eastAsia="仿宋" w:cs="仿宋"/>
          <w:sz w:val="24"/>
        </w:rPr>
      </w:pPr>
      <w:r>
        <w:rPr>
          <w:rFonts w:hint="eastAsia" w:ascii="仿宋" w:hAnsi="仿宋" w:eastAsia="仿宋" w:cs="仿宋"/>
          <w:sz w:val="24"/>
        </w:rPr>
        <w:t>《机动车、驾驶员及违法管理等相关数据库规范》</w:t>
      </w:r>
    </w:p>
    <w:p>
      <w:pPr>
        <w:numPr>
          <w:ilvl w:val="0"/>
          <w:numId w:val="2"/>
        </w:numPr>
        <w:spacing w:line="360" w:lineRule="auto"/>
        <w:rPr>
          <w:rFonts w:ascii="仿宋" w:hAnsi="仿宋" w:eastAsia="仿宋" w:cs="仿宋"/>
          <w:sz w:val="24"/>
        </w:rPr>
      </w:pPr>
      <w:r>
        <w:rPr>
          <w:rFonts w:hint="eastAsia" w:ascii="仿宋" w:hAnsi="仿宋" w:eastAsia="仿宋" w:cs="仿宋"/>
          <w:sz w:val="24"/>
        </w:rPr>
        <w:t>《中华人民共和国道路交通安全法实施条例》</w:t>
      </w:r>
    </w:p>
    <w:p>
      <w:pPr>
        <w:numPr>
          <w:ilvl w:val="0"/>
          <w:numId w:val="2"/>
        </w:numPr>
        <w:spacing w:line="360" w:lineRule="auto"/>
        <w:rPr>
          <w:rFonts w:ascii="仿宋" w:hAnsi="仿宋" w:eastAsia="仿宋" w:cs="仿宋"/>
          <w:sz w:val="24"/>
        </w:rPr>
      </w:pPr>
      <w:r>
        <w:rPr>
          <w:rFonts w:hint="eastAsia" w:ascii="仿宋" w:hAnsi="仿宋" w:eastAsia="仿宋" w:cs="仿宋"/>
          <w:sz w:val="24"/>
        </w:rPr>
        <w:t>《中华人民共和国道路交通安全法》</w:t>
      </w:r>
    </w:p>
    <w:p>
      <w:pPr>
        <w:pStyle w:val="5"/>
        <w:spacing w:before="0" w:after="0"/>
        <w:ind w:left="719" w:leftChars="228" w:hanging="240" w:hangingChars="100"/>
        <w:jc w:val="both"/>
        <w:rPr>
          <w:rFonts w:ascii="仿宋" w:hAnsi="仿宋" w:eastAsia="仿宋" w:cs="仿宋"/>
          <w:b w:val="0"/>
          <w:sz w:val="24"/>
          <w:szCs w:val="24"/>
        </w:rPr>
      </w:pPr>
      <w:r>
        <w:rPr>
          <w:rFonts w:hint="eastAsia" w:ascii="仿宋" w:hAnsi="仿宋" w:eastAsia="仿宋" w:cs="仿宋"/>
          <w:b w:val="0"/>
          <w:sz w:val="24"/>
          <w:szCs w:val="24"/>
        </w:rPr>
        <w:t>2）建设原则</w:t>
      </w:r>
    </w:p>
    <w:p>
      <w:pPr>
        <w:spacing w:line="360" w:lineRule="auto"/>
        <w:ind w:firstLine="480" w:firstLineChars="200"/>
        <w:rPr>
          <w:rFonts w:ascii="仿宋" w:hAnsi="仿宋" w:eastAsia="仿宋" w:cs="仿宋"/>
          <w:sz w:val="24"/>
        </w:rPr>
      </w:pPr>
      <w:r>
        <w:rPr>
          <w:rFonts w:hint="eastAsia" w:ascii="仿宋" w:hAnsi="仿宋" w:eastAsia="仿宋" w:cs="仿宋"/>
          <w:sz w:val="24"/>
        </w:rPr>
        <w:t>2.1标准化</w:t>
      </w:r>
    </w:p>
    <w:p>
      <w:pPr>
        <w:spacing w:line="360" w:lineRule="auto"/>
        <w:ind w:firstLine="480" w:firstLineChars="200"/>
        <w:rPr>
          <w:rFonts w:ascii="仿宋" w:hAnsi="仿宋" w:eastAsia="仿宋" w:cs="仿宋"/>
          <w:sz w:val="24"/>
        </w:rPr>
      </w:pPr>
      <w:r>
        <w:rPr>
          <w:rFonts w:hint="eastAsia" w:ascii="仿宋" w:hAnsi="仿宋" w:eastAsia="仿宋" w:cs="仿宋"/>
          <w:sz w:val="24"/>
        </w:rPr>
        <w:t>以各项国标及法规条例作为最基础的要求，同时结合当前交警业务开展的实际需要，进行必要的功能扩展。</w:t>
      </w:r>
    </w:p>
    <w:p>
      <w:pPr>
        <w:spacing w:line="360" w:lineRule="auto"/>
        <w:ind w:firstLine="480" w:firstLineChars="200"/>
        <w:rPr>
          <w:rFonts w:ascii="仿宋" w:hAnsi="仿宋" w:eastAsia="仿宋" w:cs="仿宋"/>
          <w:sz w:val="24"/>
        </w:rPr>
      </w:pPr>
      <w:r>
        <w:rPr>
          <w:rFonts w:hint="eastAsia" w:ascii="仿宋" w:hAnsi="仿宋" w:eastAsia="仿宋" w:cs="仿宋"/>
          <w:sz w:val="24"/>
        </w:rPr>
        <w:t>2.2严谨性</w:t>
      </w:r>
    </w:p>
    <w:p>
      <w:pPr>
        <w:spacing w:line="360" w:lineRule="auto"/>
        <w:ind w:firstLine="480" w:firstLineChars="200"/>
        <w:rPr>
          <w:rFonts w:ascii="仿宋" w:hAnsi="仿宋" w:eastAsia="仿宋" w:cs="仿宋"/>
          <w:sz w:val="24"/>
        </w:rPr>
      </w:pPr>
      <w:r>
        <w:rPr>
          <w:rFonts w:hint="eastAsia" w:ascii="仿宋" w:hAnsi="仿宋" w:eastAsia="仿宋" w:cs="仿宋"/>
          <w:sz w:val="24"/>
        </w:rPr>
        <w:t>用于违法取证的设备，选用更精密精准的检测仪器，更高清的摄像机产品和逻辑严密的取证规范可为交管部门提供真实、有效的违法取证图片，在违法行为抓得到的前提下，做到看得清，罚得无异议。</w:t>
      </w:r>
    </w:p>
    <w:p>
      <w:pPr>
        <w:spacing w:line="360" w:lineRule="auto"/>
        <w:ind w:firstLine="480" w:firstLineChars="200"/>
        <w:rPr>
          <w:rFonts w:ascii="仿宋" w:hAnsi="仿宋" w:eastAsia="仿宋" w:cs="仿宋"/>
          <w:sz w:val="24"/>
        </w:rPr>
      </w:pPr>
      <w:r>
        <w:rPr>
          <w:rFonts w:hint="eastAsia" w:ascii="仿宋" w:hAnsi="仿宋" w:eastAsia="仿宋" w:cs="仿宋"/>
          <w:sz w:val="24"/>
        </w:rPr>
        <w:t>2.3先进性</w:t>
      </w:r>
    </w:p>
    <w:p>
      <w:pPr>
        <w:spacing w:line="360" w:lineRule="auto"/>
        <w:ind w:firstLine="480" w:firstLineChars="200"/>
        <w:rPr>
          <w:rFonts w:ascii="仿宋" w:hAnsi="仿宋" w:eastAsia="仿宋" w:cs="仿宋"/>
          <w:sz w:val="24"/>
        </w:rPr>
      </w:pPr>
      <w:r>
        <w:rPr>
          <w:rFonts w:hint="eastAsia" w:ascii="仿宋" w:hAnsi="仿宋" w:eastAsia="仿宋" w:cs="仿宋"/>
          <w:sz w:val="24"/>
        </w:rPr>
        <w:t>本系统采用先进的、具有前瞻性的技术，在系统设计过程中，充分借鉴、利用国内外的先进技术和成功经验，在系统结构上和设备选型上精益求精，将这些代表行业发展趋势的先进技术有机结合在一起。整个设计具有一定的超前意识而不局限于目前的使用条件和规模。</w:t>
      </w:r>
    </w:p>
    <w:p>
      <w:pPr>
        <w:spacing w:line="360" w:lineRule="auto"/>
        <w:ind w:firstLine="480" w:firstLineChars="200"/>
        <w:rPr>
          <w:rFonts w:ascii="仿宋" w:hAnsi="仿宋" w:eastAsia="仿宋" w:cs="仿宋"/>
          <w:sz w:val="24"/>
        </w:rPr>
      </w:pPr>
      <w:r>
        <w:rPr>
          <w:rFonts w:hint="eastAsia" w:ascii="仿宋" w:hAnsi="仿宋" w:eastAsia="仿宋" w:cs="仿宋"/>
          <w:sz w:val="24"/>
        </w:rPr>
        <w:t>2.4稳定性</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是一个系统运行环境复杂、使用率高的复杂系统，系统设计时将统筹考虑所用设备和控制系统，选用国内外有多年使用经验的成熟、可靠、标准化的知名产品，符合当前技术和公安交管部门管理工作的发展方向，同时系统选用成熟的技术，减少了系统的技术风险。系统中核心的抓拍单元及后台服务软件等，可实现掉电恢复后设备及软件自动恢复正常连接、断网恢复后设备及软件自动恢复正常连接等故障自动恢复的能力，启动过程无需过多人工干预。</w:t>
      </w:r>
    </w:p>
    <w:p>
      <w:pPr>
        <w:spacing w:line="360" w:lineRule="auto"/>
        <w:ind w:firstLine="480" w:firstLineChars="200"/>
        <w:rPr>
          <w:rFonts w:ascii="仿宋" w:hAnsi="仿宋" w:eastAsia="仿宋" w:cs="仿宋"/>
          <w:sz w:val="24"/>
        </w:rPr>
      </w:pPr>
      <w:r>
        <w:rPr>
          <w:rFonts w:hint="eastAsia" w:ascii="仿宋" w:hAnsi="仿宋" w:eastAsia="仿宋" w:cs="仿宋"/>
          <w:sz w:val="24"/>
        </w:rPr>
        <w:t>2.5可扩展性</w:t>
      </w:r>
    </w:p>
    <w:p>
      <w:pPr>
        <w:spacing w:line="360" w:lineRule="auto"/>
        <w:ind w:firstLine="480" w:firstLineChars="200"/>
        <w:rPr>
          <w:rFonts w:ascii="仿宋" w:hAnsi="仿宋" w:eastAsia="仿宋" w:cs="仿宋"/>
          <w:sz w:val="24"/>
        </w:rPr>
      </w:pPr>
      <w:r>
        <w:rPr>
          <w:rFonts w:hint="eastAsia" w:ascii="仿宋" w:hAnsi="仿宋" w:eastAsia="仿宋" w:cs="仿宋"/>
          <w:sz w:val="24"/>
        </w:rPr>
        <w:t>系统采用灵活、开放的模块化设计，赋予结构上极大的灵活性，为系统扩展、升级及可预见的管理模式的改变留有余地。核心设备如存储设备、中心服务设备等具有强大的扩展功能，可随着交通需求的不断增长能够很方便的扩充和平滑升级，为以后的扩充和发展提供技术上的保障。各子系统能互联互控，实现信息共享。</w:t>
      </w:r>
    </w:p>
    <w:p>
      <w:pPr>
        <w:pStyle w:val="5"/>
        <w:spacing w:before="0" w:after="0"/>
        <w:ind w:left="719" w:leftChars="228" w:hanging="240" w:hangingChars="100"/>
        <w:jc w:val="both"/>
        <w:rPr>
          <w:rFonts w:ascii="仿宋" w:hAnsi="仿宋" w:eastAsia="仿宋" w:cs="仿宋"/>
          <w:b w:val="0"/>
          <w:sz w:val="24"/>
          <w:szCs w:val="24"/>
        </w:rPr>
      </w:pPr>
      <w:r>
        <w:rPr>
          <w:rFonts w:hint="eastAsia" w:ascii="仿宋" w:hAnsi="仿宋" w:eastAsia="仿宋" w:cs="仿宋"/>
          <w:b w:val="0"/>
          <w:sz w:val="24"/>
          <w:szCs w:val="24"/>
        </w:rPr>
        <w:t>3）技术架构</w:t>
      </w:r>
    </w:p>
    <w:p>
      <w:pPr>
        <w:spacing w:line="360" w:lineRule="auto"/>
        <w:ind w:firstLine="480" w:firstLineChars="200"/>
        <w:rPr>
          <w:rFonts w:ascii="仿宋" w:hAnsi="仿宋" w:eastAsia="仿宋" w:cs="仿宋"/>
          <w:sz w:val="24"/>
        </w:rPr>
      </w:pPr>
      <w:r>
        <w:rPr>
          <w:rFonts w:hint="eastAsia" w:ascii="仿宋" w:hAnsi="仿宋" w:eastAsia="仿宋" w:cs="仿宋"/>
          <w:sz w:val="24"/>
        </w:rPr>
        <w:t>抓拍系统主要由声学探头、车牌抓拍识别、主控机三大部分构成。</w:t>
      </w:r>
    </w:p>
    <w:p>
      <w:pPr>
        <w:spacing w:line="360" w:lineRule="auto"/>
        <w:ind w:firstLine="480" w:firstLineChars="200"/>
        <w:rPr>
          <w:rFonts w:ascii="仿宋" w:hAnsi="仿宋" w:eastAsia="仿宋" w:cs="仿宋"/>
          <w:sz w:val="24"/>
        </w:rPr>
      </w:pPr>
      <w:r>
        <w:rPr>
          <w:rFonts w:hint="eastAsia" w:ascii="仿宋" w:hAnsi="仿宋" w:eastAsia="仿宋" w:cs="仿宋"/>
          <w:sz w:val="24"/>
        </w:rPr>
        <w:t>声学探头是一体化的声呐探头，利用声呐及相控阵雷达技术，检测汽车鸣笛行为并定位。</w:t>
      </w:r>
    </w:p>
    <w:p>
      <w:pPr>
        <w:spacing w:line="360" w:lineRule="auto"/>
        <w:ind w:firstLine="480" w:firstLineChars="200"/>
        <w:rPr>
          <w:rFonts w:ascii="仿宋" w:hAnsi="仿宋" w:eastAsia="仿宋" w:cs="仿宋"/>
          <w:sz w:val="24"/>
        </w:rPr>
      </w:pPr>
      <w:r>
        <w:rPr>
          <w:rFonts w:hint="eastAsia" w:ascii="仿宋" w:hAnsi="仿宋" w:eastAsia="仿宋" w:cs="仿宋"/>
          <w:sz w:val="24"/>
        </w:rPr>
        <w:t>车牌抓拍识别子系统由高清摄像头和车辆抓拍识别处理器组成，在声学探头检测到汽车鸣笛后，抓拍鸣笛车辆的车牌号码。</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主控机直接接入交警执法系统，将违法鸣笛车辆鸣笛行为证据上传到交警执法系统，在现场通过电子显示屏实时显示违法车辆号牌。</w:t>
      </w:r>
      <w:r>
        <w:rPr>
          <w:rFonts w:hint="eastAsia" w:ascii="仿宋" w:hAnsi="仿宋" w:eastAsia="仿宋" w:cs="仿宋"/>
          <w:sz w:val="24"/>
        </w:rPr>
        <w:drawing>
          <wp:inline distT="0" distB="0" distL="114300" distR="114300">
            <wp:extent cx="5276850" cy="418401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a:off x="0" y="0"/>
                      <a:ext cx="5276850" cy="4184015"/>
                    </a:xfrm>
                    <a:prstGeom prst="rect">
                      <a:avLst/>
                    </a:prstGeom>
                    <a:noFill/>
                    <a:ln>
                      <a:noFill/>
                    </a:ln>
                  </pic:spPr>
                </pic:pic>
              </a:graphicData>
            </a:graphic>
          </wp:inline>
        </w:drawing>
      </w:r>
    </w:p>
    <w:p>
      <w:pPr>
        <w:pStyle w:val="5"/>
        <w:spacing w:before="0" w:after="0"/>
        <w:ind w:left="719" w:leftChars="228" w:hanging="240" w:hangingChars="100"/>
        <w:jc w:val="both"/>
        <w:rPr>
          <w:rFonts w:ascii="仿宋" w:hAnsi="仿宋" w:eastAsia="仿宋" w:cs="仿宋"/>
          <w:b w:val="0"/>
          <w:sz w:val="24"/>
          <w:szCs w:val="24"/>
        </w:rPr>
      </w:pPr>
      <w:r>
        <w:rPr>
          <w:rFonts w:hint="eastAsia" w:ascii="仿宋" w:hAnsi="仿宋" w:eastAsia="仿宋" w:cs="仿宋"/>
          <w:b w:val="0"/>
          <w:sz w:val="24"/>
          <w:szCs w:val="24"/>
        </w:rPr>
        <w:t>4）设计方案</w:t>
      </w:r>
    </w:p>
    <w:p>
      <w:pPr>
        <w:pStyle w:val="5"/>
        <w:spacing w:before="0" w:after="0"/>
        <w:ind w:left="719" w:leftChars="228" w:hanging="240" w:hangingChars="100"/>
        <w:jc w:val="both"/>
        <w:rPr>
          <w:rFonts w:ascii="仿宋" w:hAnsi="仿宋" w:eastAsia="仿宋" w:cs="仿宋"/>
          <w:b w:val="0"/>
          <w:sz w:val="24"/>
          <w:szCs w:val="24"/>
        </w:rPr>
      </w:pPr>
      <w:r>
        <w:rPr>
          <w:rFonts w:hint="eastAsia" w:ascii="仿宋" w:hAnsi="仿宋" w:eastAsia="仿宋" w:cs="仿宋"/>
          <w:b w:val="0"/>
          <w:sz w:val="24"/>
          <w:szCs w:val="24"/>
        </w:rPr>
        <w:t>4.1系统功能</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声音图像采集与记录</w:t>
      </w:r>
    </w:p>
    <w:p>
      <w:pPr>
        <w:spacing w:line="360" w:lineRule="auto"/>
        <w:ind w:firstLine="480" w:firstLineChars="200"/>
        <w:rPr>
          <w:rFonts w:ascii="仿宋" w:hAnsi="仿宋" w:eastAsia="仿宋" w:cs="仿宋"/>
          <w:sz w:val="24"/>
        </w:rPr>
      </w:pPr>
      <w:r>
        <w:rPr>
          <w:rFonts w:hint="eastAsia" w:ascii="仿宋" w:hAnsi="仿宋" w:eastAsia="仿宋" w:cs="仿宋"/>
          <w:sz w:val="24"/>
        </w:rPr>
        <w:t>同步采集声传感器阵列所有传感器的声音信号和摄像头图像信号。</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声音大小分布成像</w:t>
      </w:r>
    </w:p>
    <w:p>
      <w:pPr>
        <w:spacing w:line="360" w:lineRule="auto"/>
        <w:ind w:firstLine="480" w:firstLineChars="200"/>
        <w:rPr>
          <w:rFonts w:ascii="仿宋" w:hAnsi="仿宋" w:eastAsia="仿宋" w:cs="仿宋"/>
          <w:sz w:val="24"/>
        </w:rPr>
      </w:pPr>
      <w:r>
        <w:rPr>
          <w:rFonts w:hint="eastAsia" w:ascii="仿宋" w:hAnsi="仿宋" w:eastAsia="仿宋" w:cs="仿宋"/>
          <w:sz w:val="24"/>
        </w:rPr>
        <w:t>生成监视区域的声音云图，显示路面上各点声音相对大小。声音云图与视频同步叠加播放，实时显示鸣笛声声源区域。</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声源定位</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可获得声音大于设定阈值的声源点坐标和区域。</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触发抓拍</w:t>
      </w:r>
    </w:p>
    <w:p>
      <w:pPr>
        <w:spacing w:line="360" w:lineRule="auto"/>
        <w:ind w:firstLine="480" w:firstLineChars="200"/>
        <w:rPr>
          <w:rFonts w:ascii="仿宋" w:hAnsi="仿宋" w:eastAsia="仿宋" w:cs="仿宋"/>
          <w:sz w:val="24"/>
        </w:rPr>
      </w:pPr>
      <w:r>
        <w:rPr>
          <w:rFonts w:hint="eastAsia" w:ascii="仿宋" w:hAnsi="仿宋" w:eastAsia="仿宋" w:cs="仿宋"/>
          <w:sz w:val="24"/>
        </w:rPr>
        <w:t>对车辆鸣笛噪声进行信号采集与处理，排除其他噪声的干扰。保存鸣笛前后各1秒的音视频信号。保存视频时间长短可设置。对于车辆引擎声、鸟叫声、雨点声等其他城市噪声能够区分，避免误触发。</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声压级</w:t>
      </w:r>
    </w:p>
    <w:p>
      <w:pPr>
        <w:spacing w:line="360" w:lineRule="auto"/>
        <w:ind w:firstLine="480" w:firstLineChars="200"/>
        <w:rPr>
          <w:rFonts w:ascii="仿宋" w:hAnsi="仿宋" w:eastAsia="仿宋" w:cs="仿宋"/>
          <w:sz w:val="24"/>
        </w:rPr>
      </w:pPr>
      <w:r>
        <w:rPr>
          <w:rFonts w:hint="eastAsia" w:ascii="仿宋" w:hAnsi="仿宋" w:eastAsia="仿宋" w:cs="仿宋"/>
          <w:sz w:val="24"/>
        </w:rPr>
        <w:t>设备具有声压级测量功能，能显示设备处的A计权声压级。</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音视频回放</w:t>
      </w:r>
    </w:p>
    <w:p>
      <w:pPr>
        <w:spacing w:line="360" w:lineRule="auto"/>
        <w:ind w:firstLine="480" w:firstLineChars="200"/>
        <w:rPr>
          <w:rFonts w:ascii="仿宋" w:hAnsi="仿宋" w:eastAsia="仿宋" w:cs="仿宋"/>
          <w:sz w:val="24"/>
        </w:rPr>
      </w:pPr>
      <w:r>
        <w:rPr>
          <w:rFonts w:hint="eastAsia" w:ascii="仿宋" w:hAnsi="仿宋" w:eastAsia="仿宋" w:cs="仿宋"/>
          <w:sz w:val="24"/>
        </w:rPr>
        <w:t>可任意选取时间段，对记录的声音视频进行回放。回放过程，可对鸣笛声进行重听并通过声音云图识别鸣笛车辆。鸣笛车辆的特征可以人工从声音云图中识别。</w:t>
      </w:r>
    </w:p>
    <w:p>
      <w:pPr>
        <w:pStyle w:val="557"/>
        <w:numPr>
          <w:ilvl w:val="0"/>
          <w:numId w:val="3"/>
        </w:numPr>
        <w:spacing w:line="360" w:lineRule="auto"/>
        <w:ind w:left="0" w:firstLine="480"/>
        <w:rPr>
          <w:rFonts w:ascii="仿宋" w:hAnsi="仿宋" w:eastAsia="仿宋" w:cs="仿宋"/>
          <w:bCs/>
          <w:sz w:val="24"/>
        </w:rPr>
      </w:pPr>
      <w:r>
        <w:rPr>
          <w:rFonts w:hint="eastAsia" w:ascii="仿宋" w:hAnsi="仿宋" w:eastAsia="仿宋" w:cs="仿宋"/>
          <w:bCs/>
          <w:sz w:val="24"/>
        </w:rPr>
        <w:t>车牌自动识别</w:t>
      </w:r>
    </w:p>
    <w:p>
      <w:pPr>
        <w:spacing w:line="360" w:lineRule="auto"/>
        <w:ind w:firstLine="480" w:firstLineChars="200"/>
        <w:rPr>
          <w:rFonts w:ascii="仿宋" w:hAnsi="仿宋" w:eastAsia="仿宋" w:cs="仿宋"/>
          <w:sz w:val="24"/>
        </w:rPr>
      </w:pPr>
      <w:r>
        <w:rPr>
          <w:rFonts w:hint="eastAsia" w:ascii="仿宋" w:hAnsi="仿宋" w:eastAsia="仿宋" w:cs="仿宋"/>
          <w:sz w:val="24"/>
        </w:rPr>
        <w:t>自动识别鸣笛车辆及其车牌。</w:t>
      </w:r>
    </w:p>
    <w:p>
      <w:pPr>
        <w:pStyle w:val="557"/>
        <w:numPr>
          <w:ilvl w:val="0"/>
          <w:numId w:val="3"/>
        </w:numPr>
        <w:spacing w:line="360" w:lineRule="auto"/>
        <w:ind w:left="0" w:firstLine="480"/>
        <w:rPr>
          <w:rFonts w:ascii="仿宋" w:hAnsi="仿宋" w:eastAsia="仿宋" w:cs="仿宋"/>
          <w:sz w:val="24"/>
        </w:rPr>
      </w:pPr>
      <w:r>
        <w:rPr>
          <w:rFonts w:hint="eastAsia" w:ascii="仿宋" w:hAnsi="仿宋" w:eastAsia="仿宋" w:cs="仿宋"/>
          <w:bCs/>
          <w:sz w:val="24"/>
        </w:rPr>
        <w:t>接入交通执法系统</w:t>
      </w:r>
    </w:p>
    <w:p>
      <w:pPr>
        <w:spacing w:line="360" w:lineRule="auto"/>
        <w:ind w:firstLine="480" w:firstLineChars="200"/>
        <w:rPr>
          <w:rFonts w:ascii="仿宋" w:hAnsi="仿宋" w:eastAsia="仿宋" w:cs="仿宋"/>
          <w:sz w:val="24"/>
        </w:rPr>
      </w:pPr>
      <w:r>
        <w:rPr>
          <w:rFonts w:hint="eastAsia" w:ascii="仿宋" w:hAnsi="仿宋" w:eastAsia="仿宋" w:cs="仿宋"/>
          <w:sz w:val="24"/>
        </w:rPr>
        <w:t>自动获得的鸣笛车辆信息可与交通执法系统联网，保留取证材料和原始数据。可现场实时显示鸣笛车辆信息。</w:t>
      </w:r>
    </w:p>
    <w:p>
      <w:pPr>
        <w:pStyle w:val="557"/>
        <w:numPr>
          <w:ilvl w:val="255"/>
          <w:numId w:val="0"/>
        </w:numPr>
        <w:spacing w:line="360" w:lineRule="auto"/>
        <w:ind w:firstLine="480"/>
        <w:rPr>
          <w:rFonts w:ascii="仿宋" w:hAnsi="仿宋" w:eastAsia="仿宋" w:cs="仿宋"/>
          <w:sz w:val="24"/>
        </w:rPr>
      </w:pPr>
      <w:r>
        <w:rPr>
          <w:rFonts w:hint="eastAsia" w:ascii="仿宋" w:hAnsi="仿宋" w:eastAsia="仿宋" w:cs="仿宋"/>
          <w:sz w:val="24"/>
        </w:rPr>
        <w:t>4.2系统性能</w:t>
      </w:r>
    </w:p>
    <w:p>
      <w:pPr>
        <w:spacing w:line="360" w:lineRule="auto"/>
        <w:ind w:firstLine="480" w:firstLineChars="200"/>
        <w:rPr>
          <w:rFonts w:ascii="仿宋" w:hAnsi="仿宋" w:eastAsia="仿宋" w:cs="仿宋"/>
          <w:sz w:val="24"/>
        </w:rPr>
      </w:pPr>
      <w:r>
        <w:rPr>
          <w:rFonts w:hint="eastAsia" w:ascii="仿宋" w:hAnsi="仿宋" w:eastAsia="仿宋" w:cs="仿宋"/>
          <w:sz w:val="24"/>
        </w:rPr>
        <w:t>本系统的核心部分为声学探头。声学探头采用先进的声音成像算法，通过几十个高精度麦克风同时采集声音信号，在内置芯片上实时处理，生产声音云图，将声音可视化，从而定位鸣笛车辆。</w:t>
      </w:r>
    </w:p>
    <w:p>
      <w:pPr>
        <w:pStyle w:val="4"/>
        <w:rPr>
          <w:rFonts w:ascii="仿宋" w:hAnsi="仿宋" w:eastAsia="仿宋" w:cs="仿宋"/>
          <w:sz w:val="24"/>
          <w:szCs w:val="24"/>
        </w:rPr>
      </w:pPr>
      <w:r>
        <w:rPr>
          <w:rFonts w:hint="eastAsia" w:ascii="仿宋" w:hAnsi="仿宋" w:eastAsia="仿宋" w:cs="仿宋"/>
          <w:sz w:val="24"/>
          <w:szCs w:val="24"/>
        </w:rPr>
        <w:t>4.质量保证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1）乙方须保证所提供产品为质检合格产品。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2）乙方必须保证解决项目所涉及的技术问题，如因技术原因无法满足甲方需求，由此产生的风险由乙方承担。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3）乙方在服务期内，如遇产品软件升级，应提供升级服务。</w:t>
      </w:r>
    </w:p>
    <w:p>
      <w:pPr>
        <w:spacing w:line="360" w:lineRule="auto"/>
        <w:ind w:firstLine="480" w:firstLineChars="200"/>
        <w:rPr>
          <w:rFonts w:ascii="仿宋" w:hAnsi="仿宋" w:eastAsia="仿宋" w:cs="仿宋"/>
          <w:sz w:val="24"/>
        </w:rPr>
      </w:pPr>
      <w:r>
        <w:rPr>
          <w:rFonts w:hint="eastAsia" w:ascii="仿宋" w:hAnsi="仿宋" w:eastAsia="仿宋" w:cs="仿宋"/>
          <w:sz w:val="24"/>
        </w:rPr>
        <w:t>4）车辆识别须具有车牌识别、车辆类型、车辆颜色识别、车标识别、车辆子品牌等功能，拍头式卡口要求清晰分辨前排司乘人员图像，拍尾式卡口要求完整反映车尾特征。</w:t>
      </w:r>
    </w:p>
    <w:p>
      <w:pPr>
        <w:pStyle w:val="4"/>
        <w:rPr>
          <w:rFonts w:ascii="仿宋" w:hAnsi="仿宋" w:eastAsia="仿宋" w:cs="仿宋"/>
          <w:sz w:val="24"/>
          <w:szCs w:val="24"/>
        </w:rPr>
      </w:pPr>
      <w:r>
        <w:rPr>
          <w:rFonts w:hint="eastAsia" w:ascii="仿宋" w:hAnsi="仿宋" w:eastAsia="仿宋" w:cs="仿宋"/>
          <w:sz w:val="24"/>
          <w:szCs w:val="24"/>
        </w:rPr>
        <w:t>5.技术服务要求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服务期内提供7*24小时服务，如果设备在服务期内发生设备故障，乙方应48小时内解决，如无法按时排除故障，需提供备用设备以保障甲方方正常使用。备用设备应与投标设备品牌、型号一致。遇电力故障、链路故障、道路施工、交通事故客观外力原因导致暂时无法修复（优化），可申请延期。</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维修或巡检过程中须保证窨井、手孔井不可封闭；线缆裸露应提前报备；因外力或第三方原因造成设备损坏的，供应商未及时检查发现责任主体的，供应商负责维修，无法维修的应24小时内提供投标时相同型号数量的设备供采购人使用。</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维修或巡检过程中，维护车辆停放和设施摆放要安全规范，不得影响交通，地面根据主干道、次干道、支路分别做好100米、50米、30米全方位维护，须有导向车道牌、路锥桶，夜间导向车道牌需为LED导向牌，主次干道应有应急闪光灯。</w:t>
      </w:r>
    </w:p>
    <w:p>
      <w:pPr>
        <w:spacing w:line="360" w:lineRule="auto"/>
        <w:ind w:firstLine="480" w:firstLineChars="200"/>
        <w:rPr>
          <w:rFonts w:ascii="仿宋" w:hAnsi="仿宋" w:eastAsia="仿宋" w:cs="仿宋"/>
          <w:sz w:val="24"/>
        </w:rPr>
      </w:pPr>
      <w:r>
        <w:rPr>
          <w:rFonts w:hint="eastAsia" w:ascii="仿宋" w:hAnsi="仿宋" w:eastAsia="仿宋" w:cs="仿宋"/>
          <w:sz w:val="24"/>
        </w:rPr>
        <w:t>4）乙方私自拆除系统外场设施，有偷梁换柱、监守自盗的情况涉及金额较大，符合立案标准的，保留追究法律责任的权力。</w:t>
      </w:r>
    </w:p>
    <w:p>
      <w:pPr>
        <w:spacing w:line="360" w:lineRule="auto"/>
        <w:ind w:firstLine="480" w:firstLineChars="200"/>
        <w:rPr>
          <w:rFonts w:ascii="仿宋" w:hAnsi="仿宋" w:eastAsia="仿宋" w:cs="仿宋"/>
          <w:sz w:val="24"/>
        </w:rPr>
      </w:pPr>
      <w:r>
        <w:rPr>
          <w:rFonts w:hint="eastAsia" w:ascii="仿宋" w:hAnsi="仿宋" w:eastAsia="仿宋" w:cs="仿宋"/>
          <w:sz w:val="24"/>
        </w:rPr>
        <w:t>5）服务期内，每月安排人员进行1次巡检，检查全部点位及租赁设备的运行情况，并在</w:t>
      </w:r>
      <w:r>
        <w:rPr>
          <w:rFonts w:hint="eastAsia" w:ascii="仿宋" w:hAnsi="仿宋" w:eastAsia="仿宋" w:cs="宋体"/>
          <w:sz w:val="24"/>
        </w:rPr>
        <w:t>次月15日前</w:t>
      </w:r>
      <w:r>
        <w:rPr>
          <w:rFonts w:ascii="仿宋" w:hAnsi="仿宋" w:eastAsia="仿宋" w:cs="宋体"/>
          <w:sz w:val="24"/>
        </w:rPr>
        <w:t>出具当月的</w:t>
      </w:r>
      <w:r>
        <w:rPr>
          <w:rFonts w:hint="eastAsia" w:ascii="仿宋" w:hAnsi="仿宋" w:eastAsia="仿宋" w:cs="仿宋"/>
          <w:sz w:val="24"/>
        </w:rPr>
        <w:t>出具巡检报告；服务期满后7个工作日内，出具租赁总结报告。</w:t>
      </w:r>
    </w:p>
    <w:p>
      <w:pPr>
        <w:spacing w:line="360" w:lineRule="auto"/>
        <w:ind w:firstLine="480" w:firstLineChars="200"/>
        <w:rPr>
          <w:rFonts w:ascii="仿宋" w:hAnsi="仿宋" w:eastAsia="仿宋" w:cs="仿宋"/>
          <w:sz w:val="24"/>
        </w:rPr>
      </w:pPr>
      <w:r>
        <w:rPr>
          <w:rFonts w:hint="eastAsia" w:ascii="仿宋" w:hAnsi="仿宋" w:eastAsia="仿宋" w:cs="仿宋"/>
          <w:sz w:val="24"/>
        </w:rPr>
        <w:t>乙方应在10个工作日内提交甲方交办的文档资料、监理单位需要乙方配合完成的文档资料等。</w:t>
      </w:r>
    </w:p>
    <w:p>
      <w:pPr>
        <w:spacing w:line="360" w:lineRule="auto"/>
        <w:ind w:firstLine="480" w:firstLineChars="200"/>
        <w:rPr>
          <w:rFonts w:ascii="仿宋" w:hAnsi="仿宋" w:eastAsia="仿宋" w:cs="仿宋"/>
          <w:sz w:val="24"/>
        </w:rPr>
      </w:pPr>
      <w:r>
        <w:rPr>
          <w:rFonts w:hint="eastAsia" w:ascii="仿宋" w:hAnsi="仿宋" w:eastAsia="仿宋" w:cs="仿宋"/>
          <w:sz w:val="24"/>
        </w:rPr>
        <w:t>6）乙方未经许可，擅自将系统的操作管理权限、视频影像资料、数据及分析应用成果泄露外传；涉及泄密或侵犯个人隐私的，符合立案标准的，保留追究法律责任的权力。</w:t>
      </w:r>
    </w:p>
    <w:p>
      <w:pPr>
        <w:spacing w:line="360" w:lineRule="auto"/>
        <w:ind w:firstLine="480" w:firstLineChars="200"/>
        <w:rPr>
          <w:rFonts w:ascii="仿宋" w:hAnsi="仿宋" w:eastAsia="仿宋" w:cs="仿宋"/>
          <w:sz w:val="24"/>
        </w:rPr>
      </w:pPr>
      <w:r>
        <w:rPr>
          <w:rFonts w:hint="eastAsia" w:ascii="仿宋" w:hAnsi="仿宋" w:eastAsia="仿宋" w:cs="仿宋"/>
          <w:sz w:val="24"/>
        </w:rPr>
        <w:t>8）在重要会议和重大活动安保工作期间，乙方人员、车辆、设备保障到位，工作不疏漏或差错，对会议活动不造成影响。</w:t>
      </w:r>
    </w:p>
    <w:p>
      <w:pPr>
        <w:spacing w:line="360" w:lineRule="auto"/>
        <w:ind w:firstLine="480" w:firstLineChars="200"/>
        <w:rPr>
          <w:rFonts w:ascii="仿宋" w:hAnsi="仿宋" w:eastAsia="仿宋" w:cs="仿宋"/>
          <w:sz w:val="24"/>
        </w:rPr>
      </w:pPr>
      <w:r>
        <w:rPr>
          <w:rFonts w:hint="eastAsia" w:ascii="仿宋" w:hAnsi="仿宋" w:eastAsia="仿宋" w:cs="仿宋"/>
          <w:sz w:val="24"/>
        </w:rPr>
        <w:t>9）乙方应当对本单位人员进行生产安全教育，保持着装规范，应穿戴印有本单位名称或LOGO的反光衣、高空作业应系安全带、戴好安全帽、穿戴电工胶鞋。</w:t>
      </w:r>
    </w:p>
    <w:p>
      <w:pPr>
        <w:spacing w:line="360" w:lineRule="auto"/>
        <w:ind w:firstLine="480" w:firstLineChars="200"/>
        <w:rPr>
          <w:rFonts w:ascii="仿宋" w:hAnsi="仿宋" w:eastAsia="仿宋" w:cs="仿宋"/>
          <w:sz w:val="24"/>
        </w:rPr>
      </w:pPr>
      <w:r>
        <w:rPr>
          <w:rFonts w:hint="eastAsia" w:ascii="仿宋" w:hAnsi="仿宋" w:eastAsia="仿宋" w:cs="仿宋"/>
          <w:sz w:val="24"/>
        </w:rPr>
        <w:t>10）甲方交办的任务和临时性工作，不得推诿拖延、不执行或执行不到位。</w:t>
      </w:r>
    </w:p>
    <w:p>
      <w:pPr>
        <w:spacing w:line="360" w:lineRule="auto"/>
        <w:ind w:firstLine="480" w:firstLineChars="200"/>
        <w:rPr>
          <w:rFonts w:ascii="仿宋" w:hAnsi="仿宋" w:eastAsia="仿宋" w:cs="仿宋"/>
          <w:sz w:val="24"/>
        </w:rPr>
      </w:pPr>
      <w:r>
        <w:rPr>
          <w:rFonts w:hint="eastAsia" w:ascii="仿宋" w:hAnsi="仿宋" w:eastAsia="仿宋" w:cs="仿宋"/>
          <w:sz w:val="24"/>
        </w:rPr>
        <w:t>11）所有的运维工单（含数字城管）以运维通APP工单为准。</w:t>
      </w:r>
    </w:p>
    <w:p>
      <w:pPr>
        <w:spacing w:line="360" w:lineRule="auto"/>
        <w:ind w:firstLine="480" w:firstLineChars="200"/>
        <w:rPr>
          <w:rFonts w:ascii="仿宋" w:hAnsi="仿宋" w:eastAsia="仿宋" w:cs="宋体"/>
          <w:sz w:val="24"/>
        </w:rPr>
      </w:pPr>
      <w:r>
        <w:rPr>
          <w:rFonts w:hint="eastAsia" w:ascii="仿宋" w:hAnsi="仿宋" w:eastAsia="仿宋" w:cs="宋体"/>
          <w:sz w:val="24"/>
        </w:rPr>
        <w:t>12）项目实施过程中如发生变更，应严格办理变更手续，甲方及乙方填写《信息化建设项目变更审批表》，说明变更理由和内容，并随附相关文件和监理公司意见，按《杭州市公安局信息化项目管理办法》变更管理措施，否则该变更内容在款项结算时，甲方有权不予认可。</w:t>
      </w:r>
    </w:p>
    <w:p>
      <w:pPr>
        <w:spacing w:line="360" w:lineRule="auto"/>
        <w:ind w:firstLine="480" w:firstLineChars="200"/>
        <w:rPr>
          <w:rFonts w:ascii="仿宋" w:hAnsi="仿宋" w:eastAsia="仿宋" w:cs="宋体"/>
          <w:sz w:val="24"/>
        </w:rPr>
      </w:pPr>
      <w:r>
        <w:rPr>
          <w:rFonts w:hint="eastAsia" w:ascii="仿宋" w:hAnsi="仿宋" w:eastAsia="仿宋" w:cs="宋体"/>
          <w:sz w:val="24"/>
        </w:rPr>
        <w:t>13）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pPr>
        <w:pStyle w:val="4"/>
        <w:rPr>
          <w:rFonts w:ascii="仿宋" w:hAnsi="仿宋" w:eastAsia="仿宋" w:cs="仿宋"/>
          <w:sz w:val="24"/>
          <w:szCs w:val="24"/>
        </w:rPr>
      </w:pPr>
      <w:r>
        <w:rPr>
          <w:rFonts w:hint="eastAsia" w:ascii="仿宋" w:hAnsi="仿宋" w:eastAsia="仿宋" w:cs="仿宋"/>
          <w:sz w:val="24"/>
          <w:szCs w:val="24"/>
        </w:rPr>
        <w:t>6.人员服务及车辆要求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1）服务人员要求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需配备1名为项目负责人，负责与甲方对接工作安排运维技术人员处理技术故障；运维技术人员由乙方自行配备，负责巡检工作及故障维修。项目负责人及运维技术人员均需具备违法鸣笛抓拍系统租赁服务项目经验（需提供合同及业主证明材料）。</w:t>
      </w:r>
    </w:p>
    <w:p>
      <w:pPr>
        <w:spacing w:line="360" w:lineRule="auto"/>
        <w:ind w:firstLine="480" w:firstLineChars="200"/>
        <w:rPr>
          <w:rFonts w:ascii="仿宋" w:hAnsi="仿宋" w:eastAsia="仿宋" w:cs="宋体"/>
          <w:sz w:val="24"/>
        </w:rPr>
      </w:pPr>
      <w:r>
        <w:rPr>
          <w:rFonts w:hint="eastAsia" w:ascii="仿宋" w:hAnsi="仿宋" w:eastAsia="仿宋" w:cs="宋体"/>
          <w:sz w:val="24"/>
        </w:rPr>
        <w:t>2）服务响应时间：承诺实行7</w:t>
      </w:r>
      <w:r>
        <w:rPr>
          <w:rFonts w:ascii="仿宋" w:hAnsi="仿宋" w:eastAsia="仿宋" w:cs="宋体"/>
          <w:sz w:val="24"/>
        </w:rPr>
        <w:t>*24小时电话服务，并保证电话畅通，服务期内乙方必须确保</w:t>
      </w:r>
      <w:r>
        <w:rPr>
          <w:rFonts w:hint="eastAsia" w:ascii="仿宋" w:hAnsi="仿宋" w:eastAsia="仿宋" w:cs="宋体"/>
          <w:sz w:val="24"/>
        </w:rPr>
        <w:t>设备</w:t>
      </w:r>
      <w:r>
        <w:rPr>
          <w:rFonts w:ascii="仿宋" w:hAnsi="仿宋" w:eastAsia="仿宋" w:cs="宋体"/>
          <w:sz w:val="24"/>
        </w:rPr>
        <w:t>的稳定运行，提供完善的运行维保服务。出现故障时，乙方在接到故障申告后</w:t>
      </w:r>
      <w:r>
        <w:rPr>
          <w:rFonts w:hint="eastAsia" w:ascii="仿宋" w:hAnsi="仿宋" w:eastAsia="仿宋" w:cs="宋体"/>
          <w:sz w:val="24"/>
        </w:rPr>
        <w:t>4小时以内</w:t>
      </w:r>
      <w:r>
        <w:rPr>
          <w:rFonts w:ascii="仿宋" w:hAnsi="仿宋" w:eastAsia="仿宋" w:cs="宋体"/>
          <w:sz w:val="24"/>
        </w:rPr>
        <w:t>派技术人员现场检修，并在</w:t>
      </w:r>
      <w:r>
        <w:rPr>
          <w:rFonts w:hint="eastAsia" w:ascii="仿宋" w:hAnsi="仿宋" w:eastAsia="仿宋" w:cs="宋体"/>
          <w:sz w:val="24"/>
        </w:rPr>
        <w:t>48小时内修复故障。</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3）本项目巡检、检修时乙方应配备安全的登高设备如专项作业登高车用于巡检、故障检修服务。</w:t>
      </w:r>
    </w:p>
    <w:p>
      <w:pPr>
        <w:spacing w:line="360" w:lineRule="auto"/>
        <w:jc w:val="left"/>
        <w:rPr>
          <w:rFonts w:ascii="仿宋" w:hAnsi="仿宋" w:eastAsia="仿宋" w:cs="仿宋"/>
          <w:b/>
          <w:sz w:val="24"/>
        </w:rPr>
      </w:pPr>
      <w:r>
        <w:rPr>
          <w:rFonts w:hint="eastAsia" w:ascii="仿宋" w:hAnsi="仿宋" w:eastAsia="仿宋" w:cs="仿宋"/>
          <w:b/>
          <w:sz w:val="24"/>
        </w:rPr>
        <w:t>7.培训要求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1）培训对象：本租赁项目涉及辖区有关的职员。</w:t>
      </w:r>
    </w:p>
    <w:p>
      <w:pPr>
        <w:spacing w:line="360" w:lineRule="auto"/>
        <w:ind w:firstLine="480" w:firstLineChars="200"/>
        <w:rPr>
          <w:rFonts w:ascii="仿宋" w:hAnsi="仿宋" w:eastAsia="仿宋" w:cs="仿宋"/>
          <w:sz w:val="24"/>
        </w:rPr>
      </w:pPr>
      <w:r>
        <w:rPr>
          <w:rFonts w:hint="eastAsia" w:ascii="仿宋" w:hAnsi="仿宋" w:eastAsia="仿宋" w:cs="仿宋"/>
          <w:sz w:val="24"/>
        </w:rPr>
        <w:t>2）培训方式：项目租赁期间，至少每半年进行一次培训，主要为集中授课和现场操作应用指导培训。</w:t>
      </w:r>
    </w:p>
    <w:p>
      <w:pPr>
        <w:spacing w:line="360" w:lineRule="auto"/>
        <w:ind w:firstLine="480" w:firstLineChars="200"/>
        <w:rPr>
          <w:rFonts w:ascii="仿宋" w:hAnsi="仿宋" w:eastAsia="仿宋" w:cs="仿宋"/>
          <w:sz w:val="24"/>
        </w:rPr>
      </w:pPr>
      <w:r>
        <w:rPr>
          <w:rFonts w:hint="eastAsia" w:ascii="仿宋" w:hAnsi="仿宋" w:eastAsia="仿宋" w:cs="仿宋"/>
          <w:sz w:val="24"/>
        </w:rPr>
        <w:t>3）培训地点：培训地点由甲方与乙方共同协商确定。</w:t>
      </w:r>
    </w:p>
    <w:p>
      <w:pPr>
        <w:spacing w:line="360" w:lineRule="auto"/>
        <w:ind w:firstLine="480" w:firstLineChars="200"/>
        <w:rPr>
          <w:rFonts w:ascii="仿宋" w:hAnsi="仿宋" w:eastAsia="仿宋" w:cs="仿宋"/>
          <w:sz w:val="24"/>
        </w:rPr>
      </w:pPr>
      <w:r>
        <w:rPr>
          <w:rFonts w:hint="eastAsia" w:ascii="仿宋" w:hAnsi="仿宋" w:eastAsia="仿宋" w:cs="仿宋"/>
          <w:sz w:val="24"/>
        </w:rPr>
        <w:t>4）培训内容:按技术规范中的内容提供培训设施与培训课程，保证业主与本租赁项目有关的职员掌握功能模块的操作。涉及违法鸣笛数据的查询、确认等操作与失真、误拍以及应用故障的判断分析等方面的知识与能力。具体以使用方要求为准。</w:t>
      </w:r>
    </w:p>
    <w:p>
      <w:pPr>
        <w:spacing w:line="360" w:lineRule="auto"/>
        <w:ind w:firstLine="480" w:firstLineChars="200"/>
        <w:rPr>
          <w:rFonts w:ascii="仿宋" w:hAnsi="仿宋" w:eastAsia="仿宋" w:cs="仿宋"/>
          <w:sz w:val="24"/>
        </w:rPr>
      </w:pPr>
      <w:r>
        <w:rPr>
          <w:rFonts w:hint="eastAsia" w:ascii="仿宋" w:hAnsi="仿宋" w:eastAsia="仿宋" w:cs="仿宋"/>
          <w:sz w:val="24"/>
        </w:rPr>
        <w:t>5）培训师资：租赁项目的项目负责人和技术工程师负责培训，并在培训完成后形成相应培训记录。</w:t>
      </w:r>
    </w:p>
    <w:p>
      <w:pPr>
        <w:spacing w:line="360" w:lineRule="auto"/>
        <w:ind w:firstLine="480" w:firstLineChars="200"/>
        <w:rPr>
          <w:rFonts w:ascii="仿宋" w:hAnsi="仿宋" w:eastAsia="仿宋" w:cs="宋体"/>
          <w:sz w:val="24"/>
        </w:rPr>
      </w:pPr>
      <w:r>
        <w:rPr>
          <w:rFonts w:hint="eastAsia" w:ascii="仿宋" w:hAnsi="仿宋" w:eastAsia="仿宋" w:cs="宋体"/>
          <w:sz w:val="24"/>
        </w:rPr>
        <w:t>8.保密条款：乙方需与甲方签订保密协议，采取安全预防措施，保障在合同服务期间将掌握的任何有关甲方机密或专有信息透露给任何未经授权的人等，如发生泄密责任，甲方将追究乙方一切法律责任。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甲方对乙方及工作人员开展常态化安全保密教育，组织签订安全保密承诺书，明确具体安全管理内容、安全保密义务和责任；</w:t>
      </w:r>
    </w:p>
    <w:p>
      <w:pPr>
        <w:spacing w:line="360" w:lineRule="auto"/>
        <w:ind w:firstLine="480" w:firstLineChars="200"/>
        <w:rPr>
          <w:rFonts w:ascii="仿宋" w:hAnsi="仿宋" w:eastAsia="仿宋" w:cs="宋体"/>
          <w:sz w:val="24"/>
        </w:rPr>
      </w:pPr>
      <w:r>
        <w:rPr>
          <w:rFonts w:hint="eastAsia" w:ascii="仿宋" w:hAnsi="仿宋" w:eastAsia="仿宋" w:cs="宋体"/>
          <w:sz w:val="24"/>
        </w:rPr>
        <w:t>乙方及工作人员违反安全管理要求，构成违法犯罪的，甲方将及时报送本级政府采购和市场监督管理部门，提请列入政府采购严重违法失信行为记录名单、市场监督管理严重失信名单，并追究相关责任。</w:t>
      </w:r>
    </w:p>
    <w:p>
      <w:pPr>
        <w:spacing w:line="360" w:lineRule="auto"/>
        <w:jc w:val="left"/>
        <w:rPr>
          <w:rFonts w:ascii="仿宋" w:hAnsi="仿宋" w:eastAsia="仿宋" w:cs="仿宋_GB2312"/>
          <w:sz w:val="24"/>
        </w:rPr>
      </w:pPr>
      <w:r>
        <w:rPr>
          <w:rFonts w:hint="eastAsia" w:ascii="仿宋" w:hAnsi="仿宋" w:eastAsia="仿宋" w:cs="仿宋_GB2312"/>
          <w:sz w:val="24"/>
        </w:rPr>
        <w:t>9.其他商务要求（包装和运输、保险等）</w:t>
      </w:r>
    </w:p>
    <w:p>
      <w:pPr>
        <w:spacing w:line="360" w:lineRule="auto"/>
        <w:ind w:firstLine="480" w:firstLineChars="200"/>
        <w:rPr>
          <w:rFonts w:ascii="仿宋" w:hAnsi="仿宋" w:eastAsia="仿宋" w:cs="宋体"/>
          <w:bCs/>
          <w:snapToGrid w:val="0"/>
          <w:sz w:val="24"/>
        </w:rPr>
      </w:pPr>
      <w:r>
        <w:rPr>
          <w:rFonts w:hint="eastAsia" w:ascii="仿宋" w:hAnsi="仿宋" w:eastAsia="仿宋" w:cs="宋体"/>
          <w:bCs/>
          <w:snapToGrid w:val="0"/>
          <w:sz w:val="24"/>
        </w:rPr>
        <w:t>履约金额要求</w:t>
      </w:r>
    </w:p>
    <w:p>
      <w:pPr>
        <w:spacing w:line="360" w:lineRule="auto"/>
        <w:ind w:firstLine="480" w:firstLineChars="200"/>
        <w:rPr>
          <w:rFonts w:ascii="仿宋" w:hAnsi="仿宋" w:eastAsia="仿宋" w:cs="宋体"/>
          <w:bCs/>
          <w:snapToGrid w:val="0"/>
          <w:sz w:val="24"/>
        </w:rPr>
      </w:pPr>
      <w:r>
        <w:rPr>
          <w:rFonts w:hint="eastAsia" w:ascii="仿宋" w:hAnsi="仿宋" w:eastAsia="仿宋" w:cs="宋体"/>
          <w:bCs/>
          <w:snapToGrid w:val="0"/>
          <w:sz w:val="24"/>
        </w:rPr>
        <w:t>合同生效后，</w:t>
      </w:r>
      <w:r>
        <w:rPr>
          <w:rFonts w:hint="eastAsia" w:ascii="仿宋" w:hAnsi="仿宋" w:eastAsia="仿宋" w:cs="仿宋"/>
          <w:sz w:val="24"/>
        </w:rPr>
        <w:t>甲方根据杭州市政府采购网公布的乙方履约评价情况减免履约保证金。乙方履约验收评价总分为</w:t>
      </w:r>
      <w:r>
        <w:rPr>
          <w:rFonts w:ascii="仿宋" w:hAnsi="仿宋" w:eastAsia="仿宋" w:cs="仿宋"/>
          <w:sz w:val="24"/>
        </w:rPr>
        <w:t>100分的，</w:t>
      </w:r>
      <w:r>
        <w:rPr>
          <w:rFonts w:hint="eastAsia" w:ascii="仿宋" w:hAnsi="仿宋" w:eastAsia="仿宋" w:cs="仿宋"/>
          <w:sz w:val="24"/>
        </w:rPr>
        <w:t>甲方</w:t>
      </w:r>
      <w:r>
        <w:rPr>
          <w:rFonts w:ascii="仿宋" w:hAnsi="仿宋" w:eastAsia="仿宋" w:cs="仿宋"/>
          <w:sz w:val="24"/>
        </w:rPr>
        <w:t>应当免收履约保证金；评价总分在</w:t>
      </w:r>
      <w:r>
        <w:rPr>
          <w:rFonts w:hint="eastAsia" w:ascii="仿宋" w:hAnsi="仿宋" w:eastAsia="仿宋" w:cs="仿宋"/>
          <w:sz w:val="24"/>
        </w:rPr>
        <w:t>100</w:t>
      </w:r>
      <w:r>
        <w:rPr>
          <w:rFonts w:ascii="仿宋" w:hAnsi="仿宋" w:eastAsia="仿宋" w:cs="仿宋"/>
          <w:sz w:val="24"/>
        </w:rPr>
        <w:t>分以下或者暂无评分的，收取履约保证金</w:t>
      </w:r>
      <w:r>
        <w:rPr>
          <w:rFonts w:hint="eastAsia" w:ascii="仿宋" w:hAnsi="仿宋" w:eastAsia="仿宋" w:cs="仿宋"/>
          <w:sz w:val="24"/>
        </w:rPr>
        <w:t>为</w:t>
      </w:r>
      <w:r>
        <w:rPr>
          <w:rFonts w:ascii="仿宋" w:hAnsi="仿宋" w:eastAsia="仿宋" w:cs="仿宋"/>
          <w:sz w:val="24"/>
        </w:rPr>
        <w:t>合同金额</w:t>
      </w: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w:t>
      </w:r>
      <w:r>
        <w:rPr>
          <w:rFonts w:hint="eastAsia" w:ascii="仿宋" w:hAnsi="仿宋" w:eastAsia="仿宋" w:cs="宋体"/>
          <w:bCs/>
          <w:snapToGrid w:val="0"/>
          <w:sz w:val="24"/>
        </w:rPr>
        <w:t>鼓励和支持乙方以保函形式提供履约保证金。履约期满，通过验收合格后凭双方签字盖章的验收意见，甲方于收到乙方退还履约保证金申请之日起</w:t>
      </w:r>
      <w:r>
        <w:rPr>
          <w:rFonts w:ascii="仿宋" w:hAnsi="仿宋" w:eastAsia="仿宋" w:cs="宋体"/>
          <w:bCs/>
          <w:snapToGrid w:val="0"/>
          <w:sz w:val="24"/>
        </w:rPr>
        <w:t>5个工作日内退还。</w:t>
      </w:r>
    </w:p>
    <w:p>
      <w:pPr>
        <w:spacing w:line="360" w:lineRule="auto"/>
        <w:jc w:val="left"/>
        <w:rPr>
          <w:rFonts w:ascii="仿宋" w:hAnsi="仿宋" w:eastAsia="仿宋" w:cs="仿宋_GB2312"/>
          <w:sz w:val="24"/>
        </w:rPr>
      </w:pPr>
      <w:r>
        <w:rPr>
          <w:rFonts w:hint="eastAsia" w:ascii="仿宋" w:hAnsi="仿宋" w:eastAsia="仿宋" w:cs="仿宋_GB2312"/>
          <w:sz w:val="24"/>
        </w:rPr>
        <w:t>附件一：考核</w:t>
      </w:r>
    </w:p>
    <w:p>
      <w:pPr>
        <w:spacing w:line="360" w:lineRule="auto"/>
        <w:ind w:firstLine="480" w:firstLineChars="200"/>
        <w:rPr>
          <w:rFonts w:ascii="仿宋" w:hAnsi="仿宋" w:eastAsia="仿宋" w:cs="宋体"/>
          <w:snapToGrid w:val="0"/>
          <w:kern w:val="28"/>
          <w:sz w:val="24"/>
          <w:lang w:val="zh-CN"/>
        </w:rPr>
      </w:pPr>
      <w:r>
        <w:rPr>
          <w:rFonts w:hint="eastAsia" w:ascii="仿宋" w:hAnsi="仿宋" w:eastAsia="仿宋" w:cs="仿宋"/>
          <w:snapToGrid w:val="0"/>
          <w:kern w:val="28"/>
          <w:sz w:val="24"/>
        </w:rPr>
        <w:t>本考核</w:t>
      </w:r>
      <w:r>
        <w:rPr>
          <w:rFonts w:hint="eastAsia" w:ascii="仿宋" w:hAnsi="仿宋" w:eastAsia="仿宋" w:cs="仿宋"/>
          <w:snapToGrid w:val="0"/>
          <w:kern w:val="28"/>
          <w:sz w:val="24"/>
          <w:lang w:val="zh-CN"/>
        </w:rPr>
        <w:t>对乙方服务工作进行考核</w:t>
      </w:r>
      <w:r>
        <w:rPr>
          <w:rFonts w:hint="eastAsia" w:ascii="仿宋" w:hAnsi="仿宋" w:eastAsia="仿宋" w:cs="仿宋"/>
          <w:snapToGrid w:val="0"/>
          <w:kern w:val="28"/>
          <w:sz w:val="24"/>
        </w:rPr>
        <w:t>以月为考核周期，采用百分制计分方式，每月1日初始计分为100分，甲方</w:t>
      </w:r>
      <w:r>
        <w:rPr>
          <w:rFonts w:hint="eastAsia" w:ascii="仿宋" w:hAnsi="仿宋" w:eastAsia="仿宋" w:cs="仿宋"/>
          <w:snapToGrid w:val="0"/>
          <w:kern w:val="28"/>
          <w:sz w:val="24"/>
          <w:lang w:val="zh-CN"/>
        </w:rPr>
        <w:t>委托监理单位</w:t>
      </w:r>
      <w:r>
        <w:rPr>
          <w:rFonts w:hint="eastAsia" w:ascii="仿宋" w:hAnsi="仿宋" w:eastAsia="仿宋" w:cs="仿宋"/>
          <w:snapToGrid w:val="0"/>
          <w:kern w:val="28"/>
          <w:sz w:val="24"/>
        </w:rPr>
        <w:t>根据逐条考核事项及对应扣分对乙方（人员）进行计分。乙方每被扣1分，扣除违约金3000元，如考核周期内重复出现相同扣分情形，累计计算扣除分值，违约金在结算合同款时扣除。当月考核结果低于80分的，应递交书面整改报告。乙方当月考核结果低于60分、或连续二个月考核结果低于70分、或连续三个月考核结果低于80分，甲方有权没收乙方全部履约保证金</w:t>
      </w:r>
      <w:r>
        <w:rPr>
          <w:rFonts w:hint="eastAsia" w:ascii="仿宋" w:hAnsi="仿宋" w:eastAsia="仿宋" w:cs="宋体"/>
          <w:sz w:val="24"/>
        </w:rPr>
        <w:t>并单方解除</w:t>
      </w:r>
      <w:r>
        <w:rPr>
          <w:rFonts w:ascii="仿宋" w:hAnsi="仿宋" w:eastAsia="仿宋" w:cs="宋体"/>
          <w:sz w:val="24"/>
        </w:rPr>
        <w:t>合同，如给</w:t>
      </w:r>
      <w:r>
        <w:rPr>
          <w:rFonts w:hint="eastAsia" w:ascii="仿宋" w:hAnsi="仿宋" w:eastAsia="仿宋" w:cs="宋体"/>
          <w:sz w:val="24"/>
        </w:rPr>
        <w:t>甲方</w:t>
      </w:r>
      <w:r>
        <w:rPr>
          <w:rFonts w:ascii="仿宋" w:hAnsi="仿宋" w:eastAsia="仿宋" w:cs="宋体"/>
          <w:sz w:val="24"/>
        </w:rPr>
        <w:t>造成损失的，有权要求</w:t>
      </w:r>
      <w:r>
        <w:rPr>
          <w:rFonts w:hint="eastAsia" w:ascii="仿宋" w:hAnsi="仿宋" w:eastAsia="仿宋" w:cs="宋体"/>
          <w:sz w:val="24"/>
        </w:rPr>
        <w:t>乙方</w:t>
      </w:r>
      <w:r>
        <w:rPr>
          <w:rFonts w:ascii="仿宋" w:hAnsi="仿宋" w:eastAsia="仿宋" w:cs="宋体"/>
          <w:sz w:val="24"/>
        </w:rPr>
        <w:t>进行赔偿。具体考核过程中双方意见存在分歧的，以</w:t>
      </w:r>
      <w:r>
        <w:rPr>
          <w:rFonts w:hint="eastAsia" w:ascii="仿宋" w:hAnsi="仿宋" w:eastAsia="仿宋" w:cs="宋体"/>
          <w:sz w:val="24"/>
        </w:rPr>
        <w:t>甲方</w:t>
      </w:r>
      <w:r>
        <w:rPr>
          <w:rFonts w:ascii="仿宋" w:hAnsi="仿宋" w:eastAsia="仿宋" w:cs="宋体"/>
          <w:sz w:val="24"/>
        </w:rPr>
        <w:t>对考核表的最终解释意见为准。</w:t>
      </w:r>
    </w:p>
    <w:p>
      <w:pPr>
        <w:adjustRightInd w:val="0"/>
        <w:snapToGrid w:val="0"/>
        <w:spacing w:line="360" w:lineRule="auto"/>
        <w:ind w:firstLine="480" w:firstLineChars="200"/>
        <w:rPr>
          <w:rFonts w:ascii="仿宋" w:hAnsi="仿宋" w:eastAsia="仿宋" w:cs="仿宋"/>
          <w:snapToGrid w:val="0"/>
          <w:kern w:val="28"/>
          <w:sz w:val="24"/>
        </w:rPr>
      </w:pPr>
    </w:p>
    <w:p>
      <w:pPr>
        <w:spacing w:line="360" w:lineRule="auto"/>
        <w:jc w:val="center"/>
        <w:rPr>
          <w:rFonts w:ascii="仿宋" w:hAnsi="仿宋" w:eastAsia="仿宋" w:cs="仿宋"/>
          <w:snapToGrid w:val="0"/>
          <w:kern w:val="28"/>
          <w:sz w:val="24"/>
        </w:rPr>
      </w:pPr>
      <w:r>
        <w:rPr>
          <w:rFonts w:hint="eastAsia" w:ascii="仿宋" w:hAnsi="仿宋" w:eastAsia="仿宋" w:cs="仿宋"/>
          <w:snapToGrid w:val="0"/>
          <w:kern w:val="28"/>
          <w:sz w:val="24"/>
        </w:rPr>
        <w:t>考核表</w:t>
      </w:r>
    </w:p>
    <w:tbl>
      <w:tblPr>
        <w:tblStyle w:val="76"/>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5"/>
        <w:gridCol w:w="2132"/>
        <w:gridCol w:w="2367"/>
        <w:gridCol w:w="383"/>
        <w:gridCol w:w="8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gridSpan w:val="2"/>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乙方：</w:t>
            </w:r>
          </w:p>
        </w:tc>
        <w:tc>
          <w:tcPr>
            <w:tcW w:w="2132" w:type="dxa"/>
            <w:vAlign w:val="center"/>
          </w:tcPr>
          <w:p>
            <w:pPr>
              <w:snapToGrid w:val="0"/>
              <w:spacing w:line="360" w:lineRule="auto"/>
              <w:jc w:val="center"/>
              <w:rPr>
                <w:rFonts w:ascii="仿宋" w:hAnsi="仿宋" w:eastAsia="仿宋" w:cs="仿宋"/>
                <w:sz w:val="24"/>
              </w:rPr>
            </w:pPr>
          </w:p>
        </w:tc>
        <w:tc>
          <w:tcPr>
            <w:tcW w:w="2750" w:type="dxa"/>
            <w:gridSpan w:val="2"/>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考核月份：</w:t>
            </w:r>
          </w:p>
        </w:tc>
        <w:tc>
          <w:tcPr>
            <w:tcW w:w="2359" w:type="dxa"/>
            <w:gridSpan w:val="2"/>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5814" w:type="dxa"/>
            <w:gridSpan w:val="3"/>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考核内容</w:t>
            </w:r>
          </w:p>
        </w:tc>
        <w:tc>
          <w:tcPr>
            <w:tcW w:w="1183" w:type="dxa"/>
            <w:gridSpan w:val="2"/>
            <w:vAlign w:val="center"/>
          </w:tcPr>
          <w:p>
            <w:pPr>
              <w:snapToGrid w:val="0"/>
              <w:spacing w:line="360" w:lineRule="auto"/>
              <w:rPr>
                <w:rFonts w:ascii="仿宋" w:hAnsi="仿宋" w:eastAsia="仿宋" w:cs="仿宋"/>
                <w:b/>
                <w:sz w:val="24"/>
              </w:rPr>
            </w:pPr>
            <w:r>
              <w:rPr>
                <w:rFonts w:hint="eastAsia" w:ascii="仿宋" w:hAnsi="仿宋" w:eastAsia="仿宋" w:cs="仿宋"/>
                <w:b/>
                <w:sz w:val="24"/>
              </w:rPr>
              <w:t>考核得分</w:t>
            </w:r>
          </w:p>
        </w:tc>
        <w:tc>
          <w:tcPr>
            <w:tcW w:w="1559" w:type="dxa"/>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kern w:val="0"/>
                <w:sz w:val="24"/>
              </w:rPr>
              <w:t>租用的设备不满足采购需求或与投标承诺不符的，每发生一次扣5分。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2</w:t>
            </w:r>
          </w:p>
        </w:tc>
        <w:tc>
          <w:tcPr>
            <w:tcW w:w="5814" w:type="dxa"/>
            <w:gridSpan w:val="3"/>
            <w:vAlign w:val="center"/>
          </w:tcPr>
          <w:p>
            <w:pPr>
              <w:snapToGrid w:val="0"/>
              <w:spacing w:line="276" w:lineRule="auto"/>
              <w:rPr>
                <w:rFonts w:ascii="仿宋" w:hAnsi="仿宋" w:eastAsia="仿宋" w:cs="仿宋"/>
                <w:sz w:val="24"/>
              </w:rPr>
            </w:pPr>
            <w:r>
              <w:rPr>
                <w:rFonts w:ascii="仿宋" w:hAnsi="仿宋" w:eastAsia="仿宋" w:cs="仿宋"/>
                <w:sz w:val="24"/>
              </w:rPr>
              <w:t>未在</w:t>
            </w:r>
            <w:r>
              <w:rPr>
                <w:rFonts w:hint="eastAsia" w:ascii="仿宋" w:hAnsi="仿宋" w:eastAsia="仿宋" w:cs="仿宋"/>
                <w:sz w:val="24"/>
              </w:rPr>
              <w:t>48小时内修复的，每发生一次扣2分。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3</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bCs/>
                <w:sz w:val="24"/>
              </w:rPr>
              <w:t>周抓拍成功率低于97%，周识别成功率低于92%的，每发生一次扣1分。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4</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每周及时修复率不得低于90%。每发生一次口2分。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5</w:t>
            </w:r>
          </w:p>
        </w:tc>
        <w:tc>
          <w:tcPr>
            <w:tcW w:w="5814" w:type="dxa"/>
            <w:gridSpan w:val="3"/>
            <w:vAlign w:val="center"/>
          </w:tcPr>
          <w:p>
            <w:pPr>
              <w:spacing w:line="360" w:lineRule="auto"/>
              <w:rPr>
                <w:rFonts w:ascii="仿宋" w:hAnsi="仿宋" w:eastAsia="仿宋" w:cs="仿宋"/>
                <w:sz w:val="24"/>
              </w:rPr>
            </w:pPr>
            <w:r>
              <w:rPr>
                <w:rFonts w:ascii="仿宋" w:hAnsi="仿宋" w:eastAsia="仿宋" w:cs="仿宋"/>
                <w:sz w:val="24"/>
              </w:rPr>
              <w:t>未</w:t>
            </w:r>
            <w:r>
              <w:rPr>
                <w:rFonts w:hint="eastAsia" w:ascii="仿宋" w:hAnsi="仿宋" w:eastAsia="仿宋" w:cs="仿宋"/>
                <w:sz w:val="24"/>
              </w:rPr>
              <w:t>及时</w:t>
            </w:r>
            <w:r>
              <w:rPr>
                <w:rFonts w:ascii="仿宋" w:hAnsi="仿宋" w:eastAsia="仿宋" w:cs="仿宋"/>
                <w:sz w:val="24"/>
              </w:rPr>
              <w:t>提交</w:t>
            </w:r>
            <w:r>
              <w:rPr>
                <w:rFonts w:hint="eastAsia" w:ascii="仿宋" w:hAnsi="仿宋" w:eastAsia="仿宋" w:cs="仿宋"/>
                <w:sz w:val="24"/>
              </w:rPr>
              <w:t>文档资料的，每发生一次扣1分。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6</w:t>
            </w:r>
          </w:p>
        </w:tc>
        <w:tc>
          <w:tcPr>
            <w:tcW w:w="5814" w:type="dxa"/>
            <w:gridSpan w:val="3"/>
            <w:vAlign w:val="center"/>
          </w:tcPr>
          <w:p>
            <w:pPr>
              <w:snapToGrid w:val="0"/>
              <w:spacing w:line="276" w:lineRule="auto"/>
              <w:rPr>
                <w:rFonts w:ascii="仿宋" w:hAnsi="仿宋" w:eastAsia="仿宋" w:cs="仿宋"/>
                <w:kern w:val="0"/>
                <w:sz w:val="24"/>
              </w:rPr>
            </w:pPr>
            <w:r>
              <w:rPr>
                <w:rFonts w:hint="eastAsia" w:ascii="仿宋" w:hAnsi="仿宋" w:eastAsia="仿宋" w:cs="仿宋"/>
                <w:sz w:val="24"/>
              </w:rPr>
              <w:t>未按要求巡检的，每发生一次，扣3分。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7</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未按要求提供人员、车辆的，每发生一次扣1分。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8</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未提供7*24小时技术支持的，每发生一次，扣1分；本项最高扣3分。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9</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sz w:val="24"/>
              </w:rPr>
              <w:t>维修过程中，维修安全未按甲方要求实施的，每发生一次扣2分。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10</w:t>
            </w:r>
          </w:p>
        </w:tc>
        <w:tc>
          <w:tcPr>
            <w:tcW w:w="5814" w:type="dxa"/>
            <w:gridSpan w:val="3"/>
            <w:vAlign w:val="center"/>
          </w:tcPr>
          <w:p>
            <w:pPr>
              <w:snapToGrid w:val="0"/>
              <w:spacing w:line="276" w:lineRule="auto"/>
              <w:rPr>
                <w:rFonts w:ascii="仿宋" w:hAnsi="仿宋" w:eastAsia="仿宋" w:cs="仿宋"/>
                <w:sz w:val="24"/>
              </w:rPr>
            </w:pPr>
            <w:r>
              <w:rPr>
                <w:rFonts w:hint="eastAsia" w:ascii="仿宋" w:hAnsi="仿宋" w:eastAsia="仿宋" w:cs="仿宋"/>
                <w:kern w:val="0"/>
                <w:sz w:val="24"/>
              </w:rPr>
              <w:t>出现工作疏漏或差错，对大型会议等保障活动造成影响的，每发生一次扣10分。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11</w:t>
            </w:r>
          </w:p>
        </w:tc>
        <w:tc>
          <w:tcPr>
            <w:tcW w:w="5814" w:type="dxa"/>
            <w:gridSpan w:val="3"/>
            <w:vAlign w:val="center"/>
          </w:tcPr>
          <w:p>
            <w:pPr>
              <w:rPr>
                <w:rFonts w:ascii="仿宋" w:hAnsi="仿宋" w:eastAsia="仿宋" w:cs="仿宋"/>
                <w:kern w:val="0"/>
                <w:sz w:val="24"/>
              </w:rPr>
            </w:pPr>
            <w:r>
              <w:rPr>
                <w:rFonts w:hint="eastAsia" w:ascii="仿宋" w:hAnsi="仿宋" w:eastAsia="仿宋" w:cs="仿宋"/>
                <w:kern w:val="0"/>
                <w:sz w:val="24"/>
              </w:rPr>
              <w:t>未按采购需求保密要求履行的，每发生一次扣5分。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12</w:t>
            </w:r>
          </w:p>
        </w:tc>
        <w:tc>
          <w:tcPr>
            <w:tcW w:w="5814" w:type="dxa"/>
            <w:gridSpan w:val="3"/>
            <w:vAlign w:val="center"/>
          </w:tcPr>
          <w:p>
            <w:pPr>
              <w:widowControl/>
              <w:jc w:val="left"/>
              <w:rPr>
                <w:rFonts w:ascii="仿宋" w:hAnsi="仿宋" w:eastAsia="仿宋" w:cs="仿宋"/>
                <w:kern w:val="0"/>
                <w:sz w:val="24"/>
              </w:rPr>
            </w:pPr>
            <w:r>
              <w:rPr>
                <w:rFonts w:hint="eastAsia" w:ascii="仿宋" w:hAnsi="仿宋" w:eastAsia="仿宋" w:cs="仿宋"/>
                <w:kern w:val="0"/>
                <w:sz w:val="24"/>
              </w:rPr>
              <w:t>未按采购需求组织培训的，每发生一次扣2分。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13</w:t>
            </w:r>
          </w:p>
        </w:tc>
        <w:tc>
          <w:tcPr>
            <w:tcW w:w="5814" w:type="dxa"/>
            <w:gridSpan w:val="3"/>
            <w:vAlign w:val="center"/>
          </w:tcPr>
          <w:p>
            <w:pPr>
              <w:widowControl/>
              <w:jc w:val="left"/>
              <w:rPr>
                <w:rFonts w:ascii="仿宋" w:hAnsi="仿宋" w:eastAsia="仿宋" w:cs="仿宋"/>
                <w:kern w:val="0"/>
                <w:sz w:val="24"/>
              </w:rPr>
            </w:pPr>
            <w:r>
              <w:rPr>
                <w:rFonts w:hint="eastAsia" w:ascii="仿宋" w:hAnsi="仿宋" w:eastAsia="仿宋" w:cs="仿宋"/>
                <w:kern w:val="0"/>
                <w:sz w:val="24"/>
              </w:rPr>
              <w:t>其他工作</w:t>
            </w:r>
            <w:r>
              <w:rPr>
                <w:rFonts w:ascii="仿宋" w:hAnsi="仿宋" w:eastAsia="仿宋" w:cs="仿宋"/>
                <w:kern w:val="0"/>
                <w:sz w:val="24"/>
              </w:rPr>
              <w:t>未满足甲方要求</w:t>
            </w:r>
            <w:r>
              <w:rPr>
                <w:rFonts w:hint="eastAsia" w:ascii="仿宋" w:hAnsi="仿宋" w:eastAsia="仿宋" w:cs="仿宋"/>
                <w:kern w:val="0"/>
                <w:sz w:val="24"/>
              </w:rPr>
              <w:t>的，每发生一次扣1分。</w:t>
            </w:r>
          </w:p>
        </w:tc>
        <w:tc>
          <w:tcPr>
            <w:tcW w:w="1183" w:type="dxa"/>
            <w:gridSpan w:val="2"/>
            <w:vAlign w:val="center"/>
          </w:tcPr>
          <w:p>
            <w:pPr>
              <w:snapToGrid w:val="0"/>
              <w:spacing w:line="360" w:lineRule="auto"/>
              <w:rPr>
                <w:rFonts w:ascii="仿宋" w:hAnsi="仿宋" w:eastAsia="仿宋" w:cs="仿宋"/>
                <w:sz w:val="24"/>
              </w:rPr>
            </w:pPr>
          </w:p>
        </w:tc>
        <w:tc>
          <w:tcPr>
            <w:tcW w:w="1559" w:type="dxa"/>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1" w:type="dxa"/>
            <w:gridSpan w:val="4"/>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考核分小计</w:t>
            </w:r>
          </w:p>
        </w:tc>
        <w:tc>
          <w:tcPr>
            <w:tcW w:w="2742" w:type="dxa"/>
            <w:gridSpan w:val="3"/>
            <w:vAlign w:val="center"/>
          </w:tcPr>
          <w:p>
            <w:pPr>
              <w:snapToGrid w:val="0"/>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3" w:type="dxa"/>
            <w:gridSpan w:val="7"/>
            <w:vAlign w:val="center"/>
          </w:tcPr>
          <w:p>
            <w:pPr>
              <w:autoSpaceDE w:val="0"/>
              <w:autoSpaceDN w:val="0"/>
              <w:snapToGrid w:val="0"/>
              <w:spacing w:line="360" w:lineRule="auto"/>
              <w:rPr>
                <w:rFonts w:ascii="仿宋" w:hAnsi="仿宋" w:eastAsia="仿宋" w:cs="仿宋"/>
                <w:b/>
                <w:sz w:val="24"/>
              </w:rPr>
            </w:pPr>
            <w:r>
              <w:rPr>
                <w:rFonts w:hint="eastAsia" w:ascii="仿宋" w:hAnsi="仿宋" w:eastAsia="仿宋" w:cs="仿宋"/>
                <w:b/>
                <w:sz w:val="24"/>
              </w:rPr>
              <w:t xml:space="preserve">乙方签字（盖章）：                    监理单位签字（盖章）：          </w:t>
            </w:r>
          </w:p>
          <w:p>
            <w:pPr>
              <w:snapToGrid w:val="0"/>
              <w:spacing w:line="360" w:lineRule="auto"/>
              <w:rPr>
                <w:rFonts w:ascii="仿宋" w:hAnsi="仿宋" w:eastAsia="仿宋" w:cs="仿宋"/>
                <w:b/>
                <w:sz w:val="24"/>
              </w:rPr>
            </w:pPr>
          </w:p>
          <w:p>
            <w:pPr>
              <w:snapToGrid w:val="0"/>
              <w:spacing w:line="360" w:lineRule="auto"/>
              <w:rPr>
                <w:rFonts w:ascii="仿宋" w:hAnsi="仿宋" w:eastAsia="仿宋" w:cs="仿宋"/>
                <w:b/>
                <w:sz w:val="24"/>
              </w:rPr>
            </w:pPr>
            <w:r>
              <w:rPr>
                <w:rFonts w:hint="eastAsia" w:ascii="仿宋" w:hAnsi="仿宋" w:eastAsia="仿宋" w:cs="仿宋"/>
                <w:b/>
                <w:sz w:val="24"/>
              </w:rPr>
              <w:t xml:space="preserve">甲方经办人、 审核人签字（盖章）： </w:t>
            </w:r>
          </w:p>
          <w:p>
            <w:pPr>
              <w:snapToGrid w:val="0"/>
              <w:spacing w:line="360" w:lineRule="auto"/>
              <w:rPr>
                <w:rFonts w:ascii="仿宋" w:hAnsi="仿宋" w:eastAsia="仿宋" w:cs="仿宋"/>
                <w:b/>
                <w:sz w:val="24"/>
              </w:rPr>
            </w:pPr>
          </w:p>
        </w:tc>
      </w:tr>
    </w:tbl>
    <w:p>
      <w:pPr>
        <w:spacing w:line="360" w:lineRule="auto"/>
        <w:jc w:val="center"/>
        <w:rPr>
          <w:rFonts w:ascii="仿宋" w:hAnsi="仿宋" w:eastAsia="仿宋" w:cs="仿宋"/>
          <w:snapToGrid w:val="0"/>
          <w:kern w:val="28"/>
          <w:sz w:val="24"/>
        </w:rPr>
      </w:pPr>
    </w:p>
    <w:p>
      <w:pPr>
        <w:snapToGrid w:val="0"/>
        <w:spacing w:beforeLines="50" w:line="360" w:lineRule="auto"/>
        <w:jc w:val="left"/>
        <w:outlineLvl w:val="2"/>
        <w:rPr>
          <w:rFonts w:ascii="仿宋" w:hAnsi="仿宋" w:eastAsia="仿宋" w:cs="宋体"/>
          <w:b/>
          <w:snapToGrid w:val="0"/>
          <w:kern w:val="0"/>
          <w:sz w:val="24"/>
        </w:rPr>
      </w:pPr>
    </w:p>
    <w:p>
      <w:pPr>
        <w:snapToGrid w:val="0"/>
        <w:spacing w:beforeLines="50" w:line="360" w:lineRule="auto"/>
        <w:jc w:val="left"/>
        <w:outlineLvl w:val="2"/>
        <w:rPr>
          <w:rFonts w:ascii="仿宋" w:hAnsi="仿宋" w:eastAsia="仿宋" w:cs="宋体"/>
          <w:b/>
          <w:snapToGrid w:val="0"/>
          <w:kern w:val="0"/>
          <w:sz w:val="24"/>
        </w:rPr>
      </w:pPr>
      <w:r>
        <w:rPr>
          <w:rFonts w:hint="eastAsia" w:ascii="仿宋" w:hAnsi="仿宋" w:eastAsia="仿宋" w:cs="宋体"/>
          <w:b/>
          <w:snapToGrid w:val="0"/>
          <w:kern w:val="0"/>
          <w:sz w:val="24"/>
        </w:rPr>
        <w:t>附件二：项目人员清单</w:t>
      </w:r>
    </w:p>
    <w:tbl>
      <w:tblPr>
        <w:tblStyle w:val="76"/>
        <w:tblW w:w="5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989"/>
        <w:gridCol w:w="2167"/>
        <w:gridCol w:w="1661"/>
        <w:gridCol w:w="199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序号</w:t>
            </w:r>
          </w:p>
        </w:tc>
        <w:tc>
          <w:tcPr>
            <w:tcW w:w="495"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姓名</w:t>
            </w:r>
          </w:p>
        </w:tc>
        <w:tc>
          <w:tcPr>
            <w:tcW w:w="1084" w:type="pct"/>
          </w:tcPr>
          <w:p>
            <w:pPr>
              <w:snapToGrid w:val="0"/>
              <w:spacing w:line="360" w:lineRule="auto"/>
              <w:jc w:val="center"/>
              <w:rPr>
                <w:rFonts w:ascii="仿宋" w:hAnsi="仿宋" w:eastAsia="仿宋" w:cs="仿宋"/>
                <w:sz w:val="24"/>
              </w:rPr>
            </w:pPr>
            <w:r>
              <w:rPr>
                <w:rFonts w:hint="eastAsia" w:ascii="仿宋" w:hAnsi="仿宋" w:eastAsia="仿宋" w:cs="仿宋"/>
                <w:sz w:val="24"/>
              </w:rPr>
              <w:t>身份证号码</w:t>
            </w:r>
          </w:p>
        </w:tc>
        <w:tc>
          <w:tcPr>
            <w:tcW w:w="831"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联系方式</w:t>
            </w:r>
          </w:p>
        </w:tc>
        <w:tc>
          <w:tcPr>
            <w:tcW w:w="996"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本项目承担的职责</w:t>
            </w:r>
          </w:p>
        </w:tc>
        <w:tc>
          <w:tcPr>
            <w:tcW w:w="990"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495" w:type="pct"/>
            <w:vAlign w:val="center"/>
          </w:tcPr>
          <w:p>
            <w:pPr>
              <w:snapToGrid w:val="0"/>
              <w:spacing w:line="360" w:lineRule="auto"/>
              <w:jc w:val="center"/>
              <w:rPr>
                <w:rFonts w:ascii="仿宋" w:hAnsi="仿宋" w:eastAsia="仿宋" w:cs="仿宋"/>
                <w:sz w:val="24"/>
              </w:rPr>
            </w:pPr>
          </w:p>
        </w:tc>
        <w:tc>
          <w:tcPr>
            <w:tcW w:w="1084" w:type="pct"/>
          </w:tcPr>
          <w:p>
            <w:pPr>
              <w:spacing w:line="360" w:lineRule="auto"/>
              <w:jc w:val="center"/>
              <w:rPr>
                <w:rFonts w:ascii="仿宋" w:hAnsi="仿宋" w:eastAsia="仿宋" w:cs="仿宋"/>
                <w:b/>
                <w:sz w:val="24"/>
              </w:rPr>
            </w:pPr>
          </w:p>
        </w:tc>
        <w:tc>
          <w:tcPr>
            <w:tcW w:w="831" w:type="pct"/>
            <w:vAlign w:val="center"/>
          </w:tcPr>
          <w:p>
            <w:pPr>
              <w:spacing w:line="360" w:lineRule="auto"/>
              <w:jc w:val="center"/>
              <w:rPr>
                <w:rFonts w:ascii="仿宋" w:hAnsi="仿宋" w:eastAsia="仿宋" w:cs="仿宋"/>
                <w:b/>
                <w:sz w:val="24"/>
              </w:rPr>
            </w:pPr>
          </w:p>
        </w:tc>
        <w:tc>
          <w:tcPr>
            <w:tcW w:w="996" w:type="pct"/>
            <w:vAlign w:val="center"/>
          </w:tcPr>
          <w:p>
            <w:pPr>
              <w:spacing w:line="360" w:lineRule="auto"/>
              <w:jc w:val="center"/>
              <w:rPr>
                <w:rFonts w:ascii="仿宋" w:hAnsi="仿宋" w:eastAsia="仿宋" w:cs="仿宋"/>
                <w:sz w:val="24"/>
              </w:rPr>
            </w:pPr>
            <w:r>
              <w:rPr>
                <w:rFonts w:ascii="仿宋" w:hAnsi="仿宋" w:eastAsia="仿宋" w:cs="仿宋"/>
                <w:sz w:val="24"/>
              </w:rPr>
              <w:t>项目负责人</w:t>
            </w:r>
          </w:p>
        </w:tc>
        <w:tc>
          <w:tcPr>
            <w:tcW w:w="990" w:type="pct"/>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495" w:type="pct"/>
            <w:vAlign w:val="center"/>
          </w:tcPr>
          <w:p>
            <w:pPr>
              <w:snapToGrid w:val="0"/>
              <w:spacing w:line="360" w:lineRule="auto"/>
              <w:jc w:val="center"/>
              <w:rPr>
                <w:rFonts w:ascii="仿宋" w:hAnsi="仿宋" w:eastAsia="仿宋" w:cs="仿宋"/>
                <w:sz w:val="24"/>
              </w:rPr>
            </w:pPr>
          </w:p>
        </w:tc>
        <w:tc>
          <w:tcPr>
            <w:tcW w:w="1084" w:type="pct"/>
          </w:tcPr>
          <w:p>
            <w:pPr>
              <w:spacing w:line="360" w:lineRule="auto"/>
              <w:jc w:val="center"/>
              <w:rPr>
                <w:rFonts w:ascii="仿宋" w:hAnsi="仿宋" w:eastAsia="仿宋" w:cs="仿宋"/>
                <w:b/>
                <w:sz w:val="24"/>
              </w:rPr>
            </w:pPr>
          </w:p>
        </w:tc>
        <w:tc>
          <w:tcPr>
            <w:tcW w:w="831" w:type="pct"/>
            <w:vAlign w:val="center"/>
          </w:tcPr>
          <w:p>
            <w:pPr>
              <w:spacing w:line="360" w:lineRule="auto"/>
              <w:jc w:val="center"/>
              <w:rPr>
                <w:rFonts w:ascii="仿宋" w:hAnsi="仿宋" w:eastAsia="仿宋" w:cs="仿宋"/>
                <w:b/>
                <w:sz w:val="24"/>
              </w:rPr>
            </w:pPr>
          </w:p>
        </w:tc>
        <w:tc>
          <w:tcPr>
            <w:tcW w:w="996" w:type="pct"/>
            <w:vAlign w:val="center"/>
          </w:tcPr>
          <w:p>
            <w:pPr>
              <w:spacing w:line="360" w:lineRule="auto"/>
              <w:jc w:val="center"/>
              <w:rPr>
                <w:rFonts w:ascii="仿宋" w:hAnsi="仿宋" w:eastAsia="仿宋" w:cs="仿宋"/>
                <w:sz w:val="24"/>
              </w:rPr>
            </w:pPr>
            <w:r>
              <w:rPr>
                <w:rFonts w:ascii="仿宋" w:hAnsi="仿宋" w:eastAsia="仿宋" w:cs="仿宋"/>
                <w:sz w:val="24"/>
              </w:rPr>
              <w:t>运维技术人员</w:t>
            </w:r>
          </w:p>
        </w:tc>
        <w:tc>
          <w:tcPr>
            <w:tcW w:w="990" w:type="pct"/>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495" w:type="pct"/>
            <w:vAlign w:val="center"/>
          </w:tcPr>
          <w:p>
            <w:pPr>
              <w:snapToGrid w:val="0"/>
              <w:spacing w:line="360" w:lineRule="auto"/>
              <w:jc w:val="center"/>
              <w:rPr>
                <w:rFonts w:ascii="仿宋" w:hAnsi="仿宋" w:eastAsia="仿宋" w:cs="仿宋"/>
                <w:sz w:val="24"/>
              </w:rPr>
            </w:pPr>
          </w:p>
        </w:tc>
        <w:tc>
          <w:tcPr>
            <w:tcW w:w="1084" w:type="pct"/>
          </w:tcPr>
          <w:p>
            <w:pPr>
              <w:spacing w:line="360" w:lineRule="auto"/>
              <w:jc w:val="center"/>
              <w:rPr>
                <w:rFonts w:ascii="仿宋" w:hAnsi="仿宋" w:eastAsia="仿宋" w:cs="仿宋"/>
                <w:b/>
                <w:sz w:val="24"/>
              </w:rPr>
            </w:pPr>
          </w:p>
        </w:tc>
        <w:tc>
          <w:tcPr>
            <w:tcW w:w="831" w:type="pct"/>
            <w:vAlign w:val="center"/>
          </w:tcPr>
          <w:p>
            <w:pPr>
              <w:spacing w:line="360" w:lineRule="auto"/>
              <w:jc w:val="center"/>
              <w:rPr>
                <w:rFonts w:ascii="仿宋" w:hAnsi="仿宋" w:eastAsia="仿宋" w:cs="仿宋"/>
                <w:b/>
                <w:sz w:val="24"/>
              </w:rPr>
            </w:pPr>
          </w:p>
        </w:tc>
        <w:tc>
          <w:tcPr>
            <w:tcW w:w="996" w:type="pct"/>
            <w:vAlign w:val="center"/>
          </w:tcPr>
          <w:p>
            <w:pPr>
              <w:spacing w:line="360" w:lineRule="auto"/>
              <w:jc w:val="center"/>
              <w:rPr>
                <w:rFonts w:ascii="仿宋" w:hAnsi="仿宋" w:eastAsia="仿宋" w:cs="仿宋"/>
                <w:sz w:val="24"/>
              </w:rPr>
            </w:pPr>
          </w:p>
        </w:tc>
        <w:tc>
          <w:tcPr>
            <w:tcW w:w="990" w:type="pct"/>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04"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w:t>
            </w:r>
          </w:p>
        </w:tc>
        <w:tc>
          <w:tcPr>
            <w:tcW w:w="495" w:type="pct"/>
            <w:vAlign w:val="center"/>
          </w:tcPr>
          <w:p>
            <w:pPr>
              <w:snapToGrid w:val="0"/>
              <w:spacing w:line="360" w:lineRule="auto"/>
              <w:jc w:val="center"/>
              <w:rPr>
                <w:rFonts w:ascii="仿宋" w:hAnsi="仿宋" w:eastAsia="仿宋" w:cs="仿宋"/>
                <w:sz w:val="24"/>
              </w:rPr>
            </w:pPr>
          </w:p>
        </w:tc>
        <w:tc>
          <w:tcPr>
            <w:tcW w:w="1084" w:type="pct"/>
          </w:tcPr>
          <w:p>
            <w:pPr>
              <w:snapToGrid w:val="0"/>
              <w:spacing w:line="360" w:lineRule="auto"/>
              <w:jc w:val="center"/>
              <w:rPr>
                <w:rFonts w:ascii="仿宋" w:hAnsi="仿宋" w:eastAsia="仿宋" w:cs="仿宋"/>
                <w:sz w:val="24"/>
              </w:rPr>
            </w:pPr>
          </w:p>
        </w:tc>
        <w:tc>
          <w:tcPr>
            <w:tcW w:w="831" w:type="pct"/>
            <w:vAlign w:val="center"/>
          </w:tcPr>
          <w:p>
            <w:pPr>
              <w:snapToGrid w:val="0"/>
              <w:spacing w:line="360" w:lineRule="auto"/>
              <w:jc w:val="center"/>
              <w:rPr>
                <w:rFonts w:ascii="仿宋" w:hAnsi="仿宋" w:eastAsia="仿宋" w:cs="仿宋"/>
                <w:sz w:val="24"/>
              </w:rPr>
            </w:pPr>
          </w:p>
        </w:tc>
        <w:tc>
          <w:tcPr>
            <w:tcW w:w="996" w:type="pct"/>
            <w:vAlign w:val="center"/>
          </w:tcPr>
          <w:p>
            <w:pPr>
              <w:snapToGrid w:val="0"/>
              <w:spacing w:line="360" w:lineRule="auto"/>
              <w:jc w:val="center"/>
              <w:rPr>
                <w:rFonts w:ascii="仿宋" w:hAnsi="仿宋" w:eastAsia="仿宋" w:cs="仿宋"/>
                <w:sz w:val="24"/>
              </w:rPr>
            </w:pPr>
          </w:p>
        </w:tc>
        <w:tc>
          <w:tcPr>
            <w:tcW w:w="990" w:type="pct"/>
          </w:tcPr>
          <w:p>
            <w:pPr>
              <w:snapToGrid w:val="0"/>
              <w:spacing w:line="360" w:lineRule="auto"/>
              <w:jc w:val="center"/>
              <w:rPr>
                <w:rFonts w:ascii="仿宋" w:hAnsi="仿宋" w:eastAsia="仿宋" w:cs="仿宋"/>
                <w:sz w:val="24"/>
              </w:rPr>
            </w:pPr>
          </w:p>
        </w:tc>
      </w:tr>
    </w:tbl>
    <w:p>
      <w:pPr>
        <w:snapToGrid w:val="0"/>
        <w:spacing w:beforeLines="50" w:line="360" w:lineRule="auto"/>
        <w:jc w:val="left"/>
        <w:outlineLvl w:val="2"/>
        <w:rPr>
          <w:rFonts w:ascii="仿宋" w:hAnsi="仿宋" w:eastAsia="仿宋" w:cs="宋体"/>
          <w:b/>
          <w:snapToGrid w:val="0"/>
          <w:kern w:val="0"/>
          <w:sz w:val="24"/>
        </w:rPr>
      </w:pPr>
    </w:p>
    <w:p>
      <w:pPr>
        <w:snapToGrid w:val="0"/>
        <w:spacing w:beforeLines="50" w:line="360" w:lineRule="auto"/>
        <w:jc w:val="left"/>
        <w:outlineLvl w:val="2"/>
        <w:rPr>
          <w:rFonts w:ascii="仿宋" w:hAnsi="仿宋" w:eastAsia="仿宋" w:cs="宋体"/>
          <w:b/>
          <w:snapToGrid w:val="0"/>
          <w:kern w:val="0"/>
          <w:sz w:val="24"/>
        </w:rPr>
      </w:pPr>
      <w:r>
        <w:rPr>
          <w:rFonts w:hint="eastAsia" w:ascii="仿宋" w:hAnsi="仿宋" w:eastAsia="仿宋" w:cs="宋体"/>
          <w:b/>
          <w:snapToGrid w:val="0"/>
          <w:kern w:val="0"/>
          <w:sz w:val="24"/>
        </w:rPr>
        <w:t>附件三：合同价格清单</w:t>
      </w:r>
    </w:p>
    <w:tbl>
      <w:tblPr>
        <w:tblStyle w:val="76"/>
        <w:tblW w:w="10203" w:type="dxa"/>
        <w:jc w:val="center"/>
        <w:tblLayout w:type="fixed"/>
        <w:tblCellMar>
          <w:top w:w="0" w:type="dxa"/>
          <w:left w:w="108" w:type="dxa"/>
          <w:bottom w:w="0" w:type="dxa"/>
          <w:right w:w="108" w:type="dxa"/>
        </w:tblCellMar>
      </w:tblPr>
      <w:tblGrid>
        <w:gridCol w:w="993"/>
        <w:gridCol w:w="2196"/>
        <w:gridCol w:w="1134"/>
        <w:gridCol w:w="1063"/>
        <w:gridCol w:w="1064"/>
        <w:gridCol w:w="1560"/>
        <w:gridCol w:w="1193"/>
        <w:gridCol w:w="1000"/>
      </w:tblGrid>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序号</w:t>
            </w:r>
          </w:p>
        </w:tc>
        <w:tc>
          <w:tcPr>
            <w:tcW w:w="2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单位</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ascii="仿宋" w:hAnsi="仿宋" w:eastAsia="仿宋" w:cs="宋体"/>
                <w:snapToGrid w:val="0"/>
                <w:sz w:val="24"/>
              </w:rPr>
              <w:t>设备数量</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天数</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单价（元/天）</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合价   （元）</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备注</w:t>
            </w:r>
          </w:p>
        </w:tc>
      </w:tr>
      <w:tr>
        <w:tblPrEx>
          <w:tblCellMar>
            <w:top w:w="0" w:type="dxa"/>
            <w:left w:w="108" w:type="dxa"/>
            <w:bottom w:w="0" w:type="dxa"/>
            <w:right w:w="108" w:type="dxa"/>
          </w:tblCellMar>
        </w:tblPrEx>
        <w:trPr>
          <w:trHeight w:val="107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1</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_GB2312"/>
                <w:sz w:val="24"/>
              </w:rPr>
            </w:pPr>
            <w:r>
              <w:rPr>
                <w:rFonts w:hint="eastAsia" w:ascii="仿宋" w:hAnsi="仿宋" w:eastAsia="仿宋" w:cs="仿宋"/>
                <w:sz w:val="24"/>
              </w:rPr>
              <w:t>声音定位探头（声呐）</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套</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cs="宋体"/>
                <w:snapToGrid w:val="0"/>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r>
      <w:tr>
        <w:tblPrEx>
          <w:tblCellMar>
            <w:top w:w="0" w:type="dxa"/>
            <w:left w:w="108" w:type="dxa"/>
            <w:bottom w:w="0" w:type="dxa"/>
            <w:right w:w="108" w:type="dxa"/>
          </w:tblCellMar>
        </w:tblPrEx>
        <w:trPr>
          <w:trHeight w:val="838"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2</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sz w:val="24"/>
              </w:rPr>
            </w:pPr>
            <w:r>
              <w:rPr>
                <w:rFonts w:hint="eastAsia" w:ascii="仿宋" w:hAnsi="仿宋" w:eastAsia="仿宋" w:cs="仿宋"/>
                <w:sz w:val="24"/>
              </w:rPr>
              <w:t>摄像机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套</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cs="宋体"/>
                <w:snapToGrid w:val="0"/>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3</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sz w:val="24"/>
              </w:rPr>
            </w:pPr>
            <w:r>
              <w:rPr>
                <w:rFonts w:hint="eastAsia" w:ascii="仿宋" w:hAnsi="仿宋" w:eastAsia="仿宋" w:cs="仿宋"/>
                <w:sz w:val="24"/>
              </w:rPr>
              <w:t>LED显示屏</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个</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4</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主控机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台</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752" w:hRule="atLeast"/>
          <w:jc w:val="center"/>
        </w:trPr>
        <w:tc>
          <w:tcPr>
            <w:tcW w:w="10203" w:type="dxa"/>
            <w:gridSpan w:val="8"/>
            <w:tcBorders>
              <w:top w:val="single" w:color="000000" w:sz="4" w:space="0"/>
              <w:left w:val="single" w:color="000000" w:sz="4" w:space="0"/>
              <w:bottom w:val="single" w:color="000000" w:sz="4" w:space="0"/>
              <w:right w:val="single" w:color="000000" w:sz="4" w:space="0"/>
            </w:tcBorders>
          </w:tcPr>
          <w:p>
            <w:pPr>
              <w:rPr>
                <w:rFonts w:ascii="仿宋" w:hAnsi="仿宋" w:eastAsia="仿宋" w:cs="宋体"/>
                <w:snapToGrid w:val="0"/>
                <w:sz w:val="24"/>
              </w:rPr>
            </w:pPr>
            <w:r>
              <w:rPr>
                <w:rFonts w:hint="eastAsia" w:ascii="仿宋" w:hAnsi="仿宋" w:eastAsia="仿宋" w:cs="宋体"/>
                <w:snapToGrid w:val="0"/>
                <w:sz w:val="24"/>
              </w:rPr>
              <w:t>合同总价（小写）人民币     元</w:t>
            </w:r>
          </w:p>
          <w:p>
            <w:pPr>
              <w:rPr>
                <w:rFonts w:ascii="仿宋" w:hAnsi="仿宋" w:eastAsia="仿宋" w:cs="宋体"/>
                <w:snapToGrid w:val="0"/>
                <w:sz w:val="24"/>
              </w:rPr>
            </w:pPr>
            <w:r>
              <w:rPr>
                <w:rFonts w:hint="eastAsia" w:ascii="仿宋" w:hAnsi="仿宋" w:eastAsia="仿宋" w:cs="宋体"/>
                <w:snapToGrid w:val="0"/>
                <w:sz w:val="24"/>
              </w:rPr>
              <w:t>合同总价（大写）人民币     元</w:t>
            </w:r>
          </w:p>
        </w:tc>
      </w:tr>
    </w:tbl>
    <w:p>
      <w:pPr>
        <w:snapToGrid w:val="0"/>
        <w:spacing w:beforeLines="50" w:line="360" w:lineRule="auto"/>
        <w:jc w:val="left"/>
        <w:outlineLvl w:val="2"/>
        <w:rPr>
          <w:rFonts w:ascii="仿宋" w:hAnsi="仿宋" w:eastAsia="仿宋" w:cs="宋体"/>
          <w:b/>
          <w:snapToGrid w:val="0"/>
          <w:kern w:val="0"/>
          <w:sz w:val="24"/>
        </w:rPr>
      </w:pPr>
    </w:p>
    <w:p>
      <w:pPr>
        <w:snapToGrid w:val="0"/>
        <w:spacing w:beforeLines="50" w:line="360" w:lineRule="auto"/>
        <w:jc w:val="left"/>
        <w:outlineLvl w:val="2"/>
        <w:rPr>
          <w:rFonts w:ascii="仿宋" w:hAnsi="仿宋" w:eastAsia="仿宋" w:cs="宋体"/>
          <w:b/>
          <w:snapToGrid w:val="0"/>
          <w:kern w:val="0"/>
          <w:sz w:val="24"/>
        </w:rPr>
      </w:pPr>
      <w:r>
        <w:rPr>
          <w:rFonts w:hint="eastAsia" w:ascii="仿宋" w:hAnsi="仿宋" w:eastAsia="仿宋" w:cs="宋体"/>
          <w:b/>
          <w:snapToGrid w:val="0"/>
          <w:kern w:val="0"/>
          <w:sz w:val="24"/>
        </w:rPr>
        <w:t>附件四：车辆清单</w:t>
      </w:r>
    </w:p>
    <w:tbl>
      <w:tblPr>
        <w:tblStyle w:val="7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3822"/>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4"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序号</w:t>
            </w:r>
          </w:p>
        </w:tc>
        <w:tc>
          <w:tcPr>
            <w:tcW w:w="1961"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车牌</w:t>
            </w:r>
            <w:r>
              <w:rPr>
                <w:rFonts w:ascii="仿宋" w:hAnsi="仿宋" w:eastAsia="仿宋" w:cs="仿宋"/>
                <w:sz w:val="24"/>
              </w:rPr>
              <w:t>号</w:t>
            </w:r>
          </w:p>
        </w:tc>
        <w:tc>
          <w:tcPr>
            <w:tcW w:w="2065" w:type="pct"/>
          </w:tcPr>
          <w:p>
            <w:pPr>
              <w:snapToGrid w:val="0"/>
              <w:spacing w:line="360" w:lineRule="auto"/>
              <w:jc w:val="center"/>
              <w:rPr>
                <w:rFonts w:ascii="仿宋" w:hAnsi="仿宋" w:eastAsia="仿宋" w:cs="仿宋"/>
                <w:sz w:val="24"/>
              </w:rPr>
            </w:pPr>
            <w:r>
              <w:rPr>
                <w:rFonts w:hint="eastAsia" w:ascii="仿宋" w:hAnsi="仿宋" w:eastAsia="仿宋" w:cs="仿宋"/>
                <w:sz w:val="24"/>
              </w:rPr>
              <w:t>车辆类型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961" w:type="pct"/>
            <w:vAlign w:val="center"/>
          </w:tcPr>
          <w:p>
            <w:pPr>
              <w:snapToGrid w:val="0"/>
              <w:spacing w:line="360" w:lineRule="auto"/>
              <w:jc w:val="center"/>
              <w:rPr>
                <w:rFonts w:ascii="仿宋" w:hAnsi="仿宋" w:eastAsia="仿宋" w:cs="仿宋"/>
                <w:sz w:val="24"/>
              </w:rPr>
            </w:pPr>
          </w:p>
        </w:tc>
        <w:tc>
          <w:tcPr>
            <w:tcW w:w="2065" w:type="pct"/>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961" w:type="pct"/>
            <w:vAlign w:val="center"/>
          </w:tcPr>
          <w:p>
            <w:pPr>
              <w:snapToGrid w:val="0"/>
              <w:spacing w:line="360" w:lineRule="auto"/>
              <w:jc w:val="center"/>
              <w:rPr>
                <w:rFonts w:ascii="仿宋" w:hAnsi="仿宋" w:eastAsia="仿宋" w:cs="仿宋"/>
                <w:sz w:val="24"/>
              </w:rPr>
            </w:pPr>
          </w:p>
        </w:tc>
        <w:tc>
          <w:tcPr>
            <w:tcW w:w="2065" w:type="pct"/>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4" w:type="pct"/>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961" w:type="pct"/>
            <w:vAlign w:val="center"/>
          </w:tcPr>
          <w:p>
            <w:pPr>
              <w:snapToGrid w:val="0"/>
              <w:spacing w:line="360" w:lineRule="auto"/>
              <w:jc w:val="center"/>
              <w:rPr>
                <w:rFonts w:ascii="仿宋" w:hAnsi="仿宋" w:eastAsia="仿宋" w:cs="仿宋"/>
                <w:sz w:val="24"/>
              </w:rPr>
            </w:pPr>
          </w:p>
        </w:tc>
        <w:tc>
          <w:tcPr>
            <w:tcW w:w="2065" w:type="pct"/>
          </w:tcPr>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74" w:type="pct"/>
            <w:vAlign w:val="center"/>
          </w:tcPr>
          <w:p>
            <w:pPr>
              <w:snapToGrid w:val="0"/>
              <w:spacing w:line="360" w:lineRule="auto"/>
              <w:jc w:val="center"/>
              <w:rPr>
                <w:rFonts w:ascii="仿宋" w:hAnsi="仿宋" w:eastAsia="仿宋" w:cs="仿宋"/>
                <w:sz w:val="24"/>
              </w:rPr>
            </w:pPr>
            <w:r>
              <w:rPr>
                <w:rFonts w:ascii="仿宋" w:hAnsi="仿宋" w:eastAsia="仿宋" w:cs="仿宋"/>
                <w:sz w:val="24"/>
              </w:rPr>
              <w:t>…</w:t>
            </w:r>
          </w:p>
        </w:tc>
        <w:tc>
          <w:tcPr>
            <w:tcW w:w="1961" w:type="pct"/>
            <w:vAlign w:val="center"/>
          </w:tcPr>
          <w:p>
            <w:pPr>
              <w:snapToGrid w:val="0"/>
              <w:spacing w:line="360" w:lineRule="auto"/>
              <w:jc w:val="center"/>
              <w:rPr>
                <w:rFonts w:ascii="仿宋" w:hAnsi="仿宋" w:eastAsia="仿宋" w:cs="仿宋"/>
                <w:sz w:val="24"/>
              </w:rPr>
            </w:pPr>
          </w:p>
        </w:tc>
        <w:tc>
          <w:tcPr>
            <w:tcW w:w="2065" w:type="pct"/>
          </w:tcPr>
          <w:p>
            <w:pPr>
              <w:snapToGrid w:val="0"/>
              <w:spacing w:line="360" w:lineRule="auto"/>
              <w:jc w:val="center"/>
              <w:rPr>
                <w:rFonts w:ascii="仿宋" w:hAnsi="仿宋" w:eastAsia="仿宋" w:cs="仿宋"/>
                <w:sz w:val="24"/>
              </w:rPr>
            </w:pPr>
          </w:p>
        </w:tc>
      </w:tr>
    </w:tbl>
    <w:p>
      <w:pPr>
        <w:snapToGrid w:val="0"/>
        <w:spacing w:beforeLines="50" w:line="360" w:lineRule="auto"/>
        <w:jc w:val="left"/>
        <w:outlineLvl w:val="2"/>
        <w:rPr>
          <w:rFonts w:ascii="仿宋" w:hAnsi="仿宋" w:eastAsia="仿宋" w:cs="宋体"/>
          <w:b/>
          <w:snapToGrid w:val="0"/>
          <w:kern w:val="0"/>
          <w:sz w:val="24"/>
        </w:rPr>
      </w:pPr>
    </w:p>
    <w:p>
      <w:pPr>
        <w:pageBreakBefore/>
        <w:shd w:val="clear" w:color="auto" w:fill="FFFFFF"/>
        <w:snapToGrid w:val="0"/>
        <w:spacing w:line="360" w:lineRule="auto"/>
        <w:ind w:firstLine="2570" w:firstLineChars="800"/>
        <w:outlineLvl w:val="0"/>
        <w:rPr>
          <w:rFonts w:ascii="仿宋" w:hAnsi="仿宋" w:eastAsia="仿宋" w:cs="宋体"/>
          <w:b/>
          <w:bCs/>
          <w:sz w:val="32"/>
          <w:szCs w:val="32"/>
        </w:rPr>
      </w:pPr>
      <w:r>
        <w:rPr>
          <w:rFonts w:hint="eastAsia" w:ascii="仿宋" w:hAnsi="仿宋" w:eastAsia="仿宋" w:cs="宋体"/>
          <w:b/>
          <w:bCs/>
          <w:sz w:val="32"/>
          <w:szCs w:val="32"/>
        </w:rPr>
        <w:t>第六部分  应提交的有关格式范例</w:t>
      </w:r>
      <w:bookmarkEnd w:id="76"/>
    </w:p>
    <w:p>
      <w:pPr>
        <w:spacing w:line="360" w:lineRule="auto"/>
        <w:ind w:firstLine="480" w:firstLineChars="200"/>
        <w:outlineLvl w:val="0"/>
        <w:rPr>
          <w:rFonts w:ascii="仿宋" w:hAnsi="仿宋" w:eastAsia="仿宋" w:cs="仿宋_GB2312"/>
          <w:sz w:val="24"/>
        </w:rPr>
      </w:pPr>
      <w:r>
        <w:rPr>
          <w:rFonts w:hint="eastAsia" w:ascii="仿宋" w:hAnsi="仿宋" w:eastAsia="仿宋" w:cs="仿宋_GB2312"/>
          <w:sz w:val="24"/>
        </w:rPr>
        <w:t>投标人按照以下格式编制投标文件。</w:t>
      </w:r>
    </w:p>
    <w:p>
      <w:pPr>
        <w:shd w:val="clear" w:color="auto" w:fill="FFFFFF"/>
        <w:snapToGrid w:val="0"/>
        <w:spacing w:line="360" w:lineRule="auto"/>
        <w:rPr>
          <w:rFonts w:ascii="仿宋" w:hAnsi="仿宋" w:eastAsia="仿宋" w:cs="宋体"/>
          <w:b/>
          <w:bCs/>
          <w:sz w:val="32"/>
          <w:szCs w:val="32"/>
        </w:rPr>
      </w:pPr>
    </w:p>
    <w:p>
      <w:pPr>
        <w:spacing w:line="360" w:lineRule="auto"/>
        <w:jc w:val="center"/>
        <w:outlineLvl w:val="0"/>
        <w:rPr>
          <w:rFonts w:ascii="仿宋" w:hAnsi="仿宋" w:eastAsia="仿宋" w:cs="仿宋"/>
          <w:sz w:val="24"/>
          <w:lang w:val="zh-CN"/>
        </w:rPr>
      </w:pPr>
    </w:p>
    <w:p>
      <w:pPr>
        <w:snapToGrid w:val="0"/>
        <w:spacing w:line="480" w:lineRule="auto"/>
        <w:ind w:left="3403"/>
        <w:jc w:val="left"/>
        <w:rPr>
          <w:rFonts w:ascii="仿宋" w:hAnsi="仿宋" w:eastAsia="仿宋" w:cs="仿宋"/>
          <w:b/>
          <w:bCs/>
          <w:sz w:val="32"/>
          <w:szCs w:val="32"/>
          <w:lang w:val="zh-CN"/>
        </w:rPr>
      </w:pPr>
      <w:r>
        <w:rPr>
          <w:rFonts w:hint="eastAsia" w:ascii="仿宋" w:hAnsi="仿宋" w:eastAsia="仿宋" w:cs="仿宋_GB2312"/>
          <w:b/>
          <w:kern w:val="0"/>
          <w:sz w:val="36"/>
          <w:szCs w:val="36"/>
        </w:rPr>
        <w:t>资格文件部分</w:t>
      </w:r>
    </w:p>
    <w:p>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spacing w:line="360" w:lineRule="auto"/>
        <w:jc w:val="center"/>
        <w:outlineLvl w:val="0"/>
        <w:rPr>
          <w:rFonts w:ascii="仿宋" w:hAnsi="仿宋" w:eastAsia="仿宋" w:cs="仿宋_GB2312"/>
          <w:b/>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（2）联合协议（如果有）</w:t>
      </w:r>
      <w:r>
        <w:rPr>
          <w:rFonts w:ascii="仿宋" w:hAnsi="仿宋" w:eastAsia="仿宋" w:cs="仿宋_GB2312"/>
          <w:sz w:val="24"/>
        </w:rPr>
        <w:t>……</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…………………………（页码）</w:t>
      </w:r>
    </w:p>
    <w:p>
      <w:pPr>
        <w:snapToGrid w:val="0"/>
        <w:spacing w:line="360" w:lineRule="auto"/>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…………………………………………（页码）</w:t>
      </w:r>
    </w:p>
    <w:p>
      <w:pPr>
        <w:snapToGrid w:val="0"/>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snapToGrid w:val="0"/>
        <w:spacing w:line="480" w:lineRule="auto"/>
        <w:jc w:val="left"/>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2160" w:firstLineChars="900"/>
        <w:rPr>
          <w:rFonts w:ascii="仿宋" w:hAnsi="仿宋" w:eastAsia="仿宋" w:cs="仿宋"/>
          <w:sz w:val="24"/>
        </w:rPr>
      </w:pPr>
    </w:p>
    <w:p>
      <w:pPr>
        <w:snapToGrid w:val="0"/>
        <w:spacing w:line="360" w:lineRule="auto"/>
        <w:ind w:firstLine="480" w:firstLineChars="200"/>
        <w:rPr>
          <w:rFonts w:ascii="仿宋" w:hAnsi="仿宋" w:eastAsia="仿宋" w:cs="仿宋"/>
          <w:sz w:val="24"/>
        </w:rPr>
      </w:pPr>
    </w:p>
    <w:bookmarkEnd w:id="44"/>
    <w:bookmarkEnd w:id="45"/>
    <w:bookmarkEnd w:id="46"/>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hd w:val="clear" w:color="auto" w:fill="FFFFFF"/>
        <w:snapToGrid w:val="0"/>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_GB2312"/>
          <w:b/>
          <w:kern w:val="0"/>
          <w:sz w:val="32"/>
          <w:szCs w:val="32"/>
        </w:rPr>
      </w:pPr>
      <w:r>
        <w:rPr>
          <w:rFonts w:ascii="仿宋" w:hAnsi="仿宋" w:eastAsia="仿宋" w:cs="仿宋_GB2312"/>
          <w:b/>
          <w:kern w:val="0"/>
          <w:sz w:val="32"/>
          <w:szCs w:val="32"/>
        </w:rPr>
        <w:t>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杭州市公安局交通警察支队、杭州信达投资咨询估价监理有限公司：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我方参与杭州市公安局交通警察支队2022年杭州交警业务系统使用服务（2022年杭州公安交警机动车违法鸣笛抓拍系统使用项目）</w:t>
      </w:r>
      <w:r>
        <w:rPr>
          <w:rFonts w:ascii="仿宋" w:hAnsi="仿宋" w:eastAsia="仿宋" w:cs="仿宋_GB2312"/>
          <w:sz w:val="24"/>
        </w:rPr>
        <w:t>【招标编号：</w:t>
      </w:r>
      <w:r>
        <w:rPr>
          <w:rFonts w:hint="eastAsia" w:ascii="仿宋" w:hAnsi="仿宋" w:eastAsia="仿宋" w:cs="仿宋_GB2312"/>
          <w:sz w:val="24"/>
        </w:rPr>
        <w:t>HZSGAJ-2022-33（代)</w:t>
      </w:r>
      <w:r>
        <w:rPr>
          <w:rFonts w:ascii="仿宋" w:hAnsi="仿宋" w:eastAsia="仿宋" w:cs="仿宋_GB2312"/>
          <w:sz w:val="24"/>
        </w:rPr>
        <w:t>】</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napToGrid w:val="0"/>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napToGrid w:val="0"/>
        <w:spacing w:line="360" w:lineRule="auto"/>
        <w:ind w:firstLine="480" w:firstLineChars="200"/>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lang w:val="zh-CN"/>
        </w:rPr>
      </w:pP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snapToGrid w:val="0"/>
        <w:spacing w:line="360" w:lineRule="auto"/>
        <w:ind w:right="480"/>
        <w:jc w:val="center"/>
        <w:rPr>
          <w:rFonts w:ascii="仿宋" w:hAnsi="仿宋" w:eastAsia="仿宋" w:cs="仿宋_GB2312"/>
          <w:b/>
          <w:kern w:val="0"/>
          <w:sz w:val="32"/>
          <w:szCs w:val="32"/>
        </w:rPr>
      </w:pPr>
    </w:p>
    <w:p>
      <w:pPr>
        <w:snapToGrid w:val="0"/>
        <w:spacing w:before="50" w:after="50" w:line="360" w:lineRule="auto"/>
        <w:jc w:val="center"/>
        <w:rPr>
          <w:rFonts w:ascii="仿宋" w:hAnsi="仿宋" w:eastAsia="仿宋" w:cs="仿宋"/>
          <w:sz w:val="24"/>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二、联合协议（如果有）</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（根据招标公告落实政府采购政策需满足的资格要求选择提供相应的材料；未要求的，无需提供）</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A.专门面向中小企业，货物全部由符合政策要求的中小企业（或小微企业）制造的，提供相应的中小企业声明函（附件</w:t>
      </w:r>
      <w:r>
        <w:rPr>
          <w:rFonts w:ascii="仿宋" w:hAnsi="仿宋" w:eastAsia="仿宋" w:cs="仿宋_GB2312"/>
          <w:sz w:val="24"/>
        </w:rPr>
        <w:t>7</w:t>
      </w:r>
      <w:r>
        <w:rPr>
          <w:rFonts w:hint="eastAsia" w:ascii="仿宋" w:hAnsi="仿宋" w:eastAsia="仿宋" w:cs="仿宋_GB2312"/>
          <w:sz w:val="24"/>
        </w:rPr>
        <w:t xml:space="preserve">）。 </w:t>
      </w:r>
    </w:p>
    <w:p>
      <w:pPr>
        <w:widowControl/>
        <w:spacing w:line="360" w:lineRule="auto"/>
        <w:ind w:firstLine="480" w:firstLineChars="200"/>
        <w:jc w:val="left"/>
        <w:rPr>
          <w:rFonts w:ascii="仿宋" w:hAnsi="仿宋" w:eastAsia="仿宋" w:cs="仿宋_GB2312"/>
          <w:sz w:val="24"/>
        </w:rPr>
      </w:pP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B.要求以联合体形式参加的，提供联合协议（附件</w:t>
      </w:r>
      <w:r>
        <w:rPr>
          <w:rFonts w:ascii="仿宋" w:hAnsi="仿宋" w:eastAsia="仿宋" w:cs="仿宋_GB2312"/>
          <w:sz w:val="24"/>
        </w:rPr>
        <w:t>5</w:t>
      </w:r>
      <w:r>
        <w:rPr>
          <w:rFonts w:hint="eastAsia" w:ascii="仿宋" w:hAnsi="仿宋" w:eastAsia="仿宋" w:cs="仿宋_GB2312"/>
          <w:sz w:val="24"/>
        </w:rPr>
        <w:t>）和中小企业声明函（附件</w:t>
      </w:r>
      <w:r>
        <w:rPr>
          <w:rFonts w:ascii="仿宋" w:hAnsi="仿宋" w:eastAsia="仿宋" w:cs="仿宋_GB2312"/>
          <w:sz w:val="24"/>
        </w:rPr>
        <w:t>7</w:t>
      </w:r>
      <w:r>
        <w:rPr>
          <w:rFonts w:hint="eastAsia" w:ascii="仿宋" w:hAnsi="仿宋" w:eastAsia="仿宋" w:cs="仿宋_GB2312"/>
          <w:sz w:val="24"/>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widowControl/>
        <w:spacing w:line="360" w:lineRule="auto"/>
        <w:ind w:firstLine="480" w:firstLineChars="200"/>
        <w:jc w:val="left"/>
        <w:rPr>
          <w:rFonts w:ascii="仿宋" w:hAnsi="仿宋" w:eastAsia="仿宋" w:cs="仿宋_GB2312"/>
          <w:sz w:val="24"/>
        </w:rPr>
      </w:pP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C、要求合同分包的，提供分包意向协议（附件6）和中小企业声明函（附件</w:t>
      </w:r>
      <w:r>
        <w:rPr>
          <w:rFonts w:ascii="仿宋" w:hAnsi="仿宋" w:eastAsia="仿宋" w:cs="仿宋_GB2312"/>
          <w:sz w:val="24"/>
        </w:rPr>
        <w:t>7</w:t>
      </w:r>
      <w:r>
        <w:rPr>
          <w:rFonts w:hint="eastAsia" w:ascii="仿宋" w:hAnsi="仿宋" w:eastAsia="仿宋" w:cs="仿宋_GB2312"/>
          <w:sz w:val="24"/>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widowControl/>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（根据招标公告本项目的特定资格要求提供相应的材料；未要求的，无需提供）</w:t>
      </w: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p>
    <w:p>
      <w:pPr>
        <w:rPr>
          <w:rFonts w:ascii="仿宋" w:hAnsi="仿宋" w:eastAsia="仿宋"/>
        </w:rPr>
      </w:pPr>
      <w:bookmarkStart w:id="315" w:name="_Toc233618989"/>
    </w:p>
    <w:p>
      <w:pPr>
        <w:pStyle w:val="3"/>
        <w:snapToGrid w:val="0"/>
        <w:rPr>
          <w:rFonts w:ascii="仿宋" w:hAnsi="仿宋" w:eastAsia="仿宋"/>
          <w:sz w:val="28"/>
        </w:rPr>
      </w:pPr>
      <w:bookmarkStart w:id="316" w:name="_Toc33194408"/>
      <w:bookmarkStart w:id="317" w:name="_Toc354996709"/>
      <w:r>
        <w:rPr>
          <w:rFonts w:hint="eastAsia" w:ascii="仿宋" w:hAnsi="仿宋" w:eastAsia="仿宋"/>
          <w:sz w:val="28"/>
        </w:rPr>
        <w:t>商务技术文件</w:t>
      </w:r>
      <w:bookmarkEnd w:id="316"/>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sz w:val="24"/>
        </w:rPr>
        <w:t>……………………………………………………………………（页码）（</w:t>
      </w:r>
      <w:r>
        <w:rPr>
          <w:rFonts w:ascii="仿宋" w:hAnsi="仿宋" w:eastAsia="仿宋" w:cs="仿宋_GB2312"/>
          <w:sz w:val="24"/>
        </w:rPr>
        <w:t>2）授权委托书或法定代表人（单位负责人、自然人本人）身份证明</w:t>
      </w:r>
      <w:r>
        <w:rPr>
          <w:rFonts w:hint="eastAsia" w:ascii="仿宋" w:hAnsi="仿宋" w:eastAsia="仿宋" w:cs="仿宋_GB2312"/>
          <w:sz w:val="24"/>
        </w:rPr>
        <w:t>……（页码）</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……………………………………………………………（页码）</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sz w:val="24"/>
        </w:rPr>
        <w:t>……………………………………………………………（页码）</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sz w:val="24"/>
        </w:rPr>
        <w:t>……………………………………………（页码）</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sz w:val="24"/>
        </w:rPr>
        <w:t>…………………………………………………………（页码）</w:t>
      </w:r>
    </w:p>
    <w:p>
      <w:pPr>
        <w:snapToGrid w:val="0"/>
        <w:spacing w:line="360" w:lineRule="auto"/>
        <w:ind w:left="479" w:leftChars="228"/>
        <w:jc w:val="left"/>
        <w:rPr>
          <w:rFonts w:ascii="仿宋" w:hAnsi="仿宋" w:eastAsia="仿宋" w:cs="仿宋_GB2312"/>
          <w:sz w:val="24"/>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sz w:val="24"/>
        </w:rPr>
        <w:t>…………………………………………（页码）</w:t>
      </w:r>
    </w:p>
    <w:p>
      <w:pPr>
        <w:snapToGrid w:val="0"/>
        <w:spacing w:line="360" w:lineRule="auto"/>
        <w:jc w:val="center"/>
        <w:rPr>
          <w:rFonts w:ascii="仿宋" w:hAnsi="仿宋" w:eastAsia="仿宋" w:cs="仿宋_GB2312"/>
          <w:b/>
          <w:kern w:val="0"/>
          <w:sz w:val="32"/>
          <w:szCs w:val="32"/>
        </w:rPr>
      </w:pPr>
    </w:p>
    <w:p>
      <w:pPr>
        <w:spacing w:line="360" w:lineRule="auto"/>
        <w:rPr>
          <w:rFonts w:ascii="仿宋" w:hAnsi="仿宋" w:eastAsia="仿宋" w:cs="仿宋"/>
          <w:b/>
          <w:bCs/>
          <w:sz w:val="24"/>
        </w:rPr>
      </w:pPr>
    </w:p>
    <w:p>
      <w:pPr>
        <w:snapToGrid w:val="0"/>
        <w:spacing w:line="360" w:lineRule="auto"/>
        <w:jc w:val="center"/>
        <w:rPr>
          <w:rFonts w:ascii="仿宋" w:hAnsi="仿宋" w:eastAsia="仿宋" w:cs="仿宋_GB2312"/>
          <w:b/>
          <w:kern w:val="0"/>
          <w:sz w:val="24"/>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宋体"/>
          <w:sz w:val="24"/>
        </w:rPr>
        <w:br w:type="page"/>
      </w:r>
      <w:bookmarkEnd w:id="317"/>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杭州市公安局交通警察支队、杭州信达投资咨询估价监理有限公司：</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90天（不少于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.1.3</w:t>
      </w:r>
      <w:r>
        <w:rPr>
          <w:rFonts w:hint="eastAsia" w:ascii="仿宋" w:hAnsi="仿宋" w:eastAsia="仿宋" w:cs="仿宋_GB2312"/>
          <w:sz w:val="24"/>
        </w:rPr>
        <w:t>落实政府采购政策需满足的资格要求（如果有）；</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w:t>
      </w:r>
      <w:r>
        <w:rPr>
          <w:rFonts w:ascii="仿宋" w:hAnsi="仿宋" w:eastAsia="仿宋" w:cs="仿宋_GB2312"/>
          <w:sz w:val="24"/>
        </w:rPr>
        <w:t>4</w:t>
      </w:r>
      <w:r>
        <w:rPr>
          <w:rFonts w:hint="eastAsia" w:ascii="仿宋" w:hAnsi="仿宋" w:eastAsia="仿宋" w:cs="仿宋_GB2312"/>
          <w:sz w:val="24"/>
        </w:rPr>
        <w:t>本项目的特定资格要求（如果有）。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3</w:t>
      </w:r>
      <w:r>
        <w:rPr>
          <w:rFonts w:hint="eastAsia" w:ascii="仿宋" w:hAnsi="仿宋" w:eastAsia="仿宋" w:cs="仿宋_GB2312"/>
          <w:sz w:val="24"/>
        </w:rPr>
        <w:t>分包意向协议（如果有）；</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4</w:t>
      </w:r>
      <w:r>
        <w:rPr>
          <w:rFonts w:hint="eastAsia"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5</w:t>
      </w:r>
      <w:r>
        <w:rPr>
          <w:rFonts w:hint="eastAsia"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7</w:t>
      </w:r>
      <w:r>
        <w:rPr>
          <w:rFonts w:hint="eastAsia" w:ascii="仿宋" w:hAnsi="仿宋" w:eastAsia="仿宋" w:cs="仿宋_GB2312"/>
          <w:sz w:val="24"/>
        </w:rPr>
        <w:t>商务技术偏离表；</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8</w:t>
      </w:r>
      <w:r>
        <w:rPr>
          <w:rFonts w:hint="eastAsia" w:ascii="仿宋" w:hAnsi="仿宋" w:eastAsia="仿宋" w:cs="仿宋_GB2312"/>
          <w:sz w:val="24"/>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Pr>
        <w:snapToGrid w:val="0"/>
        <w:spacing w:line="360" w:lineRule="auto"/>
        <w:ind w:left="420" w:leftChars="200" w:firstLine="4200" w:firstLineChars="1750"/>
        <w:rPr>
          <w:rFonts w:ascii="仿宋" w:hAnsi="仿宋" w:eastAsia="仿宋" w:cs="仿宋_GB2312"/>
          <w:kern w:val="0"/>
          <w:sz w:val="24"/>
          <w:u w:val="single"/>
        </w:rPr>
      </w:pPr>
    </w:p>
    <w:p>
      <w:pPr>
        <w:snapToGrid w:val="0"/>
        <w:spacing w:line="360" w:lineRule="auto"/>
        <w:jc w:val="center"/>
        <w:rPr>
          <w:rFonts w:ascii="仿宋" w:hAnsi="仿宋" w:eastAsia="仿宋" w:cs="仿宋_GB2312"/>
          <w:b/>
          <w:kern w:val="0"/>
          <w:sz w:val="32"/>
          <w:szCs w:val="32"/>
        </w:rPr>
      </w:pPr>
    </w:p>
    <w:p>
      <w:pPr>
        <w:spacing w:line="360" w:lineRule="auto"/>
        <w:ind w:right="420"/>
        <w:rPr>
          <w:rFonts w:ascii="仿宋" w:hAnsi="仿宋" w:eastAsia="仿宋" w:cs="仿宋_GB2312"/>
          <w:sz w:val="24"/>
        </w:rPr>
      </w:pPr>
      <w:r>
        <w:rPr>
          <w:rFonts w:hint="eastAsia" w:ascii="仿宋" w:hAnsi="仿宋" w:eastAsia="仿宋" w:cs="仿宋_GB2312"/>
          <w:sz w:val="24"/>
        </w:rPr>
        <w:t>注：按本格式和要求提供。</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pStyle w:val="118"/>
        <w:rPr>
          <w:rFonts w:ascii="仿宋" w:hAnsi="仿宋" w:eastAsia="仿宋" w:cs="仿宋_GB2312"/>
          <w:b/>
          <w:sz w:val="32"/>
          <w:szCs w:val="32"/>
          <w:lang w:val="en-US"/>
        </w:rPr>
      </w:pPr>
    </w:p>
    <w:p>
      <w:pPr>
        <w:pStyle w:val="118"/>
        <w:rPr>
          <w:rFonts w:ascii="仿宋" w:hAnsi="仿宋" w:eastAsia="仿宋" w:cs="仿宋_GB2312"/>
          <w:b/>
          <w:sz w:val="32"/>
          <w:szCs w:val="32"/>
          <w:lang w:val="en-US"/>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杭州市公安局交通警察支队、杭州信达投资咨询估价监理有限公司</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杭州市公安局交通警察支队、杭州信达投资咨询估价监理有限公司</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autoSpaceDE w:val="0"/>
        <w:autoSpaceDN w:val="0"/>
        <w:spacing w:line="360" w:lineRule="auto"/>
        <w:jc w:val="cente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pStyle w:val="190"/>
        <w:spacing w:line="360" w:lineRule="auto"/>
        <w:rPr>
          <w:rFonts w:ascii="仿宋" w:hAnsi="仿宋" w:eastAsia="仿宋"/>
          <w:bCs/>
          <w:sz w:val="24"/>
        </w:rPr>
      </w:pPr>
      <w:r>
        <w:rPr>
          <w:rFonts w:hint="eastAsia" w:ascii="仿宋" w:hAnsi="仿宋" w:eastAsia="仿宋"/>
          <w:bCs/>
          <w:sz w:val="24"/>
        </w:rPr>
        <w:t>身份证件扫描件：</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0"/>
              <w:adjustRightInd w:val="0"/>
              <w:spacing w:line="360" w:lineRule="auto"/>
              <w:rPr>
                <w:rFonts w:ascii="仿宋" w:hAnsi="仿宋" w:eastAsia="仿宋"/>
                <w:bCs/>
                <w:sz w:val="24"/>
              </w:rPr>
            </w:pPr>
            <w:r>
              <w:rPr>
                <w:rFonts w:hint="eastAsia" w:ascii="仿宋" w:hAnsi="仿宋" w:eastAsia="仿宋"/>
                <w:bCs/>
                <w:sz w:val="24"/>
              </w:rPr>
              <w:t>正面：反面：</w:t>
            </w:r>
          </w:p>
          <w:p>
            <w:pPr>
              <w:pStyle w:val="190"/>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widowControl/>
        <w:spacing w:line="360" w:lineRule="auto"/>
        <w:ind w:firstLine="161" w:firstLineChars="50"/>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三、分包意向协议</w:t>
      </w:r>
    </w:p>
    <w:p>
      <w:pPr>
        <w:widowControl/>
        <w:spacing w:line="360" w:lineRule="auto"/>
        <w:ind w:firstLine="120" w:firstLineChars="50"/>
        <w:jc w:val="left"/>
        <w:rPr>
          <w:rFonts w:ascii="仿宋" w:hAnsi="仿宋" w:eastAsia="仿宋"/>
          <w:bCs/>
          <w:sz w:val="24"/>
          <w:szCs w:val="21"/>
        </w:rPr>
      </w:pPr>
      <w:bookmarkStart w:id="318" w:name="_Hlk101169080"/>
      <w:r>
        <w:rPr>
          <w:rFonts w:hint="eastAsia" w:ascii="仿宋" w:hAnsi="仿宋" w:eastAsia="仿宋"/>
          <w:bCs/>
          <w:sz w:val="24"/>
          <w:szCs w:val="21"/>
        </w:rPr>
        <w:t>[中标后以分包方式履行合同的，提供分包意向协议(附件6</w:t>
      </w:r>
      <w:r>
        <w:rPr>
          <w:rFonts w:ascii="仿宋" w:hAnsi="仿宋" w:eastAsia="仿宋"/>
          <w:bCs/>
          <w:sz w:val="24"/>
          <w:szCs w:val="21"/>
        </w:rPr>
        <w:t>)</w:t>
      </w:r>
      <w:r>
        <w:rPr>
          <w:rFonts w:hint="eastAsia" w:ascii="仿宋" w:hAnsi="仿宋" w:eastAsia="仿宋"/>
          <w:bCs/>
          <w:sz w:val="24"/>
          <w:szCs w:val="21"/>
        </w:rPr>
        <w:t>；采购人不同意分包或者投标人中标后不以分包方式履行合同的，则不需要提供。]</w:t>
      </w:r>
    </w:p>
    <w:bookmarkEnd w:id="318"/>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w:t>
      </w:r>
    </w:p>
    <w:p>
      <w:pPr>
        <w:snapToGrid w:val="0"/>
        <w:spacing w:line="360" w:lineRule="auto"/>
        <w:ind w:right="480"/>
        <w:rPr>
          <w:rFonts w:ascii="仿宋" w:hAnsi="仿宋" w:eastAsia="仿宋" w:cs="仿宋_GB2312"/>
          <w:b/>
          <w:kern w:val="0"/>
          <w:sz w:val="32"/>
          <w:szCs w:val="32"/>
          <w:lang w:val="zh-CN"/>
        </w:rPr>
        <w:sectPr>
          <w:headerReference r:id="rId5" w:type="first"/>
          <w:footerReference r:id="rId7" w:type="first"/>
          <w:headerReference r:id="rId4" w:type="default"/>
          <w:footerReference r:id="rId6"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见投标文件第页</w:t>
            </w:r>
          </w:p>
        </w:tc>
      </w:tr>
    </w:tbl>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六、投标标的清单</w:t>
      </w:r>
    </w:p>
    <w:tbl>
      <w:tblPr>
        <w:tblStyle w:val="7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b/>
                <w:bCs/>
                <w:sz w:val="24"/>
              </w:rPr>
            </w:pPr>
            <w:r>
              <w:rPr>
                <w:rFonts w:hint="eastAsia" w:ascii="仿宋" w:hAnsi="仿宋" w:eastAsia="仿宋"/>
                <w:b/>
                <w:bCs/>
                <w:sz w:val="24"/>
              </w:rPr>
              <w:t>序号</w:t>
            </w:r>
          </w:p>
        </w:tc>
        <w:tc>
          <w:tcPr>
            <w:tcW w:w="3683" w:type="dxa"/>
          </w:tcPr>
          <w:p>
            <w:pPr>
              <w:adjustRightInd w:val="0"/>
              <w:jc w:val="center"/>
              <w:textAlignment w:val="baseline"/>
              <w:rPr>
                <w:rFonts w:ascii="仿宋" w:hAnsi="仿宋" w:eastAsia="仿宋"/>
                <w:b/>
                <w:bCs/>
                <w:sz w:val="24"/>
              </w:rPr>
            </w:pPr>
            <w:r>
              <w:rPr>
                <w:rFonts w:hint="eastAsia" w:ascii="仿宋" w:hAnsi="仿宋" w:eastAsia="仿宋"/>
                <w:b/>
                <w:bCs/>
                <w:sz w:val="24"/>
              </w:rPr>
              <w:t>招标文件章节及具体内容</w:t>
            </w:r>
          </w:p>
        </w:tc>
        <w:tc>
          <w:tcPr>
            <w:tcW w:w="3546" w:type="dxa"/>
          </w:tcPr>
          <w:p>
            <w:pPr>
              <w:adjustRightInd w:val="0"/>
              <w:jc w:val="center"/>
              <w:textAlignment w:val="baseline"/>
              <w:rPr>
                <w:rFonts w:ascii="仿宋" w:hAnsi="仿宋" w:eastAsia="仿宋"/>
                <w:b/>
                <w:bCs/>
                <w:sz w:val="24"/>
              </w:rPr>
            </w:pPr>
            <w:r>
              <w:rPr>
                <w:rFonts w:hint="eastAsia" w:ascii="仿宋" w:hAnsi="仿宋" w:eastAsia="仿宋"/>
                <w:b/>
                <w:bCs/>
                <w:sz w:val="24"/>
              </w:rPr>
              <w:t>投标文件章节及具体内容</w:t>
            </w:r>
          </w:p>
        </w:tc>
        <w:tc>
          <w:tcPr>
            <w:tcW w:w="1276" w:type="dxa"/>
          </w:tcPr>
          <w:p>
            <w:pPr>
              <w:adjustRightInd w:val="0"/>
              <w:jc w:val="center"/>
              <w:textAlignment w:val="baseline"/>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rPr>
            </w:pPr>
            <w:r>
              <w:rPr>
                <w:rFonts w:ascii="仿宋" w:hAnsi="仿宋" w:eastAsia="仿宋" w:cs="仿宋_GB2312"/>
                <w:b/>
                <w:kern w:val="0"/>
                <w:sz w:val="24"/>
              </w:rPr>
              <w:t>1</w:t>
            </w:r>
          </w:p>
        </w:tc>
        <w:tc>
          <w:tcPr>
            <w:tcW w:w="3683" w:type="dxa"/>
          </w:tcPr>
          <w:p>
            <w:pPr>
              <w:adjustRightInd w:val="0"/>
              <w:jc w:val="center"/>
              <w:textAlignment w:val="baseline"/>
              <w:rPr>
                <w:rFonts w:ascii="仿宋" w:hAnsi="仿宋" w:eastAsia="仿宋" w:cs="仿宋_GB2312"/>
                <w:b/>
                <w:kern w:val="0"/>
                <w:sz w:val="32"/>
                <w:szCs w:val="32"/>
              </w:rPr>
            </w:pPr>
          </w:p>
        </w:tc>
        <w:tc>
          <w:tcPr>
            <w:tcW w:w="3546" w:type="dxa"/>
          </w:tcPr>
          <w:p>
            <w:pPr>
              <w:adjustRightInd w:val="0"/>
              <w:jc w:val="center"/>
              <w:textAlignment w:val="baseline"/>
              <w:rPr>
                <w:rFonts w:ascii="仿宋" w:hAnsi="仿宋" w:eastAsia="仿宋" w:cs="仿宋_GB2312"/>
                <w:b/>
                <w:kern w:val="0"/>
                <w:sz w:val="32"/>
                <w:szCs w:val="32"/>
              </w:rPr>
            </w:pPr>
          </w:p>
        </w:tc>
        <w:tc>
          <w:tcPr>
            <w:tcW w:w="1276" w:type="dxa"/>
          </w:tcPr>
          <w:p>
            <w:pPr>
              <w:adjustRightInd w:val="0"/>
              <w:jc w:val="center"/>
              <w:textAlignment w:val="baseline"/>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rPr>
            </w:pPr>
            <w:r>
              <w:rPr>
                <w:rFonts w:ascii="仿宋" w:hAnsi="仿宋" w:eastAsia="仿宋" w:cs="仿宋_GB2312"/>
                <w:b/>
                <w:kern w:val="0"/>
                <w:sz w:val="24"/>
              </w:rPr>
              <w:t>2</w:t>
            </w:r>
          </w:p>
        </w:tc>
        <w:tc>
          <w:tcPr>
            <w:tcW w:w="3683" w:type="dxa"/>
          </w:tcPr>
          <w:p>
            <w:pPr>
              <w:adjustRightInd w:val="0"/>
              <w:jc w:val="center"/>
              <w:textAlignment w:val="baseline"/>
              <w:rPr>
                <w:rFonts w:ascii="仿宋" w:hAnsi="仿宋" w:eastAsia="仿宋" w:cs="仿宋_GB2312"/>
                <w:b/>
                <w:kern w:val="0"/>
                <w:sz w:val="32"/>
                <w:szCs w:val="32"/>
              </w:rPr>
            </w:pPr>
          </w:p>
        </w:tc>
        <w:tc>
          <w:tcPr>
            <w:tcW w:w="3546" w:type="dxa"/>
          </w:tcPr>
          <w:p>
            <w:pPr>
              <w:adjustRightInd w:val="0"/>
              <w:jc w:val="center"/>
              <w:textAlignment w:val="baseline"/>
              <w:rPr>
                <w:rFonts w:ascii="仿宋" w:hAnsi="仿宋" w:eastAsia="仿宋" w:cs="仿宋_GB2312"/>
                <w:b/>
                <w:kern w:val="0"/>
                <w:sz w:val="32"/>
                <w:szCs w:val="32"/>
              </w:rPr>
            </w:pPr>
          </w:p>
        </w:tc>
        <w:tc>
          <w:tcPr>
            <w:tcW w:w="1276" w:type="dxa"/>
          </w:tcPr>
          <w:p>
            <w:pPr>
              <w:adjustRightInd w:val="0"/>
              <w:jc w:val="center"/>
              <w:textAlignment w:val="baseline"/>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val="0"/>
              <w:jc w:val="center"/>
              <w:textAlignment w:val="baseline"/>
              <w:rPr>
                <w:rFonts w:ascii="仿宋" w:hAnsi="仿宋" w:eastAsia="仿宋" w:cs="仿宋_GB2312"/>
                <w:b/>
                <w:kern w:val="0"/>
                <w:sz w:val="24"/>
              </w:rPr>
            </w:pPr>
            <w:r>
              <w:rPr>
                <w:rFonts w:hint="eastAsia" w:ascii="仿宋" w:hAnsi="仿宋" w:eastAsia="仿宋" w:cs="仿宋_GB2312"/>
                <w:b/>
                <w:kern w:val="0"/>
                <w:sz w:val="24"/>
              </w:rPr>
              <w:t>……</w:t>
            </w:r>
          </w:p>
        </w:tc>
        <w:tc>
          <w:tcPr>
            <w:tcW w:w="3683" w:type="dxa"/>
          </w:tcPr>
          <w:p>
            <w:pPr>
              <w:adjustRightInd w:val="0"/>
              <w:jc w:val="center"/>
              <w:textAlignment w:val="baseline"/>
              <w:rPr>
                <w:rFonts w:ascii="仿宋" w:hAnsi="仿宋" w:eastAsia="仿宋" w:cs="仿宋_GB2312"/>
                <w:b/>
                <w:kern w:val="0"/>
                <w:sz w:val="32"/>
                <w:szCs w:val="32"/>
              </w:rPr>
            </w:pPr>
          </w:p>
        </w:tc>
        <w:tc>
          <w:tcPr>
            <w:tcW w:w="3546" w:type="dxa"/>
          </w:tcPr>
          <w:p>
            <w:pPr>
              <w:adjustRightInd w:val="0"/>
              <w:jc w:val="center"/>
              <w:textAlignment w:val="baseline"/>
              <w:rPr>
                <w:rFonts w:ascii="仿宋" w:hAnsi="仿宋" w:eastAsia="仿宋" w:cs="仿宋_GB2312"/>
                <w:b/>
                <w:kern w:val="0"/>
                <w:sz w:val="32"/>
                <w:szCs w:val="32"/>
              </w:rPr>
            </w:pPr>
          </w:p>
        </w:tc>
        <w:tc>
          <w:tcPr>
            <w:tcW w:w="1276" w:type="dxa"/>
          </w:tcPr>
          <w:p>
            <w:pPr>
              <w:adjustRightInd w:val="0"/>
              <w:jc w:val="center"/>
              <w:textAlignment w:val="baseline"/>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杭州市公安局交通警察支队</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jc w:val="center"/>
        <w:rPr>
          <w:rFonts w:ascii="仿宋" w:hAnsi="仿宋" w:eastAsia="仿宋" w:cs="宋体"/>
          <w:b/>
          <w:sz w:val="32"/>
          <w:szCs w:val="32"/>
          <w:lang w:val="zh-CN"/>
        </w:rPr>
      </w:pPr>
    </w:p>
    <w:p>
      <w:pPr>
        <w:spacing w:line="360" w:lineRule="auto"/>
        <w:jc w:val="center"/>
        <w:rPr>
          <w:rFonts w:ascii="仿宋" w:hAnsi="仿宋" w:eastAsia="仿宋" w:cs="仿宋_GB2312"/>
          <w:b/>
          <w:sz w:val="30"/>
          <w:szCs w:val="30"/>
        </w:rPr>
      </w:pPr>
    </w:p>
    <w:p>
      <w:pPr>
        <w:spacing w:line="360" w:lineRule="auto"/>
        <w:ind w:right="420"/>
        <w:rPr>
          <w:rFonts w:ascii="仿宋" w:hAnsi="仿宋" w:eastAsia="仿宋" w:cs="仿宋_GB2312"/>
          <w:kern w:val="0"/>
          <w:sz w:val="24"/>
        </w:rPr>
      </w:pPr>
      <w:r>
        <w:rPr>
          <w:rFonts w:hint="eastAsia" w:ascii="仿宋" w:hAnsi="仿宋" w:eastAsia="仿宋" w:cs="仿宋_GB2312"/>
          <w:kern w:val="0"/>
          <w:sz w:val="24"/>
          <w:lang w:val="zh-CN"/>
        </w:rPr>
        <w:t>注</w:t>
      </w:r>
      <w:r>
        <w:rPr>
          <w:rFonts w:hint="eastAsia" w:ascii="仿宋" w:hAnsi="仿宋" w:eastAsia="仿宋" w:cs="仿宋_GB2312"/>
          <w:kern w:val="0"/>
          <w:sz w:val="24"/>
        </w:rPr>
        <w:t>：</w:t>
      </w:r>
      <w:r>
        <w:rPr>
          <w:rFonts w:hint="eastAsia" w:ascii="仿宋" w:hAnsi="仿宋" w:eastAsia="仿宋" w:cs="仿宋_GB2312"/>
          <w:kern w:val="0"/>
          <w:sz w:val="24"/>
          <w:lang w:val="zh-CN"/>
        </w:rPr>
        <w:t>按本格式和要求提供。</w:t>
      </w:r>
    </w:p>
    <w:p>
      <w:pPr>
        <w:snapToGrid w:val="0"/>
        <w:spacing w:line="360" w:lineRule="auto"/>
        <w:ind w:firstLine="1928" w:firstLineChars="600"/>
        <w:rPr>
          <w:rFonts w:ascii="仿宋" w:hAnsi="仿宋" w:eastAsia="仿宋" w:cs="仿宋_GB2312"/>
          <w:b/>
          <w:kern w:val="0"/>
          <w:sz w:val="32"/>
          <w:szCs w:val="32"/>
        </w:rPr>
      </w:pPr>
    </w:p>
    <w:p>
      <w:pPr>
        <w:pageBreakBefore/>
        <w:shd w:val="clear" w:color="auto" w:fill="FFFFFF"/>
        <w:snapToGrid w:val="0"/>
        <w:spacing w:line="360" w:lineRule="auto"/>
        <w:jc w:val="center"/>
        <w:outlineLvl w:val="1"/>
        <w:rPr>
          <w:rFonts w:ascii="仿宋" w:hAnsi="仿宋" w:eastAsia="仿宋" w:cs="宋体"/>
          <w:b/>
          <w:bCs/>
          <w:kern w:val="0"/>
          <w:sz w:val="28"/>
          <w:szCs w:val="28"/>
        </w:rPr>
      </w:pPr>
      <w:bookmarkStart w:id="319" w:name="_Toc354996707"/>
      <w:bookmarkStart w:id="320" w:name="_Toc33194407"/>
      <w:r>
        <w:rPr>
          <w:rFonts w:hint="eastAsia" w:ascii="仿宋" w:hAnsi="仿宋" w:eastAsia="仿宋" w:cs="宋体"/>
          <w:b/>
          <w:bCs/>
          <w:kern w:val="0"/>
          <w:sz w:val="28"/>
          <w:szCs w:val="28"/>
        </w:rPr>
        <w:t>报价文件</w:t>
      </w:r>
      <w:bookmarkEnd w:id="319"/>
      <w:bookmarkEnd w:id="320"/>
    </w:p>
    <w:p>
      <w:pPr>
        <w:shd w:val="clear" w:color="auto" w:fill="FFFFFF"/>
        <w:snapToGrid w:val="0"/>
        <w:spacing w:line="360" w:lineRule="auto"/>
        <w:jc w:val="center"/>
        <w:rPr>
          <w:rFonts w:ascii="仿宋" w:hAnsi="仿宋" w:eastAsia="仿宋" w:cs="宋体"/>
          <w:b/>
          <w:bCs/>
          <w:kern w:val="0"/>
          <w:sz w:val="24"/>
        </w:rPr>
      </w:pPr>
      <w:r>
        <w:rPr>
          <w:rFonts w:ascii="Calibri" w:hAnsi="Calibri" w:eastAsia="仿宋" w:cs="Calibri"/>
          <w:b/>
          <w:bCs/>
          <w:kern w:val="0"/>
          <w:sz w:val="24"/>
        </w:rPr>
        <w:t> </w:t>
      </w:r>
    </w:p>
    <w:p>
      <w:pPr>
        <w:spacing w:line="360" w:lineRule="auto"/>
        <w:jc w:val="center"/>
        <w:outlineLvl w:val="0"/>
        <w:rPr>
          <w:rFonts w:ascii="仿宋" w:hAnsi="仿宋" w:eastAsia="仿宋" w:cs="仿宋_GB2312"/>
          <w:b/>
          <w:kern w:val="0"/>
          <w:sz w:val="24"/>
        </w:rPr>
      </w:pPr>
      <w:bookmarkStart w:id="321" w:name="_Toc233618990"/>
      <w:r>
        <w:rPr>
          <w:rFonts w:hint="eastAsia" w:ascii="仿宋" w:hAnsi="仿宋" w:eastAsia="仿宋" w:cs="仿宋_GB2312"/>
          <w:b/>
          <w:kern w:val="0"/>
          <w:sz w:val="24"/>
        </w:rPr>
        <w:t>目录</w:t>
      </w:r>
    </w:p>
    <w:p>
      <w:pPr>
        <w:spacing w:line="360" w:lineRule="auto"/>
        <w:ind w:left="2" w:firstLine="480" w:firstLineChars="200"/>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sz w:val="24"/>
        </w:rPr>
        <w:t>开标一览表（报价表）</w:t>
      </w:r>
      <w:r>
        <w:rPr>
          <w:rFonts w:hint="eastAsia" w:ascii="仿宋" w:hAnsi="仿宋" w:eastAsia="仿宋" w:cs="仿宋_GB2312"/>
          <w:kern w:val="0"/>
          <w:sz w:val="24"/>
        </w:rPr>
        <w:t>…………………………………………（页码）</w:t>
      </w:r>
    </w:p>
    <w:p>
      <w:pPr>
        <w:spacing w:line="360" w:lineRule="auto"/>
        <w:ind w:left="2" w:firstLine="480" w:firstLineChars="200"/>
        <w:rPr>
          <w:rFonts w:ascii="仿宋" w:hAnsi="仿宋" w:eastAsia="仿宋" w:cs="仿宋_GB2312"/>
          <w:sz w:val="24"/>
        </w:rPr>
      </w:pPr>
    </w:p>
    <w:p>
      <w:pPr>
        <w:spacing w:line="360" w:lineRule="auto"/>
        <w:ind w:left="2" w:firstLine="480" w:firstLineChars="200"/>
        <w:rPr>
          <w:rFonts w:ascii="仿宋" w:hAnsi="仿宋" w:eastAsia="仿宋" w:cs="仿宋_GB2312"/>
          <w:sz w:val="24"/>
        </w:rPr>
      </w:pPr>
    </w:p>
    <w:bookmarkEnd w:id="321"/>
    <w:p>
      <w:pPr>
        <w:pageBreakBefore/>
        <w:shd w:val="clear" w:color="auto" w:fill="FFFFFF"/>
        <w:snapToGrid w:val="0"/>
        <w:spacing w:line="360" w:lineRule="auto"/>
        <w:ind w:firstLine="482" w:firstLineChars="200"/>
        <w:jc w:val="center"/>
        <w:outlineLvl w:val="2"/>
        <w:rPr>
          <w:rFonts w:ascii="仿宋" w:hAnsi="仿宋" w:eastAsia="仿宋" w:cs="宋体"/>
          <w:b/>
          <w:bCs/>
          <w:sz w:val="24"/>
        </w:rPr>
        <w:sectPr>
          <w:footerReference r:id="rId9" w:type="first"/>
          <w:footerReference r:id="rId8" w:type="default"/>
          <w:pgSz w:w="11907" w:h="16840"/>
          <w:pgMar w:top="1134" w:right="1134" w:bottom="1134" w:left="1134" w:header="851" w:footer="992" w:gutter="0"/>
          <w:cols w:space="720" w:num="1"/>
          <w:docGrid w:linePitch="312" w:charSpace="0"/>
        </w:sectPr>
      </w:pPr>
      <w:bookmarkStart w:id="322" w:name="_Toc354859475"/>
      <w:bookmarkStart w:id="323" w:name="_Toc354859632"/>
      <w:bookmarkStart w:id="324" w:name="_Toc233618991"/>
      <w:bookmarkStart w:id="325" w:name="_Toc354859551"/>
    </w:p>
    <w:p>
      <w:pPr>
        <w:shd w:val="clear" w:color="auto" w:fill="FFFFFF"/>
        <w:snapToGrid w:val="0"/>
        <w:spacing w:line="360" w:lineRule="auto"/>
        <w:ind w:firstLine="562" w:firstLineChars="200"/>
        <w:jc w:val="center"/>
        <w:outlineLvl w:val="2"/>
        <w:rPr>
          <w:rFonts w:ascii="仿宋" w:hAnsi="仿宋" w:eastAsia="仿宋" w:cs="宋体"/>
          <w:b/>
          <w:bCs/>
          <w:sz w:val="28"/>
          <w:szCs w:val="28"/>
        </w:rPr>
      </w:pPr>
      <w:r>
        <w:rPr>
          <w:rFonts w:hint="eastAsia" w:ascii="仿宋" w:hAnsi="仿宋" w:eastAsia="仿宋" w:cs="宋体"/>
          <w:b/>
          <w:bCs/>
          <w:sz w:val="28"/>
          <w:szCs w:val="28"/>
        </w:rPr>
        <w:t>一、</w:t>
      </w:r>
      <w:bookmarkEnd w:id="322"/>
      <w:bookmarkEnd w:id="323"/>
      <w:bookmarkEnd w:id="324"/>
      <w:bookmarkEnd w:id="325"/>
      <w:r>
        <w:rPr>
          <w:rFonts w:hint="eastAsia" w:ascii="仿宋" w:hAnsi="仿宋" w:eastAsia="仿宋" w:cs="宋体"/>
          <w:b/>
          <w:bCs/>
          <w:sz w:val="28"/>
          <w:szCs w:val="28"/>
        </w:rPr>
        <w:t>开标一览表（报价表）</w:t>
      </w:r>
    </w:p>
    <w:p>
      <w:pPr>
        <w:snapToGrid w:val="0"/>
        <w:spacing w:line="360" w:lineRule="auto"/>
        <w:rPr>
          <w:rFonts w:ascii="仿宋" w:hAnsi="仿宋" w:eastAsia="仿宋" w:cs="仿宋_GB2312"/>
          <w:kern w:val="0"/>
          <w:sz w:val="24"/>
        </w:rPr>
      </w:pPr>
      <w:r>
        <w:rPr>
          <w:rFonts w:hint="eastAsia" w:ascii="仿宋" w:hAnsi="仿宋" w:eastAsia="仿宋" w:cs="仿宋_GB2312"/>
          <w:sz w:val="24"/>
        </w:rPr>
        <w:t>杭州市公安局交通警察支队、杭州信达投资咨询估价监理有限公司</w:t>
      </w:r>
      <w:r>
        <w:rPr>
          <w:rFonts w:hint="eastAsia" w:ascii="仿宋" w:hAnsi="仿宋" w:eastAsia="仿宋" w:cs="仿宋_GB2312"/>
          <w:kern w:val="0"/>
          <w:sz w:val="24"/>
          <w:lang w:val="zh-CN"/>
        </w:rPr>
        <w:t>：</w:t>
      </w:r>
    </w:p>
    <w:p>
      <w:pPr>
        <w:snapToGrid w:val="0"/>
        <w:spacing w:line="360" w:lineRule="auto"/>
        <w:ind w:firstLine="482"/>
        <w:jc w:val="left"/>
        <w:rPr>
          <w:rFonts w:ascii="仿宋" w:hAnsi="仿宋" w:eastAsia="仿宋" w:cs="仿宋"/>
          <w:b/>
          <w:kern w:val="0"/>
          <w:sz w:val="24"/>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杭州市公安局交通警察支队2022年杭州交警业务系统使用服务（2022年杭州公安交警机动车违法鸣笛抓拍系统使用项目）</w:t>
      </w:r>
      <w:r>
        <w:rPr>
          <w:rFonts w:hint="eastAsia" w:ascii="仿宋" w:hAnsi="仿宋" w:eastAsia="仿宋" w:cs="仿宋_GB2312"/>
          <w:kern w:val="0"/>
          <w:sz w:val="24"/>
          <w:lang w:val="zh-CN"/>
        </w:rPr>
        <w:t>【招标文件编号：</w:t>
      </w:r>
      <w:r>
        <w:rPr>
          <w:rFonts w:hint="eastAsia" w:ascii="仿宋" w:hAnsi="仿宋" w:eastAsia="仿宋" w:cs="仿宋_GB2312"/>
          <w:sz w:val="24"/>
        </w:rPr>
        <w:t>HZSGAJ-2022-33（代)】的实施</w:t>
      </w:r>
      <w:r>
        <w:rPr>
          <w:rFonts w:hint="eastAsia" w:ascii="仿宋" w:hAnsi="仿宋" w:eastAsia="仿宋" w:cs="仿宋_GB2312"/>
          <w:kern w:val="0"/>
          <w:sz w:val="24"/>
          <w:lang w:val="zh-CN"/>
        </w:rPr>
        <w:t>。</w:t>
      </w:r>
    </w:p>
    <w:p>
      <w:pPr>
        <w:spacing w:line="360" w:lineRule="auto"/>
        <w:ind w:firstLine="3188" w:firstLineChars="1323"/>
        <w:jc w:val="left"/>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  (单位均为人民币元)</w:t>
      </w:r>
    </w:p>
    <w:tbl>
      <w:tblPr>
        <w:tblStyle w:val="76"/>
        <w:tblW w:w="10203" w:type="dxa"/>
        <w:jc w:val="center"/>
        <w:tblLayout w:type="fixed"/>
        <w:tblCellMar>
          <w:top w:w="0" w:type="dxa"/>
          <w:left w:w="108" w:type="dxa"/>
          <w:bottom w:w="0" w:type="dxa"/>
          <w:right w:w="108" w:type="dxa"/>
        </w:tblCellMar>
      </w:tblPr>
      <w:tblGrid>
        <w:gridCol w:w="993"/>
        <w:gridCol w:w="2196"/>
        <w:gridCol w:w="1134"/>
        <w:gridCol w:w="1063"/>
        <w:gridCol w:w="1064"/>
        <w:gridCol w:w="1560"/>
        <w:gridCol w:w="1193"/>
        <w:gridCol w:w="1000"/>
      </w:tblGrid>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序号</w:t>
            </w:r>
          </w:p>
        </w:tc>
        <w:tc>
          <w:tcPr>
            <w:tcW w:w="2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单位</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ascii="仿宋" w:hAnsi="仿宋" w:eastAsia="仿宋" w:cs="宋体"/>
                <w:snapToGrid w:val="0"/>
                <w:sz w:val="24"/>
              </w:rPr>
              <w:t>设备数量</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天数</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单价（元/天）</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合价   （元）</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备注</w:t>
            </w:r>
          </w:p>
        </w:tc>
      </w:tr>
      <w:tr>
        <w:tblPrEx>
          <w:tblCellMar>
            <w:top w:w="0" w:type="dxa"/>
            <w:left w:w="108" w:type="dxa"/>
            <w:bottom w:w="0" w:type="dxa"/>
            <w:right w:w="108" w:type="dxa"/>
          </w:tblCellMar>
        </w:tblPrEx>
        <w:trPr>
          <w:trHeight w:val="107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1</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_GB2312"/>
                <w:sz w:val="24"/>
              </w:rPr>
            </w:pPr>
            <w:r>
              <w:rPr>
                <w:rFonts w:hint="eastAsia" w:ascii="仿宋" w:hAnsi="仿宋" w:eastAsia="仿宋" w:cs="仿宋"/>
                <w:sz w:val="24"/>
              </w:rPr>
              <w:t>声音定位探头（声呐）</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套</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cs="宋体"/>
                <w:snapToGrid w:val="0"/>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r>
      <w:tr>
        <w:tblPrEx>
          <w:tblCellMar>
            <w:top w:w="0" w:type="dxa"/>
            <w:left w:w="108" w:type="dxa"/>
            <w:bottom w:w="0" w:type="dxa"/>
            <w:right w:w="108" w:type="dxa"/>
          </w:tblCellMar>
        </w:tblPrEx>
        <w:trPr>
          <w:trHeight w:val="838"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2</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sz w:val="24"/>
              </w:rPr>
            </w:pPr>
            <w:r>
              <w:rPr>
                <w:rFonts w:hint="eastAsia" w:ascii="仿宋" w:hAnsi="仿宋" w:eastAsia="仿宋" w:cs="仿宋"/>
                <w:sz w:val="24"/>
              </w:rPr>
              <w:t>摄像机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套</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cs="宋体"/>
                <w:snapToGrid w:val="0"/>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3</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sz w:val="24"/>
              </w:rPr>
            </w:pPr>
            <w:r>
              <w:rPr>
                <w:rFonts w:hint="eastAsia" w:ascii="仿宋" w:hAnsi="仿宋" w:eastAsia="仿宋" w:cs="仿宋"/>
                <w:sz w:val="24"/>
              </w:rPr>
              <w:t>LED显示屏</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个</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309" w:hRule="atLeast"/>
          <w:jc w:val="center"/>
        </w:trPr>
        <w:tc>
          <w:tcPr>
            <w:tcW w:w="9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宋体"/>
                <w:snapToGrid w:val="0"/>
                <w:sz w:val="24"/>
              </w:rPr>
            </w:pPr>
            <w:r>
              <w:rPr>
                <w:rFonts w:hint="eastAsia" w:ascii="仿宋" w:hAnsi="仿宋" w:eastAsia="仿宋" w:cs="宋体"/>
                <w:snapToGrid w:val="0"/>
                <w:sz w:val="24"/>
              </w:rPr>
              <w:t>4</w:t>
            </w:r>
          </w:p>
        </w:tc>
        <w:tc>
          <w:tcPr>
            <w:tcW w:w="21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主控机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台</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sz w:val="24"/>
              </w:rPr>
            </w:pPr>
            <w:r>
              <w:rPr>
                <w:rFonts w:hint="eastAsia" w:ascii="仿宋" w:hAnsi="仿宋" w:eastAsia="仿宋" w:cs="宋体"/>
                <w:snapToGrid w:val="0"/>
                <w:sz w:val="24"/>
              </w:rPr>
              <w:t>365</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right"/>
              <w:rPr>
                <w:sz w:val="24"/>
              </w:rPr>
            </w:pPr>
          </w:p>
        </w:tc>
        <w:tc>
          <w:tcPr>
            <w:tcW w:w="1193"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napToGrid w:val="0"/>
                <w:sz w:val="24"/>
              </w:rPr>
            </w:pPr>
          </w:p>
        </w:tc>
        <w:tc>
          <w:tcPr>
            <w:tcW w:w="10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108" w:type="dxa"/>
            <w:bottom w:w="0" w:type="dxa"/>
            <w:right w:w="108" w:type="dxa"/>
          </w:tblCellMar>
        </w:tblPrEx>
        <w:trPr>
          <w:trHeight w:val="752" w:hRule="atLeast"/>
          <w:jc w:val="center"/>
        </w:trPr>
        <w:tc>
          <w:tcPr>
            <w:tcW w:w="10203" w:type="dxa"/>
            <w:gridSpan w:val="8"/>
            <w:tcBorders>
              <w:top w:val="single" w:color="000000" w:sz="4" w:space="0"/>
              <w:left w:val="single" w:color="000000" w:sz="4" w:space="0"/>
              <w:bottom w:val="single" w:color="000000" w:sz="4" w:space="0"/>
              <w:right w:val="single" w:color="000000" w:sz="4" w:space="0"/>
            </w:tcBorders>
          </w:tcPr>
          <w:p>
            <w:pPr>
              <w:rPr>
                <w:rFonts w:ascii="仿宋" w:hAnsi="仿宋" w:eastAsia="仿宋" w:cs="宋体"/>
                <w:snapToGrid w:val="0"/>
                <w:sz w:val="24"/>
              </w:rPr>
            </w:pPr>
            <w:r>
              <w:rPr>
                <w:rFonts w:hint="eastAsia" w:ascii="仿宋" w:hAnsi="仿宋" w:eastAsia="仿宋" w:cs="宋体"/>
                <w:snapToGrid w:val="0"/>
                <w:sz w:val="24"/>
              </w:rPr>
              <w:t>服务期：2021年12月1日至2022年11月30日</w:t>
            </w:r>
          </w:p>
          <w:p>
            <w:pPr>
              <w:rPr>
                <w:rFonts w:ascii="仿宋" w:hAnsi="仿宋" w:eastAsia="仿宋" w:cs="宋体"/>
                <w:snapToGrid w:val="0"/>
                <w:sz w:val="24"/>
              </w:rPr>
            </w:pPr>
            <w:r>
              <w:rPr>
                <w:rFonts w:hint="eastAsia" w:ascii="仿宋" w:hAnsi="仿宋" w:eastAsia="仿宋" w:cs="宋体"/>
                <w:snapToGrid w:val="0"/>
                <w:sz w:val="24"/>
              </w:rPr>
              <w:t>投标报价（小写）人民币     元</w:t>
            </w:r>
          </w:p>
          <w:p>
            <w:pPr>
              <w:rPr>
                <w:rFonts w:ascii="仿宋" w:hAnsi="仿宋" w:eastAsia="仿宋" w:cs="宋体"/>
                <w:snapToGrid w:val="0"/>
                <w:sz w:val="24"/>
              </w:rPr>
            </w:pPr>
            <w:r>
              <w:rPr>
                <w:rFonts w:hint="eastAsia" w:ascii="仿宋" w:hAnsi="仿宋" w:eastAsia="仿宋" w:cs="宋体"/>
                <w:snapToGrid w:val="0"/>
                <w:sz w:val="24"/>
              </w:rPr>
              <w:t>投标报价（大写）人民币     元</w:t>
            </w:r>
          </w:p>
        </w:tc>
      </w:tr>
    </w:tbl>
    <w:p>
      <w:pPr>
        <w:snapToGrid w:val="0"/>
        <w:spacing w:line="360" w:lineRule="auto"/>
        <w:ind w:left="480"/>
        <w:rPr>
          <w:rFonts w:ascii="仿宋" w:hAnsi="仿宋" w:eastAsia="仿宋" w:cs="仿宋_GB2312"/>
          <w:b/>
          <w:kern w:val="0"/>
          <w:sz w:val="24"/>
          <w:shd w:val="clear" w:color="auto" w:fill="FFFFFF"/>
          <w:lang w:val="zh-CN"/>
        </w:rPr>
      </w:pPr>
      <w:r>
        <w:rPr>
          <w:rFonts w:hint="eastAsia" w:ascii="仿宋" w:hAnsi="仿宋" w:eastAsia="仿宋" w:cs="仿宋_GB2312"/>
          <w:b/>
          <w:kern w:val="0"/>
          <w:sz w:val="24"/>
          <w:shd w:val="clear" w:color="auto" w:fill="FFFFFF"/>
          <w:lang w:val="zh-CN"/>
        </w:rPr>
        <w:t>注：</w:t>
      </w:r>
    </w:p>
    <w:p>
      <w:pPr>
        <w:spacing w:line="360" w:lineRule="auto"/>
        <w:ind w:left="-2" w:leftChars="-1" w:firstLine="480" w:firstLineChars="200"/>
        <w:rPr>
          <w:rFonts w:ascii="仿宋" w:hAnsi="仿宋" w:eastAsia="仿宋" w:cs="仿宋_GB2312"/>
          <w:kern w:val="0"/>
          <w:sz w:val="24"/>
          <w:shd w:val="clear" w:color="auto" w:fill="FFFFFF"/>
          <w:lang w:val="zh-CN"/>
        </w:rPr>
      </w:pPr>
      <w:r>
        <w:rPr>
          <w:rFonts w:ascii="仿宋" w:hAnsi="仿宋" w:eastAsia="仿宋" w:cs="仿宋_GB2312"/>
          <w:kern w:val="0"/>
          <w:sz w:val="24"/>
          <w:shd w:val="clear" w:color="auto" w:fill="FFFFFF"/>
          <w:lang w:val="zh-CN"/>
        </w:rPr>
        <w:t>1、投标人需按本表格式填写，不得自行更改。</w:t>
      </w:r>
    </w:p>
    <w:p>
      <w:pPr>
        <w:spacing w:line="360" w:lineRule="auto"/>
        <w:ind w:firstLine="480" w:firstLineChars="200"/>
        <w:rPr>
          <w:rFonts w:ascii="仿宋" w:hAnsi="仿宋" w:eastAsia="仿宋" w:cs="仿宋_GB2312"/>
          <w:b/>
          <w:kern w:val="0"/>
          <w:sz w:val="24"/>
          <w:shd w:val="clear" w:color="auto" w:fill="FFFFFF"/>
          <w:lang w:val="zh-CN"/>
        </w:rPr>
      </w:pPr>
      <w:r>
        <w:rPr>
          <w:rFonts w:ascii="仿宋" w:hAnsi="仿宋" w:eastAsia="仿宋" w:cs="仿宋_GB2312"/>
          <w:kern w:val="0"/>
          <w:sz w:val="24"/>
          <w:shd w:val="clear" w:color="auto" w:fill="FFFFFF"/>
          <w:lang w:val="zh-CN"/>
        </w:rPr>
        <w:t>2、有关本项目实施所涉及的一切费用均计入报价。</w:t>
      </w:r>
      <w:r>
        <w:rPr>
          <w:rFonts w:hint="eastAsia" w:ascii="仿宋" w:hAnsi="仿宋" w:eastAsia="仿宋" w:cs="仿宋_GB2312"/>
          <w:b/>
          <w:kern w:val="0"/>
          <w:sz w:val="24"/>
          <w:shd w:val="clear" w:color="auto" w:fill="FFFFFF"/>
          <w:lang w:val="zh-CN"/>
        </w:rPr>
        <w:t>采购人将以合同形式有偿取得货物</w:t>
      </w:r>
    </w:p>
    <w:p>
      <w:pPr>
        <w:spacing w:line="360" w:lineRule="auto"/>
        <w:ind w:firstLine="482" w:firstLineChars="200"/>
        <w:rPr>
          <w:rFonts w:ascii="宋体" w:hAnsi="宋体" w:cs="宋体"/>
          <w:kern w:val="0"/>
          <w:sz w:val="24"/>
        </w:rPr>
      </w:pPr>
      <w:r>
        <w:rPr>
          <w:rFonts w:hint="eastAsia" w:ascii="仿宋" w:hAnsi="仿宋" w:eastAsia="仿宋" w:cs="仿宋_GB2312"/>
          <w:b/>
          <w:kern w:val="0"/>
          <w:sz w:val="24"/>
          <w:shd w:val="clear" w:color="auto" w:fill="FFFFFF"/>
          <w:lang w:val="zh-CN"/>
        </w:rPr>
        <w:t>或服务，不接受投标人给予的赠品、回扣或者与采购无关的其他商品、服务</w:t>
      </w:r>
      <w:r>
        <w:rPr>
          <w:rFonts w:hint="eastAsia" w:ascii="仿宋" w:hAnsi="仿宋" w:eastAsia="仿宋" w:cs="仿宋_GB2312"/>
          <w:kern w:val="0"/>
          <w:sz w:val="24"/>
          <w:shd w:val="clear" w:color="auto" w:fill="FFFFFF"/>
          <w:lang w:val="zh-CN"/>
        </w:rPr>
        <w:t>，</w:t>
      </w:r>
      <w:r>
        <w:rPr>
          <w:rFonts w:hint="eastAsia" w:ascii="仿宋" w:hAnsi="仿宋" w:eastAsia="仿宋" w:cs="仿宋_GB2312"/>
          <w:b/>
          <w:kern w:val="0"/>
          <w:sz w:val="24"/>
          <w:shd w:val="clear" w:color="auto" w:fill="FFFFFF"/>
          <w:lang w:val="zh-CN"/>
        </w:rPr>
        <w:t>不得出现“</w:t>
      </w:r>
      <w:r>
        <w:rPr>
          <w:rFonts w:ascii="仿宋" w:hAnsi="仿宋" w:eastAsia="仿宋" w:cs="仿宋_GB2312"/>
          <w:b/>
          <w:kern w:val="0"/>
          <w:sz w:val="24"/>
          <w:shd w:val="clear" w:color="auto" w:fill="FFFFFF"/>
          <w:lang w:val="zh-CN"/>
        </w:rPr>
        <w:t>0元”“免费赠送”等形式的无偿报价</w:t>
      </w:r>
      <w:r>
        <w:rPr>
          <w:rFonts w:hint="eastAsia" w:ascii="仿宋" w:hAnsi="仿宋" w:eastAsia="仿宋" w:cs="仿宋_GB2312"/>
          <w:b/>
          <w:kern w:val="0"/>
          <w:sz w:val="24"/>
          <w:shd w:val="clear" w:color="auto" w:fill="FFFFFF"/>
          <w:lang w:val="zh-CN"/>
        </w:rPr>
        <w:t>，</w:t>
      </w:r>
      <w:r>
        <w:rPr>
          <w:rFonts w:hint="eastAsia" w:ascii="仿宋" w:hAnsi="仿宋" w:eastAsia="仿宋" w:cs="仿宋_GB2312"/>
          <w:b/>
          <w:kern w:val="0"/>
          <w:sz w:val="24"/>
          <w:shd w:val="clear" w:color="auto" w:fill="FFFFFF"/>
        </w:rPr>
        <w:t>否则视为</w:t>
      </w:r>
      <w:r>
        <w:rPr>
          <w:rFonts w:hint="eastAsia" w:ascii="仿宋" w:hAnsi="仿宋" w:eastAsia="仿宋"/>
          <w:b/>
          <w:sz w:val="24"/>
          <w:shd w:val="clear" w:color="auto" w:fill="FFFFFF"/>
        </w:rPr>
        <w:t>投标文件含有采购人不能接受的附加条件的，投标无效</w:t>
      </w:r>
      <w:r>
        <w:rPr>
          <w:rFonts w:hint="eastAsia" w:ascii="仿宋" w:hAnsi="仿宋" w:eastAsia="仿宋" w:cs="仿宋_GB2312"/>
          <w:b/>
          <w:kern w:val="0"/>
          <w:sz w:val="24"/>
          <w:shd w:val="clear" w:color="auto" w:fill="FFFFFF"/>
          <w:lang w:val="zh-CN"/>
        </w:rPr>
        <w:t>。采购内容未包含在《开标一览表（报价表）》名称栏中，投标人不能作出合理解释的，视为投标文件含有采购人不能接受的附加条件的，投标无效。</w:t>
      </w:r>
    </w:p>
    <w:p>
      <w:pPr>
        <w:numPr>
          <w:ilvl w:val="0"/>
          <w:numId w:val="4"/>
        </w:numPr>
        <w:snapToGrid w:val="0"/>
        <w:spacing w:line="360" w:lineRule="auto"/>
        <w:ind w:firstLine="480" w:firstLineChars="200"/>
        <w:jc w:val="left"/>
        <w:rPr>
          <w:rFonts w:ascii="仿宋" w:hAnsi="仿宋" w:eastAsia="仿宋" w:cs="仿宋_GB2312"/>
          <w:kern w:val="0"/>
          <w:sz w:val="24"/>
          <w:shd w:val="clear" w:color="auto" w:fill="FFFFFF"/>
          <w:lang w:val="zh-CN"/>
        </w:rPr>
      </w:pPr>
      <w:r>
        <w:rPr>
          <w:rFonts w:hint="eastAsia" w:ascii="仿宋" w:hAnsi="仿宋" w:eastAsia="仿宋" w:cs="仿宋_GB2312"/>
          <w:kern w:val="0"/>
          <w:sz w:val="24"/>
          <w:shd w:val="clear" w:color="auto" w:fill="FFFFFF"/>
          <w:lang w:val="zh-CN"/>
        </w:rPr>
        <w:t>特别提示：采购机构将对项目名称和项目编号，中标供应商名称、地址和中标金额，主要中标标的的名称、规格型号、数量、单价、服务要求等予以公示。</w:t>
      </w:r>
    </w:p>
    <w:p>
      <w:pPr>
        <w:numPr>
          <w:ilvl w:val="0"/>
          <w:numId w:val="4"/>
        </w:numPr>
        <w:snapToGrid w:val="0"/>
        <w:spacing w:line="360" w:lineRule="auto"/>
        <w:ind w:firstLine="480" w:firstLineChars="200"/>
        <w:jc w:val="left"/>
        <w:rPr>
          <w:rFonts w:ascii="仿宋" w:hAnsi="仿宋" w:eastAsia="仿宋" w:cs="仿宋_GB2312"/>
          <w:kern w:val="0"/>
          <w:sz w:val="24"/>
          <w:shd w:val="clear" w:color="auto" w:fill="FFFFFF"/>
          <w:lang w:val="zh-CN"/>
        </w:rPr>
      </w:pPr>
      <w:r>
        <w:rPr>
          <w:rFonts w:hint="eastAsia" w:ascii="仿宋" w:hAnsi="仿宋" w:eastAsia="仿宋" w:cs="仿宋_GB2312"/>
          <w:kern w:val="0"/>
          <w:sz w:val="24"/>
          <w:shd w:val="clear" w:color="auto" w:fill="FFFFFF"/>
          <w:lang w:val="zh-CN"/>
        </w:rPr>
        <w:t>投标报价包含</w:t>
      </w:r>
      <w:r>
        <w:rPr>
          <w:rFonts w:hint="eastAsia" w:ascii="仿宋" w:hAnsi="仿宋" w:eastAsia="仿宋"/>
          <w:sz w:val="24"/>
        </w:rPr>
        <w:t>为完成本项目各项服务可能发生的全部费用及供应商的利润和应交纳的税金、项目不可预见的风险等一切费用（</w:t>
      </w:r>
      <w:r>
        <w:rPr>
          <w:rFonts w:hint="eastAsia" w:ascii="仿宋" w:hAnsi="仿宋" w:eastAsia="仿宋" w:cs="仿宋"/>
          <w:sz w:val="24"/>
        </w:rPr>
        <w:t>包括</w:t>
      </w:r>
      <w:r>
        <w:rPr>
          <w:rFonts w:hint="eastAsia" w:ascii="仿宋" w:hAnsi="仿宋" w:eastAsia="仿宋" w:cs="宋体"/>
          <w:sz w:val="24"/>
        </w:rPr>
        <w:t>本项目设备使用费、安装调试、运行维护、技术支持和税金等</w:t>
      </w:r>
      <w:r>
        <w:rPr>
          <w:rFonts w:hint="eastAsia" w:ascii="仿宋" w:hAnsi="仿宋" w:eastAsia="仿宋"/>
          <w:sz w:val="24"/>
        </w:rPr>
        <w:t>）</w:t>
      </w:r>
      <w:r>
        <w:rPr>
          <w:rFonts w:hint="eastAsia" w:ascii="仿宋" w:hAnsi="仿宋" w:eastAsia="仿宋" w:cs="仿宋_GB2312"/>
          <w:kern w:val="0"/>
          <w:sz w:val="24"/>
          <w:shd w:val="clear" w:color="auto" w:fill="FFFFFF"/>
          <w:lang w:val="zh-CN"/>
        </w:rPr>
        <w:t>。《开标一览表》是报价的唯一载体。投标人在投标报价中应充分考虑所有可能发生的费用，否则采购人将视投标报价中已包括所有费用。投标文件中价格全部采用人民币报价。报价应是唯一的，不接受有选择的报价。提醒：验收时检测费用由采购人承担，不包含在投标总价中。</w:t>
      </w:r>
    </w:p>
    <w:p>
      <w:pPr>
        <w:pStyle w:val="118"/>
        <w:rPr>
          <w:rFonts w:ascii="仿宋" w:hAnsi="仿宋" w:eastAsia="仿宋"/>
        </w:rPr>
      </w:pPr>
    </w:p>
    <w:bookmarkEnd w:id="19"/>
    <w:bookmarkEnd w:id="20"/>
    <w:bookmarkEnd w:id="21"/>
    <w:bookmarkEnd w:id="22"/>
    <w:bookmarkEnd w:id="315"/>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tabs>
          <w:tab w:val="left" w:pos="1110"/>
        </w:tabs>
        <w:ind w:left="0" w:firstLine="960" w:firstLineChars="400"/>
        <w:rPr>
          <w:rFonts w:ascii="仿宋" w:hAnsi="仿宋" w:eastAsia="仿宋"/>
          <w:b w:val="0"/>
          <w:bCs w:val="0"/>
          <w:sz w:val="24"/>
          <w:szCs w:val="24"/>
        </w:rPr>
      </w:pPr>
      <w:r>
        <w:rPr>
          <w:rFonts w:hint="eastAsia" w:ascii="仿宋" w:hAnsi="仿宋" w:eastAsia="仿宋"/>
          <w:b w:val="0"/>
          <w:bCs w:val="0"/>
          <w:sz w:val="24"/>
          <w:szCs w:val="24"/>
        </w:rPr>
        <w:t>（三）杭州e融平台申请融资</w:t>
      </w:r>
    </w:p>
    <w:p>
      <w:pPr>
        <w:pStyle w:val="4"/>
        <w:tabs>
          <w:tab w:val="left" w:pos="1110"/>
        </w:tabs>
        <w:ind w:left="0" w:firstLine="960" w:firstLineChars="400"/>
        <w:rPr>
          <w:rFonts w:ascii="仿宋" w:hAnsi="仿宋" w:eastAsia="仿宋"/>
          <w:b w:val="0"/>
          <w:bCs w:val="0"/>
          <w:sz w:val="24"/>
          <w:szCs w:val="24"/>
        </w:rPr>
      </w:pPr>
      <w:r>
        <w:rPr>
          <w:rFonts w:hint="eastAsia" w:ascii="仿宋" w:hAnsi="仿宋" w:eastAsia="仿宋"/>
          <w:b w:val="0"/>
          <w:bCs w:val="0"/>
          <w:sz w:val="24"/>
          <w:szCs w:val="24"/>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spacing w:line="360" w:lineRule="auto"/>
        <w:ind w:left="5060" w:hanging="5060" w:hangingChars="2100"/>
        <w:rPr>
          <w:rFonts w:ascii="仿宋" w:hAnsi="仿宋" w:eastAsia="仿宋" w:cs="仿宋_GB2312"/>
          <w:b/>
          <w:bCs/>
          <w:kern w:val="0"/>
          <w:sz w:val="24"/>
        </w:rPr>
      </w:pPr>
    </w:p>
    <w:p>
      <w:pPr>
        <w:rPr>
          <w:rFonts w:ascii="仿宋" w:hAnsi="仿宋" w:eastAsia="仿宋"/>
        </w:rPr>
      </w:pPr>
    </w:p>
    <w:p>
      <w:pPr>
        <w:pStyle w:val="3"/>
        <w:keepNext w:val="0"/>
        <w:pageBreakBefore/>
        <w:spacing w:before="100" w:beforeAutospacing="1" w:after="100" w:afterAutospacing="1"/>
        <w:jc w:val="both"/>
        <w:rPr>
          <w:rFonts w:ascii="仿宋" w:hAnsi="仿宋" w:eastAsia="仿宋"/>
          <w:sz w:val="24"/>
          <w:szCs w:val="24"/>
        </w:rPr>
      </w:pPr>
      <w:bookmarkStart w:id="326" w:name="_Toc465665161"/>
      <w:r>
        <w:rPr>
          <w:rFonts w:hint="eastAsia" w:ascii="仿宋" w:hAnsi="仿宋" w:eastAsia="仿宋"/>
          <w:sz w:val="24"/>
          <w:szCs w:val="24"/>
        </w:rPr>
        <w:t>附件</w:t>
      </w:r>
      <w:bookmarkEnd w:id="326"/>
    </w:p>
    <w:p>
      <w:pPr>
        <w:autoSpaceDE w:val="0"/>
        <w:autoSpaceDN w:val="0"/>
        <w:spacing w:line="360" w:lineRule="auto"/>
        <w:jc w:val="left"/>
        <w:rPr>
          <w:rFonts w:ascii="仿宋" w:hAnsi="仿宋" w:eastAsia="仿宋" w:cs="宋体"/>
          <w:b/>
          <w:spacing w:val="6"/>
          <w:sz w:val="24"/>
        </w:rPr>
      </w:pPr>
      <w:r>
        <w:rPr>
          <w:rFonts w:hint="eastAsia" w:ascii="仿宋" w:hAnsi="仿宋" w:eastAsia="仿宋" w:cs="宋体"/>
          <w:b/>
          <w:spacing w:val="6"/>
          <w:sz w:val="24"/>
        </w:rPr>
        <w:t>附件1：</w:t>
      </w:r>
    </w:p>
    <w:p>
      <w:pPr>
        <w:spacing w:line="360" w:lineRule="auto"/>
        <w:jc w:val="center"/>
        <w:rPr>
          <w:rFonts w:ascii="仿宋" w:hAnsi="仿宋" w:eastAsia="仿宋"/>
          <w:b/>
          <w:spacing w:val="6"/>
          <w:sz w:val="24"/>
        </w:rPr>
      </w:pPr>
      <w:bookmarkStart w:id="327" w:name="OLE_LINK14"/>
      <w:bookmarkStart w:id="328" w:name="OLE_LINK13"/>
      <w:r>
        <w:rPr>
          <w:rFonts w:hint="eastAsia" w:ascii="仿宋" w:hAnsi="仿宋" w:eastAsia="仿宋"/>
          <w:b/>
          <w:spacing w:val="6"/>
          <w:sz w:val="24"/>
        </w:rPr>
        <w:t>残疾人福利性单位声明函</w:t>
      </w:r>
    </w:p>
    <w:bookmarkEnd w:id="327"/>
    <w:bookmarkEnd w:id="328"/>
    <w:p>
      <w:pPr>
        <w:spacing w:line="360" w:lineRule="auto"/>
        <w:rPr>
          <w:rFonts w:ascii="仿宋" w:hAnsi="仿宋" w:eastAsia="仿宋"/>
          <w:b/>
          <w:spacing w:val="6"/>
          <w:sz w:val="24"/>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ind w:firstLine="480" w:firstLineChars="200"/>
        <w:rPr>
          <w:rFonts w:ascii="仿宋" w:hAnsi="仿宋" w:eastAsia="仿宋" w:cs="仿宋_GB2312"/>
          <w:sz w:val="24"/>
        </w:rPr>
      </w:pPr>
    </w:p>
    <w:p>
      <w:pPr>
        <w:spacing w:line="360" w:lineRule="auto"/>
        <w:ind w:firstLine="480" w:firstLineChars="200"/>
        <w:rPr>
          <w:rFonts w:ascii="仿宋" w:hAnsi="仿宋" w:eastAsia="仿宋" w:cs="仿宋_GB2312"/>
          <w:sz w:val="24"/>
        </w:rPr>
      </w:pP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kern w:val="0"/>
          <w:sz w:val="24"/>
          <w:lang w:val="zh-CN"/>
        </w:rPr>
        <w:t>投标人名称（电子签名）</w:t>
      </w:r>
      <w:r>
        <w:rPr>
          <w:rFonts w:hint="eastAsia" w:ascii="仿宋" w:hAnsi="仿宋" w:eastAsia="仿宋" w:cs="仿宋_GB2312"/>
          <w:sz w:val="24"/>
        </w:rPr>
        <w:t>：</w:t>
      </w:r>
    </w:p>
    <w:p>
      <w:pPr>
        <w:tabs>
          <w:tab w:val="left" w:pos="4860"/>
        </w:tabs>
        <w:spacing w:line="360" w:lineRule="auto"/>
        <w:ind w:right="1560" w:firstLine="480" w:firstLineChars="200"/>
        <w:jc w:val="center"/>
        <w:rPr>
          <w:rFonts w:ascii="仿宋" w:hAnsi="仿宋" w:eastAsia="仿宋" w:cs="仿宋_GB2312"/>
          <w:sz w:val="24"/>
        </w:rPr>
      </w:pPr>
      <w:r>
        <w:rPr>
          <w:rFonts w:hint="eastAsia" w:ascii="仿宋" w:hAnsi="仿宋" w:eastAsia="仿宋" w:cs="仿宋_GB2312"/>
          <w:sz w:val="24"/>
        </w:rPr>
        <w:t xml:space="preserve">       日  期：</w:t>
      </w:r>
    </w:p>
    <w:p>
      <w:pPr>
        <w:spacing w:line="360" w:lineRule="auto"/>
        <w:ind w:firstLine="480" w:firstLineChars="200"/>
        <w:rPr>
          <w:rFonts w:ascii="仿宋" w:hAnsi="仿宋" w:eastAsia="仿宋" w:cs="仿宋_GB2312"/>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480" w:firstLineChars="200"/>
        <w:rPr>
          <w:rFonts w:ascii="仿宋" w:hAnsi="仿宋" w:eastAsia="仿宋"/>
          <w:sz w:val="24"/>
        </w:rPr>
      </w:pPr>
    </w:p>
    <w:p>
      <w:pPr>
        <w:spacing w:line="360" w:lineRule="auto"/>
        <w:rPr>
          <w:rFonts w:ascii="仿宋" w:hAnsi="仿宋" w:eastAsia="仿宋" w:cs="仿宋_GB2312"/>
          <w:b/>
          <w:sz w:val="24"/>
        </w:rPr>
      </w:pPr>
    </w:p>
    <w:p>
      <w:pPr>
        <w:spacing w:line="360" w:lineRule="auto"/>
        <w:rPr>
          <w:rFonts w:ascii="仿宋" w:hAnsi="仿宋" w:eastAsia="仿宋" w:cs="仿宋_GB2312"/>
          <w:b/>
          <w:sz w:val="24"/>
        </w:rPr>
      </w:pPr>
    </w:p>
    <w:p>
      <w:pPr>
        <w:autoSpaceDE w:val="0"/>
        <w:autoSpaceDN w:val="0"/>
        <w:spacing w:line="360" w:lineRule="auto"/>
        <w:jc w:val="left"/>
        <w:rPr>
          <w:rFonts w:ascii="仿宋" w:hAnsi="仿宋" w:eastAsia="仿宋" w:cs="宋体"/>
          <w:b/>
          <w:spacing w:val="6"/>
          <w:sz w:val="24"/>
        </w:rPr>
      </w:pPr>
      <w:r>
        <w:rPr>
          <w:rFonts w:hint="eastAsia" w:ascii="仿宋" w:hAnsi="仿宋" w:eastAsia="仿宋" w:cs="宋体"/>
          <w:b/>
          <w:spacing w:val="6"/>
          <w:sz w:val="24"/>
        </w:rPr>
        <w:t>附件2：质疑函范本及制作说明</w:t>
      </w:r>
    </w:p>
    <w:p>
      <w:pPr>
        <w:spacing w:line="360" w:lineRule="auto"/>
        <w:jc w:val="center"/>
        <w:rPr>
          <w:rFonts w:ascii="仿宋" w:hAnsi="仿宋" w:eastAsia="仿宋"/>
          <w:b/>
          <w:spacing w:val="6"/>
          <w:sz w:val="24"/>
        </w:rPr>
      </w:pPr>
      <w:r>
        <w:rPr>
          <w:rFonts w:hint="eastAsia" w:ascii="仿宋" w:hAnsi="仿宋" w:eastAsia="仿宋"/>
          <w:b/>
          <w:spacing w:val="6"/>
          <w:sz w:val="24"/>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质疑函制作说明：</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80" w:firstLineChars="200"/>
        <w:jc w:val="left"/>
        <w:rPr>
          <w:rFonts w:ascii="仿宋" w:hAnsi="仿宋" w:eastAsia="仿宋"/>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pStyle w:val="118"/>
        <w:rPr>
          <w:rFonts w:ascii="仿宋" w:hAnsi="仿宋" w:eastAsia="仿宋"/>
          <w:b/>
          <w:spacing w:val="6"/>
        </w:rPr>
      </w:pPr>
    </w:p>
    <w:p>
      <w:pPr>
        <w:pStyle w:val="118"/>
        <w:rPr>
          <w:rFonts w:ascii="仿宋" w:hAnsi="仿宋" w:eastAsia="仿宋"/>
          <w:b/>
          <w:spacing w:val="6"/>
        </w:rPr>
      </w:pPr>
    </w:p>
    <w:p>
      <w:pPr>
        <w:pStyle w:val="118"/>
        <w:rPr>
          <w:rFonts w:ascii="仿宋" w:hAnsi="仿宋" w:eastAsia="仿宋"/>
          <w:b/>
          <w:spacing w:val="6"/>
        </w:rPr>
      </w:pPr>
    </w:p>
    <w:p>
      <w:pPr>
        <w:pStyle w:val="118"/>
        <w:rPr>
          <w:rFonts w:ascii="仿宋" w:hAnsi="仿宋" w:eastAsia="仿宋"/>
          <w:b/>
          <w:spacing w:val="6"/>
        </w:rPr>
      </w:pPr>
    </w:p>
    <w:p>
      <w:pPr>
        <w:spacing w:line="360" w:lineRule="auto"/>
        <w:jc w:val="center"/>
        <w:rPr>
          <w:rFonts w:ascii="仿宋" w:hAnsi="仿宋" w:eastAsia="仿宋"/>
          <w:b/>
          <w:spacing w:val="6"/>
          <w:sz w:val="24"/>
        </w:rPr>
      </w:pPr>
    </w:p>
    <w:p>
      <w:pPr>
        <w:spacing w:line="360" w:lineRule="auto"/>
        <w:jc w:val="center"/>
        <w:rPr>
          <w:rFonts w:ascii="仿宋" w:hAnsi="仿宋" w:eastAsia="仿宋"/>
          <w:b/>
          <w:spacing w:val="6"/>
          <w:sz w:val="24"/>
        </w:rPr>
      </w:pPr>
    </w:p>
    <w:p>
      <w:pPr>
        <w:autoSpaceDE w:val="0"/>
        <w:autoSpaceDN w:val="0"/>
        <w:spacing w:line="360" w:lineRule="auto"/>
        <w:jc w:val="left"/>
        <w:rPr>
          <w:rFonts w:ascii="仿宋" w:hAnsi="仿宋" w:eastAsia="仿宋" w:cs="宋体"/>
          <w:b/>
          <w:spacing w:val="6"/>
          <w:sz w:val="24"/>
        </w:rPr>
      </w:pPr>
      <w:r>
        <w:rPr>
          <w:rFonts w:hint="eastAsia" w:ascii="仿宋" w:hAnsi="仿宋" w:eastAsia="仿宋" w:cs="宋体"/>
          <w:b/>
          <w:spacing w:val="6"/>
          <w:sz w:val="24"/>
        </w:rPr>
        <w:t>附件3：投诉书范本及制作说明</w:t>
      </w:r>
    </w:p>
    <w:p>
      <w:pPr>
        <w:spacing w:line="360" w:lineRule="auto"/>
        <w:jc w:val="center"/>
        <w:rPr>
          <w:rFonts w:ascii="仿宋" w:hAnsi="仿宋" w:eastAsia="仿宋"/>
          <w:b/>
          <w:sz w:val="24"/>
        </w:rPr>
      </w:pPr>
    </w:p>
    <w:p>
      <w:pPr>
        <w:spacing w:line="360" w:lineRule="auto"/>
        <w:jc w:val="center"/>
        <w:rPr>
          <w:rFonts w:ascii="仿宋" w:hAnsi="仿宋" w:eastAsia="仿宋"/>
          <w:b/>
          <w:spacing w:val="6"/>
          <w:sz w:val="24"/>
        </w:rPr>
      </w:pPr>
      <w:r>
        <w:rPr>
          <w:rFonts w:hint="eastAsia" w:ascii="仿宋" w:hAnsi="仿宋" w:eastAsia="仿宋"/>
          <w:b/>
          <w:spacing w:val="6"/>
          <w:sz w:val="24"/>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p>
    <w:p>
      <w:pPr>
        <w:spacing w:line="360" w:lineRule="auto"/>
        <w:rPr>
          <w:rFonts w:ascii="仿宋" w:hAnsi="仿宋" w:eastAsia="仿宋"/>
          <w:sz w:val="24"/>
          <w:u w:val="single"/>
        </w:rPr>
      </w:pPr>
      <w:r>
        <w:rPr>
          <w:rFonts w:hint="eastAsia" w:ascii="仿宋" w:hAnsi="仿宋" w:eastAsia="仿宋"/>
          <w:sz w:val="24"/>
        </w:rPr>
        <w:t>地     址：邮编：</w:t>
      </w:r>
    </w:p>
    <w:p>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p>
    <w:p>
      <w:pPr>
        <w:tabs>
          <w:tab w:val="left" w:pos="6510"/>
        </w:tabs>
        <w:spacing w:line="360" w:lineRule="auto"/>
        <w:rPr>
          <w:rFonts w:ascii="仿宋" w:hAnsi="仿宋" w:eastAsia="仿宋"/>
          <w:sz w:val="24"/>
          <w:u w:val="dotted"/>
        </w:rPr>
      </w:pPr>
      <w:r>
        <w:rPr>
          <w:rFonts w:hint="eastAsia" w:ascii="仿宋" w:hAnsi="仿宋" w:eastAsia="仿宋"/>
          <w:sz w:val="24"/>
        </w:rPr>
        <w:t>联系电话：</w:t>
      </w:r>
    </w:p>
    <w:p>
      <w:pPr>
        <w:spacing w:line="360" w:lineRule="auto"/>
        <w:rPr>
          <w:rFonts w:ascii="仿宋" w:hAnsi="仿宋" w:eastAsia="仿宋"/>
          <w:sz w:val="24"/>
          <w:u w:val="dotted"/>
        </w:rPr>
      </w:pPr>
      <w:r>
        <w:rPr>
          <w:rFonts w:hint="eastAsia" w:ascii="仿宋" w:hAnsi="仿宋" w:eastAsia="仿宋"/>
          <w:sz w:val="24"/>
        </w:rPr>
        <w:t>授权代表：联系电话</w:t>
      </w:r>
      <w:r>
        <w:rPr>
          <w:rFonts w:hint="eastAsia"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被投诉人1：</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被投诉人2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p>
    <w:p>
      <w:pPr>
        <w:spacing w:line="360" w:lineRule="auto"/>
        <w:rPr>
          <w:rFonts w:ascii="仿宋" w:hAnsi="仿宋" w:eastAsia="仿宋"/>
          <w:sz w:val="24"/>
          <w:u w:val="single"/>
        </w:rPr>
      </w:pPr>
      <w:r>
        <w:rPr>
          <w:rFonts w:hint="eastAsia" w:ascii="仿宋" w:hAnsi="仿宋" w:eastAsia="仿宋"/>
          <w:sz w:val="24"/>
        </w:rPr>
        <w:t>地     址：邮编：</w:t>
      </w:r>
    </w:p>
    <w:p>
      <w:pPr>
        <w:spacing w:line="360" w:lineRule="auto"/>
        <w:rPr>
          <w:rFonts w:ascii="仿宋" w:hAnsi="仿宋" w:eastAsia="仿宋"/>
          <w:sz w:val="24"/>
          <w:u w:val="single"/>
        </w:rPr>
      </w:pPr>
      <w:r>
        <w:rPr>
          <w:rFonts w:hint="eastAsia" w:ascii="仿宋" w:hAnsi="仿宋" w:eastAsia="仿宋"/>
          <w:sz w:val="24"/>
        </w:rPr>
        <w:t>联系人：联系电话：</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p>
    <w:p>
      <w:pPr>
        <w:spacing w:line="360" w:lineRule="auto"/>
        <w:rPr>
          <w:rFonts w:ascii="仿宋" w:hAnsi="仿宋" w:eastAsia="仿宋"/>
          <w:sz w:val="24"/>
          <w:u w:val="single"/>
        </w:rPr>
      </w:pPr>
      <w:r>
        <w:rPr>
          <w:rFonts w:hint="eastAsia" w:ascii="仿宋" w:hAnsi="仿宋" w:eastAsia="仿宋"/>
          <w:sz w:val="24"/>
        </w:rPr>
        <w:t>采购项目编号：包号：</w:t>
      </w:r>
    </w:p>
    <w:p>
      <w:pPr>
        <w:spacing w:line="360" w:lineRule="auto"/>
        <w:rPr>
          <w:rFonts w:ascii="仿宋" w:hAnsi="仿宋" w:eastAsia="仿宋"/>
          <w:sz w:val="24"/>
        </w:rPr>
      </w:pPr>
      <w:r>
        <w:rPr>
          <w:rFonts w:hint="eastAsia" w:ascii="仿宋" w:hAnsi="仿宋" w:eastAsia="仿宋"/>
          <w:sz w:val="24"/>
        </w:rPr>
        <w:t>采购人名称：</w:t>
      </w:r>
    </w:p>
    <w:p>
      <w:pPr>
        <w:spacing w:line="360" w:lineRule="auto"/>
        <w:rPr>
          <w:rFonts w:ascii="仿宋" w:hAnsi="仿宋" w:eastAsia="仿宋"/>
          <w:sz w:val="24"/>
          <w:u w:val="single"/>
        </w:rPr>
      </w:pPr>
      <w:r>
        <w:rPr>
          <w:rFonts w:hint="eastAsia" w:ascii="仿宋" w:hAnsi="仿宋" w:eastAsia="仿宋"/>
          <w:sz w:val="24"/>
        </w:rPr>
        <w:t>代理机构名称：</w:t>
      </w:r>
    </w:p>
    <w:p>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ind w:firstLine="480" w:firstLineChars="200"/>
        <w:rPr>
          <w:rFonts w:ascii="仿宋" w:hAnsi="仿宋" w:eastAsia="仿宋"/>
          <w:sz w:val="24"/>
          <w:u w:val="dotted"/>
        </w:rPr>
      </w:pPr>
      <w:r>
        <w:rPr>
          <w:rFonts w:hint="eastAsia" w:ascii="仿宋" w:hAnsi="仿宋" w:eastAsia="仿宋"/>
          <w:sz w:val="24"/>
        </w:rPr>
        <w:t>投诉人于年月日,向提出质疑，质疑事项为：</w:t>
      </w:r>
    </w:p>
    <w:p>
      <w:pPr>
        <w:spacing w:line="360" w:lineRule="auto"/>
        <w:rPr>
          <w:rFonts w:ascii="仿宋" w:hAnsi="仿宋" w:eastAsia="仿宋"/>
          <w:sz w:val="24"/>
          <w:u w:val="dotted"/>
        </w:rPr>
      </w:pPr>
    </w:p>
    <w:p>
      <w:pPr>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于年月日,就质疑事项作出了答复/没有在法定期限内作出答复。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 1：</w:t>
      </w:r>
    </w:p>
    <w:p>
      <w:pPr>
        <w:spacing w:line="360" w:lineRule="auto"/>
        <w:rPr>
          <w:rFonts w:ascii="仿宋" w:hAnsi="仿宋" w:eastAsia="仿宋"/>
          <w:sz w:val="24"/>
        </w:rPr>
      </w:pPr>
      <w:r>
        <w:rPr>
          <w:rFonts w:hint="eastAsia" w:ascii="仿宋" w:hAnsi="仿宋" w:eastAsia="仿宋"/>
          <w:sz w:val="24"/>
        </w:rPr>
        <w:t>事实依据：</w:t>
      </w:r>
    </w:p>
    <w:p>
      <w:pPr>
        <w:spacing w:line="360" w:lineRule="auto"/>
        <w:rPr>
          <w:rFonts w:ascii="仿宋" w:hAnsi="仿宋" w:eastAsia="仿宋"/>
          <w:sz w:val="24"/>
          <w:u w:val="dotted"/>
        </w:rPr>
      </w:pPr>
    </w:p>
    <w:p>
      <w:pPr>
        <w:spacing w:line="360" w:lineRule="auto"/>
        <w:rPr>
          <w:rFonts w:ascii="仿宋" w:hAnsi="仿宋" w:eastAsia="仿宋"/>
          <w:sz w:val="24"/>
          <w:u w:val="single"/>
        </w:rPr>
      </w:pPr>
      <w:r>
        <w:rPr>
          <w:rFonts w:hint="eastAsia" w:ascii="仿宋" w:hAnsi="仿宋" w:eastAsia="仿宋"/>
          <w:sz w:val="24"/>
        </w:rPr>
        <w:t>法律依据：</w:t>
      </w:r>
    </w:p>
    <w:p>
      <w:pPr>
        <w:spacing w:line="360" w:lineRule="auto"/>
        <w:rPr>
          <w:rFonts w:ascii="仿宋" w:hAnsi="仿宋" w:eastAsia="仿宋"/>
          <w:sz w:val="24"/>
          <w:u w:val="dotted"/>
        </w:rPr>
      </w:pPr>
    </w:p>
    <w:p>
      <w:pPr>
        <w:spacing w:line="360" w:lineRule="auto"/>
        <w:rPr>
          <w:rFonts w:ascii="仿宋" w:hAnsi="仿宋" w:eastAsia="仿宋"/>
          <w:sz w:val="24"/>
        </w:rPr>
      </w:pPr>
      <w:r>
        <w:rPr>
          <w:rFonts w:hint="eastAsia" w:ascii="仿宋" w:hAnsi="仿宋" w:eastAsia="仿宋"/>
          <w:sz w:val="24"/>
        </w:rPr>
        <w:t>投诉事项2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p>
    <w:p>
      <w:pPr>
        <w:spacing w:line="360" w:lineRule="auto"/>
        <w:rPr>
          <w:rFonts w:ascii="仿宋" w:hAnsi="仿宋" w:eastAsia="仿宋"/>
          <w:sz w:val="24"/>
          <w:u w:val="single"/>
        </w:rPr>
      </w:pPr>
    </w:p>
    <w:p>
      <w:pPr>
        <w:spacing w:line="360" w:lineRule="auto"/>
        <w:rPr>
          <w:rFonts w:ascii="仿宋" w:hAnsi="仿宋" w:eastAsia="仿宋"/>
          <w:sz w:val="24"/>
        </w:rPr>
      </w:pPr>
      <w:r>
        <w:rPr>
          <w:rFonts w:hint="eastAsia" w:ascii="仿宋" w:hAnsi="仿宋" w:eastAsia="仿宋"/>
          <w:sz w:val="24"/>
        </w:rPr>
        <w:t xml:space="preserve">签字(签章)：                   公章：                      </w:t>
      </w:r>
    </w:p>
    <w:p>
      <w:pPr>
        <w:spacing w:line="360" w:lineRule="auto"/>
        <w:rPr>
          <w:rFonts w:ascii="仿宋" w:hAnsi="仿宋" w:eastAsia="仿宋"/>
          <w:sz w:val="24"/>
        </w:rPr>
      </w:pPr>
      <w:r>
        <w:rPr>
          <w:rFonts w:hint="eastAsia" w:ascii="仿宋" w:hAnsi="仿宋" w:eastAsia="仿宋"/>
          <w:sz w:val="24"/>
        </w:rPr>
        <w:t xml:space="preserve">日期：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spacing w:line="360" w:lineRule="auto"/>
        <w:ind w:firstLine="480" w:firstLineChars="200"/>
        <w:jc w:val="left"/>
        <w:rPr>
          <w:rFonts w:ascii="仿宋" w:hAnsi="仿宋" w:eastAsia="仿宋" w:cs="仿宋_GB2312"/>
          <w:b/>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rPr>
      </w:pPr>
    </w:p>
    <w:p>
      <w:pPr>
        <w:spacing w:line="480" w:lineRule="atLeast"/>
        <w:ind w:firstLine="570"/>
        <w:rPr>
          <w:rFonts w:ascii="仿宋" w:hAnsi="仿宋" w:eastAsia="仿宋"/>
        </w:rPr>
      </w:pPr>
    </w:p>
    <w:p>
      <w:pPr>
        <w:pStyle w:val="118"/>
        <w:rPr>
          <w:rFonts w:ascii="仿宋" w:hAnsi="仿宋" w:eastAsia="仿宋"/>
        </w:rPr>
      </w:pPr>
    </w:p>
    <w:p>
      <w:pPr>
        <w:pStyle w:val="118"/>
        <w:rPr>
          <w:rFonts w:ascii="仿宋" w:hAnsi="仿宋" w:eastAsia="仿宋"/>
        </w:rPr>
      </w:pPr>
    </w:p>
    <w:p>
      <w:pPr>
        <w:spacing w:line="480" w:lineRule="atLeast"/>
        <w:ind w:firstLine="570"/>
        <w:rPr>
          <w:rFonts w:ascii="仿宋" w:hAnsi="仿宋" w:eastAsia="仿宋"/>
        </w:rPr>
      </w:pPr>
    </w:p>
    <w:p>
      <w:pPr>
        <w:spacing w:line="480" w:lineRule="atLeast"/>
        <w:ind w:firstLine="570"/>
        <w:rPr>
          <w:rFonts w:ascii="仿宋" w:hAnsi="仿宋" w:eastAsia="仿宋"/>
        </w:rPr>
      </w:pPr>
    </w:p>
    <w:p>
      <w:pPr>
        <w:spacing w:line="480" w:lineRule="atLeast"/>
        <w:ind w:firstLine="570"/>
        <w:rPr>
          <w:rFonts w:ascii="仿宋" w:hAnsi="仿宋" w:eastAsia="仿宋"/>
        </w:rPr>
      </w:pPr>
    </w:p>
    <w:p>
      <w:pPr>
        <w:autoSpaceDE w:val="0"/>
        <w:autoSpaceDN w:val="0"/>
        <w:jc w:val="center"/>
        <w:rPr>
          <w:rFonts w:ascii="仿宋" w:hAnsi="仿宋" w:eastAsia="仿宋"/>
          <w:b/>
          <w:spacing w:val="6"/>
          <w:sz w:val="32"/>
          <w:szCs w:val="32"/>
        </w:rPr>
      </w:pPr>
    </w:p>
    <w:p>
      <w:pPr>
        <w:autoSpaceDE w:val="0"/>
        <w:autoSpaceDN w:val="0"/>
        <w:spacing w:line="360" w:lineRule="auto"/>
        <w:jc w:val="left"/>
        <w:rPr>
          <w:rFonts w:ascii="仿宋" w:hAnsi="仿宋" w:eastAsia="仿宋" w:cs="宋体"/>
          <w:b/>
          <w:spacing w:val="6"/>
          <w:sz w:val="24"/>
        </w:rPr>
      </w:pPr>
      <w:r>
        <w:rPr>
          <w:rFonts w:hint="eastAsia" w:ascii="仿宋" w:hAnsi="仿宋" w:eastAsia="仿宋" w:cs="宋体"/>
          <w:b/>
          <w:spacing w:val="6"/>
          <w:sz w:val="24"/>
        </w:rPr>
        <w:t>附件</w:t>
      </w:r>
      <w:r>
        <w:rPr>
          <w:rFonts w:ascii="仿宋" w:hAnsi="仿宋" w:eastAsia="仿宋" w:cs="宋体"/>
          <w:b/>
          <w:spacing w:val="6"/>
          <w:sz w:val="24"/>
        </w:rPr>
        <w:t>4：</w:t>
      </w:r>
      <w:r>
        <w:rPr>
          <w:rFonts w:hint="eastAsia" w:ascii="仿宋" w:hAnsi="仿宋" w:eastAsia="仿宋" w:cs="宋体"/>
          <w:b/>
          <w:spacing w:val="6"/>
          <w:sz w:val="24"/>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你方组织的（项目名称）项目【招标编号：（采购编号）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2052"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b/>
          <w:bCs/>
          <w:sz w:val="24"/>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spacing w:line="360" w:lineRule="auto"/>
        <w:jc w:val="left"/>
        <w:rPr>
          <w:rFonts w:ascii="仿宋" w:hAnsi="仿宋" w:eastAsia="仿宋" w:cs="宋体"/>
          <w:b/>
          <w:kern w:val="0"/>
          <w:sz w:val="24"/>
          <w:lang w:val="zh-CN"/>
        </w:rPr>
      </w:pPr>
      <w:r>
        <w:rPr>
          <w:rFonts w:hint="eastAsia" w:ascii="仿宋" w:hAnsi="仿宋" w:eastAsia="仿宋" w:cs="宋体"/>
          <w:b/>
          <w:spacing w:val="6"/>
          <w:sz w:val="24"/>
        </w:rPr>
        <w:t>附件</w:t>
      </w:r>
      <w:r>
        <w:rPr>
          <w:rFonts w:ascii="仿宋" w:hAnsi="仿宋" w:eastAsia="仿宋" w:cs="宋体"/>
          <w:b/>
          <w:spacing w:val="6"/>
          <w:sz w:val="24"/>
        </w:rPr>
        <w:t>5</w:t>
      </w:r>
      <w:r>
        <w:rPr>
          <w:rFonts w:hint="eastAsia" w:ascii="仿宋" w:hAnsi="仿宋" w:eastAsia="仿宋" w:cs="宋体"/>
          <w:b/>
          <w:spacing w:val="6"/>
          <w:sz w:val="24"/>
        </w:rPr>
        <w:t>：</w:t>
      </w:r>
      <w:r>
        <w:rPr>
          <w:rFonts w:hint="eastAsia" w:ascii="仿宋" w:hAnsi="仿宋" w:eastAsia="仿宋" w:cs="宋体"/>
          <w:b/>
          <w:kern w:val="0"/>
          <w:sz w:val="24"/>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杭州市公安局监所管理支队集中关押场所二期配套安防项目（LED显示屏）采购项目【招标编号：HZZFCG-2022-160】</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329"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329"/>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hAnsi="仿宋" w:eastAsia="仿宋" w:cs="宋体"/>
          <w:b/>
          <w:kern w:val="0"/>
          <w:sz w:val="24"/>
          <w:lang w:val="zh-CN"/>
        </w:rPr>
        <w:t>6</w:t>
      </w:r>
      <w:r>
        <w:rPr>
          <w:rFonts w:hint="eastAsia" w:ascii="仿宋" w:hAnsi="仿宋" w:eastAsia="仿宋" w:cs="宋体"/>
          <w:b/>
          <w:kern w:val="0"/>
          <w:sz w:val="24"/>
          <w:lang w:val="zh-CN"/>
        </w:rPr>
        <w:t>%的扣除。供应商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24"/>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snapToGrid w:val="0"/>
        <w:spacing w:line="360" w:lineRule="auto"/>
        <w:jc w:val="left"/>
        <w:rPr>
          <w:rFonts w:ascii="仿宋" w:hAnsi="仿宋" w:eastAsia="仿宋" w:cs="宋体"/>
          <w:b/>
          <w:kern w:val="0"/>
          <w:sz w:val="24"/>
        </w:rPr>
      </w:pPr>
      <w:r>
        <w:rPr>
          <w:rFonts w:hint="eastAsia" w:ascii="仿宋" w:hAnsi="仿宋" w:eastAsia="仿宋" w:cs="宋体"/>
          <w:b/>
          <w:spacing w:val="6"/>
          <w:sz w:val="24"/>
        </w:rPr>
        <w:t>附件</w:t>
      </w:r>
      <w:r>
        <w:rPr>
          <w:rFonts w:ascii="仿宋" w:hAnsi="仿宋" w:eastAsia="仿宋" w:cs="宋体"/>
          <w:b/>
          <w:spacing w:val="6"/>
          <w:sz w:val="24"/>
        </w:rPr>
        <w:t>6</w:t>
      </w:r>
      <w:r>
        <w:rPr>
          <w:rFonts w:hint="eastAsia" w:ascii="仿宋" w:hAnsi="仿宋" w:eastAsia="仿宋" w:cs="宋体"/>
          <w:b/>
          <w:spacing w:val="6"/>
          <w:sz w:val="24"/>
        </w:rPr>
        <w:t>：</w:t>
      </w:r>
      <w:r>
        <w:rPr>
          <w:rFonts w:hint="eastAsia" w:ascii="仿宋" w:hAnsi="仿宋" w:eastAsia="仿宋" w:cs="宋体"/>
          <w:b/>
          <w:kern w:val="0"/>
          <w:sz w:val="24"/>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杭州市公安局监所管理支队集中关押场所二期配套安防项目（LED显示屏）采购项目【招标编号：HZZFCG-2022-160】</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4"/>
        <w:ind w:left="664" w:leftChars="316" w:firstLine="229" w:firstLineChars="95"/>
        <w:rPr>
          <w:rFonts w:ascii="仿宋" w:hAnsi="仿宋" w:eastAsia="仿宋" w:cs="宋体"/>
          <w:kern w:val="0"/>
          <w:sz w:val="24"/>
          <w:szCs w:val="24"/>
        </w:rPr>
      </w:pPr>
      <w:r>
        <w:rPr>
          <w:rFonts w:hint="eastAsia" w:ascii="仿宋" w:hAns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sz w:val="24"/>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hAnsi="仿宋" w:eastAsia="仿宋" w:cs="宋体"/>
          <w:b/>
          <w:kern w:val="0"/>
          <w:sz w:val="24"/>
          <w:lang w:val="zh-CN"/>
        </w:rPr>
        <w:t>6</w:t>
      </w:r>
      <w:r>
        <w:rPr>
          <w:rFonts w:hint="eastAsia" w:ascii="仿宋" w:hAnsi="仿宋" w:eastAsia="仿宋" w:cs="宋体"/>
          <w:b/>
          <w:kern w:val="0"/>
          <w:sz w:val="24"/>
          <w:lang w:val="zh-CN"/>
        </w:rPr>
        <w:t>%的扣除。供应商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330"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330"/>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sz w:val="24"/>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4320" w:firstLineChars="1800"/>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pacing w:line="360" w:lineRule="auto"/>
        <w:jc w:val="center"/>
        <w:rPr>
          <w:rFonts w:ascii="仿宋" w:hAnsi="仿宋" w:eastAsia="仿宋" w:cs="宋体"/>
          <w:kern w:val="0"/>
          <w:sz w:val="24"/>
          <w:lang w:val="zh-CN"/>
        </w:rPr>
      </w:pPr>
      <w:r>
        <w:rPr>
          <w:rFonts w:hint="eastAsia" w:ascii="宋体" w:hAnsi="宋体" w:cs="宋体"/>
          <w:kern w:val="0"/>
          <w:sz w:val="24"/>
          <w:lang w:val="zh-CN"/>
        </w:rPr>
        <w:t xml:space="preserve">                         </w:t>
      </w:r>
      <w:r>
        <w:rPr>
          <w:rFonts w:hint="eastAsia" w:ascii="仿宋" w:hAnsi="仿宋" w:eastAsia="仿宋" w:cs="宋体"/>
          <w:kern w:val="0"/>
          <w:sz w:val="24"/>
          <w:lang w:val="zh-CN"/>
        </w:rPr>
        <w:t xml:space="preserve">               日期：  年  月   日</w:t>
      </w:r>
    </w:p>
    <w:p>
      <w:pPr>
        <w:autoSpaceDE w:val="0"/>
        <w:autoSpaceDN w:val="0"/>
        <w:jc w:val="center"/>
        <w:rPr>
          <w:rFonts w:ascii="仿宋" w:hAnsi="仿宋" w:eastAsia="仿宋"/>
          <w:b/>
          <w:spacing w:val="6"/>
          <w:sz w:val="32"/>
          <w:szCs w:val="32"/>
        </w:rPr>
      </w:pPr>
    </w:p>
    <w:p>
      <w:pPr>
        <w:snapToGrid w:val="0"/>
        <w:spacing w:line="360" w:lineRule="auto"/>
        <w:jc w:val="left"/>
        <w:rPr>
          <w:rFonts w:ascii="仿宋" w:hAnsi="仿宋" w:eastAsia="仿宋" w:cs="宋体"/>
          <w:b/>
          <w:spacing w:val="6"/>
          <w:sz w:val="24"/>
        </w:rPr>
      </w:pPr>
      <w:r>
        <w:rPr>
          <w:rFonts w:hint="eastAsia" w:ascii="仿宋" w:hAnsi="仿宋" w:eastAsia="仿宋" w:cs="宋体"/>
          <w:b/>
          <w:spacing w:val="6"/>
          <w:sz w:val="24"/>
        </w:rPr>
        <w:t>附件7：中小企业声明函（服务）</w:t>
      </w:r>
    </w:p>
    <w:p>
      <w:pPr>
        <w:spacing w:line="360" w:lineRule="auto"/>
        <w:jc w:val="center"/>
        <w:rPr>
          <w:rFonts w:ascii="仿宋" w:hAnsi="仿宋" w:eastAsia="仿宋" w:cs="仿宋_GB2312"/>
          <w:sz w:val="24"/>
          <w:u w:val="single"/>
        </w:rPr>
      </w:pPr>
    </w:p>
    <w:p>
      <w:pPr>
        <w:spacing w:line="480" w:lineRule="atLeast"/>
        <w:ind w:firstLine="570"/>
        <w:rPr>
          <w:rFonts w:ascii="仿宋" w:hAnsi="仿宋" w:eastAsia="仿宋"/>
        </w:rPr>
      </w:pPr>
      <w:r>
        <w:rPr>
          <w:rFonts w:hint="eastAsia" w:ascii="仿宋" w:hAnsi="仿宋" w:eastAsia="仿宋"/>
        </w:rPr>
        <w:t>本公司（联合体）郑重声明，根据《政府采购促进中小企业发展管理办法》（财库﹝</w:t>
      </w:r>
      <w:r>
        <w:rPr>
          <w:rFonts w:ascii="仿宋" w:hAnsi="仿宋" w:eastAsia="仿宋"/>
        </w:rPr>
        <w:t>2020﹞46 号）的规定，本公司（联合体）参加 （单位名称） 的 （项目名称） 采购活动，工程的施工单位全部为符合政策要求的小微企业（或者：服务全部由符合政策要求的中小企业承接）。相关企业（含联合体中的中小企业、签订分包意向协议的中小企业）的具体情况如下：</w:t>
      </w:r>
    </w:p>
    <w:p>
      <w:pPr>
        <w:spacing w:line="480" w:lineRule="atLeast"/>
        <w:ind w:firstLine="570"/>
        <w:rPr>
          <w:rFonts w:ascii="仿宋" w:hAnsi="仿宋" w:eastAsia="仿宋"/>
        </w:rPr>
      </w:pPr>
      <w:r>
        <w:rPr>
          <w:rFonts w:ascii="仿宋" w:hAnsi="仿宋" w:eastAsia="仿宋"/>
        </w:rPr>
        <w:t>1.（标的名称） ，属于 （采购文件中明确的所属行业） ；承建（承接）企业为 （企业名称） ，从业人员     人，营业收入为     万元，资产总额为      万元属于           （小型企业、微型企业） ；</w:t>
      </w:r>
    </w:p>
    <w:p>
      <w:pPr>
        <w:spacing w:line="480" w:lineRule="atLeast"/>
        <w:ind w:firstLine="570"/>
        <w:rPr>
          <w:rFonts w:ascii="仿宋" w:hAnsi="仿宋" w:eastAsia="仿宋"/>
        </w:rPr>
      </w:pPr>
      <w:r>
        <w:rPr>
          <w:rFonts w:ascii="仿宋" w:hAnsi="仿宋" w:eastAsia="仿宋"/>
        </w:rPr>
        <w:t>2.（标的名称） ，属于 （采购文件中明确的所属行业） ；承建（承接）企业为 （企业名称） ，从业人员         人，营业收入为     万元，资产总额为     万元，属于 （小型企业、微型企业） ；</w:t>
      </w:r>
    </w:p>
    <w:p>
      <w:pPr>
        <w:spacing w:line="480" w:lineRule="atLeast"/>
        <w:ind w:firstLine="570"/>
        <w:rPr>
          <w:rFonts w:ascii="仿宋" w:hAnsi="仿宋" w:eastAsia="仿宋"/>
        </w:rPr>
      </w:pPr>
      <w:r>
        <w:rPr>
          <w:rFonts w:hint="eastAsia" w:ascii="仿宋" w:hAnsi="仿宋" w:eastAsia="仿宋"/>
        </w:rPr>
        <w:t>……</w:t>
      </w:r>
    </w:p>
    <w:p>
      <w:pPr>
        <w:spacing w:line="480" w:lineRule="atLeast"/>
        <w:ind w:firstLine="570"/>
        <w:rPr>
          <w:rFonts w:ascii="仿宋" w:hAnsi="仿宋" w:eastAsia="仿宋"/>
        </w:rPr>
      </w:pPr>
      <w:r>
        <w:rPr>
          <w:rFonts w:hint="eastAsia" w:ascii="仿宋" w:hAnsi="仿宋" w:eastAsia="仿宋"/>
        </w:rPr>
        <w:t>以上企业，不属于大企业的分支机构，不存在控股股东为大企业的情形，也不存在与大企业的负责人为同一人的情形。</w:t>
      </w:r>
    </w:p>
    <w:p>
      <w:pPr>
        <w:spacing w:line="480" w:lineRule="atLeast"/>
        <w:ind w:firstLine="570"/>
        <w:rPr>
          <w:rFonts w:ascii="仿宋" w:hAnsi="仿宋" w:eastAsia="仿宋"/>
        </w:rPr>
      </w:pPr>
      <w:r>
        <w:rPr>
          <w:rFonts w:hint="eastAsia" w:ascii="仿宋" w:hAnsi="仿宋" w:eastAsia="仿宋"/>
        </w:rPr>
        <w:t>本企业对上述声明内容的真实性负责。如有虚假，将依法承担相应责任。</w:t>
      </w:r>
    </w:p>
    <w:p>
      <w:pPr>
        <w:spacing w:line="480" w:lineRule="atLeast"/>
        <w:ind w:firstLine="570"/>
        <w:rPr>
          <w:rFonts w:ascii="仿宋" w:hAnsi="仿宋" w:eastAsia="仿宋"/>
        </w:rPr>
      </w:pPr>
      <w:r>
        <w:rPr>
          <w:rFonts w:hint="eastAsia" w:ascii="仿宋" w:hAnsi="仿宋" w:eastAsia="仿宋"/>
        </w:rPr>
        <w:t>投标人名称（盖章</w:t>
      </w:r>
      <w:r>
        <w:rPr>
          <w:rFonts w:ascii="仿宋" w:hAnsi="仿宋" w:eastAsia="仿宋"/>
        </w:rPr>
        <w:t>/电子签名）：</w:t>
      </w:r>
    </w:p>
    <w:p>
      <w:pPr>
        <w:spacing w:line="480" w:lineRule="atLeast"/>
        <w:ind w:firstLine="570"/>
        <w:rPr>
          <w:rFonts w:ascii="仿宋" w:hAnsi="仿宋" w:eastAsia="仿宋"/>
        </w:rPr>
      </w:pPr>
      <w:r>
        <w:rPr>
          <w:rFonts w:hint="eastAsia" w:ascii="仿宋" w:hAnsi="仿宋" w:eastAsia="仿宋"/>
        </w:rPr>
        <w:t>日</w:t>
      </w:r>
      <w:r>
        <w:rPr>
          <w:rFonts w:ascii="仿宋" w:hAnsi="仿宋" w:eastAsia="仿宋"/>
        </w:rPr>
        <w:t xml:space="preserve"> 期：</w:t>
      </w:r>
    </w:p>
    <w:p>
      <w:pPr>
        <w:spacing w:line="480" w:lineRule="atLeast"/>
        <w:ind w:firstLine="570"/>
        <w:rPr>
          <w:rFonts w:ascii="仿宋" w:hAnsi="仿宋" w:eastAsia="仿宋"/>
        </w:rPr>
      </w:pPr>
      <w:r>
        <w:rPr>
          <w:rFonts w:hint="eastAsia" w:ascii="仿宋" w:hAnsi="仿宋" w:eastAsia="仿宋"/>
        </w:rPr>
        <w:t>从业人员、营业收入、资产总额填报上一年度数据，无上一年度数据的新成立企业可不填报。</w:t>
      </w:r>
    </w:p>
    <w:p>
      <w:pPr>
        <w:spacing w:line="480" w:lineRule="atLeast"/>
        <w:ind w:firstLine="570"/>
        <w:rPr>
          <w:rFonts w:ascii="仿宋" w:hAnsi="仿宋" w:eastAsia="仿宋"/>
        </w:rPr>
      </w:pPr>
      <w:r>
        <w:rPr>
          <w:rFonts w:ascii="仿宋" w:hAnsi="仿宋" w:eastAsia="仿宋"/>
        </w:rPr>
        <w:t>注：投标人提供的中小企业声明函与实际情况不符的，投标人提供的中小企业声明函内容不实的，属于提供虚假材料谋取中标、成交，依照《中华人民共和国政府采购法》等国家有关规定追究相应责任。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w:t>
      </w:r>
      <w:r>
        <w:rPr>
          <w:rFonts w:hint="eastAsia" w:ascii="仿宋" w:hAnsi="仿宋" w:eastAsia="仿宋"/>
        </w:rPr>
        <w:t>证明文件的，视同为小型和微型企业。</w:t>
      </w:r>
    </w:p>
    <w:p>
      <w:pPr>
        <w:spacing w:line="480" w:lineRule="atLeast"/>
        <w:ind w:firstLine="570"/>
        <w:rPr>
          <w:rFonts w:ascii="仿宋" w:hAnsi="仿宋" w:eastAsia="仿宋"/>
        </w:rPr>
      </w:pPr>
    </w:p>
    <w:p>
      <w:pPr>
        <w:spacing w:line="480" w:lineRule="atLeast"/>
        <w:ind w:firstLine="570"/>
        <w:rPr>
          <w:rFonts w:ascii="仿宋" w:hAnsi="仿宋" w:eastAsia="仿宋"/>
        </w:rPr>
      </w:pPr>
    </w:p>
    <w:p>
      <w:pPr>
        <w:spacing w:line="480" w:lineRule="atLeast"/>
        <w:ind w:firstLine="570"/>
        <w:rPr>
          <w:rFonts w:ascii="仿宋" w:hAnsi="仿宋" w:eastAsia="仿宋"/>
        </w:rPr>
      </w:pPr>
    </w:p>
    <w:p>
      <w:pPr>
        <w:spacing w:line="480" w:lineRule="atLeast"/>
        <w:ind w:firstLine="570"/>
        <w:rPr>
          <w:rFonts w:ascii="仿宋" w:hAnsi="仿宋" w:eastAsia="仿宋"/>
        </w:rPr>
      </w:pPr>
    </w:p>
    <w:sectPr>
      <w:headerReference r:id="rId10" w:type="default"/>
      <w:footerReference r:id="rId11" w:type="default"/>
      <w:pgSz w:w="11907" w:h="16840"/>
      <w:pgMar w:top="1134" w:right="992" w:bottom="1134" w:left="1134" w:header="851" w:footer="992" w:gutter="0"/>
      <w:cols w:space="720" w:num="1"/>
      <w:titlePg/>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Baskerville">
    <w:altName w:val="AlienCaret"/>
    <w:panose1 w:val="00000000000000000000"/>
    <w:charset w:val="00"/>
    <w:family w:val="roman"/>
    <w:pitch w:val="default"/>
    <w:sig w:usb0="00000000" w:usb1="00000000" w:usb2="00000000" w:usb3="00000000" w:csb0="0000019F" w:csb1="00000000"/>
  </w:font>
  <w:font w:name="AlienCaret">
    <w:panose1 w:val="02000500000000000000"/>
    <w:charset w:val="00"/>
    <w:family w:val="auto"/>
    <w:pitch w:val="default"/>
    <w:sig w:usb0="800000A7" w:usb1="5000004A" w:usb2="00000000" w:usb3="00000000" w:csb0="20000111" w:csb1="41000000"/>
  </w:font>
  <w:font w:name="Helvetica Neu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pict>
        <v:shape id="文本框 1" o:spid="_x0000_s4108" o:spt="202" type="#_x0000_t202" style="position:absolute;left:0pt;margin-top:0pt;height:144pt;width:144pt;mso-position-horizontal:center;mso-position-horizontal-relative:margin;mso-wrap-style:none;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v:path/>
          <v:fill on="f" focussize="0,0"/>
          <v:stroke on="f" joinstyle="miter"/>
          <v:imagedata o:title=""/>
          <o:lock v:ext="edit"/>
          <v:textbox inset="0mm,0mm,0mm,0mm" style="mso-fit-shape-to-text:t;">
            <w:txbxContent>
              <w:p>
                <w:pPr>
                  <w:pStyle w:val="50"/>
                </w:pPr>
                <w:r>
                  <w:fldChar w:fldCharType="begin"/>
                </w:r>
                <w:r>
                  <w:instrText xml:space="preserve"> PAGE  \* MERGEFORMAT </w:instrText>
                </w:r>
                <w:r>
                  <w:fldChar w:fldCharType="separate"/>
                </w:r>
                <w:r>
                  <w:t>23</w:t>
                </w:r>
                <w:r>
                  <w:fldChar w:fldCharType="end"/>
                </w:r>
              </w:p>
            </w:txbxContent>
          </v:textbox>
        </v:shape>
      </w:pict>
    </w:r>
    <w:r>
      <w:pict>
        <v:shape id="文本框 2" o:spid="_x0000_s4107" o:spt="202" type="#_x0000_t202" style="position:absolute;left:0pt;margin-top:0pt;height:144pt;width:144pt;mso-position-horizontal:center;mso-position-horizontal-relative:margin;mso-wrap-style:none;z-index:25166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v:path/>
          <v:fill on="f" focussize="0,0"/>
          <v:stroke on="f" joinstyle="miter"/>
          <v:imagedata o:title=""/>
          <o:lock v:ext="edit"/>
          <v:textbox inset="0mm,0mm,0mm,0mm" style="mso-fit-shape-to-text:t;">
            <w:txbxContent>
              <w:p>
                <w:pPr>
                  <w:pStyle w:val="50"/>
                  <w:jc w:val="center"/>
                </w:pPr>
              </w:p>
              <w:p/>
            </w:txbxContent>
          </v:textbox>
        </v:shape>
      </w:pict>
    </w:r>
  </w:p>
  <w:p>
    <w:pPr>
      <w:pStyle w:val="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50"/>
                </w:pPr>
                <w:r>
                  <w:fldChar w:fldCharType="begin"/>
                </w:r>
                <w:r>
                  <w:instrText xml:space="preserve"> PAGE  \* MERGEFORMAT </w:instrText>
                </w:r>
                <w:r>
                  <w:fldChar w:fldCharType="separate"/>
                </w:r>
                <w:r>
                  <w:t>57</w:t>
                </w:r>
                <w: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0"/>
                  <w:jc w:val="center"/>
                </w:pPr>
              </w:p>
              <w:p/>
            </w:txbxContent>
          </v:textbox>
        </v:shape>
      </w:pict>
    </w:r>
  </w:p>
  <w:p>
    <w:pPr>
      <w:rPr>
        <w:rFonts w:ascii="仿宋_GB2312" w:eastAsia="仿宋_GB2312"/>
      </w:rPr>
    </w:pP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rPr>
        <w:rFonts w:ascii="仿宋_GB2312" w:eastAsia="仿宋_GB2312"/>
      </w:rPr>
    </w:pPr>
    <w: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50"/>
                </w:pPr>
                <w:r>
                  <w:fldChar w:fldCharType="begin"/>
                </w:r>
                <w:r>
                  <w:instrText xml:space="preserve"> PAGE  \* MERGEFORMAT </w:instrText>
                </w:r>
                <w:r>
                  <w:fldChar w:fldCharType="separate"/>
                </w:r>
                <w:r>
                  <w:t>45</w:t>
                </w:r>
                <w:r>
                  <w:fldChar w:fldCharType="end"/>
                </w:r>
              </w:p>
            </w:txbxContent>
          </v:textbox>
        </v:shape>
      </w:pict>
    </w: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0"/>
                  <w:jc w:val="center"/>
                </w:pPr>
              </w:p>
              <w:p/>
            </w:txbxContent>
          </v:textbox>
        </v:shape>
      </w:pict>
    </w:r>
  </w:p>
  <w:p>
    <w:pPr>
      <w:rPr>
        <w:rFonts w:ascii="仿宋_GB2312" w:eastAsia="仿宋_GB2312"/>
      </w:rPr>
    </w:pP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pict>
        <v:shape id="_x0000_s4105" o:spid="_x0000_s4105" o:spt="202" type="#_x0000_t202" style="position:absolute;left:0pt;margin-top:0pt;height:14.8pt;width:25.45pt;mso-position-horizontal:center;mso-position-horizontal-relative:margin;z-index:251667456;mso-width-relative:page;mso-height-relative:page;" filled="f" stroked="f" coordsize="21600,21600">
          <v:path/>
          <v:fill on="f" focussize="0,0"/>
          <v:stroke on="f" joinstyle="miter"/>
          <v:imagedata o:title=""/>
          <o:lock v:ext="edit"/>
          <v:textbox inset="0mm,0mm,0mm,0mm">
            <w:txbxContent>
              <w:p>
                <w:pPr>
                  <w:pStyle w:val="50"/>
                </w:pPr>
                <w:r>
                  <w:fldChar w:fldCharType="begin"/>
                </w:r>
                <w:r>
                  <w:instrText xml:space="preserve"> PAGE  \* MERGEFORMAT </w:instrText>
                </w:r>
                <w:r>
                  <w:fldChar w:fldCharType="separate"/>
                </w:r>
                <w:r>
                  <w:t>79</w:t>
                </w:r>
                <w:r>
                  <w:fldChar w:fldCharType="end"/>
                </w:r>
              </w:p>
            </w:txbxContent>
          </v:textbox>
        </v:shape>
      </w:pict>
    </w:r>
    <w:r>
      <w:pict>
        <v:shape id="_x0000_s4100" o:spid="_x0000_s410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50"/>
                  <w:jc w:val="center"/>
                </w:pPr>
              </w:p>
              <w:p/>
            </w:txbxContent>
          </v:textbox>
        </v:shape>
      </w:pict>
    </w:r>
  </w:p>
  <w:p>
    <w:pPr>
      <w:pStyle w:val="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w:instrText>
    </w:r>
    <w:r>
      <w:fldChar w:fldCharType="separate"/>
    </w:r>
    <w:r>
      <w:t>83</w:t>
    </w:r>
    <w:r>
      <w:fldChar w:fldCharType="end"/>
    </w:r>
  </w:p>
  <w:p>
    <w:pPr>
      <w:pStyle w:val="5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spacing w:before="120"/>
    </w:pPr>
    <w: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50"/>
                </w:pPr>
                <w:r>
                  <w:fldChar w:fldCharType="begin"/>
                </w:r>
                <w:r>
                  <w:instrText xml:space="preserve"> PAGE  \* MERGEFORMAT </w:instrText>
                </w:r>
                <w:r>
                  <w:fldChar w:fldCharType="separate"/>
                </w:r>
                <w:r>
                  <w:t>86</w:t>
                </w:r>
                <w:r>
                  <w:fldChar w:fldCharType="end"/>
                </w:r>
              </w:p>
            </w:txbxContent>
          </v:textbox>
        </v:shape>
      </w:pict>
    </w:r>
    <w:r>
      <w:pict>
        <v:shape id="_x0000_s4101" o:spid="_x0000_s410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50"/>
                  <w:spacing w:before="120"/>
                  <w:jc w:val="center"/>
                </w:pP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p>
  <w:p>
    <w:pPr>
      <w:rPr>
        <w:rFonts w:ascii="仿宋_GB2312" w:eastAsia="仿宋_GB2312"/>
        <w:b/>
        <w:i/>
        <w:sz w:val="18"/>
        <w:u w:val="single"/>
      </w:rPr>
    </w:pP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p>
  <w:p>
    <w:pPr>
      <w:pStyle w:val="5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56928"/>
    <w:multiLevelType w:val="singleLevel"/>
    <w:tmpl w:val="E9356928"/>
    <w:lvl w:ilvl="0" w:tentative="0">
      <w:start w:val="3"/>
      <w:numFmt w:val="decimal"/>
      <w:suff w:val="nothing"/>
      <w:lvlText w:val="%1、"/>
      <w:lvlJc w:val="left"/>
    </w:lvl>
  </w:abstractNum>
  <w:abstractNum w:abstractNumId="1">
    <w:nsid w:val="381D6DEF"/>
    <w:multiLevelType w:val="multilevel"/>
    <w:tmpl w:val="381D6DE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1760A9"/>
    <w:multiLevelType w:val="singleLevel"/>
    <w:tmpl w:val="5D1760A9"/>
    <w:lvl w:ilvl="0" w:tentative="0">
      <w:start w:val="1"/>
      <w:numFmt w:val="bullet"/>
      <w:lvlText w:val=""/>
      <w:lvlJc w:val="left"/>
      <w:pPr>
        <w:ind w:left="420" w:hanging="420"/>
      </w:pPr>
      <w:rPr>
        <w:rFonts w:hint="default" w:ascii="Wingdings" w:hAnsi="Wingdings"/>
      </w:rPr>
    </w:lvl>
  </w:abstractNum>
  <w:abstractNum w:abstractNumId="3">
    <w:nsid w:val="607A6338"/>
    <w:multiLevelType w:val="multilevel"/>
    <w:tmpl w:val="607A63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8"/>
  <w:noPunctuationKerning w:val="1"/>
  <w:characterSpacingControl w:val="compressPunctuation"/>
  <w:hdrShapeDefaults>
    <o:shapelayout v:ext="edit">
      <o:idmap v:ext="edit" data="1,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WNhMzM4YzVlMTBkMWM4MjU2NTNhZGI3ZDI4OGVjMTQifQ=="/>
  </w:docVars>
  <w:rsids>
    <w:rsidRoot w:val="00CE3297"/>
    <w:rsid w:val="000016F0"/>
    <w:rsid w:val="00002270"/>
    <w:rsid w:val="0000282A"/>
    <w:rsid w:val="00004E47"/>
    <w:rsid w:val="00006270"/>
    <w:rsid w:val="00007B89"/>
    <w:rsid w:val="000107B1"/>
    <w:rsid w:val="0001101E"/>
    <w:rsid w:val="0001148B"/>
    <w:rsid w:val="00011CC7"/>
    <w:rsid w:val="00012442"/>
    <w:rsid w:val="00012D7C"/>
    <w:rsid w:val="00012F5A"/>
    <w:rsid w:val="0001346A"/>
    <w:rsid w:val="00014366"/>
    <w:rsid w:val="000151AB"/>
    <w:rsid w:val="00015CBA"/>
    <w:rsid w:val="00016512"/>
    <w:rsid w:val="000167EC"/>
    <w:rsid w:val="00016A50"/>
    <w:rsid w:val="00016B6D"/>
    <w:rsid w:val="00016EFE"/>
    <w:rsid w:val="0001700F"/>
    <w:rsid w:val="000200B2"/>
    <w:rsid w:val="000204DE"/>
    <w:rsid w:val="00021A6C"/>
    <w:rsid w:val="00025F23"/>
    <w:rsid w:val="00026847"/>
    <w:rsid w:val="00027ED7"/>
    <w:rsid w:val="00027FE8"/>
    <w:rsid w:val="000309C5"/>
    <w:rsid w:val="0003345D"/>
    <w:rsid w:val="00033D96"/>
    <w:rsid w:val="00035520"/>
    <w:rsid w:val="00035599"/>
    <w:rsid w:val="00035E30"/>
    <w:rsid w:val="00035F17"/>
    <w:rsid w:val="00037BD3"/>
    <w:rsid w:val="00040541"/>
    <w:rsid w:val="000406D5"/>
    <w:rsid w:val="0004080F"/>
    <w:rsid w:val="00041786"/>
    <w:rsid w:val="0004192E"/>
    <w:rsid w:val="00044606"/>
    <w:rsid w:val="000446F6"/>
    <w:rsid w:val="0004588A"/>
    <w:rsid w:val="0004700C"/>
    <w:rsid w:val="00047C00"/>
    <w:rsid w:val="00050BD9"/>
    <w:rsid w:val="0005137E"/>
    <w:rsid w:val="00051486"/>
    <w:rsid w:val="00052314"/>
    <w:rsid w:val="000530E1"/>
    <w:rsid w:val="000531BC"/>
    <w:rsid w:val="00054058"/>
    <w:rsid w:val="00054724"/>
    <w:rsid w:val="0005617B"/>
    <w:rsid w:val="0005626E"/>
    <w:rsid w:val="000563CD"/>
    <w:rsid w:val="00056DFC"/>
    <w:rsid w:val="00057D8F"/>
    <w:rsid w:val="000607F4"/>
    <w:rsid w:val="00060A4F"/>
    <w:rsid w:val="00061305"/>
    <w:rsid w:val="000618C3"/>
    <w:rsid w:val="0006228C"/>
    <w:rsid w:val="000623AC"/>
    <w:rsid w:val="00062A83"/>
    <w:rsid w:val="0006385B"/>
    <w:rsid w:val="00063F37"/>
    <w:rsid w:val="000648A1"/>
    <w:rsid w:val="00065706"/>
    <w:rsid w:val="000660ED"/>
    <w:rsid w:val="00066202"/>
    <w:rsid w:val="00067CF5"/>
    <w:rsid w:val="00067F56"/>
    <w:rsid w:val="0007073E"/>
    <w:rsid w:val="00070FB5"/>
    <w:rsid w:val="0007108F"/>
    <w:rsid w:val="000717D5"/>
    <w:rsid w:val="00072862"/>
    <w:rsid w:val="000728EF"/>
    <w:rsid w:val="00073C8D"/>
    <w:rsid w:val="00074029"/>
    <w:rsid w:val="00074564"/>
    <w:rsid w:val="00076141"/>
    <w:rsid w:val="00077434"/>
    <w:rsid w:val="00077570"/>
    <w:rsid w:val="00080A6A"/>
    <w:rsid w:val="000812E5"/>
    <w:rsid w:val="00081756"/>
    <w:rsid w:val="00082305"/>
    <w:rsid w:val="00082827"/>
    <w:rsid w:val="000844B5"/>
    <w:rsid w:val="000851F5"/>
    <w:rsid w:val="00085D90"/>
    <w:rsid w:val="00087BF7"/>
    <w:rsid w:val="00092737"/>
    <w:rsid w:val="000935FD"/>
    <w:rsid w:val="00093FBF"/>
    <w:rsid w:val="00096940"/>
    <w:rsid w:val="000A1575"/>
    <w:rsid w:val="000A3B0A"/>
    <w:rsid w:val="000A4A12"/>
    <w:rsid w:val="000A5D8D"/>
    <w:rsid w:val="000B1F59"/>
    <w:rsid w:val="000B2120"/>
    <w:rsid w:val="000B2178"/>
    <w:rsid w:val="000B339B"/>
    <w:rsid w:val="000B4324"/>
    <w:rsid w:val="000B50E5"/>
    <w:rsid w:val="000B5D6B"/>
    <w:rsid w:val="000B63FD"/>
    <w:rsid w:val="000B6B43"/>
    <w:rsid w:val="000C2E28"/>
    <w:rsid w:val="000C4166"/>
    <w:rsid w:val="000C4F39"/>
    <w:rsid w:val="000C5C3D"/>
    <w:rsid w:val="000C62A5"/>
    <w:rsid w:val="000D033C"/>
    <w:rsid w:val="000D0532"/>
    <w:rsid w:val="000D07C8"/>
    <w:rsid w:val="000D0ACA"/>
    <w:rsid w:val="000D32F0"/>
    <w:rsid w:val="000D34BB"/>
    <w:rsid w:val="000D353A"/>
    <w:rsid w:val="000D3C9F"/>
    <w:rsid w:val="000D444D"/>
    <w:rsid w:val="000D559F"/>
    <w:rsid w:val="000D6515"/>
    <w:rsid w:val="000D6CA8"/>
    <w:rsid w:val="000D7047"/>
    <w:rsid w:val="000D70C2"/>
    <w:rsid w:val="000D77AE"/>
    <w:rsid w:val="000E02E5"/>
    <w:rsid w:val="000E082B"/>
    <w:rsid w:val="000E0B07"/>
    <w:rsid w:val="000E18EA"/>
    <w:rsid w:val="000E24B3"/>
    <w:rsid w:val="000E259E"/>
    <w:rsid w:val="000E2E75"/>
    <w:rsid w:val="000E3079"/>
    <w:rsid w:val="000E35AC"/>
    <w:rsid w:val="000E60D3"/>
    <w:rsid w:val="000E627E"/>
    <w:rsid w:val="000E678D"/>
    <w:rsid w:val="000E6894"/>
    <w:rsid w:val="000E6BB7"/>
    <w:rsid w:val="000E6ECE"/>
    <w:rsid w:val="000E6F34"/>
    <w:rsid w:val="000E72DD"/>
    <w:rsid w:val="000F06D0"/>
    <w:rsid w:val="000F07E3"/>
    <w:rsid w:val="000F15D4"/>
    <w:rsid w:val="000F1F60"/>
    <w:rsid w:val="000F21CE"/>
    <w:rsid w:val="000F28F9"/>
    <w:rsid w:val="000F517A"/>
    <w:rsid w:val="000F65E7"/>
    <w:rsid w:val="000F6F52"/>
    <w:rsid w:val="000F7774"/>
    <w:rsid w:val="000F78B3"/>
    <w:rsid w:val="000F78E2"/>
    <w:rsid w:val="000F7BE7"/>
    <w:rsid w:val="0010081E"/>
    <w:rsid w:val="00100EFC"/>
    <w:rsid w:val="00101FCC"/>
    <w:rsid w:val="00102F93"/>
    <w:rsid w:val="00103295"/>
    <w:rsid w:val="0010472C"/>
    <w:rsid w:val="0010558D"/>
    <w:rsid w:val="001057BC"/>
    <w:rsid w:val="00107F09"/>
    <w:rsid w:val="00110B15"/>
    <w:rsid w:val="00111535"/>
    <w:rsid w:val="001124F2"/>
    <w:rsid w:val="001125F4"/>
    <w:rsid w:val="001135A8"/>
    <w:rsid w:val="00114272"/>
    <w:rsid w:val="00114B5E"/>
    <w:rsid w:val="001159CD"/>
    <w:rsid w:val="001159D7"/>
    <w:rsid w:val="00116F4B"/>
    <w:rsid w:val="001176E5"/>
    <w:rsid w:val="00121327"/>
    <w:rsid w:val="001219BA"/>
    <w:rsid w:val="00121DFD"/>
    <w:rsid w:val="0012243B"/>
    <w:rsid w:val="001237E0"/>
    <w:rsid w:val="00123EB7"/>
    <w:rsid w:val="00124797"/>
    <w:rsid w:val="00126B3C"/>
    <w:rsid w:val="00126CF3"/>
    <w:rsid w:val="00127579"/>
    <w:rsid w:val="00130640"/>
    <w:rsid w:val="0013205C"/>
    <w:rsid w:val="001337E3"/>
    <w:rsid w:val="00134A4E"/>
    <w:rsid w:val="00135386"/>
    <w:rsid w:val="00135EB6"/>
    <w:rsid w:val="0013617B"/>
    <w:rsid w:val="00136BCA"/>
    <w:rsid w:val="00136BF9"/>
    <w:rsid w:val="001372F7"/>
    <w:rsid w:val="00140B75"/>
    <w:rsid w:val="00141C35"/>
    <w:rsid w:val="001425E6"/>
    <w:rsid w:val="0014339F"/>
    <w:rsid w:val="00143934"/>
    <w:rsid w:val="001441E5"/>
    <w:rsid w:val="001457B3"/>
    <w:rsid w:val="00146E89"/>
    <w:rsid w:val="001470F3"/>
    <w:rsid w:val="0015111D"/>
    <w:rsid w:val="0015245D"/>
    <w:rsid w:val="001526DB"/>
    <w:rsid w:val="00152A7E"/>
    <w:rsid w:val="001531D5"/>
    <w:rsid w:val="00153404"/>
    <w:rsid w:val="0015456E"/>
    <w:rsid w:val="00160D6E"/>
    <w:rsid w:val="001635EA"/>
    <w:rsid w:val="00163965"/>
    <w:rsid w:val="00163FC5"/>
    <w:rsid w:val="00164596"/>
    <w:rsid w:val="001663BA"/>
    <w:rsid w:val="00166B64"/>
    <w:rsid w:val="001675A1"/>
    <w:rsid w:val="001679B8"/>
    <w:rsid w:val="00167A82"/>
    <w:rsid w:val="001717AF"/>
    <w:rsid w:val="00172501"/>
    <w:rsid w:val="00172613"/>
    <w:rsid w:val="00172797"/>
    <w:rsid w:val="00172D1B"/>
    <w:rsid w:val="00174965"/>
    <w:rsid w:val="00174AD9"/>
    <w:rsid w:val="00175E58"/>
    <w:rsid w:val="00177F0F"/>
    <w:rsid w:val="001825E4"/>
    <w:rsid w:val="00182875"/>
    <w:rsid w:val="00184B37"/>
    <w:rsid w:val="00184F02"/>
    <w:rsid w:val="00184F2D"/>
    <w:rsid w:val="00185231"/>
    <w:rsid w:val="00185961"/>
    <w:rsid w:val="00186402"/>
    <w:rsid w:val="0018785D"/>
    <w:rsid w:val="00187DB0"/>
    <w:rsid w:val="0019010E"/>
    <w:rsid w:val="00191BE9"/>
    <w:rsid w:val="001920ED"/>
    <w:rsid w:val="00192BA9"/>
    <w:rsid w:val="0019457F"/>
    <w:rsid w:val="001945EE"/>
    <w:rsid w:val="00195374"/>
    <w:rsid w:val="00196B08"/>
    <w:rsid w:val="00196C4E"/>
    <w:rsid w:val="00196E80"/>
    <w:rsid w:val="00196E9C"/>
    <w:rsid w:val="00197AA5"/>
    <w:rsid w:val="001A0F22"/>
    <w:rsid w:val="001A1D5F"/>
    <w:rsid w:val="001A37A6"/>
    <w:rsid w:val="001A5043"/>
    <w:rsid w:val="001A5432"/>
    <w:rsid w:val="001A6498"/>
    <w:rsid w:val="001A707F"/>
    <w:rsid w:val="001B3847"/>
    <w:rsid w:val="001B4F57"/>
    <w:rsid w:val="001B5734"/>
    <w:rsid w:val="001B580D"/>
    <w:rsid w:val="001B59C3"/>
    <w:rsid w:val="001C0B4B"/>
    <w:rsid w:val="001C3AFE"/>
    <w:rsid w:val="001C4F32"/>
    <w:rsid w:val="001C53E9"/>
    <w:rsid w:val="001C72E3"/>
    <w:rsid w:val="001D0B73"/>
    <w:rsid w:val="001D2096"/>
    <w:rsid w:val="001D29AC"/>
    <w:rsid w:val="001D4E8B"/>
    <w:rsid w:val="001D5213"/>
    <w:rsid w:val="001D7617"/>
    <w:rsid w:val="001D79FC"/>
    <w:rsid w:val="001E03A7"/>
    <w:rsid w:val="001E0B39"/>
    <w:rsid w:val="001E1DAF"/>
    <w:rsid w:val="001E1E79"/>
    <w:rsid w:val="001E34A3"/>
    <w:rsid w:val="001E3688"/>
    <w:rsid w:val="001E394A"/>
    <w:rsid w:val="001E39CA"/>
    <w:rsid w:val="001E4BCE"/>
    <w:rsid w:val="001E4F1B"/>
    <w:rsid w:val="001E5020"/>
    <w:rsid w:val="001F0A8E"/>
    <w:rsid w:val="001F14F9"/>
    <w:rsid w:val="001F2C53"/>
    <w:rsid w:val="001F31FE"/>
    <w:rsid w:val="001F34F8"/>
    <w:rsid w:val="001F375D"/>
    <w:rsid w:val="001F38FB"/>
    <w:rsid w:val="001F3B2E"/>
    <w:rsid w:val="001F71D2"/>
    <w:rsid w:val="001F73B6"/>
    <w:rsid w:val="001F7650"/>
    <w:rsid w:val="00200ACD"/>
    <w:rsid w:val="00202BC4"/>
    <w:rsid w:val="00203490"/>
    <w:rsid w:val="00203701"/>
    <w:rsid w:val="00203B60"/>
    <w:rsid w:val="00203D36"/>
    <w:rsid w:val="00204015"/>
    <w:rsid w:val="002054E7"/>
    <w:rsid w:val="00205A55"/>
    <w:rsid w:val="00205AD1"/>
    <w:rsid w:val="00206BB9"/>
    <w:rsid w:val="00206C60"/>
    <w:rsid w:val="0020701C"/>
    <w:rsid w:val="0020701D"/>
    <w:rsid w:val="002073EA"/>
    <w:rsid w:val="002075BD"/>
    <w:rsid w:val="0020792D"/>
    <w:rsid w:val="00210767"/>
    <w:rsid w:val="002116FD"/>
    <w:rsid w:val="00211ED7"/>
    <w:rsid w:val="00212738"/>
    <w:rsid w:val="00212FA6"/>
    <w:rsid w:val="0021490D"/>
    <w:rsid w:val="002167E8"/>
    <w:rsid w:val="00216F8F"/>
    <w:rsid w:val="0021732D"/>
    <w:rsid w:val="0021794D"/>
    <w:rsid w:val="00217C72"/>
    <w:rsid w:val="00220040"/>
    <w:rsid w:val="00220EB5"/>
    <w:rsid w:val="0022105F"/>
    <w:rsid w:val="00223065"/>
    <w:rsid w:val="002234EE"/>
    <w:rsid w:val="00223E83"/>
    <w:rsid w:val="0022671F"/>
    <w:rsid w:val="0022761E"/>
    <w:rsid w:val="00227932"/>
    <w:rsid w:val="00230489"/>
    <w:rsid w:val="00232A60"/>
    <w:rsid w:val="0023365A"/>
    <w:rsid w:val="00234313"/>
    <w:rsid w:val="002344F4"/>
    <w:rsid w:val="002348B5"/>
    <w:rsid w:val="00235477"/>
    <w:rsid w:val="0023633E"/>
    <w:rsid w:val="0023705B"/>
    <w:rsid w:val="002373CC"/>
    <w:rsid w:val="00237C91"/>
    <w:rsid w:val="0024027A"/>
    <w:rsid w:val="00240508"/>
    <w:rsid w:val="002405EF"/>
    <w:rsid w:val="00240603"/>
    <w:rsid w:val="00240653"/>
    <w:rsid w:val="00240B6F"/>
    <w:rsid w:val="002417B5"/>
    <w:rsid w:val="00241EDC"/>
    <w:rsid w:val="00242D52"/>
    <w:rsid w:val="002439EF"/>
    <w:rsid w:val="002465B1"/>
    <w:rsid w:val="00246C46"/>
    <w:rsid w:val="002519A6"/>
    <w:rsid w:val="00251E69"/>
    <w:rsid w:val="00253A44"/>
    <w:rsid w:val="00253C6A"/>
    <w:rsid w:val="00253FFC"/>
    <w:rsid w:val="00256E7A"/>
    <w:rsid w:val="002576D5"/>
    <w:rsid w:val="00257A38"/>
    <w:rsid w:val="0026051D"/>
    <w:rsid w:val="00260D31"/>
    <w:rsid w:val="00261514"/>
    <w:rsid w:val="002616AC"/>
    <w:rsid w:val="00262035"/>
    <w:rsid w:val="00262292"/>
    <w:rsid w:val="00264B8C"/>
    <w:rsid w:val="00264B90"/>
    <w:rsid w:val="002652E2"/>
    <w:rsid w:val="002658B9"/>
    <w:rsid w:val="002666F3"/>
    <w:rsid w:val="0027162D"/>
    <w:rsid w:val="0027178C"/>
    <w:rsid w:val="00271E8C"/>
    <w:rsid w:val="00272DB1"/>
    <w:rsid w:val="00277350"/>
    <w:rsid w:val="00281B57"/>
    <w:rsid w:val="002833DF"/>
    <w:rsid w:val="00283722"/>
    <w:rsid w:val="002844EF"/>
    <w:rsid w:val="00285869"/>
    <w:rsid w:val="002859CC"/>
    <w:rsid w:val="0028620E"/>
    <w:rsid w:val="00286E9C"/>
    <w:rsid w:val="00286F02"/>
    <w:rsid w:val="00290940"/>
    <w:rsid w:val="002913BB"/>
    <w:rsid w:val="00291598"/>
    <w:rsid w:val="00292946"/>
    <w:rsid w:val="00292EA6"/>
    <w:rsid w:val="002931FE"/>
    <w:rsid w:val="00293F66"/>
    <w:rsid w:val="0029400F"/>
    <w:rsid w:val="00295075"/>
    <w:rsid w:val="002954BC"/>
    <w:rsid w:val="00297024"/>
    <w:rsid w:val="00297DE5"/>
    <w:rsid w:val="00297EEF"/>
    <w:rsid w:val="002A0E75"/>
    <w:rsid w:val="002A2975"/>
    <w:rsid w:val="002A3134"/>
    <w:rsid w:val="002A3AA3"/>
    <w:rsid w:val="002A3E4A"/>
    <w:rsid w:val="002A3E5D"/>
    <w:rsid w:val="002A45BB"/>
    <w:rsid w:val="002A4DA4"/>
    <w:rsid w:val="002A5B70"/>
    <w:rsid w:val="002A69C6"/>
    <w:rsid w:val="002A6D39"/>
    <w:rsid w:val="002A73C9"/>
    <w:rsid w:val="002A7AB8"/>
    <w:rsid w:val="002A7BD8"/>
    <w:rsid w:val="002B02EE"/>
    <w:rsid w:val="002B0378"/>
    <w:rsid w:val="002B0805"/>
    <w:rsid w:val="002B1D9D"/>
    <w:rsid w:val="002B2761"/>
    <w:rsid w:val="002B470E"/>
    <w:rsid w:val="002B4B9C"/>
    <w:rsid w:val="002B6A2B"/>
    <w:rsid w:val="002B6BED"/>
    <w:rsid w:val="002C0150"/>
    <w:rsid w:val="002C0AC7"/>
    <w:rsid w:val="002C1467"/>
    <w:rsid w:val="002C3A30"/>
    <w:rsid w:val="002C40F9"/>
    <w:rsid w:val="002C4DB2"/>
    <w:rsid w:val="002C5DDC"/>
    <w:rsid w:val="002C5E7F"/>
    <w:rsid w:val="002C7A98"/>
    <w:rsid w:val="002C7C89"/>
    <w:rsid w:val="002D0B65"/>
    <w:rsid w:val="002D0F87"/>
    <w:rsid w:val="002D1D0B"/>
    <w:rsid w:val="002D1EC8"/>
    <w:rsid w:val="002D2680"/>
    <w:rsid w:val="002D36AD"/>
    <w:rsid w:val="002D371A"/>
    <w:rsid w:val="002D4274"/>
    <w:rsid w:val="002D5644"/>
    <w:rsid w:val="002D5A07"/>
    <w:rsid w:val="002D7993"/>
    <w:rsid w:val="002E1E56"/>
    <w:rsid w:val="002E271C"/>
    <w:rsid w:val="002E4BBB"/>
    <w:rsid w:val="002E62DC"/>
    <w:rsid w:val="002E7954"/>
    <w:rsid w:val="002E7CB4"/>
    <w:rsid w:val="002F07FE"/>
    <w:rsid w:val="002F132E"/>
    <w:rsid w:val="002F18F5"/>
    <w:rsid w:val="002F38B7"/>
    <w:rsid w:val="002F3A69"/>
    <w:rsid w:val="002F6BA9"/>
    <w:rsid w:val="002F6CA4"/>
    <w:rsid w:val="002F796B"/>
    <w:rsid w:val="0030016A"/>
    <w:rsid w:val="00300705"/>
    <w:rsid w:val="003007C8"/>
    <w:rsid w:val="003016CD"/>
    <w:rsid w:val="00301D7C"/>
    <w:rsid w:val="0030334D"/>
    <w:rsid w:val="00304332"/>
    <w:rsid w:val="00305107"/>
    <w:rsid w:val="0030537F"/>
    <w:rsid w:val="00305C03"/>
    <w:rsid w:val="00307542"/>
    <w:rsid w:val="00307EC9"/>
    <w:rsid w:val="00310230"/>
    <w:rsid w:val="0031156B"/>
    <w:rsid w:val="00311D86"/>
    <w:rsid w:val="003121A6"/>
    <w:rsid w:val="0031328F"/>
    <w:rsid w:val="003136E1"/>
    <w:rsid w:val="00313794"/>
    <w:rsid w:val="003143A2"/>
    <w:rsid w:val="00315B4B"/>
    <w:rsid w:val="00316398"/>
    <w:rsid w:val="00316A16"/>
    <w:rsid w:val="00317A11"/>
    <w:rsid w:val="00320953"/>
    <w:rsid w:val="0032167B"/>
    <w:rsid w:val="00321E94"/>
    <w:rsid w:val="00323A5F"/>
    <w:rsid w:val="00323BC8"/>
    <w:rsid w:val="00323F0C"/>
    <w:rsid w:val="003255EE"/>
    <w:rsid w:val="00326100"/>
    <w:rsid w:val="0032655B"/>
    <w:rsid w:val="00326DB1"/>
    <w:rsid w:val="00330E42"/>
    <w:rsid w:val="00331293"/>
    <w:rsid w:val="00332042"/>
    <w:rsid w:val="00332675"/>
    <w:rsid w:val="00332FAF"/>
    <w:rsid w:val="00333D38"/>
    <w:rsid w:val="00334039"/>
    <w:rsid w:val="00334E12"/>
    <w:rsid w:val="00334EC2"/>
    <w:rsid w:val="00334EFD"/>
    <w:rsid w:val="0033597A"/>
    <w:rsid w:val="00336506"/>
    <w:rsid w:val="003366AF"/>
    <w:rsid w:val="003378D6"/>
    <w:rsid w:val="00337D84"/>
    <w:rsid w:val="00340B07"/>
    <w:rsid w:val="00342926"/>
    <w:rsid w:val="0034428F"/>
    <w:rsid w:val="00344DA6"/>
    <w:rsid w:val="00345030"/>
    <w:rsid w:val="003453F2"/>
    <w:rsid w:val="00345E76"/>
    <w:rsid w:val="00347607"/>
    <w:rsid w:val="00347820"/>
    <w:rsid w:val="00347ED4"/>
    <w:rsid w:val="0035022A"/>
    <w:rsid w:val="00351105"/>
    <w:rsid w:val="0035272E"/>
    <w:rsid w:val="003541B9"/>
    <w:rsid w:val="003547C4"/>
    <w:rsid w:val="00355517"/>
    <w:rsid w:val="00356912"/>
    <w:rsid w:val="003573AC"/>
    <w:rsid w:val="003574BA"/>
    <w:rsid w:val="003574C3"/>
    <w:rsid w:val="00362A5B"/>
    <w:rsid w:val="00363A01"/>
    <w:rsid w:val="003656EE"/>
    <w:rsid w:val="00365C69"/>
    <w:rsid w:val="0036696C"/>
    <w:rsid w:val="00366CF0"/>
    <w:rsid w:val="00366F88"/>
    <w:rsid w:val="00370043"/>
    <w:rsid w:val="0037086E"/>
    <w:rsid w:val="00370AA5"/>
    <w:rsid w:val="00370CBD"/>
    <w:rsid w:val="0037155D"/>
    <w:rsid w:val="00371A1D"/>
    <w:rsid w:val="00371FFD"/>
    <w:rsid w:val="00373495"/>
    <w:rsid w:val="003753E8"/>
    <w:rsid w:val="0037550D"/>
    <w:rsid w:val="00375563"/>
    <w:rsid w:val="00380B88"/>
    <w:rsid w:val="00380C50"/>
    <w:rsid w:val="00381D62"/>
    <w:rsid w:val="003831C7"/>
    <w:rsid w:val="00383332"/>
    <w:rsid w:val="003839D6"/>
    <w:rsid w:val="00383ADC"/>
    <w:rsid w:val="00383AF5"/>
    <w:rsid w:val="003841D6"/>
    <w:rsid w:val="003848A6"/>
    <w:rsid w:val="003849D8"/>
    <w:rsid w:val="00384A4B"/>
    <w:rsid w:val="003859AA"/>
    <w:rsid w:val="00385AC7"/>
    <w:rsid w:val="00385D8E"/>
    <w:rsid w:val="0038699A"/>
    <w:rsid w:val="00386C7B"/>
    <w:rsid w:val="003873C1"/>
    <w:rsid w:val="0038753F"/>
    <w:rsid w:val="0038792B"/>
    <w:rsid w:val="00387E01"/>
    <w:rsid w:val="00387E56"/>
    <w:rsid w:val="003909B4"/>
    <w:rsid w:val="00391CD1"/>
    <w:rsid w:val="00392496"/>
    <w:rsid w:val="00395D04"/>
    <w:rsid w:val="00395FA3"/>
    <w:rsid w:val="003963A5"/>
    <w:rsid w:val="00396B13"/>
    <w:rsid w:val="00396D34"/>
    <w:rsid w:val="00396F2E"/>
    <w:rsid w:val="00397898"/>
    <w:rsid w:val="00397A39"/>
    <w:rsid w:val="003A07BB"/>
    <w:rsid w:val="003A1A0F"/>
    <w:rsid w:val="003A2794"/>
    <w:rsid w:val="003A42BB"/>
    <w:rsid w:val="003A42DD"/>
    <w:rsid w:val="003A53F1"/>
    <w:rsid w:val="003A5CE7"/>
    <w:rsid w:val="003A6CEF"/>
    <w:rsid w:val="003A7270"/>
    <w:rsid w:val="003A75EE"/>
    <w:rsid w:val="003A79A3"/>
    <w:rsid w:val="003B00F7"/>
    <w:rsid w:val="003B1AF4"/>
    <w:rsid w:val="003B2B67"/>
    <w:rsid w:val="003B31CC"/>
    <w:rsid w:val="003B3921"/>
    <w:rsid w:val="003B3A0C"/>
    <w:rsid w:val="003B3A90"/>
    <w:rsid w:val="003B7157"/>
    <w:rsid w:val="003B7C5F"/>
    <w:rsid w:val="003C30DC"/>
    <w:rsid w:val="003C5FB2"/>
    <w:rsid w:val="003C676B"/>
    <w:rsid w:val="003C676E"/>
    <w:rsid w:val="003C6C07"/>
    <w:rsid w:val="003C6C27"/>
    <w:rsid w:val="003D1738"/>
    <w:rsid w:val="003D28E0"/>
    <w:rsid w:val="003D3B36"/>
    <w:rsid w:val="003D4927"/>
    <w:rsid w:val="003D58EE"/>
    <w:rsid w:val="003D657B"/>
    <w:rsid w:val="003D6731"/>
    <w:rsid w:val="003D693C"/>
    <w:rsid w:val="003D7047"/>
    <w:rsid w:val="003D7B0F"/>
    <w:rsid w:val="003D7BDA"/>
    <w:rsid w:val="003E0292"/>
    <w:rsid w:val="003E09E6"/>
    <w:rsid w:val="003E0DA8"/>
    <w:rsid w:val="003E1519"/>
    <w:rsid w:val="003E1D3A"/>
    <w:rsid w:val="003E1EA6"/>
    <w:rsid w:val="003E27E3"/>
    <w:rsid w:val="003E439A"/>
    <w:rsid w:val="003E650B"/>
    <w:rsid w:val="003E6ADA"/>
    <w:rsid w:val="003E727A"/>
    <w:rsid w:val="003F120E"/>
    <w:rsid w:val="003F1E86"/>
    <w:rsid w:val="003F1F5E"/>
    <w:rsid w:val="003F2A4D"/>
    <w:rsid w:val="003F2D57"/>
    <w:rsid w:val="003F3381"/>
    <w:rsid w:val="003F34B5"/>
    <w:rsid w:val="003F3963"/>
    <w:rsid w:val="003F686F"/>
    <w:rsid w:val="003F7415"/>
    <w:rsid w:val="003F7AF2"/>
    <w:rsid w:val="003F7AF3"/>
    <w:rsid w:val="00400A03"/>
    <w:rsid w:val="00402399"/>
    <w:rsid w:val="00402432"/>
    <w:rsid w:val="00403724"/>
    <w:rsid w:val="00403DEB"/>
    <w:rsid w:val="00404CF6"/>
    <w:rsid w:val="00405365"/>
    <w:rsid w:val="00405A49"/>
    <w:rsid w:val="0040715F"/>
    <w:rsid w:val="004072E8"/>
    <w:rsid w:val="004077EC"/>
    <w:rsid w:val="00407CCC"/>
    <w:rsid w:val="0041255A"/>
    <w:rsid w:val="00412995"/>
    <w:rsid w:val="00412CF1"/>
    <w:rsid w:val="00413044"/>
    <w:rsid w:val="00413715"/>
    <w:rsid w:val="00413FE9"/>
    <w:rsid w:val="00415174"/>
    <w:rsid w:val="00415734"/>
    <w:rsid w:val="00415FDB"/>
    <w:rsid w:val="00416152"/>
    <w:rsid w:val="0041641F"/>
    <w:rsid w:val="00416733"/>
    <w:rsid w:val="00417320"/>
    <w:rsid w:val="0041785F"/>
    <w:rsid w:val="00417EA5"/>
    <w:rsid w:val="00420C8D"/>
    <w:rsid w:val="00421F0E"/>
    <w:rsid w:val="00422375"/>
    <w:rsid w:val="004239DA"/>
    <w:rsid w:val="00424034"/>
    <w:rsid w:val="00424AE5"/>
    <w:rsid w:val="0042546B"/>
    <w:rsid w:val="004256C9"/>
    <w:rsid w:val="00426D86"/>
    <w:rsid w:val="00427393"/>
    <w:rsid w:val="004312E5"/>
    <w:rsid w:val="004333CA"/>
    <w:rsid w:val="004342D5"/>
    <w:rsid w:val="004346C0"/>
    <w:rsid w:val="00434C51"/>
    <w:rsid w:val="00435007"/>
    <w:rsid w:val="004351F1"/>
    <w:rsid w:val="00435C9C"/>
    <w:rsid w:val="00436F46"/>
    <w:rsid w:val="00437C16"/>
    <w:rsid w:val="00440EE5"/>
    <w:rsid w:val="00441C72"/>
    <w:rsid w:val="0044351C"/>
    <w:rsid w:val="00444182"/>
    <w:rsid w:val="004448A1"/>
    <w:rsid w:val="00444AF2"/>
    <w:rsid w:val="00445197"/>
    <w:rsid w:val="00446A3C"/>
    <w:rsid w:val="00450652"/>
    <w:rsid w:val="0045067D"/>
    <w:rsid w:val="0045098F"/>
    <w:rsid w:val="00450F4C"/>
    <w:rsid w:val="0045288E"/>
    <w:rsid w:val="004530D4"/>
    <w:rsid w:val="004531DB"/>
    <w:rsid w:val="004539F6"/>
    <w:rsid w:val="00455455"/>
    <w:rsid w:val="0045559E"/>
    <w:rsid w:val="00456F0D"/>
    <w:rsid w:val="00460168"/>
    <w:rsid w:val="00460D70"/>
    <w:rsid w:val="00461770"/>
    <w:rsid w:val="004619CE"/>
    <w:rsid w:val="00463CA1"/>
    <w:rsid w:val="004650FC"/>
    <w:rsid w:val="00465BFB"/>
    <w:rsid w:val="004666BD"/>
    <w:rsid w:val="0046766B"/>
    <w:rsid w:val="0047003E"/>
    <w:rsid w:val="0047101C"/>
    <w:rsid w:val="00473670"/>
    <w:rsid w:val="00475A2C"/>
    <w:rsid w:val="00475E4B"/>
    <w:rsid w:val="00476559"/>
    <w:rsid w:val="00476772"/>
    <w:rsid w:val="00476BD6"/>
    <w:rsid w:val="004776BF"/>
    <w:rsid w:val="0048242F"/>
    <w:rsid w:val="00482B7C"/>
    <w:rsid w:val="00484836"/>
    <w:rsid w:val="00484B3F"/>
    <w:rsid w:val="004854E5"/>
    <w:rsid w:val="004857F6"/>
    <w:rsid w:val="00487FE7"/>
    <w:rsid w:val="00491523"/>
    <w:rsid w:val="00491970"/>
    <w:rsid w:val="004919D9"/>
    <w:rsid w:val="00491B8C"/>
    <w:rsid w:val="00491C05"/>
    <w:rsid w:val="00492126"/>
    <w:rsid w:val="0049250E"/>
    <w:rsid w:val="00494150"/>
    <w:rsid w:val="0049485E"/>
    <w:rsid w:val="00494F17"/>
    <w:rsid w:val="0049569F"/>
    <w:rsid w:val="004958DA"/>
    <w:rsid w:val="004964A1"/>
    <w:rsid w:val="00497898"/>
    <w:rsid w:val="004A127A"/>
    <w:rsid w:val="004A1CFB"/>
    <w:rsid w:val="004A3367"/>
    <w:rsid w:val="004A59DA"/>
    <w:rsid w:val="004A59E9"/>
    <w:rsid w:val="004A6E3A"/>
    <w:rsid w:val="004A77B6"/>
    <w:rsid w:val="004A7DED"/>
    <w:rsid w:val="004B0E39"/>
    <w:rsid w:val="004B1024"/>
    <w:rsid w:val="004B18C4"/>
    <w:rsid w:val="004B1E59"/>
    <w:rsid w:val="004B2051"/>
    <w:rsid w:val="004B2541"/>
    <w:rsid w:val="004B2DC5"/>
    <w:rsid w:val="004B44A5"/>
    <w:rsid w:val="004B5A87"/>
    <w:rsid w:val="004B5C6E"/>
    <w:rsid w:val="004B66ED"/>
    <w:rsid w:val="004B6718"/>
    <w:rsid w:val="004B6948"/>
    <w:rsid w:val="004B7209"/>
    <w:rsid w:val="004B7C50"/>
    <w:rsid w:val="004C10BF"/>
    <w:rsid w:val="004C164E"/>
    <w:rsid w:val="004C2772"/>
    <w:rsid w:val="004C3023"/>
    <w:rsid w:val="004C37F5"/>
    <w:rsid w:val="004C3D1F"/>
    <w:rsid w:val="004C5B5B"/>
    <w:rsid w:val="004C726A"/>
    <w:rsid w:val="004C7990"/>
    <w:rsid w:val="004C7FE3"/>
    <w:rsid w:val="004D0F50"/>
    <w:rsid w:val="004D3A85"/>
    <w:rsid w:val="004D5B1A"/>
    <w:rsid w:val="004D5F0B"/>
    <w:rsid w:val="004D63E2"/>
    <w:rsid w:val="004D7A4F"/>
    <w:rsid w:val="004D7F69"/>
    <w:rsid w:val="004E034F"/>
    <w:rsid w:val="004E047B"/>
    <w:rsid w:val="004E114C"/>
    <w:rsid w:val="004E199F"/>
    <w:rsid w:val="004E1BC7"/>
    <w:rsid w:val="004E1C17"/>
    <w:rsid w:val="004E3610"/>
    <w:rsid w:val="004E3FBF"/>
    <w:rsid w:val="004E4874"/>
    <w:rsid w:val="004E539A"/>
    <w:rsid w:val="004F00B1"/>
    <w:rsid w:val="004F1B07"/>
    <w:rsid w:val="004F2FE6"/>
    <w:rsid w:val="004F39DE"/>
    <w:rsid w:val="004F45D9"/>
    <w:rsid w:val="004F4D0F"/>
    <w:rsid w:val="004F567A"/>
    <w:rsid w:val="004F6A19"/>
    <w:rsid w:val="004F769C"/>
    <w:rsid w:val="004F7752"/>
    <w:rsid w:val="00500569"/>
    <w:rsid w:val="00500AED"/>
    <w:rsid w:val="005012C2"/>
    <w:rsid w:val="005012CF"/>
    <w:rsid w:val="00502345"/>
    <w:rsid w:val="005044CC"/>
    <w:rsid w:val="0050474C"/>
    <w:rsid w:val="00505063"/>
    <w:rsid w:val="005052A3"/>
    <w:rsid w:val="005070FC"/>
    <w:rsid w:val="00507E0F"/>
    <w:rsid w:val="00510725"/>
    <w:rsid w:val="0051203F"/>
    <w:rsid w:val="0051248B"/>
    <w:rsid w:val="005129B8"/>
    <w:rsid w:val="005133AF"/>
    <w:rsid w:val="0051505F"/>
    <w:rsid w:val="00515320"/>
    <w:rsid w:val="0051558B"/>
    <w:rsid w:val="00515676"/>
    <w:rsid w:val="00516C3D"/>
    <w:rsid w:val="00516F5C"/>
    <w:rsid w:val="005173BD"/>
    <w:rsid w:val="00517C40"/>
    <w:rsid w:val="005206C1"/>
    <w:rsid w:val="005219EC"/>
    <w:rsid w:val="005230F0"/>
    <w:rsid w:val="0052320B"/>
    <w:rsid w:val="00523728"/>
    <w:rsid w:val="00523C3D"/>
    <w:rsid w:val="00525073"/>
    <w:rsid w:val="0052704D"/>
    <w:rsid w:val="0052708D"/>
    <w:rsid w:val="00527B45"/>
    <w:rsid w:val="005306C3"/>
    <w:rsid w:val="00531211"/>
    <w:rsid w:val="00531A93"/>
    <w:rsid w:val="00531B55"/>
    <w:rsid w:val="00532052"/>
    <w:rsid w:val="0053332C"/>
    <w:rsid w:val="0053393B"/>
    <w:rsid w:val="00534DC1"/>
    <w:rsid w:val="00536B8B"/>
    <w:rsid w:val="00537A3F"/>
    <w:rsid w:val="00540B7A"/>
    <w:rsid w:val="0054182B"/>
    <w:rsid w:val="0054290F"/>
    <w:rsid w:val="00543218"/>
    <w:rsid w:val="005435BE"/>
    <w:rsid w:val="00543AD9"/>
    <w:rsid w:val="00544FC9"/>
    <w:rsid w:val="00545945"/>
    <w:rsid w:val="0054758F"/>
    <w:rsid w:val="00551F3D"/>
    <w:rsid w:val="00552440"/>
    <w:rsid w:val="00552A27"/>
    <w:rsid w:val="0055321F"/>
    <w:rsid w:val="00553225"/>
    <w:rsid w:val="00553883"/>
    <w:rsid w:val="00553D3E"/>
    <w:rsid w:val="00554798"/>
    <w:rsid w:val="00555A32"/>
    <w:rsid w:val="00556F7F"/>
    <w:rsid w:val="00557BD9"/>
    <w:rsid w:val="00557F2A"/>
    <w:rsid w:val="005609AE"/>
    <w:rsid w:val="005634F0"/>
    <w:rsid w:val="00563A6D"/>
    <w:rsid w:val="00563F61"/>
    <w:rsid w:val="00564697"/>
    <w:rsid w:val="0056580E"/>
    <w:rsid w:val="0056682B"/>
    <w:rsid w:val="005674DF"/>
    <w:rsid w:val="005677F5"/>
    <w:rsid w:val="0057047D"/>
    <w:rsid w:val="00570EA6"/>
    <w:rsid w:val="00571169"/>
    <w:rsid w:val="005724DC"/>
    <w:rsid w:val="0057509C"/>
    <w:rsid w:val="00575376"/>
    <w:rsid w:val="00576885"/>
    <w:rsid w:val="00577DE2"/>
    <w:rsid w:val="0058007A"/>
    <w:rsid w:val="005848D3"/>
    <w:rsid w:val="005864B7"/>
    <w:rsid w:val="00587329"/>
    <w:rsid w:val="005921F0"/>
    <w:rsid w:val="00593944"/>
    <w:rsid w:val="00595115"/>
    <w:rsid w:val="00595B3D"/>
    <w:rsid w:val="0059607D"/>
    <w:rsid w:val="00596922"/>
    <w:rsid w:val="005970BB"/>
    <w:rsid w:val="00597829"/>
    <w:rsid w:val="00597B7E"/>
    <w:rsid w:val="00597E27"/>
    <w:rsid w:val="005A06C2"/>
    <w:rsid w:val="005A2271"/>
    <w:rsid w:val="005A3015"/>
    <w:rsid w:val="005A411E"/>
    <w:rsid w:val="005A4D77"/>
    <w:rsid w:val="005A5171"/>
    <w:rsid w:val="005A5514"/>
    <w:rsid w:val="005A555D"/>
    <w:rsid w:val="005A78D6"/>
    <w:rsid w:val="005B15E1"/>
    <w:rsid w:val="005B1907"/>
    <w:rsid w:val="005B3019"/>
    <w:rsid w:val="005B3E8E"/>
    <w:rsid w:val="005B41AB"/>
    <w:rsid w:val="005B46D1"/>
    <w:rsid w:val="005B4DAE"/>
    <w:rsid w:val="005B4E0E"/>
    <w:rsid w:val="005B5960"/>
    <w:rsid w:val="005B59CB"/>
    <w:rsid w:val="005B65BC"/>
    <w:rsid w:val="005B7BDD"/>
    <w:rsid w:val="005B7DFF"/>
    <w:rsid w:val="005C1344"/>
    <w:rsid w:val="005C1638"/>
    <w:rsid w:val="005C1838"/>
    <w:rsid w:val="005C19BF"/>
    <w:rsid w:val="005C1D8B"/>
    <w:rsid w:val="005C2CD0"/>
    <w:rsid w:val="005C3200"/>
    <w:rsid w:val="005C428E"/>
    <w:rsid w:val="005C43D8"/>
    <w:rsid w:val="005C5FCC"/>
    <w:rsid w:val="005D11E5"/>
    <w:rsid w:val="005D3F20"/>
    <w:rsid w:val="005D5E19"/>
    <w:rsid w:val="005D7789"/>
    <w:rsid w:val="005D7899"/>
    <w:rsid w:val="005D7EFA"/>
    <w:rsid w:val="005D7FB5"/>
    <w:rsid w:val="005E0632"/>
    <w:rsid w:val="005E105C"/>
    <w:rsid w:val="005E14DB"/>
    <w:rsid w:val="005E192D"/>
    <w:rsid w:val="005E1B8D"/>
    <w:rsid w:val="005E2267"/>
    <w:rsid w:val="005E2957"/>
    <w:rsid w:val="005E37D8"/>
    <w:rsid w:val="005E3859"/>
    <w:rsid w:val="005E501A"/>
    <w:rsid w:val="005E5B5A"/>
    <w:rsid w:val="005E5EFD"/>
    <w:rsid w:val="005E66EA"/>
    <w:rsid w:val="005E6904"/>
    <w:rsid w:val="005F0326"/>
    <w:rsid w:val="005F0C79"/>
    <w:rsid w:val="005F0EFE"/>
    <w:rsid w:val="005F1764"/>
    <w:rsid w:val="005F2A3C"/>
    <w:rsid w:val="005F405C"/>
    <w:rsid w:val="005F4487"/>
    <w:rsid w:val="005F463A"/>
    <w:rsid w:val="005F75EA"/>
    <w:rsid w:val="005F7719"/>
    <w:rsid w:val="005F7D98"/>
    <w:rsid w:val="00600D87"/>
    <w:rsid w:val="00601CC3"/>
    <w:rsid w:val="00603F3E"/>
    <w:rsid w:val="0060407C"/>
    <w:rsid w:val="006048BF"/>
    <w:rsid w:val="00605223"/>
    <w:rsid w:val="00606963"/>
    <w:rsid w:val="00606E86"/>
    <w:rsid w:val="00607FD2"/>
    <w:rsid w:val="0061246C"/>
    <w:rsid w:val="006146A5"/>
    <w:rsid w:val="00615AEA"/>
    <w:rsid w:val="00616065"/>
    <w:rsid w:val="0061610F"/>
    <w:rsid w:val="00616210"/>
    <w:rsid w:val="00617E60"/>
    <w:rsid w:val="00620131"/>
    <w:rsid w:val="0062030A"/>
    <w:rsid w:val="00620331"/>
    <w:rsid w:val="006207B1"/>
    <w:rsid w:val="00620EAA"/>
    <w:rsid w:val="0062188B"/>
    <w:rsid w:val="00621E44"/>
    <w:rsid w:val="00624240"/>
    <w:rsid w:val="006246D2"/>
    <w:rsid w:val="006268EF"/>
    <w:rsid w:val="00626FB9"/>
    <w:rsid w:val="00630497"/>
    <w:rsid w:val="0063085F"/>
    <w:rsid w:val="00630B42"/>
    <w:rsid w:val="00632F24"/>
    <w:rsid w:val="0063363B"/>
    <w:rsid w:val="006344F4"/>
    <w:rsid w:val="00634747"/>
    <w:rsid w:val="00634D0F"/>
    <w:rsid w:val="0063507E"/>
    <w:rsid w:val="006358C4"/>
    <w:rsid w:val="0063701D"/>
    <w:rsid w:val="00637A06"/>
    <w:rsid w:val="00637B97"/>
    <w:rsid w:val="006406D7"/>
    <w:rsid w:val="006420D2"/>
    <w:rsid w:val="006420FB"/>
    <w:rsid w:val="0064452B"/>
    <w:rsid w:val="00645D6E"/>
    <w:rsid w:val="006461B6"/>
    <w:rsid w:val="006461E4"/>
    <w:rsid w:val="00646950"/>
    <w:rsid w:val="00646D66"/>
    <w:rsid w:val="00647383"/>
    <w:rsid w:val="006477D9"/>
    <w:rsid w:val="00650215"/>
    <w:rsid w:val="006510A8"/>
    <w:rsid w:val="006514FE"/>
    <w:rsid w:val="00651B33"/>
    <w:rsid w:val="006532CF"/>
    <w:rsid w:val="006536A1"/>
    <w:rsid w:val="006536F8"/>
    <w:rsid w:val="006538D6"/>
    <w:rsid w:val="00653C5A"/>
    <w:rsid w:val="00654829"/>
    <w:rsid w:val="00654AF9"/>
    <w:rsid w:val="006550E9"/>
    <w:rsid w:val="00655C89"/>
    <w:rsid w:val="006568CC"/>
    <w:rsid w:val="00657CE5"/>
    <w:rsid w:val="0066105A"/>
    <w:rsid w:val="00662019"/>
    <w:rsid w:val="006627E3"/>
    <w:rsid w:val="00662898"/>
    <w:rsid w:val="006641A9"/>
    <w:rsid w:val="006646C8"/>
    <w:rsid w:val="006647D9"/>
    <w:rsid w:val="00664E2E"/>
    <w:rsid w:val="00666A8B"/>
    <w:rsid w:val="00667983"/>
    <w:rsid w:val="00667DD1"/>
    <w:rsid w:val="00670C2D"/>
    <w:rsid w:val="006719BA"/>
    <w:rsid w:val="00673542"/>
    <w:rsid w:val="00673838"/>
    <w:rsid w:val="006739B8"/>
    <w:rsid w:val="0067446F"/>
    <w:rsid w:val="006744D9"/>
    <w:rsid w:val="0067458A"/>
    <w:rsid w:val="0067470E"/>
    <w:rsid w:val="0067485D"/>
    <w:rsid w:val="006817DD"/>
    <w:rsid w:val="0068186D"/>
    <w:rsid w:val="006825A5"/>
    <w:rsid w:val="00684839"/>
    <w:rsid w:val="0068503C"/>
    <w:rsid w:val="00685488"/>
    <w:rsid w:val="00686276"/>
    <w:rsid w:val="00686EFC"/>
    <w:rsid w:val="0068716E"/>
    <w:rsid w:val="006900C3"/>
    <w:rsid w:val="0069080A"/>
    <w:rsid w:val="00691425"/>
    <w:rsid w:val="00692B74"/>
    <w:rsid w:val="0069570E"/>
    <w:rsid w:val="00696162"/>
    <w:rsid w:val="00696FEF"/>
    <w:rsid w:val="006972CC"/>
    <w:rsid w:val="006979B7"/>
    <w:rsid w:val="006A01FD"/>
    <w:rsid w:val="006A068F"/>
    <w:rsid w:val="006A13EE"/>
    <w:rsid w:val="006A218D"/>
    <w:rsid w:val="006A2501"/>
    <w:rsid w:val="006A381D"/>
    <w:rsid w:val="006A3843"/>
    <w:rsid w:val="006A5EBF"/>
    <w:rsid w:val="006A66AB"/>
    <w:rsid w:val="006A778D"/>
    <w:rsid w:val="006A7F64"/>
    <w:rsid w:val="006B068E"/>
    <w:rsid w:val="006B1DFD"/>
    <w:rsid w:val="006B2B1A"/>
    <w:rsid w:val="006B2E88"/>
    <w:rsid w:val="006B433A"/>
    <w:rsid w:val="006B570B"/>
    <w:rsid w:val="006B5C65"/>
    <w:rsid w:val="006B61F3"/>
    <w:rsid w:val="006B6231"/>
    <w:rsid w:val="006C1ECB"/>
    <w:rsid w:val="006C3C33"/>
    <w:rsid w:val="006C4986"/>
    <w:rsid w:val="006C785B"/>
    <w:rsid w:val="006D092A"/>
    <w:rsid w:val="006D1CFD"/>
    <w:rsid w:val="006D34C5"/>
    <w:rsid w:val="006D6827"/>
    <w:rsid w:val="006D7022"/>
    <w:rsid w:val="006D730F"/>
    <w:rsid w:val="006D7641"/>
    <w:rsid w:val="006D7FC7"/>
    <w:rsid w:val="006E1487"/>
    <w:rsid w:val="006E15B3"/>
    <w:rsid w:val="006E215D"/>
    <w:rsid w:val="006E23BC"/>
    <w:rsid w:val="006E4DCD"/>
    <w:rsid w:val="006E5FB9"/>
    <w:rsid w:val="006E6957"/>
    <w:rsid w:val="006E6B48"/>
    <w:rsid w:val="006E7CFA"/>
    <w:rsid w:val="006F0800"/>
    <w:rsid w:val="006F0F00"/>
    <w:rsid w:val="006F1C9E"/>
    <w:rsid w:val="006F2886"/>
    <w:rsid w:val="006F2D76"/>
    <w:rsid w:val="006F3DFA"/>
    <w:rsid w:val="006F46F5"/>
    <w:rsid w:val="006F4E86"/>
    <w:rsid w:val="006F5A48"/>
    <w:rsid w:val="006F76AB"/>
    <w:rsid w:val="00700308"/>
    <w:rsid w:val="00700C91"/>
    <w:rsid w:val="00704215"/>
    <w:rsid w:val="00704DCD"/>
    <w:rsid w:val="00704E0E"/>
    <w:rsid w:val="007053CF"/>
    <w:rsid w:val="00706FC8"/>
    <w:rsid w:val="00707C4E"/>
    <w:rsid w:val="00710095"/>
    <w:rsid w:val="007106C1"/>
    <w:rsid w:val="007106F3"/>
    <w:rsid w:val="0071088B"/>
    <w:rsid w:val="0071148F"/>
    <w:rsid w:val="00711CD3"/>
    <w:rsid w:val="00711EA5"/>
    <w:rsid w:val="00712E41"/>
    <w:rsid w:val="0071369C"/>
    <w:rsid w:val="0071376D"/>
    <w:rsid w:val="00714126"/>
    <w:rsid w:val="00715B87"/>
    <w:rsid w:val="007219C0"/>
    <w:rsid w:val="00722E6F"/>
    <w:rsid w:val="00723349"/>
    <w:rsid w:val="007241D4"/>
    <w:rsid w:val="00724ACC"/>
    <w:rsid w:val="00724F3D"/>
    <w:rsid w:val="00725202"/>
    <w:rsid w:val="00725253"/>
    <w:rsid w:val="0072550A"/>
    <w:rsid w:val="00726273"/>
    <w:rsid w:val="00727632"/>
    <w:rsid w:val="00730D10"/>
    <w:rsid w:val="00730D14"/>
    <w:rsid w:val="007311F3"/>
    <w:rsid w:val="007320CA"/>
    <w:rsid w:val="007326B0"/>
    <w:rsid w:val="00732A34"/>
    <w:rsid w:val="00732C44"/>
    <w:rsid w:val="00733B40"/>
    <w:rsid w:val="00733BE3"/>
    <w:rsid w:val="00733F3C"/>
    <w:rsid w:val="0073579D"/>
    <w:rsid w:val="00735AB6"/>
    <w:rsid w:val="00735E1F"/>
    <w:rsid w:val="0073771A"/>
    <w:rsid w:val="0074163D"/>
    <w:rsid w:val="00741C1F"/>
    <w:rsid w:val="00742154"/>
    <w:rsid w:val="007423EE"/>
    <w:rsid w:val="00742B33"/>
    <w:rsid w:val="007431F6"/>
    <w:rsid w:val="0074321A"/>
    <w:rsid w:val="0074368D"/>
    <w:rsid w:val="00743A0F"/>
    <w:rsid w:val="00743D87"/>
    <w:rsid w:val="00743F60"/>
    <w:rsid w:val="00743F91"/>
    <w:rsid w:val="00745894"/>
    <w:rsid w:val="00745983"/>
    <w:rsid w:val="007459D1"/>
    <w:rsid w:val="00745E5A"/>
    <w:rsid w:val="00750183"/>
    <w:rsid w:val="0075092D"/>
    <w:rsid w:val="00751056"/>
    <w:rsid w:val="007520EC"/>
    <w:rsid w:val="00752254"/>
    <w:rsid w:val="0075280F"/>
    <w:rsid w:val="0075298B"/>
    <w:rsid w:val="00752C92"/>
    <w:rsid w:val="0075311E"/>
    <w:rsid w:val="00753B31"/>
    <w:rsid w:val="00754160"/>
    <w:rsid w:val="00757F5F"/>
    <w:rsid w:val="007612AC"/>
    <w:rsid w:val="00763A64"/>
    <w:rsid w:val="00764399"/>
    <w:rsid w:val="0076463A"/>
    <w:rsid w:val="007674A2"/>
    <w:rsid w:val="007676AC"/>
    <w:rsid w:val="0076783E"/>
    <w:rsid w:val="00767CCD"/>
    <w:rsid w:val="0077036F"/>
    <w:rsid w:val="007709A4"/>
    <w:rsid w:val="00771134"/>
    <w:rsid w:val="00772BEF"/>
    <w:rsid w:val="00773A53"/>
    <w:rsid w:val="00774469"/>
    <w:rsid w:val="00774E82"/>
    <w:rsid w:val="00775B40"/>
    <w:rsid w:val="00775CB5"/>
    <w:rsid w:val="00775CE4"/>
    <w:rsid w:val="00780063"/>
    <w:rsid w:val="0078049E"/>
    <w:rsid w:val="00780D7E"/>
    <w:rsid w:val="0078135D"/>
    <w:rsid w:val="00786066"/>
    <w:rsid w:val="007863E6"/>
    <w:rsid w:val="007866E0"/>
    <w:rsid w:val="00786859"/>
    <w:rsid w:val="0078760E"/>
    <w:rsid w:val="0079045C"/>
    <w:rsid w:val="00792968"/>
    <w:rsid w:val="00793C0C"/>
    <w:rsid w:val="00793E41"/>
    <w:rsid w:val="00795521"/>
    <w:rsid w:val="007955BE"/>
    <w:rsid w:val="00796E20"/>
    <w:rsid w:val="007970BD"/>
    <w:rsid w:val="007A10A1"/>
    <w:rsid w:val="007A1522"/>
    <w:rsid w:val="007A259A"/>
    <w:rsid w:val="007A5FAD"/>
    <w:rsid w:val="007A7348"/>
    <w:rsid w:val="007A7AEB"/>
    <w:rsid w:val="007B08FD"/>
    <w:rsid w:val="007B2E4C"/>
    <w:rsid w:val="007B2EE9"/>
    <w:rsid w:val="007B3CC2"/>
    <w:rsid w:val="007B42DB"/>
    <w:rsid w:val="007B449A"/>
    <w:rsid w:val="007B4C65"/>
    <w:rsid w:val="007B5603"/>
    <w:rsid w:val="007B7E4B"/>
    <w:rsid w:val="007C026F"/>
    <w:rsid w:val="007C18DC"/>
    <w:rsid w:val="007C2DD5"/>
    <w:rsid w:val="007C31BF"/>
    <w:rsid w:val="007C47E7"/>
    <w:rsid w:val="007C517E"/>
    <w:rsid w:val="007C5A0D"/>
    <w:rsid w:val="007C62C8"/>
    <w:rsid w:val="007C63C6"/>
    <w:rsid w:val="007C65E6"/>
    <w:rsid w:val="007C68F3"/>
    <w:rsid w:val="007D01AC"/>
    <w:rsid w:val="007D0B89"/>
    <w:rsid w:val="007D12AF"/>
    <w:rsid w:val="007D1844"/>
    <w:rsid w:val="007D2EF3"/>
    <w:rsid w:val="007D3239"/>
    <w:rsid w:val="007D3C1C"/>
    <w:rsid w:val="007D42BF"/>
    <w:rsid w:val="007D519E"/>
    <w:rsid w:val="007D788E"/>
    <w:rsid w:val="007E21D3"/>
    <w:rsid w:val="007E27EE"/>
    <w:rsid w:val="007E381C"/>
    <w:rsid w:val="007E49F5"/>
    <w:rsid w:val="007E6C85"/>
    <w:rsid w:val="007F2BE0"/>
    <w:rsid w:val="007F2D66"/>
    <w:rsid w:val="007F4D1F"/>
    <w:rsid w:val="007F5BBD"/>
    <w:rsid w:val="008025DD"/>
    <w:rsid w:val="008028D2"/>
    <w:rsid w:val="008039D7"/>
    <w:rsid w:val="00803A6B"/>
    <w:rsid w:val="00803C1D"/>
    <w:rsid w:val="008044CE"/>
    <w:rsid w:val="00804F36"/>
    <w:rsid w:val="00805C3B"/>
    <w:rsid w:val="00807F37"/>
    <w:rsid w:val="00811770"/>
    <w:rsid w:val="00811B21"/>
    <w:rsid w:val="008124CF"/>
    <w:rsid w:val="00812708"/>
    <w:rsid w:val="00812A76"/>
    <w:rsid w:val="00812BF7"/>
    <w:rsid w:val="008131C2"/>
    <w:rsid w:val="008148C3"/>
    <w:rsid w:val="00815E75"/>
    <w:rsid w:val="00822033"/>
    <w:rsid w:val="00822B55"/>
    <w:rsid w:val="00823F7A"/>
    <w:rsid w:val="008241D3"/>
    <w:rsid w:val="00824AC6"/>
    <w:rsid w:val="00825003"/>
    <w:rsid w:val="008261AA"/>
    <w:rsid w:val="008265CE"/>
    <w:rsid w:val="00826DDB"/>
    <w:rsid w:val="008275FD"/>
    <w:rsid w:val="00827627"/>
    <w:rsid w:val="0083026D"/>
    <w:rsid w:val="00830E0E"/>
    <w:rsid w:val="00830FAE"/>
    <w:rsid w:val="008317CA"/>
    <w:rsid w:val="00831E1D"/>
    <w:rsid w:val="00835EC7"/>
    <w:rsid w:val="00836CBA"/>
    <w:rsid w:val="00837F01"/>
    <w:rsid w:val="008401BB"/>
    <w:rsid w:val="00842AB5"/>
    <w:rsid w:val="00843D69"/>
    <w:rsid w:val="00843DF4"/>
    <w:rsid w:val="0084494F"/>
    <w:rsid w:val="008452B2"/>
    <w:rsid w:val="00845D3F"/>
    <w:rsid w:val="00845D8A"/>
    <w:rsid w:val="00846EDC"/>
    <w:rsid w:val="00846F7B"/>
    <w:rsid w:val="0084700F"/>
    <w:rsid w:val="00847068"/>
    <w:rsid w:val="0084755E"/>
    <w:rsid w:val="00847A92"/>
    <w:rsid w:val="00847EBD"/>
    <w:rsid w:val="008509DE"/>
    <w:rsid w:val="0085104D"/>
    <w:rsid w:val="008512BB"/>
    <w:rsid w:val="00852982"/>
    <w:rsid w:val="00852A11"/>
    <w:rsid w:val="00852CA4"/>
    <w:rsid w:val="008542D0"/>
    <w:rsid w:val="0085663E"/>
    <w:rsid w:val="0085715D"/>
    <w:rsid w:val="00860037"/>
    <w:rsid w:val="008602E1"/>
    <w:rsid w:val="0086110F"/>
    <w:rsid w:val="0086123D"/>
    <w:rsid w:val="00863F2D"/>
    <w:rsid w:val="0086451A"/>
    <w:rsid w:val="00864D02"/>
    <w:rsid w:val="00865F8D"/>
    <w:rsid w:val="0086757D"/>
    <w:rsid w:val="00867757"/>
    <w:rsid w:val="00870C7E"/>
    <w:rsid w:val="008710B6"/>
    <w:rsid w:val="00871256"/>
    <w:rsid w:val="008713F8"/>
    <w:rsid w:val="008715A5"/>
    <w:rsid w:val="00872F4E"/>
    <w:rsid w:val="0087303E"/>
    <w:rsid w:val="00873151"/>
    <w:rsid w:val="0087405A"/>
    <w:rsid w:val="00874B96"/>
    <w:rsid w:val="00874E30"/>
    <w:rsid w:val="00875307"/>
    <w:rsid w:val="00875698"/>
    <w:rsid w:val="00876647"/>
    <w:rsid w:val="00876A11"/>
    <w:rsid w:val="00876BE3"/>
    <w:rsid w:val="00877006"/>
    <w:rsid w:val="0087739F"/>
    <w:rsid w:val="00877F2A"/>
    <w:rsid w:val="00880C13"/>
    <w:rsid w:val="00881128"/>
    <w:rsid w:val="008814F2"/>
    <w:rsid w:val="00881840"/>
    <w:rsid w:val="00882215"/>
    <w:rsid w:val="008825DB"/>
    <w:rsid w:val="00882BDC"/>
    <w:rsid w:val="00883254"/>
    <w:rsid w:val="00883909"/>
    <w:rsid w:val="00883F95"/>
    <w:rsid w:val="008852B6"/>
    <w:rsid w:val="00885F12"/>
    <w:rsid w:val="008863FF"/>
    <w:rsid w:val="00886BB9"/>
    <w:rsid w:val="00886D13"/>
    <w:rsid w:val="008913ED"/>
    <w:rsid w:val="00892125"/>
    <w:rsid w:val="008928AA"/>
    <w:rsid w:val="008942D9"/>
    <w:rsid w:val="00896A66"/>
    <w:rsid w:val="00896ADB"/>
    <w:rsid w:val="0089737A"/>
    <w:rsid w:val="00897C90"/>
    <w:rsid w:val="008A0D4D"/>
    <w:rsid w:val="008A27FE"/>
    <w:rsid w:val="008A2928"/>
    <w:rsid w:val="008A2DCA"/>
    <w:rsid w:val="008A2E98"/>
    <w:rsid w:val="008A4014"/>
    <w:rsid w:val="008A425A"/>
    <w:rsid w:val="008A4461"/>
    <w:rsid w:val="008A4717"/>
    <w:rsid w:val="008A478E"/>
    <w:rsid w:val="008A4E0E"/>
    <w:rsid w:val="008A5F91"/>
    <w:rsid w:val="008A6AE8"/>
    <w:rsid w:val="008A6D63"/>
    <w:rsid w:val="008A79CC"/>
    <w:rsid w:val="008A7AF2"/>
    <w:rsid w:val="008B0572"/>
    <w:rsid w:val="008B08AA"/>
    <w:rsid w:val="008B0937"/>
    <w:rsid w:val="008B2491"/>
    <w:rsid w:val="008B2C30"/>
    <w:rsid w:val="008B311A"/>
    <w:rsid w:val="008B36EF"/>
    <w:rsid w:val="008B4D29"/>
    <w:rsid w:val="008B6641"/>
    <w:rsid w:val="008B74EC"/>
    <w:rsid w:val="008B7935"/>
    <w:rsid w:val="008B7F87"/>
    <w:rsid w:val="008C010B"/>
    <w:rsid w:val="008C02E3"/>
    <w:rsid w:val="008C2F50"/>
    <w:rsid w:val="008C3208"/>
    <w:rsid w:val="008C35CA"/>
    <w:rsid w:val="008C39DF"/>
    <w:rsid w:val="008C3DB7"/>
    <w:rsid w:val="008C467C"/>
    <w:rsid w:val="008C57B4"/>
    <w:rsid w:val="008C5DEC"/>
    <w:rsid w:val="008C6A9D"/>
    <w:rsid w:val="008C7E92"/>
    <w:rsid w:val="008D0131"/>
    <w:rsid w:val="008D08F2"/>
    <w:rsid w:val="008D157C"/>
    <w:rsid w:val="008D1DBE"/>
    <w:rsid w:val="008D2805"/>
    <w:rsid w:val="008D62C3"/>
    <w:rsid w:val="008D7A75"/>
    <w:rsid w:val="008E020D"/>
    <w:rsid w:val="008E2E65"/>
    <w:rsid w:val="008E331E"/>
    <w:rsid w:val="008E3932"/>
    <w:rsid w:val="008E3D42"/>
    <w:rsid w:val="008E49C1"/>
    <w:rsid w:val="008E4A1C"/>
    <w:rsid w:val="008E4F5C"/>
    <w:rsid w:val="008E5C01"/>
    <w:rsid w:val="008E6582"/>
    <w:rsid w:val="008E6A15"/>
    <w:rsid w:val="008E709E"/>
    <w:rsid w:val="008E7CB0"/>
    <w:rsid w:val="008F04BD"/>
    <w:rsid w:val="008F2F1F"/>
    <w:rsid w:val="008F49EF"/>
    <w:rsid w:val="008F69AE"/>
    <w:rsid w:val="008F7EB7"/>
    <w:rsid w:val="00900145"/>
    <w:rsid w:val="009005F9"/>
    <w:rsid w:val="0090071D"/>
    <w:rsid w:val="00901058"/>
    <w:rsid w:val="00901060"/>
    <w:rsid w:val="009012E4"/>
    <w:rsid w:val="0090159F"/>
    <w:rsid w:val="009019A2"/>
    <w:rsid w:val="00901F95"/>
    <w:rsid w:val="00902173"/>
    <w:rsid w:val="0090232B"/>
    <w:rsid w:val="00903B95"/>
    <w:rsid w:val="00904918"/>
    <w:rsid w:val="00905008"/>
    <w:rsid w:val="009071D5"/>
    <w:rsid w:val="009075BA"/>
    <w:rsid w:val="00911F3B"/>
    <w:rsid w:val="0091241A"/>
    <w:rsid w:val="009124FC"/>
    <w:rsid w:val="00912B04"/>
    <w:rsid w:val="00912DC8"/>
    <w:rsid w:val="00913309"/>
    <w:rsid w:val="00913A5C"/>
    <w:rsid w:val="00914E62"/>
    <w:rsid w:val="00915238"/>
    <w:rsid w:val="00915909"/>
    <w:rsid w:val="00915AB6"/>
    <w:rsid w:val="00915F59"/>
    <w:rsid w:val="00915FEE"/>
    <w:rsid w:val="009162BA"/>
    <w:rsid w:val="00920692"/>
    <w:rsid w:val="0092136A"/>
    <w:rsid w:val="009220A4"/>
    <w:rsid w:val="0092398F"/>
    <w:rsid w:val="00923C74"/>
    <w:rsid w:val="00923FA2"/>
    <w:rsid w:val="00924810"/>
    <w:rsid w:val="0092567F"/>
    <w:rsid w:val="00925A33"/>
    <w:rsid w:val="00926511"/>
    <w:rsid w:val="0092727D"/>
    <w:rsid w:val="00930501"/>
    <w:rsid w:val="00932205"/>
    <w:rsid w:val="00932E77"/>
    <w:rsid w:val="00933841"/>
    <w:rsid w:val="009338C5"/>
    <w:rsid w:val="00933989"/>
    <w:rsid w:val="00934A20"/>
    <w:rsid w:val="00935620"/>
    <w:rsid w:val="00935EFA"/>
    <w:rsid w:val="00935F0D"/>
    <w:rsid w:val="009361BF"/>
    <w:rsid w:val="0093717C"/>
    <w:rsid w:val="00937273"/>
    <w:rsid w:val="00940B20"/>
    <w:rsid w:val="00941651"/>
    <w:rsid w:val="009418DE"/>
    <w:rsid w:val="00941CF7"/>
    <w:rsid w:val="00942B40"/>
    <w:rsid w:val="00945A14"/>
    <w:rsid w:val="00945D08"/>
    <w:rsid w:val="00945D11"/>
    <w:rsid w:val="00947046"/>
    <w:rsid w:val="0094718C"/>
    <w:rsid w:val="00950310"/>
    <w:rsid w:val="00950BF3"/>
    <w:rsid w:val="00953953"/>
    <w:rsid w:val="00955657"/>
    <w:rsid w:val="00955A2A"/>
    <w:rsid w:val="00956A73"/>
    <w:rsid w:val="009576B3"/>
    <w:rsid w:val="00960B85"/>
    <w:rsid w:val="009612A8"/>
    <w:rsid w:val="00961C77"/>
    <w:rsid w:val="009626D7"/>
    <w:rsid w:val="009646D6"/>
    <w:rsid w:val="00965D90"/>
    <w:rsid w:val="00967151"/>
    <w:rsid w:val="0096760F"/>
    <w:rsid w:val="00967DF2"/>
    <w:rsid w:val="00970DDB"/>
    <w:rsid w:val="00971DBF"/>
    <w:rsid w:val="0097296A"/>
    <w:rsid w:val="00973432"/>
    <w:rsid w:val="00973734"/>
    <w:rsid w:val="0097381C"/>
    <w:rsid w:val="00974324"/>
    <w:rsid w:val="009748FC"/>
    <w:rsid w:val="009750EB"/>
    <w:rsid w:val="009759CA"/>
    <w:rsid w:val="00976B33"/>
    <w:rsid w:val="00976E44"/>
    <w:rsid w:val="00976F72"/>
    <w:rsid w:val="009808D6"/>
    <w:rsid w:val="00983246"/>
    <w:rsid w:val="009836EA"/>
    <w:rsid w:val="00984804"/>
    <w:rsid w:val="00985B0A"/>
    <w:rsid w:val="0098729D"/>
    <w:rsid w:val="009906E0"/>
    <w:rsid w:val="00991FC9"/>
    <w:rsid w:val="00993B7A"/>
    <w:rsid w:val="00993D30"/>
    <w:rsid w:val="00994FB2"/>
    <w:rsid w:val="00995D50"/>
    <w:rsid w:val="0099687B"/>
    <w:rsid w:val="00997DF8"/>
    <w:rsid w:val="009A2285"/>
    <w:rsid w:val="009A2551"/>
    <w:rsid w:val="009A2873"/>
    <w:rsid w:val="009A2924"/>
    <w:rsid w:val="009A330A"/>
    <w:rsid w:val="009A3DBB"/>
    <w:rsid w:val="009A4216"/>
    <w:rsid w:val="009A4F09"/>
    <w:rsid w:val="009A7864"/>
    <w:rsid w:val="009B092D"/>
    <w:rsid w:val="009B0CE1"/>
    <w:rsid w:val="009B1491"/>
    <w:rsid w:val="009B1AA5"/>
    <w:rsid w:val="009B26BC"/>
    <w:rsid w:val="009B31BA"/>
    <w:rsid w:val="009B353C"/>
    <w:rsid w:val="009B3AD5"/>
    <w:rsid w:val="009B3CA0"/>
    <w:rsid w:val="009B4293"/>
    <w:rsid w:val="009B471D"/>
    <w:rsid w:val="009B5B7F"/>
    <w:rsid w:val="009B6A27"/>
    <w:rsid w:val="009B6FEF"/>
    <w:rsid w:val="009B76CE"/>
    <w:rsid w:val="009C11A7"/>
    <w:rsid w:val="009C16B5"/>
    <w:rsid w:val="009C16D1"/>
    <w:rsid w:val="009C28DC"/>
    <w:rsid w:val="009C320E"/>
    <w:rsid w:val="009C4204"/>
    <w:rsid w:val="009C5388"/>
    <w:rsid w:val="009C6322"/>
    <w:rsid w:val="009C7A89"/>
    <w:rsid w:val="009D02AB"/>
    <w:rsid w:val="009D02E6"/>
    <w:rsid w:val="009D0708"/>
    <w:rsid w:val="009D14AD"/>
    <w:rsid w:val="009D23F9"/>
    <w:rsid w:val="009D7F01"/>
    <w:rsid w:val="009E155C"/>
    <w:rsid w:val="009E1B35"/>
    <w:rsid w:val="009E1D8E"/>
    <w:rsid w:val="009E2422"/>
    <w:rsid w:val="009E2F6A"/>
    <w:rsid w:val="009E3233"/>
    <w:rsid w:val="009E3783"/>
    <w:rsid w:val="009E469F"/>
    <w:rsid w:val="009E4BC5"/>
    <w:rsid w:val="009E608D"/>
    <w:rsid w:val="009E62B8"/>
    <w:rsid w:val="009E6441"/>
    <w:rsid w:val="009E6F08"/>
    <w:rsid w:val="009E75EC"/>
    <w:rsid w:val="009F05FB"/>
    <w:rsid w:val="009F1924"/>
    <w:rsid w:val="009F21A2"/>
    <w:rsid w:val="009F246B"/>
    <w:rsid w:val="009F2A33"/>
    <w:rsid w:val="009F2F0D"/>
    <w:rsid w:val="009F3D52"/>
    <w:rsid w:val="009F444C"/>
    <w:rsid w:val="009F50A2"/>
    <w:rsid w:val="009F5147"/>
    <w:rsid w:val="009F58DE"/>
    <w:rsid w:val="009F5932"/>
    <w:rsid w:val="009F7C61"/>
    <w:rsid w:val="00A00E15"/>
    <w:rsid w:val="00A013D2"/>
    <w:rsid w:val="00A01B51"/>
    <w:rsid w:val="00A01FDD"/>
    <w:rsid w:val="00A02233"/>
    <w:rsid w:val="00A02946"/>
    <w:rsid w:val="00A02E50"/>
    <w:rsid w:val="00A03561"/>
    <w:rsid w:val="00A047DB"/>
    <w:rsid w:val="00A05305"/>
    <w:rsid w:val="00A05523"/>
    <w:rsid w:val="00A05A7E"/>
    <w:rsid w:val="00A05C26"/>
    <w:rsid w:val="00A05D8F"/>
    <w:rsid w:val="00A06108"/>
    <w:rsid w:val="00A06B6C"/>
    <w:rsid w:val="00A0710B"/>
    <w:rsid w:val="00A07126"/>
    <w:rsid w:val="00A071FF"/>
    <w:rsid w:val="00A07259"/>
    <w:rsid w:val="00A123D7"/>
    <w:rsid w:val="00A1332F"/>
    <w:rsid w:val="00A145CE"/>
    <w:rsid w:val="00A146A1"/>
    <w:rsid w:val="00A1551B"/>
    <w:rsid w:val="00A15CBE"/>
    <w:rsid w:val="00A15F8A"/>
    <w:rsid w:val="00A160A1"/>
    <w:rsid w:val="00A17CD6"/>
    <w:rsid w:val="00A20105"/>
    <w:rsid w:val="00A20872"/>
    <w:rsid w:val="00A2109A"/>
    <w:rsid w:val="00A2225F"/>
    <w:rsid w:val="00A23A2E"/>
    <w:rsid w:val="00A257AB"/>
    <w:rsid w:val="00A265FC"/>
    <w:rsid w:val="00A26F87"/>
    <w:rsid w:val="00A270F8"/>
    <w:rsid w:val="00A27460"/>
    <w:rsid w:val="00A27985"/>
    <w:rsid w:val="00A27A69"/>
    <w:rsid w:val="00A27F82"/>
    <w:rsid w:val="00A304F3"/>
    <w:rsid w:val="00A31890"/>
    <w:rsid w:val="00A31D25"/>
    <w:rsid w:val="00A33BBD"/>
    <w:rsid w:val="00A34A81"/>
    <w:rsid w:val="00A34F1F"/>
    <w:rsid w:val="00A355B3"/>
    <w:rsid w:val="00A3631A"/>
    <w:rsid w:val="00A36890"/>
    <w:rsid w:val="00A36DFC"/>
    <w:rsid w:val="00A377E2"/>
    <w:rsid w:val="00A37CCE"/>
    <w:rsid w:val="00A405E2"/>
    <w:rsid w:val="00A4061E"/>
    <w:rsid w:val="00A40980"/>
    <w:rsid w:val="00A4109B"/>
    <w:rsid w:val="00A424DD"/>
    <w:rsid w:val="00A42A76"/>
    <w:rsid w:val="00A431EF"/>
    <w:rsid w:val="00A43D95"/>
    <w:rsid w:val="00A43FE7"/>
    <w:rsid w:val="00A4455C"/>
    <w:rsid w:val="00A537EA"/>
    <w:rsid w:val="00A53C30"/>
    <w:rsid w:val="00A53C70"/>
    <w:rsid w:val="00A548C5"/>
    <w:rsid w:val="00A5501B"/>
    <w:rsid w:val="00A55AD8"/>
    <w:rsid w:val="00A61F7C"/>
    <w:rsid w:val="00A6401D"/>
    <w:rsid w:val="00A641B4"/>
    <w:rsid w:val="00A645FD"/>
    <w:rsid w:val="00A64781"/>
    <w:rsid w:val="00A650B2"/>
    <w:rsid w:val="00A65F5F"/>
    <w:rsid w:val="00A66763"/>
    <w:rsid w:val="00A66B82"/>
    <w:rsid w:val="00A66DFD"/>
    <w:rsid w:val="00A72C9B"/>
    <w:rsid w:val="00A754B9"/>
    <w:rsid w:val="00A76C2B"/>
    <w:rsid w:val="00A76DDF"/>
    <w:rsid w:val="00A772E8"/>
    <w:rsid w:val="00A77673"/>
    <w:rsid w:val="00A77B75"/>
    <w:rsid w:val="00A8059A"/>
    <w:rsid w:val="00A806BB"/>
    <w:rsid w:val="00A806ED"/>
    <w:rsid w:val="00A80853"/>
    <w:rsid w:val="00A80AFA"/>
    <w:rsid w:val="00A80C35"/>
    <w:rsid w:val="00A80DDB"/>
    <w:rsid w:val="00A81BA9"/>
    <w:rsid w:val="00A82D52"/>
    <w:rsid w:val="00A83460"/>
    <w:rsid w:val="00A83CA7"/>
    <w:rsid w:val="00A85F2C"/>
    <w:rsid w:val="00A85F4A"/>
    <w:rsid w:val="00A86391"/>
    <w:rsid w:val="00A8659F"/>
    <w:rsid w:val="00A868D0"/>
    <w:rsid w:val="00A86D8C"/>
    <w:rsid w:val="00A91580"/>
    <w:rsid w:val="00A9173D"/>
    <w:rsid w:val="00A91F30"/>
    <w:rsid w:val="00A920DE"/>
    <w:rsid w:val="00A924EC"/>
    <w:rsid w:val="00A95C22"/>
    <w:rsid w:val="00A95CEB"/>
    <w:rsid w:val="00A96C39"/>
    <w:rsid w:val="00AA0183"/>
    <w:rsid w:val="00AA16DD"/>
    <w:rsid w:val="00AA1973"/>
    <w:rsid w:val="00AA3933"/>
    <w:rsid w:val="00AA3B27"/>
    <w:rsid w:val="00AA44AD"/>
    <w:rsid w:val="00AA4B3B"/>
    <w:rsid w:val="00AA5447"/>
    <w:rsid w:val="00AA5AC9"/>
    <w:rsid w:val="00AA6154"/>
    <w:rsid w:val="00AA63E3"/>
    <w:rsid w:val="00AA6B98"/>
    <w:rsid w:val="00AA6D57"/>
    <w:rsid w:val="00AA702E"/>
    <w:rsid w:val="00AB00C3"/>
    <w:rsid w:val="00AB1756"/>
    <w:rsid w:val="00AB22FB"/>
    <w:rsid w:val="00AB364A"/>
    <w:rsid w:val="00AB3832"/>
    <w:rsid w:val="00AB3C4C"/>
    <w:rsid w:val="00AB472A"/>
    <w:rsid w:val="00AB47C3"/>
    <w:rsid w:val="00AB68BC"/>
    <w:rsid w:val="00AB731A"/>
    <w:rsid w:val="00AB79B7"/>
    <w:rsid w:val="00AC010F"/>
    <w:rsid w:val="00AC0E67"/>
    <w:rsid w:val="00AC0F6C"/>
    <w:rsid w:val="00AC2447"/>
    <w:rsid w:val="00AC2492"/>
    <w:rsid w:val="00AC2F2B"/>
    <w:rsid w:val="00AC55C7"/>
    <w:rsid w:val="00AC5EBE"/>
    <w:rsid w:val="00AC7031"/>
    <w:rsid w:val="00AD019E"/>
    <w:rsid w:val="00AD09FB"/>
    <w:rsid w:val="00AD0E72"/>
    <w:rsid w:val="00AD0F53"/>
    <w:rsid w:val="00AD0FBD"/>
    <w:rsid w:val="00AD10C2"/>
    <w:rsid w:val="00AD2A15"/>
    <w:rsid w:val="00AD343F"/>
    <w:rsid w:val="00AD36A6"/>
    <w:rsid w:val="00AD38CB"/>
    <w:rsid w:val="00AD65BE"/>
    <w:rsid w:val="00AD66EB"/>
    <w:rsid w:val="00AD6F9A"/>
    <w:rsid w:val="00AE0046"/>
    <w:rsid w:val="00AE312B"/>
    <w:rsid w:val="00AE411A"/>
    <w:rsid w:val="00AE4668"/>
    <w:rsid w:val="00AE60E7"/>
    <w:rsid w:val="00AE6D0C"/>
    <w:rsid w:val="00AE7269"/>
    <w:rsid w:val="00AE795C"/>
    <w:rsid w:val="00AE7995"/>
    <w:rsid w:val="00AE7F43"/>
    <w:rsid w:val="00AE7FB3"/>
    <w:rsid w:val="00AF013D"/>
    <w:rsid w:val="00AF0B0C"/>
    <w:rsid w:val="00AF1890"/>
    <w:rsid w:val="00AF1BCF"/>
    <w:rsid w:val="00AF1CD5"/>
    <w:rsid w:val="00AF1F16"/>
    <w:rsid w:val="00AF3142"/>
    <w:rsid w:val="00AF55CE"/>
    <w:rsid w:val="00AF67D5"/>
    <w:rsid w:val="00AF7C99"/>
    <w:rsid w:val="00B00209"/>
    <w:rsid w:val="00B00286"/>
    <w:rsid w:val="00B00F73"/>
    <w:rsid w:val="00B0165B"/>
    <w:rsid w:val="00B02477"/>
    <w:rsid w:val="00B028B9"/>
    <w:rsid w:val="00B028C3"/>
    <w:rsid w:val="00B02987"/>
    <w:rsid w:val="00B03848"/>
    <w:rsid w:val="00B0535C"/>
    <w:rsid w:val="00B05E5C"/>
    <w:rsid w:val="00B060E6"/>
    <w:rsid w:val="00B067BE"/>
    <w:rsid w:val="00B068CF"/>
    <w:rsid w:val="00B06944"/>
    <w:rsid w:val="00B06EAF"/>
    <w:rsid w:val="00B109E6"/>
    <w:rsid w:val="00B110A4"/>
    <w:rsid w:val="00B112E8"/>
    <w:rsid w:val="00B128CD"/>
    <w:rsid w:val="00B12F40"/>
    <w:rsid w:val="00B14042"/>
    <w:rsid w:val="00B14141"/>
    <w:rsid w:val="00B1621B"/>
    <w:rsid w:val="00B20E01"/>
    <w:rsid w:val="00B21D4F"/>
    <w:rsid w:val="00B220DD"/>
    <w:rsid w:val="00B22234"/>
    <w:rsid w:val="00B22634"/>
    <w:rsid w:val="00B24066"/>
    <w:rsid w:val="00B24603"/>
    <w:rsid w:val="00B24A5E"/>
    <w:rsid w:val="00B2562E"/>
    <w:rsid w:val="00B266E7"/>
    <w:rsid w:val="00B2688C"/>
    <w:rsid w:val="00B26C46"/>
    <w:rsid w:val="00B26E40"/>
    <w:rsid w:val="00B27511"/>
    <w:rsid w:val="00B2784C"/>
    <w:rsid w:val="00B31D32"/>
    <w:rsid w:val="00B31DC1"/>
    <w:rsid w:val="00B31F06"/>
    <w:rsid w:val="00B32F7E"/>
    <w:rsid w:val="00B33A29"/>
    <w:rsid w:val="00B35D6A"/>
    <w:rsid w:val="00B35DE1"/>
    <w:rsid w:val="00B371FD"/>
    <w:rsid w:val="00B37227"/>
    <w:rsid w:val="00B3738C"/>
    <w:rsid w:val="00B37ED7"/>
    <w:rsid w:val="00B40F6E"/>
    <w:rsid w:val="00B41CF8"/>
    <w:rsid w:val="00B42022"/>
    <w:rsid w:val="00B4232B"/>
    <w:rsid w:val="00B427F9"/>
    <w:rsid w:val="00B42857"/>
    <w:rsid w:val="00B42F0B"/>
    <w:rsid w:val="00B43B95"/>
    <w:rsid w:val="00B44831"/>
    <w:rsid w:val="00B4696E"/>
    <w:rsid w:val="00B519B0"/>
    <w:rsid w:val="00B51C64"/>
    <w:rsid w:val="00B52DEF"/>
    <w:rsid w:val="00B53152"/>
    <w:rsid w:val="00B53CC7"/>
    <w:rsid w:val="00B5598A"/>
    <w:rsid w:val="00B55C07"/>
    <w:rsid w:val="00B56531"/>
    <w:rsid w:val="00B56BF2"/>
    <w:rsid w:val="00B578A1"/>
    <w:rsid w:val="00B60053"/>
    <w:rsid w:val="00B60A81"/>
    <w:rsid w:val="00B60DA2"/>
    <w:rsid w:val="00B626DB"/>
    <w:rsid w:val="00B629A2"/>
    <w:rsid w:val="00B62D5B"/>
    <w:rsid w:val="00B63223"/>
    <w:rsid w:val="00B642FA"/>
    <w:rsid w:val="00B64CF5"/>
    <w:rsid w:val="00B65104"/>
    <w:rsid w:val="00B653D3"/>
    <w:rsid w:val="00B66D12"/>
    <w:rsid w:val="00B71FD4"/>
    <w:rsid w:val="00B722DC"/>
    <w:rsid w:val="00B73A3F"/>
    <w:rsid w:val="00B743A2"/>
    <w:rsid w:val="00B743FD"/>
    <w:rsid w:val="00B749F3"/>
    <w:rsid w:val="00B74A24"/>
    <w:rsid w:val="00B74A5E"/>
    <w:rsid w:val="00B74B64"/>
    <w:rsid w:val="00B74BF9"/>
    <w:rsid w:val="00B7594E"/>
    <w:rsid w:val="00B80A89"/>
    <w:rsid w:val="00B80C23"/>
    <w:rsid w:val="00B8128F"/>
    <w:rsid w:val="00B82A32"/>
    <w:rsid w:val="00B852CE"/>
    <w:rsid w:val="00B8571A"/>
    <w:rsid w:val="00B85E1A"/>
    <w:rsid w:val="00B862EE"/>
    <w:rsid w:val="00B86373"/>
    <w:rsid w:val="00B872C1"/>
    <w:rsid w:val="00B9023F"/>
    <w:rsid w:val="00B91485"/>
    <w:rsid w:val="00B91652"/>
    <w:rsid w:val="00B91B99"/>
    <w:rsid w:val="00B92074"/>
    <w:rsid w:val="00B9323A"/>
    <w:rsid w:val="00B94C4D"/>
    <w:rsid w:val="00B95D82"/>
    <w:rsid w:val="00B976BD"/>
    <w:rsid w:val="00B978A4"/>
    <w:rsid w:val="00B97DD0"/>
    <w:rsid w:val="00B97FD6"/>
    <w:rsid w:val="00BA0DB5"/>
    <w:rsid w:val="00BA1559"/>
    <w:rsid w:val="00BA2CB9"/>
    <w:rsid w:val="00BA3C73"/>
    <w:rsid w:val="00BA4027"/>
    <w:rsid w:val="00BA4845"/>
    <w:rsid w:val="00BA6079"/>
    <w:rsid w:val="00BA6415"/>
    <w:rsid w:val="00BA67E2"/>
    <w:rsid w:val="00BA6FA5"/>
    <w:rsid w:val="00BA6FC4"/>
    <w:rsid w:val="00BA742A"/>
    <w:rsid w:val="00BB0A3E"/>
    <w:rsid w:val="00BB150D"/>
    <w:rsid w:val="00BB1F7F"/>
    <w:rsid w:val="00BB2509"/>
    <w:rsid w:val="00BB2C4F"/>
    <w:rsid w:val="00BB3A35"/>
    <w:rsid w:val="00BB656D"/>
    <w:rsid w:val="00BB6576"/>
    <w:rsid w:val="00BB6E9C"/>
    <w:rsid w:val="00BC08D1"/>
    <w:rsid w:val="00BC0BED"/>
    <w:rsid w:val="00BC312C"/>
    <w:rsid w:val="00BC3FBC"/>
    <w:rsid w:val="00BC4A7F"/>
    <w:rsid w:val="00BC525B"/>
    <w:rsid w:val="00BC70B6"/>
    <w:rsid w:val="00BC77FA"/>
    <w:rsid w:val="00BC77FD"/>
    <w:rsid w:val="00BD002F"/>
    <w:rsid w:val="00BD17FB"/>
    <w:rsid w:val="00BD1FF2"/>
    <w:rsid w:val="00BD34C3"/>
    <w:rsid w:val="00BD3F37"/>
    <w:rsid w:val="00BD55AD"/>
    <w:rsid w:val="00BD58EC"/>
    <w:rsid w:val="00BD5A65"/>
    <w:rsid w:val="00BD5AC6"/>
    <w:rsid w:val="00BD5FB5"/>
    <w:rsid w:val="00BD7FEE"/>
    <w:rsid w:val="00BE0475"/>
    <w:rsid w:val="00BE062A"/>
    <w:rsid w:val="00BE17B7"/>
    <w:rsid w:val="00BE28F3"/>
    <w:rsid w:val="00BE2978"/>
    <w:rsid w:val="00BE3013"/>
    <w:rsid w:val="00BE319D"/>
    <w:rsid w:val="00BE328B"/>
    <w:rsid w:val="00BE335F"/>
    <w:rsid w:val="00BE3470"/>
    <w:rsid w:val="00BE38D0"/>
    <w:rsid w:val="00BE4396"/>
    <w:rsid w:val="00BE48F2"/>
    <w:rsid w:val="00BF00A1"/>
    <w:rsid w:val="00BF00F0"/>
    <w:rsid w:val="00BF063D"/>
    <w:rsid w:val="00BF1F71"/>
    <w:rsid w:val="00BF234A"/>
    <w:rsid w:val="00BF405F"/>
    <w:rsid w:val="00BF55BE"/>
    <w:rsid w:val="00BF6486"/>
    <w:rsid w:val="00BF6EAE"/>
    <w:rsid w:val="00BF763C"/>
    <w:rsid w:val="00C00042"/>
    <w:rsid w:val="00C005F9"/>
    <w:rsid w:val="00C0106B"/>
    <w:rsid w:val="00C0157C"/>
    <w:rsid w:val="00C01B43"/>
    <w:rsid w:val="00C01E17"/>
    <w:rsid w:val="00C01EE6"/>
    <w:rsid w:val="00C03C5D"/>
    <w:rsid w:val="00C042E5"/>
    <w:rsid w:val="00C0472F"/>
    <w:rsid w:val="00C05654"/>
    <w:rsid w:val="00C064B9"/>
    <w:rsid w:val="00C06D75"/>
    <w:rsid w:val="00C07063"/>
    <w:rsid w:val="00C075EE"/>
    <w:rsid w:val="00C10BD5"/>
    <w:rsid w:val="00C112B2"/>
    <w:rsid w:val="00C11EB6"/>
    <w:rsid w:val="00C1260C"/>
    <w:rsid w:val="00C12FC8"/>
    <w:rsid w:val="00C130B2"/>
    <w:rsid w:val="00C139A0"/>
    <w:rsid w:val="00C144B2"/>
    <w:rsid w:val="00C147A7"/>
    <w:rsid w:val="00C1495B"/>
    <w:rsid w:val="00C14A7A"/>
    <w:rsid w:val="00C151D8"/>
    <w:rsid w:val="00C17688"/>
    <w:rsid w:val="00C20C0C"/>
    <w:rsid w:val="00C224E9"/>
    <w:rsid w:val="00C234AD"/>
    <w:rsid w:val="00C23D02"/>
    <w:rsid w:val="00C23D79"/>
    <w:rsid w:val="00C24A79"/>
    <w:rsid w:val="00C24CDD"/>
    <w:rsid w:val="00C251D5"/>
    <w:rsid w:val="00C26F73"/>
    <w:rsid w:val="00C27879"/>
    <w:rsid w:val="00C31EB3"/>
    <w:rsid w:val="00C32AB4"/>
    <w:rsid w:val="00C34835"/>
    <w:rsid w:val="00C3595C"/>
    <w:rsid w:val="00C35CBA"/>
    <w:rsid w:val="00C369E0"/>
    <w:rsid w:val="00C36B15"/>
    <w:rsid w:val="00C37ADD"/>
    <w:rsid w:val="00C420B3"/>
    <w:rsid w:val="00C42E33"/>
    <w:rsid w:val="00C4424B"/>
    <w:rsid w:val="00C454F2"/>
    <w:rsid w:val="00C460A5"/>
    <w:rsid w:val="00C461A1"/>
    <w:rsid w:val="00C46BF9"/>
    <w:rsid w:val="00C4775A"/>
    <w:rsid w:val="00C479F0"/>
    <w:rsid w:val="00C47A14"/>
    <w:rsid w:val="00C47FCE"/>
    <w:rsid w:val="00C504CE"/>
    <w:rsid w:val="00C513E9"/>
    <w:rsid w:val="00C51966"/>
    <w:rsid w:val="00C527FC"/>
    <w:rsid w:val="00C5299E"/>
    <w:rsid w:val="00C54993"/>
    <w:rsid w:val="00C55125"/>
    <w:rsid w:val="00C55B81"/>
    <w:rsid w:val="00C5665C"/>
    <w:rsid w:val="00C57115"/>
    <w:rsid w:val="00C571E0"/>
    <w:rsid w:val="00C57F13"/>
    <w:rsid w:val="00C61936"/>
    <w:rsid w:val="00C63985"/>
    <w:rsid w:val="00C63FA1"/>
    <w:rsid w:val="00C6450D"/>
    <w:rsid w:val="00C65158"/>
    <w:rsid w:val="00C6549F"/>
    <w:rsid w:val="00C67168"/>
    <w:rsid w:val="00C709CD"/>
    <w:rsid w:val="00C70F0A"/>
    <w:rsid w:val="00C711DA"/>
    <w:rsid w:val="00C715F0"/>
    <w:rsid w:val="00C71F98"/>
    <w:rsid w:val="00C7295C"/>
    <w:rsid w:val="00C73422"/>
    <w:rsid w:val="00C744C0"/>
    <w:rsid w:val="00C75914"/>
    <w:rsid w:val="00C76441"/>
    <w:rsid w:val="00C76A00"/>
    <w:rsid w:val="00C77506"/>
    <w:rsid w:val="00C77893"/>
    <w:rsid w:val="00C77AA9"/>
    <w:rsid w:val="00C77EA0"/>
    <w:rsid w:val="00C80E83"/>
    <w:rsid w:val="00C80FAA"/>
    <w:rsid w:val="00C8188D"/>
    <w:rsid w:val="00C81C46"/>
    <w:rsid w:val="00C820C1"/>
    <w:rsid w:val="00C820F2"/>
    <w:rsid w:val="00C82445"/>
    <w:rsid w:val="00C83B5E"/>
    <w:rsid w:val="00C83FB9"/>
    <w:rsid w:val="00C8548E"/>
    <w:rsid w:val="00C85809"/>
    <w:rsid w:val="00C85ED5"/>
    <w:rsid w:val="00C8649F"/>
    <w:rsid w:val="00C86DD0"/>
    <w:rsid w:val="00C872F4"/>
    <w:rsid w:val="00C8747E"/>
    <w:rsid w:val="00C87EA6"/>
    <w:rsid w:val="00C92FC7"/>
    <w:rsid w:val="00C93367"/>
    <w:rsid w:val="00C9342F"/>
    <w:rsid w:val="00C9580A"/>
    <w:rsid w:val="00C96D64"/>
    <w:rsid w:val="00C974B6"/>
    <w:rsid w:val="00CA03EA"/>
    <w:rsid w:val="00CA09B6"/>
    <w:rsid w:val="00CA0FBE"/>
    <w:rsid w:val="00CA1534"/>
    <w:rsid w:val="00CA3CB9"/>
    <w:rsid w:val="00CA581F"/>
    <w:rsid w:val="00CB084E"/>
    <w:rsid w:val="00CB15F4"/>
    <w:rsid w:val="00CB2BF0"/>
    <w:rsid w:val="00CB2CA6"/>
    <w:rsid w:val="00CB56BE"/>
    <w:rsid w:val="00CB5C72"/>
    <w:rsid w:val="00CB68E2"/>
    <w:rsid w:val="00CB7023"/>
    <w:rsid w:val="00CB73E9"/>
    <w:rsid w:val="00CB7479"/>
    <w:rsid w:val="00CB7B6A"/>
    <w:rsid w:val="00CC03D4"/>
    <w:rsid w:val="00CC04EE"/>
    <w:rsid w:val="00CC19C1"/>
    <w:rsid w:val="00CC1BA4"/>
    <w:rsid w:val="00CC1CB0"/>
    <w:rsid w:val="00CC1CE4"/>
    <w:rsid w:val="00CC2513"/>
    <w:rsid w:val="00CC34DB"/>
    <w:rsid w:val="00CC399F"/>
    <w:rsid w:val="00CC3C41"/>
    <w:rsid w:val="00CC3D70"/>
    <w:rsid w:val="00CC4572"/>
    <w:rsid w:val="00CC62F7"/>
    <w:rsid w:val="00CC7062"/>
    <w:rsid w:val="00CC77C8"/>
    <w:rsid w:val="00CD005F"/>
    <w:rsid w:val="00CD1705"/>
    <w:rsid w:val="00CD1B79"/>
    <w:rsid w:val="00CD1BDE"/>
    <w:rsid w:val="00CD223F"/>
    <w:rsid w:val="00CD2308"/>
    <w:rsid w:val="00CD29F9"/>
    <w:rsid w:val="00CD2E79"/>
    <w:rsid w:val="00CD36F4"/>
    <w:rsid w:val="00CD3B88"/>
    <w:rsid w:val="00CD43B0"/>
    <w:rsid w:val="00CD4503"/>
    <w:rsid w:val="00CD5874"/>
    <w:rsid w:val="00CD5E49"/>
    <w:rsid w:val="00CD6FCA"/>
    <w:rsid w:val="00CD7228"/>
    <w:rsid w:val="00CD72A1"/>
    <w:rsid w:val="00CD7739"/>
    <w:rsid w:val="00CE120F"/>
    <w:rsid w:val="00CE3297"/>
    <w:rsid w:val="00CE6D64"/>
    <w:rsid w:val="00CE7171"/>
    <w:rsid w:val="00CF0312"/>
    <w:rsid w:val="00CF097C"/>
    <w:rsid w:val="00CF0AA0"/>
    <w:rsid w:val="00CF1C8E"/>
    <w:rsid w:val="00CF1D41"/>
    <w:rsid w:val="00CF2180"/>
    <w:rsid w:val="00CF265C"/>
    <w:rsid w:val="00CF2EF0"/>
    <w:rsid w:val="00CF31FA"/>
    <w:rsid w:val="00CF331B"/>
    <w:rsid w:val="00CF3625"/>
    <w:rsid w:val="00CF42C1"/>
    <w:rsid w:val="00CF4DD3"/>
    <w:rsid w:val="00CF6D65"/>
    <w:rsid w:val="00CF7FF3"/>
    <w:rsid w:val="00D01424"/>
    <w:rsid w:val="00D014FA"/>
    <w:rsid w:val="00D01664"/>
    <w:rsid w:val="00D020AD"/>
    <w:rsid w:val="00D03A04"/>
    <w:rsid w:val="00D03F46"/>
    <w:rsid w:val="00D046EC"/>
    <w:rsid w:val="00D047DA"/>
    <w:rsid w:val="00D04F84"/>
    <w:rsid w:val="00D05386"/>
    <w:rsid w:val="00D053C4"/>
    <w:rsid w:val="00D05A0A"/>
    <w:rsid w:val="00D065EE"/>
    <w:rsid w:val="00D0703C"/>
    <w:rsid w:val="00D07731"/>
    <w:rsid w:val="00D07CB9"/>
    <w:rsid w:val="00D103A5"/>
    <w:rsid w:val="00D108A3"/>
    <w:rsid w:val="00D11315"/>
    <w:rsid w:val="00D11A16"/>
    <w:rsid w:val="00D11DD6"/>
    <w:rsid w:val="00D1201F"/>
    <w:rsid w:val="00D1276F"/>
    <w:rsid w:val="00D12BA8"/>
    <w:rsid w:val="00D14404"/>
    <w:rsid w:val="00D14A8E"/>
    <w:rsid w:val="00D15909"/>
    <w:rsid w:val="00D15A51"/>
    <w:rsid w:val="00D16073"/>
    <w:rsid w:val="00D16842"/>
    <w:rsid w:val="00D16CB4"/>
    <w:rsid w:val="00D16ECD"/>
    <w:rsid w:val="00D20FFF"/>
    <w:rsid w:val="00D21857"/>
    <w:rsid w:val="00D21D89"/>
    <w:rsid w:val="00D228AE"/>
    <w:rsid w:val="00D22BCB"/>
    <w:rsid w:val="00D235BB"/>
    <w:rsid w:val="00D241F3"/>
    <w:rsid w:val="00D24868"/>
    <w:rsid w:val="00D26246"/>
    <w:rsid w:val="00D26359"/>
    <w:rsid w:val="00D26D49"/>
    <w:rsid w:val="00D314E7"/>
    <w:rsid w:val="00D31888"/>
    <w:rsid w:val="00D319F8"/>
    <w:rsid w:val="00D31F3A"/>
    <w:rsid w:val="00D33613"/>
    <w:rsid w:val="00D371DF"/>
    <w:rsid w:val="00D37A4C"/>
    <w:rsid w:val="00D40AAD"/>
    <w:rsid w:val="00D43532"/>
    <w:rsid w:val="00D43660"/>
    <w:rsid w:val="00D441CB"/>
    <w:rsid w:val="00D4485B"/>
    <w:rsid w:val="00D44A18"/>
    <w:rsid w:val="00D455A1"/>
    <w:rsid w:val="00D459EC"/>
    <w:rsid w:val="00D45C72"/>
    <w:rsid w:val="00D47142"/>
    <w:rsid w:val="00D5057E"/>
    <w:rsid w:val="00D523E8"/>
    <w:rsid w:val="00D53617"/>
    <w:rsid w:val="00D5449F"/>
    <w:rsid w:val="00D56331"/>
    <w:rsid w:val="00D5634F"/>
    <w:rsid w:val="00D61193"/>
    <w:rsid w:val="00D61870"/>
    <w:rsid w:val="00D61E45"/>
    <w:rsid w:val="00D62C16"/>
    <w:rsid w:val="00D630BD"/>
    <w:rsid w:val="00D6385D"/>
    <w:rsid w:val="00D64BCC"/>
    <w:rsid w:val="00D64C27"/>
    <w:rsid w:val="00D65888"/>
    <w:rsid w:val="00D67FFE"/>
    <w:rsid w:val="00D702E7"/>
    <w:rsid w:val="00D70E4B"/>
    <w:rsid w:val="00D7172C"/>
    <w:rsid w:val="00D72BA8"/>
    <w:rsid w:val="00D73A3A"/>
    <w:rsid w:val="00D746E5"/>
    <w:rsid w:val="00D74A6F"/>
    <w:rsid w:val="00D753F9"/>
    <w:rsid w:val="00D75919"/>
    <w:rsid w:val="00D75BA2"/>
    <w:rsid w:val="00D75E73"/>
    <w:rsid w:val="00D75F88"/>
    <w:rsid w:val="00D7664F"/>
    <w:rsid w:val="00D76A66"/>
    <w:rsid w:val="00D76E79"/>
    <w:rsid w:val="00D77B9D"/>
    <w:rsid w:val="00D81068"/>
    <w:rsid w:val="00D814A3"/>
    <w:rsid w:val="00D815A1"/>
    <w:rsid w:val="00D815EE"/>
    <w:rsid w:val="00D82531"/>
    <w:rsid w:val="00D82F10"/>
    <w:rsid w:val="00D836AD"/>
    <w:rsid w:val="00D848BF"/>
    <w:rsid w:val="00D85462"/>
    <w:rsid w:val="00D85C89"/>
    <w:rsid w:val="00D8689A"/>
    <w:rsid w:val="00D92B86"/>
    <w:rsid w:val="00D938D7"/>
    <w:rsid w:val="00D94EEE"/>
    <w:rsid w:val="00D95FD2"/>
    <w:rsid w:val="00D968CE"/>
    <w:rsid w:val="00D96CFD"/>
    <w:rsid w:val="00D9794E"/>
    <w:rsid w:val="00D97D41"/>
    <w:rsid w:val="00DA09EF"/>
    <w:rsid w:val="00DA1CFA"/>
    <w:rsid w:val="00DA2396"/>
    <w:rsid w:val="00DA51DD"/>
    <w:rsid w:val="00DA5227"/>
    <w:rsid w:val="00DA715D"/>
    <w:rsid w:val="00DA750B"/>
    <w:rsid w:val="00DB031E"/>
    <w:rsid w:val="00DB0419"/>
    <w:rsid w:val="00DB10EA"/>
    <w:rsid w:val="00DB1EA5"/>
    <w:rsid w:val="00DB27F8"/>
    <w:rsid w:val="00DB35B2"/>
    <w:rsid w:val="00DB49F6"/>
    <w:rsid w:val="00DB5CEE"/>
    <w:rsid w:val="00DB7547"/>
    <w:rsid w:val="00DC0D2E"/>
    <w:rsid w:val="00DC1F34"/>
    <w:rsid w:val="00DC2516"/>
    <w:rsid w:val="00DC2862"/>
    <w:rsid w:val="00DC2903"/>
    <w:rsid w:val="00DC2949"/>
    <w:rsid w:val="00DC3724"/>
    <w:rsid w:val="00DC548A"/>
    <w:rsid w:val="00DC5738"/>
    <w:rsid w:val="00DC5A11"/>
    <w:rsid w:val="00DC5D38"/>
    <w:rsid w:val="00DC5F81"/>
    <w:rsid w:val="00DC6A08"/>
    <w:rsid w:val="00DD06E5"/>
    <w:rsid w:val="00DD0887"/>
    <w:rsid w:val="00DD1A37"/>
    <w:rsid w:val="00DD1A82"/>
    <w:rsid w:val="00DD1D07"/>
    <w:rsid w:val="00DD5A13"/>
    <w:rsid w:val="00DD5AFA"/>
    <w:rsid w:val="00DD6FFD"/>
    <w:rsid w:val="00DE008D"/>
    <w:rsid w:val="00DE0E12"/>
    <w:rsid w:val="00DE1D3A"/>
    <w:rsid w:val="00DE20B1"/>
    <w:rsid w:val="00DE224C"/>
    <w:rsid w:val="00DE2306"/>
    <w:rsid w:val="00DE2400"/>
    <w:rsid w:val="00DE2DE5"/>
    <w:rsid w:val="00DE32FC"/>
    <w:rsid w:val="00DE3D61"/>
    <w:rsid w:val="00DE495E"/>
    <w:rsid w:val="00DE54AD"/>
    <w:rsid w:val="00DE653C"/>
    <w:rsid w:val="00DE692D"/>
    <w:rsid w:val="00DE6A4D"/>
    <w:rsid w:val="00DE744D"/>
    <w:rsid w:val="00DF0934"/>
    <w:rsid w:val="00DF09B1"/>
    <w:rsid w:val="00DF0C2A"/>
    <w:rsid w:val="00DF222D"/>
    <w:rsid w:val="00DF4503"/>
    <w:rsid w:val="00DF55DC"/>
    <w:rsid w:val="00DF5696"/>
    <w:rsid w:val="00DF5FA9"/>
    <w:rsid w:val="00DF61E8"/>
    <w:rsid w:val="00DF6705"/>
    <w:rsid w:val="00DF6921"/>
    <w:rsid w:val="00DF757E"/>
    <w:rsid w:val="00DF7DEC"/>
    <w:rsid w:val="00E01316"/>
    <w:rsid w:val="00E03179"/>
    <w:rsid w:val="00E0384E"/>
    <w:rsid w:val="00E04B5D"/>
    <w:rsid w:val="00E04E2B"/>
    <w:rsid w:val="00E05378"/>
    <w:rsid w:val="00E071CC"/>
    <w:rsid w:val="00E07B68"/>
    <w:rsid w:val="00E1050C"/>
    <w:rsid w:val="00E13D69"/>
    <w:rsid w:val="00E1456F"/>
    <w:rsid w:val="00E16384"/>
    <w:rsid w:val="00E168AC"/>
    <w:rsid w:val="00E16CA9"/>
    <w:rsid w:val="00E17056"/>
    <w:rsid w:val="00E17539"/>
    <w:rsid w:val="00E179FD"/>
    <w:rsid w:val="00E2005F"/>
    <w:rsid w:val="00E20197"/>
    <w:rsid w:val="00E20C5E"/>
    <w:rsid w:val="00E21294"/>
    <w:rsid w:val="00E212A9"/>
    <w:rsid w:val="00E21EE0"/>
    <w:rsid w:val="00E2389F"/>
    <w:rsid w:val="00E24105"/>
    <w:rsid w:val="00E244FD"/>
    <w:rsid w:val="00E25419"/>
    <w:rsid w:val="00E25C6F"/>
    <w:rsid w:val="00E2656D"/>
    <w:rsid w:val="00E26B70"/>
    <w:rsid w:val="00E26DB5"/>
    <w:rsid w:val="00E303E1"/>
    <w:rsid w:val="00E313EB"/>
    <w:rsid w:val="00E32BF6"/>
    <w:rsid w:val="00E32CA8"/>
    <w:rsid w:val="00E32DD8"/>
    <w:rsid w:val="00E336C5"/>
    <w:rsid w:val="00E33F06"/>
    <w:rsid w:val="00E35F09"/>
    <w:rsid w:val="00E36540"/>
    <w:rsid w:val="00E37F6F"/>
    <w:rsid w:val="00E44542"/>
    <w:rsid w:val="00E4479D"/>
    <w:rsid w:val="00E44D52"/>
    <w:rsid w:val="00E4550A"/>
    <w:rsid w:val="00E4572F"/>
    <w:rsid w:val="00E45895"/>
    <w:rsid w:val="00E45A14"/>
    <w:rsid w:val="00E45C09"/>
    <w:rsid w:val="00E45E25"/>
    <w:rsid w:val="00E46F41"/>
    <w:rsid w:val="00E47E75"/>
    <w:rsid w:val="00E5094F"/>
    <w:rsid w:val="00E53147"/>
    <w:rsid w:val="00E53E8D"/>
    <w:rsid w:val="00E5480E"/>
    <w:rsid w:val="00E552A8"/>
    <w:rsid w:val="00E5548F"/>
    <w:rsid w:val="00E56D68"/>
    <w:rsid w:val="00E56EFC"/>
    <w:rsid w:val="00E570C8"/>
    <w:rsid w:val="00E6150B"/>
    <w:rsid w:val="00E631C2"/>
    <w:rsid w:val="00E63E57"/>
    <w:rsid w:val="00E63F57"/>
    <w:rsid w:val="00E65741"/>
    <w:rsid w:val="00E66C21"/>
    <w:rsid w:val="00E66CE3"/>
    <w:rsid w:val="00E6784F"/>
    <w:rsid w:val="00E67982"/>
    <w:rsid w:val="00E67CF5"/>
    <w:rsid w:val="00E7082E"/>
    <w:rsid w:val="00E7202F"/>
    <w:rsid w:val="00E72523"/>
    <w:rsid w:val="00E72F1B"/>
    <w:rsid w:val="00E73765"/>
    <w:rsid w:val="00E7430E"/>
    <w:rsid w:val="00E7436B"/>
    <w:rsid w:val="00E74D07"/>
    <w:rsid w:val="00E75DC5"/>
    <w:rsid w:val="00E76666"/>
    <w:rsid w:val="00E767B7"/>
    <w:rsid w:val="00E77308"/>
    <w:rsid w:val="00E80423"/>
    <w:rsid w:val="00E8116C"/>
    <w:rsid w:val="00E81A2B"/>
    <w:rsid w:val="00E825E0"/>
    <w:rsid w:val="00E8373B"/>
    <w:rsid w:val="00E83D29"/>
    <w:rsid w:val="00E845AE"/>
    <w:rsid w:val="00E857A9"/>
    <w:rsid w:val="00E863F4"/>
    <w:rsid w:val="00E86E49"/>
    <w:rsid w:val="00E873EF"/>
    <w:rsid w:val="00E87AB9"/>
    <w:rsid w:val="00E93296"/>
    <w:rsid w:val="00E936E0"/>
    <w:rsid w:val="00E93D5D"/>
    <w:rsid w:val="00E941A3"/>
    <w:rsid w:val="00E9461C"/>
    <w:rsid w:val="00E94C83"/>
    <w:rsid w:val="00EA104D"/>
    <w:rsid w:val="00EA3458"/>
    <w:rsid w:val="00EA3796"/>
    <w:rsid w:val="00EA38C8"/>
    <w:rsid w:val="00EA3E4A"/>
    <w:rsid w:val="00EA402F"/>
    <w:rsid w:val="00EA5959"/>
    <w:rsid w:val="00EA60AF"/>
    <w:rsid w:val="00EA74E3"/>
    <w:rsid w:val="00EB21FF"/>
    <w:rsid w:val="00EB2766"/>
    <w:rsid w:val="00EB2925"/>
    <w:rsid w:val="00EB3BC2"/>
    <w:rsid w:val="00EB4599"/>
    <w:rsid w:val="00EB4B5E"/>
    <w:rsid w:val="00EB4F96"/>
    <w:rsid w:val="00EB5034"/>
    <w:rsid w:val="00EB5039"/>
    <w:rsid w:val="00EB6B2F"/>
    <w:rsid w:val="00EB7033"/>
    <w:rsid w:val="00EB7134"/>
    <w:rsid w:val="00EB76FC"/>
    <w:rsid w:val="00EB7793"/>
    <w:rsid w:val="00EB7D87"/>
    <w:rsid w:val="00EC0562"/>
    <w:rsid w:val="00EC07CD"/>
    <w:rsid w:val="00EC16D5"/>
    <w:rsid w:val="00EC1D92"/>
    <w:rsid w:val="00EC213C"/>
    <w:rsid w:val="00EC21EC"/>
    <w:rsid w:val="00EC2A77"/>
    <w:rsid w:val="00EC2B67"/>
    <w:rsid w:val="00EC41E5"/>
    <w:rsid w:val="00EC5200"/>
    <w:rsid w:val="00EC56DD"/>
    <w:rsid w:val="00EC5868"/>
    <w:rsid w:val="00EC5914"/>
    <w:rsid w:val="00EC5928"/>
    <w:rsid w:val="00EC613B"/>
    <w:rsid w:val="00EC61D3"/>
    <w:rsid w:val="00EC6BF5"/>
    <w:rsid w:val="00EC6E3A"/>
    <w:rsid w:val="00EC766C"/>
    <w:rsid w:val="00EC7B39"/>
    <w:rsid w:val="00EC7C0F"/>
    <w:rsid w:val="00EC7CE6"/>
    <w:rsid w:val="00ED0D58"/>
    <w:rsid w:val="00ED0DB8"/>
    <w:rsid w:val="00ED1096"/>
    <w:rsid w:val="00ED1843"/>
    <w:rsid w:val="00ED297C"/>
    <w:rsid w:val="00ED3FD9"/>
    <w:rsid w:val="00ED5F44"/>
    <w:rsid w:val="00ED7632"/>
    <w:rsid w:val="00ED7EEF"/>
    <w:rsid w:val="00EE0956"/>
    <w:rsid w:val="00EE22E2"/>
    <w:rsid w:val="00EE2FF2"/>
    <w:rsid w:val="00EE4191"/>
    <w:rsid w:val="00EE42AD"/>
    <w:rsid w:val="00EE55A0"/>
    <w:rsid w:val="00EE686F"/>
    <w:rsid w:val="00EE6D02"/>
    <w:rsid w:val="00EF188D"/>
    <w:rsid w:val="00EF1B64"/>
    <w:rsid w:val="00EF22F1"/>
    <w:rsid w:val="00EF268A"/>
    <w:rsid w:val="00EF2A03"/>
    <w:rsid w:val="00EF357E"/>
    <w:rsid w:val="00EF39EA"/>
    <w:rsid w:val="00EF418F"/>
    <w:rsid w:val="00EF4195"/>
    <w:rsid w:val="00EF4B19"/>
    <w:rsid w:val="00EF529F"/>
    <w:rsid w:val="00EF6699"/>
    <w:rsid w:val="00EF7A67"/>
    <w:rsid w:val="00F00690"/>
    <w:rsid w:val="00F0164B"/>
    <w:rsid w:val="00F0186A"/>
    <w:rsid w:val="00F01EE5"/>
    <w:rsid w:val="00F025F6"/>
    <w:rsid w:val="00F02B30"/>
    <w:rsid w:val="00F036AC"/>
    <w:rsid w:val="00F045FF"/>
    <w:rsid w:val="00F057C4"/>
    <w:rsid w:val="00F0640C"/>
    <w:rsid w:val="00F06CA9"/>
    <w:rsid w:val="00F06CF5"/>
    <w:rsid w:val="00F07259"/>
    <w:rsid w:val="00F102E4"/>
    <w:rsid w:val="00F10434"/>
    <w:rsid w:val="00F11A57"/>
    <w:rsid w:val="00F14461"/>
    <w:rsid w:val="00F14ED1"/>
    <w:rsid w:val="00F152B6"/>
    <w:rsid w:val="00F15354"/>
    <w:rsid w:val="00F16DB1"/>
    <w:rsid w:val="00F20369"/>
    <w:rsid w:val="00F20630"/>
    <w:rsid w:val="00F20EC6"/>
    <w:rsid w:val="00F21147"/>
    <w:rsid w:val="00F2119D"/>
    <w:rsid w:val="00F21ADB"/>
    <w:rsid w:val="00F22293"/>
    <w:rsid w:val="00F2453F"/>
    <w:rsid w:val="00F24618"/>
    <w:rsid w:val="00F24EE2"/>
    <w:rsid w:val="00F25F66"/>
    <w:rsid w:val="00F26C07"/>
    <w:rsid w:val="00F26D18"/>
    <w:rsid w:val="00F27736"/>
    <w:rsid w:val="00F27C10"/>
    <w:rsid w:val="00F30D84"/>
    <w:rsid w:val="00F3102F"/>
    <w:rsid w:val="00F31BD5"/>
    <w:rsid w:val="00F321D5"/>
    <w:rsid w:val="00F32BB7"/>
    <w:rsid w:val="00F33A1D"/>
    <w:rsid w:val="00F33CB0"/>
    <w:rsid w:val="00F33E1C"/>
    <w:rsid w:val="00F33F06"/>
    <w:rsid w:val="00F353B6"/>
    <w:rsid w:val="00F36749"/>
    <w:rsid w:val="00F37067"/>
    <w:rsid w:val="00F40839"/>
    <w:rsid w:val="00F40CFA"/>
    <w:rsid w:val="00F41ABC"/>
    <w:rsid w:val="00F42098"/>
    <w:rsid w:val="00F429F6"/>
    <w:rsid w:val="00F43144"/>
    <w:rsid w:val="00F47D0D"/>
    <w:rsid w:val="00F47EA9"/>
    <w:rsid w:val="00F47ECF"/>
    <w:rsid w:val="00F50110"/>
    <w:rsid w:val="00F530D0"/>
    <w:rsid w:val="00F53E25"/>
    <w:rsid w:val="00F55153"/>
    <w:rsid w:val="00F55419"/>
    <w:rsid w:val="00F55AFF"/>
    <w:rsid w:val="00F57AFD"/>
    <w:rsid w:val="00F57B60"/>
    <w:rsid w:val="00F57C35"/>
    <w:rsid w:val="00F620F8"/>
    <w:rsid w:val="00F633FC"/>
    <w:rsid w:val="00F63C8E"/>
    <w:rsid w:val="00F64099"/>
    <w:rsid w:val="00F64210"/>
    <w:rsid w:val="00F6454A"/>
    <w:rsid w:val="00F64ED5"/>
    <w:rsid w:val="00F653FC"/>
    <w:rsid w:val="00F65B08"/>
    <w:rsid w:val="00F65DEC"/>
    <w:rsid w:val="00F66649"/>
    <w:rsid w:val="00F70A3F"/>
    <w:rsid w:val="00F70D1C"/>
    <w:rsid w:val="00F75CA5"/>
    <w:rsid w:val="00F768B4"/>
    <w:rsid w:val="00F807BE"/>
    <w:rsid w:val="00F812ED"/>
    <w:rsid w:val="00F813CB"/>
    <w:rsid w:val="00F816B3"/>
    <w:rsid w:val="00F81D25"/>
    <w:rsid w:val="00F81E98"/>
    <w:rsid w:val="00F81FEB"/>
    <w:rsid w:val="00F8220D"/>
    <w:rsid w:val="00F8265B"/>
    <w:rsid w:val="00F8335E"/>
    <w:rsid w:val="00F84E8E"/>
    <w:rsid w:val="00F8523D"/>
    <w:rsid w:val="00F87114"/>
    <w:rsid w:val="00F875F6"/>
    <w:rsid w:val="00F90D9D"/>
    <w:rsid w:val="00F91B5F"/>
    <w:rsid w:val="00F9219E"/>
    <w:rsid w:val="00F9235C"/>
    <w:rsid w:val="00F92653"/>
    <w:rsid w:val="00F95242"/>
    <w:rsid w:val="00F971CF"/>
    <w:rsid w:val="00F976A3"/>
    <w:rsid w:val="00F97855"/>
    <w:rsid w:val="00FA0F81"/>
    <w:rsid w:val="00FA10B0"/>
    <w:rsid w:val="00FA116D"/>
    <w:rsid w:val="00FA1765"/>
    <w:rsid w:val="00FA2505"/>
    <w:rsid w:val="00FA25D2"/>
    <w:rsid w:val="00FA3B38"/>
    <w:rsid w:val="00FA64AB"/>
    <w:rsid w:val="00FB272F"/>
    <w:rsid w:val="00FB3D87"/>
    <w:rsid w:val="00FB54D6"/>
    <w:rsid w:val="00FB5BFB"/>
    <w:rsid w:val="00FB7129"/>
    <w:rsid w:val="00FB71A8"/>
    <w:rsid w:val="00FB78EA"/>
    <w:rsid w:val="00FC27CF"/>
    <w:rsid w:val="00FC29AB"/>
    <w:rsid w:val="00FC399F"/>
    <w:rsid w:val="00FC40CD"/>
    <w:rsid w:val="00FC4E15"/>
    <w:rsid w:val="00FC524A"/>
    <w:rsid w:val="00FC6B0B"/>
    <w:rsid w:val="00FC6F2F"/>
    <w:rsid w:val="00FC74B4"/>
    <w:rsid w:val="00FC74E5"/>
    <w:rsid w:val="00FC75A5"/>
    <w:rsid w:val="00FD0423"/>
    <w:rsid w:val="00FD20F3"/>
    <w:rsid w:val="00FD2399"/>
    <w:rsid w:val="00FD23D4"/>
    <w:rsid w:val="00FD3FD6"/>
    <w:rsid w:val="00FD4741"/>
    <w:rsid w:val="00FD54C5"/>
    <w:rsid w:val="00FD5684"/>
    <w:rsid w:val="00FD5CBA"/>
    <w:rsid w:val="00FD66D1"/>
    <w:rsid w:val="00FD67FE"/>
    <w:rsid w:val="00FD77C0"/>
    <w:rsid w:val="00FE075B"/>
    <w:rsid w:val="00FE0FBB"/>
    <w:rsid w:val="00FE150D"/>
    <w:rsid w:val="00FE3ACA"/>
    <w:rsid w:val="00FE44CC"/>
    <w:rsid w:val="00FE5E93"/>
    <w:rsid w:val="00FE644C"/>
    <w:rsid w:val="00FE6583"/>
    <w:rsid w:val="00FE6F1F"/>
    <w:rsid w:val="00FE6FA9"/>
    <w:rsid w:val="00FE73DB"/>
    <w:rsid w:val="00FF0306"/>
    <w:rsid w:val="00FF03B0"/>
    <w:rsid w:val="00FF0A8A"/>
    <w:rsid w:val="00FF207D"/>
    <w:rsid w:val="00FF28BC"/>
    <w:rsid w:val="00FF321C"/>
    <w:rsid w:val="00FF326F"/>
    <w:rsid w:val="00FF34FE"/>
    <w:rsid w:val="00FF3EAB"/>
    <w:rsid w:val="00FF4998"/>
    <w:rsid w:val="00FF59A4"/>
    <w:rsid w:val="00FF5DFC"/>
    <w:rsid w:val="00FF5E5A"/>
    <w:rsid w:val="00FF5FB2"/>
    <w:rsid w:val="00FF7F7A"/>
    <w:rsid w:val="01067C6D"/>
    <w:rsid w:val="01186B66"/>
    <w:rsid w:val="014E5781"/>
    <w:rsid w:val="019B6FA8"/>
    <w:rsid w:val="01BB5180"/>
    <w:rsid w:val="01C103F8"/>
    <w:rsid w:val="01F73E9E"/>
    <w:rsid w:val="01FA07B0"/>
    <w:rsid w:val="02276F64"/>
    <w:rsid w:val="02313F2A"/>
    <w:rsid w:val="0275404D"/>
    <w:rsid w:val="02C91163"/>
    <w:rsid w:val="02DF5F40"/>
    <w:rsid w:val="02E01568"/>
    <w:rsid w:val="03046375"/>
    <w:rsid w:val="03700089"/>
    <w:rsid w:val="03993547"/>
    <w:rsid w:val="03CF5D5C"/>
    <w:rsid w:val="03DB2498"/>
    <w:rsid w:val="041C5514"/>
    <w:rsid w:val="043625FE"/>
    <w:rsid w:val="04733514"/>
    <w:rsid w:val="04924634"/>
    <w:rsid w:val="04A2167D"/>
    <w:rsid w:val="05706921"/>
    <w:rsid w:val="05846550"/>
    <w:rsid w:val="05CA327E"/>
    <w:rsid w:val="05DA7960"/>
    <w:rsid w:val="06774985"/>
    <w:rsid w:val="069E11BE"/>
    <w:rsid w:val="06BF1F63"/>
    <w:rsid w:val="06E239EF"/>
    <w:rsid w:val="072237A3"/>
    <w:rsid w:val="07291206"/>
    <w:rsid w:val="073C47BA"/>
    <w:rsid w:val="07C0082E"/>
    <w:rsid w:val="07C3125D"/>
    <w:rsid w:val="07CF7EA2"/>
    <w:rsid w:val="07F551F5"/>
    <w:rsid w:val="082C0476"/>
    <w:rsid w:val="08915C1A"/>
    <w:rsid w:val="08A9717D"/>
    <w:rsid w:val="08DD4CB6"/>
    <w:rsid w:val="08E34101"/>
    <w:rsid w:val="092335EB"/>
    <w:rsid w:val="092B4F51"/>
    <w:rsid w:val="096E46D5"/>
    <w:rsid w:val="097D29DA"/>
    <w:rsid w:val="098E3862"/>
    <w:rsid w:val="098F4396"/>
    <w:rsid w:val="09934557"/>
    <w:rsid w:val="09E621E3"/>
    <w:rsid w:val="0A5E71AF"/>
    <w:rsid w:val="0A6B261E"/>
    <w:rsid w:val="0AB51F5E"/>
    <w:rsid w:val="0ADE6C35"/>
    <w:rsid w:val="0AE32174"/>
    <w:rsid w:val="0AED2B4D"/>
    <w:rsid w:val="0B433477"/>
    <w:rsid w:val="0B514F31"/>
    <w:rsid w:val="0B8278DF"/>
    <w:rsid w:val="0BBB283E"/>
    <w:rsid w:val="0BBC56C2"/>
    <w:rsid w:val="0BD20695"/>
    <w:rsid w:val="0C4919E5"/>
    <w:rsid w:val="0C4C1495"/>
    <w:rsid w:val="0C883936"/>
    <w:rsid w:val="0C8F7597"/>
    <w:rsid w:val="0CC35432"/>
    <w:rsid w:val="0D1348B8"/>
    <w:rsid w:val="0D55787D"/>
    <w:rsid w:val="0D6F544B"/>
    <w:rsid w:val="0D762D89"/>
    <w:rsid w:val="0DBF4CE3"/>
    <w:rsid w:val="0DE15B2F"/>
    <w:rsid w:val="0E174BA7"/>
    <w:rsid w:val="0E21639C"/>
    <w:rsid w:val="0E2C237F"/>
    <w:rsid w:val="0E491E5D"/>
    <w:rsid w:val="0E495CAD"/>
    <w:rsid w:val="0E5D7B19"/>
    <w:rsid w:val="0EEA42CE"/>
    <w:rsid w:val="0F0D25C9"/>
    <w:rsid w:val="0F2910C0"/>
    <w:rsid w:val="0F3C4C44"/>
    <w:rsid w:val="0F701D6B"/>
    <w:rsid w:val="0FDC366F"/>
    <w:rsid w:val="0FEF3A91"/>
    <w:rsid w:val="10032189"/>
    <w:rsid w:val="104657AB"/>
    <w:rsid w:val="1073306D"/>
    <w:rsid w:val="1077029D"/>
    <w:rsid w:val="10D12A35"/>
    <w:rsid w:val="10ED777A"/>
    <w:rsid w:val="10F03FA8"/>
    <w:rsid w:val="11001ABC"/>
    <w:rsid w:val="11044134"/>
    <w:rsid w:val="11413E7B"/>
    <w:rsid w:val="114422C2"/>
    <w:rsid w:val="114C321C"/>
    <w:rsid w:val="11551DB0"/>
    <w:rsid w:val="11607970"/>
    <w:rsid w:val="11776175"/>
    <w:rsid w:val="11D4010D"/>
    <w:rsid w:val="121550DF"/>
    <w:rsid w:val="121C1A71"/>
    <w:rsid w:val="12640C27"/>
    <w:rsid w:val="1294794D"/>
    <w:rsid w:val="12966AF3"/>
    <w:rsid w:val="12A53F83"/>
    <w:rsid w:val="12FE0FC0"/>
    <w:rsid w:val="12FE519E"/>
    <w:rsid w:val="131E56C0"/>
    <w:rsid w:val="13303ABC"/>
    <w:rsid w:val="143C3D3B"/>
    <w:rsid w:val="146C4654"/>
    <w:rsid w:val="14AD24EB"/>
    <w:rsid w:val="14B90E4E"/>
    <w:rsid w:val="14CA57E3"/>
    <w:rsid w:val="14D15B58"/>
    <w:rsid w:val="152E6B9D"/>
    <w:rsid w:val="153C6916"/>
    <w:rsid w:val="15702B4E"/>
    <w:rsid w:val="15944F85"/>
    <w:rsid w:val="15A2516B"/>
    <w:rsid w:val="16A82188"/>
    <w:rsid w:val="16B30479"/>
    <w:rsid w:val="16E858FC"/>
    <w:rsid w:val="170A6ED2"/>
    <w:rsid w:val="171564D4"/>
    <w:rsid w:val="17323BCF"/>
    <w:rsid w:val="175E174E"/>
    <w:rsid w:val="178164CC"/>
    <w:rsid w:val="178E5E27"/>
    <w:rsid w:val="179F220C"/>
    <w:rsid w:val="17C4317A"/>
    <w:rsid w:val="180C188B"/>
    <w:rsid w:val="18622C45"/>
    <w:rsid w:val="18890248"/>
    <w:rsid w:val="18E90CD1"/>
    <w:rsid w:val="18EA1D61"/>
    <w:rsid w:val="190F396D"/>
    <w:rsid w:val="191E46DC"/>
    <w:rsid w:val="1934514E"/>
    <w:rsid w:val="195F33D3"/>
    <w:rsid w:val="196D749E"/>
    <w:rsid w:val="199A349F"/>
    <w:rsid w:val="19AC5014"/>
    <w:rsid w:val="19C80C5B"/>
    <w:rsid w:val="19EC6237"/>
    <w:rsid w:val="1A1B2D2D"/>
    <w:rsid w:val="1A681199"/>
    <w:rsid w:val="1A791EA3"/>
    <w:rsid w:val="1AB167CC"/>
    <w:rsid w:val="1ADF1A19"/>
    <w:rsid w:val="1B534665"/>
    <w:rsid w:val="1C000C8E"/>
    <w:rsid w:val="1C0E7896"/>
    <w:rsid w:val="1C1076DE"/>
    <w:rsid w:val="1C4C269E"/>
    <w:rsid w:val="1C665349"/>
    <w:rsid w:val="1C8403CB"/>
    <w:rsid w:val="1CB3313F"/>
    <w:rsid w:val="1D2F40BA"/>
    <w:rsid w:val="1D7B5175"/>
    <w:rsid w:val="1DC01261"/>
    <w:rsid w:val="1DC45E9A"/>
    <w:rsid w:val="1E0F5267"/>
    <w:rsid w:val="1E9654AF"/>
    <w:rsid w:val="1E9A0AF3"/>
    <w:rsid w:val="1EFC3FD6"/>
    <w:rsid w:val="1EFE3BE3"/>
    <w:rsid w:val="1F306E32"/>
    <w:rsid w:val="1FB11D39"/>
    <w:rsid w:val="1FB36D94"/>
    <w:rsid w:val="20075BF3"/>
    <w:rsid w:val="20426910"/>
    <w:rsid w:val="205677C5"/>
    <w:rsid w:val="20671D38"/>
    <w:rsid w:val="20957649"/>
    <w:rsid w:val="20EC2DA8"/>
    <w:rsid w:val="210E7827"/>
    <w:rsid w:val="21393E6A"/>
    <w:rsid w:val="218B501C"/>
    <w:rsid w:val="220B144C"/>
    <w:rsid w:val="22A33518"/>
    <w:rsid w:val="22C26C24"/>
    <w:rsid w:val="22CE2D0F"/>
    <w:rsid w:val="22F10A77"/>
    <w:rsid w:val="2314403B"/>
    <w:rsid w:val="23327BB2"/>
    <w:rsid w:val="23611B80"/>
    <w:rsid w:val="23872EDF"/>
    <w:rsid w:val="23AB3DF5"/>
    <w:rsid w:val="23E359D2"/>
    <w:rsid w:val="23EF6A65"/>
    <w:rsid w:val="242C0456"/>
    <w:rsid w:val="24A37F01"/>
    <w:rsid w:val="24BD5B81"/>
    <w:rsid w:val="24D25AC6"/>
    <w:rsid w:val="24F54FAD"/>
    <w:rsid w:val="250C1CDD"/>
    <w:rsid w:val="251116B1"/>
    <w:rsid w:val="251C1489"/>
    <w:rsid w:val="25421B0C"/>
    <w:rsid w:val="2547664C"/>
    <w:rsid w:val="25786F5B"/>
    <w:rsid w:val="259524DA"/>
    <w:rsid w:val="259C79F3"/>
    <w:rsid w:val="25C835CF"/>
    <w:rsid w:val="262C55EE"/>
    <w:rsid w:val="266F38DE"/>
    <w:rsid w:val="26871406"/>
    <w:rsid w:val="26A967F0"/>
    <w:rsid w:val="2737147B"/>
    <w:rsid w:val="2766472E"/>
    <w:rsid w:val="276E4F09"/>
    <w:rsid w:val="27DB3B1F"/>
    <w:rsid w:val="280E0799"/>
    <w:rsid w:val="28266F19"/>
    <w:rsid w:val="287C3067"/>
    <w:rsid w:val="288672D6"/>
    <w:rsid w:val="288F6F25"/>
    <w:rsid w:val="28C3168F"/>
    <w:rsid w:val="28EC6CD8"/>
    <w:rsid w:val="28FA09F6"/>
    <w:rsid w:val="290E6D52"/>
    <w:rsid w:val="297D6926"/>
    <w:rsid w:val="29A37A01"/>
    <w:rsid w:val="29AA7FBC"/>
    <w:rsid w:val="29B13A13"/>
    <w:rsid w:val="29DF21B0"/>
    <w:rsid w:val="29E57EBF"/>
    <w:rsid w:val="29E85229"/>
    <w:rsid w:val="2A575538"/>
    <w:rsid w:val="2A610A4B"/>
    <w:rsid w:val="2A633308"/>
    <w:rsid w:val="2A850134"/>
    <w:rsid w:val="2A987773"/>
    <w:rsid w:val="2A9F1722"/>
    <w:rsid w:val="2AF1429C"/>
    <w:rsid w:val="2BC714CB"/>
    <w:rsid w:val="2C247C7C"/>
    <w:rsid w:val="2C470A2A"/>
    <w:rsid w:val="2C5043FD"/>
    <w:rsid w:val="2C5134AF"/>
    <w:rsid w:val="2C865673"/>
    <w:rsid w:val="2D203581"/>
    <w:rsid w:val="2D355FA7"/>
    <w:rsid w:val="2D643327"/>
    <w:rsid w:val="2D8861A8"/>
    <w:rsid w:val="2D9E6C77"/>
    <w:rsid w:val="2E16173B"/>
    <w:rsid w:val="2E3E78ED"/>
    <w:rsid w:val="2E6D4479"/>
    <w:rsid w:val="2ECA3698"/>
    <w:rsid w:val="2EF62474"/>
    <w:rsid w:val="2F1E6EA8"/>
    <w:rsid w:val="2F4859CC"/>
    <w:rsid w:val="2F9664C6"/>
    <w:rsid w:val="2F9C2275"/>
    <w:rsid w:val="2FA92733"/>
    <w:rsid w:val="2FB052CF"/>
    <w:rsid w:val="2FBB3CCF"/>
    <w:rsid w:val="2FF5479D"/>
    <w:rsid w:val="3011318D"/>
    <w:rsid w:val="30164626"/>
    <w:rsid w:val="30591547"/>
    <w:rsid w:val="309019B5"/>
    <w:rsid w:val="30C677D5"/>
    <w:rsid w:val="31245E6F"/>
    <w:rsid w:val="320F23C2"/>
    <w:rsid w:val="32DB717D"/>
    <w:rsid w:val="33296423"/>
    <w:rsid w:val="33337334"/>
    <w:rsid w:val="337B1F07"/>
    <w:rsid w:val="33EC718C"/>
    <w:rsid w:val="33F569AA"/>
    <w:rsid w:val="34036C9A"/>
    <w:rsid w:val="34282D96"/>
    <w:rsid w:val="343E22E2"/>
    <w:rsid w:val="343E5F05"/>
    <w:rsid w:val="347568D8"/>
    <w:rsid w:val="349D2033"/>
    <w:rsid w:val="34A30F23"/>
    <w:rsid w:val="34A54B64"/>
    <w:rsid w:val="34AB4F22"/>
    <w:rsid w:val="34C355F3"/>
    <w:rsid w:val="35273999"/>
    <w:rsid w:val="35AF2F3A"/>
    <w:rsid w:val="35C94004"/>
    <w:rsid w:val="361C77CB"/>
    <w:rsid w:val="36203A46"/>
    <w:rsid w:val="3640288A"/>
    <w:rsid w:val="3671272E"/>
    <w:rsid w:val="36AA2259"/>
    <w:rsid w:val="36E17279"/>
    <w:rsid w:val="372A204B"/>
    <w:rsid w:val="37EB36C4"/>
    <w:rsid w:val="380B1AC9"/>
    <w:rsid w:val="38193323"/>
    <w:rsid w:val="382563C7"/>
    <w:rsid w:val="3832671F"/>
    <w:rsid w:val="3838185E"/>
    <w:rsid w:val="384A0F7C"/>
    <w:rsid w:val="388370D5"/>
    <w:rsid w:val="388A0841"/>
    <w:rsid w:val="389F1247"/>
    <w:rsid w:val="38E33B21"/>
    <w:rsid w:val="38EF3047"/>
    <w:rsid w:val="392213F1"/>
    <w:rsid w:val="395077F0"/>
    <w:rsid w:val="397200C0"/>
    <w:rsid w:val="3977253A"/>
    <w:rsid w:val="397F146D"/>
    <w:rsid w:val="398678CF"/>
    <w:rsid w:val="3994237E"/>
    <w:rsid w:val="39A41479"/>
    <w:rsid w:val="39CA6372"/>
    <w:rsid w:val="39D42F61"/>
    <w:rsid w:val="39F52BBB"/>
    <w:rsid w:val="39FA177B"/>
    <w:rsid w:val="3A25387D"/>
    <w:rsid w:val="3A276C4E"/>
    <w:rsid w:val="3A771007"/>
    <w:rsid w:val="3A904555"/>
    <w:rsid w:val="3A936424"/>
    <w:rsid w:val="3AA5567A"/>
    <w:rsid w:val="3AB17F39"/>
    <w:rsid w:val="3AFC4A76"/>
    <w:rsid w:val="3B0875A8"/>
    <w:rsid w:val="3B295232"/>
    <w:rsid w:val="3B416AD8"/>
    <w:rsid w:val="3B8A1AFA"/>
    <w:rsid w:val="3BDB4034"/>
    <w:rsid w:val="3C443265"/>
    <w:rsid w:val="3C835911"/>
    <w:rsid w:val="3CA111BC"/>
    <w:rsid w:val="3CAD2BE2"/>
    <w:rsid w:val="3CE609A9"/>
    <w:rsid w:val="3CF94FF9"/>
    <w:rsid w:val="3D346529"/>
    <w:rsid w:val="3D3C14BA"/>
    <w:rsid w:val="3D622DCF"/>
    <w:rsid w:val="3D651B10"/>
    <w:rsid w:val="3DE4134A"/>
    <w:rsid w:val="3DFF76B9"/>
    <w:rsid w:val="3E130551"/>
    <w:rsid w:val="3E426EAD"/>
    <w:rsid w:val="3E9C1F05"/>
    <w:rsid w:val="3EAE71F2"/>
    <w:rsid w:val="3EB63546"/>
    <w:rsid w:val="3EBF1C19"/>
    <w:rsid w:val="3F16104C"/>
    <w:rsid w:val="3F2F49DC"/>
    <w:rsid w:val="3F3C090C"/>
    <w:rsid w:val="3F442945"/>
    <w:rsid w:val="3F7E27E2"/>
    <w:rsid w:val="3F9F6207"/>
    <w:rsid w:val="3FE96941"/>
    <w:rsid w:val="3FF81320"/>
    <w:rsid w:val="40200E8D"/>
    <w:rsid w:val="40210A98"/>
    <w:rsid w:val="402C5A45"/>
    <w:rsid w:val="4063109C"/>
    <w:rsid w:val="406E430C"/>
    <w:rsid w:val="4094020B"/>
    <w:rsid w:val="40A55546"/>
    <w:rsid w:val="41295026"/>
    <w:rsid w:val="41515762"/>
    <w:rsid w:val="41685545"/>
    <w:rsid w:val="41A2496E"/>
    <w:rsid w:val="41CE041F"/>
    <w:rsid w:val="41DD49A0"/>
    <w:rsid w:val="420F4C19"/>
    <w:rsid w:val="42C81E40"/>
    <w:rsid w:val="42DA5A81"/>
    <w:rsid w:val="43130C7A"/>
    <w:rsid w:val="43B254E2"/>
    <w:rsid w:val="43C474DF"/>
    <w:rsid w:val="43EB0BC6"/>
    <w:rsid w:val="43EE2F04"/>
    <w:rsid w:val="443102EB"/>
    <w:rsid w:val="445D346B"/>
    <w:rsid w:val="446C4CF3"/>
    <w:rsid w:val="446E60FF"/>
    <w:rsid w:val="449378AD"/>
    <w:rsid w:val="44FB2E63"/>
    <w:rsid w:val="451E605E"/>
    <w:rsid w:val="456953F0"/>
    <w:rsid w:val="45A31E69"/>
    <w:rsid w:val="45E42146"/>
    <w:rsid w:val="461D64BE"/>
    <w:rsid w:val="466C3BB9"/>
    <w:rsid w:val="467C599A"/>
    <w:rsid w:val="469A7E87"/>
    <w:rsid w:val="47083695"/>
    <w:rsid w:val="4760077B"/>
    <w:rsid w:val="479445B2"/>
    <w:rsid w:val="47A23A66"/>
    <w:rsid w:val="47A44642"/>
    <w:rsid w:val="47C22CF3"/>
    <w:rsid w:val="47FE67F6"/>
    <w:rsid w:val="4817061D"/>
    <w:rsid w:val="489F16E3"/>
    <w:rsid w:val="48D45624"/>
    <w:rsid w:val="4917106F"/>
    <w:rsid w:val="498C15B9"/>
    <w:rsid w:val="49946D26"/>
    <w:rsid w:val="499C1EB2"/>
    <w:rsid w:val="49AA3180"/>
    <w:rsid w:val="4A123A9E"/>
    <w:rsid w:val="4A1914E6"/>
    <w:rsid w:val="4A2C2C73"/>
    <w:rsid w:val="4A310B0A"/>
    <w:rsid w:val="4A347A18"/>
    <w:rsid w:val="4A7C087B"/>
    <w:rsid w:val="4A8538A4"/>
    <w:rsid w:val="4AA45BE1"/>
    <w:rsid w:val="4AA65B3B"/>
    <w:rsid w:val="4AB61ADD"/>
    <w:rsid w:val="4ACB2306"/>
    <w:rsid w:val="4AFC74DF"/>
    <w:rsid w:val="4B833213"/>
    <w:rsid w:val="4BF61E99"/>
    <w:rsid w:val="4C145210"/>
    <w:rsid w:val="4C377209"/>
    <w:rsid w:val="4C3C1AA8"/>
    <w:rsid w:val="4C8463EE"/>
    <w:rsid w:val="4CC06BFB"/>
    <w:rsid w:val="4CC118A4"/>
    <w:rsid w:val="4D2654AF"/>
    <w:rsid w:val="4D4F113F"/>
    <w:rsid w:val="4D5B7776"/>
    <w:rsid w:val="4D94714C"/>
    <w:rsid w:val="4DDA1A4C"/>
    <w:rsid w:val="4DE87042"/>
    <w:rsid w:val="4DFB63B3"/>
    <w:rsid w:val="4E1A5C09"/>
    <w:rsid w:val="4E2E3C79"/>
    <w:rsid w:val="4E2F2359"/>
    <w:rsid w:val="4E31313A"/>
    <w:rsid w:val="4E431849"/>
    <w:rsid w:val="4E596798"/>
    <w:rsid w:val="4EBB5959"/>
    <w:rsid w:val="4EF14F49"/>
    <w:rsid w:val="4EF6050D"/>
    <w:rsid w:val="4F1A59BF"/>
    <w:rsid w:val="4F924636"/>
    <w:rsid w:val="50123891"/>
    <w:rsid w:val="502A4A4C"/>
    <w:rsid w:val="50472FEE"/>
    <w:rsid w:val="507A0ADC"/>
    <w:rsid w:val="50D83106"/>
    <w:rsid w:val="50FA4462"/>
    <w:rsid w:val="51652482"/>
    <w:rsid w:val="51694A21"/>
    <w:rsid w:val="51884B5E"/>
    <w:rsid w:val="518D3779"/>
    <w:rsid w:val="51B45596"/>
    <w:rsid w:val="51D050D1"/>
    <w:rsid w:val="51D7211E"/>
    <w:rsid w:val="51DC17A4"/>
    <w:rsid w:val="52505661"/>
    <w:rsid w:val="5257610A"/>
    <w:rsid w:val="526E5CB5"/>
    <w:rsid w:val="52D82016"/>
    <w:rsid w:val="53157900"/>
    <w:rsid w:val="53865274"/>
    <w:rsid w:val="53DB2593"/>
    <w:rsid w:val="54272FB7"/>
    <w:rsid w:val="542E1C7D"/>
    <w:rsid w:val="54683D67"/>
    <w:rsid w:val="54A21BB2"/>
    <w:rsid w:val="54A32459"/>
    <w:rsid w:val="54C254CA"/>
    <w:rsid w:val="54C430F6"/>
    <w:rsid w:val="54FB0113"/>
    <w:rsid w:val="54FC1185"/>
    <w:rsid w:val="55B95A64"/>
    <w:rsid w:val="55DD2479"/>
    <w:rsid w:val="55FF5737"/>
    <w:rsid w:val="56022458"/>
    <w:rsid w:val="56072772"/>
    <w:rsid w:val="561D267A"/>
    <w:rsid w:val="56400CAD"/>
    <w:rsid w:val="56CC7D61"/>
    <w:rsid w:val="56EB31E8"/>
    <w:rsid w:val="575710A5"/>
    <w:rsid w:val="576C65B5"/>
    <w:rsid w:val="57AD22D7"/>
    <w:rsid w:val="57CC02D5"/>
    <w:rsid w:val="57F7496D"/>
    <w:rsid w:val="585B0093"/>
    <w:rsid w:val="588C4742"/>
    <w:rsid w:val="589F65B2"/>
    <w:rsid w:val="58D858C7"/>
    <w:rsid w:val="591468AC"/>
    <w:rsid w:val="59186B24"/>
    <w:rsid w:val="592C2178"/>
    <w:rsid w:val="593E3AF5"/>
    <w:rsid w:val="597412A6"/>
    <w:rsid w:val="5980115E"/>
    <w:rsid w:val="59A0288C"/>
    <w:rsid w:val="59B40DDE"/>
    <w:rsid w:val="59D651C9"/>
    <w:rsid w:val="5A764AEA"/>
    <w:rsid w:val="5A7C6794"/>
    <w:rsid w:val="5AA400A2"/>
    <w:rsid w:val="5ACF0B14"/>
    <w:rsid w:val="5AD97D44"/>
    <w:rsid w:val="5AFE2B3E"/>
    <w:rsid w:val="5B22024B"/>
    <w:rsid w:val="5B835103"/>
    <w:rsid w:val="5B8548D1"/>
    <w:rsid w:val="5BAF2355"/>
    <w:rsid w:val="5BF60B78"/>
    <w:rsid w:val="5C0A3D46"/>
    <w:rsid w:val="5C1668CF"/>
    <w:rsid w:val="5C2448DF"/>
    <w:rsid w:val="5C281A1F"/>
    <w:rsid w:val="5C7E749C"/>
    <w:rsid w:val="5C800C68"/>
    <w:rsid w:val="5CD34663"/>
    <w:rsid w:val="5D05202B"/>
    <w:rsid w:val="5DA1571B"/>
    <w:rsid w:val="5DA87556"/>
    <w:rsid w:val="5DB27F4B"/>
    <w:rsid w:val="5E052F60"/>
    <w:rsid w:val="5E3206A0"/>
    <w:rsid w:val="5E484D06"/>
    <w:rsid w:val="5E48767D"/>
    <w:rsid w:val="5E995CB6"/>
    <w:rsid w:val="5F254273"/>
    <w:rsid w:val="5F436C85"/>
    <w:rsid w:val="5F4B4928"/>
    <w:rsid w:val="5F6D1766"/>
    <w:rsid w:val="5FA06C93"/>
    <w:rsid w:val="5FC65E1C"/>
    <w:rsid w:val="5FD27BA0"/>
    <w:rsid w:val="60787DEF"/>
    <w:rsid w:val="60B97D7B"/>
    <w:rsid w:val="60C471C8"/>
    <w:rsid w:val="60F0127D"/>
    <w:rsid w:val="610229C7"/>
    <w:rsid w:val="61575DB9"/>
    <w:rsid w:val="615A7745"/>
    <w:rsid w:val="615D62A4"/>
    <w:rsid w:val="61714331"/>
    <w:rsid w:val="61A9603A"/>
    <w:rsid w:val="61C94528"/>
    <w:rsid w:val="62282029"/>
    <w:rsid w:val="622B7960"/>
    <w:rsid w:val="62460CFE"/>
    <w:rsid w:val="624D13D2"/>
    <w:rsid w:val="62952C26"/>
    <w:rsid w:val="62E03330"/>
    <w:rsid w:val="632621E4"/>
    <w:rsid w:val="63661CC6"/>
    <w:rsid w:val="639844F4"/>
    <w:rsid w:val="63A71491"/>
    <w:rsid w:val="63DA364E"/>
    <w:rsid w:val="640B0B87"/>
    <w:rsid w:val="640C4D66"/>
    <w:rsid w:val="64124D0A"/>
    <w:rsid w:val="64217EED"/>
    <w:rsid w:val="642564D8"/>
    <w:rsid w:val="643D6AEA"/>
    <w:rsid w:val="644704AA"/>
    <w:rsid w:val="64512008"/>
    <w:rsid w:val="64836A7E"/>
    <w:rsid w:val="64F37D8E"/>
    <w:rsid w:val="65177A81"/>
    <w:rsid w:val="651D7D2C"/>
    <w:rsid w:val="65344221"/>
    <w:rsid w:val="65593354"/>
    <w:rsid w:val="658C1862"/>
    <w:rsid w:val="65C014DD"/>
    <w:rsid w:val="66170E90"/>
    <w:rsid w:val="66334E81"/>
    <w:rsid w:val="664F5077"/>
    <w:rsid w:val="66693D7A"/>
    <w:rsid w:val="66932504"/>
    <w:rsid w:val="66EF434C"/>
    <w:rsid w:val="670758AD"/>
    <w:rsid w:val="67085112"/>
    <w:rsid w:val="67091248"/>
    <w:rsid w:val="6716631D"/>
    <w:rsid w:val="6727355B"/>
    <w:rsid w:val="677B7505"/>
    <w:rsid w:val="67A72ACB"/>
    <w:rsid w:val="688C494F"/>
    <w:rsid w:val="68B34444"/>
    <w:rsid w:val="68E52730"/>
    <w:rsid w:val="69013A3D"/>
    <w:rsid w:val="69031495"/>
    <w:rsid w:val="694B64EB"/>
    <w:rsid w:val="69630739"/>
    <w:rsid w:val="697D10D3"/>
    <w:rsid w:val="69882C1F"/>
    <w:rsid w:val="6A0B5038"/>
    <w:rsid w:val="6A3645BE"/>
    <w:rsid w:val="6A587C04"/>
    <w:rsid w:val="6A6E1479"/>
    <w:rsid w:val="6A9937FB"/>
    <w:rsid w:val="6B0E6819"/>
    <w:rsid w:val="6B164C21"/>
    <w:rsid w:val="6B4E4CF9"/>
    <w:rsid w:val="6B815528"/>
    <w:rsid w:val="6BD85097"/>
    <w:rsid w:val="6C2F2D0A"/>
    <w:rsid w:val="6C3E7C2E"/>
    <w:rsid w:val="6C913258"/>
    <w:rsid w:val="6CB23FA0"/>
    <w:rsid w:val="6CCD1024"/>
    <w:rsid w:val="6CE14C19"/>
    <w:rsid w:val="6D6A3C2D"/>
    <w:rsid w:val="6D7B5101"/>
    <w:rsid w:val="6DB15D32"/>
    <w:rsid w:val="6DB2191A"/>
    <w:rsid w:val="6DD3139E"/>
    <w:rsid w:val="6E8C4D09"/>
    <w:rsid w:val="6E9D4317"/>
    <w:rsid w:val="6EA43E65"/>
    <w:rsid w:val="6EB6551F"/>
    <w:rsid w:val="6ED215D0"/>
    <w:rsid w:val="6F0458A6"/>
    <w:rsid w:val="6F0C4717"/>
    <w:rsid w:val="6F11121C"/>
    <w:rsid w:val="6F5E0C47"/>
    <w:rsid w:val="6F6F7070"/>
    <w:rsid w:val="6F751583"/>
    <w:rsid w:val="6F924C61"/>
    <w:rsid w:val="70142743"/>
    <w:rsid w:val="70281C68"/>
    <w:rsid w:val="703377EA"/>
    <w:rsid w:val="70B10776"/>
    <w:rsid w:val="72166D54"/>
    <w:rsid w:val="72253032"/>
    <w:rsid w:val="72433EE4"/>
    <w:rsid w:val="724D3662"/>
    <w:rsid w:val="726D1F0A"/>
    <w:rsid w:val="72800533"/>
    <w:rsid w:val="72940C0E"/>
    <w:rsid w:val="73BD7D1D"/>
    <w:rsid w:val="73F11598"/>
    <w:rsid w:val="74741F55"/>
    <w:rsid w:val="74816CD1"/>
    <w:rsid w:val="74D4090E"/>
    <w:rsid w:val="74F82801"/>
    <w:rsid w:val="75056377"/>
    <w:rsid w:val="7514080C"/>
    <w:rsid w:val="751C1E37"/>
    <w:rsid w:val="75325822"/>
    <w:rsid w:val="754001E3"/>
    <w:rsid w:val="757310D2"/>
    <w:rsid w:val="75A03CD1"/>
    <w:rsid w:val="75A72438"/>
    <w:rsid w:val="75D97917"/>
    <w:rsid w:val="76134F53"/>
    <w:rsid w:val="76515436"/>
    <w:rsid w:val="76850C11"/>
    <w:rsid w:val="76906D23"/>
    <w:rsid w:val="769E1EB6"/>
    <w:rsid w:val="76D95C71"/>
    <w:rsid w:val="77074DCA"/>
    <w:rsid w:val="772A2634"/>
    <w:rsid w:val="7766002F"/>
    <w:rsid w:val="77883EA5"/>
    <w:rsid w:val="77BE4B43"/>
    <w:rsid w:val="77C8195B"/>
    <w:rsid w:val="7831069C"/>
    <w:rsid w:val="78454537"/>
    <w:rsid w:val="7857364B"/>
    <w:rsid w:val="78825F60"/>
    <w:rsid w:val="790F01DA"/>
    <w:rsid w:val="79281782"/>
    <w:rsid w:val="796B05A5"/>
    <w:rsid w:val="79775F17"/>
    <w:rsid w:val="79782490"/>
    <w:rsid w:val="79A43FE1"/>
    <w:rsid w:val="79B57CC2"/>
    <w:rsid w:val="79F70A30"/>
    <w:rsid w:val="79FF2965"/>
    <w:rsid w:val="7A3913E2"/>
    <w:rsid w:val="7A721D3D"/>
    <w:rsid w:val="7ADD7225"/>
    <w:rsid w:val="7B0E5AAD"/>
    <w:rsid w:val="7B236B59"/>
    <w:rsid w:val="7B9D24D3"/>
    <w:rsid w:val="7B9F5675"/>
    <w:rsid w:val="7BD132F1"/>
    <w:rsid w:val="7C2F6A6C"/>
    <w:rsid w:val="7C677BE9"/>
    <w:rsid w:val="7C81697F"/>
    <w:rsid w:val="7C883222"/>
    <w:rsid w:val="7CAD64A2"/>
    <w:rsid w:val="7D170593"/>
    <w:rsid w:val="7D3C2392"/>
    <w:rsid w:val="7D4F5F80"/>
    <w:rsid w:val="7D5354FA"/>
    <w:rsid w:val="7D55530D"/>
    <w:rsid w:val="7D7856AC"/>
    <w:rsid w:val="7EA777DF"/>
    <w:rsid w:val="7EAD764E"/>
    <w:rsid w:val="7EB47327"/>
    <w:rsid w:val="7EB57BDC"/>
    <w:rsid w:val="7ECB089F"/>
    <w:rsid w:val="7ECC28D5"/>
    <w:rsid w:val="7F0511FB"/>
    <w:rsid w:val="7F076C05"/>
    <w:rsid w:val="7F57202F"/>
    <w:rsid w:val="7FB823AA"/>
    <w:rsid w:val="7FE55D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paragraph" w:styleId="3">
    <w:name w:val="heading 1"/>
    <w:basedOn w:val="1"/>
    <w:next w:val="1"/>
    <w:link w:val="87"/>
    <w:qFormat/>
    <w:uiPriority w:val="0"/>
    <w:pPr>
      <w:keepNext/>
      <w:widowControl/>
      <w:spacing w:line="360" w:lineRule="auto"/>
      <w:jc w:val="center"/>
      <w:outlineLvl w:val="0"/>
    </w:pPr>
    <w:rPr>
      <w:rFonts w:ascii="??" w:hAnsi="??" w:eastAsia="??" w:cs="宋体"/>
      <w:b/>
      <w:kern w:val="36"/>
      <w:sz w:val="32"/>
      <w:szCs w:val="28"/>
    </w:rPr>
  </w:style>
  <w:style w:type="paragraph" w:styleId="4">
    <w:name w:val="heading 2"/>
    <w:basedOn w:val="1"/>
    <w:next w:val="1"/>
    <w:link w:val="88"/>
    <w:qFormat/>
    <w:uiPriority w:val="9"/>
    <w:pPr>
      <w:keepNext/>
      <w:keepLines/>
      <w:tabs>
        <w:tab w:val="left" w:pos="706"/>
      </w:tabs>
      <w:spacing w:line="360" w:lineRule="auto"/>
      <w:ind w:left="106" w:firstLine="454"/>
      <w:outlineLvl w:val="1"/>
    </w:pPr>
    <w:rPr>
      <w:rFonts w:ascii="Arial" w:hAnsi="Arial" w:eastAsia="??" w:cs="Arial"/>
      <w:b/>
      <w:bCs/>
      <w:szCs w:val="32"/>
    </w:rPr>
  </w:style>
  <w:style w:type="paragraph" w:styleId="5">
    <w:name w:val="heading 3"/>
    <w:basedOn w:val="1"/>
    <w:next w:val="1"/>
    <w:link w:val="89"/>
    <w:qFormat/>
    <w:uiPriority w:val="0"/>
    <w:pPr>
      <w:keepNext/>
      <w:keepLines/>
      <w:widowControl/>
      <w:tabs>
        <w:tab w:val="left" w:pos="720"/>
      </w:tabs>
      <w:spacing w:before="120" w:after="120" w:line="360" w:lineRule="auto"/>
      <w:ind w:left="720" w:hanging="720"/>
      <w:jc w:val="center"/>
      <w:outlineLvl w:val="2"/>
    </w:pPr>
    <w:rPr>
      <w:rFonts w:ascii="Calibri" w:hAnsi="Calibri" w:eastAsia="??"/>
      <w:b/>
      <w:kern w:val="0"/>
      <w:sz w:val="32"/>
      <w:szCs w:val="28"/>
    </w:rPr>
  </w:style>
  <w:style w:type="paragraph" w:styleId="6">
    <w:name w:val="heading 4"/>
    <w:basedOn w:val="1"/>
    <w:next w:val="1"/>
    <w:link w:val="90"/>
    <w:qFormat/>
    <w:uiPriority w:val="0"/>
    <w:pPr>
      <w:keepNext/>
      <w:keepLines/>
      <w:spacing w:before="280" w:after="290" w:line="376" w:lineRule="auto"/>
      <w:outlineLvl w:val="3"/>
    </w:pPr>
    <w:rPr>
      <w:rFonts w:ascii="Arial" w:hAnsi="Arial" w:eastAsia="??" w:cs="Arial"/>
      <w:b/>
      <w:bCs/>
      <w:sz w:val="28"/>
      <w:szCs w:val="28"/>
    </w:rPr>
  </w:style>
  <w:style w:type="paragraph" w:styleId="7">
    <w:name w:val="heading 5"/>
    <w:basedOn w:val="1"/>
    <w:next w:val="1"/>
    <w:link w:val="91"/>
    <w:qFormat/>
    <w:uiPriority w:val="9"/>
    <w:pPr>
      <w:keepNext/>
      <w:keepLines/>
      <w:spacing w:before="280" w:after="290" w:line="376" w:lineRule="auto"/>
      <w:outlineLvl w:val="4"/>
    </w:pPr>
    <w:rPr>
      <w:rFonts w:ascii="Calibri" w:hAnsi="Calibri" w:eastAsia="??"/>
      <w:b/>
      <w:bCs/>
      <w:sz w:val="28"/>
      <w:szCs w:val="28"/>
    </w:rPr>
  </w:style>
  <w:style w:type="paragraph" w:styleId="8">
    <w:name w:val="heading 6"/>
    <w:basedOn w:val="7"/>
    <w:next w:val="1"/>
    <w:link w:val="92"/>
    <w:qFormat/>
    <w:uiPriority w:val="0"/>
    <w:pPr>
      <w:widowControl/>
      <w:tabs>
        <w:tab w:val="left" w:pos="1440"/>
      </w:tabs>
      <w:spacing w:before="240" w:after="64" w:line="319" w:lineRule="auto"/>
      <w:ind w:left="1152" w:hanging="1152"/>
      <w:jc w:val="left"/>
      <w:outlineLvl w:val="5"/>
    </w:pPr>
    <w:rPr>
      <w:rFonts w:ascii="Arial" w:hAnsi="Arial" w:cs="Arial"/>
      <w:kern w:val="0"/>
      <w:sz w:val="24"/>
    </w:rPr>
  </w:style>
  <w:style w:type="paragraph" w:styleId="9">
    <w:name w:val="heading 7"/>
    <w:basedOn w:val="1"/>
    <w:next w:val="1"/>
    <w:link w:val="93"/>
    <w:qFormat/>
    <w:uiPriority w:val="0"/>
    <w:pPr>
      <w:keepNext/>
      <w:keepLines/>
      <w:widowControl/>
      <w:tabs>
        <w:tab w:val="left" w:pos="2520"/>
      </w:tabs>
      <w:spacing w:before="240" w:after="64" w:line="319" w:lineRule="auto"/>
      <w:ind w:left="1296" w:hanging="1296"/>
      <w:jc w:val="left"/>
      <w:outlineLvl w:val="6"/>
    </w:pPr>
    <w:rPr>
      <w:rFonts w:ascii="Calibri" w:hAnsi="Calibri" w:eastAsia="??"/>
      <w:b/>
      <w:bCs/>
      <w:kern w:val="0"/>
      <w:sz w:val="24"/>
      <w:szCs w:val="28"/>
    </w:rPr>
  </w:style>
  <w:style w:type="paragraph" w:styleId="10">
    <w:name w:val="heading 8"/>
    <w:basedOn w:val="1"/>
    <w:next w:val="1"/>
    <w:link w:val="94"/>
    <w:qFormat/>
    <w:uiPriority w:val="9"/>
    <w:pPr>
      <w:keepNext/>
      <w:keepLines/>
      <w:widowControl/>
      <w:tabs>
        <w:tab w:val="left" w:pos="1440"/>
      </w:tabs>
      <w:spacing w:before="240" w:after="64" w:line="319" w:lineRule="auto"/>
      <w:ind w:left="1440" w:hanging="1440"/>
      <w:jc w:val="left"/>
      <w:outlineLvl w:val="7"/>
    </w:pPr>
    <w:rPr>
      <w:rFonts w:ascii="Arial" w:hAnsi="Arial" w:eastAsia="??" w:cs="Arial"/>
      <w:kern w:val="0"/>
      <w:sz w:val="24"/>
      <w:szCs w:val="28"/>
    </w:rPr>
  </w:style>
  <w:style w:type="paragraph" w:styleId="11">
    <w:name w:val="heading 9"/>
    <w:basedOn w:val="1"/>
    <w:next w:val="1"/>
    <w:link w:val="95"/>
    <w:qFormat/>
    <w:uiPriority w:val="0"/>
    <w:pPr>
      <w:keepNext/>
      <w:keepLines/>
      <w:widowControl/>
      <w:tabs>
        <w:tab w:val="left" w:pos="1584"/>
      </w:tabs>
      <w:spacing w:before="240" w:after="64" w:line="319" w:lineRule="auto"/>
      <w:ind w:left="1584" w:hanging="1584"/>
      <w:jc w:val="left"/>
      <w:outlineLvl w:val="8"/>
    </w:pPr>
    <w:rPr>
      <w:rFonts w:ascii="Arial" w:hAnsi="Arial" w:eastAsia="??" w:cs="Arial"/>
      <w:kern w:val="0"/>
      <w:szCs w:val="21"/>
    </w:rPr>
  </w:style>
  <w:style w:type="character" w:default="1" w:styleId="78">
    <w:name w:val="Default Paragraph Font"/>
    <w:semiHidden/>
    <w:unhideWhenUsed/>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tabs>
        <w:tab w:val="left" w:pos="840"/>
      </w:tabs>
      <w:spacing w:line="360" w:lineRule="auto"/>
      <w:ind w:left="840" w:hanging="420"/>
    </w:pPr>
    <w:rPr>
      <w:sz w:val="24"/>
    </w:rPr>
  </w:style>
  <w:style w:type="paragraph" w:styleId="14">
    <w:name w:val="table of authorities"/>
    <w:basedOn w:val="1"/>
    <w:next w:val="1"/>
    <w:qFormat/>
    <w:uiPriority w:val="0"/>
    <w:pPr>
      <w:spacing w:line="360" w:lineRule="auto"/>
      <w:ind w:left="420" w:leftChars="200"/>
    </w:pPr>
    <w:rPr>
      <w:rFonts w:eastAsia="楷体_GB2312"/>
      <w:sz w:val="24"/>
    </w:rPr>
  </w:style>
  <w:style w:type="paragraph" w:styleId="15">
    <w:name w:val="List Bullet 4"/>
    <w:basedOn w:val="1"/>
    <w:qFormat/>
    <w:uiPriority w:val="0"/>
    <w:pPr>
      <w:tabs>
        <w:tab w:val="left" w:pos="1620"/>
      </w:tabs>
      <w:spacing w:line="360" w:lineRule="auto"/>
      <w:ind w:left="1620" w:leftChars="600" w:hanging="360" w:hangingChars="200"/>
    </w:pPr>
    <w:rPr>
      <w:rFonts w:eastAsia="楷体_GB2312"/>
      <w:sz w:val="24"/>
    </w:rPr>
  </w:style>
  <w:style w:type="paragraph" w:styleId="16">
    <w:name w:val="index 8"/>
    <w:basedOn w:val="1"/>
    <w:next w:val="1"/>
    <w:qFormat/>
    <w:uiPriority w:val="0"/>
    <w:pPr>
      <w:spacing w:line="360" w:lineRule="auto"/>
      <w:ind w:left="1400" w:leftChars="1400"/>
    </w:pPr>
    <w:rPr>
      <w:rFonts w:eastAsia="楷体_GB2312"/>
      <w:sz w:val="24"/>
    </w:rPr>
  </w:style>
  <w:style w:type="paragraph" w:styleId="17">
    <w:name w:val="E-mail Signature"/>
    <w:basedOn w:val="1"/>
    <w:link w:val="96"/>
    <w:qFormat/>
    <w:uiPriority w:val="0"/>
    <w:pPr>
      <w:spacing w:line="360" w:lineRule="auto"/>
    </w:pPr>
    <w:rPr>
      <w:rFonts w:ascii="Calibri" w:hAnsi="Calibri" w:eastAsia="楷体_GB2312"/>
      <w:sz w:val="24"/>
    </w:rPr>
  </w:style>
  <w:style w:type="paragraph" w:styleId="18">
    <w:name w:val="List Number"/>
    <w:basedOn w:val="1"/>
    <w:qFormat/>
    <w:uiPriority w:val="0"/>
    <w:pPr>
      <w:tabs>
        <w:tab w:val="left" w:pos="360"/>
      </w:tabs>
      <w:spacing w:line="360" w:lineRule="auto"/>
      <w:ind w:left="360" w:hanging="360" w:hangingChars="200"/>
    </w:pPr>
    <w:rPr>
      <w:rFonts w:eastAsia="楷体_GB2312"/>
      <w:sz w:val="24"/>
    </w:rPr>
  </w:style>
  <w:style w:type="paragraph" w:styleId="19">
    <w:name w:val="Normal Indent"/>
    <w:basedOn w:val="1"/>
    <w:link w:val="97"/>
    <w:qFormat/>
    <w:uiPriority w:val="0"/>
    <w:pPr>
      <w:widowControl/>
      <w:ind w:firstLine="420"/>
      <w:jc w:val="left"/>
    </w:pPr>
    <w:rPr>
      <w:rFonts w:ascii="Calibri" w:hAnsi="Calibri" w:eastAsia="??"/>
      <w:kern w:val="0"/>
      <w:sz w:val="24"/>
    </w:rPr>
  </w:style>
  <w:style w:type="paragraph" w:styleId="20">
    <w:name w:val="caption"/>
    <w:basedOn w:val="1"/>
    <w:next w:val="1"/>
    <w:qFormat/>
    <w:uiPriority w:val="0"/>
    <w:pPr>
      <w:spacing w:before="152" w:after="160" w:line="360" w:lineRule="auto"/>
    </w:pPr>
    <w:rPr>
      <w:rFonts w:ascii="Arial" w:hAnsi="Arial" w:eastAsia="黑体" w:cs="Arial"/>
      <w:sz w:val="20"/>
      <w:szCs w:val="20"/>
    </w:rPr>
  </w:style>
  <w:style w:type="paragraph" w:styleId="21">
    <w:name w:val="index 5"/>
    <w:basedOn w:val="1"/>
    <w:next w:val="1"/>
    <w:qFormat/>
    <w:uiPriority w:val="0"/>
    <w:pPr>
      <w:spacing w:line="360" w:lineRule="auto"/>
      <w:ind w:left="800" w:leftChars="800"/>
    </w:pPr>
    <w:rPr>
      <w:rFonts w:eastAsia="楷体_GB2312"/>
      <w:sz w:val="24"/>
    </w:rPr>
  </w:style>
  <w:style w:type="paragraph" w:styleId="22">
    <w:name w:val="List Bullet"/>
    <w:basedOn w:val="1"/>
    <w:qFormat/>
    <w:uiPriority w:val="0"/>
    <w:pPr>
      <w:tabs>
        <w:tab w:val="left" w:pos="360"/>
      </w:tabs>
      <w:autoSpaceDE w:val="0"/>
      <w:autoSpaceDN w:val="0"/>
      <w:adjustRightInd w:val="0"/>
      <w:spacing w:before="100" w:beforeAutospacing="1" w:after="100" w:afterAutospacing="1" w:line="360" w:lineRule="auto"/>
      <w:ind w:left="360" w:hanging="360" w:firstLineChars="200"/>
    </w:pPr>
    <w:rPr>
      <w:rFonts w:eastAsia="楷体_GB2312"/>
      <w:color w:val="000000"/>
      <w:sz w:val="24"/>
      <w:szCs w:val="20"/>
    </w:rPr>
  </w:style>
  <w:style w:type="paragraph" w:styleId="23">
    <w:name w:val="Document Map"/>
    <w:basedOn w:val="1"/>
    <w:qFormat/>
    <w:uiPriority w:val="0"/>
    <w:pPr>
      <w:shd w:val="clear" w:color="auto" w:fill="000080"/>
    </w:pPr>
    <w:rPr>
      <w:rFonts w:eastAsia="??"/>
      <w:sz w:val="28"/>
      <w:szCs w:val="28"/>
    </w:rPr>
  </w:style>
  <w:style w:type="paragraph" w:styleId="24">
    <w:name w:val="toa heading"/>
    <w:basedOn w:val="1"/>
    <w:next w:val="1"/>
    <w:qFormat/>
    <w:uiPriority w:val="0"/>
    <w:pPr>
      <w:spacing w:before="120" w:line="360" w:lineRule="auto"/>
    </w:pPr>
    <w:rPr>
      <w:rFonts w:ascii="Arial" w:hAnsi="Arial" w:eastAsia="楷体_GB2312" w:cs="Arial"/>
      <w:sz w:val="24"/>
    </w:rPr>
  </w:style>
  <w:style w:type="paragraph" w:styleId="25">
    <w:name w:val="annotation text"/>
    <w:basedOn w:val="1"/>
    <w:link w:val="98"/>
    <w:qFormat/>
    <w:uiPriority w:val="0"/>
    <w:pPr>
      <w:jc w:val="left"/>
    </w:pPr>
    <w:rPr>
      <w:rFonts w:ascii="Calibri" w:hAnsi="Calibri" w:cs="Lucida Sans"/>
      <w:szCs w:val="20"/>
    </w:rPr>
  </w:style>
  <w:style w:type="paragraph" w:styleId="26">
    <w:name w:val="index 6"/>
    <w:basedOn w:val="1"/>
    <w:next w:val="1"/>
    <w:qFormat/>
    <w:uiPriority w:val="0"/>
    <w:pPr>
      <w:spacing w:line="360" w:lineRule="auto"/>
      <w:ind w:left="1000" w:leftChars="1000"/>
    </w:pPr>
    <w:rPr>
      <w:rFonts w:eastAsia="楷体_GB2312"/>
      <w:sz w:val="24"/>
    </w:rPr>
  </w:style>
  <w:style w:type="paragraph" w:styleId="27">
    <w:name w:val="Salutation"/>
    <w:basedOn w:val="1"/>
    <w:next w:val="1"/>
    <w:link w:val="99"/>
    <w:qFormat/>
    <w:uiPriority w:val="0"/>
    <w:rPr>
      <w:rFonts w:ascii="仿宋_GB2312" w:hAnsi="Calibri" w:eastAsia="仿宋_GB2312"/>
      <w:sz w:val="28"/>
      <w:szCs w:val="20"/>
    </w:rPr>
  </w:style>
  <w:style w:type="paragraph" w:styleId="28">
    <w:name w:val="Body Text 3"/>
    <w:basedOn w:val="1"/>
    <w:link w:val="100"/>
    <w:qFormat/>
    <w:uiPriority w:val="0"/>
    <w:pPr>
      <w:jc w:val="center"/>
    </w:pPr>
    <w:rPr>
      <w:rFonts w:ascii="Calibri" w:hAnsi="Calibri"/>
      <w:szCs w:val="20"/>
    </w:rPr>
  </w:style>
  <w:style w:type="paragraph" w:styleId="29">
    <w:name w:val="List Bullet 3"/>
    <w:basedOn w:val="1"/>
    <w:qFormat/>
    <w:uiPriority w:val="0"/>
    <w:pPr>
      <w:tabs>
        <w:tab w:val="left" w:pos="1200"/>
      </w:tabs>
      <w:spacing w:line="360" w:lineRule="auto"/>
      <w:ind w:left="1200" w:leftChars="400" w:hanging="360" w:hangingChars="200"/>
    </w:pPr>
    <w:rPr>
      <w:rFonts w:eastAsia="楷体_GB2312"/>
      <w:sz w:val="24"/>
    </w:rPr>
  </w:style>
  <w:style w:type="paragraph" w:styleId="30">
    <w:name w:val="Body Text"/>
    <w:basedOn w:val="1"/>
    <w:link w:val="101"/>
    <w:qFormat/>
    <w:uiPriority w:val="0"/>
    <w:rPr>
      <w:rFonts w:eastAsia="??"/>
      <w:sz w:val="24"/>
      <w:szCs w:val="28"/>
    </w:rPr>
  </w:style>
  <w:style w:type="paragraph" w:styleId="31">
    <w:name w:val="Body Text Indent"/>
    <w:basedOn w:val="1"/>
    <w:next w:val="1"/>
    <w:link w:val="102"/>
    <w:qFormat/>
    <w:uiPriority w:val="99"/>
    <w:pPr>
      <w:spacing w:line="480" w:lineRule="atLeast"/>
      <w:ind w:firstLine="570"/>
    </w:pPr>
    <w:rPr>
      <w:rFonts w:ascii="??" w:hAnsi="??" w:eastAsia="??"/>
      <w:sz w:val="28"/>
      <w:szCs w:val="28"/>
    </w:rPr>
  </w:style>
  <w:style w:type="paragraph" w:styleId="32">
    <w:name w:val="List Number 3"/>
    <w:basedOn w:val="1"/>
    <w:qFormat/>
    <w:uiPriority w:val="0"/>
    <w:pPr>
      <w:tabs>
        <w:tab w:val="left" w:pos="1200"/>
      </w:tabs>
      <w:spacing w:line="360" w:lineRule="auto"/>
      <w:ind w:left="1200" w:leftChars="400" w:hanging="360" w:hangingChars="200"/>
    </w:pPr>
    <w:rPr>
      <w:rFonts w:eastAsia="楷体_GB2312"/>
      <w:sz w:val="24"/>
    </w:rPr>
  </w:style>
  <w:style w:type="paragraph" w:styleId="33">
    <w:name w:val="List 2"/>
    <w:basedOn w:val="1"/>
    <w:unhideWhenUsed/>
    <w:qFormat/>
    <w:uiPriority w:val="0"/>
    <w:pPr>
      <w:spacing w:line="360" w:lineRule="auto"/>
      <w:ind w:left="100" w:leftChars="200" w:hanging="200" w:hangingChars="200"/>
      <w:contextualSpacing/>
    </w:pPr>
    <w:rPr>
      <w:sz w:val="24"/>
    </w:rPr>
  </w:style>
  <w:style w:type="paragraph" w:styleId="34">
    <w:name w:val="List Continue"/>
    <w:basedOn w:val="1"/>
    <w:qFormat/>
    <w:uiPriority w:val="0"/>
    <w:pPr>
      <w:spacing w:after="120" w:line="360" w:lineRule="auto"/>
      <w:ind w:left="420" w:leftChars="200"/>
    </w:pPr>
    <w:rPr>
      <w:rFonts w:eastAsia="楷体_GB2312"/>
      <w:sz w:val="24"/>
    </w:rPr>
  </w:style>
  <w:style w:type="paragraph" w:styleId="35">
    <w:name w:val="Block Text"/>
    <w:basedOn w:val="1"/>
    <w:qFormat/>
    <w:uiPriority w:val="0"/>
    <w:pPr>
      <w:widowControl/>
      <w:spacing w:line="360" w:lineRule="auto"/>
      <w:ind w:left="720" w:right="-240"/>
      <w:jc w:val="left"/>
    </w:pPr>
    <w:rPr>
      <w:rFonts w:eastAsia="楷体_GB2312"/>
      <w:kern w:val="0"/>
      <w:sz w:val="24"/>
      <w:szCs w:val="20"/>
      <w:lang w:bidi="he-IL"/>
    </w:rPr>
  </w:style>
  <w:style w:type="paragraph" w:styleId="36">
    <w:name w:val="List Bullet 2"/>
    <w:basedOn w:val="1"/>
    <w:qFormat/>
    <w:uiPriority w:val="0"/>
    <w:pPr>
      <w:tabs>
        <w:tab w:val="left" w:pos="780"/>
      </w:tabs>
      <w:spacing w:line="360" w:lineRule="auto"/>
      <w:ind w:left="780" w:leftChars="200" w:hanging="360" w:hangingChars="200"/>
    </w:pPr>
    <w:rPr>
      <w:rFonts w:eastAsia="楷体_GB2312"/>
      <w:sz w:val="24"/>
    </w:rPr>
  </w:style>
  <w:style w:type="paragraph" w:styleId="37">
    <w:name w:val="index 4"/>
    <w:basedOn w:val="1"/>
    <w:next w:val="1"/>
    <w:qFormat/>
    <w:uiPriority w:val="0"/>
    <w:pPr>
      <w:spacing w:line="360" w:lineRule="auto"/>
      <w:ind w:left="600" w:leftChars="600"/>
    </w:pPr>
    <w:rPr>
      <w:rFonts w:eastAsia="楷体_GB2312"/>
      <w:sz w:val="24"/>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
      <w:iCs/>
      <w:sz w:val="20"/>
      <w:szCs w:val="20"/>
    </w:rPr>
  </w:style>
  <w:style w:type="paragraph" w:styleId="40">
    <w:name w:val="Plain Text"/>
    <w:basedOn w:val="1"/>
    <w:link w:val="103"/>
    <w:qFormat/>
    <w:uiPriority w:val="0"/>
    <w:rPr>
      <w:rFonts w:ascii="??" w:hAnsi="??" w:eastAsia="??"/>
      <w:szCs w:val="21"/>
    </w:rPr>
  </w:style>
  <w:style w:type="paragraph" w:styleId="41">
    <w:name w:val="List Bullet 5"/>
    <w:basedOn w:val="1"/>
    <w:qFormat/>
    <w:uiPriority w:val="0"/>
    <w:pPr>
      <w:tabs>
        <w:tab w:val="left" w:pos="2040"/>
      </w:tabs>
      <w:spacing w:line="360" w:lineRule="auto"/>
      <w:ind w:left="2040" w:leftChars="800" w:hanging="360" w:hangingChars="200"/>
    </w:pPr>
    <w:rPr>
      <w:rFonts w:eastAsia="楷体_GB2312"/>
      <w:sz w:val="24"/>
    </w:rPr>
  </w:style>
  <w:style w:type="paragraph" w:styleId="42">
    <w:name w:val="List Number 4"/>
    <w:basedOn w:val="1"/>
    <w:qFormat/>
    <w:uiPriority w:val="0"/>
    <w:pPr>
      <w:tabs>
        <w:tab w:val="left" w:pos="1620"/>
      </w:tabs>
      <w:spacing w:line="360" w:lineRule="auto"/>
      <w:ind w:left="1620" w:leftChars="600" w:hanging="360" w:hangingChars="200"/>
    </w:pPr>
    <w:rPr>
      <w:rFonts w:eastAsia="楷体_GB2312"/>
      <w:sz w:val="24"/>
    </w:rPr>
  </w:style>
  <w:style w:type="paragraph" w:styleId="43">
    <w:name w:val="toc 8"/>
    <w:basedOn w:val="1"/>
    <w:next w:val="1"/>
    <w:qFormat/>
    <w:uiPriority w:val="0"/>
    <w:pPr>
      <w:ind w:left="1470"/>
      <w:jc w:val="left"/>
    </w:pPr>
    <w:rPr>
      <w:sz w:val="18"/>
      <w:szCs w:val="18"/>
    </w:rPr>
  </w:style>
  <w:style w:type="paragraph" w:styleId="44">
    <w:name w:val="index 3"/>
    <w:basedOn w:val="1"/>
    <w:next w:val="1"/>
    <w:qFormat/>
    <w:uiPriority w:val="0"/>
    <w:pPr>
      <w:spacing w:line="360" w:lineRule="auto"/>
      <w:ind w:left="400" w:leftChars="400"/>
    </w:pPr>
    <w:rPr>
      <w:rFonts w:eastAsia="楷体_GB2312"/>
      <w:sz w:val="24"/>
    </w:rPr>
  </w:style>
  <w:style w:type="paragraph" w:styleId="45">
    <w:name w:val="Date"/>
    <w:basedOn w:val="1"/>
    <w:next w:val="1"/>
    <w:link w:val="104"/>
    <w:qFormat/>
    <w:uiPriority w:val="0"/>
    <w:pPr>
      <w:adjustRightInd w:val="0"/>
      <w:jc w:val="right"/>
      <w:textAlignment w:val="baseline"/>
    </w:pPr>
    <w:rPr>
      <w:rFonts w:ascii="Calibri" w:hAnsi="Calibri" w:eastAsia="??_GB2312"/>
      <w:b/>
      <w:kern w:val="0"/>
      <w:sz w:val="28"/>
      <w:szCs w:val="28"/>
    </w:rPr>
  </w:style>
  <w:style w:type="paragraph" w:styleId="46">
    <w:name w:val="Body Text Indent 2"/>
    <w:basedOn w:val="1"/>
    <w:link w:val="105"/>
    <w:qFormat/>
    <w:uiPriority w:val="0"/>
    <w:pPr>
      <w:spacing w:line="520" w:lineRule="exact"/>
      <w:ind w:firstLine="303" w:firstLineChars="303"/>
    </w:pPr>
    <w:rPr>
      <w:rFonts w:ascii="??" w:hAnsi="??" w:eastAsia="??" w:cs="宋体"/>
      <w:sz w:val="28"/>
      <w:szCs w:val="28"/>
    </w:rPr>
  </w:style>
  <w:style w:type="paragraph" w:styleId="47">
    <w:name w:val="endnote text"/>
    <w:basedOn w:val="1"/>
    <w:link w:val="106"/>
    <w:qFormat/>
    <w:uiPriority w:val="0"/>
    <w:pPr>
      <w:snapToGrid w:val="0"/>
      <w:spacing w:line="360" w:lineRule="auto"/>
      <w:jc w:val="left"/>
    </w:pPr>
    <w:rPr>
      <w:rFonts w:ascii="Calibri" w:hAnsi="Calibri" w:eastAsia="楷体_GB2312"/>
      <w:sz w:val="24"/>
    </w:rPr>
  </w:style>
  <w:style w:type="paragraph" w:styleId="48">
    <w:name w:val="List Continue 5"/>
    <w:basedOn w:val="1"/>
    <w:qFormat/>
    <w:uiPriority w:val="0"/>
    <w:pPr>
      <w:spacing w:after="120" w:line="360" w:lineRule="auto"/>
      <w:ind w:left="2100" w:leftChars="1000"/>
    </w:pPr>
    <w:rPr>
      <w:rFonts w:eastAsia="楷体_GB2312"/>
      <w:sz w:val="24"/>
    </w:rPr>
  </w:style>
  <w:style w:type="paragraph" w:styleId="49">
    <w:name w:val="Balloon Text"/>
    <w:basedOn w:val="1"/>
    <w:link w:val="107"/>
    <w:qFormat/>
    <w:uiPriority w:val="0"/>
    <w:rPr>
      <w:rFonts w:ascii="Calibri" w:hAnsi="Calibri" w:eastAsia="??"/>
      <w:sz w:val="18"/>
      <w:szCs w:val="18"/>
    </w:rPr>
  </w:style>
  <w:style w:type="paragraph" w:styleId="50">
    <w:name w:val="footer"/>
    <w:basedOn w:val="1"/>
    <w:link w:val="108"/>
    <w:qFormat/>
    <w:uiPriority w:val="99"/>
    <w:pPr>
      <w:tabs>
        <w:tab w:val="center" w:pos="4153"/>
        <w:tab w:val="right" w:pos="8306"/>
      </w:tabs>
      <w:snapToGrid w:val="0"/>
      <w:jc w:val="left"/>
    </w:pPr>
    <w:rPr>
      <w:rFonts w:ascii="Calibri" w:hAnsi="Calibri" w:eastAsia="??"/>
      <w:sz w:val="18"/>
      <w:szCs w:val="28"/>
    </w:rPr>
  </w:style>
  <w:style w:type="paragraph" w:styleId="51">
    <w:name w:val="header"/>
    <w:basedOn w:val="1"/>
    <w:link w:val="109"/>
    <w:qFormat/>
    <w:uiPriority w:val="0"/>
    <w:pPr>
      <w:pBdr>
        <w:bottom w:val="single" w:color="auto" w:sz="6" w:space="1"/>
      </w:pBdr>
      <w:tabs>
        <w:tab w:val="center" w:pos="4153"/>
        <w:tab w:val="right" w:pos="8306"/>
      </w:tabs>
      <w:snapToGrid w:val="0"/>
      <w:jc w:val="center"/>
    </w:pPr>
    <w:rPr>
      <w:rFonts w:ascii="Calibri" w:hAnsi="Calibri" w:eastAsia="??"/>
      <w:sz w:val="18"/>
      <w:szCs w:val="28"/>
    </w:rPr>
  </w:style>
  <w:style w:type="paragraph" w:styleId="52">
    <w:name w:val="Signature"/>
    <w:basedOn w:val="1"/>
    <w:link w:val="110"/>
    <w:qFormat/>
    <w:uiPriority w:val="0"/>
    <w:pPr>
      <w:adjustRightInd w:val="0"/>
      <w:spacing w:after="600" w:line="312" w:lineRule="atLeast"/>
      <w:jc w:val="center"/>
      <w:textAlignment w:val="baseline"/>
    </w:pPr>
    <w:rPr>
      <w:rFonts w:ascii="Calibri" w:hAnsi="Calibri" w:eastAsia="仿宋_GB2312"/>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0"/>
    <w:pPr>
      <w:spacing w:after="120" w:line="360" w:lineRule="auto"/>
      <w:ind w:left="1680" w:leftChars="800"/>
    </w:pPr>
    <w:rPr>
      <w:rFonts w:eastAsia="楷体_GB2312"/>
      <w:sz w:val="24"/>
    </w:rPr>
  </w:style>
  <w:style w:type="paragraph" w:styleId="55">
    <w:name w:val="toc 4"/>
    <w:basedOn w:val="1"/>
    <w:next w:val="1"/>
    <w:qFormat/>
    <w:uiPriority w:val="0"/>
    <w:pPr>
      <w:ind w:left="630"/>
      <w:jc w:val="left"/>
    </w:pPr>
    <w:rPr>
      <w:sz w:val="18"/>
      <w:szCs w:val="18"/>
    </w:rPr>
  </w:style>
  <w:style w:type="paragraph" w:styleId="56">
    <w:name w:val="index heading"/>
    <w:basedOn w:val="1"/>
    <w:next w:val="57"/>
    <w:qFormat/>
    <w:uiPriority w:val="0"/>
    <w:pPr>
      <w:spacing w:line="360" w:lineRule="auto"/>
    </w:pPr>
    <w:rPr>
      <w:rFonts w:ascii="Arial" w:hAnsi="Arial" w:eastAsia="楷体_GB2312" w:cs="Arial"/>
      <w:b/>
      <w:bCs/>
      <w:sz w:val="24"/>
    </w:rPr>
  </w:style>
  <w:style w:type="paragraph" w:styleId="57">
    <w:name w:val="index 1"/>
    <w:basedOn w:val="1"/>
    <w:next w:val="1"/>
    <w:qFormat/>
    <w:uiPriority w:val="0"/>
    <w:pPr>
      <w:autoSpaceDE w:val="0"/>
      <w:autoSpaceDN w:val="0"/>
      <w:adjustRightInd w:val="0"/>
      <w:spacing w:before="100" w:after="100" w:line="360" w:lineRule="auto"/>
    </w:pPr>
    <w:rPr>
      <w:rFonts w:ascii="Arial" w:hAnsi="Arial" w:eastAsia="楷体_GB2312" w:cs="Arial"/>
      <w:bCs/>
      <w:color w:val="000000"/>
      <w:sz w:val="24"/>
      <w:szCs w:val="20"/>
    </w:rPr>
  </w:style>
  <w:style w:type="paragraph" w:styleId="58">
    <w:name w:val="List Number 5"/>
    <w:basedOn w:val="1"/>
    <w:qFormat/>
    <w:uiPriority w:val="0"/>
    <w:pPr>
      <w:tabs>
        <w:tab w:val="left" w:pos="2040"/>
      </w:tabs>
      <w:spacing w:line="360" w:lineRule="auto"/>
      <w:ind w:left="2040" w:leftChars="800" w:hanging="360" w:hangingChars="200"/>
    </w:pPr>
    <w:rPr>
      <w:rFonts w:eastAsia="楷体_GB2312"/>
      <w:sz w:val="24"/>
    </w:rPr>
  </w:style>
  <w:style w:type="paragraph" w:styleId="59">
    <w:name w:val="footnote text"/>
    <w:basedOn w:val="1"/>
    <w:link w:val="111"/>
    <w:qFormat/>
    <w:uiPriority w:val="0"/>
    <w:pPr>
      <w:snapToGrid w:val="0"/>
      <w:spacing w:line="360" w:lineRule="auto"/>
      <w:jc w:val="left"/>
    </w:pPr>
    <w:rPr>
      <w:rFonts w:ascii="Calibri" w:hAnsi="Calibri" w:eastAsia="楷体_GB2312"/>
      <w:sz w:val="18"/>
      <w:szCs w:val="18"/>
    </w:rPr>
  </w:style>
  <w:style w:type="paragraph" w:styleId="60">
    <w:name w:val="toc 6"/>
    <w:basedOn w:val="1"/>
    <w:next w:val="1"/>
    <w:qFormat/>
    <w:uiPriority w:val="0"/>
    <w:pPr>
      <w:ind w:left="1050"/>
      <w:jc w:val="left"/>
    </w:pPr>
    <w:rPr>
      <w:sz w:val="18"/>
      <w:szCs w:val="18"/>
    </w:rPr>
  </w:style>
  <w:style w:type="paragraph" w:styleId="61">
    <w:name w:val="Body Text Indent 3"/>
    <w:basedOn w:val="1"/>
    <w:link w:val="112"/>
    <w:qFormat/>
    <w:uiPriority w:val="0"/>
    <w:pPr>
      <w:spacing w:line="520" w:lineRule="exact"/>
      <w:ind w:firstLine="547"/>
    </w:pPr>
    <w:rPr>
      <w:rFonts w:ascii="Calibri" w:hAnsi="Calibri" w:eastAsia="??"/>
      <w:sz w:val="28"/>
      <w:szCs w:val="28"/>
    </w:rPr>
  </w:style>
  <w:style w:type="paragraph" w:styleId="62">
    <w:name w:val="index 7"/>
    <w:basedOn w:val="1"/>
    <w:next w:val="1"/>
    <w:qFormat/>
    <w:uiPriority w:val="0"/>
    <w:pPr>
      <w:spacing w:line="360" w:lineRule="auto"/>
      <w:ind w:left="1200" w:leftChars="1200"/>
    </w:pPr>
    <w:rPr>
      <w:rFonts w:eastAsia="楷体_GB2312"/>
      <w:sz w:val="24"/>
    </w:rPr>
  </w:style>
  <w:style w:type="paragraph" w:styleId="63">
    <w:name w:val="index 9"/>
    <w:basedOn w:val="1"/>
    <w:next w:val="1"/>
    <w:qFormat/>
    <w:uiPriority w:val="0"/>
    <w:pPr>
      <w:spacing w:line="360" w:lineRule="auto"/>
      <w:ind w:left="1600" w:leftChars="1600"/>
    </w:pPr>
    <w:rPr>
      <w:rFonts w:eastAsia="楷体_GB2312"/>
      <w:sz w:val="24"/>
    </w:rPr>
  </w:style>
  <w:style w:type="paragraph" w:styleId="64">
    <w:name w:val="table of figures"/>
    <w:basedOn w:val="1"/>
    <w:next w:val="1"/>
    <w:qFormat/>
    <w:uiPriority w:val="0"/>
    <w:pPr>
      <w:ind w:left="560" w:hanging="560"/>
      <w:jc w:val="left"/>
    </w:pPr>
    <w:rPr>
      <w:rFonts w:ascii="Calibri" w:hAnsi="Calibri" w:eastAsia="??" w:cs="宋体"/>
      <w:smallCaps/>
      <w:sz w:val="20"/>
      <w:szCs w:val="28"/>
    </w:rPr>
  </w:style>
  <w:style w:type="paragraph" w:styleId="65">
    <w:name w:val="toc 2"/>
    <w:basedOn w:val="1"/>
    <w:next w:val="1"/>
    <w:qFormat/>
    <w:uiPriority w:val="39"/>
    <w:pPr>
      <w:ind w:left="210"/>
      <w:jc w:val="left"/>
    </w:pPr>
    <w:rPr>
      <w:smallCaps/>
      <w:sz w:val="20"/>
      <w:szCs w:val="20"/>
    </w:rPr>
  </w:style>
  <w:style w:type="paragraph" w:styleId="66">
    <w:name w:val="toc 9"/>
    <w:basedOn w:val="1"/>
    <w:next w:val="1"/>
    <w:qFormat/>
    <w:uiPriority w:val="0"/>
    <w:pPr>
      <w:ind w:left="1680"/>
      <w:jc w:val="left"/>
    </w:pPr>
    <w:rPr>
      <w:sz w:val="18"/>
      <w:szCs w:val="18"/>
    </w:rPr>
  </w:style>
  <w:style w:type="paragraph" w:styleId="67">
    <w:name w:val="Body Text 2"/>
    <w:basedOn w:val="1"/>
    <w:link w:val="113"/>
    <w:qFormat/>
    <w:uiPriority w:val="0"/>
    <w:pPr>
      <w:spacing w:after="120" w:line="480" w:lineRule="auto"/>
    </w:pPr>
    <w:rPr>
      <w:rFonts w:ascii="Calibri" w:hAnsi="Calibri"/>
      <w:szCs w:val="20"/>
    </w:rPr>
  </w:style>
  <w:style w:type="paragraph" w:styleId="68">
    <w:name w:val="List Continue 2"/>
    <w:basedOn w:val="1"/>
    <w:qFormat/>
    <w:uiPriority w:val="0"/>
    <w:pPr>
      <w:spacing w:after="120" w:line="360" w:lineRule="auto"/>
      <w:ind w:left="840" w:leftChars="400"/>
    </w:pPr>
    <w:rPr>
      <w:rFonts w:eastAsia="楷体_GB2312"/>
      <w:sz w:val="24"/>
    </w:rPr>
  </w:style>
  <w:style w:type="paragraph" w:styleId="69">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eastAsia="??" w:cs="Courier New"/>
      <w:kern w:val="0"/>
      <w:sz w:val="20"/>
      <w:szCs w:val="28"/>
    </w:rPr>
  </w:style>
  <w:style w:type="paragraph" w:styleId="70">
    <w:name w:val="Normal (Web)"/>
    <w:basedOn w:val="1"/>
    <w:qFormat/>
    <w:uiPriority w:val="0"/>
    <w:pPr>
      <w:widowControl/>
      <w:spacing w:before="100" w:beforeAutospacing="1" w:after="100" w:afterAutospacing="1"/>
      <w:jc w:val="left"/>
    </w:pPr>
    <w:rPr>
      <w:rFonts w:ascii="??" w:hAnsi="??" w:eastAsia="??" w:cs="宋体"/>
      <w:kern w:val="0"/>
      <w:sz w:val="24"/>
    </w:rPr>
  </w:style>
  <w:style w:type="paragraph" w:styleId="71">
    <w:name w:val="index 2"/>
    <w:basedOn w:val="1"/>
    <w:next w:val="1"/>
    <w:qFormat/>
    <w:uiPriority w:val="0"/>
    <w:pPr>
      <w:spacing w:line="360" w:lineRule="auto"/>
      <w:ind w:left="200" w:leftChars="200"/>
    </w:pPr>
    <w:rPr>
      <w:rFonts w:eastAsia="楷体_GB2312"/>
      <w:sz w:val="24"/>
    </w:rPr>
  </w:style>
  <w:style w:type="paragraph" w:styleId="72">
    <w:name w:val="Title"/>
    <w:basedOn w:val="1"/>
    <w:link w:val="115"/>
    <w:qFormat/>
    <w:uiPriority w:val="0"/>
    <w:pPr>
      <w:widowControl/>
      <w:overflowPunct w:val="0"/>
      <w:autoSpaceDE w:val="0"/>
      <w:autoSpaceDN w:val="0"/>
      <w:adjustRightInd w:val="0"/>
      <w:jc w:val="center"/>
      <w:textAlignment w:val="baseline"/>
    </w:pPr>
    <w:rPr>
      <w:rFonts w:ascii="Calibri" w:hAnsi="Calibri" w:eastAsia="??"/>
      <w:b/>
      <w:kern w:val="0"/>
      <w:sz w:val="24"/>
      <w:szCs w:val="28"/>
      <w:lang w:val="en-GB"/>
    </w:rPr>
  </w:style>
  <w:style w:type="paragraph" w:styleId="73">
    <w:name w:val="annotation subject"/>
    <w:basedOn w:val="25"/>
    <w:next w:val="25"/>
    <w:link w:val="116"/>
    <w:qFormat/>
    <w:uiPriority w:val="0"/>
    <w:rPr>
      <w:rFonts w:cs="Times New Roman"/>
      <w:b/>
    </w:rPr>
  </w:style>
  <w:style w:type="paragraph" w:styleId="74">
    <w:name w:val="Body Text First Indent"/>
    <w:basedOn w:val="30"/>
    <w:link w:val="117"/>
    <w:qFormat/>
    <w:uiPriority w:val="0"/>
    <w:pPr>
      <w:autoSpaceDE w:val="0"/>
      <w:autoSpaceDN w:val="0"/>
      <w:adjustRightInd w:val="0"/>
      <w:spacing w:line="360" w:lineRule="auto"/>
      <w:ind w:firstLine="420"/>
    </w:pPr>
    <w:rPr>
      <w:rFonts w:ascii="宋体" w:hAnsi="Calibri" w:eastAsia="宋体"/>
      <w:szCs w:val="20"/>
      <w:lang w:val="zh-CN"/>
    </w:rPr>
  </w:style>
  <w:style w:type="paragraph" w:styleId="75">
    <w:name w:val="Body Text First Indent 2"/>
    <w:basedOn w:val="31"/>
    <w:qFormat/>
    <w:uiPriority w:val="0"/>
    <w:pPr>
      <w:spacing w:after="120" w:line="240" w:lineRule="auto"/>
      <w:ind w:left="420" w:leftChars="200" w:firstLine="420" w:firstLineChars="200"/>
    </w:pPr>
    <w:rPr>
      <w:rFonts w:ascii="Times New Roman" w:hAnsi="Times New Roman" w:eastAsia="宋体"/>
      <w:sz w:val="21"/>
      <w:szCs w:val="20"/>
    </w:rPr>
  </w:style>
  <w:style w:type="table" w:styleId="77">
    <w:name w:val="Table Grid"/>
    <w:basedOn w:val="7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qFormat/>
    <w:uiPriority w:val="22"/>
    <w:rPr>
      <w:b/>
    </w:rPr>
  </w:style>
  <w:style w:type="character" w:styleId="80">
    <w:name w:val="page number"/>
    <w:qFormat/>
    <w:uiPriority w:val="0"/>
  </w:style>
  <w:style w:type="character" w:styleId="81">
    <w:name w:val="FollowedHyperlink"/>
    <w:qFormat/>
    <w:uiPriority w:val="99"/>
    <w:rPr>
      <w:color w:val="800080"/>
      <w:u w:val="single"/>
    </w:rPr>
  </w:style>
  <w:style w:type="character" w:styleId="82">
    <w:name w:val="Emphasis"/>
    <w:qFormat/>
    <w:uiPriority w:val="20"/>
    <w:rPr>
      <w:i/>
      <w:iCs/>
    </w:rPr>
  </w:style>
  <w:style w:type="character" w:styleId="83">
    <w:name w:val="line number"/>
    <w:qFormat/>
    <w:uiPriority w:val="0"/>
  </w:style>
  <w:style w:type="character" w:styleId="84">
    <w:name w:val="Hyperlink"/>
    <w:qFormat/>
    <w:uiPriority w:val="0"/>
    <w:rPr>
      <w:color w:val="0000FF"/>
      <w:u w:val="single"/>
    </w:rPr>
  </w:style>
  <w:style w:type="character" w:styleId="85">
    <w:name w:val="annotation reference"/>
    <w:qFormat/>
    <w:uiPriority w:val="0"/>
    <w:rPr>
      <w:sz w:val="21"/>
    </w:rPr>
  </w:style>
  <w:style w:type="character" w:customStyle="1" w:styleId="86">
    <w:name w:val="宏文本 Char"/>
    <w:link w:val="2"/>
    <w:qFormat/>
    <w:uiPriority w:val="0"/>
    <w:rPr>
      <w:rFonts w:ascii="Courier New" w:hAnsi="Courier New" w:cs="Courier New"/>
      <w:kern w:val="2"/>
      <w:sz w:val="24"/>
      <w:szCs w:val="24"/>
      <w:lang w:val="en-US" w:eastAsia="zh-CN" w:bidi="ar-SA"/>
    </w:rPr>
  </w:style>
  <w:style w:type="character" w:customStyle="1" w:styleId="87">
    <w:name w:val="标题 1 Char1"/>
    <w:link w:val="3"/>
    <w:qFormat/>
    <w:uiPriority w:val="0"/>
    <w:rPr>
      <w:rFonts w:ascii="??" w:hAnsi="??" w:eastAsia="??" w:cs="宋体"/>
      <w:b/>
      <w:kern w:val="36"/>
      <w:sz w:val="32"/>
      <w:szCs w:val="28"/>
      <w:lang w:val="en-US" w:eastAsia="zh-CN" w:bidi="ar-SA"/>
    </w:rPr>
  </w:style>
  <w:style w:type="character" w:customStyle="1" w:styleId="88">
    <w:name w:val="标题 2 Char2"/>
    <w:link w:val="4"/>
    <w:qFormat/>
    <w:uiPriority w:val="9"/>
    <w:rPr>
      <w:rFonts w:ascii="Arial" w:hAnsi="Arial" w:eastAsia="??" w:cs="Arial"/>
      <w:b/>
      <w:bCs/>
      <w:kern w:val="2"/>
      <w:sz w:val="21"/>
      <w:szCs w:val="32"/>
    </w:rPr>
  </w:style>
  <w:style w:type="character" w:customStyle="1" w:styleId="89">
    <w:name w:val="标题 3 Char"/>
    <w:link w:val="5"/>
    <w:qFormat/>
    <w:uiPriority w:val="0"/>
    <w:rPr>
      <w:rFonts w:eastAsia="??"/>
      <w:b/>
      <w:sz w:val="32"/>
      <w:szCs w:val="28"/>
    </w:rPr>
  </w:style>
  <w:style w:type="character" w:customStyle="1" w:styleId="90">
    <w:name w:val="标题 4 Char"/>
    <w:link w:val="6"/>
    <w:qFormat/>
    <w:uiPriority w:val="0"/>
    <w:rPr>
      <w:rFonts w:ascii="Arial" w:hAnsi="Arial" w:eastAsia="??" w:cs="Arial"/>
      <w:b/>
      <w:bCs/>
      <w:kern w:val="2"/>
      <w:sz w:val="28"/>
      <w:szCs w:val="28"/>
      <w:lang w:val="en-US" w:eastAsia="zh-CN" w:bidi="ar-SA"/>
    </w:rPr>
  </w:style>
  <w:style w:type="character" w:customStyle="1" w:styleId="91">
    <w:name w:val="标题 5 Char"/>
    <w:link w:val="7"/>
    <w:qFormat/>
    <w:uiPriority w:val="9"/>
    <w:rPr>
      <w:rFonts w:eastAsia="??"/>
      <w:b/>
      <w:bCs/>
      <w:kern w:val="2"/>
      <w:sz w:val="28"/>
      <w:szCs w:val="28"/>
      <w:lang w:val="en-US" w:eastAsia="zh-CN" w:bidi="ar-SA"/>
    </w:rPr>
  </w:style>
  <w:style w:type="character" w:customStyle="1" w:styleId="92">
    <w:name w:val="标题 6 Char"/>
    <w:link w:val="8"/>
    <w:qFormat/>
    <w:uiPriority w:val="0"/>
    <w:rPr>
      <w:rFonts w:ascii="Arial" w:hAnsi="Arial" w:eastAsia="??" w:cs="Arial"/>
      <w:b/>
      <w:bCs/>
      <w:sz w:val="24"/>
      <w:szCs w:val="28"/>
    </w:rPr>
  </w:style>
  <w:style w:type="character" w:customStyle="1" w:styleId="93">
    <w:name w:val="标题 7 Char"/>
    <w:link w:val="9"/>
    <w:qFormat/>
    <w:uiPriority w:val="0"/>
    <w:rPr>
      <w:rFonts w:eastAsia="??"/>
      <w:b/>
      <w:bCs/>
      <w:sz w:val="24"/>
      <w:szCs w:val="28"/>
    </w:rPr>
  </w:style>
  <w:style w:type="character" w:customStyle="1" w:styleId="94">
    <w:name w:val="标题 8 Char"/>
    <w:link w:val="10"/>
    <w:qFormat/>
    <w:uiPriority w:val="9"/>
    <w:rPr>
      <w:rFonts w:ascii="Arial" w:hAnsi="Arial" w:eastAsia="??" w:cs="Arial"/>
      <w:sz w:val="24"/>
      <w:szCs w:val="28"/>
    </w:rPr>
  </w:style>
  <w:style w:type="character" w:customStyle="1" w:styleId="95">
    <w:name w:val="标题 9 Char"/>
    <w:link w:val="11"/>
    <w:qFormat/>
    <w:uiPriority w:val="0"/>
    <w:rPr>
      <w:rFonts w:ascii="Arial" w:hAnsi="Arial" w:eastAsia="??" w:cs="Arial"/>
      <w:sz w:val="21"/>
      <w:szCs w:val="21"/>
    </w:rPr>
  </w:style>
  <w:style w:type="character" w:customStyle="1" w:styleId="96">
    <w:name w:val="电子邮件签名 Char"/>
    <w:link w:val="17"/>
    <w:qFormat/>
    <w:uiPriority w:val="0"/>
    <w:rPr>
      <w:rFonts w:eastAsia="楷体_GB2312"/>
      <w:kern w:val="2"/>
      <w:sz w:val="24"/>
      <w:szCs w:val="24"/>
      <w:lang w:bidi="ar-SA"/>
    </w:rPr>
  </w:style>
  <w:style w:type="character" w:customStyle="1" w:styleId="97">
    <w:name w:val="正文缩进 Char"/>
    <w:link w:val="19"/>
    <w:qFormat/>
    <w:uiPriority w:val="0"/>
    <w:rPr>
      <w:rFonts w:eastAsia="??"/>
      <w:sz w:val="24"/>
      <w:szCs w:val="24"/>
      <w:lang w:val="en-US" w:eastAsia="zh-CN" w:bidi="ar-SA"/>
    </w:rPr>
  </w:style>
  <w:style w:type="character" w:customStyle="1" w:styleId="98">
    <w:name w:val="批注文字 Char"/>
    <w:link w:val="25"/>
    <w:qFormat/>
    <w:uiPriority w:val="0"/>
    <w:rPr>
      <w:rFonts w:eastAsia="宋体" w:cs="Lucida Sans"/>
      <w:kern w:val="2"/>
      <w:sz w:val="21"/>
      <w:lang w:val="en-US" w:eastAsia="zh-CN" w:bidi="ar-SA"/>
    </w:rPr>
  </w:style>
  <w:style w:type="character" w:customStyle="1" w:styleId="99">
    <w:name w:val="称呼 Char"/>
    <w:link w:val="27"/>
    <w:qFormat/>
    <w:uiPriority w:val="0"/>
    <w:rPr>
      <w:rFonts w:ascii="仿宋_GB2312" w:eastAsia="仿宋_GB2312"/>
      <w:kern w:val="2"/>
      <w:sz w:val="28"/>
      <w:lang w:bidi="ar-SA"/>
    </w:rPr>
  </w:style>
  <w:style w:type="character" w:customStyle="1" w:styleId="100">
    <w:name w:val="正文文本 3 Char"/>
    <w:link w:val="28"/>
    <w:qFormat/>
    <w:uiPriority w:val="0"/>
    <w:rPr>
      <w:rFonts w:eastAsia="宋体"/>
      <w:kern w:val="2"/>
      <w:sz w:val="21"/>
      <w:lang w:bidi="ar-SA"/>
    </w:rPr>
  </w:style>
  <w:style w:type="character" w:customStyle="1" w:styleId="101">
    <w:name w:val="正文文本 Char1"/>
    <w:link w:val="30"/>
    <w:qFormat/>
    <w:uiPriority w:val="0"/>
    <w:rPr>
      <w:rFonts w:ascii="等线" w:hAnsi="等线" w:eastAsia="??"/>
      <w:kern w:val="2"/>
      <w:sz w:val="24"/>
      <w:szCs w:val="28"/>
    </w:rPr>
  </w:style>
  <w:style w:type="character" w:customStyle="1" w:styleId="102">
    <w:name w:val="正文文本缩进 Char1"/>
    <w:link w:val="31"/>
    <w:qFormat/>
    <w:uiPriority w:val="99"/>
    <w:rPr>
      <w:rFonts w:ascii="??" w:hAnsi="??" w:eastAsia="??" w:cs="宋体"/>
      <w:kern w:val="2"/>
      <w:sz w:val="28"/>
      <w:szCs w:val="28"/>
    </w:rPr>
  </w:style>
  <w:style w:type="character" w:customStyle="1" w:styleId="103">
    <w:name w:val="纯文本 Char3"/>
    <w:link w:val="40"/>
    <w:qFormat/>
    <w:uiPriority w:val="0"/>
    <w:rPr>
      <w:rFonts w:ascii="??" w:hAnsi="??" w:eastAsia="??" w:cs="宋体"/>
      <w:kern w:val="2"/>
      <w:sz w:val="21"/>
      <w:szCs w:val="21"/>
    </w:rPr>
  </w:style>
  <w:style w:type="character" w:customStyle="1" w:styleId="104">
    <w:name w:val="日期 Char1"/>
    <w:link w:val="45"/>
    <w:qFormat/>
    <w:uiPriority w:val="0"/>
    <w:rPr>
      <w:rFonts w:eastAsia="??_GB2312"/>
      <w:b/>
      <w:sz w:val="28"/>
      <w:szCs w:val="28"/>
      <w:lang w:val="en-US" w:eastAsia="zh-CN" w:bidi="ar-SA"/>
    </w:rPr>
  </w:style>
  <w:style w:type="character" w:customStyle="1" w:styleId="105">
    <w:name w:val="正文文本缩进 2 Char1"/>
    <w:link w:val="46"/>
    <w:qFormat/>
    <w:uiPriority w:val="0"/>
    <w:rPr>
      <w:rFonts w:ascii="??" w:hAnsi="??" w:eastAsia="??" w:cs="宋体"/>
      <w:kern w:val="2"/>
      <w:sz w:val="28"/>
      <w:szCs w:val="28"/>
      <w:lang w:val="en-US" w:eastAsia="zh-CN" w:bidi="ar-SA"/>
    </w:rPr>
  </w:style>
  <w:style w:type="character" w:customStyle="1" w:styleId="106">
    <w:name w:val="尾注文本 Char"/>
    <w:link w:val="47"/>
    <w:qFormat/>
    <w:uiPriority w:val="0"/>
    <w:rPr>
      <w:rFonts w:eastAsia="楷体_GB2312"/>
      <w:kern w:val="2"/>
      <w:sz w:val="24"/>
      <w:szCs w:val="24"/>
      <w:lang w:bidi="ar-SA"/>
    </w:rPr>
  </w:style>
  <w:style w:type="character" w:customStyle="1" w:styleId="107">
    <w:name w:val="批注框文本 Char"/>
    <w:link w:val="49"/>
    <w:qFormat/>
    <w:uiPriority w:val="0"/>
    <w:rPr>
      <w:rFonts w:eastAsia="??"/>
      <w:kern w:val="2"/>
      <w:sz w:val="18"/>
      <w:szCs w:val="18"/>
      <w:lang w:val="en-US" w:eastAsia="zh-CN" w:bidi="ar-SA"/>
    </w:rPr>
  </w:style>
  <w:style w:type="character" w:customStyle="1" w:styleId="108">
    <w:name w:val="页脚 Char3"/>
    <w:link w:val="50"/>
    <w:qFormat/>
    <w:uiPriority w:val="99"/>
    <w:rPr>
      <w:rFonts w:eastAsia="??"/>
      <w:kern w:val="2"/>
      <w:sz w:val="18"/>
      <w:szCs w:val="28"/>
      <w:lang w:val="en-US" w:eastAsia="zh-CN" w:bidi="ar-SA"/>
    </w:rPr>
  </w:style>
  <w:style w:type="character" w:customStyle="1" w:styleId="109">
    <w:name w:val="页眉 Char1"/>
    <w:link w:val="51"/>
    <w:qFormat/>
    <w:uiPriority w:val="0"/>
    <w:rPr>
      <w:rFonts w:eastAsia="??"/>
      <w:kern w:val="2"/>
      <w:sz w:val="18"/>
      <w:szCs w:val="28"/>
      <w:lang w:val="en-US" w:eastAsia="zh-CN" w:bidi="ar-SA"/>
    </w:rPr>
  </w:style>
  <w:style w:type="character" w:customStyle="1" w:styleId="110">
    <w:name w:val="签名 Char"/>
    <w:link w:val="52"/>
    <w:qFormat/>
    <w:uiPriority w:val="0"/>
    <w:rPr>
      <w:rFonts w:eastAsia="仿宋_GB2312"/>
      <w:sz w:val="24"/>
      <w:lang w:bidi="ar-SA"/>
    </w:rPr>
  </w:style>
  <w:style w:type="character" w:customStyle="1" w:styleId="111">
    <w:name w:val="脚注文本 Char"/>
    <w:link w:val="59"/>
    <w:qFormat/>
    <w:uiPriority w:val="0"/>
    <w:rPr>
      <w:rFonts w:eastAsia="楷体_GB2312"/>
      <w:kern w:val="2"/>
      <w:sz w:val="18"/>
      <w:szCs w:val="18"/>
      <w:lang w:bidi="ar-SA"/>
    </w:rPr>
  </w:style>
  <w:style w:type="character" w:customStyle="1" w:styleId="112">
    <w:name w:val="正文文本缩进 3 Char"/>
    <w:link w:val="61"/>
    <w:qFormat/>
    <w:uiPriority w:val="0"/>
    <w:rPr>
      <w:rFonts w:eastAsia="??"/>
      <w:kern w:val="2"/>
      <w:sz w:val="28"/>
      <w:szCs w:val="28"/>
      <w:lang w:val="en-US" w:eastAsia="zh-CN" w:bidi="ar-SA"/>
    </w:rPr>
  </w:style>
  <w:style w:type="character" w:customStyle="1" w:styleId="113">
    <w:name w:val="正文文本 2 Char"/>
    <w:link w:val="67"/>
    <w:qFormat/>
    <w:uiPriority w:val="0"/>
    <w:rPr>
      <w:rFonts w:eastAsia="宋体"/>
      <w:kern w:val="2"/>
      <w:sz w:val="21"/>
      <w:lang w:bidi="ar-SA"/>
    </w:rPr>
  </w:style>
  <w:style w:type="character" w:customStyle="1" w:styleId="114">
    <w:name w:val="HTML 预设格式 Char"/>
    <w:link w:val="69"/>
    <w:qFormat/>
    <w:uiPriority w:val="0"/>
    <w:rPr>
      <w:rFonts w:ascii="??" w:hAnsi="??" w:eastAsia="??" w:cs="Courier New"/>
      <w:szCs w:val="28"/>
      <w:lang w:val="en-US" w:eastAsia="zh-CN" w:bidi="ar-SA"/>
    </w:rPr>
  </w:style>
  <w:style w:type="character" w:customStyle="1" w:styleId="115">
    <w:name w:val="标题 Char"/>
    <w:link w:val="72"/>
    <w:qFormat/>
    <w:uiPriority w:val="0"/>
    <w:rPr>
      <w:rFonts w:eastAsia="??"/>
      <w:b/>
      <w:sz w:val="24"/>
      <w:szCs w:val="28"/>
      <w:lang w:val="en-GB" w:eastAsia="zh-CN" w:bidi="ar-SA"/>
    </w:rPr>
  </w:style>
  <w:style w:type="character" w:customStyle="1" w:styleId="116">
    <w:name w:val="批注主题 Char"/>
    <w:link w:val="73"/>
    <w:qFormat/>
    <w:uiPriority w:val="0"/>
    <w:rPr>
      <w:rFonts w:eastAsia="宋体"/>
      <w:b/>
      <w:kern w:val="2"/>
      <w:sz w:val="21"/>
      <w:lang w:bidi="ar-SA"/>
    </w:rPr>
  </w:style>
  <w:style w:type="character" w:customStyle="1" w:styleId="117">
    <w:name w:val="正文首行缩进 Char"/>
    <w:link w:val="74"/>
    <w:qFormat/>
    <w:uiPriority w:val="0"/>
    <w:rPr>
      <w:rFonts w:ascii="宋体" w:eastAsia="宋体"/>
      <w:kern w:val="2"/>
      <w:sz w:val="24"/>
      <w:lang w:val="zh-CN" w:eastAsia="zh-CN" w:bidi="ar-SA"/>
    </w:rPr>
  </w:style>
  <w:style w:type="paragraph" w:customStyle="1" w:styleId="118">
    <w:name w:val="[Normal]"/>
    <w:qFormat/>
    <w:uiPriority w:val="0"/>
    <w:rPr>
      <w:rFonts w:ascii="宋体" w:hAnsi="宋体" w:eastAsia="宋体" w:cs="Times New Roman"/>
      <w:sz w:val="24"/>
      <w:szCs w:val="22"/>
      <w:lang w:val="zh-CN" w:eastAsia="zh-CN" w:bidi="ar-SA"/>
    </w:rPr>
  </w:style>
  <w:style w:type="character" w:customStyle="1" w:styleId="119">
    <w:name w:val="普通文字 Char Char"/>
    <w:qFormat/>
    <w:uiPriority w:val="0"/>
    <w:rPr>
      <w:rFonts w:ascii="宋体" w:hAnsi="Courier New" w:eastAsia="宋体"/>
      <w:kern w:val="2"/>
      <w:sz w:val="21"/>
      <w:szCs w:val="21"/>
      <w:lang w:bidi="ar-SA"/>
    </w:rPr>
  </w:style>
  <w:style w:type="character" w:customStyle="1" w:styleId="120">
    <w:name w:val="Char12"/>
    <w:semiHidden/>
    <w:qFormat/>
    <w:uiPriority w:val="0"/>
    <w:rPr>
      <w:rFonts w:eastAsia="宋体"/>
      <w:kern w:val="2"/>
      <w:sz w:val="24"/>
      <w:szCs w:val="24"/>
      <w:lang w:val="en-US" w:eastAsia="zh-CN" w:bidi="ar-SA"/>
    </w:rPr>
  </w:style>
  <w:style w:type="character" w:customStyle="1" w:styleId="121">
    <w:name w:val="段 Char Char Char"/>
    <w:qFormat/>
    <w:uiPriority w:val="0"/>
    <w:rPr>
      <w:rFonts w:ascii="宋体" w:eastAsia="宋体"/>
      <w:sz w:val="21"/>
      <w:lang w:val="en-US" w:eastAsia="zh-CN" w:bidi="ar-SA"/>
    </w:rPr>
  </w:style>
  <w:style w:type="character" w:customStyle="1" w:styleId="122">
    <w:name w:val="样式 样式 标书正文 + 首行缩进:  0.01 字符 + 首行缩进:  0.01 字符 Char"/>
    <w:link w:val="123"/>
    <w:qFormat/>
    <w:uiPriority w:val="0"/>
    <w:rPr>
      <w:rFonts w:ascii="宋体" w:hAnsi="宋体" w:eastAsia="宋体" w:cs="宋体"/>
      <w:sz w:val="28"/>
      <w:lang w:val="en-US" w:eastAsia="zh-CN" w:bidi="ar-SA"/>
    </w:rPr>
  </w:style>
  <w:style w:type="paragraph" w:customStyle="1" w:styleId="123">
    <w:name w:val="样式 样式 标书正文 + 首行缩进:  0.01 字符 + 首行缩进:  0.01 字符"/>
    <w:basedOn w:val="1"/>
    <w:link w:val="122"/>
    <w:qFormat/>
    <w:uiPriority w:val="0"/>
    <w:pPr>
      <w:widowControl/>
      <w:adjustRightInd w:val="0"/>
      <w:snapToGrid w:val="0"/>
      <w:spacing w:afterLines="50" w:line="360" w:lineRule="auto"/>
      <w:ind w:left="-2" w:leftChars="-2" w:firstLine="200" w:firstLineChars="200"/>
      <w:jc w:val="left"/>
    </w:pPr>
    <w:rPr>
      <w:rFonts w:ascii="宋体" w:hAnsi="宋体" w:cs="宋体"/>
      <w:kern w:val="0"/>
      <w:sz w:val="28"/>
      <w:szCs w:val="20"/>
    </w:rPr>
  </w:style>
  <w:style w:type="character" w:customStyle="1" w:styleId="124">
    <w:name w:val="正文 首行缩进:  2 字符 Char Char Char"/>
    <w:qFormat/>
    <w:uiPriority w:val="0"/>
    <w:rPr>
      <w:rFonts w:eastAsia="宋体" w:cs="宋体"/>
      <w:kern w:val="2"/>
      <w:sz w:val="24"/>
      <w:lang w:val="en-US" w:eastAsia="zh-CN" w:bidi="ar-SA"/>
    </w:rPr>
  </w:style>
  <w:style w:type="character" w:customStyle="1" w:styleId="125">
    <w:name w:val="Char Char19"/>
    <w:qFormat/>
    <w:uiPriority w:val="0"/>
    <w:rPr>
      <w:kern w:val="2"/>
      <w:sz w:val="18"/>
    </w:rPr>
  </w:style>
  <w:style w:type="character" w:customStyle="1" w:styleId="126">
    <w:name w:val="md"/>
    <w:qFormat/>
    <w:uiPriority w:val="0"/>
  </w:style>
  <w:style w:type="character" w:customStyle="1" w:styleId="127">
    <w:name w:val="pword"/>
    <w:qFormat/>
    <w:uiPriority w:val="0"/>
  </w:style>
  <w:style w:type="character" w:customStyle="1" w:styleId="128">
    <w:name w:val="ca-61"/>
    <w:qFormat/>
    <w:uiPriority w:val="0"/>
    <w:rPr>
      <w:rFonts w:hint="eastAsia" w:ascii="仿宋_GB2312" w:eastAsia="仿宋_GB2312"/>
      <w:b/>
      <w:bCs/>
      <w:spacing w:val="-20"/>
      <w:sz w:val="24"/>
      <w:szCs w:val="24"/>
    </w:rPr>
  </w:style>
  <w:style w:type="character" w:customStyle="1" w:styleId="129">
    <w:name w:val="页脚 Char"/>
    <w:qFormat/>
    <w:uiPriority w:val="99"/>
    <w:rPr>
      <w:rFonts w:eastAsia="Calibri"/>
      <w:sz w:val="21"/>
    </w:rPr>
  </w:style>
  <w:style w:type="character" w:customStyle="1" w:styleId="130">
    <w:name w:val="FA正文 Char Char"/>
    <w:link w:val="131"/>
    <w:qFormat/>
    <w:uiPriority w:val="0"/>
    <w:rPr>
      <w:rFonts w:hAnsi="宋体"/>
      <w:kern w:val="2"/>
      <w:sz w:val="24"/>
      <w:lang w:bidi="ar-SA"/>
    </w:rPr>
  </w:style>
  <w:style w:type="paragraph" w:customStyle="1" w:styleId="131">
    <w:name w:val="FA正文"/>
    <w:basedOn w:val="1"/>
    <w:link w:val="130"/>
    <w:qFormat/>
    <w:uiPriority w:val="0"/>
    <w:pPr>
      <w:spacing w:line="360" w:lineRule="auto"/>
      <w:ind w:firstLine="480" w:firstLineChars="200"/>
    </w:pPr>
    <w:rPr>
      <w:rFonts w:ascii="Calibri" w:hAnsi="宋体"/>
      <w:sz w:val="24"/>
      <w:szCs w:val="20"/>
    </w:rPr>
  </w:style>
  <w:style w:type="character" w:customStyle="1" w:styleId="132">
    <w:name w:val="标书表格字体格式 Char"/>
    <w:qFormat/>
    <w:uiPriority w:val="0"/>
    <w:rPr>
      <w:kern w:val="2"/>
      <w:sz w:val="21"/>
      <w:szCs w:val="24"/>
      <w:lang w:bidi="ar-SA"/>
    </w:rPr>
  </w:style>
  <w:style w:type="character" w:customStyle="1" w:styleId="133">
    <w:name w:val="Char Char14"/>
    <w:qFormat/>
    <w:uiPriority w:val="0"/>
    <w:rPr>
      <w:kern w:val="2"/>
      <w:sz w:val="21"/>
    </w:rPr>
  </w:style>
  <w:style w:type="character" w:customStyle="1" w:styleId="134">
    <w:name w:val="正文2 Char"/>
    <w:link w:val="135"/>
    <w:qFormat/>
    <w:locked/>
    <w:uiPriority w:val="0"/>
    <w:rPr>
      <w:rFonts w:eastAsia="??"/>
      <w:kern w:val="2"/>
      <w:sz w:val="24"/>
      <w:szCs w:val="28"/>
    </w:rPr>
  </w:style>
  <w:style w:type="paragraph" w:customStyle="1" w:styleId="135">
    <w:name w:val="正文2"/>
    <w:basedOn w:val="1"/>
    <w:link w:val="134"/>
    <w:qFormat/>
    <w:uiPriority w:val="0"/>
    <w:pPr>
      <w:spacing w:before="156" w:line="360" w:lineRule="auto"/>
      <w:ind w:firstLine="200" w:firstLineChars="200"/>
    </w:pPr>
    <w:rPr>
      <w:rFonts w:ascii="Calibri" w:hAnsi="Calibri" w:eastAsia="??"/>
      <w:sz w:val="24"/>
      <w:szCs w:val="28"/>
    </w:rPr>
  </w:style>
  <w:style w:type="character" w:customStyle="1" w:styleId="136">
    <w:name w:val="DN-正文 Char Char"/>
    <w:link w:val="137"/>
    <w:qFormat/>
    <w:uiPriority w:val="0"/>
    <w:rPr>
      <w:kern w:val="2"/>
      <w:sz w:val="21"/>
      <w:szCs w:val="24"/>
      <w:lang w:bidi="ar-SA"/>
    </w:rPr>
  </w:style>
  <w:style w:type="paragraph" w:customStyle="1" w:styleId="137">
    <w:name w:val="DN-正文"/>
    <w:basedOn w:val="19"/>
    <w:link w:val="136"/>
    <w:qFormat/>
    <w:uiPriority w:val="0"/>
    <w:pPr>
      <w:widowControl w:val="0"/>
      <w:spacing w:line="400" w:lineRule="exact"/>
      <w:ind w:firstLine="200" w:firstLineChars="200"/>
      <w:jc w:val="both"/>
    </w:pPr>
    <w:rPr>
      <w:rFonts w:eastAsia="宋体"/>
      <w:kern w:val="2"/>
      <w:sz w:val="21"/>
    </w:rPr>
  </w:style>
  <w:style w:type="character" w:customStyle="1" w:styleId="138">
    <w:name w:val="正文1 Char"/>
    <w:qFormat/>
    <w:uiPriority w:val="0"/>
    <w:rPr>
      <w:rFonts w:ascii="宋体" w:eastAsia="宋体"/>
      <w:snapToGrid w:val="0"/>
      <w:color w:val="000000"/>
      <w:kern w:val="28"/>
      <w:sz w:val="28"/>
      <w:lang w:val="en-US" w:eastAsia="zh-CN" w:bidi="ar-SA"/>
    </w:rPr>
  </w:style>
  <w:style w:type="character" w:customStyle="1" w:styleId="139">
    <w:name w:val="正文首行缩进两字 Char"/>
    <w:link w:val="140"/>
    <w:qFormat/>
    <w:uiPriority w:val="0"/>
    <w:rPr>
      <w:sz w:val="24"/>
      <w:szCs w:val="24"/>
      <w:lang w:val="en-US" w:eastAsia="zh-CN" w:bidi="ar-SA"/>
    </w:rPr>
  </w:style>
  <w:style w:type="paragraph" w:customStyle="1" w:styleId="140">
    <w:name w:val="正文首行缩进两字"/>
    <w:link w:val="139"/>
    <w:qFormat/>
    <w:uiPriority w:val="0"/>
    <w:pPr>
      <w:spacing w:afterLines="50" w:line="300" w:lineRule="auto"/>
      <w:ind w:firstLine="480" w:firstLineChars="200"/>
    </w:pPr>
    <w:rPr>
      <w:rFonts w:ascii="Calibri" w:hAnsi="Calibri" w:eastAsia="宋体" w:cs="Times New Roman"/>
      <w:sz w:val="24"/>
      <w:szCs w:val="24"/>
      <w:lang w:val="en-US" w:eastAsia="zh-CN" w:bidi="ar-SA"/>
    </w:rPr>
  </w:style>
  <w:style w:type="character" w:customStyle="1" w:styleId="141">
    <w:name w:val="gf正文1 Char"/>
    <w:link w:val="142"/>
    <w:qFormat/>
    <w:uiPriority w:val="0"/>
    <w:rPr>
      <w:rFonts w:ascii="宋体" w:hAnsi="宋体" w:eastAsia="宋体"/>
      <w:kern w:val="2"/>
      <w:sz w:val="24"/>
      <w:lang w:val="en-US" w:eastAsia="zh-CN" w:bidi="ar-SA"/>
    </w:rPr>
  </w:style>
  <w:style w:type="paragraph" w:customStyle="1" w:styleId="142">
    <w:name w:val="gf正文1"/>
    <w:basedOn w:val="1"/>
    <w:link w:val="141"/>
    <w:qFormat/>
    <w:uiPriority w:val="0"/>
    <w:pPr>
      <w:adjustRightInd w:val="0"/>
      <w:snapToGrid w:val="0"/>
      <w:spacing w:beforeLines="50" w:line="360" w:lineRule="auto"/>
      <w:ind w:firstLine="480" w:firstLineChars="200"/>
    </w:pPr>
    <w:rPr>
      <w:rFonts w:ascii="宋体" w:hAnsi="宋体"/>
      <w:sz w:val="24"/>
      <w:szCs w:val="20"/>
    </w:rPr>
  </w:style>
  <w:style w:type="character" w:customStyle="1" w:styleId="143">
    <w:name w:val="ih151"/>
    <w:qFormat/>
    <w:uiPriority w:val="0"/>
    <w:rPr>
      <w:color w:val="666666"/>
      <w:sz w:val="18"/>
      <w:szCs w:val="18"/>
      <w:u w:val="none"/>
    </w:rPr>
  </w:style>
  <w:style w:type="character" w:customStyle="1" w:styleId="144">
    <w:name w:val="样式1 Char Char"/>
    <w:link w:val="145"/>
    <w:qFormat/>
    <w:uiPriority w:val="0"/>
    <w:rPr>
      <w:rFonts w:ascii="??" w:hAnsi="??" w:eastAsia="??"/>
      <w:b/>
      <w:sz w:val="32"/>
      <w:szCs w:val="28"/>
    </w:rPr>
  </w:style>
  <w:style w:type="paragraph" w:customStyle="1" w:styleId="145">
    <w:name w:val="样式1"/>
    <w:basedOn w:val="3"/>
    <w:link w:val="144"/>
    <w:qFormat/>
    <w:uiPriority w:val="0"/>
    <w:pPr>
      <w:tabs>
        <w:tab w:val="left" w:pos="-839"/>
      </w:tabs>
      <w:ind w:left="1320" w:hanging="1320"/>
    </w:pPr>
    <w:rPr>
      <w:rFonts w:cs="Times New Roman"/>
      <w:kern w:val="0"/>
    </w:rPr>
  </w:style>
  <w:style w:type="character" w:customStyle="1" w:styleId="146">
    <w:name w:val="font-121"/>
    <w:qFormat/>
    <w:uiPriority w:val="0"/>
    <w:rPr>
      <w:color w:val="666666"/>
      <w:sz w:val="18"/>
      <w:szCs w:val="18"/>
      <w:u w:val="none"/>
    </w:rPr>
  </w:style>
  <w:style w:type="character" w:customStyle="1" w:styleId="147">
    <w:name w:val="纯文本 字符"/>
    <w:qFormat/>
    <w:uiPriority w:val="0"/>
    <w:rPr>
      <w:rFonts w:ascii="??" w:hAnsi="??" w:eastAsia="??" w:cs="宋体"/>
      <w:kern w:val="2"/>
      <w:sz w:val="21"/>
      <w:szCs w:val="21"/>
    </w:rPr>
  </w:style>
  <w:style w:type="character" w:customStyle="1" w:styleId="148">
    <w:name w:val="param_td12"/>
    <w:qFormat/>
    <w:uiPriority w:val="0"/>
  </w:style>
  <w:style w:type="character" w:customStyle="1" w:styleId="149">
    <w:name w:val="正文 首行缩进2字符 Char Char Char"/>
    <w:qFormat/>
    <w:uiPriority w:val="0"/>
    <w:rPr>
      <w:rFonts w:eastAsia="宋体"/>
      <w:kern w:val="2"/>
      <w:sz w:val="24"/>
      <w:szCs w:val="24"/>
      <w:lang w:val="en-US" w:eastAsia="zh-CN" w:bidi="ar-SA"/>
    </w:rPr>
  </w:style>
  <w:style w:type="character" w:customStyle="1" w:styleId="150">
    <w:name w:val="公文正文 Char"/>
    <w:link w:val="151"/>
    <w:qFormat/>
    <w:uiPriority w:val="0"/>
    <w:rPr>
      <w:rFonts w:ascii="??_GB2312" w:hAnsi="??_GB2312" w:eastAsia="??_GB2312" w:cs="宋体"/>
      <w:kern w:val="2"/>
      <w:sz w:val="24"/>
      <w:szCs w:val="24"/>
      <w:lang w:val="en-US" w:eastAsia="zh-CN" w:bidi="ar-SA"/>
    </w:rPr>
  </w:style>
  <w:style w:type="paragraph" w:customStyle="1" w:styleId="151">
    <w:name w:val="公文正文"/>
    <w:basedOn w:val="1"/>
    <w:link w:val="150"/>
    <w:qFormat/>
    <w:uiPriority w:val="0"/>
    <w:pPr>
      <w:spacing w:before="156" w:line="360" w:lineRule="auto"/>
      <w:ind w:firstLine="200" w:firstLineChars="200"/>
    </w:pPr>
    <w:rPr>
      <w:rFonts w:ascii="??_GB2312" w:hAnsi="??_GB2312" w:eastAsia="??_GB2312" w:cs="宋体"/>
      <w:sz w:val="24"/>
    </w:rPr>
  </w:style>
  <w:style w:type="character" w:customStyle="1" w:styleId="152">
    <w:name w:val="Char Char16"/>
    <w:qFormat/>
    <w:uiPriority w:val="0"/>
    <w:rPr>
      <w:rFonts w:ascii="宋体" w:hAnsi="宋体" w:eastAsia="宋体" w:cs="Lucida Sans"/>
    </w:rPr>
  </w:style>
  <w:style w:type="character" w:customStyle="1" w:styleId="153">
    <w:name w:val="正文4 Char"/>
    <w:link w:val="154"/>
    <w:qFormat/>
    <w:uiPriority w:val="0"/>
    <w:rPr>
      <w:rFonts w:eastAsia="楷体_GB2312"/>
      <w:kern w:val="2"/>
      <w:sz w:val="24"/>
      <w:szCs w:val="24"/>
      <w:lang w:bidi="ar-SA"/>
    </w:rPr>
  </w:style>
  <w:style w:type="paragraph" w:customStyle="1" w:styleId="154">
    <w:name w:val="正文4"/>
    <w:basedOn w:val="1"/>
    <w:link w:val="153"/>
    <w:qFormat/>
    <w:uiPriority w:val="0"/>
    <w:pPr>
      <w:spacing w:before="60" w:after="60" w:line="360" w:lineRule="auto"/>
    </w:pPr>
    <w:rPr>
      <w:rFonts w:ascii="Calibri" w:hAnsi="Calibri" w:eastAsia="楷体_GB2312"/>
      <w:sz w:val="24"/>
    </w:rPr>
  </w:style>
  <w:style w:type="character" w:customStyle="1" w:styleId="155">
    <w:name w:val="Char Char6"/>
    <w:qFormat/>
    <w:uiPriority w:val="0"/>
    <w:rPr>
      <w:rFonts w:ascii="Times New Roman" w:hAnsi="Times New Roman"/>
      <w:kern w:val="28"/>
      <w:sz w:val="24"/>
      <w:szCs w:val="24"/>
    </w:rPr>
  </w:style>
  <w:style w:type="character" w:customStyle="1" w:styleId="156">
    <w:name w:val="ca-41"/>
    <w:qFormat/>
    <w:uiPriority w:val="0"/>
    <w:rPr>
      <w:rFonts w:hint="eastAsia" w:ascii="仿宋_GB2312" w:eastAsia="仿宋_GB2312"/>
      <w:sz w:val="24"/>
      <w:szCs w:val="24"/>
    </w:rPr>
  </w:style>
  <w:style w:type="character" w:customStyle="1" w:styleId="157">
    <w:name w:val="Char Char15"/>
    <w:qFormat/>
    <w:uiPriority w:val="0"/>
    <w:rPr>
      <w:rFonts w:ascii="Times New Roman" w:hAnsi="Times New Roman"/>
      <w:sz w:val="18"/>
    </w:rPr>
  </w:style>
  <w:style w:type="character" w:customStyle="1" w:styleId="158">
    <w:name w:val="样式 样式4 + 加粗 首行缩进: Char Char Char Char"/>
    <w:qFormat/>
    <w:uiPriority w:val="0"/>
    <w:rPr>
      <w:rFonts w:eastAsia="宋体" w:cs="宋体"/>
      <w:b/>
      <w:bCs/>
      <w:color w:val="000000"/>
      <w:kern w:val="2"/>
      <w:sz w:val="24"/>
      <w:szCs w:val="24"/>
      <w:lang w:val="en-US" w:eastAsia="zh-CN" w:bidi="ar-SA"/>
    </w:rPr>
  </w:style>
  <w:style w:type="character" w:customStyle="1" w:styleId="159">
    <w:name w:val="页眉 Char2"/>
    <w:qFormat/>
    <w:uiPriority w:val="99"/>
    <w:rPr>
      <w:kern w:val="2"/>
      <w:sz w:val="18"/>
      <w:szCs w:val="18"/>
    </w:rPr>
  </w:style>
  <w:style w:type="character" w:customStyle="1" w:styleId="160">
    <w:name w:val="标题 2 Char1"/>
    <w:qFormat/>
    <w:uiPriority w:val="0"/>
    <w:rPr>
      <w:rFonts w:ascii="宋体" w:hAnsi="宋体" w:eastAsia="黑体"/>
      <w:bCs/>
      <w:kern w:val="2"/>
      <w:sz w:val="32"/>
      <w:szCs w:val="32"/>
    </w:rPr>
  </w:style>
  <w:style w:type="character" w:customStyle="1" w:styleId="161">
    <w:name w:val="fonts11"/>
    <w:qFormat/>
    <w:uiPriority w:val="0"/>
    <w:rPr>
      <w:sz w:val="18"/>
      <w:szCs w:val="18"/>
    </w:rPr>
  </w:style>
  <w:style w:type="character" w:customStyle="1" w:styleId="162">
    <w:name w:val="哈哈改 Char"/>
    <w:link w:val="163"/>
    <w:qFormat/>
    <w:uiPriority w:val="0"/>
    <w:rPr>
      <w:rFonts w:ascii="宋体" w:hAnsi="宋体" w:eastAsia="宋体"/>
      <w:b/>
      <w:kern w:val="2"/>
      <w:sz w:val="24"/>
      <w:szCs w:val="24"/>
      <w:lang w:bidi="ar-SA"/>
    </w:rPr>
  </w:style>
  <w:style w:type="paragraph" w:customStyle="1" w:styleId="163">
    <w:name w:val="哈哈改"/>
    <w:basedOn w:val="164"/>
    <w:link w:val="162"/>
    <w:qFormat/>
    <w:uiPriority w:val="0"/>
    <w:pPr>
      <w:ind w:firstLine="480"/>
    </w:pPr>
    <w:rPr>
      <w:b/>
      <w:szCs w:val="24"/>
    </w:rPr>
  </w:style>
  <w:style w:type="paragraph" w:customStyle="1" w:styleId="164">
    <w:name w:val="哈哈正文"/>
    <w:basedOn w:val="1"/>
    <w:link w:val="165"/>
    <w:qFormat/>
    <w:uiPriority w:val="0"/>
    <w:pPr>
      <w:spacing w:line="360" w:lineRule="auto"/>
      <w:ind w:firstLine="200" w:firstLineChars="200"/>
    </w:pPr>
    <w:rPr>
      <w:rFonts w:ascii="宋体" w:hAnsi="宋体"/>
      <w:sz w:val="24"/>
      <w:szCs w:val="20"/>
    </w:rPr>
  </w:style>
  <w:style w:type="character" w:customStyle="1" w:styleId="165">
    <w:name w:val="哈哈正文 Char"/>
    <w:link w:val="164"/>
    <w:qFormat/>
    <w:uiPriority w:val="0"/>
    <w:rPr>
      <w:rFonts w:ascii="宋体" w:hAnsi="宋体" w:eastAsia="宋体"/>
      <w:kern w:val="2"/>
      <w:sz w:val="24"/>
      <w:lang w:bidi="ar-SA"/>
    </w:rPr>
  </w:style>
  <w:style w:type="character" w:customStyle="1" w:styleId="166">
    <w:name w:val="纯文本 Char1"/>
    <w:qFormat/>
    <w:uiPriority w:val="0"/>
    <w:rPr>
      <w:rFonts w:ascii="宋体" w:hAnsi="Courier New"/>
    </w:rPr>
  </w:style>
  <w:style w:type="character" w:customStyle="1" w:styleId="167">
    <w:name w:val="标准正文 Char"/>
    <w:link w:val="168"/>
    <w:qFormat/>
    <w:locked/>
    <w:uiPriority w:val="0"/>
    <w:rPr>
      <w:sz w:val="24"/>
      <w:lang w:bidi="ar-SA"/>
    </w:rPr>
  </w:style>
  <w:style w:type="paragraph" w:customStyle="1" w:styleId="168">
    <w:name w:val="标准正文"/>
    <w:basedOn w:val="1"/>
    <w:link w:val="167"/>
    <w:qFormat/>
    <w:uiPriority w:val="0"/>
    <w:pPr>
      <w:spacing w:line="360" w:lineRule="auto"/>
      <w:ind w:firstLine="480" w:firstLineChars="200"/>
    </w:pPr>
    <w:rPr>
      <w:rFonts w:ascii="Calibri" w:hAnsi="Calibri"/>
      <w:kern w:val="0"/>
      <w:sz w:val="24"/>
      <w:szCs w:val="20"/>
    </w:rPr>
  </w:style>
  <w:style w:type="character" w:styleId="169">
    <w:name w:val="Placeholder Text"/>
    <w:semiHidden/>
    <w:qFormat/>
    <w:uiPriority w:val="0"/>
    <w:rPr>
      <w:color w:val="808080"/>
    </w:rPr>
  </w:style>
  <w:style w:type="character" w:customStyle="1" w:styleId="170">
    <w:name w:val="dectext1"/>
    <w:qFormat/>
    <w:uiPriority w:val="0"/>
    <w:rPr>
      <w:rFonts w:ascii="宋体" w:hAnsi="宋体" w:eastAsia="宋体"/>
      <w:color w:val="333333"/>
      <w:sz w:val="21"/>
      <w:u w:val="none"/>
    </w:rPr>
  </w:style>
  <w:style w:type="character" w:customStyle="1" w:styleId="171">
    <w:name w:val="style161"/>
    <w:qFormat/>
    <w:uiPriority w:val="0"/>
    <w:rPr>
      <w:sz w:val="20"/>
      <w:szCs w:val="20"/>
    </w:rPr>
  </w:style>
  <w:style w:type="character" w:customStyle="1" w:styleId="172">
    <w:name w:val="normalfont1"/>
    <w:qFormat/>
    <w:uiPriority w:val="0"/>
    <w:rPr>
      <w:rFonts w:hint="default" w:ascii="ˎ̥" w:hAnsi="ˎ̥"/>
      <w:sz w:val="18"/>
      <w:szCs w:val="18"/>
      <w:u w:val="none"/>
    </w:rPr>
  </w:style>
  <w:style w:type="character" w:customStyle="1" w:styleId="173">
    <w:name w:val="正文2 Char Char"/>
    <w:qFormat/>
    <w:uiPriority w:val="0"/>
    <w:rPr>
      <w:rFonts w:eastAsia="??"/>
      <w:kern w:val="2"/>
      <w:sz w:val="24"/>
      <w:szCs w:val="28"/>
      <w:lang w:val="en-US" w:eastAsia="zh-CN" w:bidi="ar-SA"/>
    </w:rPr>
  </w:style>
  <w:style w:type="character" w:customStyle="1" w:styleId="174">
    <w:name w:val="shadow11"/>
    <w:qFormat/>
    <w:uiPriority w:val="0"/>
    <w:rPr>
      <w:color w:val="000000"/>
      <w:sz w:val="21"/>
    </w:rPr>
  </w:style>
  <w:style w:type="character" w:customStyle="1" w:styleId="175">
    <w:name w:val="标题 5 Char Char Char Char Char Char Char Char Char Char Char Char Char"/>
    <w:qFormat/>
    <w:uiPriority w:val="0"/>
    <w:rPr>
      <w:rFonts w:eastAsia="宋体"/>
      <w:b/>
      <w:bCs/>
      <w:kern w:val="2"/>
      <w:sz w:val="28"/>
      <w:szCs w:val="28"/>
      <w:lang w:val="en-US" w:eastAsia="zh-CN" w:bidi="ar-SA"/>
    </w:rPr>
  </w:style>
  <w:style w:type="character" w:customStyle="1" w:styleId="176">
    <w:name w:val="样式4 Char Char"/>
    <w:qFormat/>
    <w:uiPriority w:val="0"/>
    <w:rPr>
      <w:rFonts w:eastAsia="宋体" w:cs="宋体"/>
      <w:color w:val="000000"/>
      <w:sz w:val="24"/>
      <w:szCs w:val="24"/>
      <w:lang w:val="en-US" w:eastAsia="zh-CN" w:bidi="ar-SA"/>
    </w:rPr>
  </w:style>
  <w:style w:type="character" w:customStyle="1" w:styleId="177">
    <w:name w:val="Default Char"/>
    <w:link w:val="178"/>
    <w:qFormat/>
    <w:uiPriority w:val="0"/>
    <w:rPr>
      <w:rFonts w:ascii="仿宋_GB2312" w:eastAsia="仿宋_GB2312"/>
      <w:color w:val="000000"/>
      <w:sz w:val="24"/>
      <w:szCs w:val="24"/>
      <w:lang w:val="en-US" w:eastAsia="zh-CN" w:bidi="ar-SA"/>
    </w:rPr>
  </w:style>
  <w:style w:type="paragraph" w:customStyle="1" w:styleId="178">
    <w:name w:val="Default"/>
    <w:link w:val="177"/>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character" w:customStyle="1" w:styleId="179">
    <w:name w:val="正文缩 Char"/>
    <w:link w:val="180"/>
    <w:qFormat/>
    <w:uiPriority w:val="0"/>
    <w:rPr>
      <w:rFonts w:eastAsia="楷体_GB2312"/>
      <w:kern w:val="2"/>
      <w:sz w:val="24"/>
      <w:szCs w:val="24"/>
      <w:lang w:bidi="ar-SA"/>
    </w:rPr>
  </w:style>
  <w:style w:type="paragraph" w:customStyle="1" w:styleId="180">
    <w:name w:val="正文缩"/>
    <w:basedOn w:val="1"/>
    <w:link w:val="179"/>
    <w:qFormat/>
    <w:uiPriority w:val="0"/>
    <w:pPr>
      <w:spacing w:line="360" w:lineRule="auto"/>
      <w:ind w:firstLine="200" w:firstLineChars="200"/>
    </w:pPr>
    <w:rPr>
      <w:rFonts w:ascii="Calibri" w:hAnsi="Calibri" w:eastAsia="楷体_GB2312"/>
      <w:sz w:val="24"/>
    </w:rPr>
  </w:style>
  <w:style w:type="character" w:customStyle="1" w:styleId="181">
    <w:name w:val="subtitle1"/>
    <w:qFormat/>
    <w:uiPriority w:val="0"/>
    <w:rPr>
      <w:rFonts w:hint="default" w:ascii="Georgia" w:hAnsi="Georgia"/>
      <w:b/>
      <w:bCs/>
      <w:color w:val="666666"/>
      <w:sz w:val="18"/>
      <w:szCs w:val="18"/>
    </w:rPr>
  </w:style>
  <w:style w:type="character" w:customStyle="1" w:styleId="182">
    <w:name w:val="title141"/>
    <w:uiPriority w:val="0"/>
    <w:rPr>
      <w:sz w:val="25"/>
      <w:szCs w:val="25"/>
    </w:rPr>
  </w:style>
  <w:style w:type="character" w:customStyle="1" w:styleId="183">
    <w:name w:val="sony121"/>
    <w:qFormat/>
    <w:uiPriority w:val="0"/>
    <w:rPr>
      <w:rFonts w:hint="eastAsia" w:ascii="宋体" w:hAnsi="宋体" w:eastAsia="宋体"/>
      <w:sz w:val="18"/>
      <w:szCs w:val="18"/>
    </w:rPr>
  </w:style>
  <w:style w:type="character" w:customStyle="1" w:styleId="184">
    <w:name w:val="Char Char7"/>
    <w:qFormat/>
    <w:uiPriority w:val="0"/>
    <w:rPr>
      <w:rFonts w:ascii="宋体" w:eastAsia="宋体"/>
      <w:snapToGrid w:val="0"/>
      <w:color w:val="000000"/>
      <w:kern w:val="28"/>
      <w:sz w:val="28"/>
      <w:lang w:val="en-US" w:eastAsia="zh-CN"/>
    </w:rPr>
  </w:style>
  <w:style w:type="character" w:customStyle="1" w:styleId="18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6">
    <w:name w:val="bookmark-item"/>
    <w:qFormat/>
    <w:uiPriority w:val="0"/>
    <w:rPr>
      <w:rFonts w:ascii="Arial" w:hAnsi="Arial" w:eastAsia="黑体" w:cs="Arial"/>
      <w:snapToGrid w:val="0"/>
      <w:kern w:val="0"/>
      <w:szCs w:val="21"/>
    </w:rPr>
  </w:style>
  <w:style w:type="character" w:customStyle="1" w:styleId="187">
    <w:name w:val="正文非缩进 Char"/>
    <w:qFormat/>
    <w:uiPriority w:val="0"/>
    <w:rPr>
      <w:rFonts w:ascii="??" w:eastAsia="??"/>
      <w:snapToGrid w:val="0"/>
      <w:color w:val="000000"/>
      <w:kern w:val="28"/>
      <w:sz w:val="28"/>
      <w:lang w:val="en-US" w:eastAsia="zh-CN" w:bidi="ar-SA"/>
    </w:rPr>
  </w:style>
  <w:style w:type="character" w:customStyle="1" w:styleId="188">
    <w:name w:val="纯文本 Char"/>
    <w:qFormat/>
    <w:uiPriority w:val="0"/>
    <w:rPr>
      <w:rFonts w:ascii="??" w:hAnsi="??" w:eastAsia="??" w:cs="宋体"/>
      <w:kern w:val="2"/>
      <w:sz w:val="21"/>
      <w:szCs w:val="21"/>
    </w:rPr>
  </w:style>
  <w:style w:type="character" w:customStyle="1" w:styleId="189">
    <w:name w:val="纯文本 Char_0"/>
    <w:link w:val="190"/>
    <w:qFormat/>
    <w:uiPriority w:val="0"/>
    <w:rPr>
      <w:rFonts w:ascii="宋体" w:hAnsi="Courier New"/>
      <w:kern w:val="2"/>
      <w:sz w:val="21"/>
      <w:szCs w:val="21"/>
    </w:rPr>
  </w:style>
  <w:style w:type="paragraph" w:customStyle="1" w:styleId="190">
    <w:name w:val="纯文本_0_0"/>
    <w:basedOn w:val="1"/>
    <w:link w:val="189"/>
    <w:qFormat/>
    <w:uiPriority w:val="0"/>
    <w:rPr>
      <w:rFonts w:ascii="宋体" w:hAnsi="Courier New"/>
      <w:szCs w:val="21"/>
    </w:rPr>
  </w:style>
  <w:style w:type="character" w:customStyle="1" w:styleId="191">
    <w:name w:val="unnamed11"/>
    <w:qFormat/>
    <w:uiPriority w:val="0"/>
    <w:rPr>
      <w:sz w:val="20"/>
    </w:rPr>
  </w:style>
  <w:style w:type="character" w:customStyle="1" w:styleId="192">
    <w:name w:val="无间隔 Char"/>
    <w:link w:val="193"/>
    <w:qFormat/>
    <w:uiPriority w:val="1"/>
    <w:rPr>
      <w:rFonts w:eastAsia="楷体_GB2312" w:cs="Lucida Sans"/>
      <w:kern w:val="2"/>
      <w:sz w:val="24"/>
      <w:szCs w:val="24"/>
      <w:lang w:val="en-US" w:eastAsia="zh-CN" w:bidi="ar-SA"/>
    </w:rPr>
  </w:style>
  <w:style w:type="paragraph" w:styleId="193">
    <w:name w:val="No Spacing"/>
    <w:link w:val="192"/>
    <w:qFormat/>
    <w:uiPriority w:val="1"/>
    <w:pPr>
      <w:widowControl w:val="0"/>
      <w:jc w:val="both"/>
    </w:pPr>
    <w:rPr>
      <w:rFonts w:ascii="Calibri" w:hAnsi="Calibri" w:eastAsia="楷体_GB2312" w:cs="Lucida Sans"/>
      <w:kern w:val="2"/>
      <w:sz w:val="24"/>
      <w:szCs w:val="24"/>
      <w:lang w:val="en-US" w:eastAsia="zh-CN" w:bidi="ar-SA"/>
    </w:rPr>
  </w:style>
  <w:style w:type="character" w:customStyle="1" w:styleId="194">
    <w:name w:val="纯文本 Char2"/>
    <w:qFormat/>
    <w:uiPriority w:val="0"/>
    <w:rPr>
      <w:rFonts w:ascii="??" w:hAnsi="??" w:eastAsia="??" w:cs="宋体"/>
      <w:kern w:val="2"/>
      <w:sz w:val="21"/>
      <w:szCs w:val="21"/>
    </w:rPr>
  </w:style>
  <w:style w:type="character" w:customStyle="1" w:styleId="195">
    <w:name w:val="t_tag"/>
    <w:qFormat/>
    <w:uiPriority w:val="0"/>
  </w:style>
  <w:style w:type="character" w:customStyle="1" w:styleId="196">
    <w:name w:val="正文缩进 Char2"/>
    <w:qFormat/>
    <w:uiPriority w:val="0"/>
    <w:rPr>
      <w:rFonts w:ascii="宋体" w:eastAsia="宋体"/>
      <w:snapToGrid w:val="0"/>
      <w:color w:val="000000"/>
      <w:kern w:val="28"/>
      <w:sz w:val="28"/>
      <w:lang w:val="en-US" w:eastAsia="zh-CN" w:bidi="ar-SA"/>
    </w:rPr>
  </w:style>
  <w:style w:type="character" w:customStyle="1" w:styleId="197">
    <w:name w:val="正文缩进 Char1"/>
    <w:qFormat/>
    <w:uiPriority w:val="0"/>
    <w:rPr>
      <w:rFonts w:eastAsia="??"/>
      <w:sz w:val="24"/>
      <w:szCs w:val="24"/>
      <w:lang w:val="en-US" w:eastAsia="zh-CN" w:bidi="ar-SA"/>
    </w:rPr>
  </w:style>
  <w:style w:type="character" w:customStyle="1" w:styleId="198">
    <w:name w:val="font21"/>
    <w:qFormat/>
    <w:uiPriority w:val="0"/>
    <w:rPr>
      <w:rFonts w:hint="eastAsia" w:ascii="宋体" w:hAnsi="宋体" w:eastAsia="宋体"/>
      <w:kern w:val="2"/>
      <w:sz w:val="28"/>
      <w:szCs w:val="28"/>
      <w:lang w:val="en-US" w:eastAsia="zh-CN" w:bidi="ar-SA"/>
    </w:rPr>
  </w:style>
  <w:style w:type="character" w:customStyle="1" w:styleId="199">
    <w:name w:val="h3 Char1"/>
    <w:qFormat/>
    <w:uiPriority w:val="0"/>
    <w:rPr>
      <w:rFonts w:eastAsia="宋体"/>
      <w:b/>
      <w:bCs/>
      <w:kern w:val="2"/>
      <w:sz w:val="32"/>
      <w:szCs w:val="32"/>
      <w:lang w:val="en-US" w:eastAsia="zh-CN" w:bidi="ar-SA"/>
    </w:rPr>
  </w:style>
  <w:style w:type="character" w:customStyle="1" w:styleId="200">
    <w:name w:val="页脚 Char2"/>
    <w:qFormat/>
    <w:locked/>
    <w:uiPriority w:val="99"/>
    <w:rPr>
      <w:kern w:val="2"/>
      <w:sz w:val="18"/>
      <w:szCs w:val="18"/>
    </w:rPr>
  </w:style>
  <w:style w:type="character" w:customStyle="1" w:styleId="201">
    <w:name w:val="blue1"/>
    <w:qFormat/>
    <w:uiPriority w:val="0"/>
    <w:rPr>
      <w:rFonts w:ascii="Arial" w:hAnsi="Arial" w:eastAsia="黑体" w:cs="Arial"/>
      <w:snapToGrid w:val="0"/>
      <w:kern w:val="0"/>
      <w:szCs w:val="21"/>
    </w:rPr>
  </w:style>
  <w:style w:type="paragraph" w:customStyle="1" w:styleId="202">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03">
    <w:name w:val="0"/>
    <w:basedOn w:val="1"/>
    <w:qFormat/>
    <w:uiPriority w:val="0"/>
    <w:pPr>
      <w:widowControl/>
    </w:pPr>
    <w:rPr>
      <w:kern w:val="0"/>
      <w:sz w:val="24"/>
      <w:szCs w:val="20"/>
    </w:rPr>
  </w:style>
  <w:style w:type="paragraph" w:customStyle="1" w:styleId="20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205">
    <w:name w:val="正文 首行缩进2字符"/>
    <w:basedOn w:val="1"/>
    <w:qFormat/>
    <w:uiPriority w:val="0"/>
    <w:pPr>
      <w:spacing w:line="360" w:lineRule="auto"/>
      <w:ind w:firstLine="200" w:firstLineChars="200"/>
    </w:pPr>
    <w:rPr>
      <w:rFonts w:eastAsia="楷体_GB2312"/>
      <w:sz w:val="24"/>
      <w:szCs w:val="20"/>
    </w:rPr>
  </w:style>
  <w:style w:type="paragraph" w:customStyle="1" w:styleId="2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207">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20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209">
    <w:name w:val="xl9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210">
    <w:name w:val="序号"/>
    <w:basedOn w:val="1"/>
    <w:qFormat/>
    <w:uiPriority w:val="0"/>
    <w:pPr>
      <w:tabs>
        <w:tab w:val="left" w:pos="900"/>
      </w:tabs>
      <w:snapToGrid w:val="0"/>
      <w:spacing w:line="360" w:lineRule="auto"/>
      <w:ind w:left="840" w:firstLine="200" w:firstLineChars="200"/>
    </w:pPr>
    <w:rPr>
      <w:rFonts w:ascii="仿宋" w:hAnsi="仿宋" w:eastAsia="仿宋"/>
      <w:bCs/>
      <w:sz w:val="24"/>
    </w:rPr>
  </w:style>
  <w:style w:type="paragraph" w:customStyle="1" w:styleId="211">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12">
    <w:name w:val="xl7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13">
    <w:name w:val="List Paragraph1"/>
    <w:basedOn w:val="1"/>
    <w:qFormat/>
    <w:uiPriority w:val="0"/>
    <w:pPr>
      <w:spacing w:line="360" w:lineRule="auto"/>
      <w:ind w:firstLine="200" w:firstLineChars="200"/>
    </w:pPr>
    <w:rPr>
      <w:rFonts w:eastAsia="楷体_GB2312" w:cs="Lucida Sans"/>
      <w:sz w:val="24"/>
    </w:rPr>
  </w:style>
  <w:style w:type="paragraph" w:customStyle="1" w:styleId="214">
    <w:name w:val="样式 样式 我的正文首行缩进 + 首行缩进:  2 字符 + 首行缩进:  2 字符 Char Char Char Char Char Char Char Char Char Char Char Char"/>
    <w:basedOn w:val="1"/>
    <w:qFormat/>
    <w:uiPriority w:val="0"/>
    <w:pPr>
      <w:widowControl/>
      <w:spacing w:after="120"/>
      <w:ind w:firstLine="200" w:firstLineChars="200"/>
      <w:jc w:val="left"/>
    </w:pPr>
    <w:rPr>
      <w:rFonts w:eastAsia="华文细黑"/>
      <w:kern w:val="0"/>
      <w:sz w:val="24"/>
    </w:rPr>
  </w:style>
  <w:style w:type="paragraph" w:customStyle="1" w:styleId="215">
    <w:name w:val="Char"/>
    <w:basedOn w:val="1"/>
    <w:qFormat/>
    <w:uiPriority w:val="0"/>
    <w:rPr>
      <w:rFonts w:eastAsia="??_GB2312"/>
      <w:sz w:val="28"/>
    </w:rPr>
  </w:style>
  <w:style w:type="paragraph" w:customStyle="1" w:styleId="21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color w:val="FF0000"/>
      <w:kern w:val="0"/>
      <w:sz w:val="18"/>
      <w:szCs w:val="20"/>
    </w:rPr>
  </w:style>
  <w:style w:type="paragraph" w:customStyle="1" w:styleId="217">
    <w:name w:val="_Style 40"/>
    <w:basedOn w:val="1"/>
    <w:qFormat/>
    <w:uiPriority w:val="0"/>
    <w:rPr>
      <w:rFonts w:eastAsia="??"/>
      <w:szCs w:val="28"/>
    </w:rPr>
  </w:style>
  <w:style w:type="paragraph" w:customStyle="1" w:styleId="218">
    <w:name w:val="2"/>
    <w:basedOn w:val="1"/>
    <w:qFormat/>
    <w:uiPriority w:val="0"/>
    <w:rPr>
      <w:rFonts w:ascii="Tahoma" w:hAnsi="Tahoma" w:eastAsia="??" w:cs="Tahoma"/>
      <w:sz w:val="24"/>
      <w:szCs w:val="28"/>
    </w:rPr>
  </w:style>
  <w:style w:type="paragraph" w:customStyle="1" w:styleId="219">
    <w:name w:val="xl9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w:hAnsi="Arial"/>
      <w:kern w:val="0"/>
      <w:sz w:val="20"/>
      <w:szCs w:val="20"/>
    </w:rPr>
  </w:style>
  <w:style w:type="paragraph" w:customStyle="1" w:styleId="220">
    <w:name w:val="MM Topic 5"/>
    <w:basedOn w:val="7"/>
    <w:qFormat/>
    <w:uiPriority w:val="0"/>
    <w:pPr>
      <w:tabs>
        <w:tab w:val="left" w:pos="840"/>
        <w:tab w:val="left" w:pos="1008"/>
        <w:tab w:val="left" w:pos="2520"/>
      </w:tabs>
      <w:ind w:left="2520" w:hanging="420"/>
    </w:pPr>
    <w:rPr>
      <w:rFonts w:eastAsia="宋体"/>
      <w:lang w:val="zh-CN"/>
    </w:rPr>
  </w:style>
  <w:style w:type="paragraph" w:customStyle="1" w:styleId="221">
    <w:name w:val="font10"/>
    <w:basedOn w:val="1"/>
    <w:qFormat/>
    <w:uiPriority w:val="0"/>
    <w:pPr>
      <w:widowControl/>
      <w:spacing w:before="100" w:beforeAutospacing="1" w:after="100" w:afterAutospacing="1"/>
      <w:jc w:val="left"/>
    </w:pPr>
    <w:rPr>
      <w:rFonts w:ascii="Arial" w:hAnsi="Arial"/>
      <w:kern w:val="0"/>
      <w:sz w:val="18"/>
      <w:szCs w:val="20"/>
    </w:rPr>
  </w:style>
  <w:style w:type="paragraph" w:customStyle="1" w:styleId="222">
    <w:name w:val="Normal_13"/>
    <w:qFormat/>
    <w:uiPriority w:val="0"/>
    <w:pPr>
      <w:spacing w:before="120" w:after="240"/>
      <w:jc w:val="both"/>
    </w:pPr>
    <w:rPr>
      <w:rFonts w:ascii="Calibri" w:hAnsi="Calibri" w:eastAsia="Calibri" w:cs="Times New Roman"/>
      <w:sz w:val="22"/>
      <w:szCs w:val="22"/>
      <w:lang w:val="ru-RU" w:eastAsia="en-US" w:bidi="ar-SA"/>
    </w:rPr>
  </w:style>
  <w:style w:type="paragraph" w:customStyle="1" w:styleId="223">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FF0000"/>
      <w:kern w:val="0"/>
      <w:sz w:val="18"/>
      <w:szCs w:val="20"/>
    </w:rPr>
  </w:style>
  <w:style w:type="paragraph" w:customStyle="1" w:styleId="224">
    <w:name w:val="样式 仿宋_GB2312 三号"/>
    <w:basedOn w:val="1"/>
    <w:qFormat/>
    <w:uiPriority w:val="0"/>
    <w:pPr>
      <w:adjustRightInd w:val="0"/>
      <w:snapToGrid w:val="0"/>
      <w:spacing w:line="360" w:lineRule="auto"/>
      <w:ind w:firstLine="560" w:firstLineChars="200"/>
    </w:pPr>
    <w:rPr>
      <w:rFonts w:ascii="仿宋_GB2312" w:eastAsia="仿宋_GB2312" w:cs="宋体"/>
      <w:sz w:val="32"/>
      <w:szCs w:val="20"/>
    </w:rPr>
  </w:style>
  <w:style w:type="paragraph" w:customStyle="1" w:styleId="225">
    <w:name w:val="正文 首行缩进:  2 字符 Char"/>
    <w:basedOn w:val="1"/>
    <w:qFormat/>
    <w:uiPriority w:val="0"/>
    <w:pPr>
      <w:spacing w:line="360" w:lineRule="auto"/>
      <w:ind w:firstLine="480"/>
    </w:pPr>
    <w:rPr>
      <w:rFonts w:cs="宋体"/>
      <w:sz w:val="24"/>
      <w:szCs w:val="20"/>
    </w:rPr>
  </w:style>
  <w:style w:type="paragraph" w:customStyle="1" w:styleId="2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olor w:val="FF0000"/>
      <w:kern w:val="0"/>
      <w:sz w:val="18"/>
      <w:szCs w:val="20"/>
    </w:rPr>
  </w:style>
  <w:style w:type="paragraph" w:customStyle="1" w:styleId="227">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228">
    <w:name w:val="标题 ４"/>
    <w:basedOn w:val="5"/>
    <w:qFormat/>
    <w:uiPriority w:val="0"/>
    <w:pPr>
      <w:widowControl w:val="0"/>
      <w:tabs>
        <w:tab w:val="left" w:pos="993"/>
        <w:tab w:val="left" w:pos="1980"/>
      </w:tabs>
      <w:spacing w:before="260" w:after="260" w:line="416" w:lineRule="auto"/>
      <w:ind w:left="1980" w:hanging="420"/>
      <w:jc w:val="both"/>
    </w:pPr>
    <w:rPr>
      <w:rFonts w:eastAsia="宋体"/>
      <w:bCs/>
      <w:kern w:val="2"/>
      <w:szCs w:val="32"/>
    </w:rPr>
  </w:style>
  <w:style w:type="paragraph" w:customStyle="1" w:styleId="229">
    <w:name w:val="Char Char Char1 Char Char Char1 Char"/>
    <w:basedOn w:val="1"/>
    <w:qFormat/>
    <w:uiPriority w:val="0"/>
    <w:pPr>
      <w:tabs>
        <w:tab w:val="left" w:pos="360"/>
      </w:tabs>
    </w:pPr>
    <w:rPr>
      <w:sz w:val="24"/>
    </w:rPr>
  </w:style>
  <w:style w:type="paragraph" w:customStyle="1" w:styleId="230">
    <w:name w:val="font15"/>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231">
    <w:name w:val="xl31"/>
    <w:basedOn w:val="1"/>
    <w:qFormat/>
    <w:uiPriority w:val="0"/>
    <w:pPr>
      <w:widowControl/>
      <w:pBdr>
        <w:bottom w:val="single" w:color="auto" w:sz="4" w:space="0"/>
      </w:pBdr>
      <w:spacing w:before="100" w:beforeAutospacing="1" w:after="100" w:afterAutospacing="1"/>
      <w:jc w:val="center"/>
    </w:pPr>
    <w:rPr>
      <w:rFonts w:ascii="??" w:hAnsi="??" w:eastAsia="??" w:cs="宋体"/>
      <w:kern w:val="0"/>
      <w:sz w:val="24"/>
    </w:rPr>
  </w:style>
  <w:style w:type="paragraph" w:customStyle="1" w:styleId="232">
    <w:name w:val="Normal_3"/>
    <w:qFormat/>
    <w:uiPriority w:val="0"/>
    <w:pPr>
      <w:spacing w:before="120" w:after="240"/>
      <w:jc w:val="both"/>
    </w:pPr>
    <w:rPr>
      <w:rFonts w:ascii="Calibri" w:hAnsi="Calibri" w:eastAsia="Calibri" w:cs="Times New Roman"/>
      <w:sz w:val="22"/>
      <w:szCs w:val="22"/>
      <w:lang w:val="ru-RU" w:eastAsia="en-US" w:bidi="ar-SA"/>
    </w:rPr>
  </w:style>
  <w:style w:type="paragraph" w:customStyle="1" w:styleId="233">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234">
    <w:name w:val="_Style 377"/>
    <w:basedOn w:val="1"/>
    <w:next w:val="1"/>
    <w:qFormat/>
    <w:uiPriority w:val="0"/>
    <w:pPr>
      <w:pBdr>
        <w:bottom w:val="single" w:color="auto" w:sz="6" w:space="1"/>
      </w:pBdr>
      <w:jc w:val="center"/>
    </w:pPr>
    <w:rPr>
      <w:rFonts w:ascii="Arial"/>
      <w:vanish/>
      <w:sz w:val="16"/>
    </w:rPr>
  </w:style>
  <w:style w:type="paragraph" w:customStyle="1" w:styleId="235">
    <w:name w:val="Char Char2"/>
    <w:basedOn w:val="1"/>
    <w:qFormat/>
    <w:uiPriority w:val="0"/>
    <w:rPr>
      <w:rFonts w:ascii="仿宋_GB2312" w:eastAsia="仿宋_GB2312"/>
      <w:b/>
      <w:sz w:val="32"/>
      <w:szCs w:val="32"/>
    </w:rPr>
  </w:style>
  <w:style w:type="paragraph" w:customStyle="1" w:styleId="236">
    <w:name w:val="四级条标题"/>
    <w:basedOn w:val="1"/>
    <w:next w:val="237"/>
    <w:qFormat/>
    <w:uiPriority w:val="0"/>
    <w:pPr>
      <w:widowControl/>
      <w:tabs>
        <w:tab w:val="left" w:pos="1260"/>
        <w:tab w:val="left" w:pos="1680"/>
        <w:tab w:val="left" w:pos="2100"/>
        <w:tab w:val="left" w:pos="2520"/>
        <w:tab w:val="left" w:pos="2940"/>
      </w:tabs>
      <w:ind w:left="2940" w:hanging="420"/>
      <w:outlineLvl w:val="5"/>
    </w:pPr>
    <w:rPr>
      <w:rFonts w:ascii="黑体" w:hAnsi="Times New Roman" w:eastAsia="黑体"/>
      <w:kern w:val="0"/>
      <w:szCs w:val="20"/>
    </w:rPr>
  </w:style>
  <w:style w:type="paragraph" w:customStyle="1" w:styleId="237">
    <w:name w:val="段"/>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8">
    <w:name w:val="a1"/>
    <w:basedOn w:val="1"/>
    <w:qFormat/>
    <w:uiPriority w:val="0"/>
    <w:pPr>
      <w:widowControl/>
      <w:spacing w:line="300" w:lineRule="atLeast"/>
      <w:jc w:val="left"/>
    </w:pPr>
    <w:rPr>
      <w:rFonts w:ascii="宋体" w:hAnsi="宋体"/>
      <w:kern w:val="0"/>
      <w:sz w:val="18"/>
      <w:szCs w:val="20"/>
    </w:rPr>
  </w:style>
  <w:style w:type="paragraph" w:customStyle="1" w:styleId="239">
    <w:name w:val="样式 Arial 左侧:  0.43 厘米 段前: 1.4 磅 段后: 2.8 磅"/>
    <w:basedOn w:val="1"/>
    <w:qFormat/>
    <w:uiPriority w:val="0"/>
    <w:pPr>
      <w:spacing w:before="28" w:after="56" w:line="360" w:lineRule="auto"/>
      <w:ind w:left="244" w:firstLine="540" w:firstLineChars="225"/>
    </w:pPr>
    <w:rPr>
      <w:rFonts w:ascii="Arial" w:hAnsi="Arial" w:eastAsia="楷体_GB2312" w:cs="宋体"/>
      <w:sz w:val="24"/>
    </w:rPr>
  </w:style>
  <w:style w:type="paragraph" w:customStyle="1" w:styleId="24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0"/>
      <w:szCs w:val="20"/>
    </w:rPr>
  </w:style>
  <w:style w:type="paragraph" w:customStyle="1" w:styleId="24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olor w:val="FF0000"/>
      <w:kern w:val="0"/>
      <w:sz w:val="18"/>
      <w:szCs w:val="20"/>
    </w:rPr>
  </w:style>
  <w:style w:type="paragraph" w:customStyle="1" w:styleId="24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245">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246">
    <w:name w:val="正文缩进11"/>
    <w:basedOn w:val="1"/>
    <w:qFormat/>
    <w:uiPriority w:val="0"/>
    <w:pPr>
      <w:widowControl/>
      <w:adjustRightInd w:val="0"/>
      <w:snapToGrid w:val="0"/>
      <w:spacing w:line="480" w:lineRule="exact"/>
      <w:ind w:firstLine="567"/>
    </w:pPr>
    <w:rPr>
      <w:rFonts w:ascii="宋体" w:hAnsi="Calibri"/>
      <w:snapToGrid w:val="0"/>
      <w:color w:val="000000"/>
      <w:kern w:val="28"/>
      <w:sz w:val="28"/>
      <w:szCs w:val="22"/>
    </w:rPr>
  </w:style>
  <w:style w:type="paragraph" w:customStyle="1" w:styleId="24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样式 样式 样式 我的正文首行缩进 + 首行缩进:  2 字符 + 首行缩进:  2 字符 + 首行缩进:  2 字符"/>
    <w:basedOn w:val="1"/>
    <w:qFormat/>
    <w:uiPriority w:val="0"/>
    <w:pPr>
      <w:widowControl/>
      <w:tabs>
        <w:tab w:val="left" w:pos="840"/>
      </w:tabs>
      <w:spacing w:after="120" w:line="300" w:lineRule="auto"/>
      <w:ind w:left="840" w:hanging="360"/>
      <w:jc w:val="left"/>
    </w:pPr>
    <w:rPr>
      <w:rFonts w:eastAsia="华文细黑"/>
      <w:kern w:val="0"/>
      <w:sz w:val="24"/>
    </w:rPr>
  </w:style>
  <w:style w:type="paragraph" w:customStyle="1" w:styleId="249">
    <w:name w:val="xl49"/>
    <w:basedOn w:val="1"/>
    <w:qFormat/>
    <w:uiPriority w:val="0"/>
    <w:pPr>
      <w:widowControl/>
      <w:pBdr>
        <w:top w:val="single" w:color="auto" w:sz="8" w:space="0"/>
        <w:left w:val="single" w:color="auto" w:sz="8"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250">
    <w:name w:val="MM Topic 3"/>
    <w:basedOn w:val="5"/>
    <w:qFormat/>
    <w:uiPriority w:val="0"/>
    <w:pPr>
      <w:widowControl w:val="0"/>
      <w:tabs>
        <w:tab w:val="left" w:pos="840"/>
        <w:tab w:val="left" w:pos="900"/>
        <w:tab w:val="left" w:pos="1680"/>
        <w:tab w:val="clear" w:pos="720"/>
      </w:tabs>
      <w:spacing w:before="260" w:after="260" w:line="416" w:lineRule="auto"/>
      <w:ind w:left="1680" w:hanging="420"/>
      <w:jc w:val="both"/>
    </w:pPr>
    <w:rPr>
      <w:rFonts w:eastAsia="宋体"/>
      <w:bCs/>
      <w:kern w:val="2"/>
      <w:szCs w:val="32"/>
    </w:rPr>
  </w:style>
  <w:style w:type="paragraph" w:customStyle="1" w:styleId="251">
    <w:name w:val="Char Char21"/>
    <w:basedOn w:val="1"/>
    <w:qFormat/>
    <w:uiPriority w:val="0"/>
    <w:rPr>
      <w:rFonts w:ascii="Tahoma" w:hAnsi="Tahoma" w:eastAsia="??" w:cs="Tahoma"/>
      <w:sz w:val="24"/>
      <w:szCs w:val="28"/>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pPr>
    <w:rPr>
      <w:rFonts w:ascii="宋体" w:hAnsi="宋体"/>
      <w:kern w:val="0"/>
      <w:sz w:val="20"/>
      <w:szCs w:val="20"/>
    </w:rPr>
  </w:style>
  <w:style w:type="paragraph" w:customStyle="1" w:styleId="253">
    <w:name w:val="样式 标题 3标题 3 Char第二层条h33Bold Headbh章标题1小标题level_3PIM 3..."/>
    <w:basedOn w:val="5"/>
    <w:qFormat/>
    <w:uiPriority w:val="0"/>
    <w:pPr>
      <w:widowControl w:val="0"/>
      <w:adjustRightInd w:val="0"/>
      <w:snapToGrid w:val="0"/>
      <w:spacing w:before="0" w:after="0"/>
      <w:ind w:left="0" w:firstLine="0"/>
      <w:jc w:val="both"/>
    </w:pPr>
    <w:rPr>
      <w:rFonts w:ascii="黑体" w:hAnsi="宋体" w:eastAsia="黑体"/>
      <w:b w:val="0"/>
      <w:color w:val="000000"/>
      <w:sz w:val="28"/>
      <w:szCs w:val="20"/>
    </w:rPr>
  </w:style>
  <w:style w:type="paragraph" w:customStyle="1" w:styleId="25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kern w:val="0"/>
      <w:sz w:val="18"/>
      <w:szCs w:val="20"/>
    </w:rPr>
  </w:style>
  <w:style w:type="paragraph" w:customStyle="1" w:styleId="255">
    <w:name w:val="公文标题"/>
    <w:basedOn w:val="151"/>
    <w:next w:val="151"/>
    <w:qFormat/>
    <w:uiPriority w:val="0"/>
    <w:pPr>
      <w:spacing w:before="0"/>
      <w:ind w:firstLine="0" w:firstLineChars="0"/>
      <w:jc w:val="center"/>
    </w:pPr>
    <w:rPr>
      <w:rFonts w:ascii="仿宋_GB2312" w:hAnsi="宋体" w:eastAsia="仿宋_GB2312" w:cs="Times New Roman"/>
      <w:b/>
      <w:bCs/>
      <w:kern w:val="28"/>
      <w:sz w:val="44"/>
    </w:rPr>
  </w:style>
  <w:style w:type="paragraph" w:customStyle="1" w:styleId="256">
    <w:name w:val="xl138"/>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257">
    <w:name w:val="正文 首行缩进:  2 字符"/>
    <w:basedOn w:val="1"/>
    <w:qFormat/>
    <w:uiPriority w:val="0"/>
    <w:pPr>
      <w:spacing w:line="360" w:lineRule="auto"/>
      <w:ind w:firstLine="480" w:firstLineChars="200"/>
    </w:pPr>
    <w:rPr>
      <w:rFonts w:eastAsia="楷体_GB2312" w:cs="宋体"/>
      <w:sz w:val="24"/>
      <w:szCs w:val="20"/>
    </w:rPr>
  </w:style>
  <w:style w:type="paragraph" w:customStyle="1" w:styleId="258">
    <w:name w:val="font8"/>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59">
    <w:name w:val="xl96"/>
    <w:basedOn w:val="1"/>
    <w:qFormat/>
    <w:uiPriority w:val="0"/>
    <w:pPr>
      <w:widowControl/>
      <w:pBdr>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260">
    <w:name w:val="列出段落1"/>
    <w:basedOn w:val="1"/>
    <w:qFormat/>
    <w:uiPriority w:val="34"/>
    <w:pPr>
      <w:snapToGrid w:val="0"/>
      <w:spacing w:line="276" w:lineRule="auto"/>
      <w:ind w:firstLine="420" w:firstLineChars="200"/>
    </w:pPr>
    <w:rPr>
      <w:rFonts w:ascii="Calibri" w:hAnsi="Calibri" w:eastAsia="微软雅黑"/>
      <w:sz w:val="24"/>
      <w:szCs w:val="21"/>
    </w:rPr>
  </w:style>
  <w:style w:type="paragraph" w:customStyle="1" w:styleId="261">
    <w:name w:val="Char Char Char Char"/>
    <w:basedOn w:val="1"/>
    <w:qFormat/>
    <w:uiPriority w:val="0"/>
    <w:rPr>
      <w:rFonts w:ascii="Tahoma" w:hAnsi="Tahoma"/>
      <w:sz w:val="24"/>
      <w:szCs w:val="20"/>
    </w:rPr>
  </w:style>
  <w:style w:type="paragraph" w:customStyle="1" w:styleId="262">
    <w:name w:val="xl66"/>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18"/>
      <w:szCs w:val="20"/>
    </w:rPr>
  </w:style>
  <w:style w:type="paragraph" w:customStyle="1" w:styleId="26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kern w:val="0"/>
      <w:sz w:val="24"/>
      <w:szCs w:val="20"/>
    </w:rPr>
  </w:style>
  <w:style w:type="paragraph" w:customStyle="1" w:styleId="264">
    <w:name w:val="正文 A"/>
    <w:unhideWhenUsed/>
    <w:qFormat/>
    <w:uiPriority w:val="99"/>
    <w:pPr>
      <w:widowControl w:val="0"/>
      <w:jc w:val="both"/>
    </w:pPr>
    <w:rPr>
      <w:rFonts w:hint="eastAsia" w:ascii="Arial Unicode MS" w:hAnsi="Arial Unicode MS" w:eastAsia="宋体" w:cs="Times New Roman"/>
      <w:color w:val="000000"/>
      <w:kern w:val="2"/>
      <w:sz w:val="21"/>
      <w:szCs w:val="22"/>
      <w:lang w:val="en-US" w:eastAsia="zh-CN" w:bidi="ar-SA"/>
    </w:rPr>
  </w:style>
  <w:style w:type="paragraph" w:customStyle="1" w:styleId="265">
    <w:name w:val="内文正文"/>
    <w:qFormat/>
    <w:uiPriority w:val="0"/>
    <w:pPr>
      <w:autoSpaceDE w:val="0"/>
      <w:autoSpaceDN w:val="0"/>
      <w:spacing w:line="400" w:lineRule="exact"/>
      <w:ind w:firstLine="200" w:firstLineChars="200"/>
      <w:jc w:val="both"/>
      <w:textAlignment w:val="bottom"/>
    </w:pPr>
    <w:rPr>
      <w:rFonts w:ascii="??" w:hAnsi="??" w:eastAsia="??" w:cs="宋体"/>
      <w:sz w:val="21"/>
      <w:szCs w:val="28"/>
      <w:lang w:val="en-US" w:eastAsia="zh-CN" w:bidi="ar-SA"/>
    </w:rPr>
  </w:style>
  <w:style w:type="paragraph" w:customStyle="1" w:styleId="266">
    <w:name w:val="xl11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26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eastAsia="楷体_GB2312" w:cs="Courier New"/>
      <w:sz w:val="18"/>
    </w:rPr>
  </w:style>
  <w:style w:type="paragraph" w:customStyle="1" w:styleId="268">
    <w:name w:val="正文6"/>
    <w:basedOn w:val="1"/>
    <w:qFormat/>
    <w:uiPriority w:val="0"/>
    <w:pPr>
      <w:tabs>
        <w:tab w:val="left" w:pos="900"/>
      </w:tabs>
      <w:spacing w:beforeLines="50" w:afterLines="50" w:line="360" w:lineRule="auto"/>
      <w:ind w:left="1290" w:leftChars="500" w:hanging="240" w:hangingChars="100"/>
    </w:pPr>
    <w:rPr>
      <w:rFonts w:ascii="Book Antiqua" w:hAnsi="Book Antiqua" w:eastAsia="楷体_GB2312"/>
      <w:sz w:val="24"/>
      <w:szCs w:val="21"/>
    </w:rPr>
  </w:style>
  <w:style w:type="paragraph" w:customStyle="1" w:styleId="26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270">
    <w:name w:val="标题1"/>
    <w:basedOn w:val="1"/>
    <w:qFormat/>
    <w:uiPriority w:val="0"/>
    <w:pPr>
      <w:widowControl/>
      <w:tabs>
        <w:tab w:val="left" w:pos="450"/>
      </w:tabs>
      <w:autoSpaceDE w:val="0"/>
      <w:autoSpaceDN w:val="0"/>
      <w:adjustRightInd w:val="0"/>
      <w:spacing w:before="240" w:after="240"/>
      <w:jc w:val="left"/>
      <w:textAlignment w:val="center"/>
    </w:pPr>
    <w:rPr>
      <w:rFonts w:ascii="宋体" w:eastAsia="楷体_GB2312"/>
      <w:b/>
      <w:kern w:val="0"/>
      <w:sz w:val="32"/>
      <w:szCs w:val="20"/>
    </w:rPr>
  </w:style>
  <w:style w:type="paragraph" w:customStyle="1" w:styleId="271">
    <w:name w:val="xl38"/>
    <w:basedOn w:val="1"/>
    <w:qFormat/>
    <w:uiPriority w:val="0"/>
    <w:pPr>
      <w:widowControl/>
      <w:spacing w:before="100" w:beforeAutospacing="1" w:after="100" w:afterAutospacing="1"/>
      <w:jc w:val="center"/>
    </w:pPr>
    <w:rPr>
      <w:rFonts w:ascii="Arial" w:hAnsi="Arial"/>
      <w:kern w:val="0"/>
      <w:sz w:val="20"/>
      <w:szCs w:val="20"/>
    </w:rPr>
  </w:style>
  <w:style w:type="paragraph" w:customStyle="1" w:styleId="272">
    <w:name w:val="表格正文"/>
    <w:basedOn w:val="1"/>
    <w:qFormat/>
    <w:uiPriority w:val="0"/>
    <w:pPr>
      <w:spacing w:line="360" w:lineRule="auto"/>
    </w:pPr>
    <w:rPr>
      <w:rFonts w:ascii="宋体" w:hAnsi="宋体" w:eastAsia="楷体_GB2312" w:cs="宋体"/>
      <w:sz w:val="24"/>
      <w:szCs w:val="20"/>
    </w:rPr>
  </w:style>
  <w:style w:type="paragraph" w:customStyle="1" w:styleId="273">
    <w:name w:val="列出段落3"/>
    <w:basedOn w:val="1"/>
    <w:qFormat/>
    <w:uiPriority w:val="99"/>
    <w:pPr>
      <w:snapToGrid w:val="0"/>
      <w:spacing w:line="276" w:lineRule="auto"/>
      <w:ind w:firstLine="420" w:firstLineChars="200"/>
    </w:pPr>
    <w:rPr>
      <w:rFonts w:ascii="Calibri" w:hAnsi="Calibri" w:eastAsia="微软雅黑"/>
      <w:sz w:val="24"/>
      <w:szCs w:val="21"/>
    </w:rPr>
  </w:style>
  <w:style w:type="paragraph" w:customStyle="1" w:styleId="274">
    <w:name w:val="pa-69"/>
    <w:basedOn w:val="1"/>
    <w:qFormat/>
    <w:uiPriority w:val="0"/>
    <w:pPr>
      <w:widowControl/>
      <w:spacing w:line="330" w:lineRule="atLeast"/>
      <w:ind w:firstLine="3840"/>
      <w:jc w:val="left"/>
    </w:pPr>
    <w:rPr>
      <w:rFonts w:ascii="宋体" w:hAnsi="宋体" w:cs="宋体"/>
      <w:kern w:val="0"/>
      <w:sz w:val="24"/>
    </w:rPr>
  </w:style>
  <w:style w:type="paragraph" w:customStyle="1" w:styleId="27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kern w:val="0"/>
      <w:sz w:val="20"/>
      <w:szCs w:val="20"/>
    </w:rPr>
  </w:style>
  <w:style w:type="paragraph" w:customStyle="1" w:styleId="277">
    <w:name w:val="自由格式"/>
    <w:qFormat/>
    <w:uiPriority w:val="0"/>
    <w:rPr>
      <w:rFonts w:ascii="Cambria" w:hAnsi="Cambria" w:eastAsia="Cambria" w:cs="Cambria"/>
      <w:color w:val="000000"/>
      <w:sz w:val="24"/>
      <w:szCs w:val="24"/>
      <w:lang w:val="en-US" w:eastAsia="zh-CN" w:bidi="ar-SA"/>
    </w:rPr>
  </w:style>
  <w:style w:type="paragraph" w:customStyle="1" w:styleId="278">
    <w:name w:val="正文空格"/>
    <w:basedOn w:val="1"/>
    <w:next w:val="1"/>
    <w:qFormat/>
    <w:uiPriority w:val="0"/>
    <w:pPr>
      <w:ind w:firstLine="200" w:firstLineChars="200"/>
    </w:pPr>
  </w:style>
  <w:style w:type="paragraph" w:customStyle="1" w:styleId="279">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28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20"/>
      <w:szCs w:val="20"/>
    </w:rPr>
  </w:style>
  <w:style w:type="paragraph" w:customStyle="1" w:styleId="281">
    <w:name w:val="Char Char1"/>
    <w:basedOn w:val="1"/>
    <w:qFormat/>
    <w:uiPriority w:val="0"/>
    <w:pPr>
      <w:widowControl/>
      <w:spacing w:after="160" w:line="240" w:lineRule="exact"/>
      <w:jc w:val="left"/>
    </w:pPr>
    <w:rPr>
      <w:rFonts w:eastAsia="仿宋_GB2312"/>
      <w:sz w:val="28"/>
      <w:szCs w:val="20"/>
    </w:rPr>
  </w:style>
  <w:style w:type="paragraph" w:customStyle="1" w:styleId="282">
    <w:name w:val="_Style 510"/>
    <w:basedOn w:val="1"/>
    <w:next w:val="1"/>
    <w:qFormat/>
    <w:uiPriority w:val="0"/>
    <w:pPr>
      <w:pBdr>
        <w:top w:val="single" w:color="auto" w:sz="6" w:space="1"/>
      </w:pBdr>
      <w:jc w:val="center"/>
    </w:pPr>
    <w:rPr>
      <w:rFonts w:ascii="Arial"/>
      <w:vanish/>
      <w:sz w:val="16"/>
    </w:rPr>
  </w:style>
  <w:style w:type="paragraph" w:customStyle="1" w:styleId="283">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284">
    <w:name w:val="xl11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285">
    <w:name w:val="表格文字"/>
    <w:basedOn w:val="1"/>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286">
    <w:name w:val="No Spacing1"/>
    <w:qFormat/>
    <w:uiPriority w:val="0"/>
    <w:rPr>
      <w:rFonts w:ascii="Calibri" w:hAnsi="Calibri" w:eastAsia="??" w:cs="宋体"/>
      <w:sz w:val="22"/>
      <w:szCs w:val="22"/>
      <w:lang w:val="en-US" w:eastAsia="en-US" w:bidi="ar-SA"/>
    </w:rPr>
  </w:style>
  <w:style w:type="paragraph" w:customStyle="1" w:styleId="287">
    <w:name w:val="二级条标题"/>
    <w:basedOn w:val="1"/>
    <w:next w:val="237"/>
    <w:qFormat/>
    <w:uiPriority w:val="0"/>
    <w:pPr>
      <w:widowControl/>
      <w:jc w:val="left"/>
      <w:outlineLvl w:val="3"/>
    </w:pPr>
    <w:rPr>
      <w:rFonts w:ascii="黑体" w:eastAsia="黑体"/>
      <w:kern w:val="0"/>
      <w:sz w:val="24"/>
      <w:szCs w:val="20"/>
    </w:rPr>
  </w:style>
  <w:style w:type="paragraph" w:customStyle="1" w:styleId="288">
    <w:name w:val="编号 2"/>
    <w:basedOn w:val="289"/>
    <w:qFormat/>
    <w:uiPriority w:val="0"/>
    <w:pPr>
      <w:tabs>
        <w:tab w:val="left" w:pos="1320"/>
        <w:tab w:val="left" w:pos="1560"/>
      </w:tabs>
      <w:ind w:left="-80"/>
    </w:pPr>
    <w:rPr>
      <w:szCs w:val="20"/>
    </w:rPr>
  </w:style>
  <w:style w:type="paragraph" w:customStyle="1" w:styleId="289">
    <w:name w:val="编号 1"/>
    <w:basedOn w:val="1"/>
    <w:qFormat/>
    <w:uiPriority w:val="0"/>
    <w:pPr>
      <w:tabs>
        <w:tab w:val="left" w:pos="1320"/>
      </w:tabs>
      <w:spacing w:before="100" w:beforeAutospacing="1" w:after="100" w:afterAutospacing="1" w:line="360" w:lineRule="auto"/>
      <w:ind w:left="400" w:firstLine="560"/>
    </w:pPr>
    <w:rPr>
      <w:rFonts w:ascii="宋体" w:eastAsia="楷体_GB2312"/>
      <w:sz w:val="24"/>
    </w:rPr>
  </w:style>
  <w:style w:type="paragraph" w:customStyle="1" w:styleId="290">
    <w:name w:val="样式 标题 2H2h2Heading 2 HiddenHeading 2 CCBSl2heading 2I22n...1"/>
    <w:basedOn w:val="4"/>
    <w:qFormat/>
    <w:uiPriority w:val="0"/>
    <w:pPr>
      <w:tabs>
        <w:tab w:val="left" w:pos="1560"/>
        <w:tab w:val="clear" w:pos="706"/>
      </w:tabs>
      <w:spacing w:before="260" w:after="260" w:line="416" w:lineRule="auto"/>
      <w:ind w:left="1560" w:hanging="420"/>
    </w:pPr>
    <w:rPr>
      <w:rFonts w:ascii="Times New Roman" w:hAnsi="Times New Roman" w:eastAsia="黑体" w:cs="Times New Roman"/>
      <w:b w:val="0"/>
      <w:sz w:val="24"/>
    </w:rPr>
  </w:style>
  <w:style w:type="paragraph" w:customStyle="1" w:styleId="291">
    <w:name w:val="Char Char1 Char Char Char Char Char Char"/>
    <w:basedOn w:val="1"/>
    <w:qFormat/>
    <w:uiPriority w:val="0"/>
    <w:rPr>
      <w:rFonts w:ascii="仿宋_GB2312" w:eastAsia="仿宋_GB2312"/>
      <w:b/>
      <w:sz w:val="32"/>
      <w:szCs w:val="20"/>
    </w:rPr>
  </w:style>
  <w:style w:type="paragraph" w:customStyle="1" w:styleId="29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293">
    <w:name w:val="Char Char Char Char Char Char Char"/>
    <w:basedOn w:val="1"/>
    <w:semiHidden/>
    <w:qFormat/>
    <w:uiPriority w:val="0"/>
    <w:pPr>
      <w:spacing w:line="360" w:lineRule="auto"/>
      <w:ind w:firstLine="480" w:firstLineChars="200"/>
    </w:pPr>
    <w:rPr>
      <w:rFonts w:ascii="Tahoma" w:hAnsi="Tahoma" w:cs="宋体"/>
      <w:sz w:val="24"/>
      <w:szCs w:val="20"/>
    </w:rPr>
  </w:style>
  <w:style w:type="paragraph" w:customStyle="1" w:styleId="29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0"/>
      <w:szCs w:val="20"/>
    </w:rPr>
  </w:style>
  <w:style w:type="paragraph" w:customStyle="1" w:styleId="295">
    <w:name w:val="标题 5l"/>
    <w:basedOn w:val="7"/>
    <w:qFormat/>
    <w:uiPriority w:val="0"/>
    <w:pPr>
      <w:tabs>
        <w:tab w:val="left" w:pos="0"/>
      </w:tabs>
      <w:adjustRightInd w:val="0"/>
      <w:spacing w:line="376" w:lineRule="atLeast"/>
      <w:textAlignment w:val="baseline"/>
    </w:pPr>
    <w:rPr>
      <w:rFonts w:eastAsia="楷体_GB2312"/>
      <w:kern w:val="0"/>
    </w:rPr>
  </w:style>
  <w:style w:type="paragraph" w:customStyle="1" w:styleId="296">
    <w:name w:val="默认段落字体 Para Char Char Char Char Char Char Char"/>
    <w:basedOn w:val="1"/>
    <w:qFormat/>
    <w:uiPriority w:val="0"/>
    <w:rPr>
      <w:rFonts w:eastAsia="仿宋_GB2312"/>
      <w:sz w:val="28"/>
      <w:szCs w:val="20"/>
    </w:rPr>
  </w:style>
  <w:style w:type="paragraph" w:customStyle="1" w:styleId="297">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298">
    <w:name w:val="符号 2"/>
    <w:basedOn w:val="299"/>
    <w:qFormat/>
    <w:uiPriority w:val="0"/>
    <w:pPr>
      <w:tabs>
        <w:tab w:val="left" w:pos="900"/>
        <w:tab w:val="left" w:pos="1320"/>
      </w:tabs>
      <w:ind w:left="1320"/>
    </w:pPr>
  </w:style>
  <w:style w:type="paragraph" w:customStyle="1" w:styleId="299">
    <w:name w:val="符号 1"/>
    <w:basedOn w:val="31"/>
    <w:qFormat/>
    <w:uiPriority w:val="0"/>
    <w:pPr>
      <w:tabs>
        <w:tab w:val="left" w:pos="900"/>
      </w:tabs>
      <w:spacing w:line="360" w:lineRule="auto"/>
      <w:ind w:left="900" w:hanging="420"/>
    </w:pPr>
    <w:rPr>
      <w:rFonts w:ascii="Times New Roman" w:hAnsi="Times New Roman" w:eastAsia="楷体_GB2312"/>
      <w:kern w:val="28"/>
      <w:sz w:val="24"/>
      <w:szCs w:val="24"/>
    </w:rPr>
  </w:style>
  <w:style w:type="paragraph" w:customStyle="1" w:styleId="300">
    <w:name w:val="样式 正文首行缩进 + 首行缩进:  1 字符"/>
    <w:basedOn w:val="74"/>
    <w:qFormat/>
    <w:uiPriority w:val="0"/>
    <w:pPr>
      <w:widowControl/>
      <w:autoSpaceDE/>
      <w:autoSpaceDN/>
      <w:adjustRightInd/>
      <w:spacing w:after="120" w:line="240" w:lineRule="auto"/>
      <w:ind w:firstLine="200" w:firstLineChars="200"/>
      <w:jc w:val="left"/>
    </w:pPr>
    <w:rPr>
      <w:rFonts w:ascii="Times New Roman" w:eastAsia="华文细黑"/>
      <w:kern w:val="0"/>
      <w:szCs w:val="24"/>
      <w:lang w:val="en-US"/>
    </w:rPr>
  </w:style>
  <w:style w:type="paragraph" w:customStyle="1" w:styleId="3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20"/>
      <w:szCs w:val="20"/>
    </w:rPr>
  </w:style>
  <w:style w:type="paragraph" w:customStyle="1" w:styleId="30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303">
    <w:name w:val="表格标题"/>
    <w:basedOn w:val="272"/>
    <w:qFormat/>
    <w:uiPriority w:val="0"/>
    <w:pPr>
      <w:jc w:val="center"/>
    </w:pPr>
    <w:rPr>
      <w:b/>
    </w:rPr>
  </w:style>
  <w:style w:type="paragraph" w:styleId="304">
    <w:name w:val="List Paragraph"/>
    <w:basedOn w:val="1"/>
    <w:qFormat/>
    <w:uiPriority w:val="99"/>
    <w:pPr>
      <w:widowControl/>
      <w:ind w:firstLine="200" w:firstLineChars="200"/>
      <w:jc w:val="left"/>
    </w:pPr>
    <w:rPr>
      <w:rFonts w:ascii="??" w:hAnsi="??" w:eastAsia="??" w:cs="??"/>
      <w:kern w:val="0"/>
      <w:sz w:val="24"/>
    </w:rPr>
  </w:style>
  <w:style w:type="paragraph" w:customStyle="1" w:styleId="305">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Arial" w:hAnsi="Arial"/>
      <w:color w:val="FF0000"/>
      <w:kern w:val="0"/>
      <w:sz w:val="18"/>
      <w:szCs w:val="20"/>
    </w:rPr>
  </w:style>
  <w:style w:type="paragraph" w:customStyle="1" w:styleId="306">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07">
    <w:name w:val="5 Char"/>
    <w:basedOn w:val="1"/>
    <w:qFormat/>
    <w:uiPriority w:val="0"/>
    <w:rPr>
      <w:rFonts w:eastAsia="楷体_GB2312"/>
    </w:rPr>
  </w:style>
  <w:style w:type="paragraph" w:customStyle="1" w:styleId="308">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309">
    <w:name w:val="正文 居中"/>
    <w:basedOn w:val="1"/>
    <w:qFormat/>
    <w:uiPriority w:val="0"/>
    <w:pPr>
      <w:spacing w:line="360" w:lineRule="auto"/>
      <w:jc w:val="center"/>
    </w:pPr>
    <w:rPr>
      <w:sz w:val="24"/>
      <w:szCs w:val="20"/>
    </w:rPr>
  </w:style>
  <w:style w:type="paragraph" w:customStyle="1" w:styleId="31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0"/>
      <w:szCs w:val="20"/>
    </w:rPr>
  </w:style>
  <w:style w:type="paragraph" w:customStyle="1" w:styleId="311">
    <w:name w:val="样式 正文文本缩进 + 左侧:  0.63 厘米 首行缩进:  0 厘米"/>
    <w:basedOn w:val="31"/>
    <w:qFormat/>
    <w:uiPriority w:val="0"/>
    <w:pPr>
      <w:autoSpaceDE w:val="0"/>
      <w:autoSpaceDN w:val="0"/>
      <w:adjustRightInd w:val="0"/>
      <w:spacing w:after="120" w:line="360" w:lineRule="auto"/>
      <w:ind w:left="278" w:leftChars="116" w:right="17" w:firstLine="461" w:firstLineChars="192"/>
    </w:pPr>
    <w:rPr>
      <w:rFonts w:ascii="宋体" w:hAnsi="宋体" w:eastAsia="楷体_GB2312"/>
      <w:sz w:val="24"/>
      <w:szCs w:val="24"/>
    </w:rPr>
  </w:style>
  <w:style w:type="paragraph" w:customStyle="1" w:styleId="312">
    <w:name w:val="网格型1"/>
    <w:qFormat/>
    <w:uiPriority w:val="0"/>
    <w:rPr>
      <w:rFonts w:ascii="Cambria" w:hAnsi="Cambria" w:eastAsia="Cambria" w:cs="Cambria"/>
      <w:color w:val="000000"/>
      <w:sz w:val="24"/>
      <w:szCs w:val="24"/>
      <w:lang w:val="en-US" w:eastAsia="zh-CN" w:bidi="ar-SA"/>
    </w:rPr>
  </w:style>
  <w:style w:type="paragraph" w:customStyle="1" w:styleId="31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 w:cs="Times New Roman"/>
      <w:szCs w:val="28"/>
      <w:lang w:val="en-US" w:eastAsia="zh-CN" w:bidi="ar-SA"/>
    </w:rPr>
  </w:style>
  <w:style w:type="paragraph" w:customStyle="1" w:styleId="31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315">
    <w:name w:val="编号 3"/>
    <w:basedOn w:val="1"/>
    <w:qFormat/>
    <w:uiPriority w:val="0"/>
    <w:pPr>
      <w:tabs>
        <w:tab w:val="left" w:pos="1155"/>
      </w:tabs>
      <w:spacing w:line="360" w:lineRule="auto"/>
      <w:ind w:left="1155" w:hanging="735"/>
    </w:pPr>
    <w:rPr>
      <w:rFonts w:ascii="宋体" w:hAnsi="宋体" w:eastAsia="楷体_GB2312"/>
      <w:color w:val="000000"/>
      <w:sz w:val="24"/>
      <w:szCs w:val="20"/>
    </w:rPr>
  </w:style>
  <w:style w:type="paragraph" w:customStyle="1" w:styleId="316">
    <w:name w:val="Char 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7">
    <w:name w:val="正文蓝"/>
    <w:basedOn w:val="1"/>
    <w:qFormat/>
    <w:uiPriority w:val="0"/>
    <w:pPr>
      <w:spacing w:before="156" w:line="360" w:lineRule="auto"/>
      <w:ind w:firstLine="360" w:firstLineChars="200"/>
    </w:pPr>
    <w:rPr>
      <w:rFonts w:ascii="仿宋_GB2312" w:eastAsia="仿宋_GB2312"/>
      <w:color w:val="000080"/>
      <w:sz w:val="24"/>
      <w:szCs w:val="20"/>
    </w:rPr>
  </w:style>
  <w:style w:type="paragraph" w:customStyle="1" w:styleId="31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kern w:val="0"/>
      <w:sz w:val="18"/>
      <w:szCs w:val="20"/>
    </w:rPr>
  </w:style>
  <w:style w:type="paragraph" w:customStyle="1" w:styleId="319">
    <w:name w:val="xl144"/>
    <w:basedOn w:val="1"/>
    <w:qFormat/>
    <w:uiPriority w:val="0"/>
    <w:pPr>
      <w:widowControl/>
      <w:pBdr>
        <w:top w:val="single" w:color="auto" w:sz="4" w:space="0"/>
        <w:left w:val="single" w:color="auto" w:sz="4" w:space="0"/>
        <w:bottom w:val="single" w:color="auto" w:sz="8" w:space="0"/>
        <w:right w:val="single" w:color="auto" w:sz="8" w:space="0"/>
      </w:pBdr>
      <w:shd w:val="clear" w:color="000000" w:fill="FFFF00"/>
      <w:spacing w:before="100" w:beforeAutospacing="1" w:after="100" w:afterAutospacing="1"/>
      <w:jc w:val="right"/>
    </w:pPr>
    <w:rPr>
      <w:rFonts w:ascii="宋体" w:hAnsi="宋体" w:cs="宋体"/>
      <w:kern w:val="0"/>
      <w:sz w:val="24"/>
    </w:rPr>
  </w:style>
  <w:style w:type="paragraph" w:customStyle="1" w:styleId="320">
    <w:name w:val="正文3"/>
    <w:basedOn w:val="1"/>
    <w:qFormat/>
    <w:uiPriority w:val="0"/>
    <w:pPr>
      <w:spacing w:beforeLines="50" w:afterLines="50" w:line="360" w:lineRule="auto"/>
      <w:outlineLvl w:val="8"/>
    </w:pPr>
    <w:rPr>
      <w:rFonts w:ascii="Segoe UI" w:hAnsi="宋体" w:eastAsia="楷体_GB2312" w:cs="Latha"/>
      <w:sz w:val="24"/>
      <w:szCs w:val="21"/>
    </w:rPr>
  </w:style>
  <w:style w:type="paragraph" w:customStyle="1" w:styleId="321">
    <w:name w:val="带标题正文"/>
    <w:basedOn w:val="1"/>
    <w:qFormat/>
    <w:uiPriority w:val="0"/>
    <w:pPr>
      <w:tabs>
        <w:tab w:val="left" w:pos="425"/>
      </w:tabs>
      <w:snapToGrid w:val="0"/>
      <w:spacing w:before="100" w:after="100"/>
      <w:ind w:left="425" w:firstLine="115"/>
    </w:pPr>
    <w:rPr>
      <w:rFonts w:ascii="楷体" w:eastAsia="楷体"/>
      <w:b/>
      <w:sz w:val="28"/>
      <w:szCs w:val="20"/>
    </w:rPr>
  </w:style>
  <w:style w:type="paragraph" w:customStyle="1" w:styleId="322">
    <w:name w:val="xl10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23">
    <w:name w:val="xl100"/>
    <w:basedOn w:val="1"/>
    <w:qFormat/>
    <w:uiPriority w:val="0"/>
    <w:pPr>
      <w:widowControl/>
      <w:spacing w:before="100" w:beforeAutospacing="1" w:after="100" w:afterAutospacing="1"/>
      <w:jc w:val="left"/>
    </w:pPr>
    <w:rPr>
      <w:rFonts w:ascii="Arial" w:hAnsi="Arial"/>
      <w:kern w:val="0"/>
      <w:sz w:val="24"/>
      <w:szCs w:val="20"/>
    </w:rPr>
  </w:style>
  <w:style w:type="paragraph" w:customStyle="1" w:styleId="324">
    <w:name w:val="xl1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325">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0"/>
      <w:szCs w:val="20"/>
    </w:rPr>
  </w:style>
  <w:style w:type="paragraph" w:customStyle="1" w:styleId="326">
    <w:name w:val="4"/>
    <w:basedOn w:val="1"/>
    <w:next w:val="46"/>
    <w:qFormat/>
    <w:uiPriority w:val="0"/>
    <w:pPr>
      <w:spacing w:after="120" w:line="480" w:lineRule="auto"/>
      <w:ind w:left="420" w:leftChars="200"/>
    </w:pPr>
    <w:rPr>
      <w:sz w:val="24"/>
      <w:szCs w:val="20"/>
    </w:rPr>
  </w:style>
  <w:style w:type="paragraph" w:customStyle="1" w:styleId="32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18"/>
      <w:szCs w:val="20"/>
    </w:rPr>
  </w:style>
  <w:style w:type="paragraph" w:customStyle="1" w:styleId="328">
    <w:name w:val="xl10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0">
    <w:name w:val="公文标题 4"/>
    <w:basedOn w:val="331"/>
    <w:next w:val="151"/>
    <w:qFormat/>
    <w:uiPriority w:val="0"/>
    <w:pPr>
      <w:outlineLvl w:val="9"/>
    </w:pPr>
  </w:style>
  <w:style w:type="paragraph" w:customStyle="1" w:styleId="331">
    <w:name w:val="公文标题 3"/>
    <w:basedOn w:val="332"/>
    <w:next w:val="151"/>
    <w:qFormat/>
    <w:uiPriority w:val="0"/>
    <w:pPr>
      <w:outlineLvl w:val="2"/>
    </w:pPr>
  </w:style>
  <w:style w:type="paragraph" w:customStyle="1" w:styleId="332">
    <w:name w:val="公文标题 2"/>
    <w:basedOn w:val="333"/>
    <w:next w:val="151"/>
    <w:qFormat/>
    <w:uiPriority w:val="0"/>
    <w:pPr>
      <w:ind w:firstLine="561"/>
      <w:outlineLvl w:val="1"/>
    </w:pPr>
    <w:rPr>
      <w:sz w:val="28"/>
      <w:lang w:val="en-US"/>
    </w:rPr>
  </w:style>
  <w:style w:type="paragraph" w:customStyle="1" w:styleId="333">
    <w:name w:val="公文标题 1"/>
    <w:basedOn w:val="1"/>
    <w:next w:val="1"/>
    <w:qFormat/>
    <w:uiPriority w:val="0"/>
    <w:pPr>
      <w:spacing w:line="360" w:lineRule="auto"/>
      <w:outlineLvl w:val="0"/>
    </w:pPr>
    <w:rPr>
      <w:rFonts w:ascii="仿宋_GB2312" w:hAnsi="宋体" w:eastAsia="仿宋_GB2312"/>
      <w:kern w:val="28"/>
      <w:sz w:val="24"/>
      <w:lang w:val="zh-CN"/>
    </w:rPr>
  </w:style>
  <w:style w:type="paragraph" w:customStyle="1" w:styleId="33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宋体" w:hAnsi="宋体"/>
      <w:kern w:val="0"/>
      <w:sz w:val="18"/>
      <w:szCs w:val="20"/>
    </w:rPr>
  </w:style>
  <w:style w:type="paragraph" w:customStyle="1" w:styleId="335">
    <w:name w:val="Char2"/>
    <w:basedOn w:val="1"/>
    <w:qFormat/>
    <w:uiPriority w:val="0"/>
    <w:rPr>
      <w:rFonts w:ascii="仿宋_GB2312" w:hAnsi="仿宋_GB2312" w:eastAsia="仿宋_GB2312" w:cs="Lucida Sans"/>
      <w:b/>
      <w:sz w:val="32"/>
      <w:szCs w:val="32"/>
    </w:rPr>
  </w:style>
  <w:style w:type="paragraph" w:customStyle="1" w:styleId="336">
    <w:name w:val="xl86"/>
    <w:basedOn w:val="1"/>
    <w:qFormat/>
    <w:uiPriority w:val="0"/>
    <w:pPr>
      <w:widowControl/>
      <w:pBdr>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37">
    <w:name w:val="正文缩进1"/>
    <w:basedOn w:val="1"/>
    <w:qFormat/>
    <w:uiPriority w:val="0"/>
    <w:pPr>
      <w:adjustRightInd w:val="0"/>
      <w:spacing w:line="360" w:lineRule="auto"/>
      <w:ind w:firstLine="540" w:firstLineChars="225"/>
      <w:textAlignment w:val="baseline"/>
    </w:pPr>
    <w:rPr>
      <w:rFonts w:ascii="Times New Roman" w:hAnsi="Times New Roman"/>
      <w:sz w:val="24"/>
      <w:szCs w:val="20"/>
    </w:rPr>
  </w:style>
  <w:style w:type="paragraph" w:customStyle="1" w:styleId="33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39">
    <w:name w:val="Char Char1 Char Char Char"/>
    <w:basedOn w:val="1"/>
    <w:qFormat/>
    <w:uiPriority w:val="0"/>
    <w:rPr>
      <w:rFonts w:ascii="仿宋_GB2312" w:eastAsia="仿宋_GB2312"/>
      <w:b/>
      <w:sz w:val="32"/>
      <w:szCs w:val="20"/>
    </w:rPr>
  </w:style>
  <w:style w:type="paragraph" w:customStyle="1" w:styleId="3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FF0000"/>
      <w:kern w:val="0"/>
      <w:sz w:val="20"/>
      <w:szCs w:val="20"/>
    </w:rPr>
  </w:style>
  <w:style w:type="paragraph" w:customStyle="1" w:styleId="34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42">
    <w:name w:val="xl63"/>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343">
    <w:name w:val="首行缩进正文"/>
    <w:basedOn w:val="1"/>
    <w:qFormat/>
    <w:uiPriority w:val="0"/>
    <w:pPr>
      <w:spacing w:line="360" w:lineRule="auto"/>
      <w:ind w:firstLine="480"/>
    </w:pPr>
    <w:rPr>
      <w:rFonts w:eastAsia="楷体_GB2312"/>
      <w:sz w:val="24"/>
      <w:szCs w:val="20"/>
    </w:rPr>
  </w:style>
  <w:style w:type="paragraph" w:customStyle="1" w:styleId="344">
    <w:name w:val="button"/>
    <w:basedOn w:val="1"/>
    <w:qFormat/>
    <w:uiPriority w:val="0"/>
    <w:pPr>
      <w:widowControl/>
      <w:spacing w:before="100" w:beforeAutospacing="1" w:after="100" w:afterAutospacing="1"/>
      <w:jc w:val="left"/>
    </w:pPr>
    <w:rPr>
      <w:rFonts w:ascii="Arial Unicode MS" w:hAnsi="Arial Unicode MS"/>
      <w:color w:val="000000"/>
      <w:kern w:val="0"/>
      <w:sz w:val="24"/>
      <w:szCs w:val="20"/>
    </w:rPr>
  </w:style>
  <w:style w:type="paragraph" w:customStyle="1" w:styleId="345">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Arial" w:hAnsi="Arial"/>
      <w:kern w:val="0"/>
      <w:sz w:val="18"/>
      <w:szCs w:val="20"/>
    </w:rPr>
  </w:style>
  <w:style w:type="paragraph" w:customStyle="1" w:styleId="346">
    <w:name w:val="Char Char Char"/>
    <w:basedOn w:val="1"/>
    <w:qFormat/>
    <w:uiPriority w:val="0"/>
    <w:pPr>
      <w:adjustRightInd w:val="0"/>
      <w:spacing w:line="312" w:lineRule="atLeast"/>
      <w:textAlignment w:val="baseline"/>
    </w:pPr>
    <w:rPr>
      <w:rFonts w:ascii="Tahoma" w:hAnsi="Tahoma"/>
      <w:b/>
      <w:kern w:val="0"/>
      <w:sz w:val="28"/>
      <w:szCs w:val="20"/>
    </w:rPr>
  </w:style>
  <w:style w:type="paragraph" w:customStyle="1" w:styleId="347">
    <w:name w:val="xl11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color w:val="FF0000"/>
      <w:kern w:val="0"/>
      <w:sz w:val="18"/>
      <w:szCs w:val="20"/>
    </w:rPr>
  </w:style>
  <w:style w:type="paragraph" w:customStyle="1" w:styleId="348">
    <w:name w:val="正文文字缩进 3"/>
    <w:basedOn w:val="1"/>
    <w:qFormat/>
    <w:uiPriority w:val="0"/>
    <w:pPr>
      <w:suppressAutoHyphens/>
      <w:spacing w:line="360" w:lineRule="auto"/>
      <w:ind w:left="481" w:firstLine="480"/>
    </w:pPr>
    <w:rPr>
      <w:rFonts w:eastAsia="楷体_GB2312"/>
      <w:kern w:val="1"/>
      <w:sz w:val="24"/>
      <w:szCs w:val="20"/>
      <w:lang w:eastAsia="ar-SA"/>
    </w:rPr>
  </w:style>
  <w:style w:type="paragraph" w:customStyle="1" w:styleId="349">
    <w:name w:val="p0"/>
    <w:basedOn w:val="1"/>
    <w:qFormat/>
    <w:uiPriority w:val="0"/>
    <w:pPr>
      <w:widowControl/>
    </w:pPr>
    <w:rPr>
      <w:kern w:val="0"/>
      <w:szCs w:val="21"/>
    </w:rPr>
  </w:style>
  <w:style w:type="paragraph" w:customStyle="1" w:styleId="35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351">
    <w:name w:val="默认段落字体 Para Char"/>
    <w:basedOn w:val="1"/>
    <w:qFormat/>
    <w:uiPriority w:val="0"/>
    <w:rPr>
      <w:rFonts w:ascii="Tahoma" w:hAnsi="Tahoma"/>
      <w:sz w:val="24"/>
      <w:szCs w:val="20"/>
    </w:rPr>
  </w:style>
  <w:style w:type="paragraph" w:customStyle="1" w:styleId="352">
    <w:name w:val="普通段落"/>
    <w:basedOn w:val="1"/>
    <w:qFormat/>
    <w:uiPriority w:val="0"/>
    <w:pPr>
      <w:adjustRightInd w:val="0"/>
      <w:snapToGrid w:val="0"/>
      <w:spacing w:line="360" w:lineRule="auto"/>
      <w:ind w:firstLine="480" w:firstLineChars="200"/>
    </w:pPr>
    <w:rPr>
      <w:sz w:val="24"/>
      <w:szCs w:val="20"/>
    </w:rPr>
  </w:style>
  <w:style w:type="paragraph" w:customStyle="1" w:styleId="353">
    <w:name w:val="索引 11"/>
    <w:basedOn w:val="1"/>
    <w:next w:val="1"/>
    <w:qFormat/>
    <w:uiPriority w:val="99"/>
    <w:pPr>
      <w:spacing w:line="360" w:lineRule="auto"/>
    </w:pPr>
    <w:rPr>
      <w:rFonts w:ascii="仿宋_GB2312" w:eastAsia="仿宋_GB2312"/>
      <w:sz w:val="24"/>
      <w:szCs w:val="20"/>
    </w:rPr>
  </w:style>
  <w:style w:type="paragraph" w:customStyle="1" w:styleId="354">
    <w:name w:val="Test2"/>
    <w:basedOn w:val="4"/>
    <w:qFormat/>
    <w:uiPriority w:val="0"/>
    <w:pPr>
      <w:widowControl/>
      <w:tabs>
        <w:tab w:val="left" w:pos="1110"/>
        <w:tab w:val="clear" w:pos="706"/>
      </w:tabs>
      <w:adjustRightInd w:val="0"/>
      <w:snapToGrid w:val="0"/>
      <w:spacing w:before="360" w:after="360" w:line="240" w:lineRule="atLeast"/>
      <w:ind w:left="0" w:firstLine="0"/>
      <w:jc w:val="left"/>
    </w:pPr>
    <w:rPr>
      <w:rFonts w:ascii="宋体" w:eastAsia="宋体" w:cs="Times New Roman"/>
      <w:bCs w:val="0"/>
      <w:snapToGrid w:val="0"/>
      <w:kern w:val="0"/>
      <w:sz w:val="28"/>
      <w:szCs w:val="20"/>
    </w:rPr>
  </w:style>
  <w:style w:type="paragraph" w:customStyle="1" w:styleId="355">
    <w:name w:val="模板普通正文"/>
    <w:basedOn w:val="31"/>
    <w:qFormat/>
    <w:uiPriority w:val="0"/>
    <w:pPr>
      <w:spacing w:beforeLines="50" w:after="10" w:line="360" w:lineRule="auto"/>
      <w:ind w:firstLine="490" w:firstLineChars="175"/>
      <w:jc w:val="left"/>
    </w:pPr>
    <w:rPr>
      <w:rFonts w:ascii="Times New Roman" w:hAnsi="Times New Roman" w:eastAsia="楷体_GB2312"/>
      <w:sz w:val="24"/>
      <w:szCs w:val="24"/>
    </w:rPr>
  </w:style>
  <w:style w:type="paragraph" w:customStyle="1" w:styleId="356">
    <w:name w:val="font1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57">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5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59">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kern w:val="0"/>
      <w:sz w:val="24"/>
      <w:szCs w:val="20"/>
    </w:rPr>
  </w:style>
  <w:style w:type="paragraph" w:customStyle="1" w:styleId="36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6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kern w:val="0"/>
      <w:sz w:val="20"/>
      <w:szCs w:val="20"/>
    </w:rPr>
  </w:style>
  <w:style w:type="paragraph" w:customStyle="1" w:styleId="362">
    <w:name w:val="xl140"/>
    <w:basedOn w:val="1"/>
    <w:qFormat/>
    <w:uiPriority w:val="0"/>
    <w:pPr>
      <w:widowControl/>
      <w:pBdr>
        <w:top w:val="single" w:color="auto" w:sz="4" w:space="0"/>
        <w:left w:val="single" w:color="auto" w:sz="8"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363">
    <w:name w:val="中文标题 1"/>
    <w:basedOn w:val="31"/>
    <w:next w:val="31"/>
    <w:qFormat/>
    <w:uiPriority w:val="0"/>
    <w:pPr>
      <w:keepNext/>
      <w:spacing w:beforeLines="50" w:after="100" w:afterAutospacing="1" w:line="360" w:lineRule="auto"/>
      <w:ind w:firstLine="482"/>
      <w:outlineLvl w:val="0"/>
    </w:pPr>
    <w:rPr>
      <w:rFonts w:ascii="Times New Roman" w:hAnsi="Times New Roman" w:eastAsia="楷体_GB2312"/>
      <w:kern w:val="28"/>
      <w:sz w:val="24"/>
      <w:szCs w:val="24"/>
    </w:rPr>
  </w:style>
  <w:style w:type="paragraph" w:customStyle="1" w:styleId="364">
    <w:name w:val="正文11"/>
    <w:basedOn w:val="1"/>
    <w:next w:val="1"/>
    <w:qFormat/>
    <w:uiPriority w:val="0"/>
    <w:pPr>
      <w:spacing w:before="156" w:line="360" w:lineRule="auto"/>
      <w:ind w:left="426"/>
    </w:pPr>
    <w:rPr>
      <w:sz w:val="24"/>
      <w:szCs w:val="20"/>
    </w:rPr>
  </w:style>
  <w:style w:type="paragraph" w:customStyle="1" w:styleId="365">
    <w:name w:val="段 Char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367">
    <w:name w:val="xl1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w:hAnsi="Arial"/>
      <w:kern w:val="0"/>
      <w:sz w:val="20"/>
      <w:szCs w:val="20"/>
    </w:rPr>
  </w:style>
  <w:style w:type="paragraph" w:customStyle="1" w:styleId="368">
    <w:name w:val="中文标题 4"/>
    <w:basedOn w:val="31"/>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369">
    <w:name w:val="符号》"/>
    <w:basedOn w:val="1"/>
    <w:qFormat/>
    <w:uiPriority w:val="0"/>
    <w:pPr>
      <w:widowControl/>
      <w:tabs>
        <w:tab w:val="left" w:pos="795"/>
      </w:tabs>
      <w:spacing w:line="360" w:lineRule="auto"/>
      <w:ind w:left="795" w:hanging="420"/>
      <w:jc w:val="left"/>
    </w:pPr>
    <w:rPr>
      <w:rFonts w:ascii="宋体" w:hAnsi="宋体" w:eastAsia="楷体_GB2312" w:cs="宋体"/>
      <w:kern w:val="0"/>
      <w:sz w:val="24"/>
    </w:rPr>
  </w:style>
  <w:style w:type="paragraph" w:customStyle="1" w:styleId="370">
    <w:name w:val="xl142"/>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71">
    <w:name w:val="Char Char Char Char Char Char Char Char Char Char1"/>
    <w:basedOn w:val="1"/>
    <w:qFormat/>
    <w:uiPriority w:val="0"/>
    <w:rPr>
      <w:rFonts w:ascii="仿宋_GB2312" w:eastAsia="仿宋_GB2312"/>
      <w:b/>
      <w:sz w:val="32"/>
      <w:szCs w:val="20"/>
    </w:rPr>
  </w:style>
  <w:style w:type="paragraph" w:customStyle="1" w:styleId="372">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kern w:val="0"/>
      <w:sz w:val="18"/>
      <w:szCs w:val="20"/>
    </w:rPr>
  </w:style>
  <w:style w:type="paragraph" w:customStyle="1" w:styleId="373">
    <w:name w:val="_Style 47"/>
    <w:basedOn w:val="1"/>
    <w:qFormat/>
    <w:uiPriority w:val="0"/>
    <w:rPr>
      <w:rFonts w:ascii="仿宋_GB2312" w:eastAsia="仿宋_GB2312"/>
      <w:b/>
      <w:sz w:val="32"/>
      <w:szCs w:val="32"/>
    </w:rPr>
  </w:style>
  <w:style w:type="paragraph" w:customStyle="1" w:styleId="374">
    <w:name w:val="彩色列表 - 强调文字颜色 11"/>
    <w:basedOn w:val="1"/>
    <w:qFormat/>
    <w:uiPriority w:val="34"/>
    <w:pPr>
      <w:ind w:firstLine="420" w:firstLineChars="200"/>
    </w:pPr>
  </w:style>
  <w:style w:type="paragraph" w:customStyle="1" w:styleId="375">
    <w:name w:val="样式"/>
    <w:basedOn w:val="1"/>
    <w:uiPriority w:val="0"/>
    <w:pPr>
      <w:autoSpaceDE w:val="0"/>
      <w:autoSpaceDN w:val="0"/>
      <w:snapToGrid w:val="0"/>
      <w:spacing w:before="120" w:after="120" w:line="360" w:lineRule="auto"/>
    </w:pPr>
    <w:rPr>
      <w:rFonts w:ascii="宋体"/>
      <w:sz w:val="24"/>
      <w:szCs w:val="20"/>
    </w:rPr>
  </w:style>
  <w:style w:type="paragraph" w:customStyle="1" w:styleId="376">
    <w:name w:val="样式 样式 样式 我的正文首行缩进 + 首行缩进:  2 字符 + 首行缩进:  2 字符 + 首行缩进:  2 字符1"/>
    <w:basedOn w:val="1"/>
    <w:qFormat/>
    <w:uiPriority w:val="0"/>
    <w:pPr>
      <w:widowControl/>
      <w:spacing w:after="120"/>
      <w:ind w:firstLine="200" w:firstLineChars="200"/>
      <w:jc w:val="left"/>
    </w:pPr>
    <w:rPr>
      <w:rFonts w:eastAsia="华文细黑"/>
      <w:sz w:val="24"/>
    </w:rPr>
  </w:style>
  <w:style w:type="paragraph" w:customStyle="1" w:styleId="37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78">
    <w:name w:val="font11"/>
    <w:basedOn w:val="1"/>
    <w:qFormat/>
    <w:uiPriority w:val="0"/>
    <w:pPr>
      <w:widowControl/>
      <w:spacing w:before="100" w:beforeAutospacing="1" w:after="100" w:afterAutospacing="1"/>
      <w:jc w:val="left"/>
    </w:pPr>
    <w:rPr>
      <w:rFonts w:ascii="宋体" w:hAnsi="宋体"/>
      <w:color w:val="FF0000"/>
      <w:kern w:val="0"/>
      <w:sz w:val="18"/>
      <w:szCs w:val="20"/>
    </w:rPr>
  </w:style>
  <w:style w:type="paragraph" w:customStyle="1" w:styleId="37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38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olor w:val="FF0000"/>
      <w:kern w:val="0"/>
      <w:sz w:val="18"/>
      <w:szCs w:val="20"/>
    </w:rPr>
  </w:style>
  <w:style w:type="paragraph" w:customStyle="1" w:styleId="381">
    <w:name w:val="Char11"/>
    <w:basedOn w:val="1"/>
    <w:qFormat/>
    <w:uiPriority w:val="0"/>
    <w:rPr>
      <w:rFonts w:ascii="??_GB2312" w:hAnsi="??_GB2312" w:eastAsia="??_GB2312" w:cs="宋体"/>
      <w:b/>
      <w:sz w:val="32"/>
      <w:szCs w:val="32"/>
    </w:rPr>
  </w:style>
  <w:style w:type="paragraph" w:customStyle="1" w:styleId="382">
    <w:name w:val="xl68"/>
    <w:basedOn w:val="1"/>
    <w:uiPriority w:val="0"/>
    <w:pPr>
      <w:widowControl/>
      <w:pBdr>
        <w:left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383">
    <w:name w:val="首行缩进"/>
    <w:basedOn w:val="1"/>
    <w:qFormat/>
    <w:uiPriority w:val="0"/>
    <w:pPr>
      <w:adjustRightInd w:val="0"/>
      <w:spacing w:line="360" w:lineRule="auto"/>
      <w:ind w:firstLine="480" w:firstLineChars="200"/>
    </w:pPr>
    <w:rPr>
      <w:rFonts w:ascii="宋体" w:hAnsi="Times New Roman"/>
      <w:sz w:val="24"/>
      <w:szCs w:val="20"/>
    </w:rPr>
  </w:style>
  <w:style w:type="paragraph" w:customStyle="1" w:styleId="384">
    <w:name w:val="样式 正文缩进正文（首行缩进两字）表正文正文非缩进特点段1段1 Charno-step正文双线四号首行缩进..."/>
    <w:basedOn w:val="19"/>
    <w:qFormat/>
    <w:uiPriority w:val="0"/>
    <w:pPr>
      <w:widowControl w:val="0"/>
      <w:adjustRightInd w:val="0"/>
      <w:snapToGrid w:val="0"/>
      <w:spacing w:line="360" w:lineRule="auto"/>
      <w:ind w:firstLine="560" w:firstLineChars="200"/>
      <w:jc w:val="both"/>
    </w:pPr>
    <w:rPr>
      <w:rFonts w:ascii="仿宋_GB2312" w:eastAsia="仿宋_GB2312" w:cs="Century"/>
      <w:color w:val="000000"/>
      <w:kern w:val="2"/>
      <w:sz w:val="28"/>
      <w:szCs w:val="20"/>
    </w:rPr>
  </w:style>
  <w:style w:type="paragraph" w:customStyle="1" w:styleId="385">
    <w:name w:val="列出段落2"/>
    <w:basedOn w:val="1"/>
    <w:qFormat/>
    <w:uiPriority w:val="0"/>
    <w:pPr>
      <w:ind w:firstLine="420" w:firstLineChars="200"/>
    </w:pPr>
    <w:rPr>
      <w:rFonts w:ascii="Calibri" w:hAnsi="Calibri"/>
      <w:szCs w:val="22"/>
    </w:rPr>
  </w:style>
  <w:style w:type="paragraph" w:customStyle="1" w:styleId="386">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18"/>
      <w:szCs w:val="20"/>
    </w:rPr>
  </w:style>
  <w:style w:type="paragraph" w:customStyle="1" w:styleId="387">
    <w:name w:val="功能列表"/>
    <w:basedOn w:val="1"/>
    <w:qFormat/>
    <w:uiPriority w:val="0"/>
    <w:pPr>
      <w:tabs>
        <w:tab w:val="left" w:pos="0"/>
        <w:tab w:val="left" w:pos="900"/>
      </w:tabs>
      <w:spacing w:line="360" w:lineRule="auto"/>
      <w:ind w:firstLine="200" w:firstLineChars="200"/>
    </w:pPr>
    <w:rPr>
      <w:sz w:val="24"/>
      <w:szCs w:val="20"/>
    </w:rPr>
  </w:style>
  <w:style w:type="paragraph" w:customStyle="1" w:styleId="388">
    <w:name w:val="正文首行缩进二字符"/>
    <w:basedOn w:val="1"/>
    <w:qFormat/>
    <w:uiPriority w:val="0"/>
    <w:pPr>
      <w:snapToGrid w:val="0"/>
      <w:spacing w:line="360" w:lineRule="auto"/>
      <w:ind w:firstLine="200" w:firstLineChars="200"/>
    </w:pPr>
    <w:rPr>
      <w:rFonts w:ascii="仿宋" w:hAnsi="仿宋" w:eastAsia="仿宋"/>
      <w:sz w:val="24"/>
    </w:rPr>
  </w:style>
  <w:style w:type="paragraph" w:customStyle="1" w:styleId="389">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20"/>
      <w:szCs w:val="20"/>
    </w:rPr>
  </w:style>
  <w:style w:type="paragraph" w:customStyle="1" w:styleId="390">
    <w:name w:val="正文1"/>
    <w:qFormat/>
    <w:uiPriority w:val="0"/>
    <w:pPr>
      <w:jc w:val="both"/>
    </w:pPr>
    <w:rPr>
      <w:rFonts w:ascii="Calibri" w:hAnsi="Calibri" w:eastAsia="宋体" w:cs="宋体"/>
      <w:kern w:val="2"/>
      <w:sz w:val="21"/>
      <w:szCs w:val="21"/>
      <w:lang w:val="en-US" w:eastAsia="zh-CN" w:bidi="ar-SA"/>
    </w:rPr>
  </w:style>
  <w:style w:type="paragraph" w:customStyle="1" w:styleId="391">
    <w:name w:val="标题4"/>
    <w:basedOn w:val="1"/>
    <w:qFormat/>
    <w:uiPriority w:val="0"/>
    <w:rPr>
      <w:rFonts w:eastAsia="??_GB2312"/>
      <w:sz w:val="32"/>
      <w:szCs w:val="28"/>
    </w:rPr>
  </w:style>
  <w:style w:type="paragraph" w:customStyle="1" w:styleId="392">
    <w:name w:val="样式 正文缩进 + 首行缩进:  2 字符"/>
    <w:basedOn w:val="19"/>
    <w:uiPriority w:val="0"/>
    <w:pPr>
      <w:widowControl w:val="0"/>
      <w:spacing w:line="360" w:lineRule="auto"/>
      <w:ind w:firstLine="200" w:firstLineChars="200"/>
      <w:jc w:val="both"/>
    </w:pPr>
    <w:rPr>
      <w:rFonts w:eastAsia="宋体" w:cs="宋体"/>
      <w:kern w:val="2"/>
      <w:szCs w:val="20"/>
    </w:rPr>
  </w:style>
  <w:style w:type="paragraph" w:customStyle="1" w:styleId="393">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paragraph" w:customStyle="1" w:styleId="394">
    <w:name w:val="Char Char"/>
    <w:basedOn w:val="1"/>
    <w:qFormat/>
    <w:uiPriority w:val="0"/>
    <w:pPr>
      <w:spacing w:line="360" w:lineRule="auto"/>
    </w:pPr>
    <w:rPr>
      <w:rFonts w:ascii="Tahoma" w:hAnsi="Tahoma" w:cs="Lucida Sans"/>
      <w:sz w:val="24"/>
      <w:szCs w:val="20"/>
    </w:rPr>
  </w:style>
  <w:style w:type="paragraph" w:customStyle="1" w:styleId="395">
    <w:name w:val="无间隔1"/>
    <w:qFormat/>
    <w:uiPriority w:val="0"/>
    <w:rPr>
      <w:rFonts w:ascii="Calibri" w:hAnsi="Calibri" w:eastAsia="??" w:cs="宋体"/>
      <w:sz w:val="22"/>
      <w:szCs w:val="22"/>
      <w:lang w:val="en-US" w:eastAsia="en-US" w:bidi="ar-SA"/>
    </w:rPr>
  </w:style>
  <w:style w:type="paragraph" w:customStyle="1" w:styleId="396">
    <w:name w:val="xl62"/>
    <w:basedOn w:val="1"/>
    <w:qFormat/>
    <w:uiPriority w:val="0"/>
    <w:pPr>
      <w:widowControl/>
      <w:pBdr>
        <w:top w:val="single" w:color="auto" w:sz="8" w:space="0"/>
        <w:left w:val="single" w:color="auto" w:sz="4" w:space="0"/>
        <w:bottom w:val="single" w:color="auto" w:sz="4" w:space="0"/>
        <w:right w:val="single" w:color="auto" w:sz="8"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397">
    <w:name w:val="font6"/>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398">
    <w:name w:val="正文 首行缩进"/>
    <w:basedOn w:val="1"/>
    <w:qFormat/>
    <w:uiPriority w:val="0"/>
    <w:pPr>
      <w:spacing w:line="360" w:lineRule="auto"/>
      <w:ind w:firstLine="200" w:firstLineChars="200"/>
    </w:pPr>
    <w:rPr>
      <w:rFonts w:eastAsia="楷体_GB2312"/>
      <w:sz w:val="28"/>
      <w:szCs w:val="20"/>
    </w:rPr>
  </w:style>
  <w:style w:type="paragraph" w:customStyle="1" w:styleId="399">
    <w:name w:val="样式 样式 首行缩进:  0.74 厘米 行距: 1.5 倍行距 + 段后: 0.5 行"/>
    <w:basedOn w:val="1"/>
    <w:qFormat/>
    <w:uiPriority w:val="0"/>
    <w:pPr>
      <w:widowControl/>
      <w:spacing w:after="200" w:line="360" w:lineRule="auto"/>
      <w:ind w:firstLine="420" w:firstLineChars="200"/>
      <w:jc w:val="left"/>
    </w:pPr>
    <w:rPr>
      <w:rFonts w:ascii="Calibri" w:hAnsi="Calibri"/>
      <w:kern w:val="0"/>
      <w:sz w:val="22"/>
      <w:szCs w:val="20"/>
      <w:lang w:eastAsia="en-US" w:bidi="en-US"/>
    </w:rPr>
  </w:style>
  <w:style w:type="paragraph" w:customStyle="1" w:styleId="40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0"/>
    </w:rPr>
  </w:style>
  <w:style w:type="paragraph" w:customStyle="1" w:styleId="401">
    <w:name w:val="正文段"/>
    <w:basedOn w:val="1"/>
    <w:qFormat/>
    <w:uiPriority w:val="0"/>
    <w:pPr>
      <w:widowControl/>
      <w:snapToGrid w:val="0"/>
      <w:spacing w:afterLines="50"/>
      <w:ind w:firstLine="200" w:firstLineChars="200"/>
    </w:pPr>
    <w:rPr>
      <w:rFonts w:eastAsia="??"/>
      <w:kern w:val="0"/>
      <w:sz w:val="24"/>
      <w:szCs w:val="28"/>
    </w:rPr>
  </w:style>
  <w:style w:type="paragraph" w:customStyle="1" w:styleId="402">
    <w:name w:val="正文文本缩进1"/>
    <w:basedOn w:val="1"/>
    <w:qFormat/>
    <w:uiPriority w:val="0"/>
    <w:pPr>
      <w:adjustRightInd w:val="0"/>
      <w:spacing w:line="360" w:lineRule="auto"/>
      <w:ind w:firstLine="490"/>
      <w:jc w:val="left"/>
    </w:pPr>
    <w:rPr>
      <w:rFonts w:ascii="宋体" w:hAnsi="宋体"/>
      <w:sz w:val="24"/>
    </w:rPr>
  </w:style>
  <w:style w:type="paragraph" w:customStyle="1" w:styleId="40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kern w:val="0"/>
      <w:sz w:val="18"/>
      <w:szCs w:val="20"/>
    </w:rPr>
  </w:style>
  <w:style w:type="paragraph" w:customStyle="1" w:styleId="404">
    <w:name w:val="font13"/>
    <w:basedOn w:val="1"/>
    <w:qFormat/>
    <w:uiPriority w:val="0"/>
    <w:pPr>
      <w:widowControl/>
      <w:spacing w:before="100" w:beforeAutospacing="1" w:after="100" w:afterAutospacing="1"/>
      <w:jc w:val="left"/>
    </w:pPr>
    <w:rPr>
      <w:rFonts w:ascii="Arial" w:hAnsi="Arial"/>
      <w:kern w:val="0"/>
      <w:sz w:val="24"/>
      <w:szCs w:val="20"/>
    </w:rPr>
  </w:style>
  <w:style w:type="paragraph" w:customStyle="1" w:styleId="405">
    <w:name w:val="正文缩进111"/>
    <w:basedOn w:val="1"/>
    <w:next w:val="31"/>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406">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olor w:val="FF0000"/>
      <w:kern w:val="0"/>
      <w:sz w:val="20"/>
      <w:szCs w:val="20"/>
    </w:rPr>
  </w:style>
  <w:style w:type="paragraph" w:customStyle="1" w:styleId="407">
    <w:name w:val="Char1"/>
    <w:basedOn w:val="1"/>
    <w:qFormat/>
    <w:uiPriority w:val="0"/>
    <w:rPr>
      <w:rFonts w:ascii="仿宋_GB2312" w:eastAsia="仿宋_GB2312"/>
      <w:b/>
      <w:sz w:val="32"/>
      <w:szCs w:val="20"/>
    </w:rPr>
  </w:style>
  <w:style w:type="paragraph" w:customStyle="1" w:styleId="408">
    <w:name w:val="font1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9">
    <w:name w:val="纯文本1"/>
    <w:basedOn w:val="1"/>
    <w:qFormat/>
    <w:uiPriority w:val="0"/>
    <w:pPr>
      <w:adjustRightInd w:val="0"/>
    </w:pPr>
    <w:rPr>
      <w:rFonts w:ascii="宋体" w:hAnsi="Courier New"/>
      <w:szCs w:val="21"/>
    </w:rPr>
  </w:style>
  <w:style w:type="paragraph" w:customStyle="1" w:styleId="410">
    <w:name w:val="文档正文"/>
    <w:basedOn w:val="1"/>
    <w:qFormat/>
    <w:uiPriority w:val="0"/>
    <w:pPr>
      <w:adjustRightInd w:val="0"/>
      <w:spacing w:line="480" w:lineRule="atLeast"/>
      <w:ind w:firstLine="567"/>
      <w:textAlignment w:val="baseline"/>
    </w:pPr>
    <w:rPr>
      <w:kern w:val="0"/>
      <w:sz w:val="24"/>
      <w:szCs w:val="20"/>
    </w:rPr>
  </w:style>
  <w:style w:type="paragraph" w:customStyle="1" w:styleId="411">
    <w:name w:val="xl9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1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color w:val="000000"/>
      <w:kern w:val="0"/>
      <w:sz w:val="18"/>
      <w:szCs w:val="20"/>
    </w:rPr>
  </w:style>
  <w:style w:type="paragraph" w:customStyle="1" w:styleId="413">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4">
    <w:name w:val="font7"/>
    <w:basedOn w:val="1"/>
    <w:qFormat/>
    <w:uiPriority w:val="0"/>
    <w:pPr>
      <w:widowControl/>
      <w:spacing w:before="100" w:beforeAutospacing="1" w:after="100" w:afterAutospacing="1"/>
      <w:jc w:val="left"/>
    </w:pPr>
    <w:rPr>
      <w:rFonts w:ascii="Arial" w:hAnsi="Arial"/>
      <w:kern w:val="0"/>
      <w:sz w:val="20"/>
      <w:szCs w:val="20"/>
    </w:rPr>
  </w:style>
  <w:style w:type="paragraph" w:customStyle="1" w:styleId="415">
    <w:name w:val="_Style 383"/>
    <w:basedOn w:val="3"/>
    <w:next w:val="1"/>
    <w:qFormat/>
    <w:uiPriority w:val="0"/>
    <w:pPr>
      <w:keepLines/>
      <w:spacing w:before="480" w:line="276" w:lineRule="auto"/>
      <w:jc w:val="left"/>
      <w:outlineLvl w:val="9"/>
    </w:pPr>
    <w:rPr>
      <w:rFonts w:ascii="Cambria" w:hAnsi="Cambria"/>
      <w:bCs/>
      <w:color w:val="365F91"/>
      <w:kern w:val="0"/>
      <w:sz w:val="28"/>
    </w:rPr>
  </w:style>
  <w:style w:type="paragraph" w:customStyle="1" w:styleId="416">
    <w:name w:val="Char1 Char Char Char"/>
    <w:basedOn w:val="1"/>
    <w:qFormat/>
    <w:uiPriority w:val="0"/>
    <w:rPr>
      <w:rFonts w:ascii="仿宋_GB2312" w:hAnsi="仿宋_GB2312" w:eastAsia="仿宋_GB2312" w:cs="Lucida Sans"/>
      <w:b/>
      <w:sz w:val="32"/>
      <w:szCs w:val="32"/>
    </w:rPr>
  </w:style>
  <w:style w:type="paragraph" w:customStyle="1" w:styleId="417">
    <w:name w:val="Char Char Char Char1"/>
    <w:basedOn w:val="1"/>
    <w:qFormat/>
    <w:uiPriority w:val="0"/>
    <w:rPr>
      <w:szCs w:val="20"/>
    </w:rPr>
  </w:style>
  <w:style w:type="paragraph" w:customStyle="1" w:styleId="418">
    <w:name w:val="xl101"/>
    <w:basedOn w:val="1"/>
    <w:qFormat/>
    <w:uiPriority w:val="0"/>
    <w:pPr>
      <w:widowControl/>
      <w:spacing w:before="100" w:beforeAutospacing="1" w:after="100" w:afterAutospacing="1"/>
      <w:jc w:val="center"/>
    </w:pPr>
    <w:rPr>
      <w:rFonts w:ascii="Arial" w:hAnsi="Arial"/>
      <w:kern w:val="0"/>
      <w:sz w:val="18"/>
      <w:szCs w:val="20"/>
    </w:rPr>
  </w:style>
  <w:style w:type="paragraph" w:customStyle="1" w:styleId="419">
    <w:name w:val="xl94"/>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20">
    <w:name w:val="Char Char12"/>
    <w:basedOn w:val="1"/>
    <w:qFormat/>
    <w:uiPriority w:val="0"/>
  </w:style>
  <w:style w:type="paragraph" w:customStyle="1" w:styleId="421">
    <w:name w:val="规范正文"/>
    <w:basedOn w:val="1"/>
    <w:qFormat/>
    <w:uiPriority w:val="0"/>
    <w:pPr>
      <w:tabs>
        <w:tab w:val="left" w:pos="900"/>
      </w:tabs>
      <w:adjustRightInd w:val="0"/>
      <w:spacing w:beforeLines="50" w:line="360" w:lineRule="auto"/>
      <w:ind w:left="900" w:hanging="420"/>
      <w:textAlignment w:val="baseline"/>
    </w:pPr>
    <w:rPr>
      <w:szCs w:val="20"/>
    </w:rPr>
  </w:style>
  <w:style w:type="paragraph" w:customStyle="1" w:styleId="422">
    <w:name w:val="Char Char Char Char Char Char Char Char"/>
    <w:basedOn w:val="1"/>
    <w:qFormat/>
    <w:uiPriority w:val="0"/>
    <w:pPr>
      <w:tabs>
        <w:tab w:val="left" w:pos="360"/>
      </w:tabs>
    </w:pPr>
    <w:rPr>
      <w:sz w:val="24"/>
      <w:szCs w:val="20"/>
    </w:rPr>
  </w:style>
  <w:style w:type="paragraph" w:customStyle="1" w:styleId="423">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left"/>
      <w:textAlignment w:val="bottom"/>
    </w:pPr>
    <w:rPr>
      <w:rFonts w:ascii="Arial" w:hAnsi="Arial"/>
      <w:kern w:val="0"/>
      <w:sz w:val="18"/>
      <w:szCs w:val="20"/>
    </w:rPr>
  </w:style>
  <w:style w:type="paragraph" w:customStyle="1" w:styleId="424">
    <w:name w:val="Char2 Char Char Char"/>
    <w:basedOn w:val="1"/>
    <w:qFormat/>
    <w:uiPriority w:val="0"/>
    <w:rPr>
      <w:rFonts w:ascii="仿宋_GB2312" w:eastAsia="仿宋_GB2312"/>
      <w:b/>
      <w:sz w:val="32"/>
      <w:szCs w:val="32"/>
    </w:rPr>
  </w:style>
  <w:style w:type="paragraph" w:customStyle="1" w:styleId="425">
    <w:name w:val="Char Char1 Char Char Char1"/>
    <w:basedOn w:val="1"/>
    <w:qFormat/>
    <w:uiPriority w:val="0"/>
    <w:rPr>
      <w:rFonts w:ascii="仿宋_GB2312" w:eastAsia="仿宋_GB2312"/>
      <w:b/>
      <w:sz w:val="32"/>
      <w:szCs w:val="20"/>
    </w:rPr>
  </w:style>
  <w:style w:type="paragraph" w:customStyle="1" w:styleId="426">
    <w:name w:val="Char Char Char Char2"/>
    <w:basedOn w:val="1"/>
    <w:qFormat/>
    <w:uiPriority w:val="0"/>
    <w:pPr>
      <w:widowControl/>
      <w:spacing w:after="160" w:line="240" w:lineRule="exact"/>
      <w:jc w:val="left"/>
    </w:pPr>
    <w:rPr>
      <w:rFonts w:ascii="Arial" w:hAnsi="Arial" w:eastAsia="Times New Roman" w:cs="Verdana"/>
      <w:b/>
      <w:kern w:val="0"/>
      <w:sz w:val="24"/>
      <w:szCs w:val="28"/>
      <w:lang w:eastAsia="en-US"/>
    </w:rPr>
  </w:style>
  <w:style w:type="paragraph" w:customStyle="1" w:styleId="427">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428">
    <w:name w:val="中文标题 3"/>
    <w:basedOn w:val="31"/>
    <w:qFormat/>
    <w:uiPriority w:val="0"/>
    <w:pPr>
      <w:spacing w:before="100" w:beforeAutospacing="1" w:after="100" w:afterAutospacing="1" w:line="360" w:lineRule="auto"/>
      <w:ind w:firstLine="482"/>
    </w:pPr>
    <w:rPr>
      <w:rFonts w:ascii="Times New Roman" w:hAnsi="Times New Roman" w:eastAsia="楷体_GB2312"/>
      <w:kern w:val="28"/>
      <w:sz w:val="24"/>
      <w:szCs w:val="24"/>
    </w:rPr>
  </w:style>
  <w:style w:type="paragraph" w:customStyle="1" w:styleId="429">
    <w:name w:val="Char21"/>
    <w:basedOn w:val="1"/>
    <w:qFormat/>
    <w:uiPriority w:val="0"/>
    <w:rPr>
      <w:rFonts w:ascii="仿宋_GB2312" w:eastAsia="仿宋_GB2312"/>
      <w:b/>
      <w:sz w:val="32"/>
      <w:szCs w:val="32"/>
    </w:rPr>
  </w:style>
  <w:style w:type="paragraph" w:customStyle="1" w:styleId="430">
    <w:name w:val="图样式"/>
    <w:basedOn w:val="1"/>
    <w:qFormat/>
    <w:uiPriority w:val="0"/>
    <w:pPr>
      <w:keepNext/>
      <w:widowControl/>
      <w:tabs>
        <w:tab w:val="left" w:pos="840"/>
      </w:tabs>
      <w:snapToGrid w:val="0"/>
      <w:spacing w:before="80" w:after="80" w:line="300" w:lineRule="auto"/>
      <w:ind w:left="851" w:hanging="420"/>
      <w:jc w:val="center"/>
    </w:pPr>
    <w:rPr>
      <w:rFonts w:ascii="Arial" w:hAnsi="Arial"/>
      <w:kern w:val="0"/>
      <w:szCs w:val="20"/>
    </w:rPr>
  </w:style>
  <w:style w:type="paragraph" w:customStyle="1" w:styleId="431">
    <w:name w:val="正文 2"/>
    <w:qFormat/>
    <w:uiPriority w:val="0"/>
    <w:pPr>
      <w:pBdr>
        <w:top w:val="none" w:color="FFFFFF" w:sz="0" w:space="31"/>
        <w:left w:val="none" w:color="FFFFFF" w:sz="0" w:space="31"/>
        <w:bottom w:val="none" w:color="FFFFFF" w:sz="0" w:space="31"/>
        <w:right w:val="none" w:color="FFFFFF" w:sz="0" w:space="31"/>
      </w:pBdr>
      <w:spacing w:after="80" w:line="288" w:lineRule="auto"/>
    </w:pPr>
    <w:rPr>
      <w:rFonts w:ascii="Baskerville" w:hAnsi="Arial Unicode MS" w:eastAsia="Times New Roman" w:cs="Arial Unicode MS"/>
      <w:color w:val="434343"/>
      <w:sz w:val="24"/>
      <w:szCs w:val="24"/>
      <w:lang w:val="en-US" w:eastAsia="zh-CN" w:bidi="ar-SA"/>
    </w:rPr>
  </w:style>
  <w:style w:type="paragraph" w:customStyle="1" w:styleId="4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33">
    <w:name w:val="段 1"/>
    <w:basedOn w:val="1"/>
    <w:qFormat/>
    <w:uiPriority w:val="0"/>
    <w:pPr>
      <w:spacing w:line="360" w:lineRule="auto"/>
    </w:pPr>
    <w:rPr>
      <w:rFonts w:eastAsia="楷体_GB2312"/>
      <w:b/>
      <w:bCs/>
      <w:sz w:val="24"/>
    </w:rPr>
  </w:style>
  <w:style w:type="paragraph" w:customStyle="1" w:styleId="434">
    <w:name w:val="五级条标题"/>
    <w:basedOn w:val="236"/>
    <w:next w:val="237"/>
    <w:qFormat/>
    <w:uiPriority w:val="0"/>
    <w:pPr>
      <w:tabs>
        <w:tab w:val="left" w:pos="3360"/>
        <w:tab w:val="clear" w:pos="1260"/>
        <w:tab w:val="clear" w:pos="1680"/>
        <w:tab w:val="clear" w:pos="2100"/>
        <w:tab w:val="clear" w:pos="2520"/>
        <w:tab w:val="clear" w:pos="2940"/>
      </w:tabs>
      <w:ind w:left="3360"/>
      <w:outlineLvl w:val="6"/>
    </w:p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Char Char Char1"/>
    <w:basedOn w:val="1"/>
    <w:qFormat/>
    <w:uiPriority w:val="0"/>
    <w:rPr>
      <w:rFonts w:ascii="Tahoma" w:hAnsi="Tahoma"/>
      <w:sz w:val="24"/>
      <w:szCs w:val="20"/>
    </w:rPr>
  </w:style>
  <w:style w:type="paragraph" w:customStyle="1" w:styleId="4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43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0">
    <w:name w:val="样式4 Char"/>
    <w:basedOn w:val="1"/>
    <w:qFormat/>
    <w:uiPriority w:val="0"/>
    <w:pPr>
      <w:widowControl/>
      <w:spacing w:line="360" w:lineRule="auto"/>
      <w:ind w:firstLine="480"/>
      <w:jc w:val="left"/>
    </w:pPr>
    <w:rPr>
      <w:rFonts w:eastAsia="楷体_GB2312" w:cs="宋体"/>
      <w:color w:val="000000"/>
      <w:kern w:val="0"/>
      <w:sz w:val="24"/>
    </w:rPr>
  </w:style>
  <w:style w:type="paragraph" w:customStyle="1" w:styleId="441">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4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olor w:val="FF0000"/>
      <w:kern w:val="0"/>
      <w:sz w:val="18"/>
      <w:szCs w:val="20"/>
    </w:rPr>
  </w:style>
  <w:style w:type="paragraph" w:customStyle="1" w:styleId="443">
    <w:name w:val="pa-68"/>
    <w:basedOn w:val="1"/>
    <w:qFormat/>
    <w:uiPriority w:val="0"/>
    <w:pPr>
      <w:widowControl/>
      <w:spacing w:line="330" w:lineRule="atLeast"/>
      <w:jc w:val="left"/>
    </w:pPr>
    <w:rPr>
      <w:rFonts w:ascii="宋体" w:hAnsi="宋体" w:cs="宋体"/>
      <w:kern w:val="0"/>
      <w:sz w:val="24"/>
    </w:rPr>
  </w:style>
  <w:style w:type="paragraph" w:customStyle="1" w:styleId="444">
    <w:name w:val="xl98"/>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jc w:val="center"/>
      <w:textAlignment w:val="bottom"/>
    </w:pPr>
    <w:rPr>
      <w:rFonts w:ascii="宋体" w:hAnsi="宋体"/>
      <w:kern w:val="0"/>
      <w:sz w:val="20"/>
      <w:szCs w:val="20"/>
    </w:rPr>
  </w:style>
  <w:style w:type="paragraph" w:customStyle="1" w:styleId="445">
    <w:name w:val="font5"/>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46">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447">
    <w:name w:val="样式 正文文本缩进 2 + 仿宋_GB2312 黑色 行距: 1.5 倍行距"/>
    <w:basedOn w:val="46"/>
    <w:qFormat/>
    <w:uiPriority w:val="0"/>
    <w:pPr>
      <w:spacing w:line="360" w:lineRule="auto"/>
      <w:ind w:firstLine="560" w:firstLineChars="200"/>
    </w:pPr>
    <w:rPr>
      <w:rFonts w:ascii="宋体" w:hAnsi="宋体" w:eastAsia="宋体"/>
      <w:color w:val="000000"/>
      <w:sz w:val="24"/>
      <w:szCs w:val="20"/>
    </w:rPr>
  </w:style>
  <w:style w:type="paragraph" w:customStyle="1" w:styleId="4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449">
    <w:name w:val="xl32"/>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50">
    <w:name w:val="Char2 Char Char"/>
    <w:basedOn w:val="1"/>
    <w:qFormat/>
    <w:uiPriority w:val="0"/>
    <w:rPr>
      <w:rFonts w:ascii="Tahoma" w:hAnsi="Tahoma"/>
      <w:sz w:val="24"/>
      <w:szCs w:val="20"/>
    </w:rPr>
  </w:style>
  <w:style w:type="paragraph" w:customStyle="1" w:styleId="45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52">
    <w:name w:val="纯文本11"/>
    <w:basedOn w:val="1"/>
    <w:qFormat/>
    <w:uiPriority w:val="0"/>
    <w:rPr>
      <w:rFonts w:ascii="宋体" w:hAnsi="Courier New"/>
      <w:kern w:val="0"/>
      <w:sz w:val="20"/>
      <w:szCs w:val="20"/>
    </w:rPr>
  </w:style>
  <w:style w:type="paragraph" w:customStyle="1" w:styleId="453">
    <w:name w:val="p1"/>
    <w:qFormat/>
    <w:uiPriority w:val="0"/>
    <w:pPr>
      <w:spacing w:line="320" w:lineRule="atLeast"/>
    </w:pPr>
    <w:rPr>
      <w:rFonts w:ascii="Helvetica Neue" w:hAnsi="Helvetica Neue" w:eastAsia="Helvetica Neue" w:cs="Times New Roman"/>
      <w:color w:val="000000"/>
      <w:sz w:val="22"/>
      <w:szCs w:val="22"/>
      <w:lang w:val="en-US" w:eastAsia="zh-CN" w:bidi="ar-SA"/>
    </w:rPr>
  </w:style>
  <w:style w:type="paragraph" w:customStyle="1" w:styleId="45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455">
    <w:name w:val="页眉与页脚"/>
    <w:unhideWhenUsed/>
    <w:qFormat/>
    <w:uiPriority w:val="99"/>
    <w:pPr>
      <w:tabs>
        <w:tab w:val="right" w:pos="9020"/>
      </w:tabs>
    </w:pPr>
    <w:rPr>
      <w:rFonts w:hint="eastAsia" w:ascii="Helvetica" w:hAnsi="Arial Unicode MS" w:eastAsia="Times New Roman" w:cs="Times New Roman"/>
      <w:color w:val="000000"/>
      <w:sz w:val="24"/>
      <w:szCs w:val="22"/>
      <w:lang w:val="en-US" w:eastAsia="zh-CN" w:bidi="ar-SA"/>
    </w:rPr>
  </w:style>
  <w:style w:type="paragraph" w:customStyle="1" w:styleId="456">
    <w:name w:val="样式4"/>
    <w:basedOn w:val="1"/>
    <w:qFormat/>
    <w:uiPriority w:val="0"/>
    <w:pPr>
      <w:widowControl/>
      <w:spacing w:line="360" w:lineRule="auto"/>
      <w:ind w:firstLine="480"/>
      <w:jc w:val="left"/>
    </w:pPr>
    <w:rPr>
      <w:rFonts w:eastAsia="楷体_GB2312" w:cs="宋体"/>
      <w:color w:val="000000"/>
      <w:sz w:val="24"/>
    </w:rPr>
  </w:style>
  <w:style w:type="paragraph" w:customStyle="1" w:styleId="457">
    <w:name w:val="xl11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bottom"/>
    </w:pPr>
    <w:rPr>
      <w:rFonts w:ascii="Arial" w:hAnsi="Arial"/>
      <w:b/>
      <w:color w:val="FF0000"/>
      <w:kern w:val="0"/>
      <w:sz w:val="18"/>
      <w:szCs w:val="20"/>
    </w:rPr>
  </w:style>
  <w:style w:type="paragraph" w:customStyle="1" w:styleId="458">
    <w:name w:val="xl128"/>
    <w:basedOn w:val="1"/>
    <w:qFormat/>
    <w:uiPriority w:val="0"/>
    <w:pPr>
      <w:widowControl/>
      <w:spacing w:before="100" w:beforeAutospacing="1" w:after="100" w:afterAutospacing="1"/>
      <w:jc w:val="center"/>
    </w:pPr>
    <w:rPr>
      <w:rFonts w:ascii="Arial" w:hAnsi="Arial"/>
      <w:kern w:val="0"/>
      <w:sz w:val="24"/>
      <w:szCs w:val="20"/>
    </w:rPr>
  </w:style>
  <w:style w:type="paragraph" w:customStyle="1" w:styleId="459">
    <w:name w:val="正文规范1"/>
    <w:basedOn w:val="1"/>
    <w:qFormat/>
    <w:uiPriority w:val="0"/>
    <w:pPr>
      <w:spacing w:line="360" w:lineRule="auto"/>
      <w:ind w:firstLine="480" w:firstLineChars="200"/>
    </w:pPr>
    <w:rPr>
      <w:sz w:val="24"/>
    </w:rPr>
  </w:style>
  <w:style w:type="paragraph" w:customStyle="1" w:styleId="460">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61">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4"/>
      <w:szCs w:val="20"/>
    </w:rPr>
  </w:style>
  <w:style w:type="paragraph" w:customStyle="1" w:styleId="4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olor w:val="FF0000"/>
      <w:kern w:val="0"/>
      <w:sz w:val="18"/>
      <w:szCs w:val="20"/>
    </w:rPr>
  </w:style>
  <w:style w:type="paragraph" w:customStyle="1" w:styleId="463">
    <w:name w:val="xl6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18"/>
      <w:szCs w:val="20"/>
    </w:rPr>
  </w:style>
  <w:style w:type="paragraph" w:customStyle="1" w:styleId="464">
    <w:name w:val="Char Char Char1 Char"/>
    <w:basedOn w:val="1"/>
    <w:qFormat/>
    <w:uiPriority w:val="0"/>
    <w:rPr>
      <w:szCs w:val="20"/>
    </w:rPr>
  </w:style>
  <w:style w:type="paragraph" w:customStyle="1" w:styleId="46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kern w:val="0"/>
      <w:sz w:val="18"/>
      <w:szCs w:val="20"/>
    </w:rPr>
  </w:style>
  <w:style w:type="paragraph" w:customStyle="1" w:styleId="466">
    <w:name w:val="xl1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bottom"/>
    </w:pPr>
    <w:rPr>
      <w:rFonts w:ascii="Arial" w:hAnsi="Arial"/>
      <w:kern w:val="0"/>
      <w:sz w:val="20"/>
      <w:szCs w:val="20"/>
    </w:rPr>
  </w:style>
  <w:style w:type="paragraph" w:customStyle="1" w:styleId="46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68">
    <w:name w:val="Body text|1"/>
    <w:basedOn w:val="1"/>
    <w:qFormat/>
    <w:uiPriority w:val="0"/>
    <w:pPr>
      <w:spacing w:line="425" w:lineRule="auto"/>
      <w:ind w:firstLine="400"/>
    </w:pPr>
    <w:rPr>
      <w:rFonts w:ascii="宋体" w:hAnsi="宋体" w:cs="宋体"/>
      <w:sz w:val="20"/>
      <w:szCs w:val="20"/>
      <w:lang w:val="zh-CN" w:bidi="zh-CN"/>
    </w:rPr>
  </w:style>
  <w:style w:type="paragraph" w:customStyle="1" w:styleId="469">
    <w:name w:val="样式 正文文本缩进 + 仿宋_GB2312 四号"/>
    <w:basedOn w:val="1"/>
    <w:next w:val="8"/>
    <w:qFormat/>
    <w:uiPriority w:val="0"/>
    <w:pPr>
      <w:widowControl/>
      <w:spacing w:line="360" w:lineRule="auto"/>
      <w:jc w:val="left"/>
    </w:pPr>
    <w:rPr>
      <w:rFonts w:ascii="宋体" w:hAnsi="宋体" w:cs="宋体"/>
      <w:b/>
      <w:snapToGrid w:val="0"/>
      <w:kern w:val="0"/>
      <w:sz w:val="28"/>
      <w:szCs w:val="28"/>
    </w:rPr>
  </w:style>
  <w:style w:type="paragraph" w:customStyle="1" w:styleId="470">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kern w:val="0"/>
      <w:sz w:val="20"/>
      <w:szCs w:val="20"/>
    </w:rPr>
  </w:style>
  <w:style w:type="paragraph" w:customStyle="1" w:styleId="471">
    <w:name w:val="Char Char1 Char1"/>
    <w:basedOn w:val="1"/>
    <w:qFormat/>
    <w:uiPriority w:val="0"/>
    <w:rPr>
      <w:rFonts w:ascii="仿宋_GB2312" w:eastAsia="仿宋_GB2312"/>
      <w:b/>
      <w:sz w:val="32"/>
      <w:szCs w:val="32"/>
    </w:rPr>
  </w:style>
  <w:style w:type="paragraph" w:customStyle="1" w:styleId="472">
    <w:name w:val="正文文字表格居中"/>
    <w:basedOn w:val="1"/>
    <w:next w:val="67"/>
    <w:qFormat/>
    <w:uiPriority w:val="0"/>
    <w:pPr>
      <w:snapToGrid w:val="0"/>
      <w:spacing w:line="360" w:lineRule="auto"/>
    </w:pPr>
    <w:rPr>
      <w:rFonts w:ascii="宋体"/>
      <w:b/>
      <w:sz w:val="24"/>
      <w:szCs w:val="20"/>
    </w:rPr>
  </w:style>
  <w:style w:type="paragraph" w:customStyle="1" w:styleId="473">
    <w:name w:val="样式 首行缩进:  2 字符"/>
    <w:basedOn w:val="1"/>
    <w:qFormat/>
    <w:uiPriority w:val="0"/>
    <w:pPr>
      <w:snapToGrid w:val="0"/>
      <w:spacing w:line="360" w:lineRule="auto"/>
    </w:pPr>
    <w:rPr>
      <w:rFonts w:ascii="仿宋_GB2312" w:hAnsi="宋体" w:eastAsia="仿宋_GB2312"/>
      <w:color w:val="000000"/>
      <w:kern w:val="0"/>
      <w:sz w:val="28"/>
      <w:szCs w:val="20"/>
    </w:rPr>
  </w:style>
  <w:style w:type="paragraph" w:customStyle="1" w:styleId="474">
    <w:name w:val="List Paragraph11"/>
    <w:basedOn w:val="1"/>
    <w:qFormat/>
    <w:uiPriority w:val="0"/>
    <w:pPr>
      <w:ind w:firstLine="420" w:firstLineChars="200"/>
    </w:pPr>
    <w:rPr>
      <w:szCs w:val="20"/>
    </w:rPr>
  </w:style>
  <w:style w:type="paragraph" w:customStyle="1" w:styleId="475">
    <w:name w:val="图"/>
    <w:basedOn w:val="1"/>
    <w:qFormat/>
    <w:uiPriority w:val="0"/>
    <w:pPr>
      <w:spacing w:line="360" w:lineRule="auto"/>
      <w:jc w:val="center"/>
    </w:pPr>
    <w:rPr>
      <w:rFonts w:ascii="宋体" w:hAnsi="宋体" w:eastAsia="楷体_GB2312" w:cs="宋体"/>
      <w:sz w:val="24"/>
      <w:szCs w:val="20"/>
    </w:rPr>
  </w:style>
  <w:style w:type="paragraph" w:customStyle="1" w:styleId="4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20"/>
    </w:rPr>
  </w:style>
  <w:style w:type="paragraph" w:customStyle="1" w:styleId="477">
    <w:name w:val="xl87"/>
    <w:basedOn w:val="1"/>
    <w:qFormat/>
    <w:uiPriority w:val="0"/>
    <w:pPr>
      <w:widowControl/>
      <w:spacing w:before="100" w:beforeAutospacing="1" w:after="100" w:afterAutospacing="1"/>
      <w:jc w:val="left"/>
      <w:textAlignment w:val="bottom"/>
    </w:pPr>
    <w:rPr>
      <w:rFonts w:ascii="宋体" w:hAnsi="宋体"/>
      <w:kern w:val="0"/>
      <w:sz w:val="18"/>
      <w:szCs w:val="20"/>
    </w:rPr>
  </w:style>
  <w:style w:type="paragraph" w:customStyle="1" w:styleId="478">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47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b/>
      <w:color w:val="FF0000"/>
      <w:kern w:val="0"/>
      <w:sz w:val="18"/>
      <w:szCs w:val="20"/>
    </w:rPr>
  </w:style>
  <w:style w:type="paragraph" w:customStyle="1" w:styleId="480">
    <w:name w:val="Char Char Char Char Char Char Char Char Char Char"/>
    <w:basedOn w:val="1"/>
    <w:qFormat/>
    <w:uiPriority w:val="0"/>
    <w:rPr>
      <w:rFonts w:ascii="仿宋_GB2312" w:eastAsia="仿宋_GB2312"/>
      <w:b/>
      <w:sz w:val="32"/>
      <w:szCs w:val="20"/>
    </w:rPr>
  </w:style>
  <w:style w:type="paragraph" w:customStyle="1" w:styleId="481">
    <w:name w:val="正文 首行缩进:  2 字符 Char Char Char Char"/>
    <w:basedOn w:val="1"/>
    <w:qFormat/>
    <w:uiPriority w:val="0"/>
    <w:pPr>
      <w:spacing w:line="360" w:lineRule="auto"/>
      <w:ind w:firstLine="480"/>
    </w:pPr>
    <w:rPr>
      <w:rFonts w:eastAsia="楷体_GB2312" w:cs="宋体"/>
      <w:sz w:val="24"/>
    </w:rPr>
  </w:style>
  <w:style w:type="paragraph" w:customStyle="1" w:styleId="482">
    <w:name w:val="xl69"/>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宋体" w:hAnsi="宋体"/>
      <w:kern w:val="0"/>
      <w:sz w:val="18"/>
      <w:szCs w:val="20"/>
    </w:rPr>
  </w:style>
  <w:style w:type="paragraph" w:customStyle="1" w:styleId="483">
    <w:name w:val="font9"/>
    <w:basedOn w:val="1"/>
    <w:qFormat/>
    <w:uiPriority w:val="0"/>
    <w:pPr>
      <w:widowControl/>
      <w:spacing w:before="100" w:beforeAutospacing="1" w:after="100" w:afterAutospacing="1"/>
      <w:jc w:val="left"/>
    </w:pPr>
    <w:rPr>
      <w:kern w:val="0"/>
      <w:sz w:val="18"/>
      <w:szCs w:val="20"/>
    </w:rPr>
  </w:style>
  <w:style w:type="paragraph" w:customStyle="1" w:styleId="484">
    <w:name w:val="word"/>
    <w:basedOn w:val="1"/>
    <w:qFormat/>
    <w:uiPriority w:val="0"/>
    <w:pPr>
      <w:widowControl/>
      <w:spacing w:before="100" w:beforeAutospacing="1" w:after="100" w:afterAutospacing="1" w:line="270" w:lineRule="atLeast"/>
      <w:jc w:val="left"/>
    </w:pPr>
    <w:rPr>
      <w:rFonts w:ascii="宋体" w:hAnsi="宋体" w:eastAsia="楷体_GB2312" w:cs="宋体"/>
      <w:kern w:val="0"/>
      <w:sz w:val="18"/>
      <w:szCs w:val="18"/>
    </w:rPr>
  </w:style>
  <w:style w:type="paragraph" w:customStyle="1" w:styleId="485">
    <w:name w:val="xl126"/>
    <w:basedOn w:val="1"/>
    <w:qFormat/>
    <w:uiPriority w:val="0"/>
    <w:pPr>
      <w:widowControl/>
      <w:spacing w:before="100" w:beforeAutospacing="1" w:after="100" w:afterAutospacing="1"/>
      <w:jc w:val="left"/>
      <w:textAlignment w:val="bottom"/>
    </w:pPr>
    <w:rPr>
      <w:rFonts w:ascii="Arial" w:hAnsi="Arial"/>
      <w:kern w:val="0"/>
      <w:sz w:val="18"/>
      <w:szCs w:val="20"/>
    </w:rPr>
  </w:style>
  <w:style w:type="paragraph" w:customStyle="1" w:styleId="486">
    <w:name w:val="xl8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Arial" w:hAnsi="Arial"/>
      <w:kern w:val="0"/>
      <w:sz w:val="20"/>
      <w:szCs w:val="20"/>
    </w:rPr>
  </w:style>
  <w:style w:type="paragraph" w:customStyle="1" w:styleId="487">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宋体" w:hAnsi="宋体"/>
      <w:kern w:val="0"/>
      <w:sz w:val="20"/>
      <w:szCs w:val="20"/>
    </w:rPr>
  </w:style>
  <w:style w:type="paragraph" w:customStyle="1" w:styleId="488">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b/>
      <w:kern w:val="0"/>
      <w:sz w:val="20"/>
      <w:szCs w:val="20"/>
    </w:rPr>
  </w:style>
  <w:style w:type="paragraph" w:customStyle="1" w:styleId="489">
    <w:name w:val="标准小四"/>
    <w:basedOn w:val="1"/>
    <w:qFormat/>
    <w:uiPriority w:val="0"/>
    <w:pPr>
      <w:spacing w:line="360" w:lineRule="auto"/>
      <w:ind w:firstLine="480" w:firstLineChars="200"/>
    </w:pPr>
    <w:rPr>
      <w:rFonts w:ascii="Arial" w:hAnsi="Arial"/>
      <w:sz w:val="24"/>
      <w:szCs w:val="20"/>
    </w:rPr>
  </w:style>
  <w:style w:type="paragraph" w:customStyle="1" w:styleId="490">
    <w:name w:val="pa-67"/>
    <w:basedOn w:val="1"/>
    <w:qFormat/>
    <w:uiPriority w:val="0"/>
    <w:pPr>
      <w:widowControl/>
      <w:spacing w:line="360" w:lineRule="atLeast"/>
      <w:ind w:firstLine="480"/>
      <w:jc w:val="center"/>
    </w:pPr>
    <w:rPr>
      <w:rFonts w:ascii="宋体" w:hAnsi="宋体" w:cs="宋体"/>
      <w:kern w:val="0"/>
      <w:sz w:val="24"/>
    </w:rPr>
  </w:style>
  <w:style w:type="paragraph" w:customStyle="1" w:styleId="491">
    <w:name w:val="xl10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2">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宋体" w:hAnsi="宋体"/>
      <w:kern w:val="0"/>
      <w:sz w:val="18"/>
      <w:szCs w:val="20"/>
    </w:rPr>
  </w:style>
  <w:style w:type="paragraph" w:customStyle="1" w:styleId="493">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Arial" w:hAnsi="Arial"/>
      <w:kern w:val="0"/>
      <w:sz w:val="24"/>
      <w:szCs w:val="20"/>
    </w:rPr>
  </w:style>
  <w:style w:type="paragraph" w:customStyle="1" w:styleId="494">
    <w:name w:val="jd-正文1"/>
    <w:basedOn w:val="1"/>
    <w:qFormat/>
    <w:uiPriority w:val="0"/>
    <w:pPr>
      <w:widowControl/>
      <w:spacing w:line="360" w:lineRule="auto"/>
      <w:ind w:firstLine="482" w:firstLineChars="200"/>
    </w:pPr>
    <w:rPr>
      <w:rFonts w:ascii="宋体" w:hAnsi="宋体" w:cs="宋体"/>
      <w:sz w:val="24"/>
      <w:szCs w:val="20"/>
    </w:rPr>
  </w:style>
  <w:style w:type="paragraph" w:customStyle="1" w:styleId="495">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96">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color w:val="FF0000"/>
      <w:kern w:val="0"/>
      <w:sz w:val="18"/>
      <w:szCs w:val="20"/>
    </w:rPr>
  </w:style>
  <w:style w:type="paragraph" w:customStyle="1" w:styleId="497">
    <w:name w:val="xl1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0"/>
      <w:szCs w:val="20"/>
    </w:rPr>
  </w:style>
  <w:style w:type="paragraph" w:customStyle="1" w:styleId="498">
    <w:name w:val="xl33"/>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20"/>
      <w:szCs w:val="20"/>
    </w:rPr>
  </w:style>
  <w:style w:type="paragraph" w:customStyle="1" w:styleId="499">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kern w:val="0"/>
      <w:sz w:val="18"/>
      <w:szCs w:val="20"/>
    </w:rPr>
  </w:style>
  <w:style w:type="paragraph" w:customStyle="1" w:styleId="500">
    <w:name w:val="中文标题 2"/>
    <w:basedOn w:val="31"/>
    <w:next w:val="31"/>
    <w:qFormat/>
    <w:uiPriority w:val="0"/>
    <w:pPr>
      <w:spacing w:before="100" w:beforeAutospacing="1" w:after="100" w:afterAutospacing="1" w:line="360" w:lineRule="auto"/>
      <w:ind w:firstLine="482"/>
      <w:outlineLvl w:val="1"/>
    </w:pPr>
    <w:rPr>
      <w:rFonts w:ascii="Times New Roman" w:hAnsi="Times New Roman" w:eastAsia="楷体_GB2312"/>
      <w:kern w:val="28"/>
      <w:sz w:val="24"/>
      <w:szCs w:val="24"/>
    </w:rPr>
  </w:style>
  <w:style w:type="paragraph" w:customStyle="1" w:styleId="501">
    <w:name w:val="xl127"/>
    <w:basedOn w:val="1"/>
    <w:qFormat/>
    <w:uiPriority w:val="0"/>
    <w:pPr>
      <w:widowControl/>
      <w:spacing w:before="100" w:beforeAutospacing="1" w:after="100" w:afterAutospacing="1"/>
      <w:jc w:val="center"/>
      <w:textAlignment w:val="bottom"/>
    </w:pPr>
    <w:rPr>
      <w:rFonts w:ascii="Arial" w:hAnsi="Arial"/>
      <w:kern w:val="0"/>
      <w:sz w:val="18"/>
      <w:szCs w:val="20"/>
    </w:rPr>
  </w:style>
  <w:style w:type="paragraph" w:customStyle="1" w:styleId="502">
    <w:name w:val="Char Char Char Char Char Char Char1"/>
    <w:basedOn w:val="1"/>
    <w:qFormat/>
    <w:uiPriority w:val="0"/>
    <w:rPr>
      <w:rFonts w:ascii="仿宋_GB2312" w:eastAsia="仿宋_GB2312"/>
      <w:b/>
      <w:sz w:val="32"/>
      <w:szCs w:val="20"/>
    </w:rPr>
  </w:style>
  <w:style w:type="paragraph" w:customStyle="1" w:styleId="503">
    <w:name w:val="MM Topic 4"/>
    <w:basedOn w:val="6"/>
    <w:qFormat/>
    <w:uiPriority w:val="0"/>
    <w:pPr>
      <w:tabs>
        <w:tab w:val="left" w:pos="840"/>
        <w:tab w:val="left" w:pos="2100"/>
      </w:tabs>
      <w:ind w:left="2100" w:hanging="420"/>
    </w:pPr>
    <w:rPr>
      <w:rFonts w:eastAsia="黑体" w:cs="Times New Roman"/>
    </w:rPr>
  </w:style>
  <w:style w:type="paragraph" w:customStyle="1" w:styleId="504">
    <w:name w:val="*正文"/>
    <w:qFormat/>
    <w:uiPriority w:val="0"/>
    <w:pPr>
      <w:widowControl w:val="0"/>
      <w:adjustRightInd w:val="0"/>
      <w:snapToGrid w:val="0"/>
      <w:ind w:firstLine="482"/>
      <w:jc w:val="both"/>
    </w:pPr>
    <w:rPr>
      <w:rFonts w:ascii="Calibri" w:hAnsi="Calibri" w:eastAsia="宋体" w:cs="Times New Roman"/>
      <w:sz w:val="21"/>
      <w:shd w:val="clear" w:color="auto" w:fill="FFFFFF"/>
      <w:lang w:val="en-US" w:eastAsia="zh-CN" w:bidi="ar-SA"/>
    </w:rPr>
  </w:style>
  <w:style w:type="paragraph" w:customStyle="1" w:styleId="505">
    <w:name w:val="xl8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bottom"/>
    </w:pPr>
    <w:rPr>
      <w:rFonts w:ascii="宋体" w:hAnsi="宋体"/>
      <w:kern w:val="0"/>
      <w:sz w:val="18"/>
      <w:szCs w:val="20"/>
    </w:rPr>
  </w:style>
  <w:style w:type="paragraph" w:customStyle="1" w:styleId="506">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507">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508">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9">
    <w:name w:val="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510">
    <w:name w:val="xl12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kern w:val="0"/>
      <w:sz w:val="18"/>
      <w:szCs w:val="20"/>
    </w:rPr>
  </w:style>
  <w:style w:type="paragraph" w:customStyle="1" w:styleId="511">
    <w:name w:val="paragraph1"/>
    <w:basedOn w:val="1"/>
    <w:qFormat/>
    <w:uiPriority w:val="0"/>
    <w:pPr>
      <w:spacing w:beforeLines="20" w:afterLines="30" w:line="360" w:lineRule="auto"/>
      <w:ind w:firstLine="200" w:firstLineChars="200"/>
    </w:pPr>
    <w:rPr>
      <w:sz w:val="24"/>
    </w:rPr>
  </w:style>
  <w:style w:type="paragraph" w:customStyle="1" w:styleId="512">
    <w:name w:val="Thf"/>
    <w:basedOn w:val="1"/>
    <w:qFormat/>
    <w:uiPriority w:val="0"/>
    <w:pPr>
      <w:keepNext/>
      <w:keepLines/>
      <w:widowControl/>
      <w:spacing w:before="20" w:after="60" w:line="220" w:lineRule="exact"/>
      <w:jc w:val="left"/>
    </w:pPr>
    <w:rPr>
      <w:rFonts w:ascii="Calibri" w:hAnsi="Calibri"/>
      <w:b/>
      <w:kern w:val="0"/>
      <w:sz w:val="19"/>
      <w:szCs w:val="20"/>
      <w:lang w:eastAsia="en-US"/>
    </w:rPr>
  </w:style>
  <w:style w:type="paragraph" w:customStyle="1" w:styleId="513">
    <w:name w:val="正文内"/>
    <w:basedOn w:val="1"/>
    <w:qFormat/>
    <w:uiPriority w:val="0"/>
    <w:pPr>
      <w:spacing w:line="400" w:lineRule="exact"/>
      <w:ind w:firstLine="200" w:firstLineChars="200"/>
    </w:pPr>
    <w:rPr>
      <w:rFonts w:ascii="??" w:hAnsi="??" w:eastAsia="??" w:cs="宋体"/>
      <w:szCs w:val="28"/>
    </w:rPr>
  </w:style>
  <w:style w:type="paragraph" w:customStyle="1" w:styleId="514">
    <w:name w:val="标准小三"/>
    <w:basedOn w:val="1"/>
    <w:qFormat/>
    <w:uiPriority w:val="0"/>
    <w:pPr>
      <w:widowControl/>
      <w:spacing w:line="700" w:lineRule="exact"/>
      <w:ind w:firstLine="200" w:firstLineChars="200"/>
      <w:jc w:val="left"/>
    </w:pPr>
    <w:rPr>
      <w:rFonts w:ascii="宋体" w:hAnsi="Arial" w:eastAsia="仿宋_GB2312" w:cs="宋体"/>
      <w:snapToGrid w:val="0"/>
      <w:kern w:val="0"/>
      <w:sz w:val="30"/>
      <w:szCs w:val="32"/>
    </w:rPr>
  </w:style>
  <w:style w:type="paragraph" w:customStyle="1" w:styleId="515">
    <w:name w:val="font12"/>
    <w:basedOn w:val="1"/>
    <w:qFormat/>
    <w:uiPriority w:val="0"/>
    <w:pPr>
      <w:widowControl/>
      <w:spacing w:before="100" w:beforeAutospacing="1" w:after="100" w:afterAutospacing="1"/>
      <w:jc w:val="left"/>
    </w:pPr>
    <w:rPr>
      <w:rFonts w:ascii="Arial" w:hAnsi="Arial"/>
      <w:color w:val="FF0000"/>
      <w:kern w:val="0"/>
      <w:sz w:val="18"/>
      <w:szCs w:val="20"/>
    </w:rPr>
  </w:style>
  <w:style w:type="paragraph" w:customStyle="1" w:styleId="516">
    <w:name w:val="MM Topic 2"/>
    <w:basedOn w:val="4"/>
    <w:qFormat/>
    <w:uiPriority w:val="0"/>
    <w:pPr>
      <w:tabs>
        <w:tab w:val="left" w:pos="432"/>
        <w:tab w:val="left" w:pos="860"/>
        <w:tab w:val="left" w:pos="1260"/>
        <w:tab w:val="clear" w:pos="706"/>
      </w:tabs>
      <w:ind w:left="1260" w:hanging="420"/>
      <w:jc w:val="left"/>
    </w:pPr>
    <w:rPr>
      <w:rFonts w:eastAsia="黑体" w:cs="Times New Roman"/>
      <w:sz w:val="32"/>
    </w:rPr>
  </w:style>
  <w:style w:type="paragraph" w:customStyle="1" w:styleId="517">
    <w:name w:val="正文_0_0"/>
    <w:qFormat/>
    <w:uiPriority w:val="0"/>
    <w:rPr>
      <w:rFonts w:ascii="Calibri" w:hAnsi="Calibri" w:eastAsia="宋体" w:cs="Times New Roman"/>
      <w:lang w:val="en-US" w:eastAsia="zh-CN" w:bidi="ar-SA"/>
    </w:rPr>
  </w:style>
  <w:style w:type="paragraph" w:customStyle="1" w:styleId="5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20"/>
    </w:rPr>
  </w:style>
  <w:style w:type="paragraph" w:customStyle="1" w:styleId="519">
    <w:name w:val="正文 + 首行缩进:  2 字符"/>
    <w:basedOn w:val="1"/>
    <w:qFormat/>
    <w:uiPriority w:val="0"/>
    <w:pPr>
      <w:spacing w:line="360" w:lineRule="auto"/>
      <w:ind w:left="-34" w:firstLine="482"/>
    </w:pPr>
    <w:rPr>
      <w:rFonts w:ascii="宋体" w:hAnsi="宋体"/>
      <w:bCs/>
      <w:sz w:val="24"/>
      <w:szCs w:val="20"/>
    </w:rPr>
  </w:style>
  <w:style w:type="paragraph" w:customStyle="1" w:styleId="520">
    <w:name w:val="xl12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olor w:val="FF0000"/>
      <w:kern w:val="0"/>
      <w:sz w:val="18"/>
      <w:szCs w:val="20"/>
    </w:rPr>
  </w:style>
  <w:style w:type="paragraph" w:customStyle="1" w:styleId="521">
    <w:name w:val="xl145"/>
    <w:basedOn w:val="1"/>
    <w:qFormat/>
    <w:uiPriority w:val="0"/>
    <w:pPr>
      <w:widowControl/>
      <w:spacing w:before="100" w:beforeAutospacing="1" w:after="100" w:afterAutospacing="1"/>
      <w:jc w:val="left"/>
    </w:pPr>
    <w:rPr>
      <w:rFonts w:ascii="宋体" w:hAnsi="宋体" w:cs="宋体"/>
      <w:kern w:val="0"/>
      <w:sz w:val="24"/>
    </w:rPr>
  </w:style>
  <w:style w:type="paragraph" w:customStyle="1" w:styleId="52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w:hAnsi="Arial"/>
      <w:kern w:val="0"/>
      <w:sz w:val="20"/>
      <w:szCs w:val="20"/>
    </w:rPr>
  </w:style>
  <w:style w:type="paragraph" w:customStyle="1" w:styleId="523">
    <w:name w:val="aspnumfaautoadjustrightr"/>
    <w:qFormat/>
    <w:uiPriority w:val="0"/>
    <w:pPr>
      <w:widowControl w:val="0"/>
      <w:autoSpaceDE w:val="0"/>
      <w:autoSpaceDN w:val="0"/>
      <w:adjustRightInd w:val="0"/>
      <w:ind w:firstLine="720"/>
      <w:jc w:val="both"/>
    </w:pPr>
    <w:rPr>
      <w:rFonts w:ascii="Calibri" w:hAnsi="Calibri" w:eastAsia="??" w:cs="Times New Roman"/>
      <w:szCs w:val="28"/>
      <w:lang w:val="en-US" w:eastAsia="zh-CN" w:bidi="ar-SA"/>
    </w:rPr>
  </w:style>
  <w:style w:type="paragraph" w:customStyle="1" w:styleId="524">
    <w:name w:val="正文 首行缩进2字符 Char Char"/>
    <w:basedOn w:val="1"/>
    <w:qFormat/>
    <w:uiPriority w:val="0"/>
    <w:pPr>
      <w:spacing w:line="360" w:lineRule="auto"/>
      <w:ind w:firstLine="200" w:firstLineChars="200"/>
    </w:pPr>
    <w:rPr>
      <w:rFonts w:eastAsia="楷体_GB2312"/>
      <w:sz w:val="24"/>
    </w:rPr>
  </w:style>
  <w:style w:type="paragraph" w:customStyle="1" w:styleId="525">
    <w:name w:val="样式 标题 1H1标书1h1Level 1 Topic Heading1st levelSection Headl..."/>
    <w:basedOn w:val="3"/>
    <w:qFormat/>
    <w:uiPriority w:val="0"/>
    <w:pPr>
      <w:keepNext w:val="0"/>
      <w:keepLines/>
      <w:widowControl w:val="0"/>
      <w:tabs>
        <w:tab w:val="left" w:pos="432"/>
        <w:tab w:val="left" w:pos="780"/>
      </w:tabs>
      <w:spacing w:beforeLines="50" w:afterLines="50" w:line="578" w:lineRule="auto"/>
      <w:ind w:left="420" w:leftChars="100" w:right="210" w:rightChars="100" w:firstLine="160" w:firstLineChars="50"/>
      <w:jc w:val="both"/>
    </w:pPr>
    <w:rPr>
      <w:rFonts w:ascii="Times New Roman" w:hAnsi="Times New Roman" w:eastAsia="楷体_GB2312"/>
      <w:bCs/>
      <w:kern w:val="44"/>
      <w:szCs w:val="20"/>
    </w:rPr>
  </w:style>
  <w:style w:type="paragraph" w:customStyle="1" w:styleId="526">
    <w:name w:val="_Style 344"/>
    <w:semiHidden/>
    <w:qFormat/>
    <w:uiPriority w:val="0"/>
    <w:rPr>
      <w:rFonts w:ascii="Calibri" w:hAnsi="Calibri" w:eastAsia="宋体" w:cs="Times New Roman"/>
      <w:kern w:val="2"/>
      <w:sz w:val="21"/>
      <w:lang w:val="en-US" w:eastAsia="zh-CN" w:bidi="ar-SA"/>
    </w:rPr>
  </w:style>
  <w:style w:type="paragraph" w:customStyle="1" w:styleId="527">
    <w:name w:val="xl61"/>
    <w:basedOn w:val="1"/>
    <w:qFormat/>
    <w:uiPriority w:val="0"/>
    <w:pPr>
      <w:widowControl/>
      <w:pBdr>
        <w:top w:val="single" w:color="auto" w:sz="8" w:space="0"/>
        <w:left w:val="single" w:color="auto" w:sz="4" w:space="0"/>
        <w:bottom w:val="single" w:color="auto" w:sz="4" w:space="0"/>
        <w:right w:val="single" w:color="auto" w:sz="4" w:space="0"/>
      </w:pBdr>
      <w:shd w:val="clear" w:color="auto" w:fill="800080"/>
      <w:spacing w:before="100" w:beforeAutospacing="1" w:after="100" w:afterAutospacing="1"/>
      <w:jc w:val="center"/>
    </w:pPr>
    <w:rPr>
      <w:rFonts w:ascii="宋体" w:hAnsi="宋体"/>
      <w:b/>
      <w:color w:val="FFFFFF"/>
      <w:kern w:val="0"/>
      <w:sz w:val="18"/>
      <w:szCs w:val="20"/>
    </w:rPr>
  </w:style>
  <w:style w:type="table" w:customStyle="1" w:styleId="528">
    <w:name w:val="Table Normal2"/>
    <w:qFormat/>
    <w:uiPriority w:val="0"/>
    <w:tblPr>
      <w:tblCellMar>
        <w:top w:w="0" w:type="dxa"/>
        <w:left w:w="0" w:type="dxa"/>
        <w:bottom w:w="0" w:type="dxa"/>
        <w:right w:w="0" w:type="dxa"/>
      </w:tblCellMar>
    </w:tblPr>
  </w:style>
  <w:style w:type="table" w:customStyle="1" w:styleId="529">
    <w:name w:val="Table Normal1"/>
    <w:qFormat/>
    <w:uiPriority w:val="0"/>
    <w:tblPr>
      <w:tblCellMar>
        <w:top w:w="0" w:type="dxa"/>
        <w:left w:w="0" w:type="dxa"/>
        <w:bottom w:w="0" w:type="dxa"/>
        <w:right w:w="0" w:type="dxa"/>
      </w:tblCellMar>
    </w:tblPr>
  </w:style>
  <w:style w:type="table" w:customStyle="1" w:styleId="530">
    <w:name w:val="中等深浅网格 2 - 强调文字颜色 11"/>
    <w:basedOn w:val="76"/>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C0DE"/>
      </w:tcPr>
    </w:tblStylePr>
    <w:tblStylePr w:type="band1Horz">
      <w:tcPr>
        <w:shd w:val="clear" w:color="auto" w:fill="A7C0DE"/>
      </w:tcPr>
    </w:tblStylePr>
    <w:tblStylePr w:type="nwCell">
      <w:tcPr>
        <w:shd w:val="clear" w:color="auto" w:fill="FFFFFF"/>
      </w:tcPr>
    </w:tblStylePr>
  </w:style>
  <w:style w:type="table" w:customStyle="1" w:styleId="531">
    <w:name w:val="TableGrid"/>
    <w:qFormat/>
    <w:uiPriority w:val="0"/>
    <w:rPr>
      <w:rFonts w:ascii="等线" w:hAnsi="等线" w:eastAsia="等线"/>
    </w:rPr>
    <w:tblPr>
      <w:tblCellMar>
        <w:top w:w="0" w:type="dxa"/>
        <w:left w:w="0" w:type="dxa"/>
        <w:bottom w:w="0" w:type="dxa"/>
        <w:right w:w="0" w:type="dxa"/>
      </w:tblCellMar>
    </w:tblPr>
  </w:style>
  <w:style w:type="table" w:customStyle="1" w:styleId="532">
    <w:name w:val="Table Normal"/>
    <w:qFormat/>
    <w:uiPriority w:val="0"/>
    <w:tblPr>
      <w:tblCellMar>
        <w:top w:w="0" w:type="dxa"/>
        <w:left w:w="0" w:type="dxa"/>
        <w:bottom w:w="0" w:type="dxa"/>
        <w:right w:w="0" w:type="dxa"/>
      </w:tblCellMar>
    </w:tblPr>
  </w:style>
  <w:style w:type="paragraph" w:customStyle="1" w:styleId="533">
    <w:name w:val="列表段落1"/>
    <w:basedOn w:val="1"/>
    <w:qFormat/>
    <w:uiPriority w:val="34"/>
    <w:pPr>
      <w:spacing w:line="360" w:lineRule="auto"/>
      <w:ind w:firstLine="420" w:firstLineChars="200"/>
    </w:pPr>
    <w:rPr>
      <w:rFonts w:ascii="Calibri" w:hAnsi="Calibri"/>
      <w:sz w:val="24"/>
      <w:szCs w:val="22"/>
    </w:rPr>
  </w:style>
  <w:style w:type="character" w:customStyle="1" w:styleId="534">
    <w:name w:val="font61"/>
    <w:qFormat/>
    <w:uiPriority w:val="0"/>
    <w:rPr>
      <w:rFonts w:hint="eastAsia" w:ascii="仿宋" w:hAnsi="仿宋" w:eastAsia="仿宋" w:cs="仿宋"/>
      <w:b/>
      <w:bCs/>
      <w:color w:val="000000"/>
      <w:sz w:val="21"/>
      <w:szCs w:val="21"/>
      <w:u w:val="none"/>
    </w:rPr>
  </w:style>
  <w:style w:type="character" w:customStyle="1" w:styleId="535">
    <w:name w:val="font131"/>
    <w:qFormat/>
    <w:uiPriority w:val="0"/>
    <w:rPr>
      <w:rFonts w:hint="eastAsia" w:ascii="仿宋" w:hAnsi="仿宋" w:eastAsia="仿宋" w:cs="仿宋"/>
      <w:color w:val="000000"/>
      <w:sz w:val="20"/>
      <w:szCs w:val="20"/>
      <w:u w:val="none"/>
      <w:vertAlign w:val="superscript"/>
    </w:rPr>
  </w:style>
  <w:style w:type="character" w:customStyle="1" w:styleId="536">
    <w:name w:val="font81"/>
    <w:qFormat/>
    <w:uiPriority w:val="0"/>
    <w:rPr>
      <w:rFonts w:hint="eastAsia" w:ascii="仿宋" w:hAnsi="仿宋" w:eastAsia="仿宋" w:cs="仿宋"/>
      <w:color w:val="000000"/>
      <w:sz w:val="21"/>
      <w:szCs w:val="21"/>
      <w:u w:val="none"/>
    </w:rPr>
  </w:style>
  <w:style w:type="character" w:customStyle="1" w:styleId="537">
    <w:name w:val="font141"/>
    <w:qFormat/>
    <w:uiPriority w:val="0"/>
    <w:rPr>
      <w:rFonts w:hint="eastAsia" w:ascii="仿宋" w:hAnsi="仿宋" w:eastAsia="仿宋" w:cs="仿宋"/>
      <w:color w:val="000000"/>
      <w:sz w:val="21"/>
      <w:szCs w:val="21"/>
      <w:u w:val="none"/>
      <w:vertAlign w:val="superscript"/>
    </w:rPr>
  </w:style>
  <w:style w:type="character" w:customStyle="1" w:styleId="538">
    <w:name w:val="font151"/>
    <w:qFormat/>
    <w:uiPriority w:val="0"/>
    <w:rPr>
      <w:rFonts w:hint="eastAsia" w:ascii="仿宋" w:hAnsi="仿宋" w:eastAsia="仿宋" w:cs="仿宋"/>
      <w:color w:val="000000"/>
      <w:sz w:val="22"/>
      <w:szCs w:val="22"/>
      <w:u w:val="none"/>
      <w:vertAlign w:val="superscript"/>
    </w:rPr>
  </w:style>
  <w:style w:type="character" w:customStyle="1" w:styleId="539">
    <w:name w:val="font31"/>
    <w:qFormat/>
    <w:uiPriority w:val="0"/>
    <w:rPr>
      <w:rFonts w:hint="eastAsia" w:ascii="仿宋" w:hAnsi="仿宋" w:eastAsia="仿宋" w:cs="仿宋"/>
      <w:b/>
      <w:bCs/>
      <w:color w:val="000000"/>
      <w:sz w:val="20"/>
      <w:szCs w:val="20"/>
      <w:u w:val="none"/>
    </w:rPr>
  </w:style>
  <w:style w:type="character" w:customStyle="1" w:styleId="540">
    <w:name w:val="font71"/>
    <w:qFormat/>
    <w:uiPriority w:val="0"/>
    <w:rPr>
      <w:rFonts w:hint="eastAsia" w:ascii="仿宋" w:hAnsi="仿宋" w:eastAsia="仿宋" w:cs="仿宋"/>
      <w:color w:val="000000"/>
      <w:sz w:val="21"/>
      <w:szCs w:val="21"/>
      <w:u w:val="none"/>
    </w:rPr>
  </w:style>
  <w:style w:type="character" w:customStyle="1" w:styleId="541">
    <w:name w:val="font132"/>
    <w:qFormat/>
    <w:uiPriority w:val="0"/>
    <w:rPr>
      <w:rFonts w:hint="eastAsia" w:ascii="仿宋" w:hAnsi="仿宋" w:eastAsia="仿宋" w:cs="仿宋"/>
      <w:color w:val="000000"/>
      <w:sz w:val="20"/>
      <w:szCs w:val="20"/>
      <w:u w:val="none"/>
      <w:vertAlign w:val="superscript"/>
    </w:rPr>
  </w:style>
  <w:style w:type="character" w:customStyle="1" w:styleId="542">
    <w:name w:val="font121"/>
    <w:qFormat/>
    <w:uiPriority w:val="0"/>
    <w:rPr>
      <w:rFonts w:hint="eastAsia" w:ascii="仿宋" w:hAnsi="仿宋" w:eastAsia="仿宋" w:cs="仿宋"/>
      <w:color w:val="000000"/>
      <w:sz w:val="20"/>
      <w:szCs w:val="20"/>
      <w:u w:val="none"/>
      <w:vertAlign w:val="superscript"/>
    </w:rPr>
  </w:style>
  <w:style w:type="character" w:customStyle="1" w:styleId="543">
    <w:name w:val="font41"/>
    <w:qFormat/>
    <w:uiPriority w:val="0"/>
    <w:rPr>
      <w:rFonts w:hint="eastAsia" w:ascii="仿宋" w:hAnsi="仿宋" w:eastAsia="仿宋" w:cs="仿宋"/>
      <w:b/>
      <w:bCs/>
      <w:color w:val="000000"/>
      <w:sz w:val="20"/>
      <w:szCs w:val="20"/>
      <w:u w:val="none"/>
    </w:rPr>
  </w:style>
  <w:style w:type="character" w:customStyle="1" w:styleId="544">
    <w:name w:val="font122"/>
    <w:qFormat/>
    <w:uiPriority w:val="0"/>
    <w:rPr>
      <w:rFonts w:hint="eastAsia" w:ascii="仿宋" w:hAnsi="仿宋" w:eastAsia="仿宋" w:cs="仿宋"/>
      <w:color w:val="000000"/>
      <w:sz w:val="20"/>
      <w:szCs w:val="20"/>
      <w:u w:val="none"/>
      <w:vertAlign w:val="superscript"/>
    </w:rPr>
  </w:style>
  <w:style w:type="paragraph" w:customStyle="1" w:styleId="545">
    <w:name w:val="正文_0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6">
    <w:name w:val="样式 行距: 1.5 倍行距 首行缩进:  2 字符"/>
    <w:basedOn w:val="1"/>
    <w:qFormat/>
    <w:uiPriority w:val="0"/>
    <w:pPr>
      <w:spacing w:line="360" w:lineRule="auto"/>
      <w:ind w:firstLine="420" w:firstLineChars="200"/>
    </w:pPr>
    <w:rPr>
      <w:rFonts w:ascii="Times New Roman" w:hAnsi="Times New Roman" w:eastAsia="仿宋" w:cs="宋体"/>
      <w:sz w:val="28"/>
      <w:szCs w:val="20"/>
    </w:rPr>
  </w:style>
  <w:style w:type="character" w:customStyle="1" w:styleId="547">
    <w:name w:val="标题 1 Char"/>
    <w:basedOn w:val="78"/>
    <w:qFormat/>
    <w:uiPriority w:val="0"/>
    <w:rPr>
      <w:b/>
      <w:bCs/>
      <w:kern w:val="44"/>
      <w:sz w:val="44"/>
      <w:szCs w:val="44"/>
    </w:rPr>
  </w:style>
  <w:style w:type="character" w:customStyle="1" w:styleId="548">
    <w:name w:val="标题 2 Char"/>
    <w:basedOn w:val="78"/>
    <w:qFormat/>
    <w:uiPriority w:val="9"/>
    <w:rPr>
      <w:rFonts w:ascii="仿宋_GB2312" w:hAnsi="仿宋" w:eastAsia="仿宋_GB2312"/>
      <w:b/>
      <w:bCs/>
      <w:kern w:val="2"/>
      <w:sz w:val="32"/>
      <w:szCs w:val="32"/>
      <w:lang w:val="zh-CN"/>
    </w:rPr>
  </w:style>
  <w:style w:type="character" w:customStyle="1" w:styleId="549">
    <w:name w:val="正文文本 Char"/>
    <w:basedOn w:val="78"/>
    <w:qFormat/>
    <w:uiPriority w:val="0"/>
    <w:rPr>
      <w:kern w:val="2"/>
      <w:sz w:val="21"/>
      <w:szCs w:val="24"/>
    </w:rPr>
  </w:style>
  <w:style w:type="character" w:customStyle="1" w:styleId="550">
    <w:name w:val="正文文本缩进 Char"/>
    <w:basedOn w:val="78"/>
    <w:qFormat/>
    <w:uiPriority w:val="0"/>
    <w:rPr>
      <w:rFonts w:ascii="宋体" w:hAnsi="宋体"/>
      <w:kern w:val="2"/>
      <w:sz w:val="24"/>
      <w:szCs w:val="24"/>
    </w:rPr>
  </w:style>
  <w:style w:type="character" w:customStyle="1" w:styleId="551">
    <w:name w:val="日期 Char"/>
    <w:basedOn w:val="78"/>
    <w:qFormat/>
    <w:uiPriority w:val="0"/>
    <w:rPr>
      <w:kern w:val="2"/>
      <w:sz w:val="21"/>
      <w:szCs w:val="24"/>
    </w:rPr>
  </w:style>
  <w:style w:type="character" w:customStyle="1" w:styleId="552">
    <w:name w:val="正文文本缩进 2 Char"/>
    <w:basedOn w:val="78"/>
    <w:qFormat/>
    <w:uiPriority w:val="0"/>
    <w:rPr>
      <w:rFonts w:ascii="宋体"/>
      <w:sz w:val="28"/>
    </w:rPr>
  </w:style>
  <w:style w:type="character" w:customStyle="1" w:styleId="553">
    <w:name w:val="页眉 Char"/>
    <w:basedOn w:val="78"/>
    <w:qFormat/>
    <w:uiPriority w:val="0"/>
    <w:rPr>
      <w:kern w:val="2"/>
      <w:sz w:val="18"/>
      <w:szCs w:val="18"/>
    </w:rPr>
  </w:style>
  <w:style w:type="character" w:customStyle="1" w:styleId="554">
    <w:name w:val="页脚 Char1"/>
    <w:qFormat/>
    <w:uiPriority w:val="99"/>
    <w:rPr>
      <w:kern w:val="2"/>
      <w:sz w:val="18"/>
      <w:szCs w:val="18"/>
    </w:rPr>
  </w:style>
  <w:style w:type="paragraph" w:customStyle="1" w:styleId="555">
    <w:name w:val="表格"/>
    <w:basedOn w:val="1"/>
    <w:qFormat/>
    <w:uiPriority w:val="0"/>
    <w:pPr>
      <w:adjustRightInd w:val="0"/>
      <w:snapToGrid w:val="0"/>
    </w:pPr>
    <w:rPr>
      <w:rFonts w:ascii="Times New Roman" w:hAnsi="Times New Roman"/>
      <w:szCs w:val="28"/>
    </w:rPr>
  </w:style>
  <w:style w:type="paragraph" w:customStyle="1" w:styleId="556">
    <w:name w:val="样式 左 左侧:  -0.01 字符 首行缩进:  2 字符"/>
    <w:basedOn w:val="1"/>
    <w:qFormat/>
    <w:uiPriority w:val="0"/>
    <w:pPr>
      <w:autoSpaceDE w:val="0"/>
      <w:autoSpaceDN w:val="0"/>
      <w:adjustRightInd w:val="0"/>
      <w:spacing w:before="62" w:after="62" w:line="360" w:lineRule="auto"/>
      <w:ind w:left="-2" w:firstLine="420" w:firstLineChars="200"/>
      <w:jc w:val="left"/>
    </w:pPr>
    <w:rPr>
      <w:rFonts w:ascii="Times New Roman" w:hAnsi="Times New Roman" w:cs="宋体"/>
      <w:sz w:val="24"/>
      <w:szCs w:val="22"/>
    </w:rPr>
  </w:style>
  <w:style w:type="paragraph" w:customStyle="1" w:styleId="557">
    <w:name w:val="_Style 6"/>
    <w:basedOn w:val="1"/>
    <w:qFormat/>
    <w:uiPriority w:val="34"/>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8"/>
    <customShpInfo spid="_x0000_s4107"/>
    <customShpInfo spid="_x0000_s4103"/>
    <customShpInfo spid="_x0000_s4098"/>
    <customShpInfo spid="_x0000_s4104"/>
    <customShpInfo spid="_x0000_s4099"/>
    <customShpInfo spid="_x0000_s4105"/>
    <customShpInfo spid="_x0000_s4100"/>
    <customShpInfo spid="_x0000_s4106"/>
    <customShpInfo spid="_x0000_s4101"/>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E11F5-2676-460B-93E2-2E15B07A015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96</Pages>
  <Words>49006</Words>
  <Characters>51725</Characters>
  <Lines>53</Lines>
  <Paragraphs>110</Paragraphs>
  <TotalTime>1</TotalTime>
  <ScaleCrop>false</ScaleCrop>
  <LinksUpToDate>false</LinksUpToDate>
  <CharactersWithSpaces>53320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2022-08-03T09:39:00Z</dcterms:created>
  <dc:creator>111</dc:creator>
  <cp:lastModifiedBy>七彩沙漠</cp:lastModifiedBy>
  <cp:lastPrinted>2022-04-24T04:50:00Z</cp:lastPrinted>
  <dcterms:modified xsi:type="dcterms:W3CDTF">2022-09-07T13:35:46Z</dcterms:modified>
  <dc:title>《杭州市乡村旅游提升规划（2013-2020年）》</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D4A863F80BCC4FAE8C30078814EE72E3</vt:lpwstr>
  </property>
</Properties>
</file>