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b/>
          <w:spacing w:val="-6"/>
          <w:sz w:val="52"/>
          <w:szCs w:val="52"/>
          <w:highlight w:val="none"/>
          <w:lang w:eastAsia="zh-CN"/>
        </w:rPr>
      </w:pPr>
      <w:bookmarkStart w:id="0" w:name="_Toc1382136464"/>
      <w:r>
        <w:rPr>
          <w:rFonts w:hint="eastAsia"/>
          <w:b/>
          <w:spacing w:val="-6"/>
          <w:sz w:val="52"/>
          <w:szCs w:val="52"/>
          <w:highlight w:val="none"/>
          <w:lang w:eastAsia="zh-CN"/>
        </w:rPr>
        <w:t>杭州市富阳区非物质文化遗产馆</w:t>
      </w:r>
    </w:p>
    <w:p>
      <w:pPr>
        <w:spacing w:before="120"/>
        <w:jc w:val="center"/>
        <w:rPr>
          <w:rFonts w:hint="eastAsia" w:eastAsia="仿宋"/>
          <w:b/>
          <w:spacing w:val="-6"/>
          <w:sz w:val="52"/>
          <w:szCs w:val="52"/>
          <w:highlight w:val="none"/>
          <w:lang w:eastAsia="zh-CN"/>
        </w:rPr>
      </w:pPr>
      <w:r>
        <w:rPr>
          <w:rFonts w:hint="eastAsia"/>
          <w:b/>
          <w:spacing w:val="-6"/>
          <w:sz w:val="52"/>
          <w:szCs w:val="52"/>
          <w:highlight w:val="none"/>
          <w:lang w:eastAsia="zh-CN"/>
        </w:rPr>
        <w:t>陈设布展项目</w:t>
      </w:r>
    </w:p>
    <w:p>
      <w:pPr>
        <w:spacing w:before="120"/>
        <w:jc w:val="center"/>
        <w:rPr>
          <w:rFonts w:hint="eastAsia"/>
          <w:color w:val="000000"/>
          <w:sz w:val="28"/>
          <w:szCs w:val="28"/>
        </w:rPr>
      </w:pPr>
    </w:p>
    <w:p>
      <w:pPr>
        <w:spacing w:before="120"/>
        <w:jc w:val="center"/>
        <w:rPr>
          <w:rFonts w:hint="default" w:eastAsia="仿宋"/>
          <w:b/>
          <w:color w:val="FF0000"/>
          <w:spacing w:val="-6"/>
          <w:sz w:val="28"/>
          <w:szCs w:val="28"/>
          <w:highlight w:val="yellow"/>
          <w:lang w:val="en-US" w:eastAsia="zh-CN"/>
        </w:rPr>
      </w:pPr>
      <w:r>
        <w:rPr>
          <w:rFonts w:hint="eastAsia"/>
          <w:color w:val="000000"/>
          <w:sz w:val="28"/>
          <w:szCs w:val="28"/>
        </w:rPr>
        <w:t>项目</w:t>
      </w:r>
      <w:r>
        <w:rPr>
          <w:rFonts w:hint="eastAsia"/>
          <w:color w:val="000000"/>
          <w:sz w:val="28"/>
          <w:szCs w:val="28"/>
          <w:highlight w:val="none"/>
        </w:rPr>
        <w:t>编号：</w:t>
      </w:r>
      <w:r>
        <w:rPr>
          <w:rFonts w:hint="eastAsia"/>
          <w:color w:val="auto"/>
          <w:sz w:val="28"/>
          <w:szCs w:val="28"/>
          <w:highlight w:val="none"/>
          <w:lang w:val="en-US" w:eastAsia="zh-CN"/>
        </w:rPr>
        <w:t>HZHBFY2022-01</w:t>
      </w:r>
    </w:p>
    <w:p>
      <w:pPr>
        <w:pStyle w:val="2"/>
        <w:spacing w:before="124" w:after="124"/>
        <w:rPr>
          <w:rFonts w:ascii="宋体" w:hAnsi="宋体"/>
          <w:b/>
          <w:spacing w:val="40"/>
          <w:szCs w:val="21"/>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9"/>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color w:val="auto"/>
          <w:sz w:val="32"/>
          <w:szCs w:val="32"/>
        </w:rPr>
        <w:t>：</w:t>
      </w:r>
      <w:r>
        <w:rPr>
          <w:rFonts w:hint="eastAsia" w:ascii="仿宋" w:hAnsi="仿宋"/>
          <w:color w:val="auto"/>
          <w:sz w:val="32"/>
          <w:szCs w:val="32"/>
          <w:lang w:eastAsia="zh-CN"/>
        </w:rPr>
        <w:t>杭州市富阳区文化和广电旅游体育局</w:t>
      </w:r>
      <w:r>
        <w:rPr>
          <w:rFonts w:hint="eastAsia" w:ascii="仿宋" w:hAnsi="仿宋"/>
          <w:sz w:val="32"/>
          <w:szCs w:val="32"/>
        </w:rPr>
        <w:t>(盖章)</w:t>
      </w:r>
    </w:p>
    <w:p>
      <w:pPr>
        <w:spacing w:line="500" w:lineRule="exact"/>
        <w:ind w:right="105"/>
        <w:jc w:val="center"/>
        <w:rPr>
          <w:color w:val="000000"/>
        </w:rPr>
      </w:pPr>
      <w:r>
        <w:rPr>
          <w:rFonts w:hint="eastAsia"/>
          <w:sz w:val="32"/>
          <w:szCs w:val="32"/>
        </w:rPr>
        <w:t>采购代理机构：杭州好邦建筑工程咨询有限公司(盖章)</w:t>
      </w:r>
    </w:p>
    <w:p>
      <w:pPr>
        <w:rPr>
          <w:color w:val="FF0000"/>
          <w:sz w:val="30"/>
          <w:szCs w:val="30"/>
        </w:rPr>
      </w:pPr>
      <w:r>
        <w:rPr>
          <w:color w:val="FF0000"/>
          <w:sz w:val="30"/>
          <w:szCs w:val="30"/>
        </w:rPr>
        <w:br w:type="page"/>
      </w:r>
    </w:p>
    <w:p>
      <w:pPr>
        <w:pStyle w:val="6"/>
      </w:pPr>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b/>
                <w:bCs/>
                <w:lang w:val="en-US" w:eastAsia="zh-CN"/>
              </w:rPr>
              <w:t>项目概况 </w:t>
            </w:r>
            <w:r>
              <w:rPr>
                <w:rFonts w:hint="eastAsia" w:ascii="仿宋" w:hAnsi="仿宋" w:eastAsia="仿宋" w:cs="仿宋"/>
                <w:lang w:val="en-US" w:eastAsia="zh-CN"/>
              </w:rPr>
              <w:t xml:space="preserve">  </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vertAlign w:val="baseline"/>
                <w:lang w:val="en-US" w:eastAsia="zh-CN"/>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highlight w:val="none"/>
                <w:lang w:val="en-US" w:eastAsia="zh-CN"/>
              </w:rPr>
              <w:t xml:space="preserve">  </w:t>
            </w:r>
            <w:r>
              <w:rPr>
                <w:rFonts w:hint="eastAsia" w:cs="仿宋"/>
                <w:highlight w:val="none"/>
                <w:lang w:val="en-US" w:eastAsia="zh-CN"/>
              </w:rPr>
              <w:t>杭州市富阳区非物质文化遗产馆陈设布展项目</w:t>
            </w:r>
            <w:r>
              <w:rPr>
                <w:rFonts w:hint="eastAsia" w:ascii="仿宋" w:hAnsi="仿宋" w:eastAsia="仿宋" w:cs="仿宋"/>
                <w:highlight w:val="none"/>
              </w:rPr>
              <w:t>的潜在投</w:t>
            </w:r>
            <w:r>
              <w:rPr>
                <w:rFonts w:hint="eastAsia" w:ascii="仿宋" w:hAnsi="仿宋" w:eastAsia="仿宋" w:cs="仿宋"/>
              </w:rPr>
              <w:t>标人应在政采云平台（https://www.zcygov.cn/）获取（下载）招标文件，并于</w:t>
            </w:r>
            <w:r>
              <w:rPr>
                <w:rFonts w:hint="eastAsia" w:ascii="仿宋" w:hAnsi="仿宋" w:eastAsia="仿宋" w:cs="仿宋"/>
                <w:color w:val="auto"/>
              </w:rPr>
              <w:t> </w:t>
            </w:r>
            <w:r>
              <w:rPr>
                <w:rFonts w:hint="eastAsia" w:cs="仿宋"/>
                <w:color w:val="auto"/>
                <w:lang w:val="en-US" w:eastAsia="zh-CN"/>
              </w:rPr>
              <w:t>2022</w:t>
            </w:r>
            <w:r>
              <w:rPr>
                <w:rFonts w:hint="eastAsia" w:ascii="仿宋" w:hAnsi="仿宋" w:eastAsia="仿宋" w:cs="仿宋"/>
                <w:color w:val="auto"/>
              </w:rPr>
              <w:t>年</w:t>
            </w:r>
            <w:r>
              <w:rPr>
                <w:rFonts w:hint="eastAsia" w:cs="仿宋"/>
                <w:color w:val="auto"/>
                <w:lang w:val="en-US" w:eastAsia="zh-CN"/>
              </w:rPr>
              <w:t>3</w:t>
            </w:r>
            <w:r>
              <w:rPr>
                <w:rFonts w:hint="eastAsia" w:ascii="仿宋" w:hAnsi="仿宋" w:eastAsia="仿宋" w:cs="仿宋"/>
                <w:color w:val="auto"/>
              </w:rPr>
              <w:t>月</w:t>
            </w:r>
            <w:r>
              <w:rPr>
                <w:rFonts w:hint="eastAsia" w:cs="仿宋"/>
                <w:color w:val="auto"/>
                <w:lang w:val="en-US" w:eastAsia="zh-CN"/>
              </w:rPr>
              <w:t>3</w:t>
            </w:r>
            <w:r>
              <w:rPr>
                <w:rFonts w:hint="eastAsia" w:ascii="仿宋" w:hAnsi="仿宋" w:eastAsia="仿宋" w:cs="仿宋"/>
                <w:color w:val="auto"/>
              </w:rPr>
              <w:t>日</w:t>
            </w:r>
            <w:r>
              <w:rPr>
                <w:rFonts w:hint="eastAsia" w:cs="仿宋"/>
                <w:color w:val="auto"/>
                <w:lang w:val="en-US" w:eastAsia="zh-CN"/>
              </w:rPr>
              <w:t>09</w:t>
            </w:r>
            <w:r>
              <w:rPr>
                <w:rFonts w:hint="eastAsia" w:cs="仿宋"/>
                <w:color w:val="auto"/>
                <w:lang w:eastAsia="zh-CN"/>
              </w:rPr>
              <w:t>时</w:t>
            </w:r>
            <w:r>
              <w:rPr>
                <w:rFonts w:hint="eastAsia" w:cs="仿宋"/>
                <w:color w:val="auto"/>
                <w:lang w:val="en-US" w:eastAsia="zh-CN"/>
              </w:rPr>
              <w:t>00</w:t>
            </w:r>
            <w:r>
              <w:rPr>
                <w:rFonts w:hint="eastAsia" w:cs="仿宋"/>
                <w:color w:val="auto"/>
                <w:lang w:eastAsia="zh-CN"/>
              </w:rPr>
              <w:t>分</w:t>
            </w:r>
            <w:r>
              <w:rPr>
                <w:rFonts w:hint="eastAsia" w:cs="仿宋"/>
                <w:color w:val="auto"/>
                <w:lang w:val="en-US" w:eastAsia="zh-CN"/>
              </w:rPr>
              <w:t>00</w:t>
            </w:r>
            <w:r>
              <w:rPr>
                <w:rFonts w:hint="eastAsia" w:cs="仿宋"/>
                <w:color w:val="auto"/>
                <w:lang w:eastAsia="zh-CN"/>
              </w:rPr>
              <w:t>秒</w:t>
            </w:r>
            <w:r>
              <w:rPr>
                <w:rFonts w:hint="eastAsia" w:ascii="仿宋" w:hAnsi="仿宋" w:eastAsia="仿宋" w:cs="仿宋"/>
              </w:rPr>
              <w:t>（北京时间）前递交（上传）投标文件。</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b/>
          <w:bCs/>
          <w:lang w:val="en-US" w:eastAsia="zh-CN"/>
        </w:rPr>
        <w:t xml:space="preserve">一、项目基本情况   </w:t>
      </w:r>
      <w:r>
        <w:rPr>
          <w:rFonts w:hint="eastAsia" w:ascii="仿宋" w:hAnsi="仿宋" w:eastAsia="仿宋" w:cs="仿宋"/>
          <w:lang w:val="en-US" w:eastAsia="zh-CN"/>
        </w:rPr>
        <w:t>     </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项目编号：HZHBFY202</w:t>
      </w:r>
      <w:r>
        <w:rPr>
          <w:rFonts w:hint="eastAsia" w:cs="仿宋"/>
          <w:color w:val="auto"/>
          <w:highlight w:val="none"/>
          <w:lang w:val="en-US" w:eastAsia="zh-CN"/>
        </w:rPr>
        <w:t>2</w:t>
      </w:r>
      <w:r>
        <w:rPr>
          <w:rFonts w:hint="eastAsia" w:ascii="仿宋" w:hAnsi="仿宋" w:eastAsia="仿宋" w:cs="仿宋"/>
          <w:color w:val="auto"/>
          <w:highlight w:val="none"/>
        </w:rPr>
        <w:t>-01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cs="仿宋"/>
          <w:color w:val="auto"/>
          <w:highlight w:val="none"/>
          <w:lang w:val="en-US" w:eastAsia="zh-CN"/>
        </w:rPr>
        <w:t>杭州市富阳区非物质文化遗产馆陈设布展项目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val="en-US" w:eastAsia="zh-CN"/>
        </w:rPr>
        <w:t>9000000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最高限价（元）：</w:t>
      </w:r>
      <w:r>
        <w:rPr>
          <w:rFonts w:hint="eastAsia" w:cs="仿宋"/>
          <w:color w:val="auto"/>
          <w:highlight w:val="none"/>
          <w:lang w:val="en-US" w:eastAsia="zh-CN"/>
        </w:rPr>
        <w:t>9000000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采购需求</w:t>
      </w:r>
      <w:r>
        <w:rPr>
          <w:rFonts w:hint="eastAsia" w:cs="仿宋"/>
          <w:color w:val="auto"/>
          <w:highlight w:val="none"/>
          <w:lang w:eastAsia="zh-CN"/>
        </w:rPr>
        <w:t>：本项目主要内容为</w:t>
      </w:r>
      <w:r>
        <w:rPr>
          <w:rFonts w:hint="eastAsia" w:cs="仿宋"/>
          <w:color w:val="auto"/>
          <w:highlight w:val="none"/>
          <w:lang w:val="en-US" w:eastAsia="zh-CN"/>
        </w:rPr>
        <w:t>非遗馆的深化设计、陈列布展及多媒体建设等。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标项名称: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杭州市富阳区非物质文化遗产馆陈设布展项目</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数量:  </w:t>
      </w:r>
      <w:r>
        <w:rPr>
          <w:rFonts w:hint="eastAsia" w:cs="仿宋"/>
          <w:color w:val="auto"/>
          <w:highlight w:val="none"/>
          <w:lang w:val="en-US" w:eastAsia="zh-CN"/>
        </w:rPr>
        <w:t>1项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 </w:t>
      </w:r>
      <w:r>
        <w:rPr>
          <w:rFonts w:hint="eastAsia" w:cs="仿宋"/>
          <w:color w:val="auto"/>
          <w:highlight w:val="none"/>
          <w:lang w:val="en-US" w:eastAsia="zh-CN"/>
        </w:rPr>
        <w:t>9000000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w:t>
      </w:r>
      <w:r>
        <w:rPr>
          <w:rFonts w:hint="eastAsia" w:ascii="宋体" w:hAnsi="宋体"/>
          <w:szCs w:val="21"/>
        </w:rPr>
        <w:t>富阳区非物质文化遗产馆，</w:t>
      </w:r>
      <w:r>
        <w:rPr>
          <w:rFonts w:hint="eastAsia"/>
        </w:rPr>
        <w:t>项目位于富阳区儿童公园，整个展览馆分为上下两层，总建筑面积为1800平方米，其中临时展厅250平方米，城市书屋220平方米，办公室、非遗传承讲习所、大厅非遗产品销售区其他空间为450平方米。二层为非遗主展陈列区，面积为880平方米。主要对非遗馆进行室内装饰装修、陈列布展和设备采购及安装等设计及</w:t>
      </w:r>
      <w:r>
        <w:rPr>
          <w:rFonts w:hint="eastAsia"/>
          <w:lang w:eastAsia="zh-CN"/>
        </w:rPr>
        <w:t>布展</w:t>
      </w:r>
      <w:r>
        <w:rPr>
          <w:rFonts w:hint="eastAsia"/>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备注： </w:t>
      </w:r>
      <w:r>
        <w:rPr>
          <w:rFonts w:hint="eastAsia" w:cs="仿宋"/>
          <w:color w:val="auto"/>
          <w:highlight w:val="none"/>
          <w:lang w:eastAsia="zh-CN"/>
        </w:rPr>
        <w:t>详见采购需求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合同履约期限：</w:t>
      </w:r>
      <w:r>
        <w:rPr>
          <w:rFonts w:hint="eastAsia" w:cs="仿宋"/>
          <w:color w:val="auto"/>
          <w:highlight w:val="none"/>
          <w:lang w:eastAsia="zh-CN"/>
        </w:rPr>
        <w:t>自合同签订之日起</w:t>
      </w:r>
      <w:r>
        <w:rPr>
          <w:rFonts w:hint="eastAsia" w:cs="仿宋"/>
          <w:color w:val="auto"/>
          <w:highlight w:val="none"/>
          <w:lang w:val="en-US" w:eastAsia="zh-CN"/>
        </w:rPr>
        <w:t>150天内完成。</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r>
        <w:rPr>
          <w:rFonts w:hint="eastAsia" w:ascii="仿宋" w:hAnsi="仿宋" w:eastAsia="仿宋" w:cs="仿宋"/>
          <w:color w:val="auto"/>
          <w:highlight w:val="none"/>
          <w:lang w:eastAsia="zh-CN"/>
        </w:rPr>
        <w:t>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3.本项目的特定资格要求：无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本项目（否）接受联合体投标。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5</w:t>
      </w:r>
      <w:r>
        <w:rPr>
          <w:rFonts w:hint="eastAsia" w:ascii="仿宋" w:hAnsi="仿宋" w:eastAsia="仿宋" w:cs="仿宋"/>
          <w:color w:val="auto"/>
          <w:highlight w:val="none"/>
          <w:lang w:val="en-US" w:eastAsia="zh-CN"/>
        </w:rPr>
        <w:t>.为本采购项目提供整体设计、规范编制或者项目管理、监理、检测等服务的供应商,不得再参加该采购项目的其他采购活动。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  时间：/至</w:t>
      </w:r>
      <w:r>
        <w:rPr>
          <w:rFonts w:hint="eastAsia" w:cs="仿宋"/>
          <w:color w:val="auto"/>
          <w:highlight w:val="none"/>
          <w:lang w:val="en-US" w:eastAsia="zh-CN"/>
        </w:rPr>
        <w:t>2022</w:t>
      </w:r>
      <w:r>
        <w:rPr>
          <w:rFonts w:hint="eastAsia" w:ascii="仿宋" w:hAnsi="仿宋" w:eastAsia="仿宋" w:cs="仿宋"/>
          <w:color w:val="auto"/>
          <w:highlight w:val="none"/>
        </w:rPr>
        <w:t>年</w:t>
      </w:r>
      <w:r>
        <w:rPr>
          <w:rFonts w:hint="eastAsia" w:cs="仿宋"/>
          <w:color w:val="auto"/>
          <w:highlight w:val="none"/>
          <w:lang w:val="en-US" w:eastAsia="zh-CN"/>
        </w:rPr>
        <w:t>3</w:t>
      </w:r>
      <w:r>
        <w:rPr>
          <w:rFonts w:hint="eastAsia" w:ascii="仿宋" w:hAnsi="仿宋" w:eastAsia="仿宋" w:cs="仿宋"/>
          <w:color w:val="auto"/>
          <w:highlight w:val="none"/>
        </w:rPr>
        <w:t>月</w:t>
      </w:r>
      <w:r>
        <w:rPr>
          <w:rFonts w:hint="eastAsia" w:cs="仿宋"/>
          <w:color w:val="auto"/>
          <w:highlight w:val="none"/>
          <w:lang w:val="en-US" w:eastAsia="zh-CN"/>
        </w:rPr>
        <w:t>3</w:t>
      </w:r>
      <w:r>
        <w:rPr>
          <w:rFonts w:hint="eastAsia" w:ascii="仿宋" w:hAnsi="仿宋" w:eastAsia="仿宋" w:cs="仿宋"/>
          <w:color w:val="auto"/>
          <w:highlight w:val="none"/>
        </w:rPr>
        <w:t>日 ，每天上午00:00至12:00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    地点（网址）：政采云平台（https://www.zcygov.cn/）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    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售价（元）：0 </w:t>
      </w:r>
    </w:p>
    <w:p>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仿宋" w:hAnsi="仿宋" w:eastAsia="仿宋" w:cs="仿宋"/>
          <w:b/>
          <w:bCs/>
          <w:color w:val="FF0000"/>
          <w:kern w:val="2"/>
          <w:sz w:val="24"/>
          <w:szCs w:val="24"/>
          <w:highlight w:val="none"/>
          <w:u w:val="none"/>
          <w:lang w:val="en-US" w:eastAsia="zh-CN" w:bidi="ar-SA"/>
        </w:rPr>
      </w:pPr>
      <w:r>
        <w:rPr>
          <w:rFonts w:hint="eastAsia"/>
          <w:b/>
          <w:bCs/>
          <w:highlight w:val="none"/>
          <w:lang w:val="en-US" w:eastAsia="zh-CN"/>
        </w:rPr>
        <w:t>获取招标文件的提示：</w:t>
      </w:r>
    </w:p>
    <w:p>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lang w:val="en-US" w:eastAsia="zh-CN" w:bidi="ar-SA"/>
        </w:rPr>
        <w:t>（1）</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 xml:space="preserve">，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9"/>
        <w:keepNext w:val="0"/>
        <w:keepLines w:val="0"/>
        <w:pageBreakBefore w:val="0"/>
        <w:widowControl w:val="0"/>
        <w:kinsoku/>
        <w:wordWrap/>
        <w:overflowPunct/>
        <w:topLinePunct w:val="0"/>
        <w:autoSpaceDE/>
        <w:autoSpaceDN/>
        <w:bidi w:val="0"/>
        <w:adjustRightInd/>
        <w:snapToGrid/>
        <w:spacing w:beforeLines="0" w:afterLines="0" w:line="460" w:lineRule="exact"/>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cs="仿宋"/>
          <w:color w:val="auto"/>
          <w:kern w:val="2"/>
          <w:sz w:val="24"/>
          <w:szCs w:val="24"/>
          <w:highlight w:val="none"/>
          <w:u w:val="none"/>
          <w:lang w:val="en-US" w:eastAsia="zh-CN" w:bidi="ar-SA"/>
        </w:rPr>
        <w:t>（2）</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    提交投标文件截止时间： </w:t>
      </w:r>
      <w:r>
        <w:rPr>
          <w:rFonts w:hint="eastAsia" w:cs="仿宋"/>
          <w:color w:val="auto"/>
          <w:lang w:val="en-US" w:eastAsia="zh-CN"/>
        </w:rPr>
        <w:t>2022</w:t>
      </w:r>
      <w:r>
        <w:rPr>
          <w:rFonts w:hint="eastAsia" w:ascii="仿宋" w:hAnsi="仿宋" w:eastAsia="仿宋" w:cs="仿宋"/>
          <w:color w:val="auto"/>
        </w:rPr>
        <w:t>年</w:t>
      </w:r>
      <w:r>
        <w:rPr>
          <w:rFonts w:hint="eastAsia" w:cs="仿宋"/>
          <w:color w:val="auto"/>
          <w:lang w:val="en-US" w:eastAsia="zh-CN"/>
        </w:rPr>
        <w:t>3</w:t>
      </w:r>
      <w:r>
        <w:rPr>
          <w:rFonts w:hint="eastAsia" w:ascii="仿宋" w:hAnsi="仿宋" w:eastAsia="仿宋" w:cs="仿宋"/>
          <w:color w:val="auto"/>
        </w:rPr>
        <w:t>月</w:t>
      </w:r>
      <w:r>
        <w:rPr>
          <w:rFonts w:hint="eastAsia" w:cs="仿宋"/>
          <w:color w:val="auto"/>
          <w:lang w:val="en-US" w:eastAsia="zh-CN"/>
        </w:rPr>
        <w:t>3</w:t>
      </w:r>
      <w:r>
        <w:rPr>
          <w:rFonts w:hint="eastAsia" w:ascii="仿宋" w:hAnsi="仿宋" w:eastAsia="仿宋" w:cs="仿宋"/>
          <w:color w:val="auto"/>
        </w:rPr>
        <w:t>日</w:t>
      </w:r>
      <w:r>
        <w:rPr>
          <w:rFonts w:hint="eastAsia" w:cs="仿宋"/>
          <w:color w:val="auto"/>
          <w:lang w:val="en-US" w:eastAsia="zh-CN"/>
        </w:rPr>
        <w:t>09</w:t>
      </w:r>
      <w:r>
        <w:rPr>
          <w:rFonts w:hint="eastAsia" w:cs="仿宋"/>
          <w:color w:val="auto"/>
          <w:lang w:eastAsia="zh-CN"/>
        </w:rPr>
        <w:t>时</w:t>
      </w:r>
      <w:r>
        <w:rPr>
          <w:rFonts w:hint="eastAsia" w:cs="仿宋"/>
          <w:color w:val="auto"/>
          <w:lang w:val="en-US" w:eastAsia="zh-CN"/>
        </w:rPr>
        <w:t>00</w:t>
      </w:r>
      <w:r>
        <w:rPr>
          <w:rFonts w:hint="eastAsia" w:cs="仿宋"/>
          <w:color w:val="auto"/>
          <w:lang w:eastAsia="zh-CN"/>
        </w:rPr>
        <w:t>分</w:t>
      </w:r>
      <w:r>
        <w:rPr>
          <w:rFonts w:hint="eastAsia" w:cs="仿宋"/>
          <w:color w:val="auto"/>
          <w:lang w:val="en-US" w:eastAsia="zh-CN"/>
        </w:rPr>
        <w:t>00</w:t>
      </w:r>
      <w:r>
        <w:rPr>
          <w:rFonts w:hint="eastAsia" w:cs="仿宋"/>
          <w:color w:val="auto"/>
          <w:lang w:eastAsia="zh-CN"/>
        </w:rPr>
        <w:t>秒</w:t>
      </w:r>
      <w:r>
        <w:rPr>
          <w:rFonts w:hint="eastAsia" w:ascii="仿宋" w:hAnsi="仿宋" w:eastAsia="仿宋" w:cs="仿宋"/>
          <w:color w:val="auto"/>
        </w:rPr>
        <w:t>（北京时间）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    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    开标时间： </w:t>
      </w:r>
      <w:r>
        <w:rPr>
          <w:rFonts w:hint="eastAsia" w:cs="仿宋"/>
          <w:color w:val="auto"/>
          <w:lang w:val="en-US" w:eastAsia="zh-CN"/>
        </w:rPr>
        <w:t>2022</w:t>
      </w:r>
      <w:r>
        <w:rPr>
          <w:rFonts w:hint="eastAsia" w:ascii="仿宋" w:hAnsi="仿宋" w:eastAsia="仿宋" w:cs="仿宋"/>
          <w:color w:val="auto"/>
        </w:rPr>
        <w:t>年</w:t>
      </w:r>
      <w:r>
        <w:rPr>
          <w:rFonts w:hint="eastAsia" w:cs="仿宋"/>
          <w:color w:val="auto"/>
          <w:lang w:val="en-US" w:eastAsia="zh-CN"/>
        </w:rPr>
        <w:t>3</w:t>
      </w:r>
      <w:r>
        <w:rPr>
          <w:rFonts w:hint="eastAsia" w:ascii="仿宋" w:hAnsi="仿宋" w:eastAsia="仿宋" w:cs="仿宋"/>
          <w:color w:val="auto"/>
        </w:rPr>
        <w:t>月</w:t>
      </w:r>
      <w:r>
        <w:rPr>
          <w:rFonts w:hint="eastAsia" w:cs="仿宋"/>
          <w:color w:val="auto"/>
          <w:lang w:val="en-US" w:eastAsia="zh-CN"/>
        </w:rPr>
        <w:t>3</w:t>
      </w:r>
      <w:r>
        <w:rPr>
          <w:rFonts w:hint="eastAsia" w:ascii="仿宋" w:hAnsi="仿宋" w:eastAsia="仿宋" w:cs="仿宋"/>
          <w:color w:val="auto"/>
        </w:rPr>
        <w:t>日</w:t>
      </w:r>
      <w:r>
        <w:rPr>
          <w:rFonts w:hint="eastAsia" w:cs="仿宋"/>
          <w:color w:val="auto"/>
          <w:lang w:val="en-US" w:eastAsia="zh-CN"/>
        </w:rPr>
        <w:t>09</w:t>
      </w:r>
      <w:r>
        <w:rPr>
          <w:rFonts w:hint="eastAsia" w:cs="仿宋"/>
          <w:color w:val="auto"/>
          <w:lang w:eastAsia="zh-CN"/>
        </w:rPr>
        <w:t>时</w:t>
      </w:r>
      <w:r>
        <w:rPr>
          <w:rFonts w:hint="eastAsia" w:cs="仿宋"/>
          <w:color w:val="auto"/>
          <w:lang w:val="en-US" w:eastAsia="zh-CN"/>
        </w:rPr>
        <w:t>00</w:t>
      </w:r>
      <w:r>
        <w:rPr>
          <w:rFonts w:hint="eastAsia" w:cs="仿宋"/>
          <w:color w:val="auto"/>
          <w:lang w:eastAsia="zh-CN"/>
        </w:rPr>
        <w:t>分</w:t>
      </w:r>
      <w:r>
        <w:rPr>
          <w:rFonts w:hint="eastAsia" w:cs="仿宋"/>
          <w:color w:val="auto"/>
          <w:lang w:val="en-US" w:eastAsia="zh-CN"/>
        </w:rPr>
        <w:t>00</w:t>
      </w:r>
      <w:r>
        <w:rPr>
          <w:rFonts w:hint="eastAsia" w:cs="仿宋"/>
          <w:color w:val="auto"/>
          <w:lang w:eastAsia="zh-CN"/>
        </w:rPr>
        <w:t>秒</w:t>
      </w:r>
      <w:r>
        <w:rPr>
          <w:rFonts w:hint="eastAsia" w:ascii="仿宋" w:hAnsi="仿宋" w:eastAsia="仿宋" w:cs="仿宋"/>
          <w:color w:val="auto"/>
        </w:rPr>
        <w:t>（北京时间）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rPr>
        <w:t xml:space="preserve">    </w:t>
      </w:r>
      <w:r>
        <w:rPr>
          <w:rFonts w:hint="eastAsia" w:ascii="仿宋" w:hAnsi="仿宋" w:eastAsia="仿宋" w:cs="仿宋"/>
          <w:highlight w:val="none"/>
        </w:rPr>
        <w:t>开标地点（网址）：</w:t>
      </w:r>
      <w:r>
        <w:rPr>
          <w:rFonts w:hint="eastAsia" w:ascii="仿宋" w:hAnsi="仿宋" w:eastAsia="仿宋" w:cs="仿宋"/>
          <w:bCs/>
          <w:color w:val="auto"/>
          <w:sz w:val="24"/>
          <w:szCs w:val="24"/>
          <w:highlight w:val="none"/>
          <w:lang w:val="en-US" w:eastAsia="zh-CN"/>
        </w:rPr>
        <w:t>杭州市富阳区鹿山街道江连街27号区行政审批服务管理办公室A座4楼</w:t>
      </w:r>
      <w:r>
        <w:rPr>
          <w:rFonts w:hint="eastAsia" w:cs="仿宋"/>
          <w:bCs/>
          <w:color w:val="auto"/>
          <w:sz w:val="24"/>
          <w:szCs w:val="24"/>
          <w:highlight w:val="none"/>
          <w:lang w:val="en-US" w:eastAsia="zh-CN"/>
        </w:rPr>
        <w:t>3号开标室</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，政采</w:t>
      </w:r>
      <w:r>
        <w:rPr>
          <w:rFonts w:hint="eastAsia" w:ascii="仿宋" w:hAnsi="仿宋" w:eastAsia="仿宋" w:cs="仿宋"/>
          <w:highlight w:val="none"/>
        </w:rPr>
        <w:t>云平台（https://www.zcygov.cn/）。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https://zfcg.czt.zj.gov.cn/innerUsed_noticeDetails/index.html?noticeId=7705307&amp;utm=web-government-front.49399a16.0.0.d265b9107fdb11ec82bd8776415d3287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自本公告发布之日起5个工作日。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rPr>
        <w:br w:type="textWrapping"/>
      </w:r>
      <w:r>
        <w:rPr>
          <w:rFonts w:hint="eastAsia" w:ascii="仿宋" w:hAnsi="仿宋" w:eastAsia="仿宋" w:cs="仿宋"/>
        </w:rPr>
        <w:t>    2.其他事项：</w:t>
      </w:r>
      <w:r>
        <w:rPr>
          <w:rFonts w:hint="eastAsia" w:ascii="仿宋" w:hAnsi="仿宋" w:eastAsia="仿宋" w:cs="仿宋"/>
          <w:highlight w:val="none"/>
        </w:rPr>
        <w:t>1.本采购项目，中标单位与采购人签订的政府采购合同适用于杭州市富阳区政府采购贷款政策，简称“政采贷”，具体内容可参阅《富阳区“政采贷”办理指引》https://mp.weixin.qq.com/s/6tyZ8daXvRqkU-EEVarAlQ</w:t>
      </w:r>
      <w:r>
        <w:rPr>
          <w:rFonts w:hint="eastAsia" w:ascii="仿宋" w:hAnsi="仿宋" w:eastAsia="仿宋" w:cs="仿宋"/>
          <w:highlight w:val="none"/>
        </w:rPr>
        <w:br w:type="textWrapping"/>
      </w:r>
      <w:r>
        <w:rPr>
          <w:rFonts w:hint="eastAsia" w:ascii="仿宋" w:hAnsi="仿宋" w:eastAsia="仿宋" w:cs="仿宋"/>
          <w:lang w:val="en-US" w:eastAsia="zh-CN"/>
        </w:rPr>
        <w:t xml:space="preserve">    </w:t>
      </w:r>
      <w:r>
        <w:rPr>
          <w:rFonts w:hint="eastAsia" w:cs="仿宋"/>
          <w:lang w:val="en-US" w:eastAsia="zh-CN"/>
        </w:rPr>
        <w:t>3</w:t>
      </w:r>
      <w:r>
        <w:rPr>
          <w:rFonts w:hint="eastAsia" w:ascii="仿宋" w:hAnsi="仿宋" w:eastAsia="仿宋" w:cs="仿宋"/>
        </w:rPr>
        <w:t>.落实政府采购政策：包括保护环境、节约能源、促进中小企业发展等。详见招标文件投标人须知。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1.采购人信息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名    称：杭州市富阳区文化和广电旅游体育局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lang w:val="en-US" w:eastAsia="zh-CN"/>
        </w:rPr>
      </w:pPr>
      <w:r>
        <w:rPr>
          <w:rFonts w:hint="eastAsia" w:ascii="仿宋" w:hAnsi="仿宋" w:eastAsia="仿宋" w:cs="仿宋"/>
        </w:rPr>
        <w:t>地    址：</w:t>
      </w:r>
      <w:r>
        <w:rPr>
          <w:rFonts w:hint="eastAsia" w:cs="仿宋"/>
          <w:lang w:eastAsia="zh-CN"/>
        </w:rPr>
        <w:t>富阳区江滨西大道</w:t>
      </w:r>
      <w:r>
        <w:rPr>
          <w:rFonts w:hint="eastAsia" w:cs="仿宋"/>
          <w:lang w:val="en-US" w:eastAsia="zh-CN"/>
        </w:rPr>
        <w:t>358号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r>
        <w:rPr>
          <w:rFonts w:hint="eastAsia" w:ascii="仿宋" w:hAnsi="仿宋" w:eastAsia="仿宋" w:cs="仿宋"/>
        </w:rPr>
        <w:t>传    真：</w:t>
      </w:r>
      <w:r>
        <w:rPr>
          <w:rFonts w:hint="eastAsia" w:cs="仿宋"/>
          <w:lang w:val="en-US" w:eastAsia="zh-CN"/>
        </w:rPr>
        <w:t>/</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项目联系人（询问）：</w:t>
      </w:r>
      <w:r>
        <w:rPr>
          <w:rFonts w:hint="eastAsia" w:cs="仿宋"/>
          <w:lang w:val="en-US" w:eastAsia="zh-CN"/>
        </w:rPr>
        <w:t>李刚</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lang w:val="en-US" w:eastAsia="zh-CN"/>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项目联系方式（询问）：</w:t>
      </w:r>
      <w:r>
        <w:rPr>
          <w:rFonts w:hint="eastAsia" w:cs="仿宋"/>
          <w:lang w:val="en-US" w:eastAsia="zh-CN"/>
        </w:rPr>
        <w:t>0571-61790808</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质疑联系人：</w:t>
      </w:r>
      <w:r>
        <w:rPr>
          <w:rFonts w:hint="eastAsia" w:cs="仿宋"/>
          <w:lang w:eastAsia="zh-CN"/>
        </w:rPr>
        <w:t>董元鑫</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lang w:val="en-US"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质疑联系方式：</w:t>
      </w:r>
      <w:r>
        <w:rPr>
          <w:rFonts w:hint="eastAsia" w:cs="仿宋"/>
          <w:lang w:val="en-US" w:eastAsia="zh-CN"/>
        </w:rPr>
        <w:t>0571-63129702</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2.采购代理机构信息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名  称：杭州好邦建筑工程咨询有限公司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r>
        <w:rPr>
          <w:rFonts w:hint="eastAsia" w:ascii="仿宋" w:hAnsi="仿宋" w:eastAsia="仿宋" w:cs="仿宋"/>
        </w:rPr>
        <w:t>地  址：杭州市富阳区富春街道钢圈厂路41号2楼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r>
        <w:rPr>
          <w:rFonts w:hint="eastAsia" w:ascii="仿宋" w:hAnsi="仿宋" w:eastAsia="仿宋" w:cs="仿宋"/>
        </w:rPr>
        <w:t>传  真：0571-58981666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r>
        <w:rPr>
          <w:rFonts w:hint="eastAsia" w:ascii="仿宋" w:hAnsi="仿宋" w:eastAsia="仿宋" w:cs="仿宋"/>
        </w:rPr>
        <w:t>电子邮箱：1181378055@qq.com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r>
        <w:rPr>
          <w:rFonts w:hint="eastAsia" w:ascii="仿宋" w:hAnsi="仿宋" w:eastAsia="仿宋" w:cs="仿宋"/>
        </w:rPr>
        <w:t xml:space="preserve">项目联系人（询问）：方凯聪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lang w:val="en-US" w:eastAsia="zh-CN"/>
        </w:rPr>
      </w:pPr>
      <w:r>
        <w:rPr>
          <w:rFonts w:hint="eastAsia" w:ascii="仿宋" w:hAnsi="仿宋" w:eastAsia="仿宋" w:cs="仿宋"/>
        </w:rPr>
        <w:t>项目联系方式（询问）：</w:t>
      </w:r>
      <w:r>
        <w:rPr>
          <w:rFonts w:hint="eastAsia" w:cs="仿宋"/>
          <w:lang w:val="en-US" w:eastAsia="zh-CN"/>
        </w:rPr>
        <w:t>18268005770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r>
        <w:rPr>
          <w:rFonts w:hint="eastAsia" w:ascii="仿宋" w:hAnsi="仿宋" w:eastAsia="仿宋" w:cs="仿宋"/>
        </w:rPr>
        <w:t>质疑联系人：</w:t>
      </w:r>
      <w:r>
        <w:rPr>
          <w:rFonts w:hint="eastAsia" w:cs="仿宋"/>
          <w:lang w:eastAsia="zh-CN"/>
        </w:rPr>
        <w:t>马萍萍</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rPr>
      </w:pPr>
      <w:r>
        <w:rPr>
          <w:rFonts w:hint="eastAsia" w:ascii="仿宋" w:hAnsi="仿宋" w:eastAsia="仿宋" w:cs="仿宋"/>
        </w:rPr>
        <w:t>质疑联系方式：0571-58981666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3.同级政府采购监督管理部门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    名    称：杭州市富阳区财政局采监科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    地    址：杭州市富阳区富春路11号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    传    真：/             </w:t>
      </w:r>
    </w:p>
    <w:p>
      <w:pPr>
        <w:keepNext w:val="0"/>
        <w:keepLines w:val="0"/>
        <w:pageBreakBefore w:val="0"/>
        <w:widowControl w:val="0"/>
        <w:kinsoku/>
        <w:wordWrap/>
        <w:overflowPunct/>
        <w:topLinePunct w:val="0"/>
        <w:autoSpaceDE/>
        <w:autoSpaceDN/>
        <w:bidi w:val="0"/>
        <w:adjustRightInd/>
        <w:snapToGrid/>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 ：银霖             </w:t>
      </w:r>
    </w:p>
    <w:p>
      <w:pPr>
        <w:keepNext w:val="0"/>
        <w:keepLines w:val="0"/>
        <w:pageBreakBefore w:val="0"/>
        <w:widowControl w:val="0"/>
        <w:kinsoku/>
        <w:wordWrap/>
        <w:overflowPunct/>
        <w:topLinePunct w:val="0"/>
        <w:autoSpaceDE/>
        <w:autoSpaceDN/>
        <w:bidi w:val="0"/>
        <w:adjustRightInd/>
        <w:snapToGrid/>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监督投诉电话：</w:t>
      </w:r>
      <w:r>
        <w:rPr>
          <w:rFonts w:hint="eastAsia" w:cs="仿宋"/>
          <w:color w:val="auto"/>
          <w:highlight w:val="none"/>
          <w:lang w:val="en-US" w:eastAsia="zh-CN"/>
        </w:rPr>
        <w:t>0</w:t>
      </w:r>
      <w:r>
        <w:rPr>
          <w:rFonts w:hint="eastAsia" w:ascii="仿宋" w:hAnsi="仿宋" w:eastAsia="仿宋" w:cs="仿宋"/>
          <w:color w:val="auto"/>
          <w:highlight w:val="none"/>
        </w:rPr>
        <w:t>571-61772959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pPr>
        <w:jc w:val="right"/>
        <w:rPr>
          <w:rFonts w:hint="eastAsia"/>
          <w:color w:val="auto"/>
          <w:highlight w:val="none"/>
          <w:lang w:eastAsia="zh-CN"/>
        </w:rPr>
      </w:pPr>
    </w:p>
    <w:p>
      <w:pPr>
        <w:jc w:val="right"/>
        <w:rPr>
          <w:rFonts w:hint="eastAsia"/>
          <w:color w:val="auto"/>
          <w:highlight w:val="none"/>
          <w:lang w:eastAsia="zh-CN"/>
        </w:rPr>
      </w:pPr>
    </w:p>
    <w:p>
      <w:pPr>
        <w:jc w:val="right"/>
        <w:rPr>
          <w:rFonts w:hint="eastAsia" w:eastAsia="仿宋"/>
          <w:color w:val="auto"/>
          <w:highlight w:val="none"/>
          <w:lang w:eastAsia="zh-CN"/>
        </w:rPr>
      </w:pPr>
      <w:r>
        <w:rPr>
          <w:rFonts w:hint="eastAsia"/>
          <w:color w:val="auto"/>
          <w:highlight w:val="none"/>
          <w:lang w:eastAsia="zh-CN"/>
        </w:rPr>
        <w:t>杭州市富阳区文化和广电旅游体育局</w:t>
      </w:r>
    </w:p>
    <w:p>
      <w:pPr>
        <w:jc w:val="right"/>
        <w:rPr>
          <w:rFonts w:hint="eastAsia"/>
          <w:color w:val="auto"/>
          <w:highlight w:val="none"/>
        </w:rPr>
      </w:pPr>
      <w:r>
        <w:rPr>
          <w:rFonts w:hint="eastAsia"/>
          <w:color w:val="auto"/>
          <w:highlight w:val="none"/>
        </w:rPr>
        <w:t>杭州好邦建筑工程咨询有限公司</w:t>
      </w:r>
    </w:p>
    <w:p>
      <w:pPr>
        <w:jc w:val="right"/>
        <w:rPr>
          <w:color w:val="auto"/>
          <w:highlight w:val="none"/>
        </w:rPr>
      </w:pPr>
      <w:r>
        <w:rPr>
          <w:rFonts w:hint="eastAsia"/>
          <w:color w:val="auto"/>
          <w:highlight w:val="none"/>
        </w:rPr>
        <w:t xml:space="preserve">   2021年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b/>
          <w:sz w:val="36"/>
          <w:szCs w:val="36"/>
        </w:rPr>
      </w:pPr>
      <w:r>
        <w:rPr>
          <w:b/>
          <w:sz w:val="36"/>
          <w:szCs w:val="36"/>
        </w:rPr>
        <w:br w:type="page"/>
      </w:r>
    </w:p>
    <w:p>
      <w:pPr>
        <w:pageBreakBefore w:val="0"/>
        <w:kinsoku/>
        <w:bidi w:val="0"/>
        <w:spacing w:beforeAutospacing="0" w:afterAutospacing="0" w:line="440" w:lineRule="exact"/>
        <w:rPr>
          <w:b/>
          <w:sz w:val="36"/>
          <w:szCs w:val="36"/>
        </w:rPr>
      </w:pPr>
    </w:p>
    <w:p>
      <w:pPr>
        <w:pStyle w:val="6"/>
        <w:pageBreakBefore w:val="0"/>
        <w:kinsoku/>
        <w:bidi w:val="0"/>
        <w:spacing w:beforeAutospacing="0" w:afterAutospacing="0" w:line="440" w:lineRule="exact"/>
      </w:pPr>
      <w:bookmarkStart w:id="1" w:name="_Toc236940849"/>
      <w:r>
        <w:rPr>
          <w:rFonts w:hint="eastAsia"/>
        </w:rPr>
        <w:t>第二章  投标人须知</w:t>
      </w:r>
      <w:bookmarkEnd w:id="1"/>
    </w:p>
    <w:p>
      <w:pPr>
        <w:pStyle w:val="7"/>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rFonts w:hint="eastAsia" w:eastAsia="仿宋"/>
                <w:color w:val="auto"/>
                <w:highlight w:val="none"/>
                <w:lang w:eastAsia="zh-CN"/>
              </w:rPr>
            </w:pPr>
            <w:r>
              <w:rPr>
                <w:rFonts w:hint="eastAsia"/>
                <w:color w:val="auto"/>
                <w:highlight w:val="none"/>
                <w:lang w:eastAsia="zh-CN"/>
              </w:rPr>
              <w:t>杭州市富阳区非物质文化遗产馆陈设布展项目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rPr>
                <w:color w:val="auto"/>
              </w:rPr>
            </w:pPr>
            <w:r>
              <w:rPr>
                <w:rFonts w:hint="eastAsia"/>
                <w:color w:val="auto"/>
              </w:rPr>
              <w:t>（1）预算资金。</w:t>
            </w:r>
          </w:p>
          <w:p>
            <w:pPr>
              <w:wordWrap w:val="0"/>
              <w:topLinePunct/>
              <w:snapToGrid w:val="0"/>
              <w:rPr>
                <w:rFonts w:hint="eastAsia" w:eastAsia="仿宋"/>
                <w:color w:val="auto"/>
                <w:lang w:eastAsia="zh-CN"/>
              </w:rPr>
            </w:pPr>
            <w:r>
              <w:rPr>
                <w:rFonts w:hint="eastAsia"/>
                <w:color w:val="auto"/>
              </w:rPr>
              <w:t>（2）本项目预算</w:t>
            </w:r>
            <w:r>
              <w:rPr>
                <w:rFonts w:hint="eastAsia"/>
                <w:color w:val="auto"/>
                <w:highlight w:val="none"/>
              </w:rPr>
              <w:t>价为</w:t>
            </w:r>
            <w:r>
              <w:rPr>
                <w:rFonts w:hint="eastAsia"/>
                <w:color w:val="auto"/>
                <w:highlight w:val="none"/>
                <w:lang w:val="en-US" w:eastAsia="zh-CN"/>
              </w:rPr>
              <w:t>900</w:t>
            </w:r>
            <w:r>
              <w:rPr>
                <w:rFonts w:hint="eastAsia"/>
                <w:color w:val="auto"/>
                <w:highlight w:val="none"/>
              </w:rPr>
              <w:t>万元，最高限价为</w:t>
            </w:r>
            <w:r>
              <w:rPr>
                <w:rFonts w:hint="eastAsia"/>
                <w:color w:val="auto"/>
                <w:highlight w:val="none"/>
                <w:lang w:val="en-US" w:eastAsia="zh-CN"/>
              </w:rPr>
              <w:t>900</w:t>
            </w:r>
            <w:r>
              <w:rPr>
                <w:rFonts w:hint="eastAsia"/>
                <w:color w:val="auto"/>
                <w:highlight w:val="none"/>
              </w:rPr>
              <w:t xml:space="preserve">万元 </w:t>
            </w:r>
            <w:r>
              <w:rPr>
                <w:rFonts w:hint="eastAsia"/>
                <w:color w:val="auto"/>
                <w:highlight w:val="none"/>
                <w:lang w:eastAsia="zh-CN"/>
              </w:rPr>
              <w:t>，超过最高限价的投标无效。</w:t>
            </w:r>
          </w:p>
          <w:p>
            <w:pPr>
              <w:wordWrap w:val="0"/>
              <w:topLinePunct/>
              <w:snapToGrid w:val="0"/>
              <w:rPr>
                <w:rFonts w:hint="default" w:eastAsia="仿宋"/>
                <w:color w:val="auto"/>
                <w:lang w:val="en-US" w:eastAsia="zh-CN"/>
              </w:rPr>
            </w:pPr>
            <w:r>
              <w:rPr>
                <w:rFonts w:hint="eastAsia"/>
                <w:color w:val="auto"/>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rPr>
              <w:t> </w:t>
            </w:r>
            <w:r>
              <w:rPr>
                <w:rFonts w:hint="eastAsia" w:cs="仿宋"/>
                <w:color w:val="auto"/>
                <w:lang w:val="en-US" w:eastAsia="zh-CN"/>
              </w:rPr>
              <w:t>2022</w:t>
            </w:r>
            <w:r>
              <w:rPr>
                <w:rFonts w:hint="eastAsia" w:ascii="仿宋" w:hAnsi="仿宋" w:eastAsia="仿宋" w:cs="仿宋"/>
                <w:color w:val="auto"/>
              </w:rPr>
              <w:t>年</w:t>
            </w:r>
            <w:r>
              <w:rPr>
                <w:rFonts w:hint="eastAsia" w:cs="仿宋"/>
                <w:color w:val="auto"/>
                <w:lang w:val="en-US" w:eastAsia="zh-CN"/>
              </w:rPr>
              <w:t>3</w:t>
            </w:r>
            <w:r>
              <w:rPr>
                <w:rFonts w:hint="eastAsia" w:ascii="仿宋" w:hAnsi="仿宋" w:eastAsia="仿宋" w:cs="仿宋"/>
                <w:color w:val="auto"/>
              </w:rPr>
              <w:t>月</w:t>
            </w:r>
            <w:r>
              <w:rPr>
                <w:rFonts w:hint="eastAsia" w:cs="仿宋"/>
                <w:color w:val="auto"/>
                <w:lang w:val="en-US" w:eastAsia="zh-CN"/>
              </w:rPr>
              <w:t>3</w:t>
            </w:r>
            <w:r>
              <w:rPr>
                <w:rFonts w:hint="eastAsia" w:ascii="仿宋" w:hAnsi="仿宋" w:eastAsia="仿宋" w:cs="仿宋"/>
                <w:color w:val="auto"/>
              </w:rPr>
              <w:t>日</w:t>
            </w:r>
            <w:r>
              <w:rPr>
                <w:rFonts w:hint="eastAsia" w:cs="仿宋"/>
                <w:color w:val="auto"/>
                <w:lang w:val="en-US" w:eastAsia="zh-CN"/>
              </w:rPr>
              <w:t>09</w:t>
            </w:r>
            <w:r>
              <w:rPr>
                <w:rFonts w:hint="eastAsia" w:cs="仿宋"/>
                <w:color w:val="auto"/>
                <w:lang w:eastAsia="zh-CN"/>
              </w:rPr>
              <w:t>时</w:t>
            </w:r>
            <w:r>
              <w:rPr>
                <w:rFonts w:hint="eastAsia" w:cs="仿宋"/>
                <w:color w:val="auto"/>
                <w:lang w:val="en-US" w:eastAsia="zh-CN"/>
              </w:rPr>
              <w:t>00</w:t>
            </w:r>
            <w:r>
              <w:rPr>
                <w:rFonts w:hint="eastAsia" w:cs="仿宋"/>
                <w:color w:val="auto"/>
                <w:lang w:eastAsia="zh-CN"/>
              </w:rPr>
              <w:t>分</w:t>
            </w:r>
            <w:r>
              <w:rPr>
                <w:rFonts w:hint="eastAsia" w:cs="仿宋"/>
                <w:color w:val="auto"/>
                <w:lang w:val="en-US" w:eastAsia="zh-CN"/>
              </w:rPr>
              <w:t>00</w:t>
            </w:r>
            <w:r>
              <w:rPr>
                <w:rFonts w:hint="eastAsia" w:cs="仿宋"/>
                <w:color w:val="auto"/>
                <w:lang w:eastAsia="zh-CN"/>
              </w:rPr>
              <w:t>秒</w:t>
            </w:r>
            <w:r>
              <w:rPr>
                <w:rFonts w:hint="eastAsia" w:ascii="仿宋" w:hAnsi="仿宋" w:eastAsia="仿宋" w:cs="仿宋"/>
                <w:color w:val="auto"/>
                <w:highlight w:val="none"/>
              </w:rPr>
              <w:t>止</w:t>
            </w:r>
            <w:r>
              <w:rPr>
                <w:rFonts w:hint="eastAsia" w:cs="仿宋"/>
                <w:color w:val="auto"/>
                <w:highlight w:val="none"/>
                <w:lang w:val="en-US" w:eastAsia="zh-CN"/>
              </w:rPr>
              <w:t>(北京时间）</w:t>
            </w:r>
          </w:p>
          <w:p>
            <w:pPr>
              <w:pStyle w:val="107"/>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（1）开标时间：</w:t>
            </w:r>
            <w:r>
              <w:rPr>
                <w:rFonts w:hint="eastAsia" w:cs="仿宋"/>
                <w:color w:val="auto"/>
                <w:lang w:val="en-US" w:eastAsia="zh-CN"/>
              </w:rPr>
              <w:t>2022</w:t>
            </w:r>
            <w:r>
              <w:rPr>
                <w:rFonts w:hint="eastAsia" w:ascii="仿宋" w:hAnsi="仿宋" w:eastAsia="仿宋" w:cs="仿宋"/>
                <w:color w:val="auto"/>
              </w:rPr>
              <w:t>年</w:t>
            </w:r>
            <w:r>
              <w:rPr>
                <w:rFonts w:hint="eastAsia" w:cs="仿宋"/>
                <w:color w:val="auto"/>
                <w:lang w:val="en-US" w:eastAsia="zh-CN"/>
              </w:rPr>
              <w:t>3</w:t>
            </w:r>
            <w:r>
              <w:rPr>
                <w:rFonts w:hint="eastAsia" w:ascii="仿宋" w:hAnsi="仿宋" w:eastAsia="仿宋" w:cs="仿宋"/>
                <w:color w:val="auto"/>
              </w:rPr>
              <w:t>月</w:t>
            </w:r>
            <w:r>
              <w:rPr>
                <w:rFonts w:hint="eastAsia" w:cs="仿宋"/>
                <w:color w:val="auto"/>
                <w:lang w:val="en-US" w:eastAsia="zh-CN"/>
              </w:rPr>
              <w:t>3</w:t>
            </w:r>
            <w:r>
              <w:rPr>
                <w:rFonts w:hint="eastAsia" w:ascii="仿宋" w:hAnsi="仿宋" w:eastAsia="仿宋" w:cs="仿宋"/>
                <w:color w:val="auto"/>
              </w:rPr>
              <w:t>日</w:t>
            </w:r>
            <w:r>
              <w:rPr>
                <w:rFonts w:hint="eastAsia" w:cs="仿宋"/>
                <w:color w:val="auto"/>
                <w:lang w:val="en-US" w:eastAsia="zh-CN"/>
              </w:rPr>
              <w:t>09</w:t>
            </w:r>
            <w:r>
              <w:rPr>
                <w:rFonts w:hint="eastAsia" w:cs="仿宋"/>
                <w:color w:val="auto"/>
                <w:lang w:eastAsia="zh-CN"/>
              </w:rPr>
              <w:t>时</w:t>
            </w:r>
            <w:r>
              <w:rPr>
                <w:rFonts w:hint="eastAsia" w:cs="仿宋"/>
                <w:color w:val="auto"/>
                <w:lang w:val="en-US" w:eastAsia="zh-CN"/>
              </w:rPr>
              <w:t>00</w:t>
            </w:r>
            <w:r>
              <w:rPr>
                <w:rFonts w:hint="eastAsia" w:cs="仿宋"/>
                <w:color w:val="auto"/>
                <w:lang w:eastAsia="zh-CN"/>
              </w:rPr>
              <w:t>分</w:t>
            </w:r>
            <w:r>
              <w:rPr>
                <w:rFonts w:hint="eastAsia" w:cs="仿宋"/>
                <w:color w:val="auto"/>
                <w:lang w:val="en-US" w:eastAsia="zh-CN"/>
              </w:rPr>
              <w:t>00</w:t>
            </w:r>
            <w:r>
              <w:rPr>
                <w:rFonts w:hint="eastAsia" w:cs="仿宋"/>
                <w:color w:val="auto"/>
                <w:lang w:eastAsia="zh-CN"/>
              </w:rPr>
              <w:t>秒</w:t>
            </w:r>
            <w:r>
              <w:rPr>
                <w:rFonts w:hint="eastAsia" w:ascii="仿宋" w:hAnsi="仿宋" w:eastAsia="仿宋" w:cs="仿宋"/>
                <w:color w:val="auto"/>
                <w:highlight w:val="none"/>
              </w:rPr>
              <w:t>止</w:t>
            </w:r>
            <w:r>
              <w:rPr>
                <w:rFonts w:hint="eastAsia" w:cs="仿宋"/>
                <w:color w:val="auto"/>
                <w:highlight w:val="none"/>
                <w:lang w:val="en-US" w:eastAsia="zh-CN"/>
              </w:rPr>
              <w:t>(北京时间）</w:t>
            </w:r>
          </w:p>
          <w:p>
            <w:pPr>
              <w:pStyle w:val="107"/>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eastAsia="仿宋" w:cs="仿宋"/>
                <w:bCs/>
                <w:color w:val="auto"/>
                <w:sz w:val="24"/>
                <w:szCs w:val="24"/>
                <w:highlight w:val="none"/>
                <w:lang w:val="en-US" w:eastAsia="zh-CN"/>
              </w:rPr>
              <w:t>杭州市富阳区鹿山街道江连街27号区行政审批服务管理办公室A座4楼</w:t>
            </w:r>
            <w:r>
              <w:rPr>
                <w:rFonts w:hint="eastAsia" w:ascii="仿宋" w:hAnsi="仿宋" w:cs="仿宋"/>
                <w:bCs/>
                <w:color w:val="auto"/>
                <w:sz w:val="24"/>
                <w:szCs w:val="24"/>
                <w:highlight w:val="none"/>
                <w:lang w:val="en-US" w:eastAsia="zh-CN"/>
              </w:rPr>
              <w:t>3号开标室</w:t>
            </w:r>
            <w:r>
              <w:rPr>
                <w:rFonts w:hint="eastAsia" w:ascii="仿宋" w:hAnsi="仿宋" w:cs="Arial"/>
                <w:color w:val="auto"/>
                <w:szCs w:val="24"/>
                <w:highlight w:val="none"/>
              </w:rPr>
              <w:t>。</w:t>
            </w:r>
            <w:r>
              <w:rPr>
                <w:rFonts w:hint="eastAsia" w:ascii="仿宋" w:hAnsi="仿宋"/>
                <w:color w:val="auto"/>
                <w:szCs w:val="24"/>
                <w:highlight w:val="none"/>
              </w:rPr>
              <w:t>政采云平台(https://www.zcygov.cn/)；本项目全流程电子标，无须参加现场开标会议</w:t>
            </w:r>
            <w:r>
              <w:rPr>
                <w:rFonts w:hint="eastAsia" w:cs="仿宋"/>
                <w:b w:val="0"/>
                <w:bCs w:val="0"/>
                <w:color w:val="auto"/>
                <w:sz w:val="24"/>
                <w:szCs w:val="24"/>
                <w:highlight w:val="none"/>
                <w:lang w:eastAsia="zh-CN"/>
              </w:rPr>
              <w:t>（</w:t>
            </w:r>
            <w:r>
              <w:rPr>
                <w:rFonts w:hint="eastAsia" w:cs="仿宋"/>
                <w:b w:val="0"/>
                <w:bCs w:val="0"/>
                <w:color w:val="auto"/>
                <w:sz w:val="24"/>
                <w:szCs w:val="24"/>
                <w:highlight w:val="none"/>
                <w:lang w:val="en-US" w:eastAsia="zh-CN"/>
              </w:rPr>
              <w:t>需</w:t>
            </w:r>
            <w:r>
              <w:rPr>
                <w:rFonts w:hint="eastAsia"/>
                <w:b/>
                <w:bCs/>
                <w:color w:val="auto"/>
                <w:highlight w:val="none"/>
              </w:rPr>
              <w:t>现场演示</w:t>
            </w:r>
            <w:r>
              <w:rPr>
                <w:rFonts w:hint="eastAsia"/>
                <w:b/>
                <w:bCs/>
                <w:color w:val="auto"/>
                <w:highlight w:val="none"/>
                <w:lang w:val="en-US" w:eastAsia="zh-CN"/>
              </w:rPr>
              <w:t>除外</w:t>
            </w:r>
            <w:r>
              <w:rPr>
                <w:rFonts w:hint="eastAsia" w:cs="仿宋"/>
                <w:b w:val="0"/>
                <w:bCs w:val="0"/>
                <w:color w:val="auto"/>
                <w:sz w:val="24"/>
                <w:szCs w:val="24"/>
                <w:highlight w:val="none"/>
                <w:lang w:eastAsia="zh-CN"/>
              </w:rPr>
              <w:t>）</w:t>
            </w:r>
            <w:r>
              <w:rPr>
                <w:rFonts w:hint="eastAsia" w:ascii="仿宋" w:hAnsi="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cs="Arial"/>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（1）本项目投标应以人民币报价。</w:t>
            </w:r>
          </w:p>
          <w:p>
            <w:pPr>
              <w:pageBreakBefore w:val="0"/>
              <w:kinsoku/>
              <w:wordWrap w:val="0"/>
              <w:topLinePunct/>
              <w:bidi w:val="0"/>
              <w:snapToGrid w:val="0"/>
              <w:spacing w:beforeAutospacing="0" w:afterAutospacing="0" w:line="440" w:lineRule="exact"/>
            </w:pPr>
            <w:r>
              <w:rPr>
                <w:rFonts w:hint="eastAsia"/>
              </w:rPr>
              <w:t>（2）不论投标结果如何，投标人均应自行承担所有与投标有关的全部费用。</w:t>
            </w:r>
          </w:p>
          <w:p>
            <w:pPr>
              <w:pStyle w:val="107"/>
              <w:pageBreakBefore w:val="0"/>
              <w:kinsoku/>
              <w:wordWrap w:val="0"/>
              <w:topLinePunct/>
              <w:bidi w:val="0"/>
              <w:spacing w:before="0" w:beforeAutospacing="0" w:after="0" w:afterAutospacing="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cs="Arial"/>
              </w:rPr>
            </w:pPr>
            <w:r>
              <w:rPr>
                <w:rFonts w:hint="eastAsia" w:cs="Arial"/>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（1）本项目不允许转包</w:t>
            </w:r>
          </w:p>
          <w:p>
            <w:pPr>
              <w:pStyle w:val="107"/>
              <w:pageBreakBefore w:val="0"/>
              <w:kinsoku/>
              <w:wordWrap w:val="0"/>
              <w:topLinePunct/>
              <w:bidi w:val="0"/>
              <w:spacing w:before="0" w:beforeAutospacing="0" w:after="0" w:afterAutospacing="0" w:line="440" w:lineRule="exact"/>
              <w:ind w:left="0"/>
              <w:rPr>
                <w:rFonts w:hint="eastAsia" w:ascii="仿宋" w:hAnsi="仿宋" w:eastAsia="仿宋"/>
                <w:szCs w:val="24"/>
                <w:lang w:val="en-US" w:eastAsia="zh-CN"/>
              </w:rPr>
            </w:pPr>
            <w:r>
              <w:rPr>
                <w:rFonts w:hint="eastAsia" w:ascii="仿宋" w:hAnsi="仿宋"/>
                <w:kern w:val="3"/>
                <w:szCs w:val="24"/>
              </w:rPr>
              <w:t>（2）</w:t>
            </w:r>
            <w:r>
              <w:rPr>
                <w:rFonts w:hint="eastAsia" w:ascii="仿宋" w:hAnsi="仿宋"/>
                <w:szCs w:val="24"/>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val="0"/>
              <w:topLinePunct/>
              <w:bidi w:val="0"/>
              <w:snapToGrid w:val="0"/>
              <w:spacing w:beforeAutospacing="0" w:afterAutospacing="0" w:line="440" w:lineRule="exact"/>
              <w:rPr>
                <w:color w:val="auto"/>
                <w:highlight w:val="none"/>
              </w:rPr>
            </w:pPr>
            <w:r>
              <w:rPr>
                <w:rFonts w:hint="eastAsia"/>
                <w:color w:val="auto"/>
                <w:highlight w:val="none"/>
              </w:rPr>
              <w:t>开标前答疑会：不组织</w:t>
            </w:r>
          </w:p>
          <w:p>
            <w:pPr>
              <w:pageBreakBefore w:val="0"/>
              <w:numPr>
                <w:ilvl w:val="0"/>
                <w:numId w:val="1"/>
              </w:numPr>
              <w:kinsoku/>
              <w:wordWrap w:val="0"/>
              <w:topLinePunct/>
              <w:bidi w:val="0"/>
              <w:snapToGrid w:val="0"/>
              <w:spacing w:beforeAutospacing="0" w:afterAutospacing="0" w:line="440" w:lineRule="exact"/>
              <w:rPr>
                <w:highlight w:val="none"/>
              </w:rPr>
            </w:pPr>
            <w:r>
              <w:rPr>
                <w:rFonts w:hint="eastAsia"/>
                <w:highlight w:val="none"/>
              </w:rPr>
              <w:t>现场踏勘：不统一组织，如需现场踏勘，请潜在投标人自行联系采购人进行踏勘。</w:t>
            </w:r>
          </w:p>
          <w:p>
            <w:pPr>
              <w:pageBreakBefore w:val="0"/>
              <w:kinsoku/>
              <w:wordWrap w:val="0"/>
              <w:topLinePunct/>
              <w:bidi w:val="0"/>
              <w:snapToGrid w:val="0"/>
              <w:spacing w:beforeAutospacing="0" w:afterAutospacing="0" w:line="440" w:lineRule="exact"/>
              <w:rPr>
                <w:rFonts w:hint="eastAsia" w:eastAsia="仿宋" w:cs="Arial"/>
                <w:highlight w:val="none"/>
                <w:lang w:eastAsia="zh-CN"/>
              </w:rPr>
            </w:pPr>
            <w:r>
              <w:rPr>
                <w:rFonts w:hint="eastAsia" w:cs="Arial"/>
                <w:color w:val="auto"/>
                <w:highlight w:val="none"/>
              </w:rPr>
              <w:t>采购人联系方式：联系人：</w:t>
            </w:r>
            <w:r>
              <w:rPr>
                <w:rFonts w:hint="eastAsia" w:cs="Arial"/>
                <w:color w:val="auto"/>
                <w:highlight w:val="none"/>
                <w:lang w:eastAsia="zh-CN"/>
              </w:rPr>
              <w:t>李刚</w:t>
            </w:r>
            <w:r>
              <w:rPr>
                <w:rFonts w:hint="eastAsia" w:cs="宋体"/>
                <w:bCs/>
                <w:color w:val="auto"/>
                <w:kern w:val="0"/>
                <w:sz w:val="24"/>
                <w:szCs w:val="24"/>
                <w:highlight w:val="none"/>
                <w:lang w:val="en-US" w:eastAsia="zh-CN"/>
              </w:rPr>
              <w:t xml:space="preserve">  </w:t>
            </w:r>
            <w:r>
              <w:rPr>
                <w:rFonts w:hint="eastAsia"/>
                <w:color w:val="auto"/>
                <w:highlight w:val="none"/>
              </w:rPr>
              <w:t xml:space="preserve">  </w:t>
            </w:r>
            <w:r>
              <w:rPr>
                <w:rFonts w:hint="eastAsia" w:cs="Arial"/>
                <w:color w:val="auto"/>
                <w:highlight w:val="none"/>
              </w:rPr>
              <w:t>联系电话：</w:t>
            </w:r>
            <w:r>
              <w:rPr>
                <w:rFonts w:hint="eastAsia"/>
                <w:color w:val="auto"/>
                <w:highlight w:val="none"/>
                <w:lang w:val="en-US" w:eastAsia="zh-CN"/>
              </w:rPr>
              <w:t>0571-</w:t>
            </w:r>
            <w:r>
              <w:rPr>
                <w:rFonts w:hint="eastAsia" w:cs="宋体"/>
                <w:bCs/>
                <w:color w:val="auto"/>
                <w:kern w:val="0"/>
                <w:sz w:val="24"/>
                <w:szCs w:val="24"/>
                <w:highlight w:val="none"/>
                <w:lang w:val="en-US" w:eastAsia="zh-CN"/>
              </w:rPr>
              <w:t>61790808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cs="Arial"/>
                <w:highlight w:val="none"/>
              </w:rPr>
            </w:pPr>
            <w:r>
              <w:rPr>
                <w:rFonts w:hint="eastAsia"/>
                <w:highlight w:val="none"/>
                <w:lang w:eastAsia="zh-CN"/>
              </w:rPr>
              <w:t>综合评分法。具体详见</w:t>
            </w:r>
            <w:r>
              <w:rPr>
                <w:rFonts w:hint="eastAsia"/>
                <w:highlight w:val="none"/>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kern w:val="3"/>
                <w:sz w:val="24"/>
                <w:szCs w:val="24"/>
                <w:lang w:val="en-US" w:eastAsia="zh-CN" w:bidi="ar-SA"/>
              </w:rPr>
            </w:pPr>
            <w:r>
              <w:rPr>
                <w:rFonts w:hint="eastAsia"/>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eastAsia="仿宋"/>
                <w:highlight w:val="none"/>
                <w:lang w:val="en-US" w:eastAsia="zh-CN"/>
              </w:rPr>
            </w:pPr>
            <w:r>
              <w:rPr>
                <w:rFonts w:hint="eastAsia"/>
                <w:highlight w:val="none"/>
              </w:rPr>
              <w:t>不要求提供样品</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kern w:val="3"/>
                <w:sz w:val="24"/>
                <w:szCs w:val="24"/>
                <w:lang w:val="en-US" w:eastAsia="zh-CN" w:bidi="ar-SA"/>
              </w:rPr>
            </w:pPr>
            <w:r>
              <w:rPr>
                <w:rFonts w:hint="eastAsia"/>
              </w:rPr>
              <w:t>1</w:t>
            </w:r>
            <w:r>
              <w:rPr>
                <w:rFonts w:hint="eastAsia"/>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eastAsia="仿宋"/>
                <w:highlight w:val="none"/>
                <w:lang w:eastAsia="zh-CN"/>
              </w:rPr>
            </w:pPr>
            <w:r>
              <w:rPr>
                <w:rFonts w:hint="eastAsia"/>
                <w:highlight w:val="none"/>
              </w:rPr>
              <w:t>现场演示</w:t>
            </w:r>
            <w:r>
              <w:rPr>
                <w:rFonts w:hint="eastAsia"/>
                <w:highlight w:val="none"/>
                <w:lang w:eastAsia="zh-CN"/>
              </w:rPr>
              <w:t>（讲解）</w:t>
            </w:r>
          </w:p>
        </w:tc>
        <w:tc>
          <w:tcPr>
            <w:tcW w:w="6906"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bCs/>
                <w:color w:val="auto"/>
                <w:sz w:val="24"/>
                <w:szCs w:val="24"/>
                <w:highlight w:val="none"/>
                <w:lang w:eastAsia="zh-CN"/>
              </w:rPr>
            </w:pPr>
            <w:r>
              <w:rPr>
                <w:rFonts w:hint="eastAsia"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现场演示</w:t>
            </w:r>
            <w:r>
              <w:rPr>
                <w:rFonts w:hint="eastAsia" w:cs="仿宋"/>
                <w:bCs/>
                <w:color w:val="auto"/>
                <w:sz w:val="24"/>
                <w:szCs w:val="24"/>
                <w:highlight w:val="none"/>
                <w:lang w:eastAsia="zh-CN"/>
              </w:rPr>
              <w:t>或讲解</w:t>
            </w:r>
            <w:r>
              <w:rPr>
                <w:rFonts w:hint="eastAsia" w:ascii="仿宋" w:hAnsi="仿宋" w:eastAsia="仿宋" w:cs="仿宋"/>
                <w:bCs/>
                <w:color w:val="auto"/>
                <w:sz w:val="24"/>
                <w:szCs w:val="24"/>
                <w:highlight w:val="none"/>
                <w:lang w:eastAsia="zh-CN"/>
              </w:rPr>
              <w:t>时间：</w:t>
            </w:r>
            <w:r>
              <w:rPr>
                <w:rFonts w:hint="eastAsia" w:cs="仿宋"/>
                <w:bCs/>
                <w:color w:val="auto"/>
                <w:sz w:val="24"/>
                <w:szCs w:val="24"/>
                <w:highlight w:val="none"/>
                <w:lang w:val="en-US" w:eastAsia="zh-CN"/>
              </w:rPr>
              <w:t>20</w:t>
            </w:r>
            <w:r>
              <w:rPr>
                <w:rFonts w:hint="eastAsia" w:ascii="仿宋" w:hAnsi="仿宋" w:eastAsia="仿宋" w:cs="仿宋"/>
                <w:bCs/>
                <w:color w:val="auto"/>
                <w:sz w:val="24"/>
                <w:szCs w:val="24"/>
                <w:highlight w:val="none"/>
                <w:lang w:eastAsia="zh-CN"/>
              </w:rPr>
              <w:t>分钟。讲解次序以投标文件解密时间先后次序为准。</w:t>
            </w:r>
          </w:p>
          <w:p>
            <w:pPr>
              <w:pStyle w:val="2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ascii="仿宋" w:hAnsi="仿宋" w:eastAsia="仿宋" w:cs="仿宋"/>
                <w:bCs/>
                <w:color w:val="auto"/>
                <w:sz w:val="24"/>
                <w:szCs w:val="24"/>
                <w:highlight w:val="none"/>
                <w:lang w:eastAsia="zh-CN"/>
              </w:rPr>
            </w:pPr>
            <w:r>
              <w:rPr>
                <w:rFonts w:hint="eastAsia" w:cs="仿宋"/>
                <w:bCs/>
                <w:color w:val="auto"/>
                <w:sz w:val="24"/>
                <w:szCs w:val="24"/>
                <w:highlight w:val="none"/>
                <w:lang w:val="en-US" w:eastAsia="zh-CN"/>
              </w:rPr>
              <w:t>(2)</w:t>
            </w:r>
            <w:r>
              <w:rPr>
                <w:rFonts w:hint="eastAsia" w:ascii="仿宋" w:hAnsi="仿宋" w:eastAsia="仿宋" w:cs="仿宋"/>
                <w:bCs/>
                <w:color w:val="auto"/>
                <w:sz w:val="24"/>
                <w:szCs w:val="24"/>
                <w:highlight w:val="none"/>
                <w:lang w:val="en-US" w:eastAsia="zh-CN"/>
              </w:rPr>
              <w:t>现场演示地点：杭州市富阳区鹿山街道江连街27号区行政审批服务管理办公室A座4楼样品间</w:t>
            </w:r>
          </w:p>
          <w:p>
            <w:pPr>
              <w:pStyle w:val="26"/>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bCs/>
                <w:color w:val="auto"/>
                <w:sz w:val="24"/>
                <w:szCs w:val="24"/>
                <w:highlight w:val="none"/>
                <w:lang w:eastAsia="zh-CN"/>
              </w:rPr>
            </w:pPr>
            <w:r>
              <w:rPr>
                <w:rFonts w:hint="eastAsia"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现场演示要求：详见招标文件。</w:t>
            </w:r>
          </w:p>
          <w:p>
            <w:pPr>
              <w:pStyle w:val="26"/>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注：投标人</w:t>
            </w:r>
            <w:r>
              <w:rPr>
                <w:rFonts w:hint="eastAsia" w:cs="仿宋"/>
                <w:b/>
                <w:bCs/>
                <w:color w:val="auto"/>
                <w:kern w:val="2"/>
                <w:sz w:val="24"/>
                <w:szCs w:val="24"/>
                <w:highlight w:val="none"/>
                <w:lang w:val="en-US" w:eastAsia="zh-CN" w:bidi="ar-SA"/>
              </w:rPr>
              <w:t>讲解</w:t>
            </w:r>
            <w:r>
              <w:rPr>
                <w:rFonts w:hint="eastAsia" w:ascii="仿宋" w:hAnsi="仿宋" w:eastAsia="仿宋" w:cs="仿宋"/>
                <w:b/>
                <w:bCs/>
                <w:color w:val="auto"/>
                <w:kern w:val="2"/>
                <w:sz w:val="24"/>
                <w:szCs w:val="24"/>
                <w:highlight w:val="none"/>
                <w:lang w:val="en-US" w:eastAsia="zh-CN" w:bidi="ar-SA"/>
              </w:rPr>
              <w:t>人员请自行准备相关设备及网络环境进行现场讲解。</w:t>
            </w:r>
          </w:p>
          <w:p>
            <w:pPr>
              <w:pageBreakBefore w:val="0"/>
              <w:kinsoku/>
              <w:wordWrap w:val="0"/>
              <w:topLinePunct/>
              <w:bidi w:val="0"/>
              <w:snapToGrid w:val="0"/>
              <w:spacing w:beforeAutospacing="0" w:afterAutospacing="0" w:line="44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FF0000"/>
                <w:kern w:val="2"/>
                <w:sz w:val="24"/>
                <w:szCs w:val="24"/>
                <w:highlight w:val="none"/>
                <w:lang w:val="en-US" w:eastAsia="zh-CN" w:bidi="ar-SA"/>
              </w:rPr>
              <w:t>讲解人员须与投标人存在劳动关系。</w:t>
            </w:r>
            <w:r>
              <w:rPr>
                <w:rFonts w:hint="eastAsia" w:cs="仿宋"/>
                <w:b/>
                <w:bCs/>
                <w:color w:val="FF0000"/>
                <w:kern w:val="2"/>
                <w:sz w:val="24"/>
                <w:szCs w:val="24"/>
                <w:highlight w:val="none"/>
                <w:lang w:val="en-US" w:eastAsia="zh-CN" w:bidi="ar-SA"/>
              </w:rPr>
              <w:t>讲解人员需携带法定代表人授权委托书、身份证明及社保缴纳证明，否则不予讲解。</w:t>
            </w:r>
          </w:p>
          <w:p>
            <w:pPr>
              <w:pageBreakBefore w:val="0"/>
              <w:kinsoku/>
              <w:wordWrap w:val="0"/>
              <w:topLinePunct/>
              <w:bidi w:val="0"/>
              <w:snapToGrid w:val="0"/>
              <w:spacing w:beforeAutospacing="0" w:afterAutospacing="0" w:line="440" w:lineRule="exact"/>
              <w:rPr>
                <w:rFonts w:hint="eastAsia" w:eastAsia="仿宋"/>
                <w:highlight w:val="none"/>
                <w:lang w:val="en-US" w:eastAsia="zh-CN"/>
              </w:rPr>
            </w:pPr>
            <w:r>
              <w:rPr>
                <w:rFonts w:hint="eastAsia" w:ascii="仿宋" w:hAnsi="仿宋" w:eastAsia="仿宋" w:cs="仿宋"/>
                <w:b/>
                <w:bCs/>
                <w:color w:val="auto"/>
                <w:kern w:val="2"/>
                <w:sz w:val="24"/>
                <w:szCs w:val="24"/>
                <w:highlight w:val="none"/>
                <w:lang w:val="en-US" w:eastAsia="zh-CN" w:bidi="ar-SA"/>
              </w:rPr>
              <w:t>因投标人自身原因导致无法演示</w:t>
            </w:r>
            <w:r>
              <w:rPr>
                <w:rFonts w:hint="eastAsia" w:cs="仿宋"/>
                <w:b/>
                <w:bCs/>
                <w:color w:val="auto"/>
                <w:kern w:val="2"/>
                <w:sz w:val="24"/>
                <w:szCs w:val="24"/>
                <w:highlight w:val="none"/>
                <w:lang w:val="en-US" w:eastAsia="zh-CN" w:bidi="ar-SA"/>
              </w:rPr>
              <w:t>（讲解）</w:t>
            </w:r>
            <w:r>
              <w:rPr>
                <w:rFonts w:hint="eastAsia" w:ascii="仿宋" w:hAnsi="仿宋" w:eastAsia="仿宋" w:cs="仿宋"/>
                <w:b/>
                <w:bCs/>
                <w:color w:val="auto"/>
                <w:kern w:val="2"/>
                <w:sz w:val="24"/>
                <w:szCs w:val="24"/>
                <w:highlight w:val="none"/>
                <w:lang w:val="en-US" w:eastAsia="zh-CN" w:bidi="ar-SA"/>
              </w:rPr>
              <w:t>或者演示</w:t>
            </w:r>
            <w:r>
              <w:rPr>
                <w:rFonts w:hint="eastAsia" w:cs="仿宋"/>
                <w:b/>
                <w:bCs/>
                <w:color w:val="auto"/>
                <w:kern w:val="2"/>
                <w:sz w:val="24"/>
                <w:szCs w:val="24"/>
                <w:highlight w:val="none"/>
                <w:lang w:val="en-US" w:eastAsia="zh-CN" w:bidi="ar-SA"/>
              </w:rPr>
              <w:t>（讲解）</w:t>
            </w:r>
            <w:r>
              <w:rPr>
                <w:rFonts w:hint="eastAsia" w:ascii="仿宋" w:hAnsi="仿宋" w:eastAsia="仿宋" w:cs="仿宋"/>
                <w:b/>
                <w:bCs/>
                <w:color w:val="auto"/>
                <w:kern w:val="2"/>
                <w:sz w:val="24"/>
                <w:szCs w:val="24"/>
                <w:highlight w:val="none"/>
                <w:lang w:val="en-US" w:eastAsia="zh-CN" w:bidi="ar-SA"/>
              </w:rPr>
              <w:t>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kern w:val="3"/>
                <w:sz w:val="24"/>
                <w:szCs w:val="24"/>
                <w:highlight w:val="none"/>
                <w:lang w:val="en-US" w:eastAsia="zh-CN" w:bidi="ar-SA"/>
              </w:rPr>
            </w:pPr>
            <w:r>
              <w:rPr>
                <w:rFonts w:hint="eastAsia"/>
                <w:highlight w:val="none"/>
              </w:rPr>
              <w:t>1</w:t>
            </w:r>
            <w:r>
              <w:rPr>
                <w:rFonts w:hint="eastAsia"/>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eastAsia="仿宋"/>
                <w:color w:val="FF0000"/>
                <w:highlight w:val="none"/>
                <w:lang w:val="en-US" w:eastAsia="zh-CN"/>
              </w:rPr>
            </w:pPr>
            <w:r>
              <w:rPr>
                <w:rFonts w:hint="eastAsia"/>
                <w:b/>
                <w:bCs/>
                <w:color w:val="auto"/>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kern w:val="3"/>
                <w:sz w:val="24"/>
                <w:szCs w:val="24"/>
                <w:highlight w:val="none"/>
                <w:lang w:val="en-US" w:eastAsia="zh-CN" w:bidi="ar-SA"/>
              </w:rPr>
            </w:pPr>
            <w:r>
              <w:rPr>
                <w:rFonts w:hint="eastAsia"/>
                <w:highlight w:val="none"/>
              </w:rPr>
              <w:t>1</w:t>
            </w:r>
            <w:r>
              <w:rPr>
                <w:rFonts w:hint="eastAsia"/>
                <w:highlight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根据《政府采购促进中小企业发展管理办法》（财库[2020]46号）文件的规定，</w:t>
            </w:r>
            <w:r>
              <w:rPr>
                <w:rFonts w:hint="eastAsia"/>
                <w:b/>
                <w:bCs/>
                <w:color w:val="FF0000"/>
                <w:highlight w:val="none"/>
              </w:rPr>
              <w:t>本项目</w:t>
            </w:r>
            <w:r>
              <w:rPr>
                <w:rFonts w:hint="eastAsia"/>
                <w:b/>
                <w:bCs/>
                <w:color w:val="FF0000"/>
                <w:highlight w:val="none"/>
                <w:lang w:eastAsia="zh-CN"/>
              </w:rPr>
              <w:t>（</w:t>
            </w:r>
            <w:r>
              <w:rPr>
                <w:rFonts w:hint="eastAsia"/>
                <w:b/>
                <w:bCs/>
                <w:color w:val="FF0000"/>
                <w:highlight w:val="none"/>
              </w:rPr>
              <w:t>不</w:t>
            </w:r>
            <w:r>
              <w:rPr>
                <w:rFonts w:hint="eastAsia"/>
                <w:b/>
                <w:bCs/>
                <w:color w:val="FF0000"/>
                <w:highlight w:val="none"/>
                <w:lang w:eastAsia="zh-CN"/>
              </w:rPr>
              <w:t>预留份额）</w:t>
            </w:r>
            <w:r>
              <w:rPr>
                <w:rFonts w:hint="eastAsia"/>
                <w:b/>
                <w:bCs/>
                <w:color w:val="FF0000"/>
                <w:highlight w:val="none"/>
              </w:rPr>
              <w:t>专门面向中小</w:t>
            </w:r>
            <w:r>
              <w:rPr>
                <w:rFonts w:hint="eastAsia"/>
                <w:b/>
                <w:bCs/>
                <w:color w:val="FF0000"/>
                <w:highlight w:val="none"/>
                <w:lang w:eastAsia="zh-CN"/>
              </w:rPr>
              <w:t>微</w:t>
            </w:r>
            <w:r>
              <w:rPr>
                <w:rFonts w:hint="eastAsia"/>
                <w:b/>
                <w:bCs/>
                <w:color w:val="FF0000"/>
                <w:highlight w:val="none"/>
              </w:rPr>
              <w:t>企业采购</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kern w:val="3"/>
                <w:sz w:val="24"/>
                <w:szCs w:val="24"/>
                <w:highlight w:val="none"/>
                <w:lang w:val="en-US" w:eastAsia="zh-CN" w:bidi="ar-SA"/>
              </w:rPr>
            </w:pPr>
            <w:r>
              <w:rPr>
                <w:rFonts w:hint="eastAsia"/>
                <w:highlight w:val="none"/>
              </w:rPr>
              <w:t>1</w:t>
            </w:r>
            <w:r>
              <w:rPr>
                <w:rFonts w:hint="eastAsia"/>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《关于印发中小企业划型标准规定的通知》（工信部联企业〔2011〕300号）规定的划分标准。</w:t>
            </w:r>
          </w:p>
          <w:p>
            <w:pPr>
              <w:pageBreakBefore w:val="0"/>
              <w:kinsoku/>
              <w:wordWrap w:val="0"/>
              <w:topLinePunct/>
              <w:bidi w:val="0"/>
              <w:snapToGrid w:val="0"/>
              <w:spacing w:beforeAutospacing="0" w:afterAutospacing="0" w:line="440" w:lineRule="exact"/>
              <w:rPr>
                <w:rFonts w:hint="default" w:eastAsia="仿宋"/>
                <w:b/>
                <w:bCs/>
                <w:highlight w:val="none"/>
                <w:lang w:val="en-US" w:eastAsia="zh-CN"/>
              </w:rPr>
            </w:pPr>
            <w:r>
              <w:rPr>
                <w:rFonts w:hint="eastAsia"/>
                <w:b/>
                <w:bCs/>
                <w:highlight w:val="none"/>
              </w:rPr>
              <w:t>（1）采购标的：</w:t>
            </w:r>
            <w:r>
              <w:rPr>
                <w:rFonts w:hint="eastAsia"/>
                <w:b/>
                <w:bCs/>
                <w:highlight w:val="none"/>
                <w:lang w:eastAsia="zh-CN"/>
              </w:rPr>
              <w:t>详见采购清单列表</w:t>
            </w:r>
          </w:p>
          <w:p>
            <w:pPr>
              <w:pageBreakBefore w:val="0"/>
              <w:kinsoku/>
              <w:wordWrap w:val="0"/>
              <w:topLinePunct/>
              <w:bidi w:val="0"/>
              <w:snapToGrid w:val="0"/>
              <w:spacing w:beforeAutospacing="0" w:afterAutospacing="0" w:line="440" w:lineRule="exact"/>
              <w:rPr>
                <w:rFonts w:hint="eastAsia" w:eastAsia="仿宋" w:cs="Arial"/>
                <w:highlight w:val="none"/>
                <w:lang w:eastAsia="zh-CN"/>
              </w:rPr>
            </w:pPr>
            <w:r>
              <w:rPr>
                <w:rFonts w:hint="eastAsia"/>
                <w:b/>
                <w:bCs/>
                <w:highlight w:val="none"/>
              </w:rPr>
              <w:t>（2）所属行业：</w:t>
            </w:r>
            <w:r>
              <w:rPr>
                <w:rFonts w:hint="eastAsia"/>
                <w:b/>
                <w:bCs/>
                <w:highlight w:val="none"/>
                <w:lang w:eastAsia="zh-CN"/>
              </w:rPr>
              <w:t>详见采购清单列表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lang w:val="en-US" w:eastAsia="zh-CN"/>
              </w:rPr>
            </w:pPr>
            <w:r>
              <w:rPr>
                <w:rFonts w:hint="eastAsia"/>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0"/>
              </w:numPr>
              <w:kinsoku/>
              <w:wordWrap w:val="0"/>
              <w:topLinePunct/>
              <w:bidi w:val="0"/>
              <w:spacing w:beforeAutospacing="0" w:afterAutospacing="0" w:line="440" w:lineRule="exact"/>
              <w:jc w:val="left"/>
              <w:rPr>
                <w:b/>
                <w:bCs/>
                <w:color w:val="auto"/>
                <w:highlight w:val="none"/>
              </w:rPr>
            </w:pPr>
            <w:r>
              <w:rPr>
                <w:rFonts w:hint="eastAsia"/>
                <w:b/>
                <w:bCs/>
                <w:lang w:val="en-US" w:eastAsia="zh-CN"/>
              </w:rPr>
              <w:t>1、</w:t>
            </w:r>
            <w:r>
              <w:rPr>
                <w:rFonts w:hint="eastAsia"/>
                <w:b/>
                <w:bCs/>
              </w:rPr>
              <w:t>根据财库〔2020〕46号的相关规定</w:t>
            </w:r>
            <w:r>
              <w:rPr>
                <w:rFonts w:hint="eastAsia"/>
                <w:b/>
                <w:bCs/>
                <w:lang w:eastAsia="zh-CN"/>
              </w:rPr>
              <w:t>：</w:t>
            </w:r>
          </w:p>
          <w:p>
            <w:pPr>
              <w:keepNext/>
              <w:keepLines/>
              <w:pageBreakBefore w:val="0"/>
              <w:kinsoku/>
              <w:wordWrap w:val="0"/>
              <w:topLinePunct/>
              <w:bidi w:val="0"/>
              <w:spacing w:beforeAutospacing="0" w:afterAutospacing="0" w:line="440" w:lineRule="exact"/>
              <w:ind w:firstLine="470" w:firstLineChars="196"/>
              <w:rPr>
                <w:rFonts w:hint="eastAsia"/>
                <w:b/>
                <w:bCs/>
                <w:color w:val="auto"/>
                <w:kern w:val="2"/>
                <w:highlight w:val="none"/>
              </w:rPr>
            </w:pPr>
            <w:r>
              <w:rPr>
                <w:rFonts w:hint="eastAsia" w:ascii="仿宋" w:hAnsi="仿宋" w:eastAsia="仿宋" w:cs="仿宋"/>
                <w:sz w:val="24"/>
                <w:highlight w:val="none"/>
                <w:u w:val="none"/>
              </w:rPr>
              <w:sym w:font="Wingdings" w:char="00FE"/>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w:t>
            </w:r>
            <w:r>
              <w:rPr>
                <w:rFonts w:hint="eastAsia"/>
                <w:b/>
                <w:bCs/>
                <w:color w:val="auto"/>
                <w:kern w:val="2"/>
                <w:highlight w:val="none"/>
              </w:rPr>
              <w:t>%的扣除，用扣除后的价格参与评审。</w:t>
            </w:r>
          </w:p>
          <w:p>
            <w:pPr>
              <w:keepNext/>
              <w:keepLines/>
              <w:pageBreakBefore w:val="0"/>
              <w:kinsoku/>
              <w:wordWrap w:val="0"/>
              <w:topLinePunct/>
              <w:bidi w:val="0"/>
              <w:spacing w:beforeAutospacing="0" w:afterAutospacing="0" w:line="440" w:lineRule="exact"/>
              <w:ind w:firstLine="470" w:firstLineChars="196"/>
              <w:rPr>
                <w:b/>
                <w:bCs/>
                <w:kern w:val="2"/>
                <w:highlight w:val="none"/>
              </w:rPr>
            </w:pPr>
            <w:r>
              <w:rPr>
                <w:rFonts w:hint="eastAsia" w:ascii="仿宋" w:hAnsi="仿宋" w:eastAsia="仿宋" w:cs="仿宋"/>
                <w:sz w:val="24"/>
                <w:highlight w:val="none"/>
                <w:u w:val="none"/>
              </w:rPr>
              <w:sym w:font="Wingdings" w:char="00A8"/>
            </w:r>
            <w:r>
              <w:rPr>
                <w:rFonts w:hint="eastAsia"/>
                <w:b/>
                <w:bCs/>
                <w:kern w:val="2"/>
                <w:highlight w:val="none"/>
              </w:rPr>
              <w:t>对于专门面向中、小、微型企业或者监狱企业或者残疾人福利性单位，符合资格条件的不再执行价格评审优惠的扶持政策。</w:t>
            </w:r>
          </w:p>
          <w:p>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10"/>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在货物采购项目中，投标人提供的货物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topLinePunct/>
              <w:bidi w:val="0"/>
              <w:spacing w:beforeAutospacing="0" w:afterAutospacing="0" w:line="440" w:lineRule="exact"/>
              <w:ind w:firstLine="482" w:firstLineChars="200"/>
              <w:jc w:val="left"/>
              <w:rPr>
                <w:b/>
                <w:bCs/>
              </w:rPr>
            </w:pPr>
            <w:r>
              <w:rPr>
                <w:rFonts w:hint="eastAsia"/>
                <w:b/>
                <w:bCs/>
                <w:lang w:val="zh-CN"/>
              </w:rPr>
              <w:t>符合上述条件的，请填写中小企业声明函。</w:t>
            </w:r>
          </w:p>
          <w:p>
            <w:pPr>
              <w:pageBreakBefore w:val="0"/>
              <w:kinsoku/>
              <w:wordWrap w:val="0"/>
              <w:topLinePunct/>
              <w:autoSpaceDE w:val="0"/>
              <w:autoSpaceDN w:val="0"/>
              <w:bidi w:val="0"/>
              <w:snapToGrid w:val="0"/>
              <w:spacing w:beforeAutospacing="0" w:afterAutospacing="0"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topLinePunct/>
              <w:bidi w:val="0"/>
              <w:spacing w:beforeAutospacing="0" w:afterAutospacing="0" w:line="440" w:lineRule="exact"/>
              <w:jc w:val="left"/>
              <w:rPr>
                <w:color w:val="auto"/>
                <w:highlight w:val="none"/>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pPr>
              <w:pageBreakBefore w:val="0"/>
              <w:kinsoku/>
              <w:wordWrap w:val="0"/>
              <w:topLinePunct/>
              <w:bidi w:val="0"/>
              <w:spacing w:beforeAutospacing="0" w:afterAutospacing="0" w:line="440" w:lineRule="exact"/>
              <w:jc w:val="left"/>
              <w:rPr>
                <w:b/>
                <w:bCs/>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rPr>
              <w:t>微企业、监狱企业、残疾人福利性单位的，其《中小企业声明函》、监狱企业证明文件、《残疾人福利性单位声明函》随中标结果同时公告，接受社会监督。</w:t>
            </w:r>
          </w:p>
          <w:p>
            <w:pPr>
              <w:pageBreakBefore w:val="0"/>
              <w:kinsoku/>
              <w:wordWrap w:val="0"/>
              <w:topLinePunct/>
              <w:bidi w:val="0"/>
              <w:snapToGrid w:val="0"/>
              <w:spacing w:beforeAutospacing="0" w:afterAutospacing="0"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rPr>
              <w:t>1</w:t>
            </w:r>
            <w:r>
              <w:rPr>
                <w:rFonts w:hint="eastAsia"/>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10"/>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10"/>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10"/>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10"/>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10"/>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lang w:val="en-US" w:eastAsia="zh-CN"/>
              </w:rPr>
            </w:pPr>
            <w:r>
              <w:rPr>
                <w:rFonts w:hint="eastAsia"/>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（1）修缮、装修类项目采购建材的，采购人应将绿色建筑和绿色建材性能、指标等作为实质性条件纳入招标文件和合同。</w:t>
            </w:r>
          </w:p>
          <w:p>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Style w:val="102"/>
                <w:rFonts w:hint="eastAsia"/>
                <w:b w:val="0"/>
                <w:bCs w:val="0"/>
                <w:color w:val="auto"/>
                <w:sz w:val="24"/>
                <w:szCs w:val="24"/>
                <w:highlight w:val="none"/>
              </w:rPr>
            </w:pPr>
            <w:r>
              <w:rPr>
                <w:rFonts w:hint="eastAsia" w:ascii="仿宋" w:hAnsi="仿宋" w:eastAsia="仿宋" w:cs="仿宋"/>
                <w:bCs/>
                <w:kern w:val="2"/>
                <w:sz w:val="24"/>
                <w:szCs w:val="24"/>
                <w:highlight w:val="none"/>
                <w:lang w:val="en-US" w:eastAsia="zh-CN" w:bidi="ar-S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lang w:val="en-US" w:eastAsia="zh-CN"/>
              </w:rPr>
            </w:pPr>
            <w:r>
              <w:rPr>
                <w:rFonts w:hint="eastAsia"/>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highlight w:val="none"/>
              </w:rPr>
            </w:pPr>
            <w:r>
              <w:rPr>
                <w:rFonts w:hint="eastAsia"/>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（1）采购人优先采购被认定为首台套产品和“制造精品”的自主创新产品。</w:t>
            </w:r>
          </w:p>
          <w:p>
            <w:pPr>
              <w:pageBreakBefore w:val="0"/>
              <w:kinsoku/>
              <w:wordWrap w:val="0"/>
              <w:topLinePunct/>
              <w:bidi w:val="0"/>
              <w:snapToGrid w:val="0"/>
              <w:spacing w:beforeAutospacing="0" w:afterAutospacing="0" w:line="440" w:lineRule="exact"/>
              <w:rPr>
                <w:rStyle w:val="102"/>
                <w:rFonts w:hint="eastAsia"/>
                <w:b w:val="0"/>
                <w:bCs w:val="0"/>
                <w:color w:val="auto"/>
                <w:sz w:val="24"/>
                <w:szCs w:val="24"/>
                <w:highlight w:val="none"/>
              </w:rPr>
            </w:pPr>
            <w:r>
              <w:rPr>
                <w:rFonts w:hint="eastAsia" w:ascii="仿宋" w:hAnsi="仿宋" w:eastAsia="仿宋" w:cs="仿宋"/>
                <w:bCs/>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lang w:val="en-US" w:eastAsia="zh-CN"/>
              </w:rPr>
            </w:pPr>
            <w:r>
              <w:rPr>
                <w:rFonts w:hint="eastAsia"/>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Cs/>
                <w:kern w:val="2"/>
                <w:sz w:val="24"/>
                <w:szCs w:val="24"/>
                <w:highlight w:val="none"/>
                <w:lang w:val="zh-TW" w:eastAsia="zh-CN" w:bidi="ar-SA"/>
              </w:rPr>
            </w:pPr>
            <w:r>
              <w:rPr>
                <w:rFonts w:hint="eastAsia" w:ascii="仿宋" w:hAnsi="仿宋" w:eastAsia="仿宋" w:cs="仿宋"/>
                <w:bCs/>
                <w:kern w:val="2"/>
                <w:sz w:val="24"/>
                <w:szCs w:val="24"/>
                <w:highlight w:val="none"/>
                <w:lang w:val="en-US" w:eastAsia="zh-CN" w:bidi="ar-SA"/>
              </w:rPr>
              <w:sym w:font="Wingdings 2" w:char="0052"/>
            </w:r>
            <w:r>
              <w:rPr>
                <w:rFonts w:hint="eastAsia" w:ascii="仿宋" w:hAnsi="仿宋" w:eastAsia="仿宋" w:cs="仿宋"/>
                <w:bCs/>
                <w:kern w:val="2"/>
                <w:sz w:val="24"/>
                <w:szCs w:val="24"/>
                <w:highlight w:val="none"/>
                <w:lang w:val="en-US" w:eastAsia="zh-CN" w:bidi="ar-SA"/>
              </w:rPr>
              <w:t xml:space="preserve"> </w:t>
            </w:r>
            <w:r>
              <w:rPr>
                <w:rFonts w:hint="eastAsia" w:ascii="仿宋" w:hAnsi="仿宋" w:eastAsia="仿宋" w:cs="仿宋"/>
                <w:bCs/>
                <w:kern w:val="2"/>
                <w:sz w:val="24"/>
                <w:szCs w:val="24"/>
                <w:highlight w:val="none"/>
                <w:lang w:val="zh-TW" w:eastAsia="zh-CN" w:bidi="ar-SA"/>
              </w:rPr>
              <w:t>本项目不允许采购进口产品。</w:t>
            </w:r>
          </w:p>
          <w:p>
            <w:pPr>
              <w:pageBreakBefore w:val="0"/>
              <w:kinsoku/>
              <w:wordWrap w:val="0"/>
              <w:topLinePunct/>
              <w:bidi w:val="0"/>
              <w:snapToGrid w:val="0"/>
              <w:spacing w:beforeAutospacing="0" w:afterAutospacing="0" w:line="440" w:lineRule="exact"/>
              <w:rPr>
                <w:rStyle w:val="102"/>
                <w:rFonts w:cs="宋体"/>
                <w:color w:val="auto"/>
                <w:highlight w:val="none"/>
              </w:rPr>
            </w:pPr>
            <w:r>
              <w:rPr>
                <w:rFonts w:hint="eastAsia" w:ascii="仿宋" w:hAnsi="仿宋" w:eastAsia="仿宋" w:cs="仿宋"/>
                <w:bCs/>
                <w:kern w:val="2"/>
                <w:sz w:val="24"/>
                <w:szCs w:val="24"/>
                <w:highlight w:val="none"/>
                <w:lang w:val="en-US" w:eastAsia="zh-CN" w:bidi="ar-SA"/>
              </w:rPr>
              <w:sym w:font="Wingdings 2" w:char="00A3"/>
            </w:r>
            <w:r>
              <w:rPr>
                <w:rFonts w:hint="eastAsia" w:ascii="仿宋" w:hAnsi="仿宋" w:eastAsia="仿宋" w:cs="仿宋"/>
                <w:bCs/>
                <w:kern w:val="2"/>
                <w:sz w:val="24"/>
                <w:szCs w:val="24"/>
                <w:highlight w:val="none"/>
                <w:lang w:val="en-US" w:eastAsia="zh-CN" w:bidi="ar-SA"/>
              </w:rPr>
              <w:t xml:space="preserve"> </w:t>
            </w:r>
            <w:r>
              <w:rPr>
                <w:rFonts w:hint="eastAsia" w:ascii="仿宋" w:hAnsi="仿宋" w:eastAsia="仿宋" w:cs="仿宋"/>
                <w:bCs/>
                <w:kern w:val="2"/>
                <w:sz w:val="24"/>
                <w:szCs w:val="24"/>
                <w:highlight w:val="none"/>
                <w:lang w:val="zh-TW"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lang w:val="en-US" w:eastAsia="zh-CN"/>
              </w:rPr>
            </w:pPr>
            <w:r>
              <w:rPr>
                <w:rFonts w:hint="eastAsia"/>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lang w:val="en-US" w:eastAsia="zh-CN"/>
              </w:rPr>
            </w:pPr>
            <w:r>
              <w:rPr>
                <w:rFonts w:hint="eastAsia"/>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中标通知书发出</w:t>
            </w:r>
            <w:r>
              <w:rPr>
                <w:rFonts w:hint="eastAsia"/>
                <w:lang w:val="en-US" w:eastAsia="zh-CN"/>
              </w:rPr>
              <w:t>之日起</w:t>
            </w:r>
            <w:r>
              <w:rPr>
                <w:rFonts w:hint="eastAsia"/>
              </w:rPr>
              <w:t>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lang w:val="en-US" w:eastAsia="zh-CN"/>
              </w:rPr>
            </w:pPr>
            <w:r>
              <w:rPr>
                <w:rFonts w:hint="eastAsia"/>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highlight w:val="none"/>
              </w:rPr>
            </w:pPr>
            <w:r>
              <w:rPr>
                <w:rFonts w:hint="eastAsia"/>
                <w:highlight w:val="none"/>
              </w:rPr>
              <w:t>（1）签订合同时中标人应向采购人缴纳</w:t>
            </w:r>
            <w:r>
              <w:rPr>
                <w:rFonts w:hint="eastAsia"/>
                <w:color w:val="auto"/>
                <w:highlight w:val="none"/>
              </w:rPr>
              <w:t>合同金额的5</w:t>
            </w:r>
            <w:r>
              <w:rPr>
                <w:rFonts w:hint="eastAsia"/>
                <w:highlight w:val="none"/>
              </w:rPr>
              <w:t>%作为履约保证金，中标人在合同签订后5日内交付至指定账户。</w:t>
            </w:r>
            <w:r>
              <w:rPr>
                <w:rFonts w:hint="eastAsia"/>
                <w:highlight w:val="none"/>
                <w:lang w:eastAsia="zh-CN"/>
              </w:rPr>
              <w:t>项目验收合格后</w:t>
            </w:r>
            <w:r>
              <w:rPr>
                <w:rFonts w:hint="eastAsia"/>
                <w:color w:val="FF0000"/>
                <w:highlight w:val="none"/>
              </w:rPr>
              <w:t>，</w:t>
            </w:r>
            <w:r>
              <w:rPr>
                <w:rFonts w:hint="eastAsia"/>
                <w:highlight w:val="none"/>
              </w:rPr>
              <w:t>采购人无息退还履约保证金。</w:t>
            </w:r>
          </w:p>
          <w:p>
            <w:pPr>
              <w:pageBreakBefore w:val="0"/>
              <w:kinsoku/>
              <w:wordWrap w:val="0"/>
              <w:topLinePunct/>
              <w:bidi w:val="0"/>
              <w:snapToGrid w:val="0"/>
              <w:spacing w:beforeAutospacing="0" w:afterAutospacing="0" w:line="440" w:lineRule="exact"/>
              <w:rPr>
                <w:highlight w:val="none"/>
              </w:rPr>
            </w:pPr>
            <w:r>
              <w:rPr>
                <w:rFonts w:hint="eastAsia"/>
                <w:highlight w:val="none"/>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val="en-US" w:eastAsia="zh-CN"/>
              </w:rPr>
            </w:pPr>
            <w:r>
              <w:rPr>
                <w:rFonts w:hint="eastAsia"/>
              </w:rPr>
              <w:t>2</w:t>
            </w:r>
            <w:r>
              <w:rPr>
                <w:rFonts w:hint="eastAsia"/>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val="en-US" w:eastAsia="zh-CN"/>
              </w:rPr>
            </w:pPr>
            <w:r>
              <w:rPr>
                <w:rFonts w:hint="eastAsia"/>
              </w:rPr>
              <w:t>2</w:t>
            </w:r>
            <w:r>
              <w:rPr>
                <w:rFonts w:hint="eastAsia"/>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b/>
                <w:bCs/>
                <w:highlight w:val="none"/>
              </w:rPr>
            </w:pPr>
            <w:r>
              <w:rPr>
                <w:rFonts w:hint="eastAsia"/>
                <w:b/>
                <w:bCs/>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highlight w:val="none"/>
              </w:rPr>
            </w:pPr>
            <w:r>
              <w:rPr>
                <w:rFonts w:hint="eastAsia" w:ascii="仿宋" w:hAnsi="仿宋" w:eastAsia="仿宋" w:cs="仿宋"/>
                <w:b/>
                <w:bCs/>
                <w:sz w:val="24"/>
                <w:szCs w:val="24"/>
                <w:highlight w:val="none"/>
                <w:lang w:val="en-US" w:eastAsia="zh-CN"/>
              </w:rPr>
              <w:t>▲投标人的投标文件中承诺的投标有效期</w:t>
            </w:r>
            <w:r>
              <w:rPr>
                <w:rFonts w:hint="eastAsia" w:cs="仿宋"/>
                <w:b/>
                <w:bCs/>
                <w:sz w:val="24"/>
                <w:szCs w:val="24"/>
                <w:highlight w:val="none"/>
                <w:lang w:val="en-US" w:eastAsia="zh-CN"/>
              </w:rPr>
              <w:t>不足</w:t>
            </w:r>
            <w:r>
              <w:rPr>
                <w:rFonts w:hint="eastAsia" w:ascii="仿宋" w:hAnsi="仿宋" w:eastAsia="仿宋" w:cs="仿宋"/>
                <w:b/>
                <w:bCs/>
                <w:sz w:val="24"/>
                <w:szCs w:val="24"/>
                <w:highlight w:val="none"/>
                <w:lang w:val="en-US" w:eastAsia="zh-CN"/>
              </w:rPr>
              <w:t>招标文件中载明的投标有效期的，投标无效。</w:t>
            </w:r>
          </w:p>
          <w:p>
            <w:pPr>
              <w:pageBreakBefore w:val="0"/>
              <w:kinsoku/>
              <w:wordWrap w:val="0"/>
              <w:topLinePunct/>
              <w:bidi w:val="0"/>
              <w:snapToGrid w:val="0"/>
              <w:spacing w:beforeAutospacing="0" w:afterAutospacing="0" w:line="440" w:lineRule="exact"/>
            </w:pPr>
            <w:r>
              <w:rPr>
                <w:rFonts w:hint="eastAsia"/>
                <w:highlight w:val="none"/>
              </w:rPr>
              <w:t>根据《政府采购货物和服务招</w:t>
            </w:r>
            <w:r>
              <w:rPr>
                <w:rFonts w:hint="eastAsia"/>
              </w:rPr>
              <w:t>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pageBreakBefore w:val="0"/>
              <w:kinsoku/>
              <w:wordWrap w:val="0"/>
              <w:topLinePunct/>
              <w:bidi w:val="0"/>
              <w:snapToGrid w:val="0"/>
              <w:spacing w:beforeAutospacing="0" w:afterAutospacing="0"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val="en-US" w:eastAsia="zh-CN"/>
              </w:rPr>
            </w:pPr>
            <w:r>
              <w:rPr>
                <w:rFonts w:hint="eastAsia"/>
              </w:rPr>
              <w:t>2</w:t>
            </w:r>
            <w:r>
              <w:rPr>
                <w:rFonts w:hint="eastAsia"/>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topLinePunct/>
              <w:bidi w:val="0"/>
              <w:snapToGrid w:val="0"/>
              <w:spacing w:beforeAutospacing="0" w:afterAutospacing="0" w:line="440" w:lineRule="exact"/>
              <w:rPr>
                <w:highlight w:val="none"/>
              </w:rPr>
            </w:pPr>
            <w:r>
              <w:rPr>
                <w:rFonts w:hint="eastAsia"/>
                <w:highlight w:val="none"/>
              </w:rPr>
              <w:t>▲投标人须按时自行解密，规定时间内解密失败的，投标无效。</w:t>
            </w:r>
          </w:p>
          <w:p>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▲未传输递交电子投标文件的，投标无效。</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lang w:val="en-US" w:eastAsia="zh-CN"/>
              </w:rPr>
            </w:pPr>
            <w:r>
              <w:rPr>
                <w:rFonts w:hint="eastAsia"/>
                <w:lang w:val="en-US" w:eastAsia="zh-CN"/>
              </w:rPr>
              <w:t>25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highlight w:val="none"/>
              </w:rPr>
            </w:pPr>
            <w:r>
              <w:rPr>
                <w:rFonts w:hint="eastAsia"/>
                <w:highlight w:val="none"/>
              </w:rPr>
              <w:t>疫情期间投标现场注意事项</w:t>
            </w:r>
            <w:r>
              <w:rPr>
                <w:rFonts w:hint="eastAsia"/>
                <w:b/>
                <w:bCs/>
                <w:highlight w:val="none"/>
              </w:rPr>
              <w:t>（仅限于现场演示</w:t>
            </w:r>
            <w:r>
              <w:rPr>
                <w:rFonts w:hint="eastAsia"/>
                <w:b/>
                <w:bCs/>
                <w:highlight w:val="none"/>
                <w:lang w:eastAsia="zh-CN"/>
              </w:rPr>
              <w:t>或讲解</w:t>
            </w:r>
            <w:r>
              <w:rPr>
                <w:rFonts w:hint="eastAsia"/>
                <w:b/>
                <w:bCs/>
                <w:highlight w:val="none"/>
              </w:rPr>
              <w:t>）</w:t>
            </w:r>
            <w:r>
              <w:rPr>
                <w:rFonts w:hint="eastAsia"/>
                <w:highlight w:val="none"/>
              </w:rPr>
              <w:t>(按照开标当日疫情情况作具体调整）</w:t>
            </w:r>
          </w:p>
          <w:p>
            <w:pPr>
              <w:pageBreakBefore w:val="0"/>
              <w:kinsoku/>
              <w:wordWrap w:val="0"/>
              <w:topLinePunct/>
              <w:bidi w:val="0"/>
              <w:snapToGrid w:val="0"/>
              <w:spacing w:beforeAutospacing="0" w:afterAutospacing="0" w:line="440" w:lineRule="exact"/>
              <w:jc w:val="center"/>
              <w:rPr>
                <w:rFonts w:hint="eastAsia"/>
                <w:highlight w:val="cyan"/>
              </w:rPr>
            </w:pP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Autospacing="0" w:afterAutospacing="0" w:line="440" w:lineRule="exact"/>
              <w:ind w:firstLine="480" w:firstLineChars="200"/>
              <w:rPr>
                <w:highlight w:val="none"/>
              </w:rPr>
            </w:pPr>
            <w:r>
              <w:rPr>
                <w:rFonts w:hint="eastAsia"/>
                <w:highlight w:val="none"/>
              </w:rPr>
              <w:t>为严格落实国家、省市关于要求在坚决打好疫情防控攻坚战的前提下，就做好疫情防控期间招标活动有关事项如下：</w:t>
            </w:r>
          </w:p>
          <w:p>
            <w:pPr>
              <w:pageBreakBefore w:val="0"/>
              <w:kinsoku/>
              <w:bidi w:val="0"/>
              <w:spacing w:beforeAutospacing="0" w:afterAutospacing="0" w:line="440" w:lineRule="exact"/>
              <w:ind w:firstLine="480" w:firstLineChars="200"/>
              <w:rPr>
                <w:highlight w:val="none"/>
              </w:rPr>
            </w:pPr>
            <w:r>
              <w:rPr>
                <w:rFonts w:hint="eastAsia"/>
                <w:highlight w:val="none"/>
              </w:rPr>
              <w:t>1.进入样品间参加现场演示</w:t>
            </w:r>
            <w:r>
              <w:rPr>
                <w:rFonts w:hint="eastAsia"/>
                <w:highlight w:val="none"/>
                <w:lang w:eastAsia="zh-CN"/>
              </w:rPr>
              <w:t>或讲解</w:t>
            </w:r>
            <w:r>
              <w:rPr>
                <w:rFonts w:hint="eastAsia"/>
                <w:highlight w:val="none"/>
              </w:rPr>
              <w:t>的投标人代表人员必须持有健康绿码。</w:t>
            </w:r>
          </w:p>
          <w:p>
            <w:pPr>
              <w:pageBreakBefore w:val="0"/>
              <w:kinsoku/>
              <w:bidi w:val="0"/>
              <w:spacing w:beforeAutospacing="0" w:afterAutospacing="0" w:line="440" w:lineRule="exact"/>
              <w:ind w:firstLine="480" w:firstLineChars="200"/>
              <w:rPr>
                <w:highlight w:val="none"/>
              </w:rPr>
            </w:pPr>
            <w:r>
              <w:rPr>
                <w:rFonts w:hint="eastAsia"/>
                <w:highlight w:val="none"/>
              </w:rPr>
              <w:t>2.进入样品间参加演示</w:t>
            </w:r>
            <w:r>
              <w:rPr>
                <w:rFonts w:hint="eastAsia"/>
                <w:highlight w:val="none"/>
                <w:lang w:eastAsia="zh-CN"/>
              </w:rPr>
              <w:t>或讲解</w:t>
            </w:r>
            <w:r>
              <w:rPr>
                <w:rFonts w:hint="eastAsia"/>
                <w:highlight w:val="none"/>
              </w:rPr>
              <w:t>人员应当携带《参与政府采购活动健康承诺书》(见附件）及演示</w:t>
            </w:r>
            <w:r>
              <w:rPr>
                <w:rFonts w:hint="eastAsia"/>
                <w:highlight w:val="none"/>
                <w:lang w:eastAsia="zh-CN"/>
              </w:rPr>
              <w:t>或讲解</w:t>
            </w:r>
            <w:r>
              <w:rPr>
                <w:rFonts w:hint="eastAsia"/>
                <w:highlight w:val="none"/>
              </w:rPr>
              <w:t>人员《法定代表人授权委托书》。</w:t>
            </w:r>
          </w:p>
          <w:p>
            <w:pPr>
              <w:pageBreakBefore w:val="0"/>
              <w:kinsoku/>
              <w:bidi w:val="0"/>
              <w:spacing w:beforeAutospacing="0" w:afterAutospacing="0" w:line="440" w:lineRule="exact"/>
              <w:ind w:firstLine="480" w:firstLineChars="200"/>
              <w:rPr>
                <w:color w:val="auto"/>
                <w:highlight w:val="none"/>
              </w:rPr>
            </w:pPr>
            <w:r>
              <w:rPr>
                <w:rFonts w:hint="eastAsia"/>
                <w:highlight w:val="none"/>
              </w:rPr>
              <w:t>3.随身携带居民身份证</w:t>
            </w:r>
            <w:r>
              <w:rPr>
                <w:rFonts w:hint="eastAsia"/>
                <w:color w:val="auto"/>
                <w:highlight w:val="none"/>
                <w:lang w:val="en-US" w:eastAsia="zh-CN"/>
              </w:rPr>
              <w:t>原件</w:t>
            </w:r>
            <w:r>
              <w:rPr>
                <w:rFonts w:hint="eastAsia"/>
                <w:color w:val="auto"/>
                <w:highlight w:val="none"/>
              </w:rPr>
              <w:t>，并做好佩戴口罩等个人防护措施。</w:t>
            </w:r>
          </w:p>
          <w:p>
            <w:pPr>
              <w:pageBreakBefore w:val="0"/>
              <w:kinsoku/>
              <w:bidi w:val="0"/>
              <w:spacing w:beforeAutospacing="0" w:afterAutospacing="0" w:line="440" w:lineRule="exact"/>
              <w:ind w:firstLine="480" w:firstLineChars="200"/>
              <w:rPr>
                <w:highlight w:val="none"/>
              </w:rPr>
            </w:pPr>
            <w:r>
              <w:rPr>
                <w:rFonts w:hint="eastAsia"/>
                <w:color w:val="auto"/>
                <w:highlight w:val="none"/>
              </w:rPr>
              <w:t>4.预留足够时间提前到达</w:t>
            </w:r>
            <w:r>
              <w:rPr>
                <w:rFonts w:hint="eastAsia"/>
                <w:highlight w:val="none"/>
              </w:rPr>
              <w:t>，配合场所工作人员做好健康绿码查验、体温检测、实名登记等防控工作。</w:t>
            </w:r>
          </w:p>
          <w:p>
            <w:pPr>
              <w:pageBreakBefore w:val="0"/>
              <w:kinsoku/>
              <w:bidi w:val="0"/>
              <w:spacing w:beforeAutospacing="0" w:afterAutospacing="0" w:line="440" w:lineRule="exact"/>
              <w:ind w:firstLine="480" w:firstLineChars="200"/>
              <w:rPr>
                <w:highlight w:val="none"/>
              </w:rPr>
            </w:pPr>
            <w:r>
              <w:rPr>
                <w:rFonts w:hint="eastAsia"/>
                <w:highlight w:val="none"/>
              </w:rPr>
              <w:t>5.进入现场开标后，应尽量分散等候、隔空就坐，演示</w:t>
            </w:r>
            <w:r>
              <w:rPr>
                <w:rFonts w:hint="eastAsia"/>
                <w:highlight w:val="none"/>
                <w:lang w:eastAsia="zh-CN"/>
              </w:rPr>
              <w:t>或讲解</w:t>
            </w:r>
            <w:r>
              <w:rPr>
                <w:rFonts w:hint="eastAsia"/>
                <w:highlight w:val="none"/>
              </w:rPr>
              <w:t>完成后立即离场，全力保障招投标活动正常开展。演示产品须在评标结束</w:t>
            </w:r>
            <w:r>
              <w:rPr>
                <w:rFonts w:hint="eastAsia"/>
                <w:highlight w:val="none"/>
                <w:lang w:val="en-US" w:eastAsia="zh-CN"/>
              </w:rPr>
              <w:t>一</w:t>
            </w:r>
            <w:r>
              <w:rPr>
                <w:rFonts w:hint="eastAsia"/>
                <w:highlight w:val="none"/>
              </w:rPr>
              <w:t>个工作日内自行撤回，未撤回的演示产品采购代理机构有权自行处置。</w:t>
            </w:r>
          </w:p>
          <w:p>
            <w:pPr>
              <w:pageBreakBefore w:val="0"/>
              <w:kinsoku/>
              <w:bidi w:val="0"/>
              <w:spacing w:beforeAutospacing="0" w:afterAutospacing="0" w:line="440" w:lineRule="exact"/>
              <w:ind w:firstLine="480" w:firstLineChars="200"/>
              <w:rPr>
                <w:highlight w:val="none"/>
              </w:rPr>
            </w:pPr>
            <w:r>
              <w:rPr>
                <w:rFonts w:hint="eastAsia"/>
                <w:highlight w:val="none"/>
              </w:rPr>
              <w:t>6.投标人须自行携带演示</w:t>
            </w:r>
            <w:r>
              <w:rPr>
                <w:rFonts w:hint="eastAsia"/>
                <w:highlight w:val="none"/>
                <w:lang w:eastAsia="zh-CN"/>
              </w:rPr>
              <w:t>或讲解</w:t>
            </w:r>
            <w:r>
              <w:rPr>
                <w:rFonts w:hint="eastAsia"/>
                <w:highlight w:val="none"/>
              </w:rPr>
              <w:t>所需的计算机等设备，并准备网络环境自行调试，交易中心提供VGA接口的投影仪。投标人须在开标截止时间前完成调试后离开样品间。演示</w:t>
            </w:r>
            <w:r>
              <w:rPr>
                <w:rFonts w:hint="eastAsia"/>
                <w:highlight w:val="none"/>
                <w:lang w:eastAsia="zh-CN"/>
              </w:rPr>
              <w:t>或讲解</w:t>
            </w:r>
            <w:r>
              <w:rPr>
                <w:rFonts w:hint="eastAsia"/>
                <w:highlight w:val="none"/>
              </w:rPr>
              <w:t>时间控</w:t>
            </w:r>
            <w:r>
              <w:rPr>
                <w:rFonts w:hint="eastAsia"/>
                <w:color w:val="auto"/>
                <w:highlight w:val="none"/>
              </w:rPr>
              <w:t>制在20分钟内。</w:t>
            </w:r>
          </w:p>
          <w:p>
            <w:pPr>
              <w:pageBreakBefore w:val="0"/>
              <w:kinsoku/>
              <w:bidi w:val="0"/>
              <w:spacing w:beforeAutospacing="0" w:afterAutospacing="0" w:line="440" w:lineRule="exact"/>
              <w:rPr>
                <w:rFonts w:hint="eastAsia"/>
                <w:highlight w:val="none"/>
              </w:rPr>
            </w:pPr>
            <w:r>
              <w:rPr>
                <w:rFonts w:hint="eastAsia"/>
                <w:highlight w:val="none"/>
              </w:rPr>
              <w:t>（注：参加本次投标的单位允许委派不超过两名代表前来现场参加现场演示</w:t>
            </w:r>
            <w:r>
              <w:rPr>
                <w:rFonts w:hint="eastAsia"/>
                <w:highlight w:val="none"/>
                <w:lang w:eastAsia="zh-CN"/>
              </w:rPr>
              <w:t>或讲解）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highlight w:val="none"/>
                <w:lang w:val="en-US" w:eastAsia="zh-CN"/>
              </w:rPr>
            </w:pPr>
            <w:r>
              <w:rPr>
                <w:rFonts w:hint="eastAsia"/>
                <w:highlight w:val="none"/>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eastAsia="仿宋"/>
                <w:highlight w:val="none"/>
                <w:lang w:eastAsia="zh-CN"/>
              </w:rPr>
            </w:pPr>
            <w:r>
              <w:rPr>
                <w:rFonts w:hint="eastAsia"/>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Autospacing="0" w:afterAutospacing="0" w:line="440" w:lineRule="exact"/>
              <w:rPr>
                <w:rFonts w:hint="eastAsia" w:eastAsia="仿宋"/>
                <w:highlight w:val="none"/>
                <w:lang w:eastAsia="zh-CN"/>
              </w:rPr>
            </w:pPr>
            <w:r>
              <w:rPr>
                <w:rFonts w:hint="eastAsia" w:eastAsia="仿宋"/>
                <w:highlight w:val="none"/>
                <w:lang w:eastAsia="zh-CN"/>
              </w:rPr>
              <w:t>本项目采购代理费由中标人支付，根据“发改价格【2011】534号文件”规定计取，中标人在领取中标通知书时支付给采购代理机构。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rPr>
              <w:t>2</w:t>
            </w:r>
            <w:r>
              <w:rPr>
                <w:rFonts w:hint="eastAsia"/>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autoSpaceDE w:val="0"/>
              <w:autoSpaceDN w:val="0"/>
              <w:bidi w:val="0"/>
              <w:snapToGrid w:val="0"/>
              <w:spacing w:beforeAutospacing="0" w:afterAutospacing="0" w:line="440" w:lineRule="exact"/>
              <w:jc w:val="center"/>
              <w:textAlignment w:val="bottom"/>
            </w:pPr>
            <w:r>
              <w:rPr>
                <w:rFonts w:hint="eastAsia"/>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autoSpaceDE w:val="0"/>
              <w:autoSpaceDN w:val="0"/>
              <w:bidi w:val="0"/>
              <w:snapToGrid w:val="0"/>
              <w:spacing w:beforeAutospacing="0" w:afterAutospacing="0" w:line="440" w:lineRule="exact"/>
              <w:textAlignment w:val="bottom"/>
            </w:pPr>
            <w:r>
              <w:rPr>
                <w:rFonts w:hint="eastAsia"/>
              </w:rPr>
              <w:t>本招标文件的解释权属于杭州好邦建筑工程咨询有限公司和采购人。</w:t>
            </w:r>
          </w:p>
        </w:tc>
      </w:tr>
    </w:tbl>
    <w:p>
      <w:pPr>
        <w:pStyle w:val="7"/>
        <w:keepNext w:val="0"/>
        <w:keepLines w:val="0"/>
        <w:pageBreakBefore w:val="0"/>
        <w:kinsoku/>
        <w:wordWrap w:val="0"/>
        <w:topLinePunct/>
        <w:bidi w:val="0"/>
        <w:spacing w:before="0" w:beforeAutospacing="0" w:after="0" w:afterAutospacing="0" w:line="440" w:lineRule="exact"/>
        <w:ind w:left="0" w:firstLine="0"/>
        <w:jc w:val="both"/>
      </w:pPr>
      <w:r>
        <w:rPr>
          <w:sz w:val="30"/>
          <w:szCs w:val="30"/>
        </w:rPr>
        <w:br w:type="page"/>
      </w:r>
      <w:r>
        <w:rPr>
          <w:rFonts w:hint="eastAsia"/>
          <w:sz w:val="30"/>
          <w:szCs w:val="30"/>
          <w:lang w:val="en-US" w:eastAsia="zh-CN"/>
        </w:rPr>
        <w:t xml:space="preserve">  </w:t>
      </w:r>
      <w:r>
        <w:rPr>
          <w:rStyle w:val="249"/>
          <w:rFonts w:hint="eastAsia"/>
          <w:b/>
          <w:bCs/>
        </w:rPr>
        <w:t>一、总则</w:t>
      </w:r>
    </w:p>
    <w:p>
      <w:pPr>
        <w:pageBreakBefore w:val="0"/>
        <w:kinsoku/>
        <w:wordWrap w:val="0"/>
        <w:topLinePunct/>
        <w:bidi w:val="0"/>
        <w:spacing w:beforeAutospacing="0" w:afterAutospacing="0" w:line="440" w:lineRule="exact"/>
        <w:ind w:firstLine="482" w:firstLineChars="200"/>
        <w:jc w:val="both"/>
        <w:rPr>
          <w:b/>
          <w:bCs/>
        </w:rPr>
      </w:pPr>
      <w:r>
        <w:rPr>
          <w:rFonts w:hint="eastAsia"/>
          <w:b/>
          <w:bCs/>
        </w:rPr>
        <w:t>（一）适用范围</w:t>
      </w:r>
    </w:p>
    <w:p>
      <w:pPr>
        <w:pageBreakBefore w:val="0"/>
        <w:kinsoku/>
        <w:wordWrap w:val="0"/>
        <w:topLinePunct/>
        <w:bidi w:val="0"/>
        <w:spacing w:beforeAutospacing="0" w:afterAutospacing="0" w:line="440" w:lineRule="exact"/>
        <w:ind w:firstLine="480" w:firstLineChars="200"/>
      </w:pPr>
      <w:r>
        <w:rPr>
          <w:rFonts w:hint="eastAsia"/>
        </w:rPr>
        <w:t>仅适用于本次招标文件中采购项目的招标、投标、评标、定标、验收、合同履约、付款等行为（法律、法规另有规定的，从其规定）。</w:t>
      </w:r>
    </w:p>
    <w:p>
      <w:pPr>
        <w:pageBreakBefore w:val="0"/>
        <w:kinsoku/>
        <w:wordWrap w:val="0"/>
        <w:topLinePunct/>
        <w:bidi w:val="0"/>
        <w:spacing w:beforeAutospacing="0" w:afterAutospacing="0" w:line="440" w:lineRule="exact"/>
        <w:ind w:firstLine="482" w:firstLineChars="200"/>
        <w:rPr>
          <w:b/>
          <w:bCs/>
        </w:rPr>
      </w:pPr>
      <w:r>
        <w:rPr>
          <w:rFonts w:hint="eastAsia"/>
          <w:b/>
          <w:bCs/>
        </w:rPr>
        <w:t>（二）定义</w:t>
      </w:r>
    </w:p>
    <w:p>
      <w:pPr>
        <w:pageBreakBefore w:val="0"/>
        <w:kinsoku/>
        <w:bidi w:val="0"/>
        <w:spacing w:beforeAutospacing="0" w:afterAutospacing="0" w:line="440" w:lineRule="exact"/>
        <w:ind w:firstLine="480" w:firstLineChars="200"/>
      </w:pPr>
      <w:r>
        <w:rPr>
          <w:rFonts w:hint="eastAsia"/>
        </w:rPr>
        <w:t>1.“采购人”系指按政府采购有关规定，</w:t>
      </w:r>
      <w:r>
        <w:rPr>
          <w:rFonts w:hint="eastAsia"/>
          <w:lang w:eastAsia="zh-CN"/>
        </w:rPr>
        <w:t>委</w:t>
      </w:r>
      <w:r>
        <w:rPr>
          <w:rFonts w:hint="eastAsia"/>
          <w:highlight w:val="none"/>
          <w:lang w:eastAsia="zh-CN"/>
        </w:rPr>
        <w:t>托</w:t>
      </w:r>
      <w:r>
        <w:rPr>
          <w:rFonts w:hint="eastAsia"/>
          <w:highlight w:val="none"/>
        </w:rPr>
        <w:t>本次</w:t>
      </w:r>
      <w:r>
        <w:rPr>
          <w:rFonts w:hint="eastAsia"/>
          <w:highlight w:val="none"/>
          <w:lang w:eastAsia="zh-CN"/>
        </w:rPr>
        <w:t>项目</w:t>
      </w:r>
      <w:r>
        <w:rPr>
          <w:rFonts w:hint="eastAsia"/>
          <w:highlight w:val="none"/>
        </w:rPr>
        <w:t>招</w:t>
      </w:r>
      <w:r>
        <w:rPr>
          <w:rFonts w:hint="eastAsia"/>
          <w:color w:val="auto"/>
          <w:highlight w:val="none"/>
        </w:rPr>
        <w:t>标的杭州市富阳区文化和广电旅游体育局。</w:t>
      </w:r>
    </w:p>
    <w:p>
      <w:pPr>
        <w:pageBreakBefore w:val="0"/>
        <w:kinsoku/>
        <w:bidi w:val="0"/>
        <w:spacing w:beforeAutospacing="0" w:afterAutospacing="0" w:line="440" w:lineRule="exact"/>
        <w:ind w:firstLine="480" w:firstLineChars="200"/>
      </w:pPr>
      <w:r>
        <w:rPr>
          <w:rFonts w:hint="eastAsia"/>
          <w:lang w:val="en-US" w:eastAsia="zh-CN"/>
        </w:rPr>
        <w:t>2.</w:t>
      </w:r>
      <w:r>
        <w:rPr>
          <w:rFonts w:hint="eastAsia"/>
        </w:rPr>
        <w:t>“采购代理机构”系指杭州好邦建筑工程咨询有限公司。</w:t>
      </w:r>
    </w:p>
    <w:p>
      <w:pPr>
        <w:pageBreakBefore w:val="0"/>
        <w:kinsoku/>
        <w:bidi w:val="0"/>
        <w:spacing w:beforeAutospacing="0" w:afterAutospacing="0" w:line="440" w:lineRule="exact"/>
        <w:ind w:firstLine="480" w:firstLineChars="200"/>
        <w:rPr>
          <w:highlight w:val="none"/>
        </w:rPr>
      </w:pPr>
      <w:r>
        <w:rPr>
          <w:rFonts w:hint="eastAsia"/>
          <w:lang w:val="en-US" w:eastAsia="zh-CN"/>
        </w:rPr>
        <w:t>3</w:t>
      </w:r>
      <w:r>
        <w:rPr>
          <w:rFonts w:hint="eastAsia"/>
        </w:rPr>
        <w:t>.“投标人”系</w:t>
      </w:r>
      <w:r>
        <w:rPr>
          <w:rFonts w:hint="eastAsia"/>
          <w:highlight w:val="none"/>
        </w:rPr>
        <w:t>指</w:t>
      </w:r>
      <w:r>
        <w:rPr>
          <w:rFonts w:hint="eastAsia" w:ascii="仿宋" w:hAnsi="仿宋" w:eastAsia="仿宋"/>
          <w:color w:val="auto"/>
          <w:sz w:val="24"/>
          <w:highlight w:val="none"/>
        </w:rPr>
        <w:t>响应招标、参加投标竞争的法人、其他组织或者自然人。</w:t>
      </w:r>
    </w:p>
    <w:p>
      <w:pPr>
        <w:pageBreakBefore w:val="0"/>
        <w:kinsoku/>
        <w:bidi w:val="0"/>
        <w:spacing w:beforeAutospacing="0" w:afterAutospacing="0" w:line="440" w:lineRule="exact"/>
        <w:ind w:firstLine="480" w:firstLineChars="200"/>
        <w:rPr>
          <w:rFonts w:hint="eastAsia"/>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pageBreakBefore w:val="0"/>
        <w:kinsoku/>
        <w:bidi w:val="0"/>
        <w:spacing w:beforeAutospacing="0" w:afterAutospacing="0" w:line="440" w:lineRule="exact"/>
        <w:ind w:firstLine="480" w:firstLineChars="200"/>
        <w:rPr>
          <w:highlight w:val="none"/>
        </w:rPr>
      </w:pPr>
      <w:r>
        <w:rPr>
          <w:rFonts w:hint="eastAsia"/>
          <w:highlight w:val="none"/>
        </w:rPr>
        <w:t>4.“产品”系指供方按招标文件规定，须向采购人提供的一切货物、材料、设备、保险、税金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pPr>
        <w:pageBreakBefore w:val="0"/>
        <w:kinsoku/>
        <w:bidi w:val="0"/>
        <w:spacing w:beforeAutospacing="0" w:afterAutospacing="0" w:line="440" w:lineRule="exact"/>
        <w:ind w:firstLine="480" w:firstLineChars="200"/>
        <w:rPr>
          <w:highlight w:val="none"/>
        </w:rPr>
      </w:pPr>
      <w:r>
        <w:rPr>
          <w:rFonts w:hint="eastAsia"/>
          <w:highlight w:val="none"/>
        </w:rPr>
        <w:t>5.“服务”系指招标文件规定投标人须承担的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pPr>
        <w:pageBreakBefore w:val="0"/>
        <w:kinsoku/>
        <w:bidi w:val="0"/>
        <w:spacing w:beforeAutospacing="0" w:afterAutospacing="0" w:line="440" w:lineRule="exact"/>
        <w:ind w:firstLine="480" w:firstLineChars="200"/>
        <w:rPr>
          <w:rFonts w:hint="eastAsia" w:eastAsia="仿宋"/>
          <w:highlight w:val="none"/>
          <w:lang w:eastAsia="zh-CN"/>
        </w:rPr>
      </w:pPr>
      <w:r>
        <w:rPr>
          <w:rFonts w:hint="eastAsia"/>
          <w:highlight w:val="none"/>
        </w:rPr>
        <w:t>6.“项目”系指投标人按招标文件规定向采购人提供的产品和服务</w:t>
      </w:r>
      <w:r>
        <w:rPr>
          <w:rFonts w:hint="eastAsia"/>
          <w:highlight w:val="none"/>
          <w:lang w:eastAsia="zh-CN"/>
        </w:rPr>
        <w:t>。</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7.“电子签名”系指数据电文中以电子形式所含、所附用于识别签名人身份并表明签名人认可其中内容的数据。</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8.“电子交易平台”是指本项目政府采购活动所依托的政府采购云平台（https://www.zcygov.cn/）。</w:t>
      </w:r>
    </w:p>
    <w:p>
      <w:pPr>
        <w:pageBreakBefore w:val="0"/>
        <w:kinsoku/>
        <w:bidi w:val="0"/>
        <w:spacing w:beforeAutospacing="0" w:afterAutospacing="0" w:line="440" w:lineRule="exact"/>
        <w:ind w:firstLine="480" w:firstLineChars="200"/>
        <w:rPr>
          <w:rFonts w:hint="eastAsia"/>
          <w:b/>
          <w:bCs/>
          <w:highlight w:val="none"/>
        </w:rPr>
      </w:pPr>
      <w:r>
        <w:rPr>
          <w:rFonts w:hint="eastAsia"/>
          <w:color w:val="auto"/>
          <w:sz w:val="24"/>
          <w:highlight w:val="none"/>
          <w:lang w:val="en-US" w:eastAsia="zh-CN"/>
        </w:rPr>
        <w:t>9.“▲” 系指实质性要求条款，“★”系产品采购项目中重要技术参数。</w:t>
      </w:r>
    </w:p>
    <w:p>
      <w:pPr>
        <w:pageBreakBefore w:val="0"/>
        <w:kinsoku/>
        <w:wordWrap w:val="0"/>
        <w:topLinePunct/>
        <w:bidi w:val="0"/>
        <w:spacing w:beforeAutospacing="0" w:afterAutospacing="0" w:line="440" w:lineRule="exact"/>
        <w:ind w:firstLine="482" w:firstLineChars="200"/>
        <w:rPr>
          <w:rFonts w:hint="eastAsia" w:eastAsia="仿宋"/>
          <w:b/>
          <w:bCs/>
          <w:lang w:eastAsia="zh-CN"/>
        </w:rPr>
      </w:pPr>
      <w:r>
        <w:rPr>
          <w:rFonts w:hint="eastAsia"/>
          <w:b/>
          <w:bCs/>
        </w:rPr>
        <w:t>（三）</w:t>
      </w:r>
      <w:r>
        <w:rPr>
          <w:rFonts w:hint="eastAsia"/>
          <w:b/>
          <w:bCs/>
          <w:lang w:eastAsia="zh-CN"/>
        </w:rPr>
        <w:t>投标委托</w:t>
      </w:r>
    </w:p>
    <w:p>
      <w:pPr>
        <w:pageBreakBefore w:val="0"/>
        <w:kinsoku/>
        <w:wordWrap w:val="0"/>
        <w:topLinePunct/>
        <w:bidi w:val="0"/>
        <w:spacing w:beforeAutospacing="0" w:afterAutospacing="0" w:line="440" w:lineRule="exact"/>
        <w:ind w:firstLine="482" w:firstLineChars="200"/>
        <w:rPr>
          <w:rFonts w:hint="eastAsia"/>
          <w:b/>
          <w:bCs/>
        </w:rPr>
      </w:pPr>
      <w:r>
        <w:rPr>
          <w:rFonts w:hint="eastAsia"/>
          <w:b/>
          <w:bCs/>
        </w:rPr>
        <w:t>投标人可由法定代表人或其委托人进行投标，投标时须提供有效证明文件。</w:t>
      </w:r>
    </w:p>
    <w:p>
      <w:pPr>
        <w:pageBreakBefore w:val="0"/>
        <w:kinsoku/>
        <w:wordWrap w:val="0"/>
        <w:topLinePunct/>
        <w:bidi w:val="0"/>
        <w:spacing w:beforeAutospacing="0" w:afterAutospacing="0"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pageBreakBefore w:val="0"/>
        <w:kinsoku/>
        <w:wordWrap w:val="0"/>
        <w:topLinePunct/>
        <w:bidi w:val="0"/>
        <w:spacing w:beforeAutospacing="0" w:afterAutospacing="0" w:line="440" w:lineRule="exact"/>
        <w:ind w:firstLine="482" w:firstLineChars="200"/>
        <w:rPr>
          <w:b/>
          <w:bCs/>
        </w:rPr>
      </w:pPr>
      <w:r>
        <w:rPr>
          <w:rFonts w:hint="eastAsia"/>
          <w:b/>
          <w:bCs/>
        </w:rPr>
        <w:t>（四）投标费用</w:t>
      </w:r>
    </w:p>
    <w:p>
      <w:pPr>
        <w:pageBreakBefore w:val="0"/>
        <w:kinsoku/>
        <w:bidi w:val="0"/>
        <w:spacing w:beforeAutospacing="0" w:afterAutospacing="0" w:line="440" w:lineRule="exact"/>
        <w:ind w:firstLine="480" w:firstLineChars="200"/>
      </w:pPr>
      <w:r>
        <w:rPr>
          <w:rFonts w:hint="eastAsia"/>
        </w:rPr>
        <w:t>无论投标过程和结果如何，投标人均应自行承担所有与投标有关的全部费用。</w:t>
      </w:r>
    </w:p>
    <w:p>
      <w:pPr>
        <w:pageBreakBefore w:val="0"/>
        <w:kinsoku/>
        <w:wordWrap w:val="0"/>
        <w:topLinePunct/>
        <w:bidi w:val="0"/>
        <w:spacing w:beforeAutospacing="0" w:afterAutospacing="0" w:line="440" w:lineRule="exact"/>
        <w:ind w:firstLine="482" w:firstLineChars="200"/>
        <w:rPr>
          <w:b/>
          <w:bCs/>
        </w:rPr>
      </w:pPr>
      <w:r>
        <w:rPr>
          <w:rFonts w:hint="eastAsia"/>
          <w:b/>
          <w:bCs/>
        </w:rPr>
        <w:t>（五）特别说明</w:t>
      </w:r>
    </w:p>
    <w:p>
      <w:pPr>
        <w:pageBreakBefore w:val="0"/>
        <w:kinsoku/>
        <w:bidi w:val="0"/>
        <w:spacing w:beforeAutospacing="0" w:afterAutospacing="0"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pageBreakBefore w:val="0"/>
        <w:kinsoku/>
        <w:bidi w:val="0"/>
        <w:spacing w:beforeAutospacing="0" w:afterAutospacing="0" w:line="440" w:lineRule="exact"/>
        <w:ind w:firstLine="482" w:firstLineChars="200"/>
        <w:rPr>
          <w:highlight w:val="none"/>
        </w:rPr>
      </w:pPr>
      <w:r>
        <w:rPr>
          <w:rFonts w:hint="eastAsia" w:ascii="仿宋" w:hAnsi="仿宋" w:eastAsia="仿宋" w:cs="仿宋"/>
          <w:b/>
          <w:bCs/>
          <w:color w:val="auto"/>
          <w:sz w:val="24"/>
          <w:szCs w:val="24"/>
          <w:highlight w:val="none"/>
          <w:u w:val="none"/>
          <w:lang w:eastAsia="zh-CN"/>
        </w:rPr>
        <w:t>▲</w:t>
      </w:r>
      <w:r>
        <w:rPr>
          <w:rFonts w:hint="eastAsia"/>
          <w:highlight w:val="none"/>
        </w:rPr>
        <w:t>2.价格是评标的重要因素之一，但最低报价不是中标的唯一依据。</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keepNext w:val="0"/>
        <w:keepLines w:val="0"/>
        <w:pageBreakBefore w:val="0"/>
        <w:kinsoku/>
        <w:bidi w:val="0"/>
        <w:spacing w:before="0" w:beforeAutospacing="0" w:after="0" w:afterAutospacing="0" w:line="440" w:lineRule="exact"/>
        <w:ind w:left="0" w:firstLine="643" w:firstLineChars="200"/>
        <w:jc w:val="both"/>
      </w:pPr>
      <w:r>
        <w:rPr>
          <w:rFonts w:hint="eastAsia"/>
        </w:rPr>
        <w:t>二、招标文件</w:t>
      </w:r>
    </w:p>
    <w:p>
      <w:pPr>
        <w:pageBreakBefore w:val="0"/>
        <w:kinsoku/>
        <w:wordWrap w:val="0"/>
        <w:topLinePunct/>
        <w:bidi w:val="0"/>
        <w:spacing w:beforeAutospacing="0" w:afterAutospacing="0" w:line="440" w:lineRule="exact"/>
        <w:ind w:firstLine="482" w:firstLineChars="200"/>
        <w:rPr>
          <w:b/>
          <w:bCs/>
        </w:rPr>
      </w:pPr>
      <w:r>
        <w:rPr>
          <w:rFonts w:hint="eastAsia"/>
          <w:b/>
          <w:bCs/>
        </w:rPr>
        <w:t>（一）招标文件的澄清</w:t>
      </w:r>
    </w:p>
    <w:p>
      <w:pPr>
        <w:pageBreakBefore w:val="0"/>
        <w:kinsoku/>
        <w:wordWrap w:val="0"/>
        <w:topLinePunct/>
        <w:bidi w:val="0"/>
        <w:spacing w:beforeAutospacing="0" w:afterAutospacing="0"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pageBreakBefore w:val="0"/>
        <w:kinsoku/>
        <w:wordWrap w:val="0"/>
        <w:topLinePunct/>
        <w:bidi w:val="0"/>
        <w:spacing w:beforeAutospacing="0" w:afterAutospacing="0" w:line="440" w:lineRule="exact"/>
        <w:ind w:firstLine="480" w:firstLineChars="200"/>
        <w:rPr>
          <w:highlight w:val="none"/>
        </w:rPr>
      </w:pPr>
      <w:r>
        <w:rPr>
          <w:rFonts w:hint="eastAsia"/>
        </w:rPr>
        <w:t>2. 采购代理机构将视情况确定是否有必要在开标前对招标文件进行澄清，如有必要，将通过政采云平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pPr>
        <w:pageBreakBefore w:val="0"/>
        <w:kinsoku/>
        <w:wordWrap w:val="0"/>
        <w:topLinePunct/>
        <w:bidi w:val="0"/>
        <w:spacing w:beforeAutospacing="0" w:afterAutospacing="0" w:line="440" w:lineRule="exact"/>
        <w:ind w:firstLine="482" w:firstLineChars="200"/>
        <w:rPr>
          <w:b/>
          <w:bCs/>
        </w:rPr>
      </w:pPr>
      <w:r>
        <w:rPr>
          <w:rFonts w:hint="eastAsia"/>
          <w:b/>
          <w:bCs/>
        </w:rPr>
        <w:t>（二）招标文件的修改</w:t>
      </w:r>
    </w:p>
    <w:p>
      <w:pPr>
        <w:pageBreakBefore w:val="0"/>
        <w:kinsoku/>
        <w:wordWrap w:val="0"/>
        <w:topLinePunct/>
        <w:bidi w:val="0"/>
        <w:spacing w:beforeAutospacing="0" w:afterAutospacing="0"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pageBreakBefore w:val="0"/>
        <w:kinsoku/>
        <w:wordWrap w:val="0"/>
        <w:topLinePunct/>
        <w:bidi w:val="0"/>
        <w:spacing w:beforeAutospacing="0" w:afterAutospacing="0"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pPr>
      <w:r>
        <w:rPr>
          <w:rFonts w:hint="eastAsia"/>
        </w:rPr>
        <w:t>4. 更正公告的内容将作为招标文件的组成部分，对所有投标人均具有约束力。</w:t>
      </w:r>
    </w:p>
    <w:p>
      <w:pPr>
        <w:pageBreakBefore w:val="0"/>
        <w:kinsoku/>
        <w:wordWrap w:val="0"/>
        <w:topLinePunct/>
        <w:bidi w:val="0"/>
        <w:spacing w:beforeAutospacing="0" w:afterAutospacing="0" w:line="440" w:lineRule="exact"/>
        <w:ind w:firstLine="472" w:firstLineChars="196"/>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pPr>
        <w:pStyle w:val="7"/>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三、投标文件</w:t>
      </w:r>
    </w:p>
    <w:p>
      <w:pPr>
        <w:pageBreakBefore w:val="0"/>
        <w:kinsoku/>
        <w:wordWrap w:val="0"/>
        <w:topLinePunct/>
        <w:bidi w:val="0"/>
        <w:spacing w:beforeAutospacing="0" w:afterAutospacing="0"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ageBreakBefore w:val="0"/>
        <w:kinsoku/>
        <w:wordWrap w:val="0"/>
        <w:topLinePunct/>
        <w:bidi w:val="0"/>
        <w:spacing w:beforeAutospacing="0" w:afterAutospacing="0"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pageBreakBefore w:val="0"/>
        <w:kinsoku/>
        <w:wordWrap w:val="0"/>
        <w:topLinePunct/>
        <w:bidi w:val="0"/>
        <w:spacing w:beforeAutospacing="0" w:afterAutospacing="0"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8"/>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（一）投标文件的语言及计量</w:t>
      </w:r>
    </w:p>
    <w:p>
      <w:pPr>
        <w:pageBreakBefore w:val="0"/>
        <w:kinsoku/>
        <w:wordWrap w:val="0"/>
        <w:topLinePunct/>
        <w:bidi w:val="0"/>
        <w:spacing w:beforeAutospacing="0" w:afterAutospacing="0"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pageBreakBefore w:val="0"/>
        <w:kinsoku/>
        <w:wordWrap w:val="0"/>
        <w:topLinePunct/>
        <w:bidi w:val="0"/>
        <w:spacing w:beforeAutospacing="0" w:afterAutospacing="0"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pageBreakBefore w:val="0"/>
        <w:kinsoku/>
        <w:wordWrap w:val="0"/>
        <w:topLinePunct/>
        <w:bidi w:val="0"/>
        <w:spacing w:beforeAutospacing="0" w:afterAutospacing="0"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pageBreakBefore w:val="0"/>
        <w:kinsoku/>
        <w:wordWrap w:val="0"/>
        <w:topLinePunct/>
        <w:bidi w:val="0"/>
        <w:spacing w:beforeAutospacing="0" w:afterAutospacing="0" w:line="440" w:lineRule="exact"/>
        <w:ind w:firstLine="482" w:firstLineChars="200"/>
        <w:rPr>
          <w:b/>
          <w:bCs/>
        </w:rPr>
      </w:pPr>
      <w:r>
        <w:rPr>
          <w:rFonts w:hint="eastAsia"/>
          <w:b/>
          <w:bCs/>
        </w:rPr>
        <w:t>（二）投标文件的组成</w:t>
      </w:r>
    </w:p>
    <w:p>
      <w:pPr>
        <w:pageBreakBefore w:val="0"/>
        <w:kinsoku/>
        <w:wordWrap w:val="0"/>
        <w:topLinePunct/>
        <w:bidi w:val="0"/>
        <w:spacing w:beforeAutospacing="0" w:afterAutospacing="0"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w:t>
      </w:r>
      <w:r>
        <w:rPr>
          <w:rFonts w:hint="eastAsia"/>
          <w:color w:val="auto"/>
          <w:highlight w:val="none"/>
          <w:lang w:eastAsia="zh-CN"/>
        </w:rPr>
        <w:t>提供有效的</w:t>
      </w:r>
      <w:r>
        <w:rPr>
          <w:rFonts w:hint="eastAsia"/>
          <w:color w:val="auto"/>
          <w:highlight w:val="none"/>
        </w:rPr>
        <w:t>法定代表人授权委托书（格式见附件）；</w:t>
      </w:r>
    </w:p>
    <w:p>
      <w:pPr>
        <w:pageBreakBefore w:val="0"/>
        <w:kinsoku/>
        <w:wordWrap w:val="0"/>
        <w:topLinePunct/>
        <w:bidi w:val="0"/>
        <w:spacing w:beforeAutospacing="0" w:afterAutospacing="0" w:line="440" w:lineRule="exact"/>
        <w:ind w:firstLine="482" w:firstLineChars="200"/>
        <w:rPr>
          <w:rFonts w:hint="eastAsia"/>
          <w:b/>
          <w:bCs/>
          <w:color w:val="auto"/>
          <w:highlight w:val="green"/>
        </w:rPr>
      </w:pPr>
      <w:r>
        <w:rPr>
          <w:rFonts w:hint="eastAsia" w:ascii="仿宋" w:hAnsi="仿宋" w:eastAsia="仿宋"/>
          <w:b/>
          <w:bCs/>
          <w:color w:val="auto"/>
          <w:sz w:val="24"/>
          <w:highlight w:val="none"/>
        </w:rPr>
        <w:t>（如法定代表人直接参加投标并对相应文件签字的，只需提供其身份证复印件正反面）</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（3）</w:t>
      </w:r>
      <w:r>
        <w:rPr>
          <w:rFonts w:hint="eastAsia" w:ascii="仿宋" w:hAnsi="仿宋" w:eastAsia="仿宋" w:cs="仿宋"/>
          <w:b w:val="0"/>
          <w:bCs w:val="0"/>
          <w:sz w:val="24"/>
          <w:highlight w:val="none"/>
          <w:u w:val="none"/>
        </w:rPr>
        <w:t>符合参加政府采购活动应当具备的一般条件的承诺函（格式见附件）</w:t>
      </w:r>
      <w:r>
        <w:rPr>
          <w:rFonts w:hint="eastAsia" w:ascii="仿宋" w:hAnsi="仿宋" w:eastAsia="仿宋" w:cs="仿宋"/>
          <w:b w:val="0"/>
          <w:bCs w:val="0"/>
          <w:sz w:val="24"/>
          <w:highlight w:val="none"/>
          <w:u w:val="none"/>
          <w:lang w:eastAsia="zh-CN"/>
        </w:rPr>
        <w:t>；</w:t>
      </w:r>
    </w:p>
    <w:p>
      <w:pPr>
        <w:pageBreakBefore w:val="0"/>
        <w:kinsoku/>
        <w:bidi w:val="0"/>
        <w:spacing w:beforeAutospacing="0" w:afterAutospacing="0" w:line="440" w:lineRule="exact"/>
        <w:ind w:firstLine="360" w:firstLineChars="150"/>
        <w:rPr>
          <w:color w:val="auto"/>
          <w:highlight w:val="none"/>
        </w:rPr>
      </w:pPr>
      <w:r>
        <w:rPr>
          <w:rFonts w:hint="eastAsia" w:ascii="仿宋" w:hAnsi="仿宋" w:eastAsia="仿宋"/>
          <w:sz w:val="24"/>
          <w:szCs w:val="24"/>
          <w:highlight w:val="none"/>
        </w:rPr>
        <w:t>（</w:t>
      </w:r>
      <w:r>
        <w:rPr>
          <w:rFonts w:hint="eastAsia"/>
          <w:sz w:val="24"/>
          <w:szCs w:val="24"/>
          <w:highlight w:val="none"/>
          <w:lang w:val="en-US" w:eastAsia="zh-CN"/>
        </w:rPr>
        <w:t>4</w:t>
      </w:r>
      <w:r>
        <w:rPr>
          <w:rFonts w:hint="eastAsia" w:ascii="仿宋" w:hAnsi="仿宋" w:eastAsia="仿宋"/>
          <w:sz w:val="24"/>
          <w:szCs w:val="24"/>
          <w:highlight w:val="none"/>
        </w:rPr>
        <w:t>）</w:t>
      </w:r>
      <w:r>
        <w:rPr>
          <w:rFonts w:hint="eastAsia"/>
          <w:color w:val="auto"/>
          <w:highlight w:val="none"/>
        </w:rPr>
        <w:t>符合特定资格条件（如果项目要求）的有关证明材料（复印件）。</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（1）</w:t>
      </w:r>
      <w:r>
        <w:rPr>
          <w:rFonts w:hint="eastAsia"/>
          <w:bCs/>
          <w:color w:val="auto"/>
          <w:highlight w:val="none"/>
          <w:lang w:eastAsia="zh-CN"/>
        </w:rPr>
        <w:t>投标响应函</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color w:val="auto"/>
          <w:highlight w:val="none"/>
        </w:rPr>
        <w:t>政府采购供应商廉洁自律承诺书 （格式见附件）；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）廉政承诺书</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投标人情况介绍(格式见附件)；</w:t>
      </w:r>
    </w:p>
    <w:p>
      <w:pPr>
        <w:pageBreakBefore w:val="0"/>
        <w:kinsoku/>
        <w:wordWrap w:val="0"/>
        <w:topLinePunct/>
        <w:bidi w:val="0"/>
        <w:spacing w:beforeAutospacing="0" w:afterAutospacing="0" w:line="440" w:lineRule="exact"/>
        <w:ind w:firstLine="480" w:firstLineChars="200"/>
        <w:rPr>
          <w:bCs/>
        </w:rPr>
      </w:pPr>
      <w:r>
        <w:rPr>
          <w:rFonts w:hint="eastAsia"/>
          <w:bCs/>
        </w:rPr>
        <w:t>（</w:t>
      </w:r>
      <w:r>
        <w:rPr>
          <w:rFonts w:hint="eastAsia"/>
          <w:bCs/>
          <w:lang w:val="en-US" w:eastAsia="zh-CN"/>
        </w:rPr>
        <w:t>5</w:t>
      </w:r>
      <w:r>
        <w:rPr>
          <w:rFonts w:hint="eastAsia"/>
          <w:bCs/>
        </w:rPr>
        <w:t>）投标人认为有必要提供的其他资信文件或说明。</w:t>
      </w:r>
    </w:p>
    <w:p>
      <w:pPr>
        <w:pageBreakBefore w:val="0"/>
        <w:kinsoku/>
        <w:wordWrap w:val="0"/>
        <w:topLinePunct/>
        <w:bidi w:val="0"/>
        <w:spacing w:beforeAutospacing="0" w:afterAutospacing="0" w:line="440" w:lineRule="exact"/>
        <w:ind w:firstLine="480" w:firstLineChars="200"/>
        <w:rPr>
          <w:bCs/>
          <w:highlight w:val="none"/>
        </w:rPr>
      </w:pPr>
      <w:r>
        <w:rPr>
          <w:rFonts w:hint="eastAsia"/>
          <w:highlight w:val="none"/>
        </w:rPr>
        <w:t>（</w:t>
      </w:r>
      <w:r>
        <w:rPr>
          <w:rFonts w:hint="eastAsia"/>
          <w:highlight w:val="none"/>
          <w:lang w:val="en-US" w:eastAsia="zh-CN"/>
        </w:rPr>
        <w:t>6</w:t>
      </w:r>
      <w:r>
        <w:rPr>
          <w:rFonts w:hint="eastAsia"/>
          <w:highlight w:val="none"/>
        </w:rPr>
        <w:t>）关于本项目的</w:t>
      </w:r>
      <w:r>
        <w:rPr>
          <w:rFonts w:hint="eastAsia"/>
          <w:highlight w:val="none"/>
          <w:lang w:eastAsia="zh-CN"/>
        </w:rPr>
        <w:t>深化设计图纸和效果图</w:t>
      </w:r>
      <w:r>
        <w:rPr>
          <w:rFonts w:hint="eastAsia"/>
          <w:highlight w:val="none"/>
        </w:rPr>
        <w:t>；</w:t>
      </w:r>
    </w:p>
    <w:p>
      <w:pPr>
        <w:pageBreakBefore w:val="0"/>
        <w:kinsoku/>
        <w:wordWrap w:val="0"/>
        <w:topLinePunct/>
        <w:bidi w:val="0"/>
        <w:spacing w:beforeAutospacing="0" w:afterAutospacing="0" w:line="440" w:lineRule="exact"/>
        <w:ind w:firstLine="480" w:firstLineChars="200"/>
        <w:rPr>
          <w:rFonts w:hint="eastAsia"/>
          <w:highlight w:val="none"/>
        </w:rPr>
      </w:pPr>
      <w:r>
        <w:rPr>
          <w:rFonts w:hint="eastAsia"/>
          <w:highlight w:val="none"/>
        </w:rPr>
        <w:t>（</w:t>
      </w:r>
      <w:r>
        <w:rPr>
          <w:rFonts w:hint="eastAsia"/>
          <w:highlight w:val="none"/>
          <w:lang w:val="en-US" w:eastAsia="zh-CN"/>
        </w:rPr>
        <w:t>7</w:t>
      </w:r>
      <w:r>
        <w:rPr>
          <w:rFonts w:hint="eastAsia"/>
          <w:highlight w:val="none"/>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pageBreakBefore w:val="0"/>
        <w:kinsoku/>
        <w:wordWrap w:val="0"/>
        <w:topLinePunct/>
        <w:bidi w:val="0"/>
        <w:spacing w:beforeAutospacing="0" w:afterAutospacing="0" w:line="440" w:lineRule="exact"/>
        <w:ind w:firstLine="480" w:firstLineChars="200"/>
        <w:rPr>
          <w:rFonts w:hint="eastAsia"/>
          <w:highlight w:val="none"/>
        </w:rPr>
      </w:pPr>
      <w:r>
        <w:rPr>
          <w:rFonts w:hint="eastAsia"/>
          <w:highlight w:val="none"/>
        </w:rPr>
        <w:t>（</w:t>
      </w:r>
      <w:r>
        <w:rPr>
          <w:rFonts w:hint="eastAsia"/>
          <w:highlight w:val="none"/>
          <w:lang w:val="en-US" w:eastAsia="zh-CN"/>
        </w:rPr>
        <w:t>8</w:t>
      </w:r>
      <w:r>
        <w:rPr>
          <w:rFonts w:hint="eastAsia"/>
          <w:highlight w:val="none"/>
        </w:rPr>
        <w:t>）</w:t>
      </w:r>
      <w:r>
        <w:rPr>
          <w:rFonts w:hint="eastAsia" w:ascii="仿宋" w:hAnsi="仿宋" w:eastAsia="仿宋" w:cs="仿宋"/>
          <w:bCs/>
          <w:color w:val="auto"/>
          <w:sz w:val="24"/>
          <w:szCs w:val="24"/>
          <w:highlight w:val="none"/>
        </w:rPr>
        <w:t>节能环保等的资质证书或文件（若有）；</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w:t>
      </w:r>
      <w:r>
        <w:rPr>
          <w:rFonts w:hint="eastAsia"/>
          <w:highlight w:val="none"/>
          <w:lang w:val="en-US" w:eastAsia="zh-CN"/>
        </w:rPr>
        <w:t>9</w:t>
      </w:r>
      <w:r>
        <w:rPr>
          <w:rFonts w:hint="eastAsia"/>
          <w:highlight w:val="none"/>
        </w:rPr>
        <w:t>）</w:t>
      </w:r>
      <w:r>
        <w:rPr>
          <w:rFonts w:hint="eastAsia"/>
          <w:highlight w:val="none"/>
          <w:lang w:eastAsia="zh-CN"/>
        </w:rPr>
        <w:t>技术规格</w:t>
      </w:r>
      <w:r>
        <w:rPr>
          <w:rFonts w:hint="eastAsia"/>
          <w:highlight w:val="none"/>
          <w:lang w:val="en-US" w:eastAsia="zh-CN"/>
        </w:rPr>
        <w:t>/</w:t>
      </w:r>
      <w:r>
        <w:rPr>
          <w:rFonts w:hint="eastAsia"/>
          <w:highlight w:val="none"/>
          <w:lang w:eastAsia="zh-CN"/>
        </w:rPr>
        <w:t>服务条款</w:t>
      </w:r>
      <w:r>
        <w:rPr>
          <w:rFonts w:hint="eastAsia"/>
          <w:highlight w:val="none"/>
        </w:rPr>
        <w:t>偏离表(格式见附件)；</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0</w:t>
      </w:r>
      <w:r>
        <w:rPr>
          <w:rFonts w:hint="eastAsia"/>
          <w:highlight w:val="none"/>
        </w:rPr>
        <w:t>）投标人同类项目实施业绩一览表(格式见附件)；</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1</w:t>
      </w:r>
      <w:r>
        <w:rPr>
          <w:rFonts w:hint="eastAsia"/>
          <w:highlight w:val="none"/>
        </w:rPr>
        <w:t>）项目实施人员（主要从业人员及其技术资格）一览表(格式见附件)；</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2</w:t>
      </w:r>
      <w:r>
        <w:rPr>
          <w:rFonts w:hint="eastAsia"/>
          <w:highlight w:val="none"/>
        </w:rPr>
        <w:t>）设备投入一览表（若有）(格式见附件)；</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3</w:t>
      </w:r>
      <w:r>
        <w:rPr>
          <w:rFonts w:hint="eastAsia"/>
          <w:highlight w:val="none"/>
        </w:rPr>
        <w:t>）投标人承诺给予采购人的各种优惠条件及特殊承诺，包括售后服务、备品备件、专用耗材等方面的优惠；</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4</w:t>
      </w:r>
      <w:r>
        <w:rPr>
          <w:rFonts w:hint="eastAsia"/>
          <w:highlight w:val="none"/>
        </w:rPr>
        <w:t>）技术培训、运维保障、售后服务、验收方案的内容和措施；</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5</w:t>
      </w:r>
      <w:r>
        <w:rPr>
          <w:rFonts w:hint="eastAsia"/>
          <w:highlight w:val="none"/>
        </w:rPr>
        <w:t>）投标人认为有必要提供的其他文件和说明（格式自拟）。</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b/>
          <w:color w:val="auto"/>
          <w:highlight w:val="none"/>
        </w:rPr>
        <w:t>（</w:t>
      </w:r>
      <w:r>
        <w:rPr>
          <w:rFonts w:hint="eastAsia"/>
          <w:b/>
          <w:color w:val="auto"/>
          <w:highlight w:val="none"/>
          <w:lang w:val="en-US" w:eastAsia="zh-CN"/>
        </w:rPr>
        <w:t>1</w:t>
      </w:r>
      <w:r>
        <w:rPr>
          <w:rFonts w:hint="eastAsia"/>
          <w:b/>
          <w:color w:val="auto"/>
          <w:highlight w:val="none"/>
        </w:rPr>
        <w:t>）中小企业声明函(视情况提供，格式见附件)</w:t>
      </w:r>
      <w:r>
        <w:rPr>
          <w:rFonts w:hint="eastAsia"/>
          <w:b/>
          <w:color w:val="auto"/>
          <w:highlight w:val="none"/>
          <w:lang w:eastAsia="zh-CN"/>
        </w:rPr>
        <w:t>、</w:t>
      </w:r>
      <w:r>
        <w:rPr>
          <w:rFonts w:hint="eastAsia"/>
          <w:b/>
          <w:color w:val="auto"/>
          <w:highlight w:val="none"/>
        </w:rPr>
        <w:t>残疾人福利性单位声明函(视情况提供，格式见附件)</w:t>
      </w:r>
      <w:r>
        <w:rPr>
          <w:rFonts w:hint="eastAsia"/>
          <w:b/>
          <w:color w:val="auto"/>
          <w:highlight w:val="none"/>
          <w:lang w:eastAsia="zh-CN"/>
        </w:rPr>
        <w:t>、</w:t>
      </w:r>
      <w:r>
        <w:rPr>
          <w:rFonts w:hint="eastAsia"/>
          <w:b/>
          <w:color w:val="auto"/>
          <w:highlight w:val="none"/>
        </w:rPr>
        <w:t>监狱企业证明文件（视情况提供）</w:t>
      </w:r>
      <w:r>
        <w:rPr>
          <w:rFonts w:hint="eastAsia"/>
          <w:b/>
          <w:color w:val="auto"/>
          <w:highlight w:val="none"/>
          <w:lang w:eastAsia="zh-CN"/>
        </w:rPr>
        <w:t>；</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）报价明细表（格式见附件）；</w:t>
      </w:r>
    </w:p>
    <w:p>
      <w:pPr>
        <w:pageBreakBefore w:val="0"/>
        <w:kinsoku/>
        <w:wordWrap w:val="0"/>
        <w:topLinePunct/>
        <w:bidi w:val="0"/>
        <w:spacing w:beforeAutospacing="0" w:afterAutospacing="0" w:line="440" w:lineRule="exact"/>
        <w:ind w:firstLine="480" w:firstLineChars="200"/>
      </w:pPr>
      <w:r>
        <w:rPr>
          <w:rFonts w:hint="eastAsia"/>
        </w:rPr>
        <w:t>（</w:t>
      </w:r>
      <w:r>
        <w:rPr>
          <w:rFonts w:hint="eastAsia"/>
          <w:lang w:val="en-US" w:eastAsia="zh-CN"/>
        </w:rPr>
        <w:t>4</w:t>
      </w:r>
      <w:r>
        <w:rPr>
          <w:rFonts w:hint="eastAsia"/>
        </w:rPr>
        <w:t>）投标人针对报价需要说明的其他文件和资料（格式自拟）。</w:t>
      </w:r>
    </w:p>
    <w:p>
      <w:pPr>
        <w:pStyle w:val="8"/>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（三）投标文件的编制、签署</w:t>
      </w:r>
    </w:p>
    <w:p>
      <w:pPr>
        <w:pageBreakBefore w:val="0"/>
        <w:kinsoku/>
        <w:wordWrap w:val="0"/>
        <w:topLinePunct/>
        <w:bidi w:val="0"/>
        <w:spacing w:beforeAutospacing="0" w:afterAutospacing="0" w:line="440" w:lineRule="exact"/>
        <w:ind w:firstLine="480" w:firstLineChars="200"/>
      </w:pPr>
      <w:r>
        <w:rPr>
          <w:rFonts w:hint="eastAsia"/>
        </w:rPr>
        <w:t>组成投标文件的各项资料均应遵守本条：</w:t>
      </w:r>
    </w:p>
    <w:p>
      <w:pPr>
        <w:pageBreakBefore w:val="0"/>
        <w:kinsoku/>
        <w:wordWrap w:val="0"/>
        <w:topLinePunct/>
        <w:bidi w:val="0"/>
        <w:spacing w:beforeAutospacing="0" w:afterAutospacing="0" w:line="440" w:lineRule="exact"/>
        <w:ind w:firstLine="480" w:firstLineChars="200"/>
      </w:pPr>
      <w:r>
        <w:rPr>
          <w:rFonts w:hint="eastAsia"/>
        </w:rPr>
        <w:t>1.投标文件的</w:t>
      </w:r>
      <w:r>
        <w:rPr>
          <w:rFonts w:hint="eastAsia"/>
          <w:lang w:eastAsia="zh-CN"/>
        </w:rPr>
        <w:t>编制</w:t>
      </w:r>
      <w:r>
        <w:rPr>
          <w:rFonts w:hint="eastAsia"/>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▲投标文件未按规定的格式编制的，投标无效；</w:t>
      </w:r>
    </w:p>
    <w:p>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000000"/>
          <w:kern w:val="0"/>
          <w:sz w:val="24"/>
          <w:szCs w:val="22"/>
          <w:highlight w:val="none"/>
          <w:lang w:eastAsia="zh-CN"/>
        </w:rPr>
      </w:pPr>
      <w:r>
        <w:rPr>
          <w:rFonts w:hint="eastAsia" w:ascii="仿宋" w:hAnsi="仿宋" w:eastAsia="仿宋" w:cs="仿宋"/>
          <w:color w:val="000000"/>
          <w:kern w:val="0"/>
          <w:sz w:val="24"/>
          <w:szCs w:val="22"/>
          <w:highlight w:val="none"/>
        </w:rPr>
        <w:t>投标文件按照招标文件格式要求进行签署、盖章</w:t>
      </w:r>
      <w:r>
        <w:rPr>
          <w:rFonts w:hint="eastAsia" w:ascii="仿宋" w:hAnsi="仿宋" w:eastAsia="仿宋" w:cs="仿宋"/>
          <w:color w:val="000000"/>
          <w:kern w:val="0"/>
          <w:sz w:val="24"/>
          <w:szCs w:val="22"/>
          <w:highlight w:val="none"/>
          <w:lang w:eastAsia="zh-CN"/>
        </w:rPr>
        <w:t>，</w:t>
      </w:r>
      <w:r>
        <w:rPr>
          <w:rFonts w:hint="eastAsia" w:ascii="仿宋" w:hAnsi="仿宋" w:eastAsia="仿宋" w:cs="仿宋"/>
          <w:b w:val="0"/>
          <w:bCs w:val="0"/>
          <w:color w:val="000000"/>
          <w:kern w:val="0"/>
          <w:sz w:val="24"/>
          <w:szCs w:val="22"/>
          <w:highlight w:val="none"/>
        </w:rPr>
        <w:t>其中电子投标文件中所须加盖公章部分均采用CA签章</w:t>
      </w:r>
      <w:r>
        <w:rPr>
          <w:rFonts w:hint="eastAsia" w:ascii="仿宋" w:hAnsi="仿宋" w:eastAsia="仿宋" w:cs="仿宋"/>
          <w:b w:val="0"/>
          <w:bCs w:val="0"/>
          <w:color w:val="000000"/>
          <w:kern w:val="0"/>
          <w:sz w:val="24"/>
          <w:szCs w:val="22"/>
          <w:highlight w:val="none"/>
          <w:lang w:eastAsia="zh-CN"/>
        </w:rPr>
        <w:t>。</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000000"/>
          <w:kern w:val="0"/>
          <w:sz w:val="24"/>
          <w:szCs w:val="22"/>
          <w:highlight w:val="none"/>
        </w:rPr>
        <w:t>投标人的投标文件未按照招标文件要求签署、盖章的，其投标无效</w:t>
      </w:r>
      <w:r>
        <w:rPr>
          <w:rFonts w:hint="eastAsia" w:ascii="仿宋" w:hAnsi="仿宋" w:eastAsia="仿宋" w:cs="仿宋"/>
          <w:b/>
          <w:bCs/>
          <w:color w:val="000000"/>
          <w:kern w:val="0"/>
          <w:sz w:val="24"/>
          <w:szCs w:val="22"/>
          <w:highlight w:val="none"/>
          <w:lang w:eastAsia="zh-CN"/>
        </w:rPr>
        <w:t>。</w:t>
      </w:r>
    </w:p>
    <w:p>
      <w:pPr>
        <w:pageBreakBefore w:val="0"/>
        <w:kinsoku/>
        <w:bidi w:val="0"/>
        <w:snapToGrid w:val="0"/>
        <w:spacing w:beforeAutospacing="0" w:afterAutospacing="0" w:line="440" w:lineRule="exact"/>
        <w:ind w:firstLine="480" w:firstLineChars="200"/>
        <w:rPr>
          <w:rFonts w:hint="eastAsia"/>
          <w:highlight w:val="none"/>
        </w:rPr>
      </w:pPr>
      <w:r>
        <w:rPr>
          <w:rFonts w:hint="eastAsia" w:ascii="仿宋" w:hAnsi="仿宋" w:eastAsia="仿宋" w:cs="仿宋"/>
          <w:kern w:val="0"/>
          <w:sz w:val="24"/>
          <w:szCs w:val="22"/>
          <w:highlight w:val="none"/>
          <w:lang w:val="en-US" w:eastAsia="zh-CN"/>
        </w:rPr>
        <w:t>3.</w:t>
      </w:r>
      <w:r>
        <w:rPr>
          <w:rFonts w:hint="eastAsia" w:ascii="仿宋" w:hAnsi="仿宋" w:eastAsia="仿宋" w:cs="仿宋"/>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kinsoku/>
        <w:bidi w:val="0"/>
        <w:spacing w:beforeAutospacing="0" w:afterAutospacing="0" w:line="440" w:lineRule="exact"/>
        <w:ind w:firstLine="482" w:firstLineChars="200"/>
        <w:rPr>
          <w:rFonts w:hint="eastAsia" w:ascii="仿宋" w:hAnsi="仿宋" w:eastAsia="仿宋" w:cs="仿宋"/>
          <w:b/>
          <w:bCs/>
          <w:i w:val="0"/>
          <w:iCs w:val="0"/>
          <w:color w:val="1F497D"/>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000000"/>
          <w:sz w:val="24"/>
          <w:szCs w:val="24"/>
          <w:highlight w:val="none"/>
          <w:u w:val="none"/>
        </w:rPr>
        <w:t>.投标文件</w:t>
      </w:r>
      <w:r>
        <w:rPr>
          <w:rFonts w:hint="eastAsia" w:ascii="仿宋" w:hAnsi="仿宋" w:eastAsia="仿宋" w:cs="仿宋"/>
          <w:b/>
          <w:bCs/>
          <w:i w:val="0"/>
          <w:iCs w:val="0"/>
          <w:color w:val="000000"/>
          <w:sz w:val="24"/>
          <w:szCs w:val="24"/>
          <w:highlight w:val="none"/>
          <w:u w:val="none"/>
          <w:lang w:eastAsia="zh-CN"/>
        </w:rPr>
        <w:t>须</w:t>
      </w:r>
      <w:r>
        <w:rPr>
          <w:rFonts w:hint="eastAsia" w:ascii="仿宋" w:hAnsi="仿宋" w:eastAsia="仿宋" w:cs="仿宋"/>
          <w:b/>
          <w:bCs/>
          <w:i w:val="0"/>
          <w:iCs w:val="0"/>
          <w:color w:val="000000"/>
          <w:sz w:val="24"/>
          <w:szCs w:val="24"/>
          <w:highlight w:val="none"/>
          <w:u w:val="none"/>
        </w:rPr>
        <w:t>由法定代表人或其授权代表签署。</w:t>
      </w:r>
      <w:r>
        <w:rPr>
          <w:rFonts w:hint="eastAsia" w:ascii="仿宋" w:hAnsi="仿宋" w:eastAsia="仿宋" w:cs="仿宋"/>
          <w:b/>
          <w:bCs/>
          <w:i w:val="0"/>
          <w:iCs w:val="0"/>
          <w:color w:val="000000"/>
          <w:sz w:val="24"/>
          <w:szCs w:val="24"/>
          <w:highlight w:val="none"/>
          <w:u w:val="none"/>
          <w:lang w:eastAsia="zh-CN"/>
        </w:rPr>
        <w:t>应由</w:t>
      </w:r>
      <w:r>
        <w:rPr>
          <w:rFonts w:hint="eastAsia" w:ascii="仿宋" w:hAnsi="仿宋" w:eastAsia="仿宋" w:cs="仿宋"/>
          <w:b/>
          <w:bCs/>
          <w:i w:val="0"/>
          <w:iCs w:val="0"/>
          <w:color w:val="000000"/>
          <w:sz w:val="24"/>
          <w:szCs w:val="24"/>
          <w:highlight w:val="none"/>
          <w:u w:val="none"/>
        </w:rPr>
        <w:t>投标人法定代表人或授权代表签字</w:t>
      </w:r>
      <w:r>
        <w:rPr>
          <w:rFonts w:hint="eastAsia" w:ascii="仿宋" w:hAnsi="仿宋" w:eastAsia="仿宋" w:cs="仿宋"/>
          <w:b/>
          <w:bCs/>
          <w:i w:val="0"/>
          <w:iCs w:val="0"/>
          <w:color w:val="000000"/>
          <w:sz w:val="24"/>
          <w:szCs w:val="24"/>
          <w:highlight w:val="none"/>
          <w:u w:val="none"/>
          <w:lang w:val="en-US" w:eastAsia="zh-CN"/>
        </w:rPr>
        <w:t>的，</w:t>
      </w:r>
      <w:r>
        <w:rPr>
          <w:rFonts w:hint="eastAsia" w:ascii="仿宋" w:hAnsi="仿宋" w:eastAsia="仿宋" w:cs="仿宋"/>
          <w:b/>
          <w:bCs/>
          <w:i w:val="0"/>
          <w:iCs w:val="0"/>
          <w:color w:val="000000"/>
          <w:sz w:val="24"/>
          <w:szCs w:val="24"/>
          <w:highlight w:val="none"/>
          <w:u w:val="none"/>
        </w:rPr>
        <w:t>须</w:t>
      </w:r>
      <w:r>
        <w:rPr>
          <w:rFonts w:hint="eastAsia" w:ascii="仿宋" w:hAnsi="仿宋" w:eastAsia="仿宋" w:cs="仿宋"/>
          <w:b/>
          <w:bCs/>
          <w:i w:val="0"/>
          <w:iCs w:val="0"/>
          <w:color w:val="000000"/>
          <w:sz w:val="24"/>
          <w:szCs w:val="24"/>
          <w:highlight w:val="none"/>
          <w:u w:val="none"/>
          <w:lang w:eastAsia="zh-CN"/>
        </w:rPr>
        <w:t>签名或电子签名</w:t>
      </w:r>
      <w:r>
        <w:rPr>
          <w:rFonts w:hint="eastAsia" w:ascii="仿宋" w:hAnsi="仿宋" w:eastAsia="仿宋" w:cs="仿宋"/>
          <w:b/>
          <w:bCs/>
          <w:i w:val="0"/>
          <w:iCs w:val="0"/>
          <w:color w:val="000000"/>
          <w:sz w:val="24"/>
          <w:szCs w:val="24"/>
          <w:highlight w:val="none"/>
          <w:u w:val="none"/>
        </w:rPr>
        <w:t>，否则按无效标处理。</w:t>
      </w:r>
    </w:p>
    <w:p>
      <w:pPr>
        <w:pageBreakBefore w:val="0"/>
        <w:kinsoku/>
        <w:bidi w:val="0"/>
        <w:spacing w:beforeAutospacing="0" w:afterAutospacing="0" w:line="440" w:lineRule="exact"/>
        <w:ind w:firstLine="482" w:firstLineChars="200"/>
        <w:rPr>
          <w:rFonts w:hint="eastAsia" w:ascii="仿宋" w:hAnsi="仿宋" w:eastAsia="仿宋" w:cs="仿宋"/>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kern w:val="0"/>
          <w:sz w:val="24"/>
          <w:highlight w:val="none"/>
        </w:rPr>
        <w:t>.</w:t>
      </w:r>
      <w:r>
        <w:rPr>
          <w:rFonts w:hint="eastAsia" w:ascii="仿宋" w:hAnsi="仿宋" w:eastAsia="仿宋" w:cs="仿宋"/>
          <w:b/>
          <w:kern w:val="0"/>
          <w:sz w:val="24"/>
          <w:highlight w:val="none"/>
        </w:rPr>
        <w:t>资格文件、商务及技术文件中不得出现投标报价等价格信息，否则按无效标处理。</w:t>
      </w:r>
    </w:p>
    <w:p>
      <w:pPr>
        <w:pageBreakBefore w:val="0"/>
        <w:kinsoku/>
        <w:bidi w:val="0"/>
        <w:snapToGrid w:val="0"/>
        <w:spacing w:beforeAutospacing="0" w:afterAutospacing="0" w:line="440" w:lineRule="exact"/>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.投标文件应字迹清楚、内容齐全、格式规范，如有修改，</w:t>
      </w:r>
      <w:r>
        <w:rPr>
          <w:rFonts w:hint="eastAsia" w:ascii="仿宋" w:hAnsi="仿宋" w:eastAsia="仿宋" w:cs="仿宋"/>
          <w:i w:val="0"/>
          <w:iCs w:val="0"/>
          <w:color w:val="000000"/>
          <w:sz w:val="24"/>
          <w:szCs w:val="24"/>
          <w:highlight w:val="none"/>
          <w:u w:val="none"/>
        </w:rPr>
        <w:t>修改处须有法定代表人或其授权代表</w:t>
      </w:r>
      <w:r>
        <w:rPr>
          <w:rFonts w:hint="eastAsia" w:ascii="仿宋" w:hAnsi="仿宋" w:eastAsia="仿宋" w:cs="仿宋"/>
          <w:i w:val="0"/>
          <w:iCs w:val="0"/>
          <w:color w:val="000000"/>
          <w:sz w:val="24"/>
          <w:szCs w:val="24"/>
          <w:highlight w:val="none"/>
          <w:u w:val="none"/>
          <w:lang w:eastAsia="zh-CN"/>
        </w:rPr>
        <w:t>签名或电子签名</w:t>
      </w:r>
      <w:r>
        <w:rPr>
          <w:rFonts w:hint="eastAsia" w:ascii="仿宋" w:hAnsi="仿宋" w:eastAsia="仿宋" w:cs="仿宋"/>
          <w:i w:val="0"/>
          <w:iCs w:val="0"/>
          <w:color w:val="000000"/>
          <w:sz w:val="24"/>
          <w:szCs w:val="24"/>
          <w:highlight w:val="none"/>
          <w:u w:val="none"/>
        </w:rPr>
        <w:t>并加盖</w:t>
      </w:r>
      <w:r>
        <w:rPr>
          <w:rFonts w:hint="eastAsia" w:ascii="仿宋" w:hAnsi="仿宋" w:eastAsia="仿宋" w:cs="仿宋"/>
          <w:i w:val="0"/>
          <w:iCs w:val="0"/>
          <w:color w:val="000000"/>
          <w:sz w:val="24"/>
          <w:szCs w:val="24"/>
          <w:highlight w:val="none"/>
          <w:u w:val="none"/>
          <w:lang w:eastAsia="zh-CN"/>
        </w:rPr>
        <w:t>投标人</w:t>
      </w:r>
      <w:r>
        <w:rPr>
          <w:rFonts w:hint="eastAsia" w:ascii="仿宋" w:hAnsi="仿宋" w:eastAsia="仿宋" w:cs="仿宋"/>
          <w:i w:val="0"/>
          <w:iCs w:val="0"/>
          <w:color w:val="000000"/>
          <w:sz w:val="24"/>
          <w:szCs w:val="24"/>
          <w:highlight w:val="none"/>
          <w:u w:val="none"/>
        </w:rPr>
        <w:t>公章</w:t>
      </w:r>
      <w:r>
        <w:rPr>
          <w:rFonts w:hint="eastAsia" w:ascii="仿宋" w:hAnsi="仿宋" w:eastAsia="仿宋" w:cs="仿宋"/>
          <w:kern w:val="0"/>
          <w:sz w:val="24"/>
          <w:highlight w:val="none"/>
        </w:rPr>
        <w:t>。投标文件因字迹潦草或表达不清所引起的后果由投标人负责</w:t>
      </w:r>
      <w:r>
        <w:rPr>
          <w:rFonts w:hint="eastAsia" w:ascii="仿宋" w:hAnsi="仿宋" w:eastAsia="仿宋" w:cs="仿宋"/>
          <w:kern w:val="0"/>
          <w:sz w:val="24"/>
          <w:szCs w:val="22"/>
          <w:highlight w:val="none"/>
        </w:rPr>
        <w:t>。</w:t>
      </w:r>
    </w:p>
    <w:p>
      <w:pPr>
        <w:pStyle w:val="8"/>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sz w:val="24"/>
          <w:szCs w:val="24"/>
          <w:highlight w:val="none"/>
          <w:lang w:val="en-US" w:eastAsia="zh-CN"/>
        </w:rPr>
      </w:pPr>
      <w:r>
        <w:rPr>
          <w:rFonts w:hint="eastAsia"/>
          <w:sz w:val="24"/>
          <w:szCs w:val="24"/>
          <w:highlight w:val="none"/>
        </w:rPr>
        <w:t>（四）投标报价</w:t>
      </w:r>
      <w:r>
        <w:rPr>
          <w:rFonts w:hint="eastAsia"/>
          <w:sz w:val="24"/>
          <w:szCs w:val="24"/>
          <w:highlight w:val="none"/>
          <w:lang w:val="en-US" w:eastAsia="zh-CN"/>
        </w:rPr>
        <w:t xml:space="preserve">                                          </w:t>
      </w:r>
    </w:p>
    <w:p>
      <w:pPr>
        <w:pageBreakBefore w:val="0"/>
        <w:kinsoku/>
        <w:bidi w:val="0"/>
        <w:spacing w:beforeAutospacing="0" w:afterAutospacing="0" w:line="440" w:lineRule="exact"/>
        <w:ind w:firstLine="480" w:firstLineChars="200"/>
        <w:rPr>
          <w:highlight w:val="none"/>
        </w:rPr>
      </w:pPr>
      <w:r>
        <w:rPr>
          <w:rFonts w:hint="eastAsia"/>
          <w:highlight w:val="none"/>
        </w:rPr>
        <w:t>1.所有投标报价均以人民币元为计算单位。投标报价应是唯一的，采购人将拒绝有选择的报价，投标报价应按招标文件中相关附表格式填报。</w:t>
      </w:r>
    </w:p>
    <w:p>
      <w:pPr>
        <w:pageBreakBefore w:val="0"/>
        <w:kinsoku/>
        <w:bidi w:val="0"/>
        <w:spacing w:beforeAutospacing="0" w:afterAutospacing="0" w:line="440" w:lineRule="exact"/>
        <w:ind w:firstLine="480" w:firstLineChars="200"/>
      </w:pPr>
      <w:r>
        <w:rPr>
          <w:rFonts w:hint="eastAsia"/>
          <w:highlight w:val="none"/>
        </w:rPr>
        <w:t>2.投标价格应</w:t>
      </w:r>
      <w:r>
        <w:rPr>
          <w:rFonts w:hint="eastAsia"/>
        </w:rPr>
        <w:t>该已经扣除所有同业折扣以及现金折扣。投标报价应包括所需缴纳的所有税费、项目实施所需的一切费用。</w:t>
      </w:r>
    </w:p>
    <w:p>
      <w:pPr>
        <w:pageBreakBefore w:val="0"/>
        <w:kinsoku/>
        <w:bidi w:val="0"/>
        <w:spacing w:beforeAutospacing="0" w:afterAutospacing="0"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w:t>
      </w:r>
      <w:r>
        <w:rPr>
          <w:rFonts w:hint="eastAsia"/>
          <w:b/>
          <w:bCs/>
          <w:color w:val="FF0000"/>
        </w:rPr>
        <w:t>环节10分钟内</w:t>
      </w:r>
      <w:r>
        <w:rPr>
          <w:rFonts w:hint="eastAsia"/>
          <w:b/>
          <w:bCs/>
        </w:rPr>
        <w:t>进行在线核实的，视作确认报价，不影响评标过程和结果。</w:t>
      </w:r>
    </w:p>
    <w:p>
      <w:pPr>
        <w:pStyle w:val="8"/>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（五）投标文件的递交、补充和修改</w:t>
      </w:r>
    </w:p>
    <w:p>
      <w:pPr>
        <w:pageBreakBefore w:val="0"/>
        <w:kinsoku/>
        <w:bidi w:val="0"/>
        <w:spacing w:beforeAutospacing="0" w:afterAutospacing="0"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pageBreakBefore w:val="0"/>
        <w:kinsoku/>
        <w:bidi w:val="0"/>
        <w:spacing w:beforeAutospacing="0" w:afterAutospacing="0" w:line="440" w:lineRule="exact"/>
        <w:ind w:firstLine="480" w:firstLineChars="200"/>
      </w:pPr>
      <w:r>
        <w:rPr>
          <w:rFonts w:hint="eastAsia"/>
        </w:rPr>
        <w:t>2.投标文件的补充和修改</w:t>
      </w:r>
    </w:p>
    <w:p>
      <w:pPr>
        <w:pageBreakBefore w:val="0"/>
        <w:kinsoku/>
        <w:bidi w:val="0"/>
        <w:spacing w:beforeAutospacing="0" w:afterAutospacing="0"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pageBreakBefore w:val="0"/>
        <w:kinsoku/>
        <w:bidi w:val="0"/>
        <w:spacing w:beforeLines="0" w:beforeAutospacing="0" w:afterLines="0" w:afterAutospacing="0" w:line="440" w:lineRule="exact"/>
        <w:ind w:firstLine="480" w:firstLineChars="200"/>
      </w:pPr>
      <w:r>
        <w:rPr>
          <w:rFonts w:hint="eastAsia"/>
        </w:rPr>
        <w:t>3.投标截止时间和有效时间</w:t>
      </w:r>
    </w:p>
    <w:p>
      <w:pPr>
        <w:pStyle w:val="477"/>
        <w:pageBreakBefore w:val="0"/>
        <w:kinsoku/>
        <w:wordWrap w:val="0"/>
        <w:topLinePunct/>
        <w:bidi w:val="0"/>
        <w:spacing w:beforeLines="0" w:beforeAutospacing="0" w:afterLines="0" w:afterAutospacing="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pageBreakBefore w:val="0"/>
        <w:kinsoku/>
        <w:wordWrap w:val="0"/>
        <w:topLinePunct/>
        <w:bidi w:val="0"/>
        <w:spacing w:beforeLines="0" w:beforeAutospacing="0" w:afterLines="0" w:afterAutospacing="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7"/>
        <w:pageBreakBefore w:val="0"/>
        <w:kinsoku/>
        <w:wordWrap w:val="0"/>
        <w:topLinePunct/>
        <w:bidi w:val="0"/>
        <w:spacing w:beforeLines="0" w:beforeAutospacing="0" w:afterLines="0" w:afterAutospacing="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7"/>
        <w:keepNext w:val="0"/>
        <w:keepLines w:val="0"/>
        <w:pageBreakBefore w:val="0"/>
        <w:kinsoku/>
        <w:bidi w:val="0"/>
        <w:spacing w:before="0" w:beforeAutospacing="0" w:after="0" w:afterAutospacing="0" w:line="440" w:lineRule="exact"/>
        <w:ind w:left="0" w:firstLine="643" w:firstLineChars="200"/>
        <w:jc w:val="both"/>
      </w:pPr>
      <w:r>
        <w:rPr>
          <w:rFonts w:hint="eastAsia"/>
        </w:rPr>
        <w:t>四、开标</w:t>
      </w:r>
    </w:p>
    <w:p>
      <w:pPr>
        <w:pageBreakBefore w:val="0"/>
        <w:kinsoku/>
        <w:bidi w:val="0"/>
        <w:spacing w:beforeAutospacing="0" w:afterAutospacing="0" w:line="440" w:lineRule="exact"/>
        <w:ind w:firstLine="480" w:firstLineChars="200"/>
        <w:rPr>
          <w:highlight w:val="none"/>
        </w:rPr>
      </w:pPr>
      <w:r>
        <w:rPr>
          <w:rFonts w:hint="eastAsia" w:ascii="仿宋" w:hAnsi="仿宋" w:eastAsia="仿宋" w:cs="仿宋"/>
          <w:b w:val="0"/>
          <w:bCs/>
          <w:highlight w:val="none"/>
        </w:rPr>
        <w:t>按照招标文件规定的时间地点通过电子交易平台组织开标</w:t>
      </w:r>
      <w:r>
        <w:rPr>
          <w:rFonts w:hint="eastAsia" w:cs="仿宋"/>
          <w:b w:val="0"/>
          <w:bCs/>
          <w:highlight w:val="none"/>
          <w:lang w:eastAsia="zh-CN"/>
        </w:rPr>
        <w:t>，</w:t>
      </w:r>
      <w:r>
        <w:rPr>
          <w:rFonts w:hint="eastAsia"/>
          <w:highlight w:val="none"/>
        </w:rPr>
        <w:t>各投标人法定代表人（负责人）或其授权代表应准时参与在线电子投标，否则事后不得对采购相关人员、开标过程和开标结果提出异议。</w:t>
      </w:r>
      <w:r>
        <w:rPr>
          <w:rFonts w:hint="eastAsia"/>
          <w:b/>
          <w:bCs/>
          <w:highlight w:val="none"/>
          <w:lang w:eastAsia="zh-CN"/>
        </w:rPr>
        <w:t>响应</w:t>
      </w:r>
      <w:r>
        <w:rPr>
          <w:rFonts w:hint="eastAsia"/>
          <w:b/>
          <w:bCs/>
          <w:highlight w:val="none"/>
        </w:rPr>
        <w:t>投标人不足3家的，不得开标。</w:t>
      </w:r>
    </w:p>
    <w:p>
      <w:pPr>
        <w:pageBreakBefore w:val="0"/>
        <w:kinsoku/>
        <w:bidi w:val="0"/>
        <w:spacing w:beforeAutospacing="0" w:afterAutospacing="0" w:line="440" w:lineRule="exact"/>
        <w:ind w:firstLine="480" w:firstLineChars="200"/>
        <w:rPr>
          <w:highlight w:val="none"/>
        </w:rPr>
      </w:pPr>
      <w:r>
        <w:rPr>
          <w:rFonts w:hint="eastAsia"/>
          <w:lang w:eastAsia="zh-CN"/>
        </w:rPr>
        <w:t>（一）</w:t>
      </w:r>
      <w:r>
        <w:rPr>
          <w:rFonts w:hint="eastAsia"/>
        </w:rPr>
        <w:t>开标会由采购代理机构主持，</w:t>
      </w:r>
      <w:r>
        <w:rPr>
          <w:rFonts w:hint="eastAsia" w:ascii="仿宋" w:hAnsi="仿宋" w:eastAsia="仿宋" w:cs="仿宋"/>
          <w:color w:val="auto"/>
          <w:highlight w:val="none"/>
          <w:u w:val="none"/>
          <w:lang w:eastAsia="zh-CN"/>
        </w:rPr>
        <w:t>在电子交易平台进行。</w:t>
      </w:r>
    </w:p>
    <w:p>
      <w:pPr>
        <w:pageBreakBefore w:val="0"/>
        <w:kinsoku/>
        <w:bidi w:val="0"/>
        <w:spacing w:beforeAutospacing="0" w:afterAutospacing="0" w:line="440" w:lineRule="exact"/>
        <w:ind w:firstLine="480" w:firstLineChars="200"/>
        <w:rPr>
          <w:highlight w:val="none"/>
        </w:rPr>
      </w:pPr>
      <w:r>
        <w:rPr>
          <w:rFonts w:hint="eastAsia"/>
          <w:highlight w:val="none"/>
          <w:lang w:eastAsia="zh-CN"/>
        </w:rPr>
        <w:t>（二）</w:t>
      </w:r>
      <w:r>
        <w:rPr>
          <w:rFonts w:hint="eastAsia"/>
          <w:highlight w:val="none"/>
        </w:rPr>
        <w:t>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highlight w:val="none"/>
        </w:rPr>
        <w:t>30分钟内</w:t>
      </w:r>
      <w:r>
        <w:rPr>
          <w:rFonts w:hint="eastAsia"/>
          <w:highlight w:val="none"/>
        </w:rPr>
        <w:t>。所有投标人均应当准时在线参加</w:t>
      </w:r>
      <w:r>
        <w:rPr>
          <w:rFonts w:hint="eastAsia"/>
          <w:b/>
          <w:bCs/>
          <w:highlight w:val="none"/>
        </w:rPr>
        <w:t>。</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lang w:eastAsia="zh-CN"/>
        </w:rPr>
        <w:t>（三）</w:t>
      </w:r>
      <w:r>
        <w:rPr>
          <w:rFonts w:hint="eastAsia"/>
          <w:highlight w:val="none"/>
        </w:rPr>
        <w:t>开标解密后，采购人</w:t>
      </w:r>
      <w:r>
        <w:rPr>
          <w:rFonts w:hint="eastAsia"/>
          <w:highlight w:val="none"/>
          <w:lang w:eastAsia="zh-CN"/>
        </w:rPr>
        <w:t>和（或）</w:t>
      </w:r>
      <w:r>
        <w:rPr>
          <w:rFonts w:hint="eastAsia"/>
          <w:highlight w:val="none"/>
        </w:rPr>
        <w:t>采购代理机构依法对投标人的资格进行审查，依据法律法规和招标文件的规定，对投标人的</w:t>
      </w:r>
      <w:r>
        <w:rPr>
          <w:rFonts w:hint="eastAsia"/>
          <w:color w:val="auto"/>
          <w:highlight w:val="none"/>
          <w:lang w:val="en-US" w:eastAsia="zh-CN"/>
        </w:rPr>
        <w:t>资格文件</w:t>
      </w:r>
      <w:r>
        <w:rPr>
          <w:rFonts w:hint="eastAsia"/>
          <w:color w:val="auto"/>
          <w:highlight w:val="none"/>
        </w:rPr>
        <w:t>进</w:t>
      </w:r>
      <w:r>
        <w:rPr>
          <w:rFonts w:hint="eastAsia"/>
          <w:highlight w:val="none"/>
        </w:rPr>
        <w:t>行审查。</w:t>
      </w:r>
      <w:r>
        <w:rPr>
          <w:rFonts w:hint="eastAsia" w:ascii="仿宋" w:hAnsi="仿宋" w:eastAsia="仿宋" w:cs="仿宋"/>
          <w:b/>
          <w:bCs/>
          <w:color w:val="auto"/>
          <w:sz w:val="24"/>
          <w:szCs w:val="24"/>
          <w:highlight w:val="none"/>
          <w:u w:val="none"/>
          <w:lang w:eastAsia="zh-CN"/>
        </w:rPr>
        <w:t>▲</w:t>
      </w:r>
      <w:r>
        <w:rPr>
          <w:rFonts w:hint="eastAsia"/>
          <w:b/>
          <w:bCs/>
          <w:highlight w:val="none"/>
        </w:rPr>
        <w:t>投标人未按照招标文件要求提供与基本资格条件、特定资格条件相应的有效资格证明材料的，视为投标人不具备招标文件中规定的资格要求，其投标无效。</w:t>
      </w:r>
      <w:r>
        <w:rPr>
          <w:rFonts w:hint="eastAsia"/>
          <w:highlight w:val="none"/>
        </w:rPr>
        <w:t>对未通过资格审查的投标人，采购人或采购代理机构告知其未通过的原因。评标委员会对通过资格审查的投标人的商务技术响应文件进行评审。</w:t>
      </w:r>
    </w:p>
    <w:p>
      <w:pPr>
        <w:pageBreakBefore w:val="0"/>
        <w:kinsoku/>
        <w:wordWrap w:val="0"/>
        <w:topLinePunct/>
        <w:bidi w:val="0"/>
        <w:spacing w:beforeAutospacing="0" w:afterAutospacing="0" w:line="440" w:lineRule="exact"/>
        <w:ind w:firstLine="480" w:firstLineChars="200"/>
        <w:rPr>
          <w:rFonts w:hint="eastAsia"/>
          <w:b/>
          <w:bCs/>
        </w:rPr>
      </w:pPr>
      <w:r>
        <w:rPr>
          <w:rFonts w:hint="eastAsia" w:ascii="仿宋_GB2312" w:eastAsia="仿宋_GB2312" w:cs="仿宋_GB2312"/>
          <w:sz w:val="24"/>
          <w:highlight w:val="none"/>
          <w:lang w:eastAsia="zh-CN"/>
        </w:rPr>
        <w:t>（四）</w:t>
      </w:r>
      <w:r>
        <w:rPr>
          <w:rFonts w:hint="eastAsia" w:ascii="仿宋_GB2312" w:hAnsi="仿宋" w:eastAsia="仿宋_GB2312" w:cs="仿宋_GB2312"/>
          <w:sz w:val="24"/>
          <w:highlight w:val="none"/>
        </w:rPr>
        <w:t>合格投标人不足3家的，不再评标。</w:t>
      </w:r>
    </w:p>
    <w:p>
      <w:pPr>
        <w:pageBreakBefore w:val="0"/>
        <w:kinsoku/>
        <w:wordWrap w:val="0"/>
        <w:topLinePunct/>
        <w:bidi w:val="0"/>
        <w:spacing w:beforeAutospacing="0" w:afterAutospacing="0" w:line="440" w:lineRule="exact"/>
        <w:ind w:firstLine="482" w:firstLineChars="200"/>
      </w:pPr>
      <w:r>
        <w:rPr>
          <w:rFonts w:hint="eastAsia"/>
          <w:b/>
          <w:bCs/>
        </w:rPr>
        <w:t>特别说明：</w:t>
      </w:r>
    </w:p>
    <w:p>
      <w:pPr>
        <w:pageBreakBefore w:val="0"/>
        <w:kinsoku/>
        <w:wordWrap w:val="0"/>
        <w:topLinePunct/>
        <w:bidi w:val="0"/>
        <w:spacing w:beforeAutospacing="0" w:afterAutospacing="0" w:line="440" w:lineRule="exact"/>
        <w:ind w:firstLine="482" w:firstLineChars="200"/>
        <w:rPr>
          <w:b/>
          <w:bCs/>
        </w:rPr>
      </w:pPr>
      <w:r>
        <w:rPr>
          <w:rFonts w:hint="eastAsia"/>
          <w:b/>
          <w:bCs/>
        </w:rPr>
        <w:t>1、政采云公司如对电子化开标及评审程序有调整的，按调整后的程序操作。</w:t>
      </w:r>
    </w:p>
    <w:p>
      <w:pPr>
        <w:pageBreakBefore w:val="0"/>
        <w:kinsoku/>
        <w:wordWrap w:val="0"/>
        <w:topLinePunct/>
        <w:bidi w:val="0"/>
        <w:spacing w:beforeAutospacing="0" w:afterAutospacing="0" w:line="440" w:lineRule="exact"/>
        <w:ind w:firstLine="482" w:firstLineChars="200"/>
        <w:rPr>
          <w:b/>
          <w:bCs/>
        </w:rPr>
      </w:pPr>
      <w:r>
        <w:rPr>
          <w:rFonts w:hint="eastAsia"/>
          <w:b/>
          <w:bCs/>
        </w:rPr>
        <w:t>2、目前政府采购全流程电子化交易，投标人须在规定时间内自行解密。</w:t>
      </w:r>
    </w:p>
    <w:p>
      <w:pPr>
        <w:pageBreakBefore w:val="0"/>
        <w:kinsoku/>
        <w:wordWrap w:val="0"/>
        <w:topLinePunct/>
        <w:bidi w:val="0"/>
        <w:spacing w:beforeAutospacing="0" w:afterAutospacing="0" w:line="440" w:lineRule="exact"/>
        <w:ind w:firstLine="482" w:firstLineChars="200"/>
        <w:rPr>
          <w:b/>
          <w:bCs/>
        </w:rPr>
      </w:pPr>
      <w:r>
        <w:rPr>
          <w:rFonts w:hint="eastAsia"/>
          <w:b/>
          <w:bCs/>
        </w:rPr>
        <w:t>3、本项目原则上采用政采云电子招投标开标及评审程序，但有下情形之一的，按以下情况处理：</w:t>
      </w:r>
    </w:p>
    <w:p>
      <w:pPr>
        <w:pageBreakBefore w:val="0"/>
        <w:kinsoku/>
        <w:wordWrap w:val="0"/>
        <w:topLinePunct/>
        <w:bidi w:val="0"/>
        <w:spacing w:beforeAutospacing="0" w:afterAutospacing="0"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pageBreakBefore w:val="0"/>
        <w:kinsoku/>
        <w:wordWrap w:val="0"/>
        <w:topLinePunct/>
        <w:bidi w:val="0"/>
        <w:spacing w:beforeAutospacing="0" w:afterAutospacing="0"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7"/>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五、评标</w:t>
      </w:r>
    </w:p>
    <w:p>
      <w:pPr>
        <w:pStyle w:val="8"/>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（一）评标委员会</w:t>
      </w:r>
    </w:p>
    <w:p>
      <w:pPr>
        <w:pageBreakBefore w:val="0"/>
        <w:kinsoku/>
        <w:wordWrap w:val="0"/>
        <w:topLinePunct/>
        <w:bidi w:val="0"/>
        <w:spacing w:beforeAutospacing="0" w:afterAutospacing="0"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pageBreakBefore w:val="0"/>
        <w:kinsoku/>
        <w:wordWrap w:val="0"/>
        <w:topLinePunct/>
        <w:bidi w:val="0"/>
        <w:spacing w:beforeAutospacing="0" w:afterAutospacing="0"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pageBreakBefore w:val="0"/>
        <w:kinsoku/>
        <w:wordWrap w:val="0"/>
        <w:topLinePunct/>
        <w:bidi w:val="0"/>
        <w:spacing w:beforeAutospacing="0" w:afterAutospacing="0"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pageBreakBefore w:val="0"/>
        <w:kinsoku/>
        <w:wordWrap w:val="0"/>
        <w:topLinePunct/>
        <w:bidi w:val="0"/>
        <w:spacing w:beforeAutospacing="0" w:afterAutospacing="0" w:line="440" w:lineRule="exact"/>
        <w:ind w:firstLine="482" w:firstLineChars="200"/>
        <w:rPr>
          <w:b/>
        </w:rPr>
      </w:pPr>
      <w:r>
        <w:rPr>
          <w:rFonts w:hint="eastAsia"/>
          <w:b/>
        </w:rPr>
        <w:t>（二）评标原则</w:t>
      </w:r>
    </w:p>
    <w:p>
      <w:pPr>
        <w:pageBreakBefore w:val="0"/>
        <w:kinsoku/>
        <w:wordWrap w:val="0"/>
        <w:topLinePunct/>
        <w:bidi w:val="0"/>
        <w:spacing w:beforeAutospacing="0" w:afterAutospacing="0"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pageBreakBefore w:val="0"/>
        <w:kinsoku/>
        <w:wordWrap w:val="0"/>
        <w:topLinePunct/>
        <w:bidi w:val="0"/>
        <w:spacing w:beforeAutospacing="0" w:afterAutospacing="0"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val="0"/>
        <w:topLinePunct/>
        <w:bidi w:val="0"/>
        <w:spacing w:beforeAutospacing="0" w:afterAutospacing="0"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val="0"/>
        <w:topLinePunct/>
        <w:bidi w:val="0"/>
        <w:spacing w:beforeAutospacing="0" w:afterAutospacing="0"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val="0"/>
        <w:topLinePunct/>
        <w:bidi w:val="0"/>
        <w:spacing w:beforeAutospacing="0" w:afterAutospacing="0" w:line="440" w:lineRule="exact"/>
        <w:ind w:firstLine="480" w:firstLineChars="200"/>
      </w:pPr>
      <w:r>
        <w:rPr>
          <w:rFonts w:hint="eastAsia"/>
        </w:rPr>
        <w:t>5、评标方法及评分标准等，详见招标文件“第三章  评标办法及评分标准”。</w:t>
      </w:r>
    </w:p>
    <w:p>
      <w:pPr>
        <w:pageBreakBefore w:val="0"/>
        <w:kinsoku/>
        <w:wordWrap w:val="0"/>
        <w:topLinePunct/>
        <w:bidi w:val="0"/>
        <w:spacing w:beforeAutospacing="0" w:afterAutospacing="0" w:line="440" w:lineRule="exact"/>
        <w:ind w:firstLine="482" w:firstLineChars="200"/>
        <w:rPr>
          <w:b/>
          <w:bCs/>
        </w:rPr>
      </w:pPr>
      <w:r>
        <w:rPr>
          <w:rFonts w:hint="eastAsia"/>
          <w:b/>
          <w:bCs/>
        </w:rPr>
        <w:t>（三）评标程序</w:t>
      </w:r>
    </w:p>
    <w:p>
      <w:pPr>
        <w:pageBreakBefore w:val="0"/>
        <w:kinsoku/>
        <w:wordWrap w:val="0"/>
        <w:topLinePunct/>
        <w:bidi w:val="0"/>
        <w:spacing w:beforeAutospacing="0" w:afterAutospacing="0"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pageBreakBefore w:val="0"/>
        <w:kinsoku/>
        <w:wordWrap w:val="0"/>
        <w:topLinePunct/>
        <w:bidi w:val="0"/>
        <w:spacing w:beforeAutospacing="0" w:afterAutospacing="0" w:line="440" w:lineRule="exact"/>
        <w:ind w:firstLine="482" w:firstLineChars="200"/>
        <w:rPr>
          <w:b/>
        </w:rPr>
      </w:pPr>
      <w:r>
        <w:rPr>
          <w:rFonts w:hint="eastAsia"/>
          <w:b/>
        </w:rPr>
        <w:t>1.投标文件初审</w:t>
      </w:r>
    </w:p>
    <w:p>
      <w:pPr>
        <w:pageBreakBefore w:val="0"/>
        <w:kinsoku/>
        <w:wordWrap w:val="0"/>
        <w:topLinePunct/>
        <w:bidi w:val="0"/>
        <w:spacing w:beforeAutospacing="0" w:afterAutospacing="0" w:line="440" w:lineRule="exact"/>
        <w:ind w:firstLine="482" w:firstLineChars="200"/>
        <w:rPr>
          <w:rFonts w:hint="eastAsia"/>
          <w:highlight w:val="none"/>
        </w:rPr>
      </w:pPr>
      <w:r>
        <w:rPr>
          <w:rFonts w:hint="eastAsia"/>
          <w:b/>
          <w:highlight w:val="none"/>
        </w:rPr>
        <w:t>（1）资格性</w:t>
      </w:r>
      <w:r>
        <w:rPr>
          <w:rFonts w:hint="eastAsia"/>
          <w:b/>
          <w:color w:val="auto"/>
          <w:highlight w:val="none"/>
          <w:lang w:eastAsia="zh-CN"/>
        </w:rPr>
        <w:t>审</w:t>
      </w:r>
      <w:r>
        <w:rPr>
          <w:rFonts w:hint="eastAsia"/>
          <w:b/>
          <w:highlight w:val="none"/>
        </w:rPr>
        <w:t>查</w:t>
      </w:r>
      <w:r>
        <w:rPr>
          <w:rFonts w:hint="eastAsia"/>
          <w:highlight w:val="none"/>
        </w:rPr>
        <w:t>：由采购人代表</w:t>
      </w:r>
      <w:r>
        <w:rPr>
          <w:rFonts w:hint="eastAsia"/>
          <w:highlight w:val="none"/>
          <w:lang w:eastAsia="zh-CN"/>
        </w:rPr>
        <w:t>和（或）</w:t>
      </w:r>
      <w:r>
        <w:rPr>
          <w:rFonts w:hint="eastAsia"/>
          <w:highlight w:val="none"/>
        </w:rPr>
        <w:t>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 w:val="0"/>
          <w:bCs/>
          <w:color w:val="auto"/>
          <w:highlight w:val="none"/>
          <w:lang w:eastAsia="zh-CN"/>
        </w:rPr>
        <w:t>审</w:t>
      </w:r>
      <w:r>
        <w:rPr>
          <w:rFonts w:hint="eastAsia"/>
          <w:highlight w:val="none"/>
        </w:rPr>
        <w:t>查不合格的投标人则无须继续进行符合性</w:t>
      </w:r>
      <w:r>
        <w:rPr>
          <w:rFonts w:hint="eastAsia"/>
          <w:b w:val="0"/>
          <w:bCs/>
          <w:color w:val="auto"/>
          <w:highlight w:val="none"/>
          <w:lang w:eastAsia="zh-CN"/>
        </w:rPr>
        <w:t>审</w:t>
      </w:r>
      <w:r>
        <w:rPr>
          <w:rFonts w:hint="eastAsia"/>
          <w:highlight w:val="none"/>
        </w:rPr>
        <w:t>查，并且投标文件初审结论不合格。</w:t>
      </w:r>
    </w:p>
    <w:p>
      <w:pPr>
        <w:pageBreakBefore w:val="0"/>
        <w:kinsoku/>
        <w:wordWrap w:val="0"/>
        <w:topLinePunct/>
        <w:bidi w:val="0"/>
        <w:spacing w:beforeAutospacing="0" w:afterAutospacing="0" w:line="440" w:lineRule="exact"/>
        <w:ind w:firstLine="482" w:firstLineChars="200"/>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pPr>
        <w:pageBreakBefore w:val="0"/>
        <w:kinsoku/>
        <w:wordWrap w:val="0"/>
        <w:topLinePunct/>
        <w:bidi w:val="0"/>
        <w:spacing w:beforeAutospacing="0" w:afterAutospacing="0" w:line="440" w:lineRule="exact"/>
        <w:ind w:firstLine="482" w:firstLineChars="200"/>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pPr>
        <w:pageBreakBefore w:val="0"/>
        <w:kinsoku/>
        <w:wordWrap w:val="0"/>
        <w:topLinePunct/>
        <w:bidi w:val="0"/>
        <w:spacing w:beforeAutospacing="0" w:afterAutospacing="0" w:line="440" w:lineRule="exact"/>
        <w:ind w:firstLine="482" w:firstLineChars="200"/>
        <w:rPr>
          <w:highlight w:val="none"/>
        </w:rPr>
      </w:pPr>
      <w:r>
        <w:rPr>
          <w:rFonts w:hint="eastAsia"/>
          <w:b/>
          <w:highlight w:val="none"/>
        </w:rPr>
        <w:t>（2）符合性</w:t>
      </w:r>
      <w:r>
        <w:rPr>
          <w:rFonts w:hint="eastAsia"/>
          <w:b/>
          <w:color w:val="auto"/>
          <w:highlight w:val="none"/>
          <w:lang w:eastAsia="zh-CN"/>
        </w:rPr>
        <w:t>审</w:t>
      </w:r>
      <w:r>
        <w:rPr>
          <w:rFonts w:hint="eastAsia"/>
          <w:b/>
          <w:highlight w:val="none"/>
        </w:rPr>
        <w:t>查：</w:t>
      </w: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pPr>
        <w:pageBreakBefore w:val="0"/>
        <w:kinsoku/>
        <w:wordWrap w:val="0"/>
        <w:topLinePunct/>
        <w:bidi w:val="0"/>
        <w:spacing w:beforeAutospacing="0" w:afterAutospacing="0" w:line="440" w:lineRule="exact"/>
        <w:ind w:firstLine="470" w:firstLineChars="196"/>
        <w:rPr>
          <w:b/>
        </w:rPr>
      </w:pPr>
      <w:r>
        <w:rPr>
          <w:bCs w:val="0"/>
          <w:sz w:val="24"/>
          <w:szCs w:val="24"/>
        </w:rPr>
        <w:t>2</w:t>
      </w:r>
      <w:r>
        <w:rPr>
          <w:rFonts w:hint="eastAsia"/>
          <w:b/>
        </w:rPr>
        <w:t>.投标文件的澄清</w:t>
      </w:r>
    </w:p>
    <w:p>
      <w:pPr>
        <w:pageBreakBefore w:val="0"/>
        <w:kinsoku/>
        <w:wordWrap w:val="0"/>
        <w:topLinePunct/>
        <w:bidi w:val="0"/>
        <w:spacing w:beforeAutospacing="0" w:afterAutospacing="0"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pageBreakBefore w:val="0"/>
        <w:kinsoku/>
        <w:wordWrap w:val="0"/>
        <w:topLinePunct/>
        <w:bidi w:val="0"/>
        <w:spacing w:beforeAutospacing="0" w:afterAutospacing="0" w:line="440" w:lineRule="exact"/>
        <w:ind w:firstLine="472" w:firstLineChars="196"/>
        <w:rPr>
          <w:b/>
        </w:rPr>
      </w:pPr>
      <w:r>
        <w:rPr>
          <w:rFonts w:hint="eastAsia"/>
          <w:b/>
          <w:lang w:val="en-US" w:eastAsia="zh-CN"/>
        </w:rPr>
        <w:t>3</w:t>
      </w:r>
      <w:r>
        <w:rPr>
          <w:rFonts w:hint="eastAsia"/>
          <w:b/>
        </w:rPr>
        <w:t>.商务及技术文件的比较与评价</w:t>
      </w:r>
    </w:p>
    <w:p>
      <w:pPr>
        <w:pageBreakBefore w:val="0"/>
        <w:kinsoku/>
        <w:wordWrap w:val="0"/>
        <w:topLinePunct/>
        <w:bidi w:val="0"/>
        <w:spacing w:beforeAutospacing="0" w:afterAutospacing="0"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9"/>
        <w:keepNext w:val="0"/>
        <w:keepLines w:val="0"/>
        <w:pageBreakBefore w:val="0"/>
        <w:kinsoku/>
        <w:wordWrap w:val="0"/>
        <w:topLinePunct/>
        <w:bidi w:val="0"/>
        <w:spacing w:beforeAutospacing="0" w:afterAutospacing="0" w:line="440" w:lineRule="exact"/>
        <w:ind w:left="0" w:firstLine="472" w:firstLineChars="196"/>
        <w:rPr>
          <w:bCs w:val="0"/>
          <w:sz w:val="24"/>
          <w:szCs w:val="24"/>
        </w:rPr>
      </w:pPr>
      <w:r>
        <w:rPr>
          <w:rFonts w:hint="eastAsia"/>
          <w:bCs w:val="0"/>
          <w:sz w:val="24"/>
          <w:szCs w:val="24"/>
          <w:lang w:val="en-US" w:eastAsia="zh-CN"/>
        </w:rPr>
        <w:t>4</w:t>
      </w:r>
      <w:r>
        <w:rPr>
          <w:rFonts w:hint="eastAsia"/>
          <w:bCs w:val="0"/>
          <w:sz w:val="24"/>
          <w:szCs w:val="24"/>
        </w:rPr>
        <w:t>.报价文件的比较与评审</w:t>
      </w:r>
    </w:p>
    <w:p>
      <w:pPr>
        <w:pageBreakBefore w:val="0"/>
        <w:kinsoku/>
        <w:wordWrap w:val="0"/>
        <w:topLinePunct/>
        <w:bidi w:val="0"/>
        <w:spacing w:beforeAutospacing="0" w:afterAutospacing="0"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（1）投标文件中</w:t>
      </w:r>
      <w:r>
        <w:rPr>
          <w:rFonts w:hint="eastAsia"/>
          <w:highlight w:val="none"/>
          <w:lang w:eastAsia="zh-CN"/>
        </w:rPr>
        <w:t>开标一览表</w:t>
      </w:r>
      <w:r>
        <w:rPr>
          <w:rFonts w:hint="eastAsia"/>
          <w:highlight w:val="none"/>
        </w:rPr>
        <w:t>内容与投标文件中相应内容不一致的，以</w:t>
      </w:r>
      <w:r>
        <w:rPr>
          <w:rFonts w:hint="eastAsia"/>
          <w:highlight w:val="none"/>
          <w:lang w:eastAsia="zh-CN"/>
        </w:rPr>
        <w:t>开标</w:t>
      </w:r>
      <w:r>
        <w:rPr>
          <w:rFonts w:hint="eastAsia"/>
          <w:highlight w:val="none"/>
        </w:rPr>
        <w:t>一览表为准；</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（2）大写金额和小写金额不一致的，以大写金额为准；</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（3）单价金额小数点或者百分比有明显错位的，以</w:t>
      </w:r>
      <w:r>
        <w:rPr>
          <w:rFonts w:hint="eastAsia"/>
          <w:highlight w:val="none"/>
          <w:lang w:eastAsia="zh-CN"/>
        </w:rPr>
        <w:t>开标一览表</w:t>
      </w:r>
      <w:r>
        <w:rPr>
          <w:rFonts w:hint="eastAsia"/>
          <w:highlight w:val="none"/>
        </w:rPr>
        <w:t>的总价为准，并修改单价；</w:t>
      </w:r>
    </w:p>
    <w:p>
      <w:pPr>
        <w:pageBreakBefore w:val="0"/>
        <w:kinsoku/>
        <w:wordWrap w:val="0"/>
        <w:topLinePunct/>
        <w:bidi w:val="0"/>
        <w:spacing w:beforeAutospacing="0" w:afterAutospacing="0" w:line="440" w:lineRule="exact"/>
        <w:ind w:firstLine="480" w:firstLineChars="200"/>
      </w:pPr>
      <w:r>
        <w:rPr>
          <w:rFonts w:hint="eastAsia"/>
        </w:rPr>
        <w:t>（4）总价金额与按单价汇总金额不一致的，以单价金额计算结果为准；</w:t>
      </w:r>
    </w:p>
    <w:p>
      <w:pPr>
        <w:pageBreakBefore w:val="0"/>
        <w:kinsoku/>
        <w:wordWrap w:val="0"/>
        <w:topLinePunct/>
        <w:bidi w:val="0"/>
        <w:spacing w:beforeAutospacing="0" w:afterAutospacing="0" w:line="440" w:lineRule="exact"/>
        <w:ind w:firstLine="480" w:firstLineChars="200"/>
      </w:pPr>
      <w:r>
        <w:rPr>
          <w:rFonts w:hint="eastAsia"/>
        </w:rPr>
        <w:t>（5）政采云电子交易平台-开标记录模块的报价与投标响应文件中的报价不一致的，以投标响应文件中的报价为准。</w:t>
      </w:r>
    </w:p>
    <w:p>
      <w:pPr>
        <w:pageBreakBefore w:val="0"/>
        <w:kinsoku/>
        <w:wordWrap w:val="0"/>
        <w:topLinePunct/>
        <w:bidi w:val="0"/>
        <w:spacing w:beforeAutospacing="0" w:afterAutospacing="0"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pageBreakBefore w:val="0"/>
        <w:kinsoku/>
        <w:wordWrap w:val="0"/>
        <w:topLinePunct/>
        <w:bidi w:val="0"/>
        <w:spacing w:beforeAutospacing="0" w:afterAutospacing="0" w:line="440" w:lineRule="exact"/>
        <w:ind w:firstLine="472" w:firstLineChars="196"/>
        <w:rPr>
          <w:b/>
        </w:rPr>
      </w:pPr>
      <w:r>
        <w:rPr>
          <w:rFonts w:hint="eastAsia"/>
          <w:b/>
          <w:lang w:val="en-US" w:eastAsia="zh-CN"/>
        </w:rPr>
        <w:t>5</w:t>
      </w:r>
      <w:r>
        <w:rPr>
          <w:rFonts w:hint="eastAsia"/>
          <w:b/>
        </w:rPr>
        <w:t>.推荐中标候选人与编写评标报告</w:t>
      </w:r>
    </w:p>
    <w:p>
      <w:pPr>
        <w:pageBreakBefore w:val="0"/>
        <w:kinsoku/>
        <w:wordWrap w:val="0"/>
        <w:topLinePunct/>
        <w:bidi w:val="0"/>
        <w:spacing w:beforeAutospacing="0" w:afterAutospacing="0"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val="0"/>
        <w:topLinePunct/>
        <w:bidi w:val="0"/>
        <w:spacing w:beforeAutospacing="0" w:afterAutospacing="0"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pageBreakBefore w:val="0"/>
        <w:kinsoku/>
        <w:topLinePunct/>
        <w:bidi w:val="0"/>
        <w:spacing w:beforeAutospacing="0" w:afterAutospacing="0" w:line="440" w:lineRule="exact"/>
        <w:ind w:firstLine="643" w:firstLineChars="200"/>
        <w:jc w:val="both"/>
        <w:outlineLvl w:val="0"/>
        <w:rPr>
          <w:b/>
          <w:bCs/>
          <w:sz w:val="32"/>
          <w:szCs w:val="32"/>
        </w:rPr>
      </w:pPr>
      <w:r>
        <w:rPr>
          <w:rFonts w:hint="eastAsia"/>
          <w:b/>
          <w:bCs/>
          <w:sz w:val="32"/>
          <w:szCs w:val="32"/>
        </w:rPr>
        <w:t>六、无效的投标</w:t>
      </w:r>
    </w:p>
    <w:p>
      <w:pPr>
        <w:pageBreakBefore w:val="0"/>
        <w:kinsoku/>
        <w:wordWrap w:val="0"/>
        <w:topLinePunct/>
        <w:bidi w:val="0"/>
        <w:spacing w:beforeAutospacing="0" w:afterAutospacing="0" w:line="440" w:lineRule="exact"/>
        <w:ind w:firstLine="482" w:firstLineChars="200"/>
        <w:outlineLvl w:val="0"/>
        <w:rPr>
          <w:rFonts w:cs="仿宋_GB2312"/>
          <w:b/>
          <w:kern w:val="0"/>
        </w:rPr>
      </w:pPr>
      <w:r>
        <w:rPr>
          <w:rFonts w:hint="eastAsia" w:cs="仿宋_GB2312"/>
          <w:b/>
          <w:kern w:val="0"/>
        </w:rPr>
        <w:t>发生下列情况之一的投标文件被视为无效：</w:t>
      </w:r>
    </w:p>
    <w:p>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rPr>
        <w:t>（一）未办理获取采购文件登记手续的；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rPr>
        <w:t>（二）投标截止时间前未传输递交电子投标文件的，在规定时间内无法解密或解密失败的；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yellow"/>
        </w:rPr>
      </w:pPr>
      <w:r>
        <w:rPr>
          <w:rFonts w:hint="eastAsia" w:cs="仿宋_GB2312"/>
          <w:color w:val="auto"/>
          <w:kern w:val="0"/>
        </w:rPr>
        <w:t>（三）投标文件组成漏项或未按规定的格式编制，内容不全或内容字迹模糊辨认不清影响评标的；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rPr>
        <w:t>（四）投标人未能通过资格审查的：未按照招标文件要求提供与基本资格条件、特定资格条件相应的有效资格证明材料的；</w:t>
      </w:r>
      <w:r>
        <w:rPr>
          <w:rFonts w:hint="eastAsia" w:ascii="仿宋" w:hAnsi="仿宋" w:eastAsia="仿宋" w:cs="仿宋"/>
          <w:b w:val="0"/>
          <w:bCs w:val="0"/>
          <w:sz w:val="24"/>
          <w:szCs w:val="24"/>
          <w:highlight w:val="none"/>
          <w:lang w:val="en-US" w:eastAsia="zh-CN"/>
        </w:rPr>
        <w:t>如以联合体形式参加政府采购活动的，联合协议不符合招标文件规定的联合协议要求的。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（六）</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kern w:val="0"/>
          <w:sz w:val="24"/>
          <w:szCs w:val="24"/>
          <w:highlight w:val="none"/>
          <w:u w:val="singl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七</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八</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cs="仿宋_GB2312"/>
          <w:color w:val="auto"/>
          <w:kern w:val="0"/>
          <w:highlight w:val="none"/>
        </w:rPr>
        <w:t>（</w:t>
      </w:r>
      <w:r>
        <w:rPr>
          <w:rFonts w:hint="eastAsia" w:cs="仿宋_GB2312"/>
          <w:color w:val="auto"/>
          <w:kern w:val="0"/>
          <w:highlight w:val="none"/>
          <w:lang w:eastAsia="zh-CN"/>
        </w:rPr>
        <w:t>九</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rPr>
        <w:t>）技术规格</w:t>
      </w:r>
      <w:r>
        <w:rPr>
          <w:rFonts w:hint="eastAsia" w:ascii="仿宋" w:hAnsi="仿宋" w:eastAsia="仿宋" w:cs="仿宋_GB2312"/>
          <w:color w:val="auto"/>
          <w:kern w:val="0"/>
          <w:szCs w:val="22"/>
          <w:highlight w:val="none"/>
          <w:lang w:val="en-US" w:eastAsia="zh-CN"/>
        </w:rPr>
        <w:t>/服务条款</w:t>
      </w:r>
      <w:r>
        <w:rPr>
          <w:rFonts w:hint="eastAsia" w:ascii="仿宋" w:hAnsi="仿宋" w:eastAsia="仿宋" w:cs="仿宋_GB2312"/>
          <w:color w:val="auto"/>
          <w:kern w:val="0"/>
          <w:szCs w:val="22"/>
          <w:highlight w:val="none"/>
        </w:rPr>
        <w:t>偏离表中内容与实际不符的；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二</w:t>
      </w:r>
      <w:r>
        <w:rPr>
          <w:rFonts w:hint="eastAsia" w:ascii="仿宋" w:hAnsi="仿宋" w:eastAsia="仿宋" w:cs="仿宋_GB2312"/>
          <w:color w:val="auto"/>
          <w:kern w:val="0"/>
          <w:szCs w:val="22"/>
          <w:highlight w:val="none"/>
        </w:rPr>
        <w:t>）投标文件必须由法定代表人或其授权代表签署部分，未进行签名或电子签名的；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）投标报价超过本项目采购预算价或最高限价的；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五</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六</w:t>
      </w:r>
      <w:r>
        <w:rPr>
          <w:rFonts w:hint="eastAsia" w:ascii="仿宋" w:hAnsi="仿宋" w:eastAsia="仿宋" w:cs="仿宋_GB2312"/>
          <w:color w:val="auto"/>
          <w:kern w:val="0"/>
          <w:szCs w:val="22"/>
          <w:highlight w:val="none"/>
        </w:rPr>
        <w:t>）报价文件中有0报价的；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七</w:t>
      </w:r>
      <w:r>
        <w:rPr>
          <w:rFonts w:hint="eastAsia" w:ascii="仿宋" w:hAnsi="仿宋" w:eastAsia="仿宋" w:cs="仿宋_GB2312"/>
          <w:color w:val="auto"/>
          <w:kern w:val="0"/>
          <w:szCs w:val="22"/>
          <w:highlight w:val="none"/>
        </w:rPr>
        <w:t>）投标人对根据修正原则修正后的报价不确认的；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八</w:t>
      </w:r>
      <w:r>
        <w:rPr>
          <w:rFonts w:hint="eastAsia" w:ascii="仿宋" w:hAnsi="仿宋" w:eastAsia="仿宋" w:cs="仿宋_GB2312"/>
          <w:color w:val="auto"/>
          <w:kern w:val="0"/>
          <w:szCs w:val="22"/>
          <w:highlight w:val="none"/>
        </w:rPr>
        <w:t>）商务及技术文件和报价文件中的投标产品或服务不一致的；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九</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rPr>
        <w:t xml:space="preserve">）为采购项目提供整体设计、规范编制或者项目管理、监理、检测等服务的供应商再参加该采购项目的； </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）采购人拟采购的产品属于政府强制采购的节能产品品目清单范围的，投标人未按招标文件要求提供国家确定的认证机构出具的、处于有效期之内的节能产品认证证书的；</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（二十二）投标文件中承诺的投标有效期不足招标文件中载明的投标有效期的。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）投标人提供虚假材料投标的（包括但不限于以下情节）：</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）投标人有恶意串通、妨碍其他投标人的竞争行为、损害采购人或者其他投标人的合法权益情形的，有下列情形之一的，属于或视为恶意串通，其投标无效：</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highlight w:val="none"/>
        </w:rPr>
        <w:t>1.供应商直接或者间接从采购人或者采购机构</w:t>
      </w:r>
      <w:r>
        <w:rPr>
          <w:rFonts w:hint="eastAsia" w:ascii="仿宋" w:hAnsi="仿宋" w:eastAsia="仿宋" w:cs="仿宋_GB2312"/>
          <w:color w:val="auto"/>
          <w:kern w:val="0"/>
          <w:szCs w:val="22"/>
        </w:rPr>
        <w:t>处获得其他供应商的相关情况并修改其投标文件或者响应文件的；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2.供应商按照采购人或者采购机构的授意撤换、修改投标文件或者响应文件的；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3.供应商之间协商报价、技术方案等投标文件或者响应文件的实质性内容的；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4.属于同一集团、协会、商会等组织成员的供应商按照该组织要求协同参加政府采购活动的；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5.供应商之间事先约定由某一特定供应商中标、成交的；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6.供应商之间商定部分供应商放弃参加政府采购活动或者放弃中标、成交的；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7.供应商与采购人或者采购代理机构之间、供应商相互之间，为谋求特定供应商中标、成交或者排斥其他供应商的其他串通行为的。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8.不同投标人的投标文件由同一单位或者个人编制的；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9.不同投标人委托同一单位或者个人办理投标事宜的；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10.不同投标人的投标文件载明的项目管理成员或者联系人员为同一人的；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11.不同投标人的投标文件异常一致或者投标报价呈规律性差异的；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12.不同投标人的投标文件相互混装的；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u w:val="double"/>
        </w:rPr>
      </w:pPr>
      <w:r>
        <w:rPr>
          <w:rFonts w:hint="eastAsia" w:ascii="仿宋" w:hAnsi="仿宋" w:eastAsia="仿宋" w:cs="仿宋"/>
          <w:color w:val="auto"/>
          <w:kern w:val="0"/>
          <w:szCs w:val="22"/>
        </w:rPr>
        <w:t>（二十</w:t>
      </w:r>
      <w:r>
        <w:rPr>
          <w:rFonts w:hint="eastAsia" w:ascii="仿宋" w:hAnsi="仿宋" w:eastAsia="仿宋" w:cs="仿宋"/>
          <w:color w:val="auto"/>
          <w:kern w:val="0"/>
          <w:szCs w:val="22"/>
          <w:lang w:eastAsia="zh-CN"/>
        </w:rPr>
        <w:t>五</w:t>
      </w:r>
      <w:r>
        <w:rPr>
          <w:rFonts w:hint="eastAsia" w:ascii="仿宋" w:hAnsi="仿宋" w:eastAsia="仿宋" w:cs="仿宋"/>
          <w:color w:val="auto"/>
          <w:kern w:val="0"/>
          <w:szCs w:val="22"/>
        </w:rPr>
        <w:t>）招</w:t>
      </w:r>
      <w:r>
        <w:rPr>
          <w:rFonts w:hint="eastAsia" w:ascii="仿宋" w:hAnsi="仿宋" w:eastAsia="仿宋" w:cs="仿宋"/>
          <w:color w:val="auto"/>
          <w:kern w:val="0"/>
        </w:rPr>
        <w:t>标文件有其他规定为无效投标情形的；</w:t>
      </w:r>
    </w:p>
    <w:p>
      <w:pPr>
        <w:pageBreakBefore w:val="0"/>
        <w:kinsoku/>
        <w:wordWrap w:val="0"/>
        <w:topLinePunct/>
        <w:bidi w:val="0"/>
        <w:spacing w:beforeAutospacing="0" w:afterAutospacing="0" w:line="440" w:lineRule="exact"/>
        <w:ind w:firstLine="480" w:firstLineChars="200"/>
        <w:outlineLvl w:val="0"/>
        <w:rPr>
          <w:color w:val="auto"/>
          <w:kern w:val="0"/>
        </w:rPr>
      </w:pPr>
      <w:r>
        <w:rPr>
          <w:rFonts w:hint="eastAsia"/>
          <w:color w:val="auto"/>
          <w:kern w:val="0"/>
        </w:rPr>
        <w:t>（二十</w:t>
      </w:r>
      <w:r>
        <w:rPr>
          <w:rFonts w:hint="eastAsia"/>
          <w:color w:val="auto"/>
          <w:kern w:val="0"/>
          <w:lang w:eastAsia="zh-CN"/>
        </w:rPr>
        <w:t>六</w:t>
      </w:r>
      <w:r>
        <w:rPr>
          <w:rFonts w:hint="eastAsia"/>
          <w:color w:val="auto"/>
          <w:kern w:val="0"/>
        </w:rPr>
        <w:t>）出现影响采购公正的违法违规行为；</w:t>
      </w:r>
    </w:p>
    <w:p>
      <w:pPr>
        <w:pageBreakBefore w:val="0"/>
        <w:kinsoku/>
        <w:wordWrap w:val="0"/>
        <w:topLinePunct/>
        <w:bidi w:val="0"/>
        <w:spacing w:beforeAutospacing="0" w:afterAutospacing="0" w:line="440" w:lineRule="exact"/>
        <w:ind w:firstLine="480" w:firstLineChars="200"/>
        <w:outlineLvl w:val="0"/>
        <w:rPr>
          <w:color w:val="auto"/>
          <w:kern w:val="0"/>
        </w:rPr>
      </w:pPr>
      <w:r>
        <w:rPr>
          <w:rFonts w:hint="eastAsia"/>
          <w:color w:val="auto"/>
          <w:kern w:val="0"/>
        </w:rPr>
        <w:t>（二十</w:t>
      </w:r>
      <w:r>
        <w:rPr>
          <w:rFonts w:hint="eastAsia"/>
          <w:color w:val="auto"/>
          <w:kern w:val="0"/>
          <w:lang w:eastAsia="zh-CN"/>
        </w:rPr>
        <w:t>七</w:t>
      </w:r>
      <w:r>
        <w:rPr>
          <w:rFonts w:hint="eastAsia"/>
          <w:color w:val="auto"/>
          <w:kern w:val="0"/>
        </w:rPr>
        <w:t>）投标文件含有采购人不能接受的附加条件的；</w:t>
      </w:r>
    </w:p>
    <w:p>
      <w:pPr>
        <w:pageBreakBefore w:val="0"/>
        <w:kinsoku/>
        <w:wordWrap w:val="0"/>
        <w:topLinePunct/>
        <w:bidi w:val="0"/>
        <w:spacing w:beforeAutospacing="0" w:afterAutospacing="0" w:line="440" w:lineRule="exact"/>
        <w:ind w:firstLine="480" w:firstLineChars="200"/>
        <w:outlineLvl w:val="0"/>
        <w:rPr>
          <w:kern w:val="0"/>
          <w:highlight w:val="none"/>
        </w:rPr>
      </w:pPr>
      <w:r>
        <w:rPr>
          <w:rFonts w:hint="eastAsia"/>
          <w:kern w:val="0"/>
          <w:highlight w:val="none"/>
        </w:rPr>
        <w:t>（二十</w:t>
      </w:r>
      <w:r>
        <w:rPr>
          <w:rFonts w:hint="eastAsia"/>
          <w:kern w:val="0"/>
          <w:highlight w:val="none"/>
          <w:lang w:eastAsia="zh-CN"/>
        </w:rPr>
        <w:t>八</w:t>
      </w:r>
      <w:r>
        <w:rPr>
          <w:rFonts w:hint="eastAsia"/>
          <w:kern w:val="0"/>
          <w:highlight w:val="none"/>
        </w:rPr>
        <w:t>）</w:t>
      </w:r>
      <w:r>
        <w:rPr>
          <w:rFonts w:hint="eastAsia" w:ascii="仿宋" w:hAnsi="仿宋" w:eastAsia="仿宋" w:cs="仿宋"/>
          <w:b w:val="0"/>
          <w:bCs w:val="0"/>
          <w:sz w:val="24"/>
          <w:szCs w:val="24"/>
          <w:highlight w:val="none"/>
          <w:lang w:val="en-US" w:eastAsia="zh-CN"/>
        </w:rPr>
        <w:t>法律、法规、规章（适用杭州市的）及省级以上规范性文件（适用本市的）规定的其他无效情形。</w:t>
      </w:r>
    </w:p>
    <w:p>
      <w:pPr>
        <w:pageBreakBefore w:val="0"/>
        <w:kinsoku/>
        <w:wordWrap w:val="0"/>
        <w:topLinePunct/>
        <w:bidi w:val="0"/>
        <w:spacing w:beforeAutospacing="0" w:afterAutospacing="0" w:line="440" w:lineRule="exact"/>
        <w:ind w:firstLine="643" w:firstLineChars="200"/>
        <w:jc w:val="both"/>
        <w:rPr>
          <w:b/>
          <w:bCs/>
          <w:sz w:val="32"/>
          <w:szCs w:val="32"/>
        </w:rPr>
      </w:pPr>
      <w:r>
        <w:rPr>
          <w:rFonts w:hint="eastAsia"/>
          <w:b/>
          <w:bCs/>
          <w:sz w:val="32"/>
          <w:szCs w:val="32"/>
        </w:rPr>
        <w:t>七.电子交易活动的中止</w:t>
      </w:r>
    </w:p>
    <w:p>
      <w:pPr>
        <w:pageBreakBefore w:val="0"/>
        <w:kinsoku/>
        <w:wordWrap w:val="0"/>
        <w:topLinePunct/>
        <w:bidi w:val="0"/>
        <w:spacing w:beforeAutospacing="0" w:afterAutospacing="0"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pageBreakBefore w:val="0"/>
        <w:kinsoku/>
        <w:wordWrap w:val="0"/>
        <w:topLinePunct/>
        <w:bidi w:val="0"/>
        <w:spacing w:beforeAutospacing="0" w:afterAutospacing="0" w:line="440" w:lineRule="exact"/>
        <w:ind w:firstLine="480" w:firstLineChars="200"/>
        <w:outlineLvl w:val="0"/>
      </w:pPr>
      <w:r>
        <w:rPr>
          <w:rFonts w:hint="eastAsia"/>
        </w:rPr>
        <w:t xml:space="preserve">（一）电子交易平台发生故障而无法登录访问的； </w:t>
      </w:r>
    </w:p>
    <w:p>
      <w:pPr>
        <w:pageBreakBefore w:val="0"/>
        <w:kinsoku/>
        <w:wordWrap w:val="0"/>
        <w:topLinePunct/>
        <w:bidi w:val="0"/>
        <w:spacing w:beforeAutospacing="0" w:afterAutospacing="0" w:line="440" w:lineRule="exact"/>
        <w:ind w:firstLine="480" w:firstLineChars="200"/>
        <w:outlineLvl w:val="0"/>
      </w:pPr>
      <w:r>
        <w:rPr>
          <w:rFonts w:hint="eastAsia"/>
        </w:rPr>
        <w:t>（二）电子交易平台应用或数据库出现错误，不能进行正常操作的；</w:t>
      </w:r>
    </w:p>
    <w:p>
      <w:pPr>
        <w:pageBreakBefore w:val="0"/>
        <w:kinsoku/>
        <w:wordWrap w:val="0"/>
        <w:topLinePunct/>
        <w:bidi w:val="0"/>
        <w:spacing w:beforeAutospacing="0" w:afterAutospacing="0" w:line="440" w:lineRule="exact"/>
        <w:ind w:firstLine="480" w:firstLineChars="200"/>
        <w:outlineLvl w:val="0"/>
      </w:pPr>
      <w:r>
        <w:rPr>
          <w:rFonts w:hint="eastAsia"/>
        </w:rPr>
        <w:t>（三）电子交易平台发现严重安全漏洞，有潜在泄密危险的；</w:t>
      </w:r>
    </w:p>
    <w:p>
      <w:pPr>
        <w:pageBreakBefore w:val="0"/>
        <w:kinsoku/>
        <w:wordWrap w:val="0"/>
        <w:topLinePunct/>
        <w:bidi w:val="0"/>
        <w:spacing w:beforeAutospacing="0" w:afterAutospacing="0" w:line="440" w:lineRule="exact"/>
        <w:ind w:firstLine="480" w:firstLineChars="200"/>
        <w:outlineLvl w:val="0"/>
      </w:pPr>
      <w:r>
        <w:rPr>
          <w:rFonts w:hint="eastAsia"/>
        </w:rPr>
        <w:t xml:space="preserve">（四）病毒发作导致不能进行正常操作的； </w:t>
      </w:r>
    </w:p>
    <w:p>
      <w:pPr>
        <w:pageBreakBefore w:val="0"/>
        <w:kinsoku/>
        <w:wordWrap w:val="0"/>
        <w:topLinePunct/>
        <w:bidi w:val="0"/>
        <w:spacing w:beforeAutospacing="0" w:afterAutospacing="0" w:line="440" w:lineRule="exact"/>
        <w:ind w:firstLine="480" w:firstLineChars="200"/>
        <w:outlineLvl w:val="0"/>
      </w:pPr>
      <w:r>
        <w:rPr>
          <w:rFonts w:hint="eastAsia"/>
        </w:rPr>
        <w:t>（五）其他无法保证电子交易的公平、公正和安全的情况。</w:t>
      </w:r>
    </w:p>
    <w:p>
      <w:pPr>
        <w:pStyle w:val="7"/>
        <w:keepNext w:val="0"/>
        <w:keepLines w:val="0"/>
        <w:pageBreakBefore w:val="0"/>
        <w:kinsoku/>
        <w:topLinePunct/>
        <w:bidi w:val="0"/>
        <w:spacing w:before="0" w:beforeAutospacing="0" w:after="0" w:afterAutospacing="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7"/>
        <w:keepNext w:val="0"/>
        <w:keepLines w:val="0"/>
        <w:pageBreakBefore w:val="0"/>
        <w:kinsoku/>
        <w:wordWrap w:val="0"/>
        <w:topLinePunct/>
        <w:bidi w:val="0"/>
        <w:spacing w:before="0" w:beforeAutospacing="0" w:after="0" w:afterAutospacing="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7"/>
        <w:keepNext w:val="0"/>
        <w:keepLines w:val="0"/>
        <w:pageBreakBefore w:val="0"/>
        <w:kinsoku/>
        <w:wordWrap w:val="0"/>
        <w:topLinePunct/>
        <w:bidi w:val="0"/>
        <w:spacing w:before="0" w:beforeAutospacing="0" w:after="0" w:afterAutospacing="0" w:line="440" w:lineRule="exact"/>
        <w:ind w:left="0" w:firstLine="0"/>
        <w:jc w:val="both"/>
        <w:rPr>
          <w:b w:val="0"/>
          <w:bCs w:val="0"/>
          <w:sz w:val="24"/>
          <w:szCs w:val="24"/>
        </w:rPr>
      </w:pPr>
      <w:r>
        <w:rPr>
          <w:rFonts w:hint="eastAsia"/>
          <w:b w:val="0"/>
          <w:bCs w:val="0"/>
          <w:sz w:val="24"/>
          <w:szCs w:val="24"/>
        </w:rPr>
        <w:t>性的，应当重新采购。</w:t>
      </w:r>
    </w:p>
    <w:p>
      <w:pPr>
        <w:pStyle w:val="7"/>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八、废标</w:t>
      </w:r>
    </w:p>
    <w:p>
      <w:pPr>
        <w:pageBreakBefore w:val="0"/>
        <w:kinsoku/>
        <w:wordWrap w:val="0"/>
        <w:topLinePunct/>
        <w:bidi w:val="0"/>
        <w:spacing w:beforeAutospacing="0" w:afterAutospacing="0" w:line="440" w:lineRule="exact"/>
        <w:ind w:firstLine="480" w:firstLineChars="200"/>
      </w:pPr>
      <w:r>
        <w:rPr>
          <w:rFonts w:hint="eastAsia"/>
        </w:rPr>
        <w:t>在采购中，出现下列情形之一的，应予废标：</w:t>
      </w:r>
    </w:p>
    <w:p>
      <w:pPr>
        <w:pageBreakBefore w:val="0"/>
        <w:kinsoku/>
        <w:wordWrap w:val="0"/>
        <w:topLinePunct/>
        <w:bidi w:val="0"/>
        <w:spacing w:beforeAutospacing="0" w:afterAutospacing="0" w:line="440" w:lineRule="exact"/>
        <w:ind w:firstLine="480" w:firstLineChars="200"/>
      </w:pPr>
      <w:r>
        <w:rPr>
          <w:rFonts w:hint="eastAsia"/>
        </w:rPr>
        <w:t>（一）符合专业条件的供应商或者对采购文件作实质响应的供应商不足三家的；</w:t>
      </w:r>
    </w:p>
    <w:p>
      <w:pPr>
        <w:pageBreakBefore w:val="0"/>
        <w:kinsoku/>
        <w:wordWrap w:val="0"/>
        <w:topLinePunct/>
        <w:bidi w:val="0"/>
        <w:spacing w:beforeAutospacing="0" w:afterAutospacing="0" w:line="440" w:lineRule="exact"/>
        <w:ind w:firstLine="480" w:firstLineChars="200"/>
      </w:pPr>
      <w:r>
        <w:rPr>
          <w:rFonts w:hint="eastAsia"/>
        </w:rPr>
        <w:t>（二）出现影响采购公正的违法、违规行为的；</w:t>
      </w:r>
    </w:p>
    <w:p>
      <w:pPr>
        <w:pageBreakBefore w:val="0"/>
        <w:kinsoku/>
        <w:wordWrap w:val="0"/>
        <w:topLinePunct/>
        <w:bidi w:val="0"/>
        <w:spacing w:beforeAutospacing="0" w:afterAutospacing="0" w:line="440" w:lineRule="exact"/>
        <w:ind w:firstLine="480" w:firstLineChars="200"/>
      </w:pPr>
      <w:r>
        <w:rPr>
          <w:rFonts w:hint="eastAsia"/>
        </w:rPr>
        <w:t>（三）投标人的报价均超过了采购预算，采购人不能支付的；</w:t>
      </w:r>
    </w:p>
    <w:p>
      <w:pPr>
        <w:pageBreakBefore w:val="0"/>
        <w:kinsoku/>
        <w:wordWrap w:val="0"/>
        <w:topLinePunct/>
        <w:bidi w:val="0"/>
        <w:spacing w:beforeAutospacing="0" w:afterAutospacing="0" w:line="440" w:lineRule="exact"/>
        <w:ind w:firstLine="480" w:firstLineChars="200"/>
      </w:pPr>
      <w:r>
        <w:rPr>
          <w:rFonts w:hint="eastAsia"/>
        </w:rPr>
        <w:t>（四）因重大变故，采购任务取消的；</w:t>
      </w:r>
    </w:p>
    <w:p>
      <w:pPr>
        <w:pageBreakBefore w:val="0"/>
        <w:kinsoku/>
        <w:wordWrap w:val="0"/>
        <w:topLinePunct/>
        <w:bidi w:val="0"/>
        <w:spacing w:beforeAutospacing="0" w:afterAutospacing="0" w:line="440" w:lineRule="exact"/>
        <w:ind w:firstLine="480" w:firstLineChars="200"/>
      </w:pPr>
      <w:r>
        <w:rPr>
          <w:rFonts w:hint="eastAsia"/>
        </w:rPr>
        <w:t>废标后，采购代理机构应当将废标理由通知所有投标人。</w:t>
      </w:r>
    </w:p>
    <w:p>
      <w:pPr>
        <w:pStyle w:val="7"/>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九、重新组织采购</w:t>
      </w:r>
    </w:p>
    <w:p>
      <w:pPr>
        <w:pageBreakBefore w:val="0"/>
        <w:kinsoku/>
        <w:wordWrap w:val="0"/>
        <w:topLinePunct/>
        <w:bidi w:val="0"/>
        <w:spacing w:beforeAutospacing="0" w:afterAutospacing="0"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pageBreakBefore w:val="0"/>
        <w:kinsoku/>
        <w:wordWrap w:val="0"/>
        <w:topLinePunct/>
        <w:bidi w:val="0"/>
        <w:spacing w:beforeAutospacing="0" w:afterAutospacing="0"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pageBreakBefore w:val="0"/>
        <w:kinsoku/>
        <w:wordWrap w:val="0"/>
        <w:topLinePunct/>
        <w:bidi w:val="0"/>
        <w:spacing w:beforeAutospacing="0" w:afterAutospacing="0" w:line="440" w:lineRule="exact"/>
        <w:ind w:firstLine="480" w:firstLineChars="200"/>
      </w:pPr>
      <w:r>
        <w:rPr>
          <w:rFonts w:hint="eastAsia"/>
        </w:rPr>
        <w:t>1.未确定中标或者成交供应商的，终止本次政府采购活动，重新开展政府采购活动。</w:t>
      </w:r>
    </w:p>
    <w:p>
      <w:pPr>
        <w:pageBreakBefore w:val="0"/>
        <w:kinsoku/>
        <w:wordWrap w:val="0"/>
        <w:topLinePunct/>
        <w:bidi w:val="0"/>
        <w:spacing w:beforeAutospacing="0" w:afterAutospacing="0"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pPr>
      <w:r>
        <w:rPr>
          <w:rFonts w:hint="eastAsia"/>
        </w:rPr>
        <w:t>4.政府采购合同已经履行，给采购人、供应商造成损失的，由责任人承担赔偿责任。</w:t>
      </w:r>
    </w:p>
    <w:p>
      <w:pPr>
        <w:pageBreakBefore w:val="0"/>
        <w:kinsoku/>
        <w:wordWrap w:val="0"/>
        <w:topLinePunct/>
        <w:bidi w:val="0"/>
        <w:spacing w:beforeAutospacing="0" w:afterAutospacing="0" w:line="440" w:lineRule="exact"/>
        <w:ind w:firstLine="480" w:firstLineChars="200"/>
      </w:pPr>
      <w:r>
        <w:rPr>
          <w:rFonts w:hint="eastAsia"/>
        </w:rPr>
        <w:t>5.因质疑答复，改变原中标结果，重新开展政府采购活动。</w:t>
      </w:r>
    </w:p>
    <w:p>
      <w:pPr>
        <w:pageBreakBefore w:val="0"/>
        <w:kinsoku/>
        <w:wordWrap w:val="0"/>
        <w:topLinePunct/>
        <w:bidi w:val="0"/>
        <w:spacing w:beforeAutospacing="0" w:afterAutospacing="0"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7"/>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十、定标</w:t>
      </w:r>
    </w:p>
    <w:p>
      <w:pPr>
        <w:pageBreakBefore w:val="0"/>
        <w:kinsoku/>
        <w:wordWrap w:val="0"/>
        <w:topLinePunct/>
        <w:bidi w:val="0"/>
        <w:spacing w:beforeAutospacing="0" w:afterAutospacing="0"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pageBreakBefore w:val="0"/>
        <w:kinsoku/>
        <w:wordWrap w:val="0"/>
        <w:topLinePunct/>
        <w:bidi w:val="0"/>
        <w:spacing w:beforeAutospacing="0" w:afterAutospacing="0"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pageBreakBefore w:val="0"/>
        <w:kinsoku/>
        <w:wordWrap w:val="0"/>
        <w:topLinePunct/>
        <w:bidi w:val="0"/>
        <w:spacing w:beforeAutospacing="0" w:afterAutospacing="0"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pageBreakBefore w:val="0"/>
        <w:kinsoku/>
        <w:wordWrap w:val="0"/>
        <w:topLinePunct/>
        <w:bidi w:val="0"/>
        <w:spacing w:beforeAutospacing="0" w:afterAutospacing="0" w:line="440" w:lineRule="exact"/>
        <w:ind w:firstLine="643" w:firstLineChars="200"/>
        <w:rPr>
          <w:rFonts w:hint="eastAsia" w:ascii="仿宋" w:hAnsi="仿宋" w:eastAsia="仿宋" w:cs="仿宋"/>
          <w:b/>
          <w:bCs/>
          <w:kern w:val="3"/>
          <w:sz w:val="32"/>
          <w:szCs w:val="32"/>
          <w:highlight w:val="none"/>
          <w:lang w:val="en-US" w:eastAsia="zh-CN" w:bidi="ar-SA"/>
        </w:rPr>
      </w:pPr>
      <w:r>
        <w:rPr>
          <w:rFonts w:hint="eastAsia" w:ascii="仿宋" w:hAnsi="仿宋" w:eastAsia="仿宋" w:cs="仿宋"/>
          <w:b/>
          <w:bCs/>
          <w:kern w:val="3"/>
          <w:sz w:val="32"/>
          <w:szCs w:val="32"/>
          <w:highlight w:val="none"/>
          <w:lang w:val="en-US" w:eastAsia="zh-CN" w:bidi="ar-SA"/>
        </w:rPr>
        <w:t>十一、评审过程的保密与录像</w:t>
      </w:r>
    </w:p>
    <w:p>
      <w:pPr>
        <w:pageBreakBefore w:val="0"/>
        <w:kinsoku/>
        <w:wordWrap w:val="0"/>
        <w:topLinePunct/>
        <w:bidi w:val="0"/>
        <w:spacing w:beforeAutospacing="0" w:afterAutospacing="0" w:line="440" w:lineRule="exact"/>
        <w:ind w:firstLine="480" w:firstLineChars="200"/>
        <w:rPr>
          <w:rFonts w:hint="eastAsia"/>
          <w:highlight w:val="none"/>
        </w:rPr>
      </w:pPr>
      <w:r>
        <w:rPr>
          <w:rFonts w:hint="eastAsia"/>
          <w:highlight w:val="none"/>
          <w:lang w:eastAsia="zh-CN"/>
        </w:rPr>
        <w:t>（一）</w:t>
      </w:r>
      <w:r>
        <w:rPr>
          <w:rFonts w:hint="eastAsia"/>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highlight w:val="none"/>
          <w:lang w:eastAsia="zh-CN"/>
        </w:rPr>
        <w:t>招标人</w:t>
      </w:r>
      <w:r>
        <w:rPr>
          <w:rFonts w:hint="eastAsia"/>
          <w:highlight w:val="none"/>
        </w:rPr>
        <w:t>工作人员、相关监督人员等与评审有关的人员应当予以保密。</w:t>
      </w:r>
    </w:p>
    <w:p>
      <w:pPr>
        <w:pageBreakBefore w:val="0"/>
        <w:kinsoku/>
        <w:wordWrap w:val="0"/>
        <w:topLinePunct/>
        <w:bidi w:val="0"/>
        <w:spacing w:beforeAutospacing="0" w:afterAutospacing="0" w:line="440" w:lineRule="exact"/>
        <w:ind w:firstLine="480" w:firstLineChars="200"/>
        <w:rPr>
          <w:rFonts w:hint="eastAsia"/>
          <w:b/>
          <w:bCs/>
          <w:highlight w:val="none"/>
        </w:rPr>
      </w:pPr>
      <w:r>
        <w:rPr>
          <w:rFonts w:hint="eastAsia"/>
          <w:highlight w:val="none"/>
          <w:lang w:eastAsia="zh-CN"/>
        </w:rPr>
        <w:t>（二）</w:t>
      </w:r>
      <w:r>
        <w:rPr>
          <w:rFonts w:hint="eastAsia"/>
          <w:highlight w:val="none"/>
        </w:rPr>
        <w:t>录音录像。</w:t>
      </w:r>
      <w:r>
        <w:rPr>
          <w:rFonts w:hint="eastAsia"/>
          <w:highlight w:val="none"/>
          <w:lang w:eastAsia="zh-CN"/>
        </w:rPr>
        <w:t>招标人</w:t>
      </w:r>
      <w:r>
        <w:rPr>
          <w:rFonts w:hint="eastAsia"/>
          <w:highlight w:val="none"/>
        </w:rPr>
        <w:t>对评审工作现场进行全过程录音录像，</w:t>
      </w:r>
      <w:r>
        <w:rPr>
          <w:rFonts w:hint="eastAsia"/>
          <w:b/>
          <w:bCs/>
          <w:highlight w:val="none"/>
        </w:rPr>
        <w:t>录音录像资料作为采购项目文件随其他文件一并存档。</w:t>
      </w:r>
    </w:p>
    <w:p>
      <w:pPr>
        <w:pStyle w:val="7"/>
        <w:keepNext w:val="0"/>
        <w:keepLines w:val="0"/>
        <w:pageBreakBefore w:val="0"/>
        <w:kinsoku/>
        <w:topLinePunct/>
        <w:bidi w:val="0"/>
        <w:spacing w:before="0" w:beforeAutospacing="0" w:after="0" w:afterAutospacing="0" w:line="440" w:lineRule="exact"/>
        <w:ind w:left="0" w:firstLine="643" w:firstLineChars="200"/>
        <w:jc w:val="both"/>
        <w:rPr>
          <w:highlight w:val="none"/>
        </w:rPr>
      </w:pPr>
      <w:r>
        <w:rPr>
          <w:rFonts w:hint="eastAsia"/>
          <w:highlight w:val="none"/>
        </w:rPr>
        <w:t>十</w:t>
      </w:r>
      <w:r>
        <w:rPr>
          <w:rFonts w:hint="eastAsia"/>
          <w:highlight w:val="none"/>
          <w:lang w:eastAsia="zh-CN"/>
        </w:rPr>
        <w:t>二</w:t>
      </w:r>
      <w:r>
        <w:rPr>
          <w:rFonts w:hint="eastAsia"/>
          <w:highlight w:val="none"/>
        </w:rPr>
        <w:t>、合同签订及其他</w:t>
      </w:r>
    </w:p>
    <w:p>
      <w:pPr>
        <w:pageBreakBefore w:val="0"/>
        <w:kinsoku/>
        <w:wordWrap w:val="0"/>
        <w:topLinePunct/>
        <w:bidi w:val="0"/>
        <w:spacing w:beforeAutospacing="0" w:afterAutospacing="0" w:line="440" w:lineRule="exact"/>
        <w:ind w:firstLine="482" w:firstLineChars="200"/>
        <w:rPr>
          <w:highlight w:val="none"/>
        </w:rPr>
      </w:pPr>
      <w:r>
        <w:rPr>
          <w:rFonts w:hint="eastAsia"/>
          <w:b/>
          <w:bCs/>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1.采购人与中标人应当在《中标通知书》发出之日起30日内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按照招标文件及投标文件确定的事项</w:t>
      </w:r>
      <w:r>
        <w:rPr>
          <w:rFonts w:hint="eastAsia" w:ascii="仿宋" w:hAnsi="仿宋" w:eastAsia="仿宋" w:cs="仿宋"/>
          <w:color w:val="000000"/>
          <w:sz w:val="24"/>
          <w:szCs w:val="24"/>
          <w:highlight w:val="none"/>
        </w:rPr>
        <w:t>签订政府采购合同，所签订的合同不得对招标文件确定的事项和中标人投标文件作实质性修改。</w:t>
      </w:r>
      <w:r>
        <w:rPr>
          <w:rFonts w:hint="eastAsia" w:ascii="仿宋" w:hAnsi="仿宋" w:eastAsia="仿宋" w:cs="仿宋"/>
          <w:sz w:val="24"/>
          <w:szCs w:val="24"/>
          <w:highlight w:val="none"/>
        </w:rPr>
        <w:t>招标文件、中标人的投标文件、澄清文件及中标通知书等，均为签订合同的依据。</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000000"/>
          <w:sz w:val="24"/>
          <w:szCs w:val="24"/>
          <w:highlight w:val="none"/>
          <w:lang w:val="en-US" w:eastAsia="zh-CN"/>
        </w:rPr>
        <w:t>已申领电子签章的单位可在线签订合同。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3.如签订合同并生效后，</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000000"/>
          <w:sz w:val="24"/>
          <w:szCs w:val="24"/>
          <w:highlight w:val="none"/>
        </w:rPr>
        <w:t>中标人拖延、拒签合同的，或提出采购人不能接受的条件，致使合同无法签订，</w:t>
      </w:r>
      <w:r>
        <w:rPr>
          <w:rFonts w:hint="eastAsia" w:ascii="仿宋" w:hAnsi="仿宋" w:eastAsia="仿宋" w:cs="仿宋"/>
          <w:color w:val="000000"/>
          <w:sz w:val="24"/>
          <w:szCs w:val="24"/>
          <w:highlight w:val="none"/>
          <w:lang w:val="en-US" w:eastAsia="zh-CN"/>
        </w:rPr>
        <w:t>除按照合同条款处理外，采购人将书面报告财政部门。</w:t>
      </w:r>
      <w:r>
        <w:rPr>
          <w:rFonts w:hint="eastAsia" w:ascii="仿宋" w:hAnsi="仿宋" w:eastAsia="仿宋" w:cs="仿宋"/>
          <w:color w:val="000000"/>
          <w:sz w:val="24"/>
          <w:szCs w:val="24"/>
          <w:highlight w:val="none"/>
          <w:lang w:eastAsia="zh-CN"/>
        </w:rPr>
        <w:t>招标人</w:t>
      </w:r>
      <w:r>
        <w:rPr>
          <w:rFonts w:hint="eastAsia" w:ascii="仿宋" w:hAnsi="仿宋" w:eastAsia="仿宋" w:cs="仿宋"/>
          <w:color w:val="000000"/>
          <w:sz w:val="24"/>
          <w:szCs w:val="24"/>
          <w:highlight w:val="none"/>
        </w:rPr>
        <w:t>将取消其中标资格，采购人可以</w:t>
      </w:r>
      <w:r>
        <w:rPr>
          <w:rFonts w:hint="eastAsia" w:ascii="仿宋" w:hAnsi="仿宋" w:eastAsia="仿宋" w:cs="仿宋"/>
          <w:color w:val="000000"/>
          <w:sz w:val="24"/>
          <w:szCs w:val="24"/>
          <w:highlight w:val="none"/>
          <w:lang w:val="en-US" w:eastAsia="zh-CN"/>
        </w:rPr>
        <w:t>按照评标报告推荐的中标或者成交候选人名单排序，</w:t>
      </w:r>
      <w:r>
        <w:rPr>
          <w:rFonts w:hint="eastAsia" w:ascii="仿宋" w:hAnsi="仿宋" w:eastAsia="仿宋" w:cs="仿宋"/>
          <w:color w:val="000000"/>
          <w:sz w:val="24"/>
          <w:szCs w:val="24"/>
          <w:highlight w:val="none"/>
          <w:lang w:eastAsia="zh-CN"/>
        </w:rPr>
        <w:t>确定</w:t>
      </w:r>
      <w:r>
        <w:rPr>
          <w:rFonts w:hint="eastAsia" w:ascii="仿宋" w:hAnsi="仿宋" w:eastAsia="仿宋" w:cs="仿宋"/>
          <w:color w:val="000000"/>
          <w:sz w:val="24"/>
          <w:szCs w:val="24"/>
          <w:highlight w:val="none"/>
        </w:rPr>
        <w:t>下一次序中标候选人为中标</w:t>
      </w:r>
      <w:r>
        <w:rPr>
          <w:rFonts w:hint="eastAsia" w:ascii="仿宋" w:hAnsi="仿宋" w:eastAsia="仿宋" w:cs="仿宋"/>
          <w:color w:val="000000"/>
          <w:sz w:val="24"/>
          <w:szCs w:val="24"/>
          <w:highlight w:val="none"/>
          <w:lang w:eastAsia="zh-CN"/>
        </w:rPr>
        <w:t>人</w:t>
      </w:r>
      <w:r>
        <w:rPr>
          <w:rFonts w:hint="eastAsia" w:ascii="仿宋" w:hAnsi="仿宋" w:eastAsia="仿宋" w:cs="仿宋"/>
          <w:color w:val="000000"/>
          <w:sz w:val="24"/>
          <w:szCs w:val="24"/>
          <w:highlight w:val="none"/>
        </w:rPr>
        <w:t>签订合同或</w:t>
      </w:r>
      <w:r>
        <w:rPr>
          <w:rFonts w:hint="eastAsia" w:ascii="仿宋" w:hAnsi="仿宋" w:eastAsia="仿宋" w:cs="仿宋"/>
          <w:color w:val="000000"/>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6.采购人和</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7.政府采购合同应当约定资金支付的方式、时间和条件，明确逾期支付资金的违约责任。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9"/>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highlight w:val="none"/>
          <w:lang w:val="en-US" w:eastAsia="zh-CN"/>
        </w:rPr>
      </w:pPr>
      <w:r>
        <w:rPr>
          <w:rFonts w:hint="eastAsia" w:ascii="仿宋" w:hAnsi="仿宋" w:eastAsia="仿宋" w:cs="仿宋"/>
          <w:highlight w:val="none"/>
          <w:u w:val="none"/>
          <w:lang w:val="en-US" w:eastAsia="zh-CN"/>
        </w:rPr>
        <w:t>9.</w:t>
      </w:r>
      <w:r>
        <w:rPr>
          <w:rFonts w:hint="eastAsia" w:ascii="仿宋" w:hAnsi="仿宋" w:eastAsia="仿宋" w:cs="仿宋"/>
          <w:highlight w:val="none"/>
          <w:u w:val="none"/>
        </w:rPr>
        <w:t>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highlight w:val="none"/>
          <w:lang w:val="en-US" w:eastAsia="zh-CN"/>
        </w:rPr>
      </w:pPr>
      <w:r>
        <w:rPr>
          <w:rFonts w:hint="eastAsia" w:ascii="仿宋" w:hAnsi="仿宋" w:eastAsia="仿宋" w:cs="仿宋"/>
          <w:color w:val="000000"/>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000000"/>
          <w:highlight w:val="none"/>
          <w:lang w:val="en-US" w:eastAsia="zh-CN"/>
        </w:rPr>
      </w:pPr>
      <w:r>
        <w:rPr>
          <w:rFonts w:hint="eastAsia" w:ascii="仿宋" w:hAnsi="仿宋" w:eastAsia="仿宋" w:cs="仿宋"/>
          <w:b/>
          <w:bCs/>
          <w:color w:val="000000"/>
          <w:kern w:val="0"/>
          <w:sz w:val="24"/>
          <w:szCs w:val="22"/>
          <w:highlight w:val="none"/>
          <w:lang w:val="en-US" w:eastAsia="zh-CN"/>
        </w:rPr>
        <w:t>12.政府采购</w:t>
      </w:r>
      <w:r>
        <w:rPr>
          <w:rFonts w:hint="eastAsia" w:ascii="仿宋" w:hAnsi="仿宋" w:eastAsia="仿宋" w:cs="仿宋"/>
          <w:b/>
          <w:bCs/>
          <w:color w:val="000000"/>
          <w:kern w:val="0"/>
          <w:sz w:val="24"/>
          <w:szCs w:val="22"/>
          <w:highlight w:val="none"/>
        </w:rPr>
        <w:t>合同</w:t>
      </w:r>
      <w:r>
        <w:rPr>
          <w:rFonts w:hint="eastAsia" w:ascii="仿宋" w:hAnsi="仿宋" w:eastAsia="仿宋" w:cs="仿宋"/>
          <w:b/>
          <w:bCs/>
          <w:color w:val="000000"/>
          <w:kern w:val="0"/>
          <w:sz w:val="24"/>
          <w:highlight w:val="none"/>
        </w:rPr>
        <w:t>一式</w:t>
      </w:r>
      <w:r>
        <w:rPr>
          <w:rFonts w:hint="eastAsia" w:ascii="仿宋" w:hAnsi="仿宋" w:eastAsia="仿宋" w:cs="仿宋"/>
          <w:b/>
          <w:bCs/>
          <w:color w:val="000000"/>
          <w:kern w:val="0"/>
          <w:sz w:val="24"/>
          <w:highlight w:val="none"/>
          <w:lang w:eastAsia="zh-CN"/>
        </w:rPr>
        <w:t>叁</w:t>
      </w:r>
      <w:r>
        <w:rPr>
          <w:rFonts w:hint="eastAsia" w:ascii="仿宋" w:hAnsi="仿宋" w:eastAsia="仿宋" w:cs="仿宋"/>
          <w:b/>
          <w:bCs/>
          <w:color w:val="000000"/>
          <w:kern w:val="0"/>
          <w:sz w:val="24"/>
          <w:highlight w:val="none"/>
        </w:rPr>
        <w:t>份，</w:t>
      </w:r>
      <w:r>
        <w:rPr>
          <w:rFonts w:hint="eastAsia" w:ascii="仿宋" w:hAnsi="仿宋" w:eastAsia="仿宋" w:cs="仿宋"/>
          <w:b/>
          <w:bCs/>
          <w:color w:val="000000"/>
          <w:kern w:val="0"/>
          <w:sz w:val="24"/>
          <w:highlight w:val="none"/>
          <w:lang w:eastAsia="zh-CN"/>
        </w:rPr>
        <w:t>采购人及中标人</w:t>
      </w:r>
      <w:r>
        <w:rPr>
          <w:rFonts w:hint="eastAsia" w:ascii="仿宋" w:hAnsi="仿宋" w:eastAsia="仿宋" w:cs="仿宋"/>
          <w:b/>
          <w:bCs/>
          <w:color w:val="000000"/>
          <w:kern w:val="0"/>
          <w:sz w:val="24"/>
          <w:highlight w:val="none"/>
        </w:rPr>
        <w:t>各执壹份，杭州好邦建筑工程咨询有限公司执壹份。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ageBreakBefore w:val="0"/>
        <w:kinsoku/>
        <w:wordWrap w:val="0"/>
        <w:topLinePunct/>
        <w:bidi w:val="0"/>
        <w:spacing w:beforeAutospacing="0" w:afterAutospacing="0" w:line="440" w:lineRule="exact"/>
        <w:ind w:firstLine="482" w:firstLineChars="200"/>
        <w:rPr>
          <w:b/>
          <w:bCs/>
          <w:highlight w:val="none"/>
        </w:rPr>
      </w:pPr>
      <w:r>
        <w:rPr>
          <w:rFonts w:hint="eastAsia"/>
          <w:b/>
          <w:bCs/>
          <w:highlight w:val="none"/>
        </w:rPr>
        <w:t>（二）履约保证金</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rPr>
        <w:t>拟签订的合同文本要求中标</w:t>
      </w:r>
      <w:r>
        <w:rPr>
          <w:rFonts w:hint="eastAsia" w:ascii="仿宋" w:hAnsi="仿宋" w:eastAsia="仿宋" w:cs="仿宋"/>
          <w:highlight w:val="none"/>
          <w:u w:val="none"/>
          <w:lang w:eastAsia="zh-CN"/>
        </w:rPr>
        <w:t>人</w:t>
      </w:r>
      <w:r>
        <w:rPr>
          <w:rFonts w:hint="eastAsia" w:ascii="仿宋" w:hAnsi="仿宋" w:eastAsia="仿宋" w:cs="仿宋"/>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highlight w:val="none"/>
          <w:u w:val="none"/>
          <w:lang w:eastAsia="zh-CN"/>
        </w:rPr>
        <w:t>政府采购</w:t>
      </w:r>
      <w:r>
        <w:rPr>
          <w:rFonts w:hint="eastAsia" w:ascii="仿宋" w:hAnsi="仿宋" w:eastAsia="仿宋" w:cs="仿宋"/>
          <w:highlight w:val="none"/>
          <w:u w:val="none"/>
        </w:rPr>
        <w:t>合同总金额的</w:t>
      </w:r>
      <w:r>
        <w:rPr>
          <w:rFonts w:hint="eastAsia" w:ascii="仿宋" w:hAnsi="仿宋" w:eastAsia="仿宋" w:cs="仿宋"/>
          <w:highlight w:val="none"/>
          <w:u w:val="none"/>
          <w:lang w:val="en-US" w:eastAsia="zh-CN"/>
        </w:rPr>
        <w:t>5</w:t>
      </w:r>
      <w:r>
        <w:rPr>
          <w:rFonts w:hint="eastAsia" w:ascii="仿宋" w:hAnsi="仿宋" w:eastAsia="仿宋" w:cs="仿宋"/>
          <w:highlight w:val="none"/>
          <w:u w:val="none"/>
        </w:rPr>
        <w:t>%作为履约保证金。</w:t>
      </w:r>
      <w:r>
        <w:rPr>
          <w:rFonts w:hint="eastAsia" w:ascii="仿宋" w:hAnsi="仿宋" w:eastAsia="仿宋" w:cs="仿宋"/>
          <w:highlight w:val="none"/>
          <w:u w:val="none"/>
          <w:lang w:eastAsia="zh-CN"/>
        </w:rPr>
        <w:t>履约期（验收合格）结束后5个工作日内</w:t>
      </w:r>
      <w:r>
        <w:rPr>
          <w:rFonts w:hint="eastAsia" w:ascii="仿宋" w:hAnsi="仿宋" w:eastAsia="仿宋" w:cs="仿宋"/>
          <w:highlight w:val="none"/>
          <w:u w:val="none"/>
        </w:rPr>
        <w:t>，采购人</w:t>
      </w:r>
      <w:r>
        <w:rPr>
          <w:rFonts w:hint="eastAsia" w:ascii="仿宋" w:hAnsi="仿宋" w:eastAsia="仿宋" w:cs="仿宋"/>
          <w:highlight w:val="none"/>
          <w:u w:val="none"/>
          <w:lang w:eastAsia="zh-CN"/>
        </w:rPr>
        <w:t>无息</w:t>
      </w:r>
      <w:r>
        <w:rPr>
          <w:rFonts w:hint="eastAsia" w:ascii="仿宋" w:hAnsi="仿宋" w:eastAsia="仿宋" w:cs="仿宋"/>
          <w:highlight w:val="none"/>
          <w:u w:val="none"/>
        </w:rPr>
        <w:t>退付履约保证金。鼓励和支持供应商以银行、保险公司出具的保函形式提供履约保证金。采购人不得拒收履约保函。</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2.</w:t>
      </w:r>
      <w:r>
        <w:rPr>
          <w:rFonts w:hint="eastAsia" w:ascii="仿宋" w:hAnsi="仿宋" w:eastAsia="仿宋" w:cs="仿宋"/>
          <w:highlight w:val="none"/>
          <w:u w:val="none"/>
        </w:rPr>
        <w:t>政府采购货物和服务项目中，采购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可根据杭州市政府采购网公布的供应商履约评价情况减免履约保证金。</w:t>
      </w:r>
    </w:p>
    <w:p>
      <w:pPr>
        <w:pageBreakBefore w:val="0"/>
        <w:kinsoku/>
        <w:wordWrap w:val="0"/>
        <w:topLinePunct/>
        <w:bidi w:val="0"/>
        <w:spacing w:beforeAutospacing="0" w:afterAutospacing="0" w:line="440" w:lineRule="exact"/>
        <w:ind w:firstLine="482" w:firstLineChars="200"/>
        <w:rPr>
          <w:b/>
          <w:bCs/>
          <w:highlight w:val="none"/>
        </w:rPr>
      </w:pPr>
      <w:r>
        <w:rPr>
          <w:rFonts w:hint="eastAsia"/>
          <w:b/>
          <w:bCs/>
          <w:highlight w:val="none"/>
        </w:rPr>
        <w:t>（三）款项的结算</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lang w:eastAsia="zh-CN"/>
        </w:rPr>
        <w:t>按合同约定内容进行货款的结算，结算时</w:t>
      </w:r>
      <w:r>
        <w:rPr>
          <w:rFonts w:hint="eastAsia" w:ascii="仿宋" w:hAnsi="仿宋" w:eastAsia="仿宋" w:cs="仿宋"/>
          <w:highlight w:val="none"/>
          <w:u w:val="none"/>
        </w:rPr>
        <w:t>按财政结算要求办理资金结算手续。</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2.采购人应当在政府采购合同中约定预付款，预付款比例原则上不低于合同金额的30％；项目分年安排预算的，每年预付款比例不低于项目年度计划支付资金额的30％。采购项目实施以人工投入为主的，可适当降低预付款比例，但不得低于10%。鼓励和支持采购单位根据项目特点、供应商信用等实际情况提高预付款比例，最高预付比例可以达到50%。采购人应在合同生效以及具备实施条件后15日内，支付预付款。</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3.采购人应积极履行合同，及时组织验收，验收合格后应及时将合同款支付完毕。采购项目实施以人工投入为主的，可按季度支付合同款。对于满足合同约定支付条件的，采购人应自收到发票后5个工作日内将资金支付到合同约定的供应商账户，有条件的采购人可以即时支付。不得以机构变动、人员更替、政策调整、单位放假等为由延迟付款。</w:t>
      </w:r>
    </w:p>
    <w:p>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ageBreakBefore w:val="0"/>
        <w:kinsoku/>
        <w:wordWrap w:val="0"/>
        <w:topLinePunct/>
        <w:bidi w:val="0"/>
        <w:spacing w:beforeAutospacing="0" w:afterAutospacing="0" w:line="440" w:lineRule="exact"/>
        <w:ind w:firstLine="482" w:firstLineChars="200"/>
        <w:rPr>
          <w:b/>
          <w:bCs/>
          <w:highlight w:val="none"/>
        </w:rPr>
      </w:pPr>
      <w:r>
        <w:rPr>
          <w:rFonts w:hint="eastAsia"/>
          <w:b/>
          <w:bCs/>
          <w:highlight w:val="none"/>
        </w:rPr>
        <w:t>（四）验收：由采购人组织，成立验收工作小组进行验收。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000000"/>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sz w:val="24"/>
          <w:szCs w:val="32"/>
          <w:highlight w:val="none"/>
        </w:rPr>
        <w:t>验收合格的项目，采购人应当根据采购合同的约定及时向供应商支付采购资金、退还履约保证金。验收不合格的项目，采购人应依法及时处理。</w:t>
      </w:r>
    </w:p>
    <w:p>
      <w:pPr>
        <w:pageBreakBefore w:val="0"/>
        <w:widowControl/>
        <w:kinsoku/>
        <w:bidi w:val="0"/>
        <w:spacing w:beforeAutospacing="0" w:afterAutospacing="0" w:line="440" w:lineRule="exact"/>
        <w:ind w:firstLine="480" w:firstLineChars="200"/>
        <w:jc w:val="left"/>
        <w:rPr>
          <w:rFonts w:hint="eastAsia"/>
          <w:highlight w:val="none"/>
          <w:lang w:val="en-US" w:eastAsia="zh-CN"/>
        </w:rPr>
      </w:pPr>
      <w:r>
        <w:rPr>
          <w:rFonts w:hint="eastAsia" w:ascii="仿宋" w:hAnsi="仿宋" w:eastAsia="仿宋" w:cs="仿宋"/>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val="0"/>
        <w:topLinePunct/>
        <w:bidi w:val="0"/>
        <w:spacing w:beforeAutospacing="0" w:afterAutospacing="0" w:line="440" w:lineRule="exact"/>
        <w:ind w:firstLine="482" w:firstLineChars="200"/>
        <w:rPr>
          <w:b/>
          <w:bCs/>
        </w:rPr>
      </w:pPr>
      <w:r>
        <w:rPr>
          <w:rFonts w:hint="eastAsia"/>
          <w:b/>
          <w:bCs/>
        </w:rPr>
        <w:t>（五）询问、质疑和投诉</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ascii="仿宋" w:hAnsi="仿宋" w:eastAsia="仿宋" w:cs="仿宋"/>
          <w:b/>
          <w:bCs/>
          <w:color w:val="auto"/>
          <w:sz w:val="24"/>
          <w:szCs w:val="22"/>
          <w:highlight w:val="none"/>
          <w:lang w:val="en-US" w:eastAsia="zh-CN"/>
        </w:rPr>
        <w:t>2</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富阳区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供应商认为招标文件、采购过程和中标结果使自己的合法权益受到损害的，可以自知道或者应知其权益受到损害之日起七个工作日内，</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3</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6"/>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的规定：对采购文件中特定资格条件、采购需求、评分办法提出的质疑，由采购人负责答复；对采购文件中其他内容提出的质疑，由</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负责答复。</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提出质疑的，质疑期限为各采购程序环节结束之日起计算。对同一采购程序环节的质疑，供应商须一次性提出。对采购过程中有关现场考察</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事项提出的质疑，由采购人负责答复；对采购过程中其它事项提出的质疑，由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highlight w:val="none"/>
          <w:lang w:eastAsia="zh-CN"/>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采购结果</w:t>
      </w:r>
      <w:r>
        <w:rPr>
          <w:rFonts w:hint="eastAsia" w:ascii="仿宋" w:hAnsi="仿宋" w:eastAsia="仿宋"/>
          <w:color w:val="auto"/>
          <w:sz w:val="24"/>
          <w:highlight w:val="none"/>
        </w:rPr>
        <w:t>提出质疑的，质疑期限自采购结果公告期限届满之日起计算。对采购结果提出质疑的，由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详见附件4或</w:t>
      </w:r>
      <w:r>
        <w:rPr>
          <w:rFonts w:hint="eastAsia" w:ascii="仿宋" w:hAnsi="仿宋" w:eastAsia="仿宋" w:cs="仿宋"/>
          <w:b/>
          <w:bCs/>
          <w:color w:val="auto"/>
          <w:sz w:val="24"/>
          <w:szCs w:val="22"/>
          <w:highlight w:val="none"/>
          <w:lang w:val="en-US" w:eastAsia="zh-CN"/>
        </w:rPr>
        <w:t>请到浙江政府采购网下载专区下载。</w:t>
      </w:r>
    </w:p>
    <w:p>
      <w:pPr>
        <w:pStyle w:val="6"/>
        <w:pageBreakBefore w:val="0"/>
        <w:kinsoku/>
        <w:bidi w:val="0"/>
        <w:spacing w:beforeAutospacing="0" w:afterAutospacing="0" w:line="440" w:lineRule="exact"/>
        <w:rPr>
          <w:rFonts w:hint="eastAsia"/>
        </w:rPr>
      </w:pPr>
    </w:p>
    <w:p>
      <w:pPr>
        <w:pStyle w:val="6"/>
        <w:pageBreakBefore w:val="0"/>
        <w:kinsoku/>
        <w:bidi w:val="0"/>
        <w:spacing w:beforeAutospacing="0" w:afterAutospacing="0" w:line="440" w:lineRule="exact"/>
        <w:rPr>
          <w:rFonts w:hint="eastAsia"/>
        </w:rPr>
      </w:pPr>
    </w:p>
    <w:p>
      <w:pPr>
        <w:pStyle w:val="6"/>
        <w:pageBreakBefore w:val="0"/>
        <w:kinsoku/>
        <w:bidi w:val="0"/>
        <w:spacing w:beforeAutospacing="0" w:afterAutospacing="0" w:line="440" w:lineRule="exact"/>
        <w:rPr>
          <w:rFonts w:hint="eastAsia"/>
        </w:rPr>
      </w:pPr>
    </w:p>
    <w:p>
      <w:pPr>
        <w:pStyle w:val="6"/>
        <w:pageBreakBefore w:val="0"/>
        <w:kinsoku/>
        <w:bidi w:val="0"/>
        <w:spacing w:beforeAutospacing="0" w:afterAutospacing="0" w:line="440" w:lineRule="exact"/>
        <w:rPr>
          <w:rFonts w:hint="eastAsia"/>
        </w:rPr>
      </w:pPr>
    </w:p>
    <w:p>
      <w:pPr>
        <w:pStyle w:val="6"/>
        <w:pageBreakBefore w:val="0"/>
        <w:kinsoku/>
        <w:bidi w:val="0"/>
        <w:spacing w:beforeAutospacing="0" w:afterAutospacing="0" w:line="440" w:lineRule="exact"/>
        <w:rPr>
          <w:rFonts w:hint="eastAsia"/>
        </w:rPr>
      </w:pPr>
    </w:p>
    <w:p>
      <w:pPr>
        <w:pageBreakBefore w:val="0"/>
        <w:kinsoku/>
        <w:bidi w:val="0"/>
        <w:spacing w:beforeAutospacing="0" w:afterAutospacing="0" w:line="440" w:lineRule="exact"/>
        <w:rPr>
          <w:rFonts w:hint="eastAsia"/>
        </w:rPr>
      </w:pPr>
      <w:r>
        <w:rPr>
          <w:rFonts w:hint="eastAsia"/>
        </w:rPr>
        <w:br w:type="page"/>
      </w:r>
    </w:p>
    <w:p>
      <w:pPr>
        <w:pStyle w:val="6"/>
        <w:pageBreakBefore w:val="0"/>
        <w:kinsoku/>
        <w:bidi w:val="0"/>
        <w:spacing w:beforeAutospacing="0" w:afterAutospacing="0" w:line="440" w:lineRule="exact"/>
      </w:pPr>
      <w:r>
        <w:rPr>
          <w:rFonts w:hint="eastAsia"/>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000000"/>
        </w:rPr>
      </w:pPr>
      <w:r>
        <w:rPr>
          <w:rFonts w:hint="eastAsia"/>
          <w:color w:val="000000"/>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FF0000"/>
          <w:sz w:val="24"/>
          <w:szCs w:val="24"/>
          <w:highlight w:val="none"/>
        </w:rPr>
      </w:pPr>
      <w:r>
        <w:rPr>
          <w:rFonts w:hint="eastAsia" w:ascii="仿宋" w:hAnsi="仿宋" w:eastAsia="仿宋"/>
          <w:color w:val="000000"/>
          <w:sz w:val="24"/>
          <w:szCs w:val="24"/>
          <w:highlight w:val="none"/>
        </w:rPr>
        <w:t>4.综合得分排名第一的投标人为中标候选</w:t>
      </w:r>
      <w:r>
        <w:rPr>
          <w:rFonts w:hint="eastAsia" w:ascii="仿宋" w:hAnsi="仿宋" w:eastAsia="仿宋"/>
          <w:color w:val="auto"/>
          <w:sz w:val="24"/>
          <w:szCs w:val="24"/>
          <w:highlight w:val="none"/>
        </w:rPr>
        <w:t>人，次高分的投标人为候补中标人，依次类推。</w:t>
      </w:r>
    </w:p>
    <w:p>
      <w:pPr>
        <w:pStyle w:val="26"/>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000000"/>
          <w:sz w:val="24"/>
          <w:highlight w:val="none"/>
        </w:rPr>
      </w:pPr>
      <w:r>
        <w:rPr>
          <w:rFonts w:hint="eastAsia" w:ascii="仿宋" w:hAnsi="仿宋" w:eastAsia="仿宋"/>
          <w:color w:val="000000"/>
          <w:sz w:val="24"/>
          <w:szCs w:val="24"/>
          <w:highlight w:val="none"/>
        </w:rPr>
        <w:t>5.评分过程中采用四舍五入法，</w:t>
      </w:r>
      <w:r>
        <w:rPr>
          <w:rFonts w:hint="eastAsia" w:ascii="仿宋" w:hAnsi="仿宋" w:eastAsia="仿宋"/>
          <w:bCs/>
          <w:color w:val="000000"/>
          <w:sz w:val="24"/>
          <w:szCs w:val="24"/>
          <w:highlight w:val="none"/>
        </w:rPr>
        <w:t>并保留小数2位。</w:t>
      </w:r>
    </w:p>
    <w:p>
      <w:pPr>
        <w:pageBreakBefore w:val="0"/>
        <w:kinsoku/>
        <w:bidi w:val="0"/>
        <w:spacing w:beforeAutospacing="0" w:afterAutospacing="0" w:line="440" w:lineRule="exact"/>
        <w:ind w:firstLine="472" w:firstLineChars="196"/>
        <w:rPr>
          <w:rFonts w:ascii="仿宋" w:hAnsi="仿宋" w:eastAsia="仿宋"/>
          <w:b/>
          <w:bCs/>
          <w:color w:val="000000"/>
          <w:sz w:val="24"/>
          <w:szCs w:val="24"/>
          <w:highlight w:val="none"/>
        </w:rPr>
      </w:pPr>
      <w:r>
        <w:rPr>
          <w:rFonts w:hint="eastAsia" w:ascii="仿宋" w:hAnsi="仿宋" w:eastAsia="仿宋"/>
          <w:b/>
          <w:bCs/>
          <w:color w:val="000000"/>
          <w:sz w:val="24"/>
          <w:szCs w:val="24"/>
          <w:highlight w:val="none"/>
        </w:rPr>
        <w:t>二、评分内容及标准</w:t>
      </w:r>
    </w:p>
    <w:p>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（一）价格评分(</w:t>
      </w:r>
      <w:r>
        <w:rPr>
          <w:rFonts w:hint="eastAsia"/>
          <w:b/>
          <w:color w:val="000000"/>
          <w:sz w:val="24"/>
          <w:szCs w:val="24"/>
          <w:highlight w:val="none"/>
          <w:lang w:val="en-US" w:eastAsia="zh-CN"/>
        </w:rPr>
        <w:t>3</w:t>
      </w:r>
      <w:r>
        <w:rPr>
          <w:rFonts w:hint="eastAsia" w:ascii="仿宋" w:hAnsi="仿宋" w:eastAsia="仿宋"/>
          <w:b/>
          <w:color w:val="000000"/>
          <w:sz w:val="24"/>
          <w:szCs w:val="24"/>
          <w:highlight w:val="none"/>
        </w:rPr>
        <w:t>0分)</w:t>
      </w:r>
    </w:p>
    <w:p>
      <w:pPr>
        <w:pageBreakBefore w:val="0"/>
        <w:kinsoku/>
        <w:bidi w:val="0"/>
        <w:spacing w:beforeAutospacing="0" w:afterAutospacing="0" w:line="440" w:lineRule="exact"/>
        <w:ind w:firstLine="482" w:firstLineChars="200"/>
        <w:rPr>
          <w:rFonts w:ascii="仿宋" w:hAnsi="仿宋" w:eastAsia="仿宋"/>
          <w:color w:val="000000"/>
          <w:sz w:val="24"/>
          <w:szCs w:val="24"/>
          <w:highlight w:val="none"/>
        </w:rPr>
      </w:pPr>
      <w:r>
        <w:rPr>
          <w:rFonts w:hint="eastAsia" w:ascii="仿宋" w:hAnsi="仿宋" w:eastAsia="仿宋"/>
          <w:b/>
          <w:color w:val="000000"/>
          <w:sz w:val="24"/>
          <w:szCs w:val="24"/>
          <w:highlight w:val="none"/>
        </w:rPr>
        <w:t>1.报价的合理性：</w:t>
      </w:r>
      <w:r>
        <w:rPr>
          <w:rFonts w:hint="eastAsia" w:ascii="仿宋" w:hAnsi="仿宋" w:eastAsia="仿宋"/>
          <w:color w:val="000000"/>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bidi w:val="0"/>
        <w:spacing w:beforeAutospacing="0" w:afterAutospacing="0" w:line="440" w:lineRule="exact"/>
        <w:ind w:firstLine="482" w:firstLineChars="200"/>
        <w:rPr>
          <w:rFonts w:hint="eastAsia" w:ascii="仿宋" w:hAnsi="仿宋" w:eastAsia="仿宋"/>
          <w:sz w:val="24"/>
          <w:szCs w:val="24"/>
          <w:highlight w:val="none"/>
        </w:rPr>
      </w:pPr>
      <w:r>
        <w:rPr>
          <w:rFonts w:hint="eastAsia" w:ascii="仿宋" w:hAnsi="仿宋" w:eastAsia="仿宋"/>
          <w:b/>
          <w:color w:val="000000"/>
          <w:sz w:val="24"/>
          <w:szCs w:val="24"/>
          <w:highlight w:val="none"/>
        </w:rPr>
        <w:t>2.</w:t>
      </w:r>
      <w:r>
        <w:rPr>
          <w:rFonts w:hint="eastAsia" w:ascii="仿宋" w:hAnsi="仿宋" w:eastAsia="仿宋"/>
          <w:b/>
          <w:color w:val="000000"/>
          <w:sz w:val="24"/>
          <w:highlight w:val="none"/>
          <w:lang w:val="zh-CN"/>
        </w:rPr>
        <w:t>价格</w:t>
      </w:r>
      <w:r>
        <w:rPr>
          <w:rFonts w:hint="eastAsia" w:ascii="仿宋" w:hAnsi="仿宋" w:eastAsia="仿宋" w:cs="仿宋_GB2312"/>
          <w:b/>
          <w:color w:val="000000"/>
          <w:sz w:val="24"/>
          <w:highlight w:val="none"/>
          <w:lang w:val="zh-CN"/>
        </w:rPr>
        <w:t>分的计算：</w:t>
      </w:r>
      <w:r>
        <w:rPr>
          <w:rFonts w:ascii="仿宋" w:hAnsi="仿宋" w:eastAsia="仿宋"/>
          <w:b/>
          <w:bCs/>
          <w:color w:val="000000"/>
          <w:sz w:val="24"/>
          <w:szCs w:val="24"/>
          <w:highlight w:val="none"/>
        </w:rPr>
        <w:t xml:space="preserve"> </w:t>
      </w:r>
      <w:r>
        <w:rPr>
          <w:rFonts w:hint="eastAsia" w:ascii="仿宋" w:hAnsi="仿宋" w:eastAsia="仿宋"/>
          <w:sz w:val="24"/>
          <w:highlight w:val="none"/>
        </w:rPr>
        <w:t>根据各投标人的有效投标报价，</w:t>
      </w:r>
      <w:r>
        <w:rPr>
          <w:rFonts w:hint="eastAsia" w:ascii="仿宋" w:hAnsi="仿宋" w:eastAsia="仿宋"/>
          <w:sz w:val="24"/>
          <w:szCs w:val="24"/>
          <w:highlight w:val="none"/>
        </w:rPr>
        <w:t>满足招标文件要求且投标价格最低的投标报价为评标基准价，其价格分为满分。其他投标人的价格分统一按照下列公式计算：投标报价得分=(评标基准价／有效投标报价)×</w:t>
      </w:r>
      <w:r>
        <w:rPr>
          <w:rFonts w:hint="eastAsia"/>
          <w:sz w:val="24"/>
          <w:szCs w:val="24"/>
          <w:highlight w:val="none"/>
          <w:lang w:val="en-US" w:eastAsia="zh-CN"/>
        </w:rPr>
        <w:t>30</w:t>
      </w:r>
      <w:r>
        <w:rPr>
          <w:rFonts w:hint="eastAsia" w:ascii="仿宋" w:hAnsi="仿宋" w:eastAsia="仿宋"/>
          <w:sz w:val="24"/>
          <w:szCs w:val="24"/>
          <w:highlight w:val="none"/>
        </w:rPr>
        <w:t>%×100；</w:t>
      </w:r>
    </w:p>
    <w:p>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7</w:t>
      </w:r>
      <w:r>
        <w:rPr>
          <w:rFonts w:hint="eastAsia" w:ascii="仿宋" w:hAnsi="仿宋" w:eastAsia="仿宋"/>
          <w:b/>
          <w:color w:val="000000"/>
          <w:sz w:val="24"/>
          <w:szCs w:val="24"/>
          <w:highlight w:val="none"/>
        </w:rPr>
        <w:t>0分）</w:t>
      </w:r>
    </w:p>
    <w:p>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1.商务及技术分的计算。</w:t>
      </w:r>
    </w:p>
    <w:p>
      <w:pPr>
        <w:pageBreakBefore w:val="0"/>
        <w:kinsoku/>
        <w:bidi w:val="0"/>
        <w:spacing w:beforeAutospacing="0" w:afterAutospacing="0"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highlight w:val="none"/>
        </w:rPr>
        <w:t>商务及技术评分按照评标委员会成员的独立评分结果汇总后的算术平</w:t>
      </w:r>
      <w:r>
        <w:rPr>
          <w:rFonts w:hint="eastAsia" w:ascii="仿宋" w:hAnsi="仿宋" w:eastAsia="仿宋"/>
          <w:color w:val="000000"/>
          <w:sz w:val="24"/>
          <w:szCs w:val="24"/>
        </w:rPr>
        <w:t>均分计算，计算公式为：商务及技术评分＝评标委员会所有成员评分合计数/评标委员会组成人员数。</w:t>
      </w:r>
    </w:p>
    <w:p>
      <w:pPr>
        <w:pageBreakBefore w:val="0"/>
        <w:kinsoku/>
        <w:bidi w:val="0"/>
        <w:spacing w:beforeAutospacing="0" w:afterAutospacing="0" w:line="440" w:lineRule="exact"/>
        <w:rPr>
          <w:rStyle w:val="96"/>
          <w:rFonts w:hint="eastAsia" w:ascii="Arial" w:hAnsi="Arial" w:eastAsia="宋体" w:cs="Arial"/>
          <w:color w:val="191919"/>
          <w:sz w:val="22"/>
          <w:szCs w:val="22"/>
          <w:shd w:val="clear" w:color="auto" w:fill="FFFFFF"/>
        </w:rPr>
      </w:pPr>
    </w:p>
    <w:p>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89"/>
        <w:tblW w:w="941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20"/>
        <w:gridCol w:w="6187"/>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520" w:type="dxa"/>
            <w:vAlign w:val="center"/>
          </w:tcPr>
          <w:p>
            <w:pPr>
              <w:widowControl/>
              <w:spacing w:beforeLines="0"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评分项目</w:t>
            </w:r>
          </w:p>
        </w:tc>
        <w:tc>
          <w:tcPr>
            <w:tcW w:w="6187" w:type="dxa"/>
            <w:vAlign w:val="center"/>
          </w:tcPr>
          <w:p>
            <w:pPr>
              <w:widowControl/>
              <w:spacing w:beforeLines="0"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评分内容</w:t>
            </w:r>
          </w:p>
        </w:tc>
        <w:tc>
          <w:tcPr>
            <w:tcW w:w="920" w:type="dxa"/>
            <w:vAlign w:val="center"/>
          </w:tcPr>
          <w:p>
            <w:pPr>
              <w:widowControl/>
              <w:spacing w:beforeLines="0"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eastAsia" w:ascii="仿宋" w:hAnsi="仿宋" w:eastAsia="仿宋" w:cs="仿宋"/>
                <w:b/>
                <w:bCs/>
                <w:kern w:val="0"/>
                <w:sz w:val="24"/>
                <w:szCs w:val="24"/>
                <w:lang w:val="en-US" w:eastAsia="zh-CN"/>
              </w:rPr>
            </w:pPr>
            <w:r>
              <w:rPr>
                <w:rFonts w:hint="eastAsia" w:cs="仿宋"/>
                <w:b/>
                <w:bCs/>
                <w:kern w:val="0"/>
                <w:sz w:val="24"/>
                <w:szCs w:val="24"/>
                <w:lang w:val="en-US" w:eastAsia="zh-CN"/>
              </w:rPr>
              <w:t>1</w:t>
            </w:r>
          </w:p>
        </w:tc>
        <w:tc>
          <w:tcPr>
            <w:tcW w:w="1520" w:type="dxa"/>
            <w:vAlign w:val="center"/>
          </w:tcPr>
          <w:p>
            <w:pPr>
              <w:widowControl/>
              <w:spacing w:beforeLines="0" w:line="360" w:lineRule="auto"/>
              <w:jc w:val="center"/>
              <w:rPr>
                <w:rFonts w:hint="eastAsia" w:ascii="仿宋" w:hAnsi="仿宋" w:eastAsia="仿宋" w:cs="仿宋"/>
                <w:b/>
                <w:bCs/>
                <w:kern w:val="0"/>
                <w:sz w:val="24"/>
                <w:szCs w:val="24"/>
                <w:lang w:eastAsia="zh-CN"/>
              </w:rPr>
            </w:pPr>
            <w:r>
              <w:rPr>
                <w:rFonts w:hint="eastAsia" w:cs="仿宋"/>
                <w:b/>
                <w:bCs/>
                <w:kern w:val="0"/>
                <w:sz w:val="24"/>
                <w:szCs w:val="24"/>
                <w:lang w:eastAsia="zh-CN"/>
              </w:rPr>
              <w:t>企业综合实力</w:t>
            </w:r>
          </w:p>
        </w:tc>
        <w:tc>
          <w:tcPr>
            <w:tcW w:w="6187" w:type="dxa"/>
            <w:vAlign w:val="center"/>
          </w:tcPr>
          <w:p>
            <w:pPr>
              <w:widowControl/>
              <w:spacing w:beforeLines="0" w:line="360" w:lineRule="auto"/>
              <w:jc w:val="both"/>
              <w:rPr>
                <w:rFonts w:hint="default" w:ascii="仿宋" w:hAnsi="仿宋" w:eastAsia="仿宋" w:cs="仿宋"/>
                <w:szCs w:val="21"/>
                <w:lang w:val="en-US" w:eastAsia="zh-CN"/>
              </w:rPr>
            </w:pPr>
            <w:r>
              <w:rPr>
                <w:rFonts w:hint="eastAsia" w:ascii="仿宋" w:hAnsi="仿宋" w:eastAsia="仿宋" w:cs="仿宋"/>
                <w:szCs w:val="21"/>
              </w:rPr>
              <w:t>投标人具有有效期内的质量管理体系认证证书、环境管理体系认证证书的</w:t>
            </w:r>
            <w:r>
              <w:rPr>
                <w:rFonts w:hint="eastAsia" w:cs="仿宋"/>
                <w:szCs w:val="21"/>
                <w:lang w:eastAsia="zh-CN"/>
              </w:rPr>
              <w:t>每提供一份</w:t>
            </w:r>
            <w:r>
              <w:rPr>
                <w:rFonts w:hint="eastAsia" w:ascii="仿宋" w:hAnsi="仿宋" w:eastAsia="仿宋" w:cs="仿宋"/>
                <w:szCs w:val="21"/>
              </w:rPr>
              <w:t>得1分，</w:t>
            </w:r>
            <w:r>
              <w:rPr>
                <w:rFonts w:hint="eastAsia" w:cs="仿宋"/>
                <w:szCs w:val="21"/>
                <w:lang w:eastAsia="zh-CN"/>
              </w:rPr>
              <w:t>最高得</w:t>
            </w:r>
            <w:r>
              <w:rPr>
                <w:rFonts w:hint="eastAsia" w:cs="仿宋"/>
                <w:szCs w:val="21"/>
                <w:lang w:val="en-US" w:eastAsia="zh-CN"/>
              </w:rPr>
              <w:t>2分</w:t>
            </w:r>
            <w:r>
              <w:rPr>
                <w:rFonts w:hint="eastAsia" w:ascii="仿宋" w:hAnsi="仿宋" w:eastAsia="仿宋" w:cs="仿宋"/>
                <w:szCs w:val="21"/>
              </w:rPr>
              <w:t>。</w:t>
            </w:r>
            <w:r>
              <w:rPr>
                <w:rFonts w:hint="eastAsia" w:cs="仿宋"/>
                <w:szCs w:val="21"/>
                <w:lang w:eastAsia="zh-CN"/>
              </w:rPr>
              <w:t>（</w:t>
            </w:r>
            <w:r>
              <w:rPr>
                <w:rFonts w:hint="eastAsia" w:cs="仿宋"/>
                <w:szCs w:val="21"/>
                <w:lang w:val="en-US" w:eastAsia="zh-CN"/>
              </w:rPr>
              <w:t>0-2分）</w:t>
            </w:r>
          </w:p>
          <w:p>
            <w:pPr>
              <w:widowControl/>
              <w:spacing w:beforeLines="0" w:line="360" w:lineRule="auto"/>
              <w:jc w:val="both"/>
              <w:rPr>
                <w:rFonts w:hint="eastAsia" w:ascii="仿宋" w:hAnsi="仿宋" w:eastAsia="仿宋" w:cs="仿宋"/>
                <w:b/>
                <w:bCs/>
                <w:kern w:val="0"/>
                <w:sz w:val="24"/>
                <w:szCs w:val="24"/>
              </w:rPr>
            </w:pPr>
            <w:r>
              <w:rPr>
                <w:rFonts w:hint="eastAsia" w:cs="仿宋"/>
                <w:szCs w:val="21"/>
                <w:lang w:eastAsia="zh-CN"/>
              </w:rPr>
              <w:t>注：</w:t>
            </w:r>
            <w:r>
              <w:rPr>
                <w:rFonts w:hint="eastAsia" w:ascii="仿宋" w:hAnsi="仿宋" w:eastAsia="仿宋" w:cs="仿宋"/>
                <w:b/>
                <w:bCs/>
                <w:szCs w:val="21"/>
              </w:rPr>
              <w:t>投标文件中提供在有效期内认证证书复印件，否则不得分</w:t>
            </w:r>
          </w:p>
        </w:tc>
        <w:tc>
          <w:tcPr>
            <w:tcW w:w="920" w:type="dxa"/>
            <w:vAlign w:val="center"/>
          </w:tcPr>
          <w:p>
            <w:pPr>
              <w:widowControl/>
              <w:spacing w:beforeLines="0" w:line="360" w:lineRule="auto"/>
              <w:jc w:val="center"/>
              <w:rPr>
                <w:rFonts w:hint="eastAsia"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eastAsia" w:cs="仿宋"/>
                <w:b/>
                <w:bCs/>
                <w:kern w:val="0"/>
                <w:sz w:val="24"/>
                <w:szCs w:val="24"/>
                <w:lang w:val="en-US" w:eastAsia="zh-CN"/>
              </w:rPr>
            </w:pPr>
            <w:r>
              <w:rPr>
                <w:rFonts w:hint="eastAsia" w:cs="仿宋"/>
                <w:b/>
                <w:bCs/>
                <w:kern w:val="0"/>
                <w:sz w:val="24"/>
                <w:szCs w:val="24"/>
                <w:lang w:val="en-US" w:eastAsia="zh-CN"/>
              </w:rPr>
              <w:t>2</w:t>
            </w:r>
          </w:p>
        </w:tc>
        <w:tc>
          <w:tcPr>
            <w:tcW w:w="1520" w:type="dxa"/>
            <w:vAlign w:val="center"/>
          </w:tcPr>
          <w:p>
            <w:pPr>
              <w:widowControl/>
              <w:spacing w:beforeLines="0" w:line="360" w:lineRule="auto"/>
              <w:jc w:val="center"/>
              <w:rPr>
                <w:rFonts w:hint="eastAsia" w:cs="仿宋"/>
                <w:b/>
                <w:bCs/>
                <w:kern w:val="0"/>
                <w:sz w:val="24"/>
                <w:szCs w:val="24"/>
                <w:lang w:eastAsia="zh-CN"/>
              </w:rPr>
            </w:pPr>
            <w:r>
              <w:rPr>
                <w:rFonts w:hint="eastAsia" w:cs="仿宋"/>
                <w:b/>
                <w:bCs/>
                <w:kern w:val="0"/>
                <w:sz w:val="24"/>
                <w:szCs w:val="24"/>
                <w:lang w:eastAsia="zh-CN"/>
              </w:rPr>
              <w:t>同类业绩</w:t>
            </w:r>
          </w:p>
        </w:tc>
        <w:tc>
          <w:tcPr>
            <w:tcW w:w="6187" w:type="dxa"/>
            <w:vAlign w:val="center"/>
          </w:tcPr>
          <w:p>
            <w:pPr>
              <w:widowControl/>
              <w:spacing w:beforeLines="0" w:line="360" w:lineRule="auto"/>
              <w:jc w:val="both"/>
              <w:rPr>
                <w:rFonts w:hint="default" w:ascii="仿宋" w:hAnsi="仿宋" w:eastAsia="仿宋" w:cs="仿宋"/>
                <w:szCs w:val="21"/>
                <w:highlight w:val="none"/>
                <w:lang w:val="en-US" w:eastAsia="zh-CN"/>
              </w:rPr>
            </w:pPr>
            <w:r>
              <w:rPr>
                <w:rFonts w:hint="eastAsia" w:ascii="仿宋" w:hAnsi="仿宋" w:eastAsia="仿宋" w:cs="仿宋"/>
                <w:color w:val="000000"/>
                <w:kern w:val="0"/>
                <w:szCs w:val="21"/>
                <w:highlight w:val="none"/>
              </w:rPr>
              <w:t>投标人自2017年1月1日以来独立完成过</w:t>
            </w:r>
            <w:r>
              <w:rPr>
                <w:rFonts w:hint="eastAsia" w:cs="仿宋"/>
                <w:color w:val="000000"/>
                <w:kern w:val="0"/>
                <w:szCs w:val="21"/>
                <w:highlight w:val="none"/>
                <w:lang w:eastAsia="zh-CN"/>
              </w:rPr>
              <w:t>同</w:t>
            </w:r>
            <w:r>
              <w:rPr>
                <w:rFonts w:hint="eastAsia" w:ascii="仿宋" w:hAnsi="仿宋" w:eastAsia="仿宋" w:cs="仿宋"/>
                <w:color w:val="000000"/>
                <w:kern w:val="0"/>
                <w:szCs w:val="21"/>
                <w:highlight w:val="none"/>
              </w:rPr>
              <w:t>类</w:t>
            </w:r>
            <w:r>
              <w:rPr>
                <w:rFonts w:hint="eastAsia" w:cs="仿宋"/>
                <w:color w:val="000000"/>
                <w:kern w:val="0"/>
                <w:szCs w:val="21"/>
                <w:highlight w:val="none"/>
                <w:lang w:eastAsia="zh-CN"/>
              </w:rPr>
              <w:t>展陈</w:t>
            </w:r>
            <w:r>
              <w:rPr>
                <w:rFonts w:hint="eastAsia" w:ascii="仿宋" w:hAnsi="仿宋" w:eastAsia="仿宋" w:cs="仿宋"/>
                <w:color w:val="000000"/>
                <w:kern w:val="0"/>
                <w:szCs w:val="21"/>
                <w:highlight w:val="none"/>
              </w:rPr>
              <w:t>项目业绩，每提供1个业绩得2分，最高可得</w:t>
            </w:r>
            <w:r>
              <w:rPr>
                <w:rFonts w:hint="eastAsia" w:cs="仿宋"/>
                <w:color w:val="000000"/>
                <w:kern w:val="0"/>
                <w:szCs w:val="21"/>
                <w:highlight w:val="none"/>
                <w:lang w:val="en-US" w:eastAsia="zh-CN"/>
              </w:rPr>
              <w:t>4</w:t>
            </w:r>
            <w:r>
              <w:rPr>
                <w:rFonts w:hint="eastAsia" w:ascii="仿宋" w:hAnsi="仿宋" w:eastAsia="仿宋" w:cs="仿宋"/>
                <w:color w:val="000000"/>
                <w:kern w:val="0"/>
                <w:szCs w:val="21"/>
                <w:highlight w:val="none"/>
              </w:rPr>
              <w:t>分</w:t>
            </w:r>
            <w:r>
              <w:rPr>
                <w:rFonts w:hint="eastAsia" w:ascii="仿宋" w:hAnsi="仿宋" w:eastAsia="仿宋" w:cs="仿宋"/>
                <w:szCs w:val="21"/>
                <w:highlight w:val="none"/>
              </w:rPr>
              <w:t>。</w:t>
            </w:r>
            <w:r>
              <w:rPr>
                <w:rFonts w:hint="eastAsia" w:cs="仿宋"/>
                <w:szCs w:val="21"/>
                <w:highlight w:val="none"/>
                <w:lang w:eastAsia="zh-CN"/>
              </w:rPr>
              <w:t>（</w:t>
            </w:r>
            <w:r>
              <w:rPr>
                <w:rFonts w:hint="eastAsia" w:cs="仿宋"/>
                <w:szCs w:val="21"/>
                <w:highlight w:val="none"/>
                <w:lang w:val="en-US" w:eastAsia="zh-CN"/>
              </w:rPr>
              <w:t>0-4分）</w:t>
            </w:r>
          </w:p>
          <w:p>
            <w:pPr>
              <w:widowControl/>
              <w:spacing w:beforeLines="0" w:line="360" w:lineRule="auto"/>
              <w:jc w:val="both"/>
              <w:rPr>
                <w:rFonts w:hint="eastAsia" w:ascii="仿宋" w:hAnsi="仿宋" w:eastAsia="仿宋" w:cs="仿宋"/>
                <w:b/>
                <w:bCs/>
                <w:szCs w:val="21"/>
                <w:highlight w:val="none"/>
                <w:lang w:eastAsia="zh-CN"/>
              </w:rPr>
            </w:pPr>
            <w:r>
              <w:rPr>
                <w:rFonts w:hint="eastAsia" w:cs="仿宋"/>
                <w:b/>
                <w:bCs/>
                <w:color w:val="000000"/>
                <w:kern w:val="0"/>
                <w:szCs w:val="21"/>
                <w:highlight w:val="none"/>
                <w:lang w:eastAsia="zh-CN"/>
              </w:rPr>
              <w:t>上述同类展陈项目（不含临时布展）：指档案馆、科技馆、博物馆、文物馆、展览馆、博览馆、主题馆布展</w:t>
            </w:r>
            <w:r>
              <w:rPr>
                <w:rFonts w:hint="eastAsia" w:ascii="仿宋" w:hAnsi="仿宋" w:eastAsia="仿宋" w:cs="仿宋"/>
                <w:b/>
                <w:bCs/>
                <w:color w:val="000000"/>
                <w:kern w:val="0"/>
                <w:szCs w:val="21"/>
                <w:highlight w:val="none"/>
              </w:rPr>
              <w:t>（或设计</w:t>
            </w:r>
            <w:r>
              <w:rPr>
                <w:rFonts w:hint="eastAsia" w:cs="仿宋"/>
                <w:b/>
                <w:bCs/>
                <w:color w:val="000000"/>
                <w:kern w:val="0"/>
                <w:szCs w:val="21"/>
                <w:highlight w:val="none"/>
                <w:lang w:eastAsia="zh-CN"/>
              </w:rPr>
              <w:t>布展</w:t>
            </w:r>
            <w:r>
              <w:rPr>
                <w:rFonts w:hint="eastAsia" w:ascii="仿宋" w:hAnsi="仿宋" w:eastAsia="仿宋" w:cs="仿宋"/>
                <w:b/>
                <w:bCs/>
                <w:color w:val="000000"/>
                <w:kern w:val="0"/>
                <w:szCs w:val="21"/>
                <w:highlight w:val="none"/>
              </w:rPr>
              <w:t>一体化）的</w:t>
            </w:r>
            <w:r>
              <w:rPr>
                <w:rFonts w:hint="eastAsia" w:cs="仿宋"/>
                <w:b/>
                <w:bCs/>
                <w:color w:val="000000"/>
                <w:kern w:val="0"/>
                <w:szCs w:val="21"/>
                <w:highlight w:val="none"/>
                <w:lang w:eastAsia="zh-CN"/>
              </w:rPr>
              <w:t>项目。</w:t>
            </w:r>
          </w:p>
          <w:p>
            <w:pPr>
              <w:widowControl/>
              <w:spacing w:beforeLines="0" w:line="360" w:lineRule="auto"/>
              <w:jc w:val="both"/>
              <w:rPr>
                <w:rFonts w:hint="eastAsia" w:cs="仿宋"/>
                <w:szCs w:val="21"/>
                <w:highlight w:val="none"/>
                <w:lang w:eastAsia="zh-CN"/>
              </w:rPr>
            </w:pPr>
            <w:r>
              <w:rPr>
                <w:rFonts w:hint="eastAsia" w:cs="仿宋"/>
                <w:b/>
                <w:bCs/>
                <w:szCs w:val="21"/>
                <w:highlight w:val="none"/>
                <w:lang w:eastAsia="zh-CN"/>
              </w:rPr>
              <w:t>注：</w:t>
            </w:r>
            <w:r>
              <w:rPr>
                <w:rFonts w:hint="eastAsia" w:ascii="仿宋" w:hAnsi="仿宋" w:eastAsia="仿宋" w:cs="仿宋"/>
                <w:b/>
                <w:bCs/>
                <w:szCs w:val="21"/>
                <w:highlight w:val="none"/>
              </w:rPr>
              <w:t>投标文件中同时提供合同、中标通知书、竣工验收报告的复印件（三项材料缺一不可），未按上述要求提供的不得分。若上述资料无法反应出评分要素，必须同时提供业主证明（须加盖业主单位公章）的复印件。</w:t>
            </w:r>
          </w:p>
        </w:tc>
        <w:tc>
          <w:tcPr>
            <w:tcW w:w="920" w:type="dxa"/>
            <w:vAlign w:val="center"/>
          </w:tcPr>
          <w:p>
            <w:pPr>
              <w:widowControl/>
              <w:spacing w:beforeLines="0" w:line="360" w:lineRule="auto"/>
              <w:jc w:val="center"/>
              <w:rPr>
                <w:rFonts w:hint="eastAsia" w:cs="仿宋"/>
                <w:b w:val="0"/>
                <w:bCs w:val="0"/>
                <w:kern w:val="0"/>
                <w:sz w:val="24"/>
                <w:szCs w:val="24"/>
                <w:lang w:val="en-US" w:eastAsia="zh-CN"/>
              </w:rPr>
            </w:pPr>
            <w:r>
              <w:rPr>
                <w:rFonts w:hint="eastAsia" w:cs="仿宋"/>
                <w:b w:val="0"/>
                <w:bCs w:val="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eastAsia" w:cs="仿宋"/>
                <w:b/>
                <w:bCs/>
                <w:kern w:val="0"/>
                <w:sz w:val="24"/>
                <w:szCs w:val="24"/>
                <w:lang w:val="en-US" w:eastAsia="zh-CN"/>
              </w:rPr>
            </w:pPr>
            <w:r>
              <w:rPr>
                <w:rFonts w:hint="eastAsia" w:cs="仿宋"/>
                <w:b/>
                <w:bCs/>
                <w:kern w:val="0"/>
                <w:sz w:val="24"/>
                <w:szCs w:val="24"/>
                <w:lang w:val="en-US" w:eastAsia="zh-CN"/>
              </w:rPr>
              <w:t>3</w:t>
            </w:r>
          </w:p>
        </w:tc>
        <w:tc>
          <w:tcPr>
            <w:tcW w:w="1520" w:type="dxa"/>
            <w:vAlign w:val="center"/>
          </w:tcPr>
          <w:p>
            <w:pPr>
              <w:widowControl/>
              <w:spacing w:beforeLines="0" w:line="360" w:lineRule="auto"/>
              <w:jc w:val="center"/>
              <w:rPr>
                <w:rFonts w:hint="eastAsia" w:cs="仿宋"/>
                <w:b/>
                <w:bCs/>
                <w:kern w:val="0"/>
                <w:sz w:val="24"/>
                <w:szCs w:val="24"/>
                <w:lang w:eastAsia="zh-CN"/>
              </w:rPr>
            </w:pPr>
            <w:r>
              <w:rPr>
                <w:rFonts w:hint="eastAsia" w:cs="仿宋"/>
                <w:b/>
                <w:bCs/>
                <w:kern w:val="0"/>
                <w:sz w:val="24"/>
                <w:szCs w:val="24"/>
                <w:lang w:eastAsia="zh-CN"/>
              </w:rPr>
              <w:t>荣誉</w:t>
            </w:r>
          </w:p>
        </w:tc>
        <w:tc>
          <w:tcPr>
            <w:tcW w:w="6187" w:type="dxa"/>
            <w:vAlign w:val="center"/>
          </w:tcPr>
          <w:p>
            <w:pPr>
              <w:widowControl/>
              <w:spacing w:beforeLines="0" w:line="360" w:lineRule="auto"/>
              <w:jc w:val="both"/>
              <w:rPr>
                <w:rFonts w:hint="eastAsia" w:cs="仿宋"/>
                <w:color w:val="000000"/>
                <w:kern w:val="0"/>
                <w:szCs w:val="21"/>
                <w:highlight w:val="none"/>
                <w:lang w:val="en-US" w:eastAsia="zh-CN"/>
              </w:rPr>
            </w:pPr>
            <w:r>
              <w:rPr>
                <w:rFonts w:hint="eastAsia" w:ascii="仿宋" w:hAnsi="仿宋" w:eastAsia="仿宋" w:cs="仿宋"/>
                <w:color w:val="000000"/>
                <w:kern w:val="0"/>
                <w:szCs w:val="21"/>
                <w:highlight w:val="none"/>
              </w:rPr>
              <w:t>投标人</w:t>
            </w:r>
            <w:r>
              <w:rPr>
                <w:rFonts w:hint="eastAsia" w:cs="仿宋"/>
                <w:color w:val="000000"/>
                <w:kern w:val="0"/>
                <w:szCs w:val="21"/>
                <w:highlight w:val="none"/>
                <w:lang w:eastAsia="zh-CN"/>
              </w:rPr>
              <w:t>自</w:t>
            </w:r>
            <w:r>
              <w:rPr>
                <w:rFonts w:hint="eastAsia" w:ascii="仿宋" w:hAnsi="仿宋" w:eastAsia="仿宋" w:cs="仿宋"/>
                <w:color w:val="000000"/>
                <w:kern w:val="0"/>
                <w:szCs w:val="21"/>
                <w:highlight w:val="none"/>
              </w:rPr>
              <w:t>2017年1月1日以来完成的</w:t>
            </w:r>
            <w:r>
              <w:rPr>
                <w:rFonts w:hint="eastAsia" w:cs="仿宋"/>
                <w:color w:val="000000"/>
                <w:kern w:val="0"/>
                <w:szCs w:val="21"/>
                <w:highlight w:val="none"/>
                <w:lang w:eastAsia="zh-CN"/>
              </w:rPr>
              <w:t>同</w:t>
            </w:r>
            <w:r>
              <w:rPr>
                <w:rFonts w:hint="eastAsia" w:ascii="仿宋" w:hAnsi="仿宋" w:eastAsia="仿宋" w:cs="仿宋"/>
                <w:color w:val="000000"/>
                <w:kern w:val="0"/>
                <w:szCs w:val="21"/>
                <w:highlight w:val="none"/>
              </w:rPr>
              <w:t>类展陈</w:t>
            </w:r>
            <w:r>
              <w:rPr>
                <w:rFonts w:hint="eastAsia" w:cs="仿宋"/>
                <w:color w:val="000000"/>
                <w:kern w:val="0"/>
                <w:szCs w:val="21"/>
                <w:highlight w:val="none"/>
                <w:lang w:eastAsia="zh-CN"/>
              </w:rPr>
              <w:t>项目获得省级荣誉或奖项每提供一个得</w:t>
            </w:r>
            <w:r>
              <w:rPr>
                <w:rFonts w:hint="eastAsia" w:cs="仿宋"/>
                <w:color w:val="000000"/>
                <w:kern w:val="0"/>
                <w:szCs w:val="21"/>
                <w:highlight w:val="none"/>
                <w:lang w:val="en-US" w:eastAsia="zh-CN"/>
              </w:rPr>
              <w:t>1分</w:t>
            </w:r>
            <w:r>
              <w:rPr>
                <w:rFonts w:hint="eastAsia" w:ascii="仿宋" w:hAnsi="仿宋" w:eastAsia="仿宋" w:cs="仿宋"/>
                <w:color w:val="000000"/>
                <w:kern w:val="0"/>
                <w:szCs w:val="21"/>
                <w:highlight w:val="none"/>
              </w:rPr>
              <w:t>，</w:t>
            </w:r>
            <w:r>
              <w:rPr>
                <w:rFonts w:hint="eastAsia" w:cs="仿宋"/>
                <w:color w:val="000000"/>
                <w:kern w:val="0"/>
                <w:szCs w:val="21"/>
                <w:highlight w:val="none"/>
                <w:lang w:eastAsia="zh-CN"/>
              </w:rPr>
              <w:t>国家级荣誉或奖项每提供一个得</w:t>
            </w:r>
            <w:r>
              <w:rPr>
                <w:rFonts w:hint="eastAsia" w:cs="仿宋"/>
                <w:color w:val="000000"/>
                <w:kern w:val="0"/>
                <w:szCs w:val="21"/>
                <w:highlight w:val="none"/>
                <w:lang w:val="en-US" w:eastAsia="zh-CN"/>
              </w:rPr>
              <w:t>2分，</w:t>
            </w:r>
            <w:r>
              <w:rPr>
                <w:rFonts w:hint="eastAsia" w:ascii="仿宋" w:hAnsi="仿宋" w:eastAsia="仿宋" w:cs="仿宋"/>
                <w:color w:val="000000"/>
                <w:kern w:val="0"/>
                <w:szCs w:val="21"/>
                <w:highlight w:val="none"/>
              </w:rPr>
              <w:t>本项最多得</w:t>
            </w:r>
            <w:r>
              <w:rPr>
                <w:rFonts w:hint="eastAsia" w:cs="仿宋"/>
                <w:color w:val="000000"/>
                <w:kern w:val="0"/>
                <w:szCs w:val="21"/>
                <w:highlight w:val="none"/>
                <w:lang w:val="en-US" w:eastAsia="zh-CN"/>
              </w:rPr>
              <w:t>4</w:t>
            </w:r>
            <w:r>
              <w:rPr>
                <w:rFonts w:hint="eastAsia" w:ascii="仿宋" w:hAnsi="仿宋" w:eastAsia="仿宋" w:cs="仿宋"/>
                <w:color w:val="000000"/>
                <w:kern w:val="0"/>
                <w:szCs w:val="21"/>
                <w:highlight w:val="none"/>
              </w:rPr>
              <w:t>分。</w:t>
            </w:r>
            <w:r>
              <w:rPr>
                <w:rFonts w:hint="eastAsia" w:cs="仿宋"/>
                <w:color w:val="000000"/>
                <w:kern w:val="0"/>
                <w:szCs w:val="21"/>
                <w:highlight w:val="none"/>
                <w:lang w:eastAsia="zh-CN"/>
              </w:rPr>
              <w:t>同一项目按等级高的计分。（</w:t>
            </w:r>
            <w:r>
              <w:rPr>
                <w:rFonts w:hint="eastAsia" w:cs="仿宋"/>
                <w:color w:val="000000"/>
                <w:kern w:val="0"/>
                <w:szCs w:val="21"/>
                <w:highlight w:val="none"/>
                <w:lang w:val="en-US" w:eastAsia="zh-CN"/>
              </w:rPr>
              <w:t>0-4分）</w:t>
            </w:r>
          </w:p>
          <w:p>
            <w:pPr>
              <w:pStyle w:val="3"/>
              <w:ind w:left="0" w:leftChars="0" w:firstLine="0" w:firstLineChars="0"/>
              <w:rPr>
                <w:rFonts w:hint="default" w:ascii="仿宋" w:hAnsi="仿宋" w:eastAsia="仿宋" w:cs="仿宋"/>
                <w:b/>
                <w:bCs/>
                <w:kern w:val="3"/>
                <w:sz w:val="24"/>
                <w:szCs w:val="21"/>
                <w:highlight w:val="none"/>
                <w:lang w:val="en-US" w:eastAsia="zh-CN" w:bidi="ar-SA"/>
              </w:rPr>
            </w:pPr>
            <w:r>
              <w:rPr>
                <w:rFonts w:hint="default" w:ascii="仿宋" w:hAnsi="仿宋" w:eastAsia="仿宋" w:cs="仿宋"/>
                <w:b/>
                <w:bCs/>
                <w:kern w:val="3"/>
                <w:sz w:val="24"/>
                <w:szCs w:val="21"/>
                <w:highlight w:val="none"/>
                <w:lang w:val="en-US" w:eastAsia="zh-CN" w:bidi="ar-SA"/>
              </w:rPr>
              <w:t>上述同类展陈项目（不含临时布展）：指档案馆、科技馆、博物馆、文物馆、展览馆、博览馆、主题馆</w:t>
            </w:r>
            <w:r>
              <w:rPr>
                <w:rFonts w:hint="eastAsia" w:ascii="仿宋" w:hAnsi="仿宋" w:cs="仿宋"/>
                <w:b/>
                <w:bCs/>
                <w:kern w:val="3"/>
                <w:sz w:val="24"/>
                <w:szCs w:val="21"/>
                <w:highlight w:val="none"/>
                <w:lang w:val="en-US" w:eastAsia="zh-CN" w:bidi="ar-SA"/>
              </w:rPr>
              <w:t>布展</w:t>
            </w:r>
            <w:r>
              <w:rPr>
                <w:rFonts w:hint="default" w:ascii="仿宋" w:hAnsi="仿宋" w:eastAsia="仿宋" w:cs="仿宋"/>
                <w:b/>
                <w:bCs/>
                <w:kern w:val="3"/>
                <w:sz w:val="24"/>
                <w:szCs w:val="21"/>
                <w:highlight w:val="none"/>
                <w:lang w:val="en-US" w:eastAsia="zh-CN" w:bidi="ar-SA"/>
              </w:rPr>
              <w:t>（或设计</w:t>
            </w:r>
            <w:r>
              <w:rPr>
                <w:rFonts w:hint="eastAsia" w:ascii="仿宋" w:hAnsi="仿宋" w:cs="仿宋"/>
                <w:b/>
                <w:bCs/>
                <w:kern w:val="3"/>
                <w:sz w:val="24"/>
                <w:szCs w:val="21"/>
                <w:highlight w:val="none"/>
                <w:lang w:val="en-US" w:eastAsia="zh-CN" w:bidi="ar-SA"/>
              </w:rPr>
              <w:t>布展</w:t>
            </w:r>
            <w:r>
              <w:rPr>
                <w:rFonts w:hint="default" w:ascii="仿宋" w:hAnsi="仿宋" w:eastAsia="仿宋" w:cs="仿宋"/>
                <w:b/>
                <w:bCs/>
                <w:kern w:val="3"/>
                <w:sz w:val="24"/>
                <w:szCs w:val="21"/>
                <w:highlight w:val="none"/>
                <w:lang w:val="en-US" w:eastAsia="zh-CN" w:bidi="ar-SA"/>
              </w:rPr>
              <w:t>一体化）的项目。</w:t>
            </w:r>
          </w:p>
          <w:p>
            <w:pPr>
              <w:widowControl/>
              <w:spacing w:beforeLines="0" w:line="360" w:lineRule="auto"/>
              <w:jc w:val="both"/>
              <w:rPr>
                <w:rFonts w:hint="eastAsia" w:cs="仿宋"/>
                <w:szCs w:val="21"/>
                <w:highlight w:val="none"/>
                <w:lang w:eastAsia="zh-CN"/>
              </w:rPr>
            </w:pPr>
            <w:r>
              <w:rPr>
                <w:rFonts w:hint="eastAsia" w:cs="仿宋"/>
                <w:b/>
                <w:bCs/>
                <w:color w:val="000000"/>
                <w:kern w:val="0"/>
                <w:szCs w:val="21"/>
                <w:highlight w:val="none"/>
                <w:lang w:eastAsia="zh-CN"/>
              </w:rPr>
              <w:t>注：</w:t>
            </w:r>
            <w:r>
              <w:rPr>
                <w:rFonts w:hint="eastAsia" w:ascii="仿宋" w:hAnsi="仿宋" w:eastAsia="仿宋" w:cs="仿宋"/>
                <w:b/>
                <w:bCs/>
                <w:szCs w:val="21"/>
                <w:highlight w:val="none"/>
              </w:rPr>
              <w:t>在投标文件中同时提供中标通知书、合同、获奖证明的复印件（三项材料缺一不可），否则不得分。</w:t>
            </w:r>
          </w:p>
        </w:tc>
        <w:tc>
          <w:tcPr>
            <w:tcW w:w="920" w:type="dxa"/>
            <w:vAlign w:val="center"/>
          </w:tcPr>
          <w:p>
            <w:pPr>
              <w:widowControl/>
              <w:spacing w:beforeLines="0" w:line="360" w:lineRule="auto"/>
              <w:jc w:val="center"/>
              <w:rPr>
                <w:rFonts w:hint="eastAsia" w:cs="仿宋"/>
                <w:b w:val="0"/>
                <w:bCs w:val="0"/>
                <w:kern w:val="0"/>
                <w:sz w:val="24"/>
                <w:szCs w:val="24"/>
                <w:lang w:val="en-US" w:eastAsia="zh-CN"/>
              </w:rPr>
            </w:pPr>
            <w:r>
              <w:rPr>
                <w:rFonts w:hint="eastAsia" w:cs="仿宋"/>
                <w:b w:val="0"/>
                <w:bCs w:val="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default" w:cs="仿宋"/>
                <w:b/>
                <w:bCs/>
                <w:kern w:val="0"/>
                <w:sz w:val="24"/>
                <w:szCs w:val="24"/>
                <w:lang w:val="en-US" w:eastAsia="zh-CN"/>
              </w:rPr>
            </w:pPr>
            <w:r>
              <w:rPr>
                <w:rFonts w:hint="eastAsia" w:cs="仿宋"/>
                <w:b/>
                <w:bCs/>
                <w:kern w:val="0"/>
                <w:sz w:val="24"/>
                <w:szCs w:val="24"/>
                <w:lang w:val="en-US" w:eastAsia="zh-CN"/>
              </w:rPr>
              <w:t>4</w:t>
            </w:r>
          </w:p>
        </w:tc>
        <w:tc>
          <w:tcPr>
            <w:tcW w:w="1520" w:type="dxa"/>
            <w:vAlign w:val="center"/>
          </w:tcPr>
          <w:p>
            <w:pPr>
              <w:pStyle w:val="72"/>
              <w:spacing w:after="0" w:line="360" w:lineRule="auto"/>
              <w:ind w:left="0" w:leftChars="0" w:firstLine="0" w:firstLineChars="0"/>
              <w:jc w:val="center"/>
              <w:rPr>
                <w:rFonts w:hint="eastAsia" w:cs="仿宋"/>
                <w:b/>
                <w:bCs/>
                <w:kern w:val="0"/>
                <w:sz w:val="24"/>
                <w:szCs w:val="24"/>
                <w:highlight w:val="none"/>
                <w:lang w:eastAsia="zh-CN"/>
              </w:rPr>
            </w:pPr>
            <w:r>
              <w:rPr>
                <w:rFonts w:hint="eastAsia" w:ascii="宋体" w:eastAsia="仿宋" w:cs="宋体"/>
                <w:color w:val="auto"/>
                <w:kern w:val="3"/>
                <w:sz w:val="24"/>
                <w:szCs w:val="21"/>
                <w:highlight w:val="none"/>
                <w:lang w:val="en-US" w:eastAsia="zh-CN" w:bidi="ar-SA"/>
              </w:rPr>
              <w:t>现场讲</w:t>
            </w:r>
            <w:r>
              <w:rPr>
                <w:rFonts w:hint="eastAsia" w:ascii="宋体" w:hAnsi="宋体" w:eastAsia="仿宋" w:cs="宋体"/>
                <w:color w:val="auto"/>
                <w:kern w:val="3"/>
                <w:sz w:val="24"/>
                <w:szCs w:val="21"/>
                <w:highlight w:val="none"/>
                <w:lang w:val="en-US" w:eastAsia="zh-CN" w:bidi="ar-SA"/>
              </w:rPr>
              <w:t>解（</w:t>
            </w:r>
            <w:r>
              <w:rPr>
                <w:rFonts w:hint="eastAsia" w:ascii="宋体" w:eastAsia="仿宋" w:cs="宋体"/>
                <w:color w:val="auto"/>
                <w:kern w:val="3"/>
                <w:sz w:val="24"/>
                <w:szCs w:val="21"/>
                <w:highlight w:val="none"/>
                <w:lang w:val="en-US" w:eastAsia="zh-CN" w:bidi="ar-SA"/>
              </w:rPr>
              <w:t>视频</w:t>
            </w:r>
            <w:r>
              <w:rPr>
                <w:rFonts w:hint="eastAsia" w:ascii="宋体" w:hAnsi="宋体" w:eastAsia="仿宋" w:cs="宋体"/>
                <w:color w:val="auto"/>
                <w:kern w:val="3"/>
                <w:sz w:val="24"/>
                <w:szCs w:val="21"/>
                <w:highlight w:val="none"/>
                <w:lang w:val="en-US" w:eastAsia="zh-CN" w:bidi="ar-SA"/>
              </w:rPr>
              <w:t>或者PPT演示）</w:t>
            </w:r>
            <w:r>
              <w:rPr>
                <w:rFonts w:hint="eastAsia" w:ascii="宋体" w:hAnsi="宋体" w:eastAsia="仿宋" w:cs="宋体"/>
                <w:b/>
                <w:bCs/>
                <w:color w:val="auto"/>
                <w:kern w:val="3"/>
                <w:sz w:val="24"/>
                <w:szCs w:val="21"/>
                <w:highlight w:val="none"/>
                <w:lang w:val="en-US" w:eastAsia="zh-CN" w:bidi="ar-SA"/>
              </w:rPr>
              <w:t>时间不超过</w:t>
            </w:r>
            <w:r>
              <w:rPr>
                <w:rFonts w:hint="eastAsia" w:ascii="宋体" w:eastAsia="仿宋" w:cs="宋体"/>
                <w:b/>
                <w:bCs/>
                <w:color w:val="auto"/>
                <w:kern w:val="3"/>
                <w:sz w:val="24"/>
                <w:szCs w:val="21"/>
                <w:highlight w:val="none"/>
                <w:lang w:val="en-US" w:eastAsia="zh-CN" w:bidi="ar-SA"/>
              </w:rPr>
              <w:t>20</w:t>
            </w:r>
            <w:r>
              <w:rPr>
                <w:rFonts w:hint="eastAsia" w:ascii="宋体" w:hAnsi="宋体" w:eastAsia="仿宋" w:cs="宋体"/>
                <w:b/>
                <w:bCs/>
                <w:color w:val="auto"/>
                <w:kern w:val="3"/>
                <w:sz w:val="24"/>
                <w:szCs w:val="21"/>
                <w:highlight w:val="none"/>
                <w:lang w:val="en-US" w:eastAsia="zh-CN" w:bidi="ar-SA"/>
              </w:rPr>
              <w:t>分钟</w:t>
            </w:r>
          </w:p>
        </w:tc>
        <w:tc>
          <w:tcPr>
            <w:tcW w:w="6187" w:type="dxa"/>
            <w:vAlign w:val="center"/>
          </w:tcPr>
          <w:p>
            <w:pPr>
              <w:widowControl/>
              <w:spacing w:beforeLines="0" w:line="360" w:lineRule="auto"/>
              <w:jc w:val="both"/>
              <w:rPr>
                <w:rFonts w:hint="eastAsia"/>
                <w:highlight w:val="none"/>
                <w:lang w:val="en-US" w:eastAsia="zh-CN"/>
              </w:rPr>
            </w:pPr>
            <w:r>
              <w:rPr>
                <w:rFonts w:hint="eastAsia"/>
                <w:highlight w:val="none"/>
                <w:lang w:val="en-US" w:eastAsia="zh-CN"/>
              </w:rPr>
              <w:t>供应商根据制作的视频或PPT，对以下内容进行现场讲解，如有必要需对专家提问进行回答，0-14分</w:t>
            </w:r>
          </w:p>
          <w:p>
            <w:pPr>
              <w:widowControl/>
              <w:spacing w:beforeLines="0" w:line="360" w:lineRule="auto"/>
              <w:jc w:val="both"/>
              <w:rPr>
                <w:rFonts w:hint="default"/>
                <w:highlight w:val="none"/>
                <w:lang w:val="en-US" w:eastAsia="zh-CN"/>
              </w:rPr>
            </w:pPr>
            <w:r>
              <w:rPr>
                <w:rFonts w:hint="eastAsia"/>
                <w:highlight w:val="none"/>
                <w:lang w:val="en-US" w:eastAsia="zh-CN"/>
              </w:rPr>
              <w:t>1.投标人阐述对富阳区非物质文化遗产馆布展的理解及总体设计理念（2分）；对展馆的文化价值、展陈设计理念的阐述等进行打分（2分）。</w:t>
            </w:r>
          </w:p>
          <w:p>
            <w:pPr>
              <w:widowControl/>
              <w:spacing w:beforeLines="0" w:line="360" w:lineRule="auto"/>
              <w:jc w:val="both"/>
              <w:rPr>
                <w:rFonts w:hint="eastAsia"/>
                <w:highlight w:val="none"/>
              </w:rPr>
            </w:pPr>
            <w:r>
              <w:rPr>
                <w:rFonts w:hint="eastAsia"/>
                <w:highlight w:val="none"/>
                <w:lang w:val="en-US" w:eastAsia="zh-CN"/>
              </w:rPr>
              <w:t>2.</w:t>
            </w:r>
            <w:r>
              <w:rPr>
                <w:rFonts w:hint="eastAsia"/>
                <w:highlight w:val="none"/>
              </w:rPr>
              <w:t>尊重改造后的建筑风格，利用现有建筑空间，功能分区合理，突出主题，注重空间的科学布局和充分共享</w:t>
            </w:r>
            <w:r>
              <w:rPr>
                <w:rFonts w:hint="eastAsia"/>
                <w:highlight w:val="none"/>
                <w:lang w:eastAsia="zh-CN"/>
              </w:rPr>
              <w:t>（</w:t>
            </w:r>
            <w:r>
              <w:rPr>
                <w:rFonts w:hint="eastAsia"/>
                <w:highlight w:val="none"/>
                <w:lang w:val="en-US" w:eastAsia="zh-CN"/>
              </w:rPr>
              <w:t>2分）；</w:t>
            </w:r>
            <w:r>
              <w:rPr>
                <w:rFonts w:hint="eastAsia"/>
                <w:highlight w:val="none"/>
              </w:rPr>
              <w:t>各展区之间、各展区与公共空间之间过渡自然（</w:t>
            </w:r>
            <w:r>
              <w:rPr>
                <w:rFonts w:hint="eastAsia"/>
                <w:highlight w:val="none"/>
                <w:lang w:val="en-US" w:eastAsia="zh-CN"/>
              </w:rPr>
              <w:t>2</w:t>
            </w:r>
            <w:r>
              <w:rPr>
                <w:rFonts w:hint="eastAsia"/>
                <w:highlight w:val="none"/>
              </w:rPr>
              <w:t>分）。</w:t>
            </w:r>
          </w:p>
          <w:p>
            <w:pPr>
              <w:widowControl/>
              <w:spacing w:beforeLines="0" w:line="360" w:lineRule="auto"/>
              <w:jc w:val="both"/>
              <w:rPr>
                <w:rFonts w:hint="eastAsia"/>
                <w:highlight w:val="none"/>
                <w:lang w:eastAsia="zh-CN"/>
              </w:rPr>
            </w:pPr>
            <w:r>
              <w:rPr>
                <w:rFonts w:hint="eastAsia"/>
                <w:highlight w:val="none"/>
                <w:lang w:val="en-US" w:eastAsia="zh-CN"/>
              </w:rPr>
              <w:t>3.</w:t>
            </w:r>
            <w:r>
              <w:rPr>
                <w:rFonts w:hint="eastAsia"/>
                <w:highlight w:val="none"/>
                <w:lang w:eastAsia="zh-CN"/>
              </w:rPr>
              <w:t>投标人对展馆智能化设计与文化展陈的结合进行</w:t>
            </w:r>
            <w:r>
              <w:rPr>
                <w:rFonts w:hint="eastAsia"/>
                <w:highlight w:val="none"/>
              </w:rPr>
              <w:t>演示，</w:t>
            </w:r>
            <w:r>
              <w:rPr>
                <w:rFonts w:hint="eastAsia"/>
                <w:highlight w:val="none"/>
                <w:lang w:eastAsia="zh-CN"/>
              </w:rPr>
              <w:t>根据</w:t>
            </w:r>
            <w:r>
              <w:rPr>
                <w:rFonts w:hint="eastAsia"/>
                <w:highlight w:val="none"/>
              </w:rPr>
              <w:t>视频制作</w:t>
            </w:r>
            <w:r>
              <w:rPr>
                <w:rFonts w:hint="eastAsia"/>
                <w:highlight w:val="none"/>
                <w:lang w:eastAsia="zh-CN"/>
              </w:rPr>
              <w:t>（或PPT、图片等其他方式）进行打分。（</w:t>
            </w:r>
            <w:r>
              <w:rPr>
                <w:rFonts w:hint="eastAsia"/>
                <w:highlight w:val="none"/>
                <w:lang w:val="en-US" w:eastAsia="zh-CN"/>
              </w:rPr>
              <w:t>0-3分</w:t>
            </w:r>
            <w:r>
              <w:rPr>
                <w:rFonts w:hint="eastAsia"/>
                <w:highlight w:val="none"/>
                <w:lang w:eastAsia="zh-CN"/>
              </w:rPr>
              <w:t>）</w:t>
            </w:r>
          </w:p>
          <w:p>
            <w:pPr>
              <w:widowControl/>
              <w:spacing w:beforeLines="0" w:line="360" w:lineRule="auto"/>
              <w:jc w:val="both"/>
              <w:rPr>
                <w:rFonts w:hint="default"/>
                <w:highlight w:val="none"/>
                <w:lang w:val="en-US" w:eastAsia="zh-CN"/>
              </w:rPr>
            </w:pPr>
            <w:r>
              <w:rPr>
                <w:rFonts w:hint="eastAsia"/>
                <w:highlight w:val="none"/>
                <w:lang w:val="en-US" w:eastAsia="zh-CN"/>
              </w:rPr>
              <w:t>4.</w:t>
            </w:r>
            <w:r>
              <w:rPr>
                <w:rFonts w:hint="default"/>
                <w:highlight w:val="none"/>
                <w:lang w:val="en-US" w:eastAsia="zh-CN"/>
              </w:rPr>
              <w:t>根据投标人提供的演示内容契合</w:t>
            </w:r>
            <w:r>
              <w:rPr>
                <w:rFonts w:hint="eastAsia"/>
                <w:highlight w:val="none"/>
                <w:lang w:val="en-US" w:eastAsia="zh-CN"/>
              </w:rPr>
              <w:t>富阳非遗</w:t>
            </w:r>
            <w:r>
              <w:rPr>
                <w:rFonts w:hint="default"/>
                <w:highlight w:val="none"/>
                <w:lang w:val="en-US" w:eastAsia="zh-CN"/>
              </w:rPr>
              <w:t>文化</w:t>
            </w:r>
            <w:r>
              <w:rPr>
                <w:rFonts w:hint="eastAsia"/>
                <w:highlight w:val="none"/>
                <w:lang w:val="en-US" w:eastAsia="zh-CN"/>
              </w:rPr>
              <w:t>特色</w:t>
            </w:r>
            <w:r>
              <w:rPr>
                <w:rFonts w:hint="default"/>
                <w:highlight w:val="none"/>
                <w:lang w:val="en-US" w:eastAsia="zh-CN"/>
              </w:rPr>
              <w:t>进行打分</w:t>
            </w:r>
            <w:r>
              <w:rPr>
                <w:rFonts w:hint="eastAsia"/>
                <w:highlight w:val="none"/>
                <w:lang w:val="en-US" w:eastAsia="zh-CN"/>
              </w:rPr>
              <w:t>。</w:t>
            </w:r>
            <w:r>
              <w:rPr>
                <w:rFonts w:hint="eastAsia"/>
                <w:highlight w:val="none"/>
              </w:rPr>
              <w:t>（0-</w:t>
            </w:r>
            <w:r>
              <w:rPr>
                <w:rFonts w:hint="eastAsia"/>
                <w:highlight w:val="none"/>
                <w:lang w:val="en-US" w:eastAsia="zh-CN"/>
              </w:rPr>
              <w:t>3</w:t>
            </w:r>
            <w:r>
              <w:rPr>
                <w:rFonts w:hint="eastAsia"/>
                <w:highlight w:val="none"/>
              </w:rPr>
              <w:t>分）</w:t>
            </w:r>
          </w:p>
        </w:tc>
        <w:tc>
          <w:tcPr>
            <w:tcW w:w="920" w:type="dxa"/>
            <w:vAlign w:val="center"/>
          </w:tcPr>
          <w:p>
            <w:pPr>
              <w:widowControl/>
              <w:spacing w:beforeLines="0" w:line="360" w:lineRule="auto"/>
              <w:jc w:val="center"/>
              <w:rPr>
                <w:rFonts w:hint="default" w:cs="仿宋"/>
                <w:b w:val="0"/>
                <w:bCs w:val="0"/>
                <w:kern w:val="0"/>
                <w:sz w:val="24"/>
                <w:szCs w:val="24"/>
                <w:lang w:val="en-US" w:eastAsia="zh-CN"/>
              </w:rPr>
            </w:pPr>
            <w:r>
              <w:rPr>
                <w:rFonts w:hint="eastAsia" w:cs="仿宋"/>
                <w:b w:val="0"/>
                <w:bCs w:val="0"/>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85" w:type="dxa"/>
            <w:vAlign w:val="center"/>
          </w:tcPr>
          <w:p>
            <w:pPr>
              <w:widowControl/>
              <w:spacing w:beforeLines="0" w:line="360" w:lineRule="auto"/>
              <w:jc w:val="center"/>
              <w:rPr>
                <w:rFonts w:hint="default" w:cs="仿宋"/>
                <w:b/>
                <w:bCs/>
                <w:kern w:val="0"/>
                <w:sz w:val="24"/>
                <w:szCs w:val="24"/>
                <w:lang w:val="en-US" w:eastAsia="zh-CN"/>
              </w:rPr>
            </w:pPr>
            <w:r>
              <w:rPr>
                <w:rFonts w:hint="eastAsia" w:cs="仿宋"/>
                <w:b/>
                <w:bCs/>
                <w:kern w:val="0"/>
                <w:sz w:val="24"/>
                <w:szCs w:val="24"/>
                <w:lang w:val="en-US" w:eastAsia="zh-CN"/>
              </w:rPr>
              <w:t>5</w:t>
            </w:r>
          </w:p>
        </w:tc>
        <w:tc>
          <w:tcPr>
            <w:tcW w:w="1520" w:type="dxa"/>
            <w:vAlign w:val="center"/>
          </w:tcPr>
          <w:p>
            <w:pPr>
              <w:pStyle w:val="72"/>
              <w:spacing w:after="0" w:line="360" w:lineRule="auto"/>
              <w:ind w:left="0" w:leftChars="0" w:firstLine="0" w:firstLineChars="0"/>
              <w:jc w:val="center"/>
              <w:rPr>
                <w:rFonts w:hint="eastAsia" w:ascii="宋体" w:hAnsi="宋体" w:eastAsia="仿宋" w:cs="宋体"/>
                <w:color w:val="auto"/>
                <w:kern w:val="3"/>
                <w:sz w:val="24"/>
                <w:szCs w:val="21"/>
                <w:highlight w:val="none"/>
                <w:lang w:val="en-US" w:eastAsia="zh-CN" w:bidi="ar-SA"/>
              </w:rPr>
            </w:pPr>
            <w:r>
              <w:rPr>
                <w:rFonts w:hint="eastAsia" w:ascii="宋体" w:eastAsia="仿宋" w:cs="宋体"/>
                <w:b/>
                <w:bCs/>
                <w:color w:val="auto"/>
                <w:kern w:val="3"/>
                <w:sz w:val="24"/>
                <w:szCs w:val="21"/>
                <w:highlight w:val="none"/>
                <w:lang w:val="en-US" w:eastAsia="zh-CN" w:bidi="ar-SA"/>
              </w:rPr>
              <w:t>产品技术参数响应程度</w:t>
            </w:r>
          </w:p>
        </w:tc>
        <w:tc>
          <w:tcPr>
            <w:tcW w:w="6187" w:type="dxa"/>
            <w:vAlign w:val="center"/>
          </w:tcPr>
          <w:p>
            <w:pPr>
              <w:widowControl/>
              <w:jc w:val="left"/>
              <w:rPr>
                <w:rFonts w:hint="eastAsia" w:ascii="仿宋" w:hAnsi="仿宋" w:eastAsia="仿宋" w:cs="仿宋"/>
                <w:kern w:val="0"/>
                <w:sz w:val="24"/>
                <w:szCs w:val="21"/>
                <w:highlight w:val="none"/>
                <w:lang w:val="en-US" w:eastAsia="zh-CN" w:bidi="ar-SA"/>
              </w:rPr>
            </w:pPr>
            <w:r>
              <w:rPr>
                <w:rFonts w:hint="eastAsia"/>
                <w:highlight w:val="none"/>
              </w:rPr>
              <w:t>产品参数</w:t>
            </w:r>
            <w:r>
              <w:rPr>
                <w:rFonts w:hint="eastAsia"/>
                <w:highlight w:val="none"/>
                <w:lang w:eastAsia="zh-CN"/>
              </w:rPr>
              <w:t>完全符合招标文件要求的得</w:t>
            </w:r>
            <w:r>
              <w:rPr>
                <w:rFonts w:hint="eastAsia"/>
                <w:highlight w:val="none"/>
                <w:lang w:val="en-US" w:eastAsia="zh-CN"/>
              </w:rPr>
              <w:t>5分，每负偏离一项的扣0.5分，扣完成止。（0-5分）</w:t>
            </w:r>
          </w:p>
        </w:tc>
        <w:tc>
          <w:tcPr>
            <w:tcW w:w="920" w:type="dxa"/>
            <w:vAlign w:val="center"/>
          </w:tcPr>
          <w:p>
            <w:pPr>
              <w:widowControl/>
              <w:spacing w:beforeLines="0" w:line="360" w:lineRule="auto"/>
              <w:jc w:val="center"/>
              <w:rPr>
                <w:rFonts w:hint="default" w:cs="仿宋"/>
                <w:b w:val="0"/>
                <w:bCs w:val="0"/>
                <w:kern w:val="0"/>
                <w:sz w:val="24"/>
                <w:szCs w:val="24"/>
                <w:highlight w:val="none"/>
                <w:lang w:val="en-US" w:eastAsia="zh-CN"/>
              </w:rPr>
            </w:pPr>
            <w:r>
              <w:rPr>
                <w:rFonts w:hint="eastAsia" w:cs="仿宋"/>
                <w:b w:val="0"/>
                <w:bCs w:val="0"/>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eastAsia" w:ascii="仿宋" w:hAnsi="仿宋" w:eastAsia="仿宋" w:cs="仿宋"/>
                <w:b/>
                <w:bCs/>
                <w:kern w:val="0"/>
                <w:sz w:val="24"/>
                <w:szCs w:val="24"/>
                <w:lang w:val="en-US" w:eastAsia="zh-CN"/>
              </w:rPr>
            </w:pPr>
            <w:r>
              <w:rPr>
                <w:rFonts w:hint="eastAsia" w:cs="仿宋"/>
                <w:b/>
                <w:bCs/>
                <w:kern w:val="0"/>
                <w:sz w:val="24"/>
                <w:szCs w:val="24"/>
                <w:lang w:val="en-US" w:eastAsia="zh-CN"/>
              </w:rPr>
              <w:t>6</w:t>
            </w:r>
          </w:p>
        </w:tc>
        <w:tc>
          <w:tcPr>
            <w:tcW w:w="1520" w:type="dxa"/>
            <w:vAlign w:val="center"/>
          </w:tcPr>
          <w:p>
            <w:pPr>
              <w:pStyle w:val="49"/>
              <w:spacing w:line="300" w:lineRule="exact"/>
              <w:rPr>
                <w:rFonts w:hint="eastAsia" w:eastAsia="仿宋" w:cs="仿宋"/>
                <w:b/>
                <w:bCs/>
                <w:kern w:val="0"/>
                <w:sz w:val="24"/>
                <w:szCs w:val="24"/>
                <w:lang w:eastAsia="zh-CN"/>
              </w:rPr>
            </w:pPr>
            <w:r>
              <w:rPr>
                <w:rFonts w:hint="eastAsia" w:ascii="仿宋" w:hAnsi="仿宋" w:eastAsia="仿宋" w:cs="仿宋"/>
                <w:b/>
                <w:bCs/>
                <w:kern w:val="0"/>
              </w:rPr>
              <w:t>整体设计方案</w:t>
            </w:r>
            <w:r>
              <w:rPr>
                <w:rFonts w:hint="eastAsia" w:ascii="仿宋" w:hAnsi="仿宋" w:cs="仿宋"/>
                <w:b/>
                <w:bCs/>
                <w:kern w:val="0"/>
                <w:lang w:eastAsia="zh-CN"/>
              </w:rPr>
              <w:t>及设计图纸</w:t>
            </w:r>
          </w:p>
        </w:tc>
        <w:tc>
          <w:tcPr>
            <w:tcW w:w="6187" w:type="dxa"/>
            <w:vAlign w:val="center"/>
          </w:tcPr>
          <w:p>
            <w:pPr>
              <w:pStyle w:val="49"/>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textAlignment w:val="auto"/>
              <w:rPr>
                <w:rFonts w:hint="eastAsia" w:ascii="仿宋" w:hAnsi="仿宋" w:eastAsia="仿宋" w:cs="仿宋"/>
                <w:kern w:val="0"/>
              </w:rPr>
            </w:pPr>
            <w:r>
              <w:rPr>
                <w:rFonts w:hint="eastAsia" w:ascii="仿宋" w:hAnsi="仿宋" w:cs="仿宋"/>
                <w:kern w:val="0"/>
                <w:lang w:val="en-US" w:eastAsia="zh-CN"/>
              </w:rPr>
              <w:t>1.</w:t>
            </w:r>
            <w:r>
              <w:rPr>
                <w:rFonts w:hint="eastAsia" w:ascii="仿宋" w:hAnsi="仿宋" w:eastAsia="仿宋" w:cs="仿宋"/>
                <w:kern w:val="0"/>
              </w:rPr>
              <w:t>有完整方案设计说明及展项设计说明。（0-2分）</w:t>
            </w:r>
          </w:p>
          <w:p>
            <w:pPr>
              <w:pStyle w:val="49"/>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textAlignment w:val="auto"/>
              <w:rPr>
                <w:rFonts w:hint="eastAsia" w:ascii="仿宋" w:hAnsi="仿宋" w:eastAsia="仿宋" w:cs="仿宋"/>
                <w:kern w:val="0"/>
              </w:rPr>
            </w:pPr>
            <w:r>
              <w:rPr>
                <w:rFonts w:hint="eastAsia" w:ascii="仿宋" w:hAnsi="仿宋" w:cs="仿宋"/>
                <w:kern w:val="0"/>
                <w:lang w:val="en-US" w:eastAsia="zh-CN"/>
              </w:rPr>
              <w:t>2.</w:t>
            </w:r>
            <w:r>
              <w:rPr>
                <w:rFonts w:hint="eastAsia" w:ascii="仿宋" w:hAnsi="仿宋" w:eastAsia="仿宋" w:cs="仿宋"/>
                <w:kern w:val="0"/>
              </w:rPr>
              <w:t>施工图深化设计（含布展深化设计、软装深化设计、导视系统深化设计等）。（0-2分）</w:t>
            </w:r>
          </w:p>
          <w:p>
            <w:pPr>
              <w:pStyle w:val="49"/>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textAlignment w:val="auto"/>
              <w:rPr>
                <w:rFonts w:hint="eastAsia" w:cs="仿宋"/>
                <w:b/>
                <w:bCs/>
                <w:szCs w:val="21"/>
                <w:lang w:eastAsia="zh-CN"/>
              </w:rPr>
            </w:pPr>
            <w:r>
              <w:rPr>
                <w:rFonts w:hint="eastAsia" w:ascii="仿宋" w:hAnsi="仿宋" w:cs="仿宋"/>
                <w:kern w:val="0"/>
                <w:lang w:val="en-US" w:eastAsia="zh-CN"/>
              </w:rPr>
              <w:t>3.</w:t>
            </w:r>
            <w:r>
              <w:rPr>
                <w:rFonts w:hint="eastAsia" w:ascii="仿宋" w:hAnsi="仿宋" w:eastAsia="仿宋" w:cs="仿宋"/>
                <w:kern w:val="0"/>
              </w:rPr>
              <w:t>对施工图设计深化，且要求施工图（平面图、立面图、大样图）与效果图保持设计高度一致，建筑与结构的标高尺寸相符。（0-</w:t>
            </w:r>
            <w:r>
              <w:rPr>
                <w:rFonts w:hint="eastAsia" w:ascii="仿宋" w:hAnsi="仿宋" w:cs="仿宋"/>
                <w:kern w:val="0"/>
                <w:lang w:val="en-US" w:eastAsia="zh-CN"/>
              </w:rPr>
              <w:t>2</w:t>
            </w:r>
            <w:r>
              <w:rPr>
                <w:rFonts w:hint="eastAsia" w:ascii="仿宋" w:hAnsi="仿宋" w:eastAsia="仿宋" w:cs="仿宋"/>
                <w:kern w:val="0"/>
              </w:rPr>
              <w:t>分）</w:t>
            </w:r>
          </w:p>
        </w:tc>
        <w:tc>
          <w:tcPr>
            <w:tcW w:w="920" w:type="dxa"/>
            <w:vAlign w:val="center"/>
          </w:tcPr>
          <w:p>
            <w:pPr>
              <w:widowControl/>
              <w:spacing w:beforeLines="0" w:line="360" w:lineRule="auto"/>
              <w:jc w:val="center"/>
              <w:rPr>
                <w:rFonts w:hint="eastAsia" w:ascii="仿宋" w:hAnsi="仿宋" w:eastAsia="仿宋" w:cs="仿宋"/>
                <w:b/>
                <w:bCs/>
                <w:kern w:val="0"/>
                <w:sz w:val="24"/>
                <w:szCs w:val="24"/>
                <w:lang w:val="en-US" w:eastAsia="zh-CN"/>
              </w:rPr>
            </w:pPr>
            <w:r>
              <w:rPr>
                <w:rFonts w:hint="eastAsia" w:cs="仿宋"/>
                <w:b w:val="0"/>
                <w:bCs w:val="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default" w:cs="仿宋"/>
                <w:b/>
                <w:bCs/>
                <w:kern w:val="0"/>
                <w:sz w:val="24"/>
                <w:szCs w:val="24"/>
                <w:lang w:val="en-US" w:eastAsia="zh-CN"/>
              </w:rPr>
            </w:pPr>
            <w:r>
              <w:rPr>
                <w:rFonts w:hint="eastAsia" w:cs="仿宋"/>
                <w:b/>
                <w:bCs/>
                <w:kern w:val="0"/>
                <w:sz w:val="24"/>
                <w:szCs w:val="24"/>
                <w:lang w:val="en-US" w:eastAsia="zh-CN"/>
              </w:rPr>
              <w:t>7</w:t>
            </w:r>
          </w:p>
        </w:tc>
        <w:tc>
          <w:tcPr>
            <w:tcW w:w="1520" w:type="dxa"/>
            <w:vAlign w:val="center"/>
          </w:tcPr>
          <w:p>
            <w:pPr>
              <w:pStyle w:val="49"/>
              <w:spacing w:line="300" w:lineRule="exact"/>
              <w:rPr>
                <w:rFonts w:hint="eastAsia" w:ascii="仿宋" w:hAnsi="仿宋" w:eastAsia="仿宋" w:cs="仿宋"/>
                <w:b/>
                <w:bCs/>
                <w:kern w:val="0"/>
                <w:lang w:eastAsia="zh-CN"/>
              </w:rPr>
            </w:pPr>
            <w:r>
              <w:rPr>
                <w:rFonts w:hint="eastAsia" w:ascii="仿宋" w:hAnsi="仿宋" w:cs="仿宋"/>
                <w:b/>
                <w:bCs/>
                <w:kern w:val="0"/>
                <w:lang w:eastAsia="zh-CN"/>
              </w:rPr>
              <w:t>非遗传承讲习所及临时展厅设计方案</w:t>
            </w:r>
          </w:p>
        </w:tc>
        <w:tc>
          <w:tcPr>
            <w:tcW w:w="6187" w:type="dxa"/>
            <w:vAlign w:val="center"/>
          </w:tcPr>
          <w:p>
            <w:pPr>
              <w:widowControl/>
              <w:numPr>
                <w:ilvl w:val="0"/>
                <w:numId w:val="0"/>
              </w:numPr>
              <w:rPr>
                <w:rFonts w:ascii="仿宋" w:hAnsi="仿宋" w:eastAsia="仿宋" w:cs="仿宋"/>
                <w:kern w:val="0"/>
                <w:szCs w:val="21"/>
              </w:rPr>
            </w:pPr>
            <w:r>
              <w:rPr>
                <w:rFonts w:hint="eastAsia" w:cs="仿宋"/>
                <w:kern w:val="0"/>
                <w:szCs w:val="21"/>
                <w:lang w:val="en-US" w:eastAsia="zh-CN"/>
              </w:rPr>
              <w:t>1.</w:t>
            </w:r>
            <w:r>
              <w:rPr>
                <w:rFonts w:hint="eastAsia" w:ascii="仿宋" w:hAnsi="仿宋" w:eastAsia="仿宋" w:cs="仿宋"/>
                <w:kern w:val="0"/>
                <w:szCs w:val="21"/>
              </w:rPr>
              <w:t>设计内容全面完整，具有系统性、定位准确</w:t>
            </w:r>
            <w:r>
              <w:rPr>
                <w:rFonts w:hint="eastAsia" w:cs="仿宋"/>
                <w:kern w:val="0"/>
                <w:szCs w:val="21"/>
                <w:lang w:eastAsia="zh-CN"/>
              </w:rPr>
              <w:t>。</w:t>
            </w:r>
            <w:r>
              <w:rPr>
                <w:rFonts w:hint="eastAsia" w:ascii="仿宋" w:hAnsi="仿宋" w:eastAsia="仿宋" w:cs="仿宋"/>
                <w:kern w:val="0"/>
                <w:szCs w:val="21"/>
              </w:rPr>
              <w:t>（0-</w:t>
            </w:r>
            <w:r>
              <w:rPr>
                <w:rFonts w:hint="eastAsia" w:cs="仿宋"/>
                <w:kern w:val="0"/>
                <w:szCs w:val="21"/>
                <w:lang w:val="en-US" w:eastAsia="zh-CN"/>
              </w:rPr>
              <w:t>1</w:t>
            </w:r>
            <w:r>
              <w:rPr>
                <w:rFonts w:hint="eastAsia" w:ascii="仿宋" w:hAnsi="仿宋" w:eastAsia="仿宋" w:cs="仿宋"/>
                <w:kern w:val="0"/>
                <w:szCs w:val="21"/>
              </w:rPr>
              <w:t>分）</w:t>
            </w:r>
          </w:p>
          <w:p>
            <w:pPr>
              <w:pStyle w:val="49"/>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textAlignment w:val="auto"/>
              <w:rPr>
                <w:rFonts w:hint="default" w:ascii="仿宋" w:hAnsi="仿宋" w:cs="仿宋"/>
                <w:kern w:val="0"/>
                <w:lang w:val="en-US" w:eastAsia="zh-CN"/>
              </w:rPr>
            </w:pPr>
            <w:r>
              <w:rPr>
                <w:rFonts w:hint="eastAsia" w:cs="仿宋"/>
                <w:kern w:val="0"/>
                <w:szCs w:val="21"/>
                <w:lang w:val="en-US" w:eastAsia="zh-CN"/>
              </w:rPr>
              <w:t>2.</w:t>
            </w:r>
            <w:r>
              <w:rPr>
                <w:rFonts w:hint="eastAsia" w:ascii="仿宋" w:hAnsi="仿宋" w:eastAsia="仿宋" w:cs="仿宋"/>
                <w:kern w:val="0"/>
                <w:szCs w:val="21"/>
              </w:rPr>
              <w:t>主题鲜明，以非遗展示为主线，具有历史性、人文性、时代性，充分体现地域文化特征</w:t>
            </w:r>
            <w:r>
              <w:rPr>
                <w:rFonts w:hint="eastAsia" w:cs="仿宋"/>
                <w:kern w:val="0"/>
                <w:szCs w:val="21"/>
                <w:lang w:eastAsia="zh-CN"/>
              </w:rPr>
              <w:t>，</w:t>
            </w:r>
            <w:r>
              <w:rPr>
                <w:rFonts w:hint="eastAsia" w:ascii="仿宋" w:hAnsi="仿宋" w:cs="仿宋"/>
                <w:kern w:val="0"/>
                <w:sz w:val="24"/>
                <w:szCs w:val="21"/>
                <w:lang w:val="en-US" w:eastAsia="zh-CN" w:bidi="ar-SA"/>
              </w:rPr>
              <w:t>体现文化与空间、科技的结合。</w:t>
            </w:r>
            <w:r>
              <w:rPr>
                <w:rFonts w:hint="eastAsia" w:ascii="仿宋" w:hAnsi="仿宋" w:eastAsia="仿宋" w:cs="仿宋"/>
                <w:kern w:val="0"/>
                <w:szCs w:val="21"/>
              </w:rPr>
              <w:t>（0-</w:t>
            </w:r>
            <w:r>
              <w:rPr>
                <w:rFonts w:hint="eastAsia" w:cs="仿宋"/>
                <w:kern w:val="0"/>
                <w:szCs w:val="21"/>
                <w:lang w:val="en-US" w:eastAsia="zh-CN"/>
              </w:rPr>
              <w:t>1</w:t>
            </w:r>
            <w:r>
              <w:rPr>
                <w:rFonts w:hint="eastAsia" w:ascii="仿宋" w:hAnsi="仿宋" w:eastAsia="仿宋" w:cs="仿宋"/>
                <w:kern w:val="0"/>
                <w:szCs w:val="21"/>
              </w:rPr>
              <w:t>分）</w:t>
            </w:r>
          </w:p>
        </w:tc>
        <w:tc>
          <w:tcPr>
            <w:tcW w:w="920" w:type="dxa"/>
            <w:vAlign w:val="center"/>
          </w:tcPr>
          <w:p>
            <w:pPr>
              <w:widowControl/>
              <w:spacing w:beforeLines="0" w:line="360" w:lineRule="auto"/>
              <w:jc w:val="center"/>
              <w:rPr>
                <w:rFonts w:hint="default" w:cs="仿宋"/>
                <w:b w:val="0"/>
                <w:bCs w:val="0"/>
                <w:kern w:val="0"/>
                <w:sz w:val="24"/>
                <w:szCs w:val="24"/>
                <w:lang w:val="en-US" w:eastAsia="zh-CN"/>
              </w:rPr>
            </w:pPr>
            <w:r>
              <w:rPr>
                <w:rFonts w:hint="eastAsia" w:cs="仿宋"/>
                <w:b w:val="0"/>
                <w:bCs w:val="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default" w:cs="仿宋"/>
                <w:b/>
                <w:bCs/>
                <w:kern w:val="0"/>
                <w:sz w:val="24"/>
                <w:szCs w:val="24"/>
                <w:lang w:val="en-US" w:eastAsia="zh-CN"/>
              </w:rPr>
            </w:pPr>
            <w:r>
              <w:rPr>
                <w:rFonts w:hint="eastAsia" w:cs="仿宋"/>
                <w:b/>
                <w:bCs/>
                <w:kern w:val="0"/>
                <w:sz w:val="24"/>
                <w:szCs w:val="24"/>
                <w:lang w:val="en-US" w:eastAsia="zh-CN"/>
              </w:rPr>
              <w:t>8</w:t>
            </w:r>
          </w:p>
        </w:tc>
        <w:tc>
          <w:tcPr>
            <w:tcW w:w="1520" w:type="dxa"/>
            <w:vAlign w:val="center"/>
          </w:tcPr>
          <w:p>
            <w:pPr>
              <w:pStyle w:val="49"/>
              <w:spacing w:line="300" w:lineRule="exact"/>
              <w:rPr>
                <w:rFonts w:hint="eastAsia" w:ascii="仿宋" w:hAnsi="仿宋" w:cs="仿宋"/>
                <w:b/>
                <w:bCs/>
                <w:kern w:val="0"/>
                <w:lang w:eastAsia="zh-CN"/>
              </w:rPr>
            </w:pPr>
            <w:r>
              <w:rPr>
                <w:rFonts w:hint="eastAsia" w:ascii="仿宋" w:hAnsi="仿宋" w:cs="仿宋"/>
                <w:b/>
                <w:bCs/>
                <w:kern w:val="0"/>
                <w:lang w:eastAsia="zh-CN"/>
              </w:rPr>
              <w:t>非遗陈列区设计方案</w:t>
            </w:r>
          </w:p>
        </w:tc>
        <w:tc>
          <w:tcPr>
            <w:tcW w:w="6187" w:type="dxa"/>
            <w:vAlign w:val="center"/>
          </w:tcPr>
          <w:p>
            <w:pPr>
              <w:widowControl/>
              <w:numPr>
                <w:ilvl w:val="0"/>
                <w:numId w:val="0"/>
              </w:numPr>
              <w:rPr>
                <w:rFonts w:ascii="仿宋" w:hAnsi="仿宋" w:eastAsia="仿宋" w:cs="仿宋"/>
                <w:kern w:val="0"/>
                <w:szCs w:val="21"/>
              </w:rPr>
            </w:pPr>
            <w:r>
              <w:rPr>
                <w:rFonts w:hint="eastAsia" w:cs="仿宋"/>
                <w:kern w:val="0"/>
                <w:szCs w:val="21"/>
                <w:lang w:val="en-US" w:eastAsia="zh-CN"/>
              </w:rPr>
              <w:t>1.</w:t>
            </w:r>
            <w:r>
              <w:rPr>
                <w:rFonts w:hint="eastAsia" w:ascii="仿宋" w:hAnsi="仿宋" w:eastAsia="仿宋" w:cs="仿宋"/>
                <w:kern w:val="0"/>
                <w:szCs w:val="21"/>
              </w:rPr>
              <w:t>设计内容全面完整，具有系统性、定位准确；展陈理念具有创意，构思巧妙，做到内容与形式相统一</w:t>
            </w:r>
            <w:r>
              <w:rPr>
                <w:rFonts w:hint="eastAsia" w:cs="仿宋"/>
                <w:kern w:val="0"/>
                <w:szCs w:val="21"/>
                <w:lang w:eastAsia="zh-CN"/>
              </w:rPr>
              <w:t>。</w:t>
            </w:r>
            <w:r>
              <w:rPr>
                <w:rFonts w:hint="eastAsia" w:ascii="仿宋" w:hAnsi="仿宋" w:eastAsia="仿宋" w:cs="仿宋"/>
                <w:kern w:val="0"/>
                <w:szCs w:val="21"/>
              </w:rPr>
              <w:t>（0-</w:t>
            </w:r>
            <w:r>
              <w:rPr>
                <w:rFonts w:hint="eastAsia" w:cs="仿宋"/>
                <w:kern w:val="0"/>
                <w:szCs w:val="21"/>
                <w:lang w:val="en-US" w:eastAsia="zh-CN"/>
              </w:rPr>
              <w:t>1</w:t>
            </w:r>
            <w:r>
              <w:rPr>
                <w:rFonts w:hint="eastAsia" w:ascii="仿宋" w:hAnsi="仿宋" w:eastAsia="仿宋" w:cs="仿宋"/>
                <w:kern w:val="0"/>
                <w:szCs w:val="21"/>
              </w:rPr>
              <w:t>分）</w:t>
            </w:r>
          </w:p>
          <w:p>
            <w:pPr>
              <w:widowControl/>
              <w:numPr>
                <w:ilvl w:val="0"/>
                <w:numId w:val="0"/>
              </w:numPr>
              <w:rPr>
                <w:rFonts w:hint="eastAsia" w:ascii="仿宋" w:hAnsi="仿宋" w:cs="仿宋"/>
                <w:kern w:val="0"/>
                <w:lang w:val="en-US" w:eastAsia="zh-CN"/>
              </w:rPr>
            </w:pPr>
            <w:r>
              <w:rPr>
                <w:rFonts w:hint="eastAsia" w:cs="仿宋"/>
                <w:kern w:val="0"/>
                <w:szCs w:val="21"/>
                <w:lang w:val="en-US" w:eastAsia="zh-CN"/>
              </w:rPr>
              <w:t>2.</w:t>
            </w:r>
            <w:r>
              <w:rPr>
                <w:rFonts w:hint="eastAsia" w:ascii="仿宋" w:hAnsi="仿宋" w:eastAsia="仿宋" w:cs="仿宋"/>
                <w:kern w:val="0"/>
                <w:szCs w:val="21"/>
              </w:rPr>
              <w:t>主题鲜明，以非遗展示为主线，具有历史性、人文性、时代性，充分体现地域文化特征</w:t>
            </w:r>
            <w:r>
              <w:rPr>
                <w:rFonts w:hint="eastAsia" w:cs="仿宋"/>
                <w:kern w:val="0"/>
                <w:szCs w:val="21"/>
                <w:lang w:eastAsia="zh-CN"/>
              </w:rPr>
              <w:t>，</w:t>
            </w:r>
            <w:r>
              <w:rPr>
                <w:rFonts w:hint="eastAsia" w:ascii="仿宋" w:hAnsi="仿宋" w:cs="仿宋"/>
                <w:kern w:val="0"/>
                <w:sz w:val="24"/>
                <w:szCs w:val="21"/>
                <w:lang w:val="en-US" w:eastAsia="zh-CN" w:bidi="ar-SA"/>
              </w:rPr>
              <w:t>体现文化与空间、科技的结合</w:t>
            </w:r>
            <w:r>
              <w:rPr>
                <w:rFonts w:hint="eastAsia" w:cs="仿宋"/>
                <w:kern w:val="0"/>
                <w:sz w:val="24"/>
                <w:szCs w:val="21"/>
                <w:lang w:val="en-US" w:eastAsia="zh-CN" w:bidi="ar-SA"/>
              </w:rPr>
              <w:t>。</w:t>
            </w:r>
            <w:r>
              <w:rPr>
                <w:rFonts w:hint="eastAsia" w:ascii="仿宋" w:hAnsi="仿宋" w:eastAsia="仿宋" w:cs="仿宋"/>
                <w:kern w:val="0"/>
                <w:szCs w:val="21"/>
              </w:rPr>
              <w:t>（0-</w:t>
            </w:r>
            <w:r>
              <w:rPr>
                <w:rFonts w:hint="eastAsia" w:cs="仿宋"/>
                <w:kern w:val="0"/>
                <w:szCs w:val="21"/>
                <w:lang w:val="en-US" w:eastAsia="zh-CN"/>
              </w:rPr>
              <w:t>1</w:t>
            </w:r>
            <w:r>
              <w:rPr>
                <w:rFonts w:hint="eastAsia" w:ascii="仿宋" w:hAnsi="仿宋" w:eastAsia="仿宋" w:cs="仿宋"/>
                <w:kern w:val="0"/>
                <w:szCs w:val="21"/>
              </w:rPr>
              <w:t>分）</w:t>
            </w:r>
          </w:p>
        </w:tc>
        <w:tc>
          <w:tcPr>
            <w:tcW w:w="920" w:type="dxa"/>
            <w:vAlign w:val="center"/>
          </w:tcPr>
          <w:p>
            <w:pPr>
              <w:widowControl/>
              <w:spacing w:beforeLines="0" w:line="360" w:lineRule="auto"/>
              <w:jc w:val="center"/>
              <w:rPr>
                <w:rFonts w:hint="default" w:cs="仿宋"/>
                <w:b w:val="0"/>
                <w:bCs w:val="0"/>
                <w:kern w:val="0"/>
                <w:sz w:val="24"/>
                <w:szCs w:val="24"/>
                <w:lang w:val="en-US" w:eastAsia="zh-CN"/>
              </w:rPr>
            </w:pPr>
            <w:r>
              <w:rPr>
                <w:rFonts w:hint="eastAsia" w:cs="仿宋"/>
                <w:b w:val="0"/>
                <w:bCs w:val="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default" w:cs="仿宋"/>
                <w:b/>
                <w:bCs/>
                <w:kern w:val="0"/>
                <w:sz w:val="24"/>
                <w:szCs w:val="24"/>
                <w:lang w:val="en-US" w:eastAsia="zh-CN"/>
              </w:rPr>
            </w:pPr>
            <w:r>
              <w:rPr>
                <w:rFonts w:hint="eastAsia" w:cs="仿宋"/>
                <w:b/>
                <w:bCs/>
                <w:kern w:val="0"/>
                <w:sz w:val="24"/>
                <w:szCs w:val="24"/>
                <w:lang w:val="en-US" w:eastAsia="zh-CN"/>
              </w:rPr>
              <w:t>9</w:t>
            </w:r>
          </w:p>
        </w:tc>
        <w:tc>
          <w:tcPr>
            <w:tcW w:w="1520" w:type="dxa"/>
            <w:vAlign w:val="center"/>
          </w:tcPr>
          <w:p>
            <w:pPr>
              <w:pStyle w:val="49"/>
              <w:spacing w:line="300" w:lineRule="exact"/>
              <w:rPr>
                <w:rFonts w:hint="eastAsia" w:ascii="仿宋" w:hAnsi="仿宋" w:cs="仿宋"/>
                <w:b/>
                <w:bCs/>
                <w:kern w:val="0"/>
                <w:lang w:eastAsia="zh-CN"/>
              </w:rPr>
            </w:pPr>
            <w:r>
              <w:rPr>
                <w:rFonts w:hint="eastAsia" w:ascii="仿宋" w:hAnsi="仿宋" w:cs="仿宋"/>
                <w:b/>
                <w:bCs/>
                <w:kern w:val="0"/>
                <w:lang w:eastAsia="zh-CN"/>
              </w:rPr>
              <w:t>场景复原</w:t>
            </w:r>
          </w:p>
        </w:tc>
        <w:tc>
          <w:tcPr>
            <w:tcW w:w="6187" w:type="dxa"/>
            <w:vAlign w:val="center"/>
          </w:tcPr>
          <w:p>
            <w:pPr>
              <w:pStyle w:val="49"/>
              <w:keepNext w:val="0"/>
              <w:keepLines w:val="0"/>
              <w:pageBreakBefore w:val="0"/>
              <w:widowControl w:val="0"/>
              <w:numPr>
                <w:ilvl w:val="0"/>
                <w:numId w:val="0"/>
              </w:numPr>
              <w:kinsoku/>
              <w:wordWrap/>
              <w:overflowPunct/>
              <w:topLinePunct w:val="0"/>
              <w:autoSpaceDE/>
              <w:autoSpaceDN/>
              <w:bidi w:val="0"/>
              <w:adjustRightInd/>
              <w:snapToGrid/>
              <w:spacing w:beforeLines="0" w:afterLines="0" w:line="460" w:lineRule="exact"/>
              <w:textAlignment w:val="auto"/>
              <w:rPr>
                <w:rFonts w:hint="eastAsia"/>
                <w:lang w:val="en-US" w:eastAsia="zh-CN"/>
              </w:rPr>
            </w:pPr>
            <w:r>
              <w:rPr>
                <w:rFonts w:hint="eastAsia"/>
                <w:lang w:val="en-US" w:eastAsia="zh-CN"/>
              </w:rPr>
              <w:t>根据各个场景复原的内容、效果图与富阳非遗文化特点的结合进行打分。</w:t>
            </w:r>
          </w:p>
          <w:p>
            <w:pPr>
              <w:numPr>
                <w:ilvl w:val="0"/>
                <w:numId w:val="0"/>
              </w:numPr>
              <w:rPr>
                <w:rFonts w:hint="eastAsia"/>
                <w:lang w:val="en-US" w:eastAsia="zh-CN"/>
              </w:rPr>
            </w:pPr>
            <w:r>
              <w:rPr>
                <w:rFonts w:hint="eastAsia"/>
                <w:lang w:val="en-US" w:eastAsia="zh-CN"/>
              </w:rPr>
              <w:t>1.春江茶馆场景复原；（0-1.5分）</w:t>
            </w:r>
          </w:p>
          <w:p>
            <w:pPr>
              <w:numPr>
                <w:ilvl w:val="0"/>
                <w:numId w:val="0"/>
              </w:numPr>
              <w:rPr>
                <w:rFonts w:hint="default"/>
                <w:lang w:val="en-US" w:eastAsia="zh-CN"/>
              </w:rPr>
            </w:pPr>
            <w:r>
              <w:rPr>
                <w:rFonts w:hint="eastAsia"/>
                <w:lang w:val="en-US" w:eastAsia="zh-CN"/>
              </w:rPr>
              <w:t>2.张氏骨伤疗法场景复原；（0-1.5分）</w:t>
            </w:r>
          </w:p>
          <w:p>
            <w:pPr>
              <w:numPr>
                <w:ilvl w:val="0"/>
                <w:numId w:val="0"/>
              </w:numPr>
              <w:rPr>
                <w:rFonts w:hint="eastAsia"/>
                <w:lang w:val="en-US" w:eastAsia="zh-CN"/>
              </w:rPr>
            </w:pPr>
            <w:r>
              <w:rPr>
                <w:rFonts w:hint="eastAsia"/>
                <w:lang w:val="en-US" w:eastAsia="zh-CN"/>
              </w:rPr>
              <w:t>3.豆腐皮制作技艺场景房屋塑形；（0-1.5分）</w:t>
            </w:r>
          </w:p>
          <w:p>
            <w:pPr>
              <w:numPr>
                <w:ilvl w:val="0"/>
                <w:numId w:val="0"/>
              </w:numPr>
              <w:rPr>
                <w:rFonts w:hint="default"/>
                <w:lang w:val="en-US" w:eastAsia="zh-CN"/>
              </w:rPr>
            </w:pPr>
            <w:r>
              <w:rPr>
                <w:rFonts w:hint="eastAsia"/>
                <w:lang w:val="en-US" w:eastAsia="zh-CN"/>
              </w:rPr>
              <w:t>4.常绿纸伞场景房屋塑形；（0-1.5分）</w:t>
            </w:r>
          </w:p>
        </w:tc>
        <w:tc>
          <w:tcPr>
            <w:tcW w:w="920" w:type="dxa"/>
            <w:vAlign w:val="center"/>
          </w:tcPr>
          <w:p>
            <w:pPr>
              <w:widowControl/>
              <w:spacing w:beforeLines="0" w:line="360" w:lineRule="auto"/>
              <w:jc w:val="center"/>
              <w:rPr>
                <w:rFonts w:hint="default" w:cs="仿宋"/>
                <w:b w:val="0"/>
                <w:bCs w:val="0"/>
                <w:kern w:val="0"/>
                <w:sz w:val="24"/>
                <w:szCs w:val="24"/>
                <w:lang w:val="en-US" w:eastAsia="zh-CN"/>
              </w:rPr>
            </w:pPr>
            <w:r>
              <w:rPr>
                <w:rFonts w:hint="eastAsia" w:cs="仿宋"/>
                <w:b w:val="0"/>
                <w:bCs w:val="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default" w:cs="仿宋"/>
                <w:b/>
                <w:bCs/>
                <w:kern w:val="0"/>
                <w:sz w:val="24"/>
                <w:szCs w:val="24"/>
                <w:lang w:val="en-US" w:eastAsia="zh-CN"/>
              </w:rPr>
            </w:pPr>
            <w:r>
              <w:rPr>
                <w:rFonts w:hint="eastAsia" w:cs="仿宋"/>
                <w:b/>
                <w:bCs/>
                <w:kern w:val="0"/>
                <w:sz w:val="24"/>
                <w:szCs w:val="24"/>
                <w:lang w:val="en-US" w:eastAsia="zh-CN"/>
              </w:rPr>
              <w:t>10</w:t>
            </w:r>
          </w:p>
        </w:tc>
        <w:tc>
          <w:tcPr>
            <w:tcW w:w="1520" w:type="dxa"/>
            <w:vAlign w:val="center"/>
          </w:tcPr>
          <w:p>
            <w:pPr>
              <w:pStyle w:val="49"/>
              <w:spacing w:line="300" w:lineRule="exact"/>
              <w:rPr>
                <w:rFonts w:hint="eastAsia" w:ascii="仿宋" w:hAnsi="仿宋" w:eastAsia="仿宋" w:cs="仿宋"/>
                <w:kern w:val="3"/>
                <w:sz w:val="24"/>
                <w:szCs w:val="24"/>
                <w:lang w:val="en-US" w:eastAsia="zh-CN" w:bidi="ar-SA"/>
              </w:rPr>
            </w:pPr>
            <w:r>
              <w:rPr>
                <w:rFonts w:hint="eastAsia" w:ascii="仿宋" w:hAnsi="仿宋" w:eastAsia="仿宋" w:cs="仿宋"/>
                <w:b/>
                <w:bCs/>
                <w:kern w:val="3"/>
                <w:sz w:val="24"/>
                <w:szCs w:val="24"/>
                <w:lang w:val="en-US" w:eastAsia="zh-CN" w:bidi="ar-SA"/>
              </w:rPr>
              <w:t>展柜器物陈列设计</w:t>
            </w:r>
          </w:p>
        </w:tc>
        <w:tc>
          <w:tcPr>
            <w:tcW w:w="6187" w:type="dxa"/>
            <w:vAlign w:val="center"/>
          </w:tcPr>
          <w:p>
            <w:pPr>
              <w:numPr>
                <w:ilvl w:val="0"/>
                <w:numId w:val="0"/>
              </w:numPr>
              <w:rPr>
                <w:rFonts w:hint="eastAsia" w:ascii="仿宋" w:hAnsi="仿宋" w:eastAsia="仿宋" w:cs="仿宋"/>
                <w:kern w:val="3"/>
                <w:sz w:val="24"/>
                <w:szCs w:val="24"/>
                <w:lang w:val="en-US" w:eastAsia="zh-CN" w:bidi="ar-SA"/>
              </w:rPr>
            </w:pPr>
            <w:r>
              <w:rPr>
                <w:rFonts w:hint="eastAsia" w:ascii="仿宋" w:hAnsi="仿宋" w:eastAsia="仿宋" w:cs="仿宋"/>
                <w:kern w:val="3"/>
                <w:sz w:val="24"/>
                <w:szCs w:val="24"/>
                <w:lang w:val="en-US" w:eastAsia="zh-CN" w:bidi="ar-SA"/>
              </w:rPr>
              <w:t>对定制展柜的设计方案及器物陈列的效果图进行打分</w:t>
            </w:r>
            <w:r>
              <w:rPr>
                <w:rFonts w:hint="eastAsia" w:cs="仿宋"/>
                <w:kern w:val="3"/>
                <w:sz w:val="24"/>
                <w:szCs w:val="24"/>
                <w:lang w:val="en-US" w:eastAsia="zh-CN" w:bidi="ar-SA"/>
              </w:rPr>
              <w:t>：</w:t>
            </w:r>
          </w:p>
          <w:p>
            <w:pPr>
              <w:pStyle w:val="2"/>
              <w:rPr>
                <w:rFonts w:hint="default" w:ascii="仿宋" w:hAnsi="仿宋" w:eastAsia="仿宋" w:cs="仿宋"/>
                <w:kern w:val="3"/>
                <w:sz w:val="24"/>
                <w:szCs w:val="24"/>
                <w:lang w:val="en-US" w:eastAsia="zh-CN" w:bidi="ar-SA"/>
              </w:rPr>
            </w:pPr>
            <w:r>
              <w:rPr>
                <w:rFonts w:hint="eastAsia" w:ascii="仿宋" w:hAnsi="仿宋" w:eastAsia="仿宋" w:cs="仿宋"/>
                <w:kern w:val="3"/>
                <w:sz w:val="24"/>
                <w:szCs w:val="24"/>
                <w:lang w:val="en-US" w:eastAsia="zh-CN" w:bidi="ar-SA"/>
              </w:rPr>
              <w:t>1.展柜的设计方案与非遗特色的有效结合</w:t>
            </w:r>
            <w:r>
              <w:rPr>
                <w:rFonts w:hint="eastAsia" w:cs="仿宋"/>
                <w:kern w:val="3"/>
                <w:sz w:val="24"/>
                <w:szCs w:val="24"/>
                <w:lang w:val="en-US" w:eastAsia="zh-CN" w:bidi="ar-SA"/>
              </w:rPr>
              <w:t>；（</w:t>
            </w:r>
            <w:r>
              <w:rPr>
                <w:rFonts w:hint="eastAsia" w:ascii="仿宋" w:hAnsi="仿宋" w:eastAsia="仿宋" w:cs="仿宋"/>
                <w:kern w:val="3"/>
                <w:sz w:val="24"/>
                <w:szCs w:val="24"/>
                <w:lang w:val="en-US" w:eastAsia="zh-CN" w:bidi="ar-SA"/>
              </w:rPr>
              <w:t>0-2分</w:t>
            </w:r>
            <w:r>
              <w:rPr>
                <w:rFonts w:hint="eastAsia" w:cs="仿宋"/>
                <w:kern w:val="3"/>
                <w:sz w:val="24"/>
                <w:szCs w:val="24"/>
                <w:lang w:val="en-US" w:eastAsia="zh-CN" w:bidi="ar-SA"/>
              </w:rPr>
              <w:t>）</w:t>
            </w:r>
          </w:p>
          <w:p>
            <w:pPr>
              <w:pStyle w:val="3"/>
              <w:ind w:left="0" w:leftChars="0" w:firstLine="0" w:firstLineChars="0"/>
              <w:rPr>
                <w:rFonts w:hint="default" w:ascii="仿宋" w:hAnsi="仿宋" w:eastAsia="仿宋" w:cs="仿宋"/>
                <w:kern w:val="3"/>
                <w:sz w:val="24"/>
                <w:szCs w:val="24"/>
                <w:lang w:val="en-US" w:eastAsia="zh-CN" w:bidi="ar-SA"/>
              </w:rPr>
            </w:pPr>
            <w:r>
              <w:rPr>
                <w:rFonts w:hint="eastAsia" w:ascii="仿宋" w:hAnsi="仿宋" w:eastAsia="仿宋" w:cs="仿宋"/>
                <w:kern w:val="3"/>
                <w:sz w:val="24"/>
                <w:szCs w:val="24"/>
                <w:lang w:val="en-US" w:eastAsia="zh-CN" w:bidi="ar-SA"/>
              </w:rPr>
              <w:t>2.器物陈列与富阳非遗项目特色的有效结合</w:t>
            </w:r>
            <w:r>
              <w:rPr>
                <w:rFonts w:hint="eastAsia" w:ascii="仿宋" w:hAnsi="仿宋" w:cs="仿宋"/>
                <w:kern w:val="3"/>
                <w:sz w:val="24"/>
                <w:szCs w:val="24"/>
                <w:lang w:val="en-US" w:eastAsia="zh-CN" w:bidi="ar-SA"/>
              </w:rPr>
              <w:t>；（</w:t>
            </w:r>
            <w:r>
              <w:rPr>
                <w:rFonts w:hint="eastAsia" w:ascii="仿宋" w:hAnsi="仿宋" w:eastAsia="仿宋" w:cs="仿宋"/>
                <w:kern w:val="3"/>
                <w:sz w:val="24"/>
                <w:szCs w:val="24"/>
                <w:lang w:val="en-US" w:eastAsia="zh-CN" w:bidi="ar-SA"/>
              </w:rPr>
              <w:t>0-2分</w:t>
            </w:r>
            <w:r>
              <w:rPr>
                <w:rFonts w:hint="eastAsia" w:ascii="仿宋" w:hAnsi="仿宋" w:cs="仿宋"/>
                <w:kern w:val="3"/>
                <w:sz w:val="24"/>
                <w:szCs w:val="24"/>
                <w:lang w:val="en-US" w:eastAsia="zh-CN" w:bidi="ar-SA"/>
              </w:rPr>
              <w:t>）</w:t>
            </w:r>
          </w:p>
        </w:tc>
        <w:tc>
          <w:tcPr>
            <w:tcW w:w="920" w:type="dxa"/>
            <w:vAlign w:val="center"/>
          </w:tcPr>
          <w:p>
            <w:pPr>
              <w:widowControl/>
              <w:spacing w:beforeLines="0" w:line="360" w:lineRule="auto"/>
              <w:jc w:val="center"/>
              <w:rPr>
                <w:rFonts w:hint="default" w:cs="仿宋"/>
                <w:b w:val="0"/>
                <w:bCs w:val="0"/>
                <w:kern w:val="0"/>
                <w:sz w:val="24"/>
                <w:szCs w:val="24"/>
                <w:lang w:val="en-US" w:eastAsia="zh-CN"/>
              </w:rPr>
            </w:pPr>
            <w:r>
              <w:rPr>
                <w:rFonts w:hint="eastAsia" w:cs="仿宋"/>
                <w:b w:val="0"/>
                <w:bCs w:val="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pPr>
              <w:widowControl/>
              <w:spacing w:beforeLines="0" w:line="360" w:lineRule="auto"/>
              <w:jc w:val="center"/>
              <w:rPr>
                <w:rFonts w:hint="default" w:ascii="仿宋" w:hAnsi="仿宋" w:eastAsia="仿宋" w:cs="仿宋"/>
                <w:b/>
                <w:bCs/>
                <w:kern w:val="0"/>
                <w:sz w:val="24"/>
                <w:szCs w:val="24"/>
                <w:lang w:val="en-US" w:eastAsia="zh-CN"/>
              </w:rPr>
            </w:pPr>
            <w:r>
              <w:rPr>
                <w:rFonts w:hint="eastAsia" w:cs="仿宋"/>
                <w:b/>
                <w:bCs/>
                <w:kern w:val="0"/>
                <w:sz w:val="24"/>
                <w:szCs w:val="24"/>
                <w:lang w:val="en-US" w:eastAsia="zh-CN"/>
              </w:rPr>
              <w:t>11</w:t>
            </w:r>
          </w:p>
        </w:tc>
        <w:tc>
          <w:tcPr>
            <w:tcW w:w="1520" w:type="dxa"/>
            <w:vAlign w:val="center"/>
          </w:tcPr>
          <w:p>
            <w:pPr>
              <w:widowControl/>
              <w:rPr>
                <w:rFonts w:hint="eastAsia" w:cs="仿宋"/>
                <w:b/>
                <w:bCs/>
                <w:kern w:val="0"/>
                <w:sz w:val="24"/>
                <w:szCs w:val="24"/>
                <w:lang w:eastAsia="zh-CN"/>
              </w:rPr>
            </w:pPr>
            <w:r>
              <w:rPr>
                <w:rFonts w:hint="eastAsia" w:ascii="仿宋" w:hAnsi="仿宋" w:eastAsia="仿宋" w:cs="仿宋"/>
                <w:b/>
                <w:bCs/>
                <w:kern w:val="0"/>
                <w:szCs w:val="21"/>
              </w:rPr>
              <w:t>展陈方法和手段</w:t>
            </w:r>
          </w:p>
        </w:tc>
        <w:tc>
          <w:tcPr>
            <w:tcW w:w="6187" w:type="dxa"/>
            <w:vAlign w:val="center"/>
          </w:tcPr>
          <w:p>
            <w:pPr>
              <w:widowControl/>
              <w:numPr>
                <w:ilvl w:val="0"/>
                <w:numId w:val="0"/>
              </w:numPr>
              <w:rPr>
                <w:rFonts w:hint="eastAsia" w:ascii="仿宋" w:hAnsi="仿宋" w:eastAsia="仿宋" w:cs="仿宋"/>
                <w:kern w:val="0"/>
                <w:szCs w:val="21"/>
              </w:rPr>
            </w:pPr>
            <w:r>
              <w:rPr>
                <w:rFonts w:hint="eastAsia" w:cs="仿宋"/>
                <w:kern w:val="0"/>
                <w:szCs w:val="21"/>
                <w:lang w:val="en-US" w:eastAsia="zh-CN"/>
              </w:rPr>
              <w:t>1.</w:t>
            </w:r>
            <w:r>
              <w:rPr>
                <w:rFonts w:hint="eastAsia" w:ascii="仿宋" w:hAnsi="仿宋" w:eastAsia="仿宋" w:cs="仿宋"/>
                <w:kern w:val="0"/>
                <w:szCs w:val="21"/>
              </w:rPr>
              <w:t>策展理念新颖，具有首创性、独特性，并具有富阳地方特色；设计风格具有统一性、艺术性、创新性</w:t>
            </w:r>
            <w:r>
              <w:rPr>
                <w:rFonts w:hint="eastAsia" w:cs="仿宋"/>
                <w:kern w:val="0"/>
                <w:szCs w:val="21"/>
                <w:lang w:eastAsia="zh-CN"/>
              </w:rPr>
              <w:t>；</w:t>
            </w:r>
            <w:r>
              <w:rPr>
                <w:rFonts w:hint="eastAsia" w:ascii="仿宋" w:hAnsi="仿宋" w:eastAsia="仿宋" w:cs="仿宋"/>
                <w:kern w:val="0"/>
                <w:szCs w:val="21"/>
              </w:rPr>
              <w:t>（0-2分）</w:t>
            </w:r>
          </w:p>
          <w:p>
            <w:pPr>
              <w:widowControl/>
              <w:numPr>
                <w:ilvl w:val="0"/>
                <w:numId w:val="0"/>
              </w:numPr>
              <w:rPr>
                <w:rFonts w:hint="eastAsia" w:ascii="仿宋" w:hAnsi="仿宋" w:eastAsia="仿宋" w:cs="仿宋"/>
                <w:kern w:val="0"/>
                <w:szCs w:val="21"/>
              </w:rPr>
            </w:pPr>
            <w:r>
              <w:rPr>
                <w:rFonts w:hint="eastAsia" w:cs="仿宋"/>
                <w:kern w:val="0"/>
                <w:szCs w:val="21"/>
                <w:lang w:val="en-US" w:eastAsia="zh-CN"/>
              </w:rPr>
              <w:t>2.</w:t>
            </w:r>
            <w:r>
              <w:rPr>
                <w:rFonts w:hint="eastAsia" w:ascii="仿宋" w:hAnsi="仿宋" w:eastAsia="仿宋" w:cs="仿宋"/>
                <w:kern w:val="0"/>
                <w:szCs w:val="21"/>
              </w:rPr>
              <w:t>设计布展思路，注重新技术、新材料、新手段的运用</w:t>
            </w:r>
            <w:r>
              <w:rPr>
                <w:rFonts w:hint="eastAsia" w:cs="仿宋"/>
                <w:kern w:val="0"/>
                <w:szCs w:val="21"/>
                <w:lang w:eastAsia="zh-CN"/>
              </w:rPr>
              <w:t>；</w:t>
            </w:r>
            <w:r>
              <w:rPr>
                <w:rFonts w:hint="eastAsia" w:ascii="仿宋" w:hAnsi="仿宋" w:eastAsia="仿宋" w:cs="仿宋"/>
                <w:kern w:val="0"/>
                <w:szCs w:val="21"/>
              </w:rPr>
              <w:t>（0-2分）</w:t>
            </w:r>
          </w:p>
          <w:p>
            <w:pPr>
              <w:widowControl/>
              <w:numPr>
                <w:ilvl w:val="0"/>
                <w:numId w:val="0"/>
              </w:numPr>
              <w:rPr>
                <w:rFonts w:hint="eastAsia" w:ascii="仿宋" w:hAnsi="仿宋" w:eastAsia="仿宋" w:cs="仿宋"/>
                <w:color w:val="auto"/>
                <w:sz w:val="24"/>
                <w:szCs w:val="24"/>
                <w:highlight w:val="none"/>
              </w:rPr>
            </w:pPr>
            <w:r>
              <w:rPr>
                <w:rFonts w:hint="eastAsia" w:ascii="仿宋" w:hAnsi="仿宋" w:eastAsia="仿宋" w:cs="仿宋"/>
                <w:kern w:val="0"/>
                <w:szCs w:val="21"/>
                <w:lang w:val="en-US"/>
              </w:rPr>
              <w:t>3</w:t>
            </w:r>
            <w:r>
              <w:rPr>
                <w:rFonts w:hint="eastAsia" w:cs="仿宋"/>
                <w:kern w:val="0"/>
                <w:szCs w:val="21"/>
                <w:lang w:val="en-US" w:eastAsia="zh-CN"/>
              </w:rPr>
              <w:t>.</w:t>
            </w:r>
            <w:r>
              <w:rPr>
                <w:rFonts w:hint="eastAsia" w:ascii="仿宋" w:hAnsi="仿宋" w:eastAsia="仿宋" w:cs="仿宋"/>
                <w:kern w:val="0"/>
                <w:szCs w:val="21"/>
                <w:lang w:val="en-US"/>
              </w:rPr>
              <w:t>展示手段多样化，达到融知识性、趣味性、互动性、体验性及故事性于一体。（0-2分）</w:t>
            </w:r>
          </w:p>
        </w:tc>
        <w:tc>
          <w:tcPr>
            <w:tcW w:w="920" w:type="dxa"/>
            <w:vAlign w:val="center"/>
          </w:tcPr>
          <w:p>
            <w:pPr>
              <w:widowControl/>
              <w:spacing w:beforeLines="0" w:line="360" w:lineRule="auto"/>
              <w:jc w:val="center"/>
              <w:rPr>
                <w:rFonts w:hint="eastAsia"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widowControl/>
              <w:spacing w:beforeLines="0" w:line="360" w:lineRule="auto"/>
              <w:jc w:val="center"/>
              <w:rPr>
                <w:rFonts w:hint="default" w:ascii="仿宋" w:hAnsi="仿宋" w:eastAsia="仿宋" w:cs="仿宋"/>
                <w:b/>
                <w:bCs/>
                <w:kern w:val="0"/>
                <w:sz w:val="24"/>
                <w:szCs w:val="24"/>
                <w:lang w:val="en-US" w:eastAsia="zh-CN"/>
              </w:rPr>
            </w:pPr>
            <w:r>
              <w:rPr>
                <w:rFonts w:hint="eastAsia" w:cs="仿宋"/>
                <w:b/>
                <w:bCs/>
                <w:kern w:val="0"/>
                <w:sz w:val="24"/>
                <w:szCs w:val="24"/>
                <w:lang w:val="en-US" w:eastAsia="zh-CN"/>
              </w:rPr>
              <w:t>12</w:t>
            </w:r>
          </w:p>
        </w:tc>
        <w:tc>
          <w:tcPr>
            <w:tcW w:w="1520" w:type="dxa"/>
            <w:vAlign w:val="center"/>
          </w:tcPr>
          <w:p>
            <w:pPr>
              <w:widowControl/>
              <w:spacing w:beforeLines="0" w:line="360" w:lineRule="auto"/>
              <w:jc w:val="left"/>
              <w:rPr>
                <w:rFonts w:hint="eastAsia" w:cs="仿宋"/>
                <w:b/>
                <w:bCs/>
                <w:kern w:val="0"/>
                <w:sz w:val="24"/>
                <w:szCs w:val="24"/>
                <w:lang w:eastAsia="zh-CN"/>
              </w:rPr>
            </w:pPr>
            <w:r>
              <w:rPr>
                <w:rFonts w:hint="eastAsia" w:ascii="仿宋" w:hAnsi="仿宋" w:eastAsia="仿宋" w:cs="仿宋"/>
                <w:b/>
                <w:bCs/>
                <w:kern w:val="0"/>
              </w:rPr>
              <w:t>整体施工组织技术及措施方案</w:t>
            </w:r>
          </w:p>
        </w:tc>
        <w:tc>
          <w:tcPr>
            <w:tcW w:w="6187" w:type="dxa"/>
          </w:tcPr>
          <w:p>
            <w:pPr>
              <w:pStyle w:val="49"/>
              <w:spacing w:line="300" w:lineRule="exact"/>
              <w:rPr>
                <w:rFonts w:ascii="仿宋" w:hAnsi="仿宋" w:eastAsia="仿宋" w:cs="仿宋"/>
                <w:kern w:val="0"/>
              </w:rPr>
            </w:pPr>
            <w:r>
              <w:rPr>
                <w:rFonts w:hint="eastAsia" w:ascii="仿宋" w:hAnsi="仿宋" w:eastAsia="仿宋" w:cs="仿宋"/>
                <w:kern w:val="0"/>
              </w:rPr>
              <w:t>1</w:t>
            </w:r>
            <w:r>
              <w:rPr>
                <w:rFonts w:hint="eastAsia" w:ascii="仿宋" w:hAnsi="仿宋" w:cs="仿宋"/>
                <w:kern w:val="0"/>
                <w:lang w:eastAsia="zh-CN"/>
              </w:rPr>
              <w:t>.</w:t>
            </w:r>
            <w:r>
              <w:rPr>
                <w:rFonts w:hint="eastAsia" w:ascii="仿宋" w:hAnsi="仿宋" w:eastAsia="仿宋" w:cs="仿宋"/>
                <w:kern w:val="0"/>
              </w:rPr>
              <w:t>施工进度计划及工期保证措施；（0-</w:t>
            </w:r>
            <w:r>
              <w:rPr>
                <w:rFonts w:hint="eastAsia" w:ascii="仿宋" w:hAnsi="仿宋" w:cs="仿宋"/>
                <w:kern w:val="0"/>
                <w:lang w:val="en-US" w:eastAsia="zh-CN"/>
              </w:rPr>
              <w:t>1</w:t>
            </w:r>
            <w:r>
              <w:rPr>
                <w:rFonts w:hint="eastAsia" w:ascii="仿宋" w:hAnsi="仿宋" w:eastAsia="仿宋" w:cs="仿宋"/>
                <w:kern w:val="0"/>
              </w:rPr>
              <w:t>分）</w:t>
            </w:r>
          </w:p>
          <w:p>
            <w:pPr>
              <w:pStyle w:val="49"/>
              <w:spacing w:line="300" w:lineRule="exact"/>
              <w:rPr>
                <w:rFonts w:ascii="仿宋" w:hAnsi="仿宋" w:eastAsia="仿宋" w:cs="仿宋"/>
                <w:kern w:val="0"/>
              </w:rPr>
            </w:pPr>
            <w:r>
              <w:rPr>
                <w:rFonts w:hint="eastAsia" w:ascii="仿宋" w:hAnsi="仿宋" w:eastAsia="仿宋" w:cs="仿宋"/>
                <w:kern w:val="0"/>
              </w:rPr>
              <w:t>2</w:t>
            </w:r>
            <w:r>
              <w:rPr>
                <w:rFonts w:hint="eastAsia" w:ascii="仿宋" w:hAnsi="仿宋" w:cs="仿宋"/>
                <w:kern w:val="0"/>
                <w:lang w:eastAsia="zh-CN"/>
              </w:rPr>
              <w:t>.</w:t>
            </w:r>
            <w:r>
              <w:rPr>
                <w:rFonts w:hint="eastAsia" w:ascii="仿宋" w:hAnsi="仿宋" w:eastAsia="仿宋" w:cs="仿宋"/>
                <w:kern w:val="0"/>
              </w:rPr>
              <w:t>工程质量保证措施；（0-</w:t>
            </w:r>
            <w:r>
              <w:rPr>
                <w:rFonts w:hint="eastAsia" w:ascii="仿宋" w:hAnsi="仿宋" w:cs="仿宋"/>
                <w:kern w:val="0"/>
                <w:lang w:val="en-US" w:eastAsia="zh-CN"/>
              </w:rPr>
              <w:t>1</w:t>
            </w:r>
            <w:r>
              <w:rPr>
                <w:rFonts w:hint="eastAsia" w:ascii="仿宋" w:hAnsi="仿宋" w:eastAsia="仿宋" w:cs="仿宋"/>
                <w:kern w:val="0"/>
              </w:rPr>
              <w:t>分）</w:t>
            </w:r>
          </w:p>
          <w:p>
            <w:pPr>
              <w:pStyle w:val="49"/>
              <w:spacing w:line="300" w:lineRule="exact"/>
              <w:rPr>
                <w:rFonts w:ascii="仿宋" w:hAnsi="仿宋" w:eastAsia="仿宋" w:cs="仿宋"/>
                <w:kern w:val="0"/>
              </w:rPr>
            </w:pPr>
            <w:r>
              <w:rPr>
                <w:rFonts w:hint="eastAsia" w:ascii="仿宋" w:hAnsi="仿宋" w:eastAsia="仿宋" w:cs="仿宋"/>
                <w:kern w:val="0"/>
              </w:rPr>
              <w:t>3</w:t>
            </w:r>
            <w:r>
              <w:rPr>
                <w:rFonts w:hint="eastAsia" w:ascii="仿宋" w:hAnsi="仿宋" w:cs="仿宋"/>
                <w:kern w:val="0"/>
                <w:lang w:eastAsia="zh-CN"/>
              </w:rPr>
              <w:t>.</w:t>
            </w:r>
            <w:r>
              <w:rPr>
                <w:rFonts w:hint="eastAsia" w:ascii="仿宋" w:hAnsi="仿宋" w:eastAsia="仿宋" w:cs="仿宋"/>
                <w:kern w:val="0"/>
              </w:rPr>
              <w:t>施工安全、文明保证措施及控制要点等。（0-</w:t>
            </w:r>
            <w:r>
              <w:rPr>
                <w:rFonts w:hint="eastAsia" w:ascii="仿宋" w:hAnsi="仿宋" w:cs="仿宋"/>
                <w:kern w:val="0"/>
                <w:lang w:val="en-US" w:eastAsia="zh-CN"/>
              </w:rPr>
              <w:t>1</w:t>
            </w:r>
            <w:r>
              <w:rPr>
                <w:rFonts w:hint="eastAsia" w:ascii="仿宋" w:hAnsi="仿宋" w:eastAsia="仿宋" w:cs="仿宋"/>
                <w:kern w:val="0"/>
              </w:rPr>
              <w:t>分）</w:t>
            </w:r>
          </w:p>
          <w:p>
            <w:pPr>
              <w:pStyle w:val="49"/>
              <w:spacing w:line="3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kern w:val="0"/>
              </w:rPr>
              <w:t>4</w:t>
            </w:r>
            <w:r>
              <w:rPr>
                <w:rFonts w:hint="eastAsia" w:ascii="仿宋" w:hAnsi="仿宋" w:cs="仿宋"/>
                <w:kern w:val="0"/>
                <w:lang w:eastAsia="zh-CN"/>
              </w:rPr>
              <w:t>.</w:t>
            </w:r>
            <w:r>
              <w:rPr>
                <w:rFonts w:hint="eastAsia" w:ascii="仿宋" w:hAnsi="仿宋" w:eastAsia="仿宋" w:cs="仿宋"/>
                <w:kern w:val="0"/>
              </w:rPr>
              <w:t>施工方案、工序及关键部位的技术措施 ；（0-</w:t>
            </w:r>
            <w:r>
              <w:rPr>
                <w:rFonts w:hint="eastAsia" w:ascii="仿宋" w:hAnsi="仿宋" w:cs="仿宋"/>
                <w:kern w:val="0"/>
                <w:lang w:val="en-US" w:eastAsia="zh-CN"/>
              </w:rPr>
              <w:t>1</w:t>
            </w:r>
            <w:r>
              <w:rPr>
                <w:rFonts w:hint="eastAsia" w:ascii="仿宋" w:hAnsi="仿宋" w:eastAsia="仿宋" w:cs="仿宋"/>
                <w:kern w:val="0"/>
              </w:rPr>
              <w:t>分）</w:t>
            </w:r>
          </w:p>
        </w:tc>
        <w:tc>
          <w:tcPr>
            <w:tcW w:w="920" w:type="dxa"/>
            <w:vAlign w:val="center"/>
          </w:tcPr>
          <w:p>
            <w:pPr>
              <w:widowControl/>
              <w:spacing w:beforeLines="0" w:line="360" w:lineRule="auto"/>
              <w:jc w:val="center"/>
              <w:rPr>
                <w:rFonts w:hint="eastAsia"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restart"/>
            <w:vAlign w:val="center"/>
          </w:tcPr>
          <w:p>
            <w:pPr>
              <w:widowControl/>
              <w:spacing w:beforeLines="0" w:line="360" w:lineRule="auto"/>
              <w:jc w:val="center"/>
              <w:rPr>
                <w:rFonts w:hint="default" w:ascii="仿宋" w:hAnsi="仿宋" w:eastAsia="仿宋" w:cs="仿宋"/>
                <w:b/>
                <w:bCs/>
                <w:kern w:val="0"/>
                <w:sz w:val="24"/>
                <w:szCs w:val="24"/>
                <w:lang w:val="en-US" w:eastAsia="zh-CN"/>
              </w:rPr>
            </w:pPr>
            <w:r>
              <w:rPr>
                <w:rFonts w:hint="eastAsia" w:cs="仿宋"/>
                <w:b/>
                <w:bCs/>
                <w:kern w:val="0"/>
                <w:sz w:val="24"/>
                <w:szCs w:val="24"/>
                <w:lang w:val="en-US" w:eastAsia="zh-CN"/>
              </w:rPr>
              <w:t>13</w:t>
            </w:r>
          </w:p>
        </w:tc>
        <w:tc>
          <w:tcPr>
            <w:tcW w:w="1520" w:type="dxa"/>
            <w:vMerge w:val="restart"/>
            <w:vAlign w:val="center"/>
          </w:tcPr>
          <w:p>
            <w:pPr>
              <w:widowControl/>
              <w:spacing w:beforeLines="0" w:line="360" w:lineRule="auto"/>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投入本项目团队</w:t>
            </w:r>
          </w:p>
        </w:tc>
        <w:tc>
          <w:tcPr>
            <w:tcW w:w="6187" w:type="dxa"/>
          </w:tcPr>
          <w:p>
            <w:pPr>
              <w:numPr>
                <w:ilvl w:val="0"/>
                <w:numId w:val="0"/>
              </w:numPr>
              <w:adjustRightInd w:val="0"/>
              <w:snapToGrid w:val="0"/>
              <w:spacing w:line="360" w:lineRule="exact"/>
              <w:ind w:right="120" w:rightChars="50"/>
              <w:rPr>
                <w:rFonts w:hint="eastAsia" w:ascii="仿宋" w:hAnsi="仿宋" w:eastAsia="仿宋" w:cs="仿宋"/>
                <w:color w:val="000000"/>
                <w:kern w:val="0"/>
                <w:szCs w:val="21"/>
              </w:rPr>
            </w:pPr>
            <w:r>
              <w:rPr>
                <w:rFonts w:hint="eastAsia" w:cs="仿宋"/>
                <w:sz w:val="24"/>
                <w:szCs w:val="24"/>
                <w:lang w:val="en-US" w:eastAsia="zh-CN"/>
              </w:rPr>
              <w:t>1.</w:t>
            </w:r>
            <w:r>
              <w:rPr>
                <w:rFonts w:hint="eastAsia" w:ascii="仿宋" w:hAnsi="仿宋" w:eastAsia="仿宋" w:cs="仿宋"/>
                <w:sz w:val="24"/>
                <w:szCs w:val="24"/>
                <w:lang w:val="en-US" w:eastAsia="zh-CN"/>
              </w:rPr>
              <w:t>项目负责人</w:t>
            </w:r>
            <w:r>
              <w:rPr>
                <w:rFonts w:hint="eastAsia" w:cs="仿宋"/>
                <w:sz w:val="24"/>
                <w:szCs w:val="24"/>
                <w:lang w:val="en-US" w:eastAsia="zh-CN"/>
              </w:rPr>
              <w:t>：</w:t>
            </w:r>
            <w:r>
              <w:rPr>
                <w:rFonts w:hint="eastAsia" w:ascii="仿宋" w:hAnsi="仿宋" w:eastAsia="仿宋" w:cs="仿宋"/>
                <w:color w:val="000000"/>
                <w:kern w:val="0"/>
                <w:szCs w:val="21"/>
              </w:rPr>
              <w:t>拟派本项目的</w:t>
            </w:r>
            <w:r>
              <w:rPr>
                <w:rFonts w:hint="eastAsia" w:cs="仿宋"/>
                <w:color w:val="000000"/>
                <w:kern w:val="0"/>
                <w:szCs w:val="21"/>
                <w:lang w:eastAsia="zh-CN"/>
              </w:rPr>
              <w:t>项目负责人具有中级职称的得</w:t>
            </w:r>
            <w:r>
              <w:rPr>
                <w:rFonts w:hint="eastAsia" w:cs="仿宋"/>
                <w:color w:val="000000"/>
                <w:kern w:val="0"/>
                <w:szCs w:val="21"/>
                <w:lang w:val="en-US" w:eastAsia="zh-CN"/>
              </w:rPr>
              <w:t>1分，高级职称得2分。（0-2分）</w:t>
            </w:r>
          </w:p>
          <w:p>
            <w:pPr>
              <w:pStyle w:val="3"/>
              <w:ind w:left="0" w:leftChars="0" w:firstLine="0" w:firstLineChars="0"/>
              <w:rPr>
                <w:rFonts w:hint="eastAsia"/>
                <w:b/>
                <w:bCs/>
              </w:rPr>
            </w:pPr>
            <w:r>
              <w:rPr>
                <w:rFonts w:hint="eastAsia" w:cs="仿宋"/>
                <w:b/>
                <w:bCs/>
                <w:color w:val="000000"/>
                <w:kern w:val="0"/>
                <w:szCs w:val="21"/>
                <w:lang w:val="en-US" w:eastAsia="zh-CN"/>
              </w:rPr>
              <w:t>注：提供证书复印件及近三个月内任意一个月社保证明</w:t>
            </w:r>
          </w:p>
          <w:p>
            <w:pPr>
              <w:numPr>
                <w:ilvl w:val="0"/>
                <w:numId w:val="0"/>
              </w:numPr>
              <w:adjustRightInd w:val="0"/>
              <w:snapToGrid w:val="0"/>
              <w:spacing w:line="360" w:lineRule="exact"/>
              <w:ind w:right="120" w:rightChars="50"/>
              <w:rPr>
                <w:rFonts w:ascii="仿宋" w:hAnsi="仿宋" w:eastAsia="仿宋" w:cs="仿宋"/>
                <w:color w:val="000000"/>
                <w:kern w:val="0"/>
                <w:szCs w:val="21"/>
              </w:rPr>
            </w:pPr>
            <w:r>
              <w:rPr>
                <w:rFonts w:hint="eastAsia" w:cs="仿宋"/>
                <w:color w:val="000000"/>
                <w:kern w:val="0"/>
                <w:szCs w:val="21"/>
                <w:lang w:val="en-US" w:eastAsia="zh-CN"/>
              </w:rPr>
              <w:t>2.</w:t>
            </w:r>
            <w:r>
              <w:rPr>
                <w:rFonts w:hint="eastAsia" w:ascii="仿宋" w:hAnsi="仿宋" w:eastAsia="仿宋" w:cs="仿宋"/>
                <w:color w:val="000000"/>
                <w:kern w:val="0"/>
                <w:szCs w:val="21"/>
              </w:rPr>
              <w:t>项目负责人承担过</w:t>
            </w:r>
            <w:r>
              <w:rPr>
                <w:rFonts w:hint="eastAsia" w:cs="仿宋"/>
                <w:color w:val="000000"/>
                <w:kern w:val="0"/>
                <w:szCs w:val="21"/>
                <w:lang w:eastAsia="zh-CN"/>
              </w:rPr>
              <w:t>的同类项目获得的省级及以上荣誉（</w:t>
            </w:r>
            <w:r>
              <w:rPr>
                <w:rFonts w:hint="eastAsia" w:cs="仿宋"/>
                <w:color w:val="000000"/>
                <w:kern w:val="0"/>
                <w:szCs w:val="21"/>
                <w:lang w:val="en-US" w:eastAsia="zh-CN"/>
              </w:rPr>
              <w:t>2017年1月1日后获得）</w:t>
            </w:r>
            <w:r>
              <w:rPr>
                <w:rFonts w:hint="eastAsia" w:cs="仿宋"/>
                <w:color w:val="000000"/>
                <w:kern w:val="0"/>
                <w:szCs w:val="21"/>
                <w:lang w:eastAsia="zh-CN"/>
              </w:rPr>
              <w:t>，每提供一个得</w:t>
            </w:r>
            <w:r>
              <w:rPr>
                <w:rFonts w:hint="eastAsia" w:cs="仿宋"/>
                <w:color w:val="000000"/>
                <w:kern w:val="0"/>
                <w:szCs w:val="21"/>
                <w:lang w:val="en-US" w:eastAsia="zh-CN"/>
              </w:rPr>
              <w:t>1分，最高1分</w:t>
            </w:r>
            <w:r>
              <w:rPr>
                <w:rFonts w:hint="eastAsia" w:ascii="仿宋" w:hAnsi="仿宋" w:eastAsia="仿宋" w:cs="仿宋"/>
                <w:color w:val="000000"/>
                <w:kern w:val="0"/>
                <w:szCs w:val="21"/>
              </w:rPr>
              <w:t xml:space="preserve"> 。</w:t>
            </w:r>
          </w:p>
          <w:p>
            <w:pPr>
              <w:widowControl/>
              <w:numPr>
                <w:ilvl w:val="0"/>
                <w:numId w:val="0"/>
              </w:numPr>
              <w:spacing w:beforeLines="0" w:line="360" w:lineRule="auto"/>
              <w:jc w:val="both"/>
              <w:rPr>
                <w:rFonts w:hint="eastAsia" w:ascii="仿宋" w:hAnsi="仿宋" w:eastAsia="仿宋" w:cs="仿宋"/>
                <w:sz w:val="24"/>
                <w:szCs w:val="24"/>
                <w:lang w:val="en-US" w:eastAsia="zh-CN"/>
              </w:rPr>
            </w:pPr>
            <w:r>
              <w:rPr>
                <w:rFonts w:hint="eastAsia" w:cs="仿宋"/>
                <w:b/>
                <w:bCs/>
                <w:szCs w:val="21"/>
                <w:lang w:eastAsia="zh-CN"/>
              </w:rPr>
              <w:t>注：</w:t>
            </w:r>
            <w:r>
              <w:rPr>
                <w:rFonts w:hint="eastAsia" w:ascii="仿宋" w:hAnsi="仿宋" w:eastAsia="仿宋" w:cs="仿宋"/>
                <w:b/>
                <w:bCs/>
                <w:szCs w:val="21"/>
              </w:rPr>
              <w:t>投标文件中同时提供合同、竣工验收证明、 获奖证明的复印件（三项材料缺一不可），时间以获奖证书时间为准，未能体现人员身份的，或获奖证明中的项目名称与合同、竣工验收证明的项目名称不一致的还须提供业主证明的复印件，否则不得分。</w:t>
            </w:r>
            <w:r>
              <w:rPr>
                <w:rFonts w:hint="eastAsia" w:cs="仿宋"/>
                <w:b/>
                <w:bCs/>
                <w:szCs w:val="21"/>
                <w:lang w:eastAsia="zh-CN"/>
              </w:rPr>
              <w:t>同类项目</w:t>
            </w:r>
            <w:r>
              <w:rPr>
                <w:rFonts w:hint="eastAsia" w:ascii="仿宋" w:hAnsi="仿宋" w:eastAsia="仿宋" w:cs="仿宋"/>
                <w:b/>
                <w:bCs/>
                <w:szCs w:val="21"/>
              </w:rPr>
              <w:t>：指档案馆、科技馆、博物馆、文物馆、展览馆、博览馆、主题馆</w:t>
            </w:r>
            <w:r>
              <w:rPr>
                <w:rFonts w:hint="eastAsia" w:cs="仿宋"/>
                <w:b/>
                <w:bCs/>
                <w:szCs w:val="21"/>
                <w:lang w:eastAsia="zh-CN"/>
              </w:rPr>
              <w:t>的布展</w:t>
            </w:r>
            <w:r>
              <w:rPr>
                <w:rFonts w:hint="eastAsia" w:ascii="仿宋" w:hAnsi="仿宋" w:eastAsia="仿宋" w:cs="仿宋"/>
                <w:b/>
                <w:bCs/>
                <w:szCs w:val="21"/>
              </w:rPr>
              <w:t>。</w:t>
            </w:r>
          </w:p>
        </w:tc>
        <w:tc>
          <w:tcPr>
            <w:tcW w:w="920" w:type="dxa"/>
            <w:vAlign w:val="center"/>
          </w:tcPr>
          <w:p>
            <w:pPr>
              <w:pStyle w:val="61"/>
              <w:jc w:val="center"/>
              <w:rPr>
                <w:rFonts w:hint="eastAsia"/>
                <w:sz w:val="24"/>
                <w:szCs w:val="24"/>
              </w:rPr>
            </w:pPr>
            <w:r>
              <w:rPr>
                <w:rFonts w:hint="eastAsia"/>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pPr>
              <w:widowControl/>
              <w:spacing w:beforeLines="0" w:line="360" w:lineRule="auto"/>
              <w:jc w:val="center"/>
              <w:rPr>
                <w:rFonts w:hint="default" w:ascii="仿宋" w:hAnsi="仿宋" w:eastAsia="仿宋" w:cs="仿宋"/>
                <w:b w:val="0"/>
                <w:bCs w:val="0"/>
                <w:kern w:val="0"/>
                <w:sz w:val="24"/>
                <w:szCs w:val="24"/>
                <w:lang w:val="en-US" w:eastAsia="zh-CN"/>
              </w:rPr>
            </w:pPr>
          </w:p>
        </w:tc>
        <w:tc>
          <w:tcPr>
            <w:tcW w:w="1520" w:type="dxa"/>
            <w:vMerge w:val="continue"/>
            <w:vAlign w:val="center"/>
          </w:tcPr>
          <w:p>
            <w:pPr>
              <w:widowControl/>
              <w:spacing w:beforeLines="0" w:line="360" w:lineRule="auto"/>
              <w:jc w:val="left"/>
              <w:rPr>
                <w:rFonts w:hint="eastAsia" w:ascii="仿宋" w:hAnsi="仿宋" w:eastAsia="仿宋" w:cs="仿宋"/>
                <w:b/>
                <w:bCs/>
                <w:kern w:val="0"/>
                <w:sz w:val="24"/>
                <w:szCs w:val="24"/>
                <w:lang w:eastAsia="zh-CN"/>
              </w:rPr>
            </w:pPr>
          </w:p>
        </w:tc>
        <w:tc>
          <w:tcPr>
            <w:tcW w:w="6187" w:type="dxa"/>
          </w:tcPr>
          <w:p>
            <w:pPr>
              <w:widowControl/>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拟派本项目的技术团队（除项目负责人）综合实力：</w:t>
            </w:r>
          </w:p>
          <w:p>
            <w:pPr>
              <w:widowControl/>
              <w:rPr>
                <w:rFonts w:hint="eastAsia" w:ascii="仿宋" w:hAnsi="仿宋" w:eastAsia="仿宋" w:cs="仿宋"/>
                <w:color w:val="000000"/>
                <w:kern w:val="0"/>
                <w:szCs w:val="21"/>
                <w:lang w:val="en-US" w:eastAsia="zh-CN"/>
              </w:rPr>
            </w:pPr>
            <w:r>
              <w:rPr>
                <w:rFonts w:hint="eastAsia" w:cs="仿宋"/>
                <w:color w:val="000000"/>
                <w:kern w:val="0"/>
                <w:szCs w:val="21"/>
                <w:lang w:val="en-US" w:eastAsia="zh-CN"/>
              </w:rPr>
              <w:t>1.</w:t>
            </w:r>
            <w:r>
              <w:rPr>
                <w:rFonts w:hint="eastAsia" w:ascii="仿宋" w:hAnsi="仿宋" w:eastAsia="仿宋" w:cs="仿宋"/>
                <w:color w:val="000000"/>
                <w:kern w:val="0"/>
                <w:szCs w:val="21"/>
                <w:lang w:val="en-US" w:eastAsia="zh-CN"/>
              </w:rPr>
              <w:t>具有建筑工程、电气工程、暖通工程、工艺美术师中级职称的，每提供一</w:t>
            </w:r>
            <w:r>
              <w:rPr>
                <w:rFonts w:hint="eastAsia" w:cs="仿宋"/>
                <w:color w:val="000000"/>
                <w:kern w:val="0"/>
                <w:szCs w:val="21"/>
                <w:lang w:val="en-US" w:eastAsia="zh-CN"/>
              </w:rPr>
              <w:t>人</w:t>
            </w:r>
            <w:r>
              <w:rPr>
                <w:rFonts w:hint="eastAsia" w:ascii="仿宋" w:hAnsi="仿宋" w:eastAsia="仿宋" w:cs="仿宋"/>
                <w:color w:val="000000"/>
                <w:kern w:val="0"/>
                <w:szCs w:val="21"/>
                <w:lang w:val="en-US" w:eastAsia="zh-CN"/>
              </w:rPr>
              <w:t>得1分；（0-4分）</w:t>
            </w:r>
          </w:p>
          <w:p>
            <w:pPr>
              <w:widowControl/>
              <w:rPr>
                <w:rFonts w:hint="default" w:eastAsia="仿宋" w:cs="仿宋"/>
                <w:color w:val="000000"/>
                <w:kern w:val="0"/>
                <w:szCs w:val="21"/>
                <w:lang w:val="en-US" w:eastAsia="zh-CN"/>
              </w:rPr>
            </w:pPr>
            <w:r>
              <w:rPr>
                <w:rFonts w:hint="eastAsia" w:cs="仿宋"/>
                <w:color w:val="000000"/>
                <w:kern w:val="0"/>
                <w:szCs w:val="21"/>
                <w:lang w:val="en-US" w:eastAsia="zh-CN"/>
              </w:rPr>
              <w:t>2.具有</w:t>
            </w:r>
            <w:r>
              <w:rPr>
                <w:rFonts w:hint="eastAsia" w:ascii="仿宋" w:hAnsi="仿宋" w:eastAsia="仿宋" w:cs="仿宋"/>
                <w:color w:val="000000"/>
                <w:kern w:val="0"/>
                <w:szCs w:val="21"/>
              </w:rPr>
              <w:t>施工员</w:t>
            </w:r>
            <w:r>
              <w:rPr>
                <w:rFonts w:hint="eastAsia" w:cs="仿宋"/>
                <w:color w:val="000000"/>
                <w:kern w:val="0"/>
                <w:szCs w:val="21"/>
                <w:lang w:eastAsia="zh-CN"/>
              </w:rPr>
              <w:t>、</w:t>
            </w:r>
            <w:r>
              <w:rPr>
                <w:rFonts w:hint="eastAsia" w:ascii="仿宋" w:hAnsi="仿宋" w:eastAsia="仿宋" w:cs="仿宋"/>
                <w:color w:val="000000"/>
                <w:kern w:val="0"/>
                <w:szCs w:val="21"/>
              </w:rPr>
              <w:t>质检员</w:t>
            </w:r>
            <w:r>
              <w:rPr>
                <w:rFonts w:hint="eastAsia" w:cs="仿宋"/>
                <w:color w:val="000000"/>
                <w:kern w:val="0"/>
                <w:szCs w:val="21"/>
                <w:lang w:eastAsia="zh-CN"/>
              </w:rPr>
              <w:t>、</w:t>
            </w:r>
            <w:r>
              <w:rPr>
                <w:rFonts w:hint="eastAsia" w:ascii="仿宋" w:hAnsi="仿宋" w:eastAsia="仿宋" w:cs="仿宋"/>
                <w:color w:val="000000"/>
                <w:kern w:val="0"/>
                <w:szCs w:val="21"/>
              </w:rPr>
              <w:t>安全员</w:t>
            </w:r>
            <w:r>
              <w:rPr>
                <w:rFonts w:hint="eastAsia" w:cs="仿宋"/>
                <w:color w:val="000000"/>
                <w:kern w:val="0"/>
                <w:szCs w:val="21"/>
                <w:lang w:val="en-US" w:eastAsia="zh-CN"/>
              </w:rPr>
              <w:t>C证、</w:t>
            </w:r>
            <w:r>
              <w:rPr>
                <w:rFonts w:hint="eastAsia" w:ascii="仿宋" w:hAnsi="仿宋" w:eastAsia="仿宋" w:cs="仿宋"/>
                <w:color w:val="000000"/>
                <w:kern w:val="0"/>
                <w:szCs w:val="21"/>
              </w:rPr>
              <w:t>材料员</w:t>
            </w:r>
            <w:r>
              <w:rPr>
                <w:rFonts w:hint="eastAsia" w:cs="仿宋"/>
                <w:color w:val="000000"/>
                <w:kern w:val="0"/>
                <w:szCs w:val="21"/>
                <w:lang w:eastAsia="zh-CN"/>
              </w:rPr>
              <w:t>、</w:t>
            </w:r>
            <w:r>
              <w:rPr>
                <w:rFonts w:hint="eastAsia" w:ascii="仿宋" w:hAnsi="仿宋" w:eastAsia="仿宋" w:cs="仿宋"/>
                <w:color w:val="000000"/>
                <w:kern w:val="0"/>
                <w:szCs w:val="21"/>
              </w:rPr>
              <w:t>资料员</w:t>
            </w:r>
            <w:r>
              <w:rPr>
                <w:rFonts w:hint="eastAsia" w:cs="仿宋"/>
                <w:color w:val="000000"/>
                <w:kern w:val="0"/>
                <w:szCs w:val="21"/>
                <w:lang w:eastAsia="zh-CN"/>
              </w:rPr>
              <w:t>、造价师的每提供一个得</w:t>
            </w:r>
            <w:r>
              <w:rPr>
                <w:rFonts w:hint="eastAsia" w:cs="仿宋"/>
                <w:color w:val="000000"/>
                <w:kern w:val="0"/>
                <w:szCs w:val="21"/>
                <w:lang w:val="en-US" w:eastAsia="zh-CN"/>
              </w:rPr>
              <w:t>0.5分，最高3分；（0-3分）</w:t>
            </w:r>
          </w:p>
          <w:p>
            <w:pPr>
              <w:widowControl/>
              <w:rPr>
                <w:rFonts w:hint="default" w:ascii="仿宋" w:hAnsi="仿宋" w:eastAsia="仿宋" w:cs="仿宋"/>
                <w:color w:val="000000"/>
                <w:kern w:val="0"/>
                <w:szCs w:val="21"/>
                <w:lang w:val="en-US" w:eastAsia="zh-CN"/>
              </w:rPr>
            </w:pPr>
            <w:r>
              <w:rPr>
                <w:rFonts w:hint="eastAsia" w:cs="仿宋"/>
                <w:b/>
                <w:bCs/>
                <w:color w:val="000000"/>
                <w:kern w:val="0"/>
                <w:szCs w:val="21"/>
                <w:lang w:val="en-US" w:eastAsia="zh-CN"/>
              </w:rPr>
              <w:t>注：以上人员不重复计分，提供相关证书复印件及近三个月内任意一个月社保证明。</w:t>
            </w:r>
          </w:p>
        </w:tc>
        <w:tc>
          <w:tcPr>
            <w:tcW w:w="920" w:type="dxa"/>
            <w:vAlign w:val="center"/>
          </w:tcPr>
          <w:p>
            <w:pPr>
              <w:pStyle w:val="61"/>
              <w:jc w:val="center"/>
              <w:rPr>
                <w:rFonts w:hint="default" w:eastAsia="仿宋"/>
                <w:sz w:val="24"/>
                <w:szCs w:val="24"/>
                <w:lang w:val="en-US" w:eastAsia="zh-CN"/>
              </w:rPr>
            </w:pPr>
            <w:r>
              <w:rPr>
                <w:rFonts w:hint="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pPr>
              <w:widowControl/>
              <w:spacing w:beforeLines="0" w:line="360" w:lineRule="auto"/>
              <w:jc w:val="center"/>
              <w:rPr>
                <w:rFonts w:hint="default" w:ascii="仿宋" w:hAnsi="仿宋" w:eastAsia="仿宋" w:cs="仿宋"/>
                <w:b w:val="0"/>
                <w:bCs w:val="0"/>
                <w:kern w:val="0"/>
                <w:sz w:val="24"/>
                <w:szCs w:val="24"/>
                <w:lang w:val="en-US" w:eastAsia="zh-CN"/>
              </w:rPr>
            </w:pPr>
            <w:r>
              <w:rPr>
                <w:rFonts w:hint="eastAsia" w:cs="仿宋"/>
                <w:b/>
                <w:bCs/>
                <w:kern w:val="0"/>
                <w:sz w:val="24"/>
                <w:szCs w:val="24"/>
                <w:lang w:val="en-US" w:eastAsia="zh-CN"/>
              </w:rPr>
              <w:t>14</w:t>
            </w:r>
          </w:p>
        </w:tc>
        <w:tc>
          <w:tcPr>
            <w:tcW w:w="1520" w:type="dxa"/>
            <w:vAlign w:val="center"/>
          </w:tcPr>
          <w:p>
            <w:pPr>
              <w:widowControl/>
              <w:spacing w:beforeLines="0" w:line="360" w:lineRule="auto"/>
              <w:jc w:val="left"/>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售后服务</w:t>
            </w:r>
          </w:p>
        </w:tc>
        <w:tc>
          <w:tcPr>
            <w:tcW w:w="6187" w:type="dxa"/>
          </w:tcPr>
          <w:p>
            <w:pPr>
              <w:widowControl/>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根据供应商提供的</w:t>
            </w:r>
            <w:r>
              <w:rPr>
                <w:rFonts w:hint="eastAsia" w:cs="仿宋"/>
                <w:color w:val="000000"/>
                <w:kern w:val="0"/>
                <w:szCs w:val="21"/>
                <w:lang w:val="en-US" w:eastAsia="zh-CN"/>
              </w:rPr>
              <w:t>售后服务</w:t>
            </w:r>
            <w:r>
              <w:rPr>
                <w:rFonts w:hint="eastAsia" w:ascii="仿宋" w:hAnsi="仿宋" w:eastAsia="仿宋" w:cs="仿宋"/>
                <w:color w:val="000000"/>
                <w:kern w:val="0"/>
                <w:szCs w:val="21"/>
                <w:lang w:val="en-US" w:eastAsia="zh-CN"/>
              </w:rPr>
              <w:t>响应时间及到达现场的时间进行</w:t>
            </w:r>
            <w:r>
              <w:rPr>
                <w:rFonts w:hint="eastAsia" w:cs="仿宋"/>
                <w:color w:val="000000"/>
                <w:kern w:val="0"/>
                <w:szCs w:val="21"/>
                <w:lang w:val="en-US" w:eastAsia="zh-CN"/>
              </w:rPr>
              <w:t>打分；（0-1分）</w:t>
            </w:r>
          </w:p>
        </w:tc>
        <w:tc>
          <w:tcPr>
            <w:tcW w:w="920" w:type="dxa"/>
            <w:vAlign w:val="center"/>
          </w:tcPr>
          <w:p>
            <w:pPr>
              <w:pStyle w:val="61"/>
              <w:jc w:val="center"/>
              <w:rPr>
                <w:rFonts w:hint="eastAsia" w:eastAsia="仿宋"/>
                <w:sz w:val="24"/>
                <w:szCs w:val="24"/>
                <w:lang w:val="en-US" w:eastAsia="zh-CN"/>
              </w:rPr>
            </w:pPr>
            <w:r>
              <w:rPr>
                <w:rFonts w:hint="eastAsia"/>
                <w:sz w:val="24"/>
                <w:szCs w:val="24"/>
                <w:lang w:val="en-US" w:eastAsia="zh-CN"/>
              </w:rPr>
              <w:t>1</w:t>
            </w:r>
          </w:p>
        </w:tc>
      </w:tr>
    </w:tbl>
    <w:p>
      <w:pPr>
        <w:pageBreakBefore w:val="0"/>
        <w:kinsoku/>
        <w:bidi w:val="0"/>
        <w:spacing w:beforeAutospacing="0" w:afterAutospacing="0" w:line="440" w:lineRule="exact"/>
        <w:ind w:firstLine="482" w:firstLineChars="200"/>
        <w:rPr>
          <w:rStyle w:val="1032"/>
          <w:rFonts w:ascii="仿宋" w:hAnsi="仿宋" w:eastAsia="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2"/>
          <w:rFonts w:ascii="仿宋" w:hAnsi="仿宋" w:eastAsia="仿宋"/>
          <w:b w:val="0"/>
          <w:i w:val="0"/>
          <w:caps w:val="0"/>
          <w:spacing w:val="0"/>
          <w:w w:val="100"/>
          <w:kern w:val="2"/>
          <w:sz w:val="24"/>
          <w:szCs w:val="24"/>
          <w:lang w:val="en-US" w:eastAsia="zh-CN" w:bidi="ar-SA"/>
        </w:rPr>
        <w:t>1、投标人弄虚作假的，报</w:t>
      </w:r>
      <w:r>
        <w:rPr>
          <w:rStyle w:val="1032"/>
          <w:rFonts w:ascii="仿宋" w:hAnsi="仿宋" w:eastAsia="仿宋"/>
          <w:b w:val="0"/>
          <w:i w:val="0"/>
          <w:caps w:val="0"/>
          <w:color w:val="000000"/>
          <w:spacing w:val="0"/>
          <w:w w:val="100"/>
          <w:kern w:val="2"/>
          <w:sz w:val="24"/>
          <w:szCs w:val="24"/>
          <w:lang w:val="en-US" w:eastAsia="zh-CN" w:bidi="ar-SA"/>
        </w:rPr>
        <w:t>政府采购监督部门查处。</w:t>
      </w:r>
    </w:p>
    <w:p>
      <w:pPr>
        <w:pStyle w:val="88"/>
        <w:pageBreakBefore w:val="0"/>
        <w:kinsoku/>
        <w:bidi w:val="0"/>
        <w:spacing w:beforeAutospacing="0" w:after="0" w:afterAutospacing="0" w:line="440" w:lineRule="exact"/>
        <w:rPr>
          <w:rFonts w:hint="eastAsia"/>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6"/>
        <w:numPr>
          <w:ilvl w:val="0"/>
          <w:numId w:val="4"/>
        </w:numPr>
        <w:rPr>
          <w:rFonts w:hint="eastAsia"/>
          <w:color w:val="auto"/>
        </w:rPr>
      </w:pPr>
      <w:bookmarkStart w:id="3" w:name="_Toc425682676"/>
      <w:r>
        <w:rPr>
          <w:rFonts w:hint="eastAsia"/>
          <w:color w:val="auto"/>
        </w:rPr>
        <w:t>采购需求</w:t>
      </w:r>
      <w:bookmarkEnd w:id="3"/>
      <w:bookmarkStart w:id="4" w:name="_Toc292375921"/>
      <w:bookmarkEnd w:id="4"/>
    </w:p>
    <w:p>
      <w:pPr>
        <w:numPr>
          <w:ilvl w:val="0"/>
          <w:numId w:val="0"/>
        </w:numPr>
        <w:spacing w:line="360" w:lineRule="auto"/>
        <w:ind w:firstLine="602" w:firstLineChars="200"/>
        <w:outlineLvl w:val="0"/>
        <w:rPr>
          <w:rFonts w:hint="eastAsia" w:ascii="仿宋" w:hAnsi="仿宋" w:eastAsia="仿宋" w:cs="仿宋"/>
          <w:b/>
          <w:sz w:val="30"/>
          <w:szCs w:val="30"/>
        </w:rPr>
      </w:pPr>
      <w:bookmarkStart w:id="5" w:name="_Toc233618986"/>
      <w:bookmarkStart w:id="6" w:name="_Toc86217003"/>
      <w:bookmarkStart w:id="7" w:name="_Toc8772"/>
      <w:bookmarkStart w:id="8" w:name="_Toc354996706"/>
      <w:bookmarkStart w:id="9" w:name="_Toc6759"/>
      <w:bookmarkStart w:id="10" w:name="_Toc3468"/>
      <w:r>
        <w:rPr>
          <w:rFonts w:hint="eastAsia" w:cs="仿宋"/>
          <w:b/>
          <w:sz w:val="30"/>
          <w:szCs w:val="30"/>
          <w:lang w:eastAsia="zh-CN"/>
        </w:rPr>
        <w:t>一、</w:t>
      </w:r>
      <w:r>
        <w:rPr>
          <w:rFonts w:hint="eastAsia" w:ascii="仿宋" w:hAnsi="仿宋" w:eastAsia="仿宋" w:cs="仿宋"/>
          <w:b/>
          <w:sz w:val="30"/>
          <w:szCs w:val="30"/>
        </w:rPr>
        <w:t>项目概况及主题内容</w:t>
      </w:r>
    </w:p>
    <w:p>
      <w:pPr>
        <w:spacing w:line="360" w:lineRule="auto"/>
        <w:ind w:firstLine="241" w:firstLineChars="100"/>
        <w:outlineLvl w:val="0"/>
        <w:rPr>
          <w:rFonts w:hint="eastAsia" w:ascii="仿宋" w:hAnsi="仿宋" w:eastAsia="仿宋" w:cs="仿宋"/>
          <w:b/>
          <w:sz w:val="24"/>
        </w:rPr>
      </w:pPr>
      <w:r>
        <w:rPr>
          <w:rFonts w:hint="eastAsia" w:ascii="仿宋" w:hAnsi="仿宋" w:eastAsia="仿宋" w:cs="仿宋"/>
          <w:b/>
          <w:sz w:val="24"/>
        </w:rPr>
        <w:t>（一）项目概况</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1、本项目为</w:t>
      </w:r>
      <w:r>
        <w:rPr>
          <w:rFonts w:hint="eastAsia" w:cs="仿宋"/>
          <w:bCs/>
          <w:sz w:val="24"/>
          <w:lang w:eastAsia="zh-CN"/>
        </w:rPr>
        <w:t>杭州市富阳区非物质文化遗产馆陈设布展项目</w:t>
      </w:r>
      <w:r>
        <w:rPr>
          <w:rFonts w:hint="eastAsia" w:ascii="仿宋" w:hAnsi="仿宋" w:eastAsia="仿宋" w:cs="仿宋"/>
          <w:bCs/>
          <w:sz w:val="24"/>
        </w:rPr>
        <w:t>，</w:t>
      </w:r>
      <w:r>
        <w:rPr>
          <w:rFonts w:hint="eastAsia" w:cs="仿宋"/>
          <w:bCs/>
          <w:sz w:val="24"/>
          <w:lang w:eastAsia="zh-CN"/>
        </w:rPr>
        <w:t>预算价</w:t>
      </w:r>
      <w:r>
        <w:rPr>
          <w:rFonts w:hint="eastAsia" w:cs="仿宋"/>
          <w:bCs/>
          <w:sz w:val="24"/>
          <w:lang w:val="en-US" w:eastAsia="zh-CN"/>
        </w:rPr>
        <w:t>900万元</w:t>
      </w:r>
      <w:r>
        <w:rPr>
          <w:rFonts w:hint="eastAsia" w:ascii="仿宋" w:hAnsi="仿宋" w:eastAsia="仿宋" w:cs="仿宋"/>
          <w:bCs/>
          <w:sz w:val="24"/>
        </w:rPr>
        <w:t>。</w:t>
      </w:r>
    </w:p>
    <w:p>
      <w:pPr>
        <w:pStyle w:val="2"/>
        <w:widowControl/>
        <w:spacing w:line="360" w:lineRule="auto"/>
        <w:ind w:firstLine="472" w:firstLineChars="200"/>
        <w:rPr>
          <w:rFonts w:hint="eastAsia" w:ascii="仿宋" w:hAnsi="仿宋" w:eastAsia="仿宋" w:cs="仿宋"/>
          <w:sz w:val="24"/>
          <w:szCs w:val="24"/>
          <w:u w:val="none"/>
          <w:lang w:eastAsia="zh-CN"/>
        </w:rPr>
      </w:pPr>
      <w:r>
        <w:rPr>
          <w:rFonts w:hint="eastAsia" w:ascii="仿宋" w:hAnsi="仿宋" w:eastAsia="仿宋" w:cs="仿宋"/>
          <w:spacing w:val="-2"/>
          <w:sz w:val="24"/>
          <w:szCs w:val="24"/>
        </w:rPr>
        <w:t>2、</w:t>
      </w:r>
      <w:r>
        <w:rPr>
          <w:rFonts w:hint="eastAsia" w:ascii="仿宋" w:hAnsi="仿宋" w:eastAsia="仿宋" w:cs="仿宋"/>
          <w:b/>
          <w:bCs/>
          <w:sz w:val="24"/>
          <w:szCs w:val="24"/>
        </w:rPr>
        <w:t>项目位于</w:t>
      </w:r>
      <w:r>
        <w:rPr>
          <w:rFonts w:hint="eastAsia" w:ascii="仿宋" w:hAnsi="仿宋" w:eastAsia="仿宋" w:cs="仿宋"/>
          <w:bCs/>
          <w:sz w:val="24"/>
          <w:szCs w:val="24"/>
          <w:u w:val="none"/>
        </w:rPr>
        <w:t>富阳区儿童公园</w:t>
      </w:r>
      <w:r>
        <w:rPr>
          <w:rFonts w:hint="eastAsia" w:ascii="仿宋" w:hAnsi="仿宋" w:eastAsia="仿宋" w:cs="仿宋"/>
          <w:b/>
          <w:bCs/>
          <w:sz w:val="24"/>
          <w:szCs w:val="24"/>
          <w:u w:val="none"/>
        </w:rPr>
        <w:t>，</w:t>
      </w:r>
      <w:r>
        <w:rPr>
          <w:rFonts w:hint="eastAsia" w:ascii="仿宋" w:hAnsi="仿宋" w:eastAsia="仿宋" w:cs="仿宋"/>
          <w:sz w:val="24"/>
          <w:szCs w:val="24"/>
          <w:u w:val="none"/>
        </w:rPr>
        <w:t>整个展览馆分为上下两层，总建筑面积为1800平方米，其中临时展厅250平方米，城市书屋220平方米，办公室、非遗传承讲习所、大厅其他空间为450平方米。二层为非遗陈列区，面积为880平方米</w:t>
      </w:r>
      <w:r>
        <w:rPr>
          <w:rFonts w:hint="eastAsia" w:ascii="仿宋" w:hAnsi="仿宋" w:eastAsia="仿宋" w:cs="仿宋"/>
          <w:b/>
          <w:bCs/>
          <w:sz w:val="24"/>
          <w:szCs w:val="24"/>
          <w:u w:val="none"/>
        </w:rPr>
        <w:t>。</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与城市书房陈设布</w:t>
      </w:r>
      <w:r>
        <w:rPr>
          <w:rFonts w:hint="eastAsia" w:ascii="仿宋" w:hAnsi="仿宋" w:eastAsia="仿宋" w:cs="仿宋"/>
          <w:sz w:val="24"/>
          <w:szCs w:val="24"/>
          <w:u w:val="none"/>
          <w:lang w:eastAsia="zh-CN"/>
        </w:rPr>
        <w:t>展</w:t>
      </w:r>
      <w:r>
        <w:rPr>
          <w:rFonts w:hint="eastAsia" w:ascii="仿宋" w:hAnsi="仿宋" w:eastAsia="仿宋" w:cs="仿宋"/>
          <w:sz w:val="24"/>
          <w:szCs w:val="24"/>
          <w:u w:val="none"/>
        </w:rPr>
        <w:t>相关的费用</w:t>
      </w:r>
      <w:r>
        <w:rPr>
          <w:rFonts w:hint="eastAsia" w:ascii="仿宋" w:hAnsi="仿宋" w:eastAsia="仿宋" w:cs="仿宋"/>
          <w:sz w:val="24"/>
          <w:szCs w:val="24"/>
          <w:u w:val="none"/>
          <w:lang w:eastAsia="zh-CN"/>
        </w:rPr>
        <w:t>不在本次招标范围内）</w:t>
      </w:r>
    </w:p>
    <w:p>
      <w:pPr>
        <w:pStyle w:val="2"/>
        <w:widowControl/>
        <w:spacing w:line="360" w:lineRule="auto"/>
        <w:ind w:firstLine="562" w:firstLineChars="200"/>
        <w:rPr>
          <w:rFonts w:hint="eastAsia" w:ascii="仿宋" w:hAnsi="仿宋" w:eastAsia="仿宋" w:cs="仿宋"/>
          <w:b/>
          <w:bCs/>
          <w:szCs w:val="24"/>
          <w:highlight w:val="green"/>
        </w:rPr>
      </w:pPr>
      <w:r>
        <w:rPr>
          <w:rFonts w:hint="eastAsia" w:ascii="仿宋" w:hAnsi="仿宋" w:eastAsia="仿宋" w:cs="仿宋"/>
          <w:b/>
          <w:bCs/>
          <w:szCs w:val="24"/>
          <w:highlight w:val="none"/>
        </w:rPr>
        <w:t>其他内容详见附</w:t>
      </w:r>
      <w:r>
        <w:rPr>
          <w:rFonts w:hint="eastAsia" w:cs="仿宋"/>
          <w:b/>
          <w:bCs/>
          <w:szCs w:val="24"/>
          <w:highlight w:val="none"/>
          <w:lang w:eastAsia="zh-CN"/>
        </w:rPr>
        <w:t>件</w:t>
      </w:r>
      <w:r>
        <w:rPr>
          <w:rFonts w:hint="eastAsia" w:ascii="仿宋" w:hAnsi="仿宋" w:eastAsia="仿宋" w:cs="仿宋"/>
          <w:b/>
          <w:bCs/>
          <w:szCs w:val="24"/>
          <w:highlight w:val="none"/>
        </w:rPr>
        <w:t>与原建筑参考图纸。</w:t>
      </w:r>
    </w:p>
    <w:p>
      <w:pPr>
        <w:spacing w:line="360" w:lineRule="auto"/>
        <w:ind w:firstLine="241" w:firstLineChars="100"/>
        <w:outlineLvl w:val="0"/>
        <w:rPr>
          <w:rFonts w:ascii="宋体" w:hAnsi="宋体" w:cs="宋体"/>
          <w:b/>
          <w:sz w:val="24"/>
        </w:rPr>
      </w:pPr>
      <w:r>
        <w:rPr>
          <w:rFonts w:hint="eastAsia" w:ascii="宋体" w:hAnsi="宋体" w:cs="宋体"/>
          <w:b/>
          <w:sz w:val="24"/>
        </w:rPr>
        <w:t>（二）主题内容</w:t>
      </w:r>
    </w:p>
    <w:p>
      <w:pPr>
        <w:spacing w:line="440" w:lineRule="exact"/>
        <w:ind w:firstLine="480" w:firstLineChars="200"/>
        <w:rPr>
          <w:rFonts w:ascii="宋体" w:hAnsi="宋体" w:cs="宋体"/>
          <w:bCs/>
        </w:rPr>
      </w:pPr>
      <w:r>
        <w:rPr>
          <w:rFonts w:hint="eastAsia" w:ascii="宋体" w:hAnsi="宋体" w:cs="宋体"/>
          <w:bCs/>
        </w:rPr>
        <w:t>1、概述</w:t>
      </w:r>
    </w:p>
    <w:p>
      <w:pPr>
        <w:spacing w:line="440" w:lineRule="exact"/>
        <w:ind w:firstLine="480" w:firstLineChars="200"/>
        <w:rPr>
          <w:rFonts w:ascii="宋体" w:hAnsi="宋体" w:cs="宋体"/>
          <w:bCs/>
        </w:rPr>
      </w:pPr>
      <w:r>
        <w:rPr>
          <w:rFonts w:hint="eastAsia" w:ascii="宋体" w:hAnsi="宋体" w:cs="宋体"/>
          <w:bCs/>
        </w:rPr>
        <w:t>1.1本项目作为富阳区对外宣传展示的重要窗口和平台，拟以富阳区的优秀传统文化为背景，以非遗项目和技艺为载体，重点展现富阳的人文历史、山水资源、文化民俗、传统产业以及未来发展等内容，并通过非遗作品实物与活态传承展示相结合，通过声、光、电与现代多媒体技术相结合，动静相宜，突出展现富阳非遗文化的独特魅力，打造富春山居品牌形象。</w:t>
      </w:r>
    </w:p>
    <w:p>
      <w:pPr>
        <w:spacing w:line="440" w:lineRule="exact"/>
        <w:ind w:firstLine="480" w:firstLineChars="200"/>
        <w:rPr>
          <w:rFonts w:ascii="宋体" w:hAnsi="宋体"/>
        </w:rPr>
      </w:pPr>
      <w:r>
        <w:rPr>
          <w:rFonts w:hint="eastAsia" w:ascii="宋体" w:hAnsi="宋体" w:cs="宋体"/>
          <w:bCs/>
        </w:rPr>
        <w:t>1.2</w:t>
      </w:r>
      <w:r>
        <w:rPr>
          <w:rFonts w:hint="eastAsia" w:ascii="宋体" w:hAnsi="宋体"/>
        </w:rPr>
        <w:t>悠久的历史，深厚的积淀，睿智的民众，质朴的民风，造就了富阳区丰富多彩的非物质文化遗产。这些非物质文化遗产具有深厚的历史渊源和鲜明的水乡特色，她们是长久以来富阳人民精神价值、思维方式、创造能力的集中体现，是今日富阳珍贵的文化资源，更是浙江传统文化的优秀代表。享誉千年的竹纸文化、孝心独具的传统习俗、博大精深的骨伤技艺、精彩纷呈的民俗活动等，为这座正在全力发展中的山水名城增添了浓厚的文化底蕴。</w:t>
      </w:r>
    </w:p>
    <w:p>
      <w:pPr>
        <w:spacing w:line="440" w:lineRule="exact"/>
        <w:ind w:firstLine="480" w:firstLineChars="200"/>
        <w:rPr>
          <w:rFonts w:ascii="宋体" w:hAnsi="宋体"/>
        </w:rPr>
      </w:pPr>
      <w:r>
        <w:rPr>
          <w:rFonts w:hint="eastAsia" w:ascii="宋体" w:hAnsi="宋体"/>
        </w:rPr>
        <w:t>1.3近年来，在区委、区政府的高度重视和关心下，我区非遗保护工作认真贯彻“保护为主、抢救第一、合理利用、传承发展”的保护方针，围绕“科学保护，提高能力，弘扬价值，发展振兴”的重点任务，坚持“以保护促传承、以传承促发展”的工作原则，秉承“见人见物见生活”的发展理念，着力构建名录体系，着力完善传承机制，着力推进产业融合，形成了“优势项目引领、品牌项目扶持、濒危项目抢救”的多元化保护格局，非物质文化遗产得到了较好的传承发展，始终走在全省前列。</w:t>
      </w:r>
    </w:p>
    <w:p>
      <w:pPr>
        <w:spacing w:line="440" w:lineRule="exact"/>
        <w:ind w:firstLine="480" w:firstLineChars="200"/>
        <w:rPr>
          <w:rFonts w:hint="eastAsia" w:ascii="宋体" w:hAnsi="宋体"/>
        </w:rPr>
      </w:pPr>
      <w:r>
        <w:rPr>
          <w:rFonts w:hint="eastAsia" w:ascii="宋体" w:hAnsi="宋体"/>
        </w:rPr>
        <w:t>1.4目前，全区共有各级非物质文化遗产代表性项目：国家级3</w:t>
      </w:r>
      <w:r>
        <w:rPr>
          <w:rFonts w:hint="eastAsia" w:ascii="宋体" w:hAnsi="宋体"/>
          <w:lang w:eastAsia="zh-CN"/>
        </w:rPr>
        <w:t>项</w:t>
      </w:r>
      <w:r>
        <w:rPr>
          <w:rFonts w:hint="eastAsia" w:ascii="宋体" w:hAnsi="宋体"/>
        </w:rPr>
        <w:t>，省级15</w:t>
      </w:r>
      <w:r>
        <w:rPr>
          <w:rFonts w:hint="eastAsia" w:ascii="宋体" w:hAnsi="宋体"/>
          <w:lang w:eastAsia="zh-CN"/>
        </w:rPr>
        <w:t>项</w:t>
      </w:r>
      <w:r>
        <w:rPr>
          <w:rFonts w:hint="eastAsia" w:ascii="宋体" w:hAnsi="宋体"/>
        </w:rPr>
        <w:t>，市级35</w:t>
      </w:r>
      <w:r>
        <w:rPr>
          <w:rFonts w:hint="eastAsia" w:ascii="宋体" w:hAnsi="宋体"/>
          <w:lang w:eastAsia="zh-CN"/>
        </w:rPr>
        <w:t>项</w:t>
      </w:r>
      <w:r>
        <w:rPr>
          <w:rFonts w:hint="eastAsia" w:ascii="宋体" w:hAnsi="宋体"/>
        </w:rPr>
        <w:t>，区级133</w:t>
      </w:r>
      <w:r>
        <w:rPr>
          <w:rFonts w:hint="eastAsia" w:ascii="宋体" w:hAnsi="宋体"/>
          <w:lang w:eastAsia="zh-CN"/>
        </w:rPr>
        <w:t>项</w:t>
      </w:r>
      <w:r>
        <w:rPr>
          <w:rFonts w:hint="eastAsia" w:ascii="宋体" w:hAnsi="宋体"/>
        </w:rPr>
        <w:t>。</w:t>
      </w:r>
    </w:p>
    <w:p>
      <w:pPr>
        <w:spacing w:line="440" w:lineRule="exact"/>
        <w:ind w:firstLine="480" w:firstLineChars="200"/>
        <w:rPr>
          <w:rFonts w:hint="eastAsia" w:ascii="宋体" w:hAnsi="宋体"/>
        </w:rPr>
      </w:pPr>
      <w:r>
        <w:rPr>
          <w:rFonts w:hint="eastAsia" w:ascii="宋体" w:hAnsi="宋体"/>
        </w:rPr>
        <w:t>1.5富阳区非物质文化遗产代表性项目：</w:t>
      </w:r>
    </w:p>
    <w:tbl>
      <w:tblPr>
        <w:tblStyle w:val="89"/>
        <w:tblW w:w="8874" w:type="dxa"/>
        <w:tblInd w:w="93" w:type="dxa"/>
        <w:shd w:val="clear" w:color="auto" w:fill="FFFFFF"/>
        <w:tblLayout w:type="fixed"/>
        <w:tblCellMar>
          <w:top w:w="0" w:type="dxa"/>
          <w:left w:w="108" w:type="dxa"/>
          <w:bottom w:w="0" w:type="dxa"/>
          <w:right w:w="108" w:type="dxa"/>
        </w:tblCellMar>
      </w:tblPr>
      <w:tblGrid>
        <w:gridCol w:w="582"/>
        <w:gridCol w:w="1132"/>
        <w:gridCol w:w="2648"/>
        <w:gridCol w:w="2880"/>
        <w:gridCol w:w="1632"/>
      </w:tblGrid>
      <w:tr>
        <w:tblPrEx>
          <w:shd w:val="clear" w:color="auto" w:fill="FFFFFF"/>
          <w:tblCellMar>
            <w:top w:w="0" w:type="dxa"/>
            <w:left w:w="108" w:type="dxa"/>
            <w:bottom w:w="0" w:type="dxa"/>
            <w:right w:w="108" w:type="dxa"/>
          </w:tblCellMar>
        </w:tblPrEx>
        <w:trPr>
          <w:trHeight w:val="411" w:hRule="atLeast"/>
        </w:trPr>
        <w:tc>
          <w:tcPr>
            <w:tcW w:w="8874" w:type="dxa"/>
            <w:gridSpan w:val="5"/>
            <w:tcBorders>
              <w:top w:val="single" w:color="auto" w:sz="4" w:space="0"/>
              <w:left w:val="single" w:color="auto" w:sz="4" w:space="0"/>
              <w:bottom w:val="single" w:color="auto" w:sz="4" w:space="0"/>
              <w:right w:val="single" w:color="auto" w:sz="4" w:space="0"/>
            </w:tcBorders>
            <w:shd w:val="clear" w:color="auto" w:fill="FFFFFF"/>
            <w:noWrap/>
            <w:vAlign w:val="bottom"/>
          </w:tcPr>
          <w:tbl>
            <w:tblPr>
              <w:tblStyle w:val="89"/>
              <w:tblW w:w="8240" w:type="dxa"/>
              <w:tblInd w:w="93" w:type="dxa"/>
              <w:tblLayout w:type="fixed"/>
              <w:tblCellMar>
                <w:top w:w="0" w:type="dxa"/>
                <w:left w:w="108" w:type="dxa"/>
                <w:bottom w:w="0" w:type="dxa"/>
                <w:right w:w="108" w:type="dxa"/>
              </w:tblCellMar>
            </w:tblPr>
            <w:tblGrid>
              <w:gridCol w:w="8240"/>
            </w:tblGrid>
            <w:tr>
              <w:tblPrEx>
                <w:tblCellMar>
                  <w:top w:w="0" w:type="dxa"/>
                  <w:left w:w="108" w:type="dxa"/>
                  <w:bottom w:w="0" w:type="dxa"/>
                  <w:right w:w="108" w:type="dxa"/>
                </w:tblCellMar>
              </w:tblPrEx>
              <w:trPr>
                <w:trHeight w:val="613" w:hRule="atLeast"/>
              </w:trPr>
              <w:tc>
                <w:tcPr>
                  <w:tcW w:w="8240" w:type="dxa"/>
                  <w:tcBorders>
                    <w:top w:val="nil"/>
                    <w:left w:val="nil"/>
                    <w:bottom w:val="nil"/>
                    <w:right w:val="nil"/>
                  </w:tcBorders>
                  <w:noWrap/>
                  <w:vAlign w:val="center"/>
                </w:tcPr>
                <w:p>
                  <w:pPr>
                    <w:spacing w:line="440" w:lineRule="exact"/>
                    <w:ind w:firstLine="360" w:firstLineChars="200"/>
                    <w:rPr>
                      <w:rFonts w:hint="eastAsia" w:ascii="宋体" w:hAnsi="宋体"/>
                    </w:rPr>
                  </w:pPr>
                  <w:r>
                    <w:rPr>
                      <w:rFonts w:hint="eastAsia" w:ascii="宋体" w:hAnsi="宋体" w:cs="宋体"/>
                      <w:color w:val="000000"/>
                      <w:sz w:val="18"/>
                      <w:szCs w:val="18"/>
                    </w:rPr>
                    <w:t>富阳区四级非物质文化遗产名录</w:t>
                  </w:r>
                </w:p>
              </w:tc>
            </w:tr>
          </w:tbl>
          <w:p>
            <w:pPr>
              <w:spacing w:line="440" w:lineRule="exact"/>
              <w:ind w:firstLine="480" w:firstLineChars="200"/>
              <w:rPr>
                <w:rFonts w:hint="eastAsia" w:ascii="宋体" w:hAnsi="宋体"/>
              </w:rPr>
            </w:pP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序号</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级别</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项目名称</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公布时间批次</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sz w:val="18"/>
                <w:szCs w:val="18"/>
                <w:lang w:eastAsia="zh-CN"/>
              </w:rPr>
            </w:pPr>
            <w:r>
              <w:rPr>
                <w:rFonts w:hint="eastAsia" w:ascii="宋体" w:hAnsi="宋体" w:cs="宋体"/>
                <w:color w:val="000000"/>
                <w:sz w:val="18"/>
                <w:szCs w:val="18"/>
                <w:lang w:eastAsia="zh-CN"/>
              </w:rPr>
              <w:t>类别</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kern w:val="3"/>
                <w:sz w:val="18"/>
                <w:szCs w:val="18"/>
                <w:lang w:val="en-US" w:eastAsia="zh-CN" w:bidi="ar-SA"/>
              </w:rPr>
            </w:pPr>
            <w:r>
              <w:rPr>
                <w:rFonts w:hint="eastAsia" w:ascii="宋体" w:hAnsi="宋体" w:cs="宋体"/>
                <w:color w:val="000000"/>
                <w:sz w:val="18"/>
                <w:szCs w:val="18"/>
              </w:rPr>
              <w:t>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kern w:val="3"/>
                <w:sz w:val="18"/>
                <w:szCs w:val="18"/>
                <w:lang w:val="en-US" w:eastAsia="zh-CN" w:bidi="ar-SA"/>
              </w:rPr>
            </w:pPr>
            <w:r>
              <w:rPr>
                <w:rFonts w:hint="eastAsia" w:ascii="宋体" w:hAnsi="宋体" w:cs="宋体"/>
                <w:color w:val="000000"/>
                <w:sz w:val="18"/>
                <w:szCs w:val="18"/>
              </w:rPr>
              <w:t>国家级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kern w:val="3"/>
                <w:sz w:val="18"/>
                <w:szCs w:val="18"/>
                <w:lang w:val="en-US" w:eastAsia="zh-CN" w:bidi="ar-SA"/>
              </w:rPr>
            </w:pPr>
            <w:r>
              <w:rPr>
                <w:rFonts w:hint="eastAsia" w:ascii="宋体" w:hAnsi="宋体" w:cs="宋体"/>
                <w:color w:val="000000"/>
                <w:sz w:val="18"/>
                <w:szCs w:val="18"/>
              </w:rPr>
              <w:t>竹纸制作技艺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kern w:val="3"/>
                <w:sz w:val="18"/>
                <w:szCs w:val="18"/>
                <w:lang w:val="en-US" w:eastAsia="zh-CN" w:bidi="ar-SA"/>
              </w:rPr>
            </w:pPr>
            <w:r>
              <w:rPr>
                <w:rFonts w:hint="eastAsia" w:ascii="宋体" w:hAnsi="宋体" w:cs="宋体"/>
                <w:color w:val="000000"/>
                <w:sz w:val="18"/>
                <w:szCs w:val="18"/>
              </w:rPr>
              <w:t>国1（200605）省2市1富1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hint="eastAsia" w:ascii="宋体" w:hAnsi="宋体" w:eastAsia="仿宋" w:cs="宋体"/>
                <w:color w:val="000000"/>
                <w:kern w:val="3"/>
                <w:sz w:val="18"/>
                <w:szCs w:val="18"/>
                <w:lang w:val="en-US" w:eastAsia="zh-CN" w:bidi="ar-SA"/>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570"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国家级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中医正骨疗法（张氏骨伤疗法）</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国3（201105）省3市2富2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传统医药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国家级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民间信俗（孝子祭）</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国4（201411）省3市2富2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朱三与刘二姐长篇叙事民歌</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省2（200706）市1富1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罗隐传说</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省3（200906）市2富2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跳仙鹤</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省2（200706）市1富1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竹马（东吴战马）</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省1扩展（200906）市2（市1扩展）富1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570"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传统木船制作技艺（富阳手工木船制造技艺）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省2扩展（200906）市2富1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鼓亭锣鼓</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省2（200706）市1富1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540"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豆制品传统制作技艺（东坞山豆腐皮制作技艺）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省3（200906）市2富2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孙权传说</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省4（201206）市1富2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龙舞（梓树布龙）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省4（201206）市2（市1扩展）富1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“活金死刘”习俗</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省4（201206）市3富3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龙门九月初一庙会</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省4（201206）市3富3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富阳纸伞制作技艺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省4（201206）市4富1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大头和尚（禅灯）</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市2（200812）富3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传统戏剧</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文武双狮</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市2（200812）富2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富春茶龙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市4（201102）富4</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青狮舞</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市3（200906）富3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梅花锣鼓</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 xml:space="preserve">市3（200906）富2 </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钱塘江渔歌（富春江渔歌）</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市3（2扩）200906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安顶云雾茶制作技艺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市2（200812）富2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雕版印刷术</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市1（200612）富1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永昌臭豆腐制作技艺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市3（2扩）200906富3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富阳竹帘制作技艺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市4（201102）富4</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常绿纸伞</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市1（200612）富1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赤松竹藤编织技艺（竹编）</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杭5（201409）富4</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民间布艺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杭5（201409）富5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29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竹刻</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杭5（201409）富5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龙门孙氏祭祖大典</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杭5（201409）富5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320"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常安前山园民间传统武术</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杭5（201409）富6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传统体育、游艺和竞技</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传统装帧技艺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杭5（201409）富5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施肩吾传说</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富3（200903）杭6(20160223)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场口八月半</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富3（200903）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二董传说</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富3（200903）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汪家竹马</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富1（200611）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龙门魁星舞</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龙门魁星（富1）200611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大源魁星舞</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大源魁星（富3）200903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39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鹦歌戏</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富1（200611）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曲艺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新登双龙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富1（200611）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畲族歌舞</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富1（200611）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春建青龙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富1（200611）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瀑布神龙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富1（200611）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窈口板龙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富2（200807）</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十番锣鼓</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富2（200807）</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工尺谱</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富3（200903）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壁 画</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富1（200611）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根 雕</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富3（200903）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49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富春剪纸</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富阳刺绣</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纸糊高照</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富4（201006）杭6（20160223）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渔网编织技艺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富3（200903）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香袋制作技艺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传统油漆技艺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农具（水车）制作技艺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富3（200903）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高桥毛笔制作技艺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手工缫丝技艺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龙门面筋制作技艺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59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春江水灯会</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富2（200807）</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郎氏婚礼习俗</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富4（201006）</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二胡制作技艺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朱记裱画</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土烧酒酿制技艺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箍桶制作技艺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灰汤粽制作技艺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索面制作技艺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竹丝画帘</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杭州市级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周氏骨髓炎疗法</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富5（201301）杭6（20160223）</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传统医药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69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畲族婚嫁习俗</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大章村板凳龙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青何青龙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富5（201301）</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郎飞贵故事</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孙式太极拳</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传统体育、游艺和竞技</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东洲杨家传统拳术</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传统体育、游艺和竞技</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金锲画</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瓦刻</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手工织带技艺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石印技艺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79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砌石墙技艺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竹家俱制作技艺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吴氏中草药治疗肿瘤</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传统医药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开镰尝新习俗</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上村曹氏祭祖</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富阳市级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环山十月半庙会</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富6（201405）</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龙门故事</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天钟山传说</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常绿民间故事</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民间文学</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道场音乐</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89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金枪锣鼓</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众缘十番锣鼓</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传统音乐</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俞家竹马</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官塘青龙</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渌渚青狮</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曹氏龙灯</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传统舞蹈</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跳大头</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传统戏剧</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越剧</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传统戏剧</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独脚戏</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曲艺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双溪拳</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 w:val="18"/>
                <w:szCs w:val="18"/>
              </w:rPr>
            </w:pPr>
            <w:r>
              <w:rPr>
                <w:rFonts w:hint="eastAsia" w:ascii="宋体" w:hAnsi="宋体" w:cs="宋体"/>
                <w:color w:val="000000"/>
                <w:sz w:val="18"/>
                <w:szCs w:val="18"/>
              </w:rPr>
              <w:t>传统体育、游艺与杂技</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99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烙画</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木雕</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石雕（刻）</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扎制技艺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楹联匾额制作技艺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麦草扇制作技艺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竹窗帘制作技艺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清水丝绵制作技艺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草鞋制作技艺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弹棉花</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109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打铁</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锡器制作技艺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桑皮纸制作技艺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古民居营造技艺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鸟笼制作技艺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草纸制作技艺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中草药采摘技艺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传统医药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龙门孙氏续谱编修习俗</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杨清庙庙会</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宁江王出巡</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富7（20170802）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119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望清明</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民俗</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富阳铜雕</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竹木小件雕刻</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富春印染</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传统美术</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观音豆腐制作技艺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124</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白切羊肉制作技艺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125</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畲乡乌米饭制作技艺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126</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酥饼制作技艺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127</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同裕昌豆制品制作技艺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128</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手工姜糖制作技艺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129</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馒头制作技艺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130</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笠帽制作技艺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shd w:val="clear" w:color="auto" w:fill="FFFFFF"/>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131</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晒帚制作技艺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132</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传统木家具制作技艺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r>
        <w:tblPrEx>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133</w:t>
            </w:r>
          </w:p>
        </w:tc>
        <w:tc>
          <w:tcPr>
            <w:tcW w:w="11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富阳区级</w:t>
            </w:r>
          </w:p>
        </w:tc>
        <w:tc>
          <w:tcPr>
            <w:tcW w:w="2648"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传统榫卯技艺</w:t>
            </w:r>
          </w:p>
        </w:tc>
        <w:tc>
          <w:tcPr>
            <w:tcW w:w="2880"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富8（20210312）</w:t>
            </w:r>
          </w:p>
        </w:tc>
        <w:tc>
          <w:tcPr>
            <w:tcW w:w="1632" w:type="dxa"/>
            <w:tcBorders>
              <w:top w:val="single" w:color="auto" w:sz="4" w:space="0"/>
              <w:left w:val="single" w:color="auto" w:sz="4" w:space="0"/>
              <w:bottom w:val="single" w:color="auto" w:sz="4" w:space="0"/>
              <w:right w:val="single" w:color="auto" w:sz="4" w:space="0"/>
            </w:tcBorders>
            <w:shd w:val="clear" w:color="auto" w:fill="FFFFFF"/>
            <w:noWrap/>
            <w:vAlign w:val="bottom"/>
          </w:tcPr>
          <w:p>
            <w:pPr>
              <w:rPr>
                <w:rFonts w:ascii="宋体" w:hAnsi="宋体" w:cs="宋体"/>
                <w:color w:val="000000"/>
                <w:sz w:val="18"/>
                <w:szCs w:val="18"/>
              </w:rPr>
            </w:pPr>
            <w:r>
              <w:rPr>
                <w:rFonts w:hint="eastAsia" w:ascii="宋体" w:hAnsi="宋体" w:cs="宋体"/>
                <w:color w:val="000000"/>
                <w:sz w:val="18"/>
                <w:szCs w:val="18"/>
              </w:rPr>
              <w:t>传统技艺</w:t>
            </w:r>
          </w:p>
        </w:tc>
      </w:tr>
    </w:tbl>
    <w:p>
      <w:pPr>
        <w:pStyle w:val="3"/>
        <w:ind w:firstLine="210"/>
      </w:pPr>
    </w:p>
    <w:p>
      <w:pPr>
        <w:ind w:firstLine="480" w:firstLineChars="200"/>
        <w:rPr>
          <w:rFonts w:ascii="宋体" w:hAnsi="宋体" w:cs="宋体"/>
          <w:bCs/>
        </w:rPr>
      </w:pPr>
      <w:r>
        <w:rPr>
          <w:rFonts w:hint="eastAsia" w:ascii="宋体" w:hAnsi="宋体" w:cs="宋体"/>
          <w:bCs/>
        </w:rPr>
        <w:t>2、设计主题：本项目</w:t>
      </w:r>
      <w:r>
        <w:rPr>
          <w:rFonts w:hint="eastAsia" w:ascii="宋体" w:hAnsi="宋体" w:cs="宋体"/>
          <w:bCs/>
          <w:highlight w:val="none"/>
        </w:rPr>
        <w:t>以一名</w:t>
      </w:r>
      <w:r>
        <w:rPr>
          <w:rFonts w:hint="eastAsia" w:ascii="宋体" w:hAnsi="宋体" w:cs="宋体"/>
          <w:bCs/>
          <w:highlight w:val="none"/>
          <w:lang w:eastAsia="zh-CN"/>
        </w:rPr>
        <w:t>参观者的身份</w:t>
      </w:r>
      <w:r>
        <w:rPr>
          <w:rFonts w:hint="eastAsia" w:ascii="宋体" w:hAnsi="宋体" w:cs="宋体"/>
          <w:bCs/>
          <w:highlight w:val="none"/>
        </w:rPr>
        <w:t>来富阳赴一场盛大的</w:t>
      </w:r>
      <w:r>
        <w:rPr>
          <w:rFonts w:hint="eastAsia" w:ascii="宋体" w:hAnsi="宋体" w:cs="宋体"/>
          <w:bCs/>
        </w:rPr>
        <w:t>非遗活动为主线来展开。要求响应供应商自行进行现场勘查，根据现场环境挖掘富阳非遗的特色进行设计构思，在原来建筑进行重新设计规划。设计应该充分考虑旧建筑原有的特征，在不改变原建筑结构的基础上进行规划设计，设计既满足内容需求同时也符合展览参观的人性化。</w:t>
      </w:r>
    </w:p>
    <w:p>
      <w:pPr>
        <w:ind w:firstLine="480" w:firstLineChars="200"/>
        <w:rPr>
          <w:rFonts w:ascii="宋体" w:hAnsi="宋体" w:cs="宋体"/>
          <w:bCs/>
        </w:rPr>
      </w:pPr>
      <w:r>
        <w:rPr>
          <w:rFonts w:hint="eastAsia" w:ascii="宋体" w:hAnsi="宋体" w:cs="宋体"/>
          <w:bCs/>
        </w:rPr>
        <w:t>2.1主题要求具有鲜明的特色，各供应商可以根据自行收集整理资料进行提炼创意、设计，空间功能分割可根据主题需要划分为大厅、非遗展厅、临时展厅、书屋、办公等区域。</w:t>
      </w:r>
    </w:p>
    <w:p>
      <w:pPr>
        <w:ind w:firstLine="480" w:firstLineChars="200"/>
        <w:rPr>
          <w:rFonts w:ascii="宋体" w:hAnsi="宋体" w:cs="宋体"/>
          <w:bCs/>
        </w:rPr>
      </w:pPr>
      <w:r>
        <w:rPr>
          <w:rFonts w:hint="eastAsia" w:ascii="宋体" w:hAnsi="宋体" w:cs="宋体"/>
          <w:bCs/>
        </w:rPr>
        <w:t>2.2主题表现方式既要具有一定的技术前瞻性，同时也要遵循本地文化特征，应以富阳区域内的非遗作品和实物的展示展陈为主导，不宜滥用数字化展示技术，满足展览展示并兼顾互动的功能需求。</w:t>
      </w:r>
    </w:p>
    <w:p>
      <w:pPr>
        <w:ind w:firstLine="480" w:firstLineChars="200"/>
        <w:rPr>
          <w:rFonts w:ascii="宋体" w:hAnsi="宋体" w:cs="宋体"/>
          <w:bCs/>
        </w:rPr>
      </w:pPr>
      <w:r>
        <w:rPr>
          <w:rFonts w:hint="eastAsia" w:ascii="宋体" w:hAnsi="宋体" w:cs="宋体"/>
          <w:bCs/>
        </w:rPr>
        <w:t>2.3设计要求协调，设计手法、材料使用、氛围营造方面需考虑实用性与设计性相结合。</w:t>
      </w:r>
    </w:p>
    <w:p>
      <w:pPr>
        <w:ind w:firstLine="480" w:firstLineChars="200"/>
        <w:rPr>
          <w:rFonts w:hint="eastAsia" w:ascii="宋体" w:hAnsi="宋体" w:cs="宋体"/>
          <w:bCs/>
        </w:rPr>
      </w:pPr>
      <w:r>
        <w:rPr>
          <w:rFonts w:hint="eastAsia" w:ascii="宋体" w:hAnsi="宋体" w:cs="宋体"/>
          <w:bCs/>
        </w:rPr>
        <w:t>3.功能定位</w:t>
      </w:r>
    </w:p>
    <w:p>
      <w:pPr>
        <w:ind w:firstLine="480" w:firstLineChars="200"/>
        <w:rPr>
          <w:rFonts w:hint="eastAsia" w:ascii="宋体" w:hAnsi="宋体" w:cs="宋体"/>
          <w:bCs/>
        </w:rPr>
      </w:pPr>
      <w:r>
        <w:rPr>
          <w:rFonts w:hint="eastAsia" w:ascii="宋体" w:hAnsi="宋体" w:cs="宋体"/>
          <w:bCs/>
        </w:rPr>
        <w:t>3.1主要功能</w:t>
      </w:r>
    </w:p>
    <w:p>
      <w:pPr>
        <w:ind w:firstLine="480" w:firstLineChars="200"/>
        <w:rPr>
          <w:rFonts w:hint="eastAsia" w:ascii="宋体" w:hAnsi="宋体" w:cs="宋体"/>
          <w:bCs/>
        </w:rPr>
      </w:pPr>
      <w:r>
        <w:rPr>
          <w:rFonts w:hint="eastAsia" w:ascii="宋体" w:hAnsi="宋体" w:cs="宋体"/>
          <w:bCs/>
        </w:rPr>
        <w:t>本馆主要功能是：保存与保护、传承与传播、展示与展演、研究与研习。</w:t>
      </w:r>
    </w:p>
    <w:p>
      <w:pPr>
        <w:ind w:firstLine="480" w:firstLineChars="200"/>
        <w:rPr>
          <w:rFonts w:hint="eastAsia" w:ascii="宋体" w:hAnsi="宋体" w:cs="宋体"/>
          <w:bCs/>
        </w:rPr>
      </w:pPr>
      <w:r>
        <w:rPr>
          <w:rFonts w:hint="eastAsia" w:ascii="宋体" w:hAnsi="宋体" w:cs="宋体"/>
          <w:bCs/>
        </w:rPr>
        <w:t>同时，积极服务于富阳区的总体发展，集聚人气，带动旅游，形成品牌，扩大影响。</w:t>
      </w:r>
    </w:p>
    <w:p>
      <w:pPr>
        <w:ind w:firstLine="480" w:firstLineChars="200"/>
        <w:rPr>
          <w:rFonts w:hint="eastAsia" w:ascii="宋体" w:hAnsi="宋体" w:cs="宋体"/>
          <w:bCs/>
        </w:rPr>
      </w:pPr>
      <w:r>
        <w:rPr>
          <w:rFonts w:hint="eastAsia" w:ascii="宋体" w:hAnsi="宋体" w:cs="宋体"/>
          <w:bCs/>
        </w:rPr>
        <w:t>3.2建馆定位</w:t>
      </w:r>
    </w:p>
    <w:p>
      <w:pPr>
        <w:ind w:firstLine="480" w:firstLineChars="200"/>
        <w:rPr>
          <w:rFonts w:hint="eastAsia" w:ascii="宋体" w:hAnsi="宋体" w:cs="宋体"/>
          <w:bCs/>
        </w:rPr>
      </w:pPr>
      <w:r>
        <w:rPr>
          <w:rFonts w:hint="eastAsia" w:ascii="宋体" w:hAnsi="宋体" w:cs="宋体"/>
          <w:bCs/>
        </w:rPr>
        <w:t>3.2.1展示定位：</w:t>
      </w:r>
    </w:p>
    <w:p>
      <w:pPr>
        <w:ind w:firstLine="480" w:firstLineChars="200"/>
        <w:rPr>
          <w:rFonts w:hint="eastAsia" w:ascii="宋体" w:hAnsi="宋体" w:cs="宋体"/>
          <w:bCs/>
        </w:rPr>
      </w:pPr>
      <w:r>
        <w:rPr>
          <w:rFonts w:hint="eastAsia" w:ascii="宋体" w:hAnsi="宋体" w:cs="宋体"/>
          <w:bCs/>
        </w:rPr>
        <w:t>富阳优秀传统文化的传承基地；</w:t>
      </w:r>
    </w:p>
    <w:p>
      <w:pPr>
        <w:ind w:firstLine="480" w:firstLineChars="200"/>
        <w:rPr>
          <w:rFonts w:hint="eastAsia" w:ascii="宋体" w:hAnsi="宋体" w:cs="宋体"/>
          <w:bCs/>
        </w:rPr>
      </w:pPr>
      <w:r>
        <w:rPr>
          <w:rFonts w:hint="eastAsia" w:ascii="宋体" w:hAnsi="宋体" w:cs="宋体"/>
          <w:bCs/>
        </w:rPr>
        <w:t>富阳文化事业发展的宣传窗口；</w:t>
      </w:r>
    </w:p>
    <w:p>
      <w:pPr>
        <w:ind w:firstLine="480" w:firstLineChars="200"/>
        <w:rPr>
          <w:rFonts w:hint="eastAsia" w:ascii="宋体" w:hAnsi="宋体" w:cs="宋体"/>
          <w:bCs/>
        </w:rPr>
      </w:pPr>
      <w:r>
        <w:rPr>
          <w:rFonts w:hint="eastAsia" w:ascii="宋体" w:hAnsi="宋体" w:cs="宋体"/>
          <w:bCs/>
        </w:rPr>
        <w:t>服务全域文旅融合的交互平台；</w:t>
      </w:r>
    </w:p>
    <w:p>
      <w:pPr>
        <w:ind w:firstLine="480" w:firstLineChars="200"/>
        <w:rPr>
          <w:rFonts w:hint="eastAsia" w:ascii="宋体" w:hAnsi="宋体" w:cs="宋体"/>
          <w:bCs/>
        </w:rPr>
      </w:pPr>
      <w:r>
        <w:rPr>
          <w:rFonts w:hint="eastAsia" w:ascii="宋体" w:hAnsi="宋体" w:cs="宋体"/>
          <w:bCs/>
        </w:rPr>
        <w:t>打造富春山居品牌的精神家园。</w:t>
      </w:r>
    </w:p>
    <w:p>
      <w:pPr>
        <w:ind w:firstLine="480" w:firstLineChars="200"/>
        <w:rPr>
          <w:rFonts w:hint="eastAsia" w:ascii="宋体" w:hAnsi="宋体" w:cs="宋体"/>
          <w:bCs/>
        </w:rPr>
      </w:pPr>
      <w:r>
        <w:rPr>
          <w:rFonts w:hint="eastAsia" w:ascii="宋体" w:hAnsi="宋体" w:cs="宋体"/>
          <w:bCs/>
        </w:rPr>
        <w:t xml:space="preserve">3.2.2内涵定位： </w:t>
      </w:r>
    </w:p>
    <w:p>
      <w:pPr>
        <w:ind w:firstLine="480" w:firstLineChars="200"/>
        <w:rPr>
          <w:rFonts w:hint="eastAsia" w:ascii="宋体" w:hAnsi="宋体" w:cs="宋体"/>
          <w:bCs/>
        </w:rPr>
      </w:pPr>
      <w:r>
        <w:rPr>
          <w:rFonts w:hint="eastAsia" w:ascii="宋体" w:hAnsi="宋体" w:cs="宋体"/>
          <w:bCs/>
        </w:rPr>
        <w:t>突出创新、协调、绿色、开放、共享五大发展理念。</w:t>
      </w:r>
    </w:p>
    <w:p>
      <w:pPr>
        <w:ind w:firstLine="480" w:firstLineChars="200"/>
        <w:rPr>
          <w:rFonts w:hint="eastAsia" w:ascii="宋体" w:hAnsi="宋体" w:cs="宋体"/>
          <w:bCs/>
        </w:rPr>
      </w:pPr>
      <w:r>
        <w:rPr>
          <w:rFonts w:hint="eastAsia" w:ascii="宋体" w:hAnsi="宋体" w:cs="宋体"/>
          <w:bCs/>
        </w:rPr>
        <w:t>渲染区域经济率先发展、文化传统大力传承的良好形象，展现富春山居文化、千年竹纸文化、富春江洲文化、三国东吴文化等的独特魅力。</w:t>
      </w:r>
    </w:p>
    <w:p>
      <w:pPr>
        <w:ind w:firstLine="480" w:firstLineChars="200"/>
        <w:rPr>
          <w:rFonts w:hint="eastAsia" w:ascii="宋体" w:hAnsi="宋体" w:cs="宋体"/>
          <w:bCs/>
        </w:rPr>
      </w:pPr>
      <w:r>
        <w:rPr>
          <w:rFonts w:hint="eastAsia" w:ascii="宋体" w:hAnsi="宋体" w:cs="宋体"/>
          <w:bCs/>
        </w:rPr>
        <w:t>引发公众精神共鸣，树立文化自信和文化自觉，以文化认同推动价值观念和伦理道德的向上、向善，聚心聚力守望精神家园。</w:t>
      </w:r>
    </w:p>
    <w:p>
      <w:pPr>
        <w:ind w:firstLine="480" w:firstLineChars="200"/>
        <w:rPr>
          <w:rFonts w:hint="eastAsia" w:ascii="宋体" w:hAnsi="宋体" w:cs="宋体"/>
          <w:bCs/>
        </w:rPr>
      </w:pPr>
      <w:r>
        <w:rPr>
          <w:rFonts w:hint="eastAsia" w:ascii="宋体" w:hAnsi="宋体" w:cs="宋体"/>
          <w:bCs/>
        </w:rPr>
        <w:t>3.2.3受众定位：</w:t>
      </w:r>
    </w:p>
    <w:p>
      <w:pPr>
        <w:ind w:firstLine="480" w:firstLineChars="200"/>
        <w:rPr>
          <w:rFonts w:hint="eastAsia" w:ascii="宋体" w:hAnsi="宋体" w:cs="宋体"/>
          <w:bCs/>
        </w:rPr>
      </w:pPr>
      <w:r>
        <w:rPr>
          <w:rFonts w:hint="eastAsia" w:ascii="宋体" w:hAnsi="宋体" w:cs="宋体"/>
          <w:bCs/>
        </w:rPr>
        <w:t>本馆主要参观者为旅游观光人群；非物质文化遗产保护者、研究者、爱好者；大中小学生；政府、部门参观考察团；普通社会民众等。</w:t>
      </w:r>
    </w:p>
    <w:p>
      <w:pPr>
        <w:ind w:firstLine="480" w:firstLineChars="200"/>
        <w:rPr>
          <w:rFonts w:hint="eastAsia" w:ascii="宋体" w:hAnsi="宋体" w:cs="宋体"/>
          <w:bCs/>
        </w:rPr>
      </w:pPr>
      <w:r>
        <w:rPr>
          <w:rFonts w:hint="eastAsia" w:ascii="宋体" w:hAnsi="宋体" w:cs="宋体"/>
          <w:bCs/>
        </w:rPr>
        <w:t>4.建设目标</w:t>
      </w:r>
    </w:p>
    <w:p>
      <w:pPr>
        <w:ind w:firstLine="480" w:firstLineChars="200"/>
        <w:rPr>
          <w:rFonts w:hint="eastAsia" w:ascii="宋体" w:hAnsi="宋体" w:cs="宋体"/>
          <w:bCs/>
        </w:rPr>
      </w:pPr>
      <w:r>
        <w:rPr>
          <w:rFonts w:hint="eastAsia" w:ascii="宋体" w:hAnsi="宋体" w:cs="宋体"/>
          <w:bCs/>
        </w:rPr>
        <w:t>省内达标的示范场馆。</w:t>
      </w:r>
    </w:p>
    <w:p>
      <w:pPr>
        <w:ind w:firstLine="480" w:firstLineChars="200"/>
        <w:rPr>
          <w:rFonts w:hint="eastAsia" w:ascii="宋体" w:hAnsi="宋体" w:cs="宋体"/>
          <w:bCs/>
        </w:rPr>
      </w:pPr>
      <w:r>
        <w:rPr>
          <w:rFonts w:hint="eastAsia" w:ascii="宋体" w:hAnsi="宋体" w:cs="宋体"/>
          <w:bCs/>
        </w:rPr>
        <w:t>5.布展原则</w:t>
      </w:r>
    </w:p>
    <w:p>
      <w:pPr>
        <w:ind w:firstLine="480" w:firstLineChars="200"/>
        <w:rPr>
          <w:rFonts w:hint="eastAsia" w:ascii="宋体" w:hAnsi="宋体" w:cs="宋体"/>
          <w:bCs/>
        </w:rPr>
      </w:pPr>
      <w:r>
        <w:rPr>
          <w:rFonts w:hint="eastAsia" w:ascii="宋体" w:hAnsi="宋体" w:cs="宋体"/>
          <w:bCs/>
        </w:rPr>
        <w:t>富阳区非物质文化遗产馆的布展设计工作应严格遵循“保护为主、抢救第一、合理利用、传承发展”的非遗保护指导方针，坚持“见人见物见生活”的保护理念，围绕中宣部、文化和旅游部、财政部《非物质文化遗产传承发展工程实施意见》（文旅非遗发〔2019〕15号）提出的“科学保护、提高能力、弘扬价值、发展振兴”这一主要任务，凸显文化特征、地域特色、非遗特点、活态特性。着重把握以下原则：</w:t>
      </w:r>
    </w:p>
    <w:p>
      <w:pPr>
        <w:ind w:firstLine="480" w:firstLineChars="200"/>
        <w:rPr>
          <w:rFonts w:hint="eastAsia" w:ascii="宋体" w:hAnsi="宋体" w:cs="宋体"/>
          <w:bCs/>
        </w:rPr>
      </w:pPr>
      <w:r>
        <w:rPr>
          <w:rFonts w:hint="eastAsia" w:ascii="宋体" w:hAnsi="宋体" w:cs="宋体"/>
          <w:bCs/>
        </w:rPr>
        <w:t>特性与特色的统一“非物质文化遗产”的概念与“物质文化遗产”相比较、相对应，因此作为展示的理念、方法和手段必定有别于物质类文化遗产展馆。其次，非物质文化遗产其重要特性之一就是“活态流变性”。它反映的是一个地方文化遗产的独特性、民族性和群体性，具有强烈的地域特征，非遗馆应在突出地域性的基础上，努力展现项目的活态性。</w:t>
      </w:r>
    </w:p>
    <w:p>
      <w:pPr>
        <w:ind w:firstLine="480" w:firstLineChars="200"/>
        <w:rPr>
          <w:rFonts w:hint="eastAsia" w:ascii="宋体" w:hAnsi="宋体" w:cs="宋体"/>
          <w:bCs/>
        </w:rPr>
      </w:pPr>
      <w:r>
        <w:rPr>
          <w:rFonts w:hint="eastAsia" w:ascii="宋体" w:hAnsi="宋体" w:cs="宋体"/>
          <w:bCs/>
        </w:rPr>
        <w:t>静态展示和活态互动的统一非物质文化遗产的特性要求非遗馆的展示要特别注重交互式观展体验，加强与观众的互动，使参观者身临其境、参与其中，将展览与观众 “单向”受教关系变为互相交流的“双向”关系，以现场展示、展演、研学等方式增加生动性和趣味性。</w:t>
      </w:r>
    </w:p>
    <w:p>
      <w:pPr>
        <w:ind w:firstLine="480" w:firstLineChars="200"/>
        <w:rPr>
          <w:rFonts w:hint="eastAsia" w:ascii="宋体" w:hAnsi="宋体" w:cs="宋体"/>
          <w:bCs/>
        </w:rPr>
      </w:pPr>
      <w:r>
        <w:rPr>
          <w:rFonts w:hint="eastAsia" w:ascii="宋体" w:hAnsi="宋体" w:cs="宋体"/>
          <w:bCs/>
        </w:rPr>
        <w:t>系统完整与突出重点的统一既要全面展示全区的非遗保护成果，又要有所侧重，突出重点项目和特色项目的展示。既不以偏概全，又要以小见大。注重项目与项目之间、门类与门类之间的内在有机联系，适当组团表达，形成展示内容的自然衔接和过渡。</w:t>
      </w:r>
    </w:p>
    <w:p>
      <w:pPr>
        <w:ind w:firstLine="480" w:firstLineChars="200"/>
        <w:rPr>
          <w:rFonts w:hint="eastAsia" w:ascii="宋体" w:hAnsi="宋体" w:cs="宋体"/>
          <w:bCs/>
        </w:rPr>
      </w:pPr>
      <w:r>
        <w:rPr>
          <w:rFonts w:hint="eastAsia" w:ascii="宋体" w:hAnsi="宋体" w:cs="宋体"/>
          <w:bCs/>
        </w:rPr>
        <w:t>形式与内容的统一内容是现实事物的内在要素，而形式是把事物内容诸要素统一起来的结构方式。注重形式和内容的统一，不仅是陈列布展的基本准则，也是准确把握非遗项目、展示非遗项目的真实有效途径。非遗项目的展示更要关注生态环境和人文历史的因素和影响。</w:t>
      </w:r>
    </w:p>
    <w:p>
      <w:pPr>
        <w:pStyle w:val="7"/>
        <w:pageBreakBefore w:val="0"/>
        <w:numPr>
          <w:ilvl w:val="0"/>
          <w:numId w:val="0"/>
        </w:numPr>
        <w:tabs>
          <w:tab w:val="left" w:pos="706"/>
          <w:tab w:val="clear" w:pos="576"/>
        </w:tabs>
        <w:kinsoku/>
        <w:wordWrap/>
        <w:overflowPunct/>
        <w:topLinePunct w:val="0"/>
        <w:autoSpaceDE/>
        <w:autoSpaceDN/>
        <w:bidi w:val="0"/>
        <w:adjustRightInd/>
        <w:snapToGrid/>
        <w:spacing w:before="0" w:after="0" w:line="460" w:lineRule="exact"/>
        <w:ind w:firstLine="562" w:firstLineChars="200"/>
        <w:jc w:val="both"/>
        <w:textAlignment w:val="auto"/>
        <w:rPr>
          <w:color w:val="000000"/>
          <w:sz w:val="28"/>
          <w:szCs w:val="28"/>
        </w:rPr>
      </w:pPr>
      <w:bookmarkStart w:id="11" w:name="_Toc482081801"/>
      <w:r>
        <w:rPr>
          <w:rFonts w:hint="eastAsia"/>
          <w:color w:val="000000"/>
          <w:sz w:val="28"/>
          <w:szCs w:val="28"/>
          <w:lang w:eastAsia="zh-CN"/>
        </w:rPr>
        <w:t>二、</w:t>
      </w:r>
      <w:r>
        <w:rPr>
          <w:color w:val="000000"/>
          <w:sz w:val="28"/>
          <w:szCs w:val="28"/>
        </w:rPr>
        <w:t>设计要求</w:t>
      </w:r>
      <w:bookmarkEnd w:id="11"/>
    </w:p>
    <w:p>
      <w:pPr>
        <w:spacing w:beforeLines="10"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000000"/>
          <w:sz w:val="24"/>
        </w:rPr>
        <w:t>1、设计条件图及相关文件</w:t>
      </w:r>
    </w:p>
    <w:p>
      <w:pPr>
        <w:spacing w:beforeLines="1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1.1</w:t>
      </w:r>
      <w:r>
        <w:rPr>
          <w:rFonts w:hint="eastAsia"/>
          <w:color w:val="000000"/>
        </w:rPr>
        <w:t>《富阳非遗馆初步展览采购需求》</w:t>
      </w:r>
    </w:p>
    <w:p>
      <w:pPr>
        <w:spacing w:beforeLines="10"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本招标文件</w:t>
      </w:r>
      <w:r>
        <w:rPr>
          <w:rFonts w:hint="eastAsia" w:ascii="仿宋" w:hAnsi="仿宋" w:eastAsia="仿宋" w:cs="仿宋"/>
          <w:sz w:val="24"/>
          <w:lang w:val="zh-TW" w:eastAsia="zh-TW"/>
        </w:rPr>
        <w:t>及答疑纪要（或补充文件）</w:t>
      </w:r>
    </w:p>
    <w:p>
      <w:pPr>
        <w:spacing w:beforeLines="10" w:line="360" w:lineRule="auto"/>
        <w:ind w:firstLine="480" w:firstLineChars="200"/>
        <w:rPr>
          <w:rFonts w:ascii="Arial" w:hAnsi="Arial" w:cs="Arial"/>
          <w:color w:val="000000"/>
          <w:sz w:val="24"/>
        </w:rPr>
      </w:pPr>
      <w:r>
        <w:rPr>
          <w:rFonts w:hint="eastAsia" w:ascii="仿宋" w:hAnsi="仿宋" w:eastAsia="仿宋" w:cs="仿宋"/>
          <w:sz w:val="24"/>
          <w:lang w:val="en-US" w:eastAsia="zh-CN"/>
        </w:rPr>
        <w:t>1.3</w:t>
      </w:r>
      <w:r>
        <w:rPr>
          <w:rFonts w:hint="eastAsia" w:ascii="仿宋" w:hAnsi="仿宋" w:eastAsia="仿宋" w:cs="仿宋"/>
          <w:sz w:val="24"/>
          <w:lang w:val="zh-TW" w:eastAsia="zh-TW"/>
        </w:rPr>
        <w:t>建筑</w:t>
      </w:r>
      <w:r>
        <w:rPr>
          <w:rFonts w:hint="eastAsia" w:ascii="仿宋" w:hAnsi="仿宋" w:eastAsia="仿宋" w:cs="仿宋"/>
          <w:sz w:val="24"/>
          <w:u w:color="FF0000"/>
          <w:lang w:val="zh-TW" w:eastAsia="zh-TW"/>
        </w:rPr>
        <w:t>工</w:t>
      </w:r>
      <w:r>
        <w:rPr>
          <w:rFonts w:ascii="宋体" w:hAnsi="宋体" w:cs="宋体"/>
          <w:sz w:val="24"/>
          <w:u w:color="FF0000"/>
          <w:lang w:val="zh-TW" w:eastAsia="zh-TW"/>
        </w:rPr>
        <w:t>程土建、机电、消防、暖通、功能布局、流线</w:t>
      </w:r>
      <w:r>
        <w:rPr>
          <w:rFonts w:ascii="宋体" w:hAnsi="宋体" w:cs="宋体"/>
          <w:sz w:val="24"/>
          <w:lang w:val="zh-TW" w:eastAsia="zh-TW"/>
        </w:rPr>
        <w:t>等</w:t>
      </w:r>
      <w:r>
        <w:rPr>
          <w:rFonts w:hint="eastAsia" w:ascii="Arial" w:hAnsi="Arial" w:cs="Arial"/>
          <w:color w:val="000000"/>
          <w:sz w:val="24"/>
        </w:rPr>
        <w:t>相关图纸</w:t>
      </w:r>
    </w:p>
    <w:p>
      <w:pPr>
        <w:numPr>
          <w:ilvl w:val="0"/>
          <w:numId w:val="5"/>
        </w:numPr>
        <w:spacing w:beforeLines="10" w:line="360" w:lineRule="auto"/>
        <w:rPr>
          <w:rFonts w:hint="eastAsia" w:ascii="仿宋" w:hAnsi="仿宋" w:eastAsia="仿宋" w:cs="仿宋"/>
          <w:b/>
          <w:bCs/>
          <w:color w:val="000000"/>
          <w:sz w:val="24"/>
        </w:rPr>
      </w:pPr>
      <w:r>
        <w:rPr>
          <w:rFonts w:hint="eastAsia" w:ascii="仿宋" w:hAnsi="仿宋" w:eastAsia="仿宋" w:cs="仿宋"/>
          <w:b/>
          <w:bCs/>
          <w:color w:val="000000"/>
          <w:sz w:val="24"/>
        </w:rPr>
        <w:t>设计基本要求</w:t>
      </w:r>
    </w:p>
    <w:p>
      <w:pPr>
        <w:spacing w:line="440" w:lineRule="exact"/>
        <w:ind w:firstLine="480" w:firstLineChars="200"/>
        <w:rPr>
          <w:rFonts w:ascii="宋体" w:hAnsi="宋体"/>
          <w:sz w:val="24"/>
        </w:rPr>
      </w:pPr>
      <w:bookmarkStart w:id="12" w:name="_Toc482081802"/>
      <w:r>
        <w:rPr>
          <w:rFonts w:hint="eastAsia" w:ascii="宋体" w:hAnsi="宋体"/>
          <w:sz w:val="24"/>
        </w:rPr>
        <w:t>2.1总体要求</w:t>
      </w:r>
    </w:p>
    <w:p>
      <w:pPr>
        <w:spacing w:line="440" w:lineRule="exact"/>
        <w:ind w:firstLine="480" w:firstLineChars="200"/>
        <w:rPr>
          <w:rFonts w:ascii="宋体" w:hAnsi="宋体"/>
          <w:sz w:val="24"/>
        </w:rPr>
      </w:pPr>
      <w:r>
        <w:rPr>
          <w:rFonts w:hint="eastAsia" w:ascii="宋体" w:hAnsi="宋体"/>
          <w:sz w:val="24"/>
        </w:rPr>
        <w:t>2.1.1综合性</w:t>
      </w:r>
    </w:p>
    <w:p>
      <w:pPr>
        <w:spacing w:line="440" w:lineRule="exact"/>
        <w:ind w:firstLine="480" w:firstLineChars="200"/>
        <w:rPr>
          <w:rFonts w:ascii="宋体" w:hAnsi="宋体"/>
          <w:sz w:val="24"/>
        </w:rPr>
      </w:pPr>
      <w:r>
        <w:rPr>
          <w:rFonts w:hint="eastAsia" w:ascii="宋体" w:hAnsi="宋体"/>
          <w:sz w:val="24"/>
        </w:rPr>
        <w:t>能够综合、全面反映富阳非遗资源和保护成果全貌，展示本地非物质文化遗产的丰富性和多样性，凸显文明的原创力、艺术的感染力、人文的震撼力、文化的塑造力和历史的穿透力。非物质文化遗产项目具有地域化、类型化的特征，布展设计可采取同类合并、以点带面等方式予以展现。</w:t>
      </w:r>
    </w:p>
    <w:p>
      <w:pPr>
        <w:spacing w:line="440" w:lineRule="exact"/>
        <w:ind w:firstLine="480" w:firstLineChars="200"/>
        <w:rPr>
          <w:rFonts w:ascii="宋体" w:hAnsi="宋体"/>
          <w:sz w:val="24"/>
        </w:rPr>
      </w:pPr>
      <w:r>
        <w:rPr>
          <w:rFonts w:hint="eastAsia" w:ascii="宋体" w:hAnsi="宋体"/>
          <w:sz w:val="24"/>
        </w:rPr>
        <w:t>2.1.2融入性</w:t>
      </w:r>
    </w:p>
    <w:p>
      <w:pPr>
        <w:spacing w:line="440" w:lineRule="exact"/>
        <w:ind w:firstLine="480" w:firstLineChars="200"/>
        <w:rPr>
          <w:rFonts w:ascii="宋体" w:hAnsi="宋体"/>
          <w:sz w:val="24"/>
        </w:rPr>
      </w:pPr>
      <w:r>
        <w:rPr>
          <w:rFonts w:hint="eastAsia" w:ascii="宋体" w:hAnsi="宋体"/>
          <w:sz w:val="24"/>
        </w:rPr>
        <w:t>根据项目内容特点，充分利用多种展示手法。通过营造情境氛围和声音、影像、场景的结合运用，让参观人群通过展览有所思考、有所感悟，在众多的非遗项目中找到情感交叉点，勾起乡愁，启迪民智。要依照非遗活态特点，设置可供互动、体验、参与、尝试的环节。除珍贵实物外，减少封闭式、隔离式展示，让每一位参观者看得清、摸得着、进得去。</w:t>
      </w:r>
    </w:p>
    <w:p>
      <w:pPr>
        <w:spacing w:line="440" w:lineRule="exact"/>
        <w:ind w:firstLine="480" w:firstLineChars="200"/>
        <w:rPr>
          <w:rFonts w:ascii="宋体" w:hAnsi="宋体"/>
          <w:sz w:val="24"/>
        </w:rPr>
      </w:pPr>
      <w:r>
        <w:rPr>
          <w:rFonts w:hint="eastAsia" w:ascii="宋体" w:hAnsi="宋体"/>
          <w:sz w:val="24"/>
        </w:rPr>
        <w:t>2.1.3艺术性</w:t>
      </w:r>
    </w:p>
    <w:p>
      <w:pPr>
        <w:spacing w:line="440" w:lineRule="exact"/>
        <w:ind w:firstLine="480" w:firstLineChars="200"/>
        <w:rPr>
          <w:rFonts w:ascii="宋体" w:hAnsi="宋体"/>
          <w:sz w:val="24"/>
        </w:rPr>
      </w:pPr>
      <w:r>
        <w:rPr>
          <w:rFonts w:hint="eastAsia" w:ascii="宋体" w:hAnsi="宋体"/>
          <w:sz w:val="24"/>
        </w:rPr>
        <w:t>合理运用各种艺术手段和艺术形式完成展馆的设计和布展。非物质文化遗产源于农耕文明，展示应充分考量源于生产生活而高于生产生活的思想，以情趣健康、新颖美观、格调高雅、雅俗共赏为准则，符合现代大众的审美要求。处理好原生态呈现同艺术性展示的关系，注重撷取提炼，给观众以美的享受。</w:t>
      </w:r>
    </w:p>
    <w:p>
      <w:pPr>
        <w:spacing w:line="440" w:lineRule="exact"/>
        <w:ind w:firstLine="480" w:firstLineChars="200"/>
        <w:rPr>
          <w:rFonts w:ascii="宋体" w:hAnsi="宋体"/>
          <w:sz w:val="24"/>
        </w:rPr>
      </w:pPr>
      <w:r>
        <w:rPr>
          <w:rFonts w:hint="eastAsia" w:ascii="宋体" w:hAnsi="宋体"/>
          <w:sz w:val="24"/>
        </w:rPr>
        <w:t>2.1.4技术性</w:t>
      </w:r>
    </w:p>
    <w:p>
      <w:pPr>
        <w:spacing w:line="440" w:lineRule="exact"/>
        <w:ind w:firstLine="480" w:firstLineChars="200"/>
        <w:rPr>
          <w:rFonts w:ascii="宋体" w:hAnsi="宋体"/>
          <w:sz w:val="24"/>
        </w:rPr>
      </w:pPr>
      <w:r>
        <w:rPr>
          <w:rFonts w:hint="eastAsia" w:ascii="宋体" w:hAnsi="宋体"/>
          <w:sz w:val="24"/>
        </w:rPr>
        <w:t>深刻把握传统内涵，探索科技与人文融合的展示技术。准确运用基于5G、超高清、增强现实、虚拟现实、人工智能等技术和展览新理念、新手段。通过实物展示、图文说明（如文字、图表、照片、示意图等）、模型陈列、情景再现、雕塑绘画艺术、多媒体演示（如VR虚拟现实技术、沉浸式体验、电子阅览、人机对话）、影像（如幻影成像、多幕、环幕、3D等）与互动体验装置等，强化愉悦、新奇、多元的参观体验，寓教于乐。</w:t>
      </w:r>
    </w:p>
    <w:p>
      <w:pPr>
        <w:spacing w:line="440" w:lineRule="exact"/>
        <w:ind w:firstLine="480" w:firstLineChars="200"/>
        <w:rPr>
          <w:rFonts w:ascii="宋体" w:hAnsi="宋体"/>
          <w:sz w:val="24"/>
        </w:rPr>
      </w:pPr>
      <w:r>
        <w:rPr>
          <w:rFonts w:hint="eastAsia" w:ascii="宋体" w:hAnsi="宋体"/>
          <w:sz w:val="24"/>
        </w:rPr>
        <w:t>2.1.5同时，深刻领会并准确处理传统与现代、古老与年轻、本真与时尚、人文与科技、文化与旅游等多对关系。</w:t>
      </w:r>
    </w:p>
    <w:p>
      <w:pPr>
        <w:spacing w:beforeLines="10" w:line="360" w:lineRule="auto"/>
        <w:ind w:left="274" w:leftChars="114" w:firstLine="240" w:firstLineChars="100"/>
        <w:rPr>
          <w:rFonts w:ascii="Arial" w:hAnsi="Arial" w:cs="Arial"/>
          <w:b w:val="0"/>
          <w:bCs w:val="0"/>
          <w:color w:val="000000"/>
          <w:sz w:val="24"/>
        </w:rPr>
      </w:pPr>
      <w:r>
        <w:rPr>
          <w:rFonts w:hint="eastAsia" w:ascii="仿宋" w:hAnsi="仿宋" w:eastAsia="仿宋" w:cs="仿宋"/>
          <w:b w:val="0"/>
          <w:bCs w:val="0"/>
          <w:color w:val="000000"/>
          <w:sz w:val="24"/>
        </w:rPr>
        <w:t>2</w:t>
      </w:r>
      <w:r>
        <w:rPr>
          <w:rFonts w:hint="eastAsia" w:ascii="仿宋" w:hAnsi="仿宋" w:eastAsia="仿宋" w:cs="仿宋"/>
          <w:b w:val="0"/>
          <w:bCs w:val="0"/>
          <w:sz w:val="24"/>
        </w:rPr>
        <w:t>.2</w:t>
      </w:r>
      <w:r>
        <w:rPr>
          <w:rFonts w:hint="eastAsia" w:ascii="宋体" w:hAnsi="宋体"/>
          <w:b w:val="0"/>
          <w:bCs w:val="0"/>
          <w:sz w:val="24"/>
        </w:rPr>
        <w:t>设计布展相关规范</w:t>
      </w:r>
    </w:p>
    <w:p>
      <w:pPr>
        <w:spacing w:line="440" w:lineRule="exact"/>
        <w:ind w:firstLine="480" w:firstLineChars="200"/>
        <w:rPr>
          <w:rFonts w:ascii="宋体" w:hAnsi="宋体"/>
          <w:sz w:val="24"/>
        </w:rPr>
      </w:pPr>
      <w:r>
        <w:rPr>
          <w:rFonts w:hint="eastAsia" w:ascii="宋体" w:hAnsi="宋体"/>
          <w:sz w:val="24"/>
        </w:rPr>
        <w:t>《中华人民共和国非物质文化遗产法》</w:t>
      </w:r>
    </w:p>
    <w:p>
      <w:pPr>
        <w:spacing w:line="440" w:lineRule="exact"/>
        <w:ind w:firstLine="480" w:firstLineChars="200"/>
        <w:rPr>
          <w:rFonts w:ascii="宋体" w:hAnsi="宋体"/>
          <w:sz w:val="24"/>
        </w:rPr>
      </w:pPr>
      <w:r>
        <w:rPr>
          <w:rFonts w:hint="eastAsia" w:ascii="宋体" w:hAnsi="宋体"/>
          <w:sz w:val="24"/>
        </w:rPr>
        <w:t>《非物质文化遗产传承发展工程实施意见》</w:t>
      </w:r>
    </w:p>
    <w:p>
      <w:pPr>
        <w:spacing w:line="440" w:lineRule="exact"/>
        <w:ind w:firstLine="480" w:firstLineChars="200"/>
        <w:rPr>
          <w:rFonts w:ascii="宋体" w:hAnsi="宋体"/>
          <w:sz w:val="24"/>
        </w:rPr>
      </w:pPr>
      <w:r>
        <w:rPr>
          <w:rFonts w:hint="eastAsia" w:ascii="宋体" w:hAnsi="宋体"/>
          <w:sz w:val="24"/>
        </w:rPr>
        <w:t>《浙江省非物质文化遗产保护条例》</w:t>
      </w:r>
    </w:p>
    <w:p>
      <w:pPr>
        <w:spacing w:line="440" w:lineRule="exact"/>
        <w:ind w:firstLine="480" w:firstLineChars="200"/>
        <w:rPr>
          <w:rFonts w:ascii="宋体" w:hAnsi="宋体"/>
          <w:sz w:val="24"/>
        </w:rPr>
      </w:pPr>
      <w:r>
        <w:rPr>
          <w:rFonts w:hint="eastAsia" w:ascii="宋体" w:hAnsi="宋体"/>
          <w:sz w:val="24"/>
        </w:rPr>
        <w:t>《博物馆展览工程管理办法》</w:t>
      </w:r>
    </w:p>
    <w:p>
      <w:pPr>
        <w:spacing w:line="440" w:lineRule="exact"/>
        <w:ind w:firstLine="480" w:firstLineChars="200"/>
        <w:rPr>
          <w:rFonts w:ascii="宋体" w:hAnsi="宋体"/>
          <w:sz w:val="24"/>
        </w:rPr>
      </w:pPr>
      <w:r>
        <w:rPr>
          <w:rFonts w:hint="eastAsia" w:ascii="宋体" w:hAnsi="宋体"/>
          <w:sz w:val="24"/>
        </w:rPr>
        <w:t>《博物馆展览工程资格管理办法》</w:t>
      </w:r>
    </w:p>
    <w:p>
      <w:pPr>
        <w:spacing w:line="440" w:lineRule="exact"/>
        <w:ind w:firstLine="480" w:firstLineChars="200"/>
        <w:rPr>
          <w:rFonts w:ascii="宋体" w:hAnsi="宋体"/>
          <w:sz w:val="24"/>
        </w:rPr>
      </w:pPr>
      <w:r>
        <w:rPr>
          <w:rFonts w:hint="eastAsia" w:ascii="宋体" w:hAnsi="宋体"/>
          <w:sz w:val="24"/>
        </w:rPr>
        <w:t>《博物馆展览形式设计规范》</w:t>
      </w:r>
    </w:p>
    <w:p>
      <w:pPr>
        <w:spacing w:line="440" w:lineRule="exact"/>
        <w:ind w:firstLine="480" w:firstLineChars="200"/>
        <w:rPr>
          <w:rFonts w:ascii="宋体" w:hAnsi="宋体"/>
          <w:sz w:val="24"/>
        </w:rPr>
      </w:pPr>
      <w:r>
        <w:rPr>
          <w:rFonts w:hint="eastAsia" w:ascii="宋体" w:hAnsi="宋体"/>
          <w:sz w:val="24"/>
        </w:rPr>
        <w:t>《博物馆展览工程核算标准》</w:t>
      </w:r>
    </w:p>
    <w:p>
      <w:pPr>
        <w:spacing w:beforeLines="10" w:line="360" w:lineRule="auto"/>
        <w:ind w:firstLine="600" w:firstLineChars="250"/>
        <w:rPr>
          <w:rFonts w:hint="eastAsia" w:ascii="宋体" w:hAnsi="宋体"/>
          <w:sz w:val="24"/>
        </w:rPr>
      </w:pPr>
      <w:r>
        <w:rPr>
          <w:rFonts w:hint="eastAsia" w:ascii="宋体" w:hAnsi="宋体"/>
          <w:sz w:val="24"/>
        </w:rPr>
        <w:t>其他与非物质文化遗产馆建设相关的法律法规及与建筑、装饰相关的法律法规。</w:t>
      </w:r>
    </w:p>
    <w:p>
      <w:pPr>
        <w:bidi w:val="0"/>
        <w:ind w:firstLine="480" w:firstLineChars="200"/>
        <w:rPr>
          <w:rFonts w:hint="eastAsia"/>
        </w:rPr>
      </w:pPr>
      <w:r>
        <w:rPr>
          <w:rFonts w:hint="eastAsia"/>
        </w:rPr>
        <w:t>上述标准、规范及规程仅是本工程最基本的依据，并未包括实施中所涉及到的所有标准、规范和规程，并且所用标准和技术规范均应为合同签订之日为止时的最新版本。 涉及相关法律标准规程的，以最新实施为准。若设计人使用的标准在本标书规定外，则应明确说明用于替代的标准或使用规范，并提供所使用的标准，该标准必须是国际公认的同等或更高级的标准。</w:t>
      </w:r>
    </w:p>
    <w:p>
      <w:pPr>
        <w:spacing w:beforeLines="10"/>
        <w:ind w:left="274" w:leftChars="114" w:firstLine="241" w:firstLineChars="100"/>
        <w:rPr>
          <w:rFonts w:hint="eastAsia" w:ascii="宋体" w:hAnsi="宋体"/>
          <w:b/>
          <w:bCs/>
          <w:color w:val="auto"/>
        </w:rPr>
      </w:pPr>
      <w:r>
        <w:rPr>
          <w:rFonts w:hint="eastAsia" w:ascii="宋体" w:hAnsi="宋体"/>
          <w:b/>
          <w:bCs/>
          <w:color w:val="auto"/>
          <w:lang w:val="en-US" w:eastAsia="zh-CN"/>
        </w:rPr>
        <w:t>2.3</w:t>
      </w:r>
      <w:r>
        <w:rPr>
          <w:rFonts w:hint="eastAsia" w:ascii="宋体" w:hAnsi="宋体"/>
          <w:b/>
          <w:bCs/>
          <w:color w:val="auto"/>
        </w:rPr>
        <w:t>展览框架</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2.3.1</w:t>
      </w:r>
      <w:r>
        <w:rPr>
          <w:rFonts w:hint="eastAsia" w:ascii="宋体" w:hAnsi="宋体"/>
          <w:color w:val="auto"/>
          <w:sz w:val="24"/>
        </w:rPr>
        <w:t>展览主题</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水送山迎入富春</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2.3.2</w:t>
      </w:r>
      <w:r>
        <w:rPr>
          <w:rFonts w:hint="eastAsia" w:ascii="宋体" w:hAnsi="宋体"/>
          <w:color w:val="auto"/>
          <w:sz w:val="24"/>
        </w:rPr>
        <w:t>主题阐释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default" w:ascii="宋体" w:hAnsi="宋体" w:eastAsia="仿宋" w:cs="仿宋"/>
          <w:b w:val="0"/>
          <w:bCs w:val="0"/>
          <w:color w:val="auto"/>
          <w:kern w:val="3"/>
          <w:sz w:val="24"/>
          <w:szCs w:val="24"/>
          <w:lang w:val="en-US" w:eastAsia="zh-CN" w:bidi="ar-SA"/>
        </w:rPr>
      </w:pPr>
      <w:r>
        <w:rPr>
          <w:rFonts w:hint="eastAsia" w:ascii="宋体" w:hAnsi="宋体" w:cs="仿宋"/>
          <w:b w:val="0"/>
          <w:bCs w:val="0"/>
          <w:color w:val="auto"/>
          <w:kern w:val="3"/>
          <w:sz w:val="24"/>
          <w:szCs w:val="24"/>
          <w:lang w:val="en-US" w:eastAsia="zh-CN" w:bidi="ar-SA"/>
        </w:rPr>
        <w:t xml:space="preserve">    </w:t>
      </w:r>
      <w:r>
        <w:rPr>
          <w:rFonts w:hint="default" w:ascii="宋体" w:hAnsi="宋体" w:eastAsia="仿宋" w:cs="仿宋"/>
          <w:b w:val="0"/>
          <w:bCs w:val="0"/>
          <w:color w:val="auto"/>
          <w:kern w:val="3"/>
          <w:sz w:val="24"/>
          <w:szCs w:val="24"/>
          <w:lang w:val="en-US" w:eastAsia="zh-CN" w:bidi="ar-SA"/>
        </w:rPr>
        <w:t>水送山迎入富春，一川如画晚晴新。</w:t>
      </w:r>
      <w:r>
        <w:rPr>
          <w:rFonts w:hint="default" w:ascii="宋体" w:hAnsi="宋体" w:eastAsia="仿宋" w:cs="仿宋"/>
          <w:b w:val="0"/>
          <w:bCs w:val="0"/>
          <w:color w:val="auto"/>
          <w:kern w:val="3"/>
          <w:sz w:val="24"/>
          <w:szCs w:val="24"/>
          <w:lang w:val="en-US" w:eastAsia="zh-CN" w:bidi="ar-SA"/>
        </w:rPr>
        <w:br w:type="textWrapping"/>
      </w:r>
      <w:r>
        <w:rPr>
          <w:rFonts w:hint="default" w:ascii="宋体" w:hAnsi="宋体" w:eastAsia="仿宋" w:cs="仿宋"/>
          <w:b w:val="0"/>
          <w:bCs w:val="0"/>
          <w:color w:val="auto"/>
          <w:kern w:val="3"/>
          <w:sz w:val="24"/>
          <w:szCs w:val="24"/>
          <w:lang w:val="en-US" w:eastAsia="zh-CN" w:bidi="ar-SA"/>
        </w:rPr>
        <w:t>云低远渡帆来重，潮落寒沙鸟下频。</w:t>
      </w:r>
      <w:r>
        <w:rPr>
          <w:rFonts w:hint="default" w:ascii="宋体" w:hAnsi="宋体" w:eastAsia="仿宋" w:cs="仿宋"/>
          <w:b w:val="0"/>
          <w:bCs w:val="0"/>
          <w:color w:val="auto"/>
          <w:kern w:val="3"/>
          <w:sz w:val="24"/>
          <w:szCs w:val="24"/>
          <w:lang w:val="en-US" w:eastAsia="zh-CN" w:bidi="ar-SA"/>
        </w:rPr>
        <w:br w:type="textWrapping"/>
      </w:r>
      <w:r>
        <w:rPr>
          <w:rFonts w:hint="default" w:ascii="宋体" w:hAnsi="宋体" w:eastAsia="仿宋" w:cs="仿宋"/>
          <w:b w:val="0"/>
          <w:bCs w:val="0"/>
          <w:color w:val="auto"/>
          <w:kern w:val="3"/>
          <w:sz w:val="24"/>
          <w:szCs w:val="24"/>
          <w:lang w:val="en-US" w:eastAsia="zh-CN" w:bidi="ar-SA"/>
        </w:rPr>
        <w:t>未必柳间无谢客，也应花里有秦人。</w:t>
      </w:r>
      <w:r>
        <w:rPr>
          <w:rFonts w:hint="default" w:ascii="宋体" w:hAnsi="宋体" w:eastAsia="仿宋" w:cs="仿宋"/>
          <w:b w:val="0"/>
          <w:bCs w:val="0"/>
          <w:color w:val="auto"/>
          <w:kern w:val="3"/>
          <w:sz w:val="24"/>
          <w:szCs w:val="24"/>
          <w:lang w:val="en-US" w:eastAsia="zh-CN" w:bidi="ar-SA"/>
        </w:rPr>
        <w:br w:type="textWrapping"/>
      </w:r>
      <w:r>
        <w:rPr>
          <w:rFonts w:hint="default" w:ascii="宋体" w:hAnsi="宋体" w:eastAsia="仿宋" w:cs="仿宋"/>
          <w:b w:val="0"/>
          <w:bCs w:val="0"/>
          <w:color w:val="auto"/>
          <w:kern w:val="3"/>
          <w:sz w:val="24"/>
          <w:szCs w:val="24"/>
          <w:lang w:val="en-US" w:eastAsia="zh-CN" w:bidi="ar-SA"/>
        </w:rPr>
        <w:t>严光万古清风在，不敢停桡更问津。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2400" w:firstLineChars="1000"/>
        <w:rPr>
          <w:rFonts w:hint="eastAsia" w:ascii="宋体" w:hAnsi="宋体" w:eastAsia="仿宋" w:cs="仿宋"/>
          <w:b w:val="0"/>
          <w:bCs w:val="0"/>
          <w:color w:val="auto"/>
          <w:kern w:val="3"/>
          <w:sz w:val="24"/>
          <w:szCs w:val="24"/>
          <w:lang w:val="en-US" w:eastAsia="zh-CN" w:bidi="ar-SA"/>
        </w:rPr>
      </w:pPr>
      <w:r>
        <w:rPr>
          <w:rFonts w:hint="eastAsia" w:ascii="宋体" w:hAnsi="宋体" w:eastAsia="仿宋" w:cs="仿宋"/>
          <w:b w:val="0"/>
          <w:bCs w:val="0"/>
          <w:color w:val="auto"/>
          <w:kern w:val="3"/>
          <w:sz w:val="24"/>
          <w:szCs w:val="24"/>
          <w:lang w:val="en-US" w:eastAsia="zh-CN" w:bidi="ar-SA"/>
        </w:rPr>
        <w:t>——</w:t>
      </w:r>
      <w:r>
        <w:rPr>
          <w:rFonts w:hint="eastAsia" w:ascii="宋体" w:hAnsi="宋体" w:eastAsia="仿宋" w:cs="仿宋"/>
          <w:b w:val="0"/>
          <w:bCs w:val="0"/>
          <w:color w:val="auto"/>
          <w:kern w:val="3"/>
          <w:sz w:val="24"/>
          <w:szCs w:val="24"/>
          <w:lang w:val="en-US" w:eastAsia="zh-CN" w:bidi="ar-SA"/>
        </w:rPr>
        <w:fldChar w:fldCharType="begin"/>
      </w:r>
      <w:r>
        <w:rPr>
          <w:rFonts w:hint="eastAsia" w:ascii="宋体" w:hAnsi="宋体" w:eastAsia="仿宋" w:cs="仿宋"/>
          <w:b w:val="0"/>
          <w:bCs w:val="0"/>
          <w:color w:val="auto"/>
          <w:kern w:val="3"/>
          <w:sz w:val="24"/>
          <w:szCs w:val="24"/>
          <w:lang w:val="en-US" w:eastAsia="zh-CN" w:bidi="ar-SA"/>
        </w:rPr>
        <w:instrText xml:space="preserve"> HYPERLINK "https://www.gushiji.cc/gushi/309690.html" </w:instrText>
      </w:r>
      <w:r>
        <w:rPr>
          <w:rFonts w:hint="eastAsia" w:ascii="宋体" w:hAnsi="宋体" w:eastAsia="仿宋" w:cs="仿宋"/>
          <w:b w:val="0"/>
          <w:bCs w:val="0"/>
          <w:color w:val="auto"/>
          <w:kern w:val="3"/>
          <w:sz w:val="24"/>
          <w:szCs w:val="24"/>
          <w:lang w:val="en-US" w:eastAsia="zh-CN" w:bidi="ar-SA"/>
        </w:rPr>
        <w:fldChar w:fldCharType="separate"/>
      </w:r>
      <w:r>
        <w:rPr>
          <w:rFonts w:hint="eastAsia" w:ascii="宋体" w:hAnsi="宋体" w:eastAsia="仿宋" w:cs="仿宋"/>
          <w:b w:val="0"/>
          <w:bCs w:val="0"/>
          <w:color w:val="auto"/>
          <w:kern w:val="3"/>
          <w:sz w:val="24"/>
          <w:szCs w:val="24"/>
          <w:lang w:val="en-US" w:eastAsia="zh-CN" w:bidi="ar-SA"/>
        </w:rPr>
        <w:t>唐 吴融《富春》</w:t>
      </w:r>
      <w:r>
        <w:rPr>
          <w:rFonts w:hint="eastAsia" w:ascii="宋体" w:hAnsi="宋体" w:eastAsia="仿宋" w:cs="仿宋"/>
          <w:b w:val="0"/>
          <w:bCs w:val="0"/>
          <w:color w:val="auto"/>
          <w:kern w:val="3"/>
          <w:sz w:val="24"/>
          <w:szCs w:val="24"/>
          <w:lang w:val="en-US" w:eastAsia="zh-CN" w:bidi="ar-SA"/>
        </w:rPr>
        <w:fldChar w:fldCharType="end"/>
      </w:r>
    </w:p>
    <w:p>
      <w:pPr>
        <w:spacing w:line="440" w:lineRule="exact"/>
        <w:ind w:firstLine="480" w:firstLineChars="200"/>
        <w:rPr>
          <w:rFonts w:hint="eastAsia" w:ascii="宋体" w:hAnsi="宋体"/>
          <w:color w:val="auto"/>
          <w:sz w:val="24"/>
        </w:rPr>
      </w:pPr>
      <w:r>
        <w:rPr>
          <w:rFonts w:hint="eastAsia" w:ascii="宋体" w:hAnsi="宋体"/>
          <w:color w:val="auto"/>
          <w:sz w:val="24"/>
        </w:rPr>
        <w:t>古来，</w:t>
      </w:r>
      <w:r>
        <w:rPr>
          <w:rFonts w:hint="eastAsia" w:ascii="宋体" w:hAnsi="宋体"/>
          <w:color w:val="auto"/>
          <w:sz w:val="24"/>
          <w:lang w:val="en-US" w:eastAsia="zh-CN"/>
        </w:rPr>
        <w:t>富阳山水</w:t>
      </w:r>
      <w:r>
        <w:rPr>
          <w:rFonts w:hint="eastAsia" w:ascii="宋体" w:hAnsi="宋体"/>
          <w:color w:val="auto"/>
          <w:sz w:val="24"/>
        </w:rPr>
        <w:t>的秀丽风光吸引了无数文人雅士歌赋赞美。“</w:t>
      </w:r>
      <w:r>
        <w:rPr>
          <w:rFonts w:hint="eastAsia" w:ascii="宋体" w:hAnsi="宋体"/>
          <w:color w:val="auto"/>
          <w:sz w:val="24"/>
          <w:lang w:val="en-US" w:eastAsia="zh-CN"/>
        </w:rPr>
        <w:t>天下独绝</w:t>
      </w:r>
      <w:r>
        <w:rPr>
          <w:rFonts w:hint="eastAsia" w:ascii="宋体" w:hAnsi="宋体"/>
          <w:color w:val="auto"/>
          <w:sz w:val="24"/>
        </w:rPr>
        <w:t>”</w:t>
      </w:r>
      <w:r>
        <w:rPr>
          <w:rFonts w:hint="eastAsia" w:ascii="宋体" w:hAnsi="宋体"/>
          <w:color w:val="auto"/>
          <w:sz w:val="24"/>
          <w:lang w:val="en-US" w:eastAsia="zh-CN"/>
        </w:rPr>
        <w:t>的至高赞誉让无数人对富阳心生向往，《富春山居图》中描绘的富春美景流传千年</w:t>
      </w:r>
      <w:r>
        <w:rPr>
          <w:rFonts w:hint="eastAsia" w:ascii="宋体" w:hAnsi="宋体"/>
          <w:color w:val="auto"/>
          <w:sz w:val="24"/>
        </w:rPr>
        <w:t>。展览主题契合非物质文化遗产传承、发展之要义，意境悠远，给人以想象空间，集中反映了地域文化之源、存续之盛、传承之脉、发展之势，富有</w:t>
      </w:r>
      <w:r>
        <w:rPr>
          <w:rFonts w:hint="eastAsia" w:ascii="宋体" w:hAnsi="宋体"/>
          <w:color w:val="auto"/>
          <w:sz w:val="24"/>
          <w:lang w:val="en-US" w:eastAsia="zh-CN"/>
        </w:rPr>
        <w:t>江南雅韵</w:t>
      </w:r>
      <w:r>
        <w:rPr>
          <w:rFonts w:hint="eastAsia" w:ascii="宋体" w:hAnsi="宋体"/>
          <w:color w:val="auto"/>
          <w:sz w:val="24"/>
        </w:rPr>
        <w:t>和人文气息。展览尾厅以</w:t>
      </w:r>
      <w:r>
        <w:rPr>
          <w:rFonts w:hint="eastAsia" w:ascii="宋体" w:hAnsi="宋体"/>
          <w:color w:val="auto"/>
          <w:sz w:val="24"/>
          <w:lang w:val="en-US" w:eastAsia="zh-CN"/>
        </w:rPr>
        <w:t>非遗文化传承与保护</w:t>
      </w:r>
      <w:r>
        <w:rPr>
          <w:rFonts w:hint="eastAsia" w:ascii="宋体" w:hAnsi="宋体"/>
          <w:color w:val="auto"/>
          <w:sz w:val="24"/>
        </w:rPr>
        <w:t>为线索，凸显了</w:t>
      </w:r>
      <w:r>
        <w:rPr>
          <w:rFonts w:hint="eastAsia" w:ascii="宋体" w:hAnsi="宋体"/>
          <w:color w:val="auto"/>
          <w:sz w:val="24"/>
          <w:lang w:val="en-US" w:eastAsia="zh-CN"/>
        </w:rPr>
        <w:t>富阳非遗文化的发展延绵之意</w:t>
      </w:r>
      <w:r>
        <w:rPr>
          <w:rFonts w:hint="eastAsia" w:ascii="宋体" w:hAnsi="宋体"/>
          <w:color w:val="auto"/>
          <w:sz w:val="24"/>
        </w:rPr>
        <w:t>。</w:t>
      </w:r>
    </w:p>
    <w:p>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天下佳山水，古今推富春。富春山</w:t>
      </w:r>
      <w:r>
        <w:rPr>
          <w:rFonts w:hint="default" w:ascii="宋体" w:hAnsi="宋体"/>
          <w:color w:val="auto"/>
          <w:sz w:val="24"/>
          <w:lang w:val="en-US" w:eastAsia="zh-CN"/>
        </w:rPr>
        <w:t>一说</w:t>
      </w:r>
      <w:r>
        <w:rPr>
          <w:rFonts w:hint="eastAsia" w:ascii="宋体" w:hAnsi="宋体"/>
          <w:color w:val="auto"/>
          <w:sz w:val="24"/>
          <w:lang w:val="en-US" w:eastAsia="zh-CN"/>
        </w:rPr>
        <w:t>为</w:t>
      </w:r>
      <w:r>
        <w:rPr>
          <w:rFonts w:hint="default" w:ascii="宋体" w:hAnsi="宋体"/>
          <w:color w:val="auto"/>
          <w:sz w:val="24"/>
          <w:lang w:val="en-US" w:eastAsia="zh-CN"/>
        </w:rPr>
        <w:t>山名。在浙江桐庐县南(今富春江镇)。</w:t>
      </w:r>
      <w:r>
        <w:rPr>
          <w:rFonts w:hint="eastAsia" w:ascii="宋体" w:hAnsi="宋体"/>
          <w:color w:val="auto"/>
          <w:sz w:val="24"/>
          <w:lang w:val="en-US" w:eastAsia="zh-CN"/>
        </w:rPr>
        <w:t>又</w:t>
      </w:r>
      <w:r>
        <w:rPr>
          <w:rFonts w:hint="default" w:ascii="宋体" w:hAnsi="宋体"/>
          <w:color w:val="auto"/>
          <w:sz w:val="24"/>
          <w:lang w:val="en-US" w:eastAsia="zh-CN"/>
        </w:rPr>
        <w:t>名严陵山。前临富春江，山下有滩称严陵濑，为汉隐士严光游钓处。山腰有二盘石，称东西二钓台。各高百余米，巍然对峙，耸立江湄。东称严子陵钓台，西为宋处士谢翱哭文天祥处。另一说法</w:t>
      </w:r>
      <w:r>
        <w:rPr>
          <w:rFonts w:hint="eastAsia" w:ascii="宋体" w:hAnsi="宋体"/>
          <w:color w:val="auto"/>
          <w:sz w:val="24"/>
          <w:lang w:val="en-US" w:eastAsia="zh-CN"/>
        </w:rPr>
        <w:t>则是</w:t>
      </w:r>
      <w:r>
        <w:rPr>
          <w:rFonts w:hint="default" w:ascii="宋体" w:hAnsi="宋体"/>
          <w:color w:val="auto"/>
          <w:sz w:val="24"/>
          <w:lang w:val="en-US" w:eastAsia="zh-CN"/>
        </w:rPr>
        <w:t>泛指富春江沿岸的群山，富春江北岸的山是天目山的余脉，而江南的山是龙门山脉，两岸群山夹岸对峙，蔚为壮观。黄公望在传世之作《秋山招隐图》中写道，"此富春山之别径也。予向构一堂于其间，每春秋焚香煮茗，游焉息焉。当晨岚夕照，月户雨窗，或登眺，或凭栏，不知身世在尘寰矣!"</w:t>
      </w:r>
    </w:p>
    <w:p>
      <w:pPr>
        <w:spacing w:line="440" w:lineRule="exact"/>
        <w:ind w:firstLine="480" w:firstLineChars="200"/>
        <w:rPr>
          <w:rFonts w:hint="default" w:ascii="宋体" w:hAnsi="宋体"/>
          <w:color w:val="auto"/>
          <w:sz w:val="24"/>
          <w:lang w:val="en-US" w:eastAsia="zh-CN"/>
        </w:rPr>
      </w:pPr>
      <w:r>
        <w:rPr>
          <w:rFonts w:hint="default" w:ascii="宋体" w:hAnsi="宋体"/>
          <w:color w:val="auto"/>
          <w:sz w:val="24"/>
          <w:lang w:val="en-US" w:eastAsia="zh-CN"/>
        </w:rPr>
        <w:t>《后汉书·逸民传·严光》:"﹝严光﹞乃耕於富春山，后人名其钓处为严陵濑焉。"唐李白《古风》之十二:"长揖万乘君，还归富春山。"清</w:t>
      </w:r>
      <w:r>
        <w:rPr>
          <w:rFonts w:hint="default" w:ascii="宋体" w:hAnsi="宋体"/>
          <w:color w:val="auto"/>
          <w:sz w:val="24"/>
          <w:lang w:val="en-US" w:eastAsia="zh-CN"/>
        </w:rPr>
        <w:fldChar w:fldCharType="begin"/>
      </w:r>
      <w:r>
        <w:rPr>
          <w:rFonts w:hint="default" w:ascii="宋体" w:hAnsi="宋体"/>
          <w:color w:val="auto"/>
          <w:sz w:val="24"/>
          <w:lang w:val="en-US" w:eastAsia="zh-CN"/>
        </w:rPr>
        <w:instrText xml:space="preserve">HYPERLINK"https://baike.so.com/doc/7850647-8124742.html"\t"https://baike.so.com/doc/_blank"</w:instrText>
      </w:r>
      <w:r>
        <w:rPr>
          <w:rFonts w:hint="default" w:ascii="宋体" w:hAnsi="宋体"/>
          <w:color w:val="auto"/>
          <w:sz w:val="24"/>
          <w:lang w:val="en-US" w:eastAsia="zh-CN"/>
        </w:rPr>
        <w:fldChar w:fldCharType="separate"/>
      </w:r>
      <w:r>
        <w:rPr>
          <w:rFonts w:hint="default" w:ascii="宋体" w:hAnsi="宋体"/>
          <w:color w:val="auto"/>
          <w:sz w:val="24"/>
          <w:lang w:val="en-US" w:eastAsia="zh-CN"/>
        </w:rPr>
        <w:t>顾祖禹</w:t>
      </w:r>
      <w:r>
        <w:rPr>
          <w:rFonts w:hint="default" w:ascii="宋体" w:hAnsi="宋体"/>
          <w:color w:val="auto"/>
          <w:sz w:val="24"/>
          <w:lang w:val="en-US" w:eastAsia="zh-CN"/>
        </w:rPr>
        <w:fldChar w:fldCharType="end"/>
      </w:r>
      <w:r>
        <w:rPr>
          <w:rFonts w:hint="default" w:ascii="宋体" w:hAnsi="宋体"/>
          <w:color w:val="auto"/>
          <w:sz w:val="24"/>
          <w:lang w:val="en-US" w:eastAsia="zh-CN"/>
        </w:rPr>
        <w:t>《读史方舆纪要·浙江二·严州府》:"富春山，县西三十里，一名严陵山，前临大江，汉子陵钓处，人号严陵濑，有东西二钓台，各高数百丈。"</w:t>
      </w:r>
    </w:p>
    <w:p>
      <w:pPr>
        <w:spacing w:line="440" w:lineRule="exact"/>
        <w:ind w:firstLine="480" w:firstLineChars="200"/>
        <w:rPr>
          <w:rFonts w:hint="default" w:ascii="宋体" w:hAnsi="宋体"/>
          <w:color w:val="auto"/>
          <w:sz w:val="24"/>
          <w:lang w:val="en-US" w:eastAsia="zh-CN"/>
        </w:rPr>
      </w:pPr>
      <w:r>
        <w:rPr>
          <w:rFonts w:hint="default" w:ascii="宋体" w:hAnsi="宋体"/>
          <w:color w:val="auto"/>
          <w:sz w:val="24"/>
          <w:lang w:val="en-US" w:eastAsia="zh-CN"/>
        </w:rPr>
        <w:t>元代大画家黄公望晚年隐居于富阳的庙山坞，并将此处称作"富春山"，并在他的画作中多次提及，如在传世之作《秋山招隐图》中写道，"此富春山之别径也。予向构一堂于其间，每春秋焚香煮茗，游焉息焉。当晨岚夕照，月户雨窗，或登眺，或凭栏，不知身世在尘寰矣!"在《富春山居图》中也提到，"至正七年，仆归富春山居，无用师携往……"</w:t>
      </w:r>
    </w:p>
    <w:p>
      <w:pPr>
        <w:spacing w:line="440" w:lineRule="exact"/>
        <w:ind w:firstLine="480" w:firstLineChars="200"/>
        <w:rPr>
          <w:rFonts w:hint="eastAsia" w:ascii="宋体" w:hAnsi="宋体"/>
          <w:color w:val="auto"/>
          <w:sz w:val="24"/>
        </w:rPr>
      </w:pPr>
      <w:r>
        <w:rPr>
          <w:rFonts w:hint="eastAsia" w:ascii="宋体" w:hAnsi="宋体"/>
          <w:color w:val="auto"/>
          <w:sz w:val="24"/>
        </w:rPr>
        <w:t>江南水乡的文化繁盛</w:t>
      </w:r>
      <w:r>
        <w:rPr>
          <w:rFonts w:hint="eastAsia" w:ascii="宋体" w:hAnsi="宋体"/>
          <w:color w:val="auto"/>
          <w:sz w:val="24"/>
          <w:lang w:eastAsia="zh-CN"/>
        </w:rPr>
        <w:t>，</w:t>
      </w:r>
      <w:r>
        <w:rPr>
          <w:rFonts w:hint="eastAsia" w:ascii="宋体" w:hAnsi="宋体"/>
          <w:color w:val="auto"/>
          <w:sz w:val="24"/>
        </w:rPr>
        <w:t>得天独厚的山水文化，既是</w:t>
      </w:r>
      <w:r>
        <w:rPr>
          <w:rFonts w:hint="eastAsia" w:ascii="宋体" w:hAnsi="宋体"/>
          <w:color w:val="auto"/>
          <w:sz w:val="24"/>
          <w:lang w:eastAsia="zh-CN"/>
        </w:rPr>
        <w:t>富阳</w:t>
      </w:r>
      <w:r>
        <w:rPr>
          <w:rFonts w:hint="eastAsia" w:ascii="宋体" w:hAnsi="宋体"/>
          <w:color w:val="auto"/>
          <w:sz w:val="24"/>
        </w:rPr>
        <w:t>文化兴起之源头，亦是</w:t>
      </w:r>
      <w:r>
        <w:rPr>
          <w:rFonts w:hint="eastAsia" w:ascii="宋体" w:hAnsi="宋体"/>
          <w:color w:val="auto"/>
          <w:sz w:val="24"/>
          <w:lang w:eastAsia="zh-CN"/>
        </w:rPr>
        <w:t>富阳</w:t>
      </w:r>
      <w:r>
        <w:rPr>
          <w:rFonts w:hint="eastAsia" w:ascii="宋体" w:hAnsi="宋体"/>
          <w:color w:val="auto"/>
          <w:sz w:val="24"/>
        </w:rPr>
        <w:t>非遗传承之活脉。以</w:t>
      </w:r>
      <w:r>
        <w:rPr>
          <w:rFonts w:hint="eastAsia" w:ascii="宋体" w:hAnsi="宋体"/>
          <w:color w:val="auto"/>
          <w:sz w:val="24"/>
          <w:lang w:eastAsia="zh-CN"/>
        </w:rPr>
        <w:t>富阳</w:t>
      </w:r>
      <w:r>
        <w:rPr>
          <w:rFonts w:hint="eastAsia" w:ascii="宋体" w:hAnsi="宋体"/>
          <w:color w:val="auto"/>
          <w:sz w:val="24"/>
        </w:rPr>
        <w:t>山与水、水与城的关系，喻</w:t>
      </w:r>
      <w:r>
        <w:rPr>
          <w:rFonts w:hint="eastAsia" w:ascii="宋体" w:hAnsi="宋体"/>
          <w:color w:val="auto"/>
          <w:sz w:val="24"/>
          <w:lang w:eastAsia="zh-CN"/>
        </w:rPr>
        <w:t>富阳</w:t>
      </w:r>
      <w:r>
        <w:rPr>
          <w:rFonts w:hint="eastAsia" w:ascii="宋体" w:hAnsi="宋体"/>
          <w:color w:val="auto"/>
          <w:sz w:val="24"/>
        </w:rPr>
        <w:t>自然与人文相依、相生、相融而造就的一方文明，似</w:t>
      </w:r>
      <w:r>
        <w:rPr>
          <w:rFonts w:hint="eastAsia" w:ascii="宋体" w:hAnsi="宋体"/>
          <w:color w:val="auto"/>
          <w:sz w:val="24"/>
          <w:lang w:val="en-US" w:eastAsia="zh-CN"/>
        </w:rPr>
        <w:t>富阳山水</w:t>
      </w:r>
      <w:r>
        <w:rPr>
          <w:rFonts w:hint="eastAsia" w:ascii="宋体" w:hAnsi="宋体"/>
          <w:color w:val="auto"/>
          <w:sz w:val="24"/>
        </w:rPr>
        <w:t>孕育之诗赋、</w:t>
      </w:r>
      <w:r>
        <w:rPr>
          <w:rFonts w:hint="eastAsia" w:ascii="宋体" w:hAnsi="宋体"/>
          <w:color w:val="auto"/>
          <w:sz w:val="24"/>
          <w:lang w:val="en-US" w:eastAsia="zh-CN"/>
        </w:rPr>
        <w:t>翠竹磨炼出画纸</w:t>
      </w:r>
      <w:r>
        <w:rPr>
          <w:rFonts w:hint="eastAsia" w:ascii="宋体" w:hAnsi="宋体"/>
          <w:color w:val="auto"/>
          <w:sz w:val="24"/>
        </w:rPr>
        <w:t>，历久弥新，源远流长。</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2.3.3</w:t>
      </w:r>
      <w:r>
        <w:rPr>
          <w:rFonts w:hint="eastAsia" w:ascii="宋体" w:hAnsi="宋体"/>
          <w:color w:val="auto"/>
          <w:sz w:val="24"/>
        </w:rPr>
        <w:t>单元设置</w:t>
      </w:r>
    </w:p>
    <w:p>
      <w:pPr>
        <w:spacing w:line="440" w:lineRule="exact"/>
        <w:ind w:firstLine="480" w:firstLineChars="200"/>
        <w:rPr>
          <w:rFonts w:hint="eastAsia" w:ascii="宋体" w:hAnsi="宋体"/>
          <w:color w:val="auto"/>
          <w:sz w:val="24"/>
        </w:rPr>
      </w:pPr>
      <w:r>
        <w:rPr>
          <w:rFonts w:hint="eastAsia" w:ascii="宋体" w:hAnsi="宋体"/>
          <w:color w:val="auto"/>
          <w:sz w:val="24"/>
        </w:rPr>
        <w:t>展览由序厅《</w:t>
      </w:r>
      <w:r>
        <w:rPr>
          <w:rFonts w:hint="eastAsia" w:ascii="宋体" w:hAnsi="宋体"/>
          <w:color w:val="auto"/>
          <w:sz w:val="24"/>
          <w:lang w:val="en-US" w:eastAsia="zh-CN"/>
        </w:rPr>
        <w:t>水送山迎入富春</w:t>
      </w:r>
      <w:r>
        <w:rPr>
          <w:rFonts w:hint="eastAsia" w:ascii="宋体" w:hAnsi="宋体"/>
          <w:color w:val="auto"/>
          <w:sz w:val="24"/>
        </w:rPr>
        <w:t>》、第一单元《</w:t>
      </w:r>
      <w:r>
        <w:rPr>
          <w:rFonts w:hint="eastAsia" w:ascii="宋体" w:hAnsi="宋体"/>
          <w:color w:val="auto"/>
          <w:sz w:val="24"/>
          <w:lang w:val="en-US" w:eastAsia="zh-CN"/>
        </w:rPr>
        <w:t>轻风古渡迎归舟</w:t>
      </w:r>
      <w:r>
        <w:rPr>
          <w:rFonts w:hint="eastAsia" w:ascii="宋体" w:hAnsi="宋体"/>
          <w:color w:val="auto"/>
          <w:sz w:val="24"/>
        </w:rPr>
        <w:t>》、第二单元《</w:t>
      </w:r>
      <w:r>
        <w:rPr>
          <w:rFonts w:hint="eastAsia" w:ascii="宋体" w:hAnsi="宋体"/>
          <w:color w:val="auto"/>
          <w:sz w:val="24"/>
          <w:lang w:val="en-US" w:eastAsia="zh-CN"/>
        </w:rPr>
        <w:t>富春山居物象饶</w:t>
      </w:r>
      <w:r>
        <w:rPr>
          <w:rFonts w:hint="eastAsia" w:ascii="宋体" w:hAnsi="宋体"/>
          <w:color w:val="auto"/>
          <w:sz w:val="24"/>
        </w:rPr>
        <w:t>》、第三单元《</w:t>
      </w:r>
      <w:r>
        <w:rPr>
          <w:rFonts w:hint="eastAsia" w:ascii="宋体" w:hAnsi="宋体"/>
          <w:color w:val="auto"/>
          <w:sz w:val="24"/>
          <w:lang w:val="en-US" w:eastAsia="zh-CN"/>
        </w:rPr>
        <w:t>知有人家在翠微</w:t>
      </w:r>
      <w:r>
        <w:rPr>
          <w:rFonts w:hint="eastAsia" w:ascii="宋体" w:hAnsi="宋体"/>
          <w:color w:val="auto"/>
          <w:sz w:val="24"/>
        </w:rPr>
        <w:t>》、第四单元《</w:t>
      </w:r>
      <w:r>
        <w:rPr>
          <w:rFonts w:hint="eastAsia" w:ascii="宋体" w:hAnsi="宋体"/>
          <w:color w:val="auto"/>
          <w:sz w:val="24"/>
          <w:lang w:val="en-US" w:eastAsia="zh-CN"/>
        </w:rPr>
        <w:t>击鼓敲钲市喧腾</w:t>
      </w:r>
      <w:r>
        <w:rPr>
          <w:rFonts w:hint="eastAsia" w:ascii="宋体" w:hAnsi="宋体"/>
          <w:color w:val="auto"/>
          <w:sz w:val="24"/>
        </w:rPr>
        <w:t>》和尾厅《</w:t>
      </w:r>
      <w:r>
        <w:rPr>
          <w:rFonts w:hint="eastAsia" w:ascii="宋体" w:hAnsi="宋体"/>
          <w:color w:val="auto"/>
          <w:sz w:val="24"/>
          <w:lang w:val="en-US" w:eastAsia="zh-CN"/>
        </w:rPr>
        <w:t>未语乡愁是传承</w:t>
      </w:r>
      <w:r>
        <w:rPr>
          <w:rFonts w:hint="eastAsia" w:ascii="宋体" w:hAnsi="宋体"/>
          <w:color w:val="auto"/>
          <w:sz w:val="24"/>
        </w:rPr>
        <w:t>》</w:t>
      </w:r>
      <w:r>
        <w:rPr>
          <w:rFonts w:hint="eastAsia" w:ascii="宋体" w:hAnsi="宋体"/>
          <w:color w:val="auto"/>
          <w:sz w:val="24"/>
          <w:lang w:val="en-US" w:eastAsia="zh-CN"/>
        </w:rPr>
        <w:t>六</w:t>
      </w:r>
      <w:r>
        <w:rPr>
          <w:rFonts w:hint="eastAsia" w:ascii="宋体" w:hAnsi="宋体"/>
          <w:color w:val="auto"/>
          <w:sz w:val="24"/>
        </w:rPr>
        <w:t>个部分组成，</w:t>
      </w:r>
      <w:r>
        <w:rPr>
          <w:rFonts w:hint="eastAsia" w:ascii="宋体" w:hAnsi="宋体"/>
          <w:color w:val="auto"/>
          <w:sz w:val="24"/>
          <w:lang w:val="en-US" w:eastAsia="zh-CN"/>
        </w:rPr>
        <w:t>以游人为视角</w:t>
      </w:r>
      <w:r>
        <w:rPr>
          <w:rFonts w:hint="eastAsia" w:ascii="宋体" w:hAnsi="宋体"/>
          <w:color w:val="auto"/>
          <w:sz w:val="24"/>
        </w:rPr>
        <w:t>全方位展示</w:t>
      </w:r>
      <w:r>
        <w:rPr>
          <w:rFonts w:hint="eastAsia" w:ascii="宋体" w:hAnsi="宋体"/>
          <w:color w:val="auto"/>
          <w:sz w:val="24"/>
          <w:lang w:eastAsia="zh-CN"/>
        </w:rPr>
        <w:t>富阳</w:t>
      </w:r>
      <w:r>
        <w:rPr>
          <w:rFonts w:hint="eastAsia" w:ascii="宋体" w:hAnsi="宋体"/>
          <w:color w:val="auto"/>
          <w:sz w:val="24"/>
        </w:rPr>
        <w:t>以各级代表性名录项目为主的，绚丽多彩、斑斓多姿的</w:t>
      </w:r>
      <w:r>
        <w:rPr>
          <w:rFonts w:hint="eastAsia" w:ascii="宋体" w:hAnsi="宋体"/>
          <w:color w:val="auto"/>
          <w:sz w:val="24"/>
          <w:lang w:val="en-US" w:eastAsia="zh-CN"/>
        </w:rPr>
        <w:t>富阳</w:t>
      </w:r>
      <w:r>
        <w:rPr>
          <w:rFonts w:hint="eastAsia" w:ascii="宋体" w:hAnsi="宋体"/>
          <w:color w:val="auto"/>
          <w:sz w:val="24"/>
        </w:rPr>
        <w:t>非</w:t>
      </w:r>
      <w:r>
        <w:rPr>
          <w:rFonts w:hint="eastAsia" w:ascii="宋体" w:hAnsi="宋体"/>
          <w:color w:val="auto"/>
          <w:sz w:val="24"/>
          <w:lang w:val="en-US" w:eastAsia="zh-CN"/>
        </w:rPr>
        <w:t>遗生活</w:t>
      </w:r>
      <w:r>
        <w:rPr>
          <w:rFonts w:hint="eastAsia" w:ascii="宋体" w:hAnsi="宋体"/>
          <w:color w:val="auto"/>
          <w:sz w:val="24"/>
        </w:rPr>
        <w:t>，包括传统口头文学以及作为其载体的语言；传统美术、书法、音乐、舞蹈、戏剧、曲艺和杂技；</w:t>
      </w:r>
      <w:r>
        <w:rPr>
          <w:rFonts w:hint="eastAsia" w:ascii="宋体" w:hAnsi="宋体"/>
          <w:color w:val="auto"/>
          <w:sz w:val="24"/>
        </w:rPr>
        <w:fldChar w:fldCharType="begin"/>
      </w:r>
      <w:r>
        <w:rPr>
          <w:rFonts w:hint="eastAsia" w:ascii="宋体" w:hAnsi="宋体"/>
          <w:color w:val="auto"/>
          <w:sz w:val="24"/>
        </w:rPr>
        <w:instrText xml:space="preserve">HYPERLINK"https://baike.baidu.com/item/传统技艺"</w:instrText>
      </w:r>
      <w:r>
        <w:rPr>
          <w:rFonts w:hint="eastAsia" w:ascii="宋体" w:hAnsi="宋体"/>
          <w:color w:val="auto"/>
          <w:sz w:val="24"/>
        </w:rPr>
        <w:fldChar w:fldCharType="separate"/>
      </w:r>
      <w:r>
        <w:rPr>
          <w:rFonts w:hint="eastAsia" w:ascii="宋体" w:hAnsi="宋体"/>
          <w:color w:val="auto"/>
          <w:sz w:val="24"/>
        </w:rPr>
        <w:t>传统技艺</w:t>
      </w:r>
      <w:r>
        <w:rPr>
          <w:rFonts w:hint="eastAsia" w:ascii="宋体" w:hAnsi="宋体"/>
          <w:color w:val="auto"/>
          <w:sz w:val="24"/>
        </w:rPr>
        <w:fldChar w:fldCharType="end"/>
      </w:r>
      <w:r>
        <w:rPr>
          <w:rFonts w:hint="eastAsia" w:ascii="宋体" w:hAnsi="宋体"/>
          <w:color w:val="auto"/>
          <w:sz w:val="24"/>
        </w:rPr>
        <w:t>、医药和历法；传统礼仪、节庆等民俗；传统体育和游艺；其他非物质文化遗产。</w:t>
      </w:r>
    </w:p>
    <w:p>
      <w:p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序    厅——水送山迎入富春</w:t>
      </w:r>
    </w:p>
    <w:p>
      <w:p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第一单元——轻风古渡迎归舟</w:t>
      </w:r>
    </w:p>
    <w:p>
      <w:p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第二单元——富春山居物象饶</w:t>
      </w:r>
    </w:p>
    <w:p>
      <w:p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第三单元——知有人家在翠微</w:t>
      </w:r>
    </w:p>
    <w:p>
      <w:p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第四单元——击鼓敲钲市喧腾</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尾    厅——未语乡愁是传承</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2.3.4</w:t>
      </w:r>
      <w:r>
        <w:rPr>
          <w:rFonts w:hint="eastAsia" w:ascii="宋体" w:hAnsi="宋体"/>
          <w:color w:val="auto"/>
          <w:sz w:val="24"/>
        </w:rPr>
        <w:t>功能区块</w:t>
      </w:r>
    </w:p>
    <w:p>
      <w:pPr>
        <w:spacing w:line="440" w:lineRule="exact"/>
        <w:ind w:firstLine="480" w:firstLineChars="200"/>
        <w:rPr>
          <w:rFonts w:hint="eastAsia" w:ascii="宋体" w:hAnsi="宋体"/>
          <w:color w:val="auto"/>
          <w:sz w:val="24"/>
        </w:rPr>
      </w:pPr>
      <w:r>
        <w:rPr>
          <w:rFonts w:hint="eastAsia" w:ascii="宋体" w:hAnsi="宋体"/>
          <w:color w:val="auto"/>
          <w:sz w:val="24"/>
        </w:rPr>
        <w:t>展览区：包括主展厅、临展厅；</w:t>
      </w:r>
    </w:p>
    <w:p>
      <w:pPr>
        <w:spacing w:line="440" w:lineRule="exact"/>
        <w:ind w:firstLine="480" w:firstLineChars="200"/>
        <w:rPr>
          <w:rFonts w:hint="eastAsia" w:ascii="宋体" w:hAnsi="宋体"/>
          <w:color w:val="auto"/>
          <w:sz w:val="24"/>
        </w:rPr>
      </w:pPr>
      <w:r>
        <w:rPr>
          <w:rFonts w:hint="eastAsia" w:ascii="宋体" w:hAnsi="宋体"/>
          <w:color w:val="auto"/>
          <w:sz w:val="24"/>
        </w:rPr>
        <w:t>传习区：包括活态展示、手工体验、研学活动等场地；</w:t>
      </w:r>
    </w:p>
    <w:p>
      <w:pPr>
        <w:spacing w:line="440" w:lineRule="exact"/>
        <w:ind w:firstLine="480" w:firstLineChars="200"/>
        <w:rPr>
          <w:rFonts w:hint="eastAsia" w:ascii="宋体" w:hAnsi="宋体"/>
          <w:color w:val="auto"/>
          <w:sz w:val="24"/>
        </w:rPr>
      </w:pPr>
      <w:r>
        <w:rPr>
          <w:rFonts w:hint="eastAsia" w:ascii="宋体" w:hAnsi="宋体"/>
          <w:color w:val="auto"/>
          <w:sz w:val="24"/>
        </w:rPr>
        <w:t>展演区：包括临河戏台及多功能厅；</w:t>
      </w:r>
    </w:p>
    <w:p>
      <w:pPr>
        <w:spacing w:line="440" w:lineRule="exact"/>
        <w:ind w:firstLine="480" w:firstLineChars="200"/>
        <w:rPr>
          <w:rFonts w:hint="eastAsia" w:ascii="宋体" w:hAnsi="宋体"/>
          <w:color w:val="auto"/>
          <w:sz w:val="24"/>
        </w:rPr>
      </w:pPr>
      <w:r>
        <w:rPr>
          <w:rFonts w:hint="eastAsia" w:ascii="宋体" w:hAnsi="宋体"/>
          <w:color w:val="auto"/>
          <w:sz w:val="24"/>
        </w:rPr>
        <w:t>售卖区（非遗街）：包括非遗特色产品、文创产品销售，非遗书吧、观众休息处；</w:t>
      </w:r>
    </w:p>
    <w:p>
      <w:pPr>
        <w:spacing w:line="440" w:lineRule="exact"/>
        <w:ind w:firstLine="480" w:firstLineChars="200"/>
        <w:rPr>
          <w:rFonts w:hint="eastAsia" w:ascii="宋体" w:hAnsi="宋体"/>
          <w:color w:val="auto"/>
          <w:sz w:val="24"/>
        </w:rPr>
      </w:pPr>
      <w:r>
        <w:rPr>
          <w:rFonts w:hint="eastAsia" w:ascii="宋体" w:hAnsi="宋体"/>
          <w:color w:val="auto"/>
          <w:sz w:val="24"/>
        </w:rPr>
        <w:t>办公区：包括办公室、会议室（接待室）、设备间、藏品库房（储物间）等。</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2.3.5</w:t>
      </w:r>
      <w:r>
        <w:rPr>
          <w:rFonts w:hint="eastAsia" w:ascii="宋体" w:hAnsi="宋体"/>
          <w:color w:val="auto"/>
          <w:sz w:val="24"/>
        </w:rPr>
        <w:t>布展文本（简略）</w:t>
      </w:r>
    </w:p>
    <w:p>
      <w:pPr>
        <w:spacing w:line="440" w:lineRule="exact"/>
        <w:ind w:firstLine="480" w:firstLineChars="200"/>
        <w:rPr>
          <w:rFonts w:ascii="宋体" w:hAnsi="宋体"/>
          <w:color w:val="auto"/>
          <w:sz w:val="24"/>
        </w:rPr>
      </w:pPr>
      <w:r>
        <w:rPr>
          <w:rFonts w:hint="eastAsia" w:ascii="宋体" w:hAnsi="宋体"/>
          <w:color w:val="auto"/>
          <w:sz w:val="24"/>
        </w:rPr>
        <w:t xml:space="preserve">序厅  </w:t>
      </w:r>
      <w:r>
        <w:rPr>
          <w:rFonts w:hint="eastAsia" w:ascii="宋体" w:hAnsi="宋体"/>
          <w:color w:val="auto"/>
          <w:sz w:val="24"/>
          <w:lang w:val="en-US" w:eastAsia="zh-CN"/>
        </w:rPr>
        <w:t>水送山迎入富春</w:t>
      </w:r>
      <w:r>
        <w:rPr>
          <w:rFonts w:hint="eastAsia" w:ascii="宋体" w:hAnsi="宋体"/>
          <w:color w:val="auto"/>
          <w:sz w:val="24"/>
        </w:rPr>
        <w:t xml:space="preserve"> </w:t>
      </w:r>
    </w:p>
    <w:p>
      <w:pPr>
        <w:spacing w:line="440" w:lineRule="exact"/>
        <w:ind w:firstLine="480" w:firstLineChars="200"/>
        <w:rPr>
          <w:rFonts w:hint="eastAsia" w:ascii="宋体" w:hAnsi="宋体"/>
          <w:color w:val="auto"/>
          <w:sz w:val="24"/>
        </w:rPr>
      </w:pPr>
      <w:r>
        <w:rPr>
          <w:rFonts w:hint="eastAsia" w:ascii="宋体" w:hAnsi="宋体"/>
          <w:color w:val="auto"/>
          <w:sz w:val="24"/>
        </w:rPr>
        <w:t>展览前言。</w:t>
      </w:r>
    </w:p>
    <w:p>
      <w:pPr>
        <w:spacing w:line="440" w:lineRule="exact"/>
        <w:ind w:firstLine="480" w:firstLineChars="200"/>
        <w:rPr>
          <w:rFonts w:hint="eastAsia" w:ascii="宋体" w:hAnsi="宋体"/>
          <w:color w:val="auto"/>
          <w:sz w:val="24"/>
        </w:rPr>
      </w:pPr>
      <w:r>
        <w:rPr>
          <w:rFonts w:hint="eastAsia" w:ascii="宋体" w:hAnsi="宋体"/>
          <w:color w:val="auto"/>
          <w:sz w:val="24"/>
        </w:rPr>
        <w:t>序厅《</w:t>
      </w:r>
      <w:r>
        <w:rPr>
          <w:rFonts w:hint="eastAsia" w:ascii="宋体" w:hAnsi="宋体"/>
          <w:color w:val="auto"/>
          <w:sz w:val="24"/>
          <w:lang w:val="en-US" w:eastAsia="zh-CN"/>
        </w:rPr>
        <w:t>水送山迎入富春</w:t>
      </w:r>
      <w:r>
        <w:rPr>
          <w:rFonts w:hint="eastAsia" w:ascii="宋体" w:hAnsi="宋体"/>
          <w:color w:val="auto"/>
          <w:sz w:val="24"/>
        </w:rPr>
        <w:t>》：以</w:t>
      </w:r>
      <w:r>
        <w:rPr>
          <w:rFonts w:hint="eastAsia" w:ascii="宋体" w:hAnsi="宋体"/>
          <w:color w:val="auto"/>
          <w:sz w:val="24"/>
          <w:lang w:eastAsia="zh-CN"/>
        </w:rPr>
        <w:t>《</w:t>
      </w:r>
      <w:r>
        <w:rPr>
          <w:rFonts w:hint="eastAsia" w:ascii="宋体" w:hAnsi="宋体"/>
          <w:color w:val="auto"/>
          <w:sz w:val="24"/>
          <w:lang w:val="en-US" w:eastAsia="zh-CN"/>
        </w:rPr>
        <w:t>富春山居图</w:t>
      </w:r>
      <w:r>
        <w:rPr>
          <w:rFonts w:hint="eastAsia" w:ascii="宋体" w:hAnsi="宋体"/>
          <w:color w:val="auto"/>
          <w:sz w:val="24"/>
          <w:lang w:eastAsia="zh-CN"/>
        </w:rPr>
        <w:t>》</w:t>
      </w:r>
      <w:r>
        <w:rPr>
          <w:rFonts w:hint="eastAsia" w:ascii="宋体" w:hAnsi="宋体"/>
          <w:color w:val="auto"/>
          <w:sz w:val="24"/>
        </w:rPr>
        <w:t>为引，</w:t>
      </w:r>
      <w:r>
        <w:rPr>
          <w:rFonts w:hint="eastAsia" w:ascii="宋体" w:hAnsi="宋体"/>
          <w:color w:val="auto"/>
          <w:sz w:val="24"/>
          <w:lang w:val="en-US" w:eastAsia="zh-CN"/>
        </w:rPr>
        <w:t>选取富阳国家级、省级非遗名录</w:t>
      </w:r>
      <w:r>
        <w:rPr>
          <w:rFonts w:hint="eastAsia" w:ascii="宋体" w:hAnsi="宋体"/>
          <w:color w:val="auto"/>
          <w:sz w:val="24"/>
        </w:rPr>
        <w:t>，挖掘千百年来</w:t>
      </w:r>
      <w:r>
        <w:rPr>
          <w:rFonts w:hint="eastAsia" w:ascii="宋体" w:hAnsi="宋体"/>
          <w:color w:val="auto"/>
          <w:sz w:val="24"/>
          <w:lang w:eastAsia="zh-CN"/>
        </w:rPr>
        <w:t>富阳</w:t>
      </w:r>
      <w:r>
        <w:rPr>
          <w:rFonts w:hint="eastAsia" w:ascii="宋体" w:hAnsi="宋体"/>
          <w:color w:val="auto"/>
          <w:sz w:val="24"/>
        </w:rPr>
        <w:t>与山、与水的内在联系和文化内涵，营造山水相融、城水共生的氛围</w:t>
      </w:r>
      <w:r>
        <w:rPr>
          <w:rFonts w:hint="eastAsia" w:ascii="宋体" w:hAnsi="宋体"/>
          <w:color w:val="auto"/>
          <w:sz w:val="24"/>
          <w:lang w:eastAsia="zh-CN"/>
        </w:rPr>
        <w:t>，</w:t>
      </w:r>
      <w:r>
        <w:rPr>
          <w:rFonts w:hint="eastAsia" w:ascii="宋体" w:hAnsi="宋体"/>
          <w:color w:val="auto"/>
          <w:sz w:val="24"/>
          <w:lang w:val="en-US" w:eastAsia="zh-CN"/>
        </w:rPr>
        <w:t>带领游人走入富阳山乡，让富春山居非遗生活画卷在观者面前徐徐展开</w:t>
      </w:r>
      <w:r>
        <w:rPr>
          <w:rFonts w:hint="eastAsia" w:ascii="宋体" w:hAnsi="宋体"/>
          <w:color w:val="auto"/>
          <w:sz w:val="24"/>
        </w:rPr>
        <w:t>。同时序厅具有接待、咨询、导览、引入、休息、集散等多种展馆一般性功能。展览前言。</w:t>
      </w:r>
    </w:p>
    <w:p>
      <w:pPr>
        <w:spacing w:line="440" w:lineRule="exact"/>
        <w:ind w:firstLine="480" w:firstLineChars="200"/>
        <w:rPr>
          <w:rFonts w:hint="eastAsia" w:ascii="宋体" w:hAnsi="宋体"/>
          <w:color w:val="auto"/>
          <w:sz w:val="24"/>
        </w:rPr>
      </w:pPr>
      <w:r>
        <w:rPr>
          <w:rFonts w:hint="eastAsia" w:ascii="宋体" w:hAnsi="宋体"/>
          <w:color w:val="auto"/>
          <w:sz w:val="24"/>
        </w:rPr>
        <w:t>同时序厅具有接待、咨询、导览、引入、休息、集散等多种展馆一般性功能。</w:t>
      </w:r>
    </w:p>
    <w:p>
      <w:pPr>
        <w:spacing w:line="440" w:lineRule="exact"/>
        <w:ind w:firstLine="3480" w:firstLineChars="1450"/>
        <w:rPr>
          <w:rFonts w:hint="eastAsia" w:ascii="宋体" w:hAnsi="宋体"/>
          <w:color w:val="auto"/>
          <w:sz w:val="24"/>
        </w:rPr>
      </w:pPr>
    </w:p>
    <w:p>
      <w:pPr>
        <w:spacing w:line="440" w:lineRule="exact"/>
        <w:jc w:val="center"/>
        <w:rPr>
          <w:rFonts w:hint="eastAsia" w:ascii="宋体" w:hAnsi="宋体" w:eastAsia="宋体"/>
          <w:color w:val="auto"/>
          <w:sz w:val="24"/>
          <w:lang w:val="en-US" w:eastAsia="zh-CN"/>
        </w:rPr>
      </w:pPr>
      <w:r>
        <w:rPr>
          <w:rFonts w:hint="eastAsia" w:ascii="宋体" w:hAnsi="宋体"/>
          <w:color w:val="auto"/>
          <w:sz w:val="24"/>
        </w:rPr>
        <w:t xml:space="preserve">第一单元  </w:t>
      </w:r>
      <w:r>
        <w:rPr>
          <w:rFonts w:hint="eastAsia" w:ascii="宋体" w:hAnsi="宋体"/>
          <w:color w:val="auto"/>
          <w:sz w:val="24"/>
          <w:lang w:val="en-US" w:eastAsia="zh-CN"/>
        </w:rPr>
        <w:t>轻风古渡迎归舟</w:t>
      </w:r>
    </w:p>
    <w:p>
      <w:pPr>
        <w:spacing w:line="440" w:lineRule="exact"/>
        <w:ind w:firstLine="480" w:firstLineChars="200"/>
        <w:rPr>
          <w:rFonts w:hint="eastAsia" w:ascii="宋体" w:hAnsi="宋体"/>
          <w:color w:val="auto"/>
          <w:sz w:val="24"/>
        </w:rPr>
      </w:pPr>
      <w:r>
        <w:rPr>
          <w:rFonts w:hint="eastAsia" w:ascii="宋体" w:hAnsi="宋体"/>
          <w:color w:val="auto"/>
          <w:sz w:val="24"/>
        </w:rPr>
        <w:t>引言</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青</w:t>
      </w:r>
      <w:r>
        <w:rPr>
          <w:rFonts w:hint="eastAsia" w:ascii="宋体" w:hAnsi="宋体"/>
          <w:color w:val="auto"/>
          <w:sz w:val="24"/>
        </w:rPr>
        <w:t>山巍巍，</w:t>
      </w:r>
      <w:r>
        <w:rPr>
          <w:rFonts w:hint="eastAsia" w:ascii="宋体" w:hAnsi="宋体"/>
          <w:color w:val="auto"/>
          <w:sz w:val="24"/>
          <w:lang w:val="en-US" w:eastAsia="zh-CN"/>
        </w:rPr>
        <w:t>江</w:t>
      </w:r>
      <w:r>
        <w:rPr>
          <w:rFonts w:hint="eastAsia" w:ascii="宋体" w:hAnsi="宋体"/>
          <w:color w:val="auto"/>
          <w:sz w:val="24"/>
        </w:rPr>
        <w:t>水悠悠，</w:t>
      </w:r>
      <w:r>
        <w:rPr>
          <w:rFonts w:hint="eastAsia" w:ascii="宋体" w:hAnsi="宋体"/>
          <w:color w:val="auto"/>
          <w:sz w:val="24"/>
          <w:lang w:val="en-US" w:eastAsia="zh-CN"/>
        </w:rPr>
        <w:t>一方水土</w:t>
      </w:r>
      <w:r>
        <w:rPr>
          <w:rFonts w:hint="eastAsia" w:ascii="宋体" w:hAnsi="宋体"/>
          <w:color w:val="auto"/>
          <w:sz w:val="24"/>
        </w:rPr>
        <w:t>孕育世代相承的</w:t>
      </w:r>
      <w:r>
        <w:rPr>
          <w:rFonts w:hint="eastAsia" w:ascii="宋体" w:hAnsi="宋体"/>
          <w:color w:val="auto"/>
          <w:sz w:val="24"/>
          <w:lang w:val="en-US" w:eastAsia="zh-CN"/>
        </w:rPr>
        <w:t>人文</w:t>
      </w:r>
      <w:r>
        <w:rPr>
          <w:rFonts w:hint="eastAsia" w:ascii="宋体" w:hAnsi="宋体"/>
          <w:color w:val="auto"/>
          <w:sz w:val="24"/>
        </w:rPr>
        <w:t>民俗。她们是地域</w:t>
      </w:r>
      <w:r>
        <w:rPr>
          <w:rFonts w:hint="eastAsia" w:ascii="宋体" w:hAnsi="宋体"/>
          <w:color w:val="auto"/>
          <w:sz w:val="24"/>
          <w:lang w:val="en-US" w:eastAsia="zh-CN"/>
        </w:rPr>
        <w:t>文化</w:t>
      </w:r>
      <w:r>
        <w:rPr>
          <w:rFonts w:hint="eastAsia" w:ascii="宋体" w:hAnsi="宋体"/>
          <w:color w:val="auto"/>
          <w:sz w:val="24"/>
        </w:rPr>
        <w:t>的集中反映，是</w:t>
      </w:r>
      <w:r>
        <w:rPr>
          <w:rFonts w:hint="eastAsia" w:ascii="宋体" w:hAnsi="宋体"/>
          <w:color w:val="auto"/>
          <w:sz w:val="24"/>
          <w:lang w:val="en-US" w:eastAsia="zh-CN"/>
        </w:rPr>
        <w:t>别具一格的</w:t>
      </w:r>
      <w:r>
        <w:rPr>
          <w:rFonts w:hint="eastAsia" w:ascii="宋体" w:hAnsi="宋体"/>
          <w:color w:val="auto"/>
          <w:sz w:val="24"/>
        </w:rPr>
        <w:t>一方风物，</w:t>
      </w:r>
      <w:r>
        <w:rPr>
          <w:rFonts w:hint="eastAsia" w:ascii="宋体" w:hAnsi="宋体"/>
          <w:color w:val="auto"/>
          <w:sz w:val="24"/>
          <w:lang w:val="en-US" w:eastAsia="zh-CN"/>
        </w:rPr>
        <w:t>依山傍水的富阳乡民依靠勤劳与朴实的双手，编织起最朴素的民间生活智慧</w:t>
      </w:r>
      <w:r>
        <w:rPr>
          <w:rFonts w:hint="eastAsia" w:ascii="宋体" w:hAnsi="宋体"/>
          <w:color w:val="auto"/>
          <w:sz w:val="24"/>
        </w:rPr>
        <w:t>。</w:t>
      </w:r>
    </w:p>
    <w:p>
      <w:pPr>
        <w:spacing w:line="440" w:lineRule="exact"/>
        <w:ind w:firstLine="480" w:firstLineChars="200"/>
        <w:rPr>
          <w:rFonts w:hint="eastAsia" w:ascii="宋体" w:hAnsi="宋体"/>
          <w:color w:val="auto"/>
          <w:sz w:val="24"/>
        </w:rPr>
      </w:pPr>
      <w:r>
        <w:rPr>
          <w:rFonts w:hint="eastAsia" w:ascii="宋体" w:hAnsi="宋体"/>
          <w:color w:val="auto"/>
          <w:sz w:val="24"/>
        </w:rPr>
        <w:t>本单元以</w:t>
      </w:r>
      <w:r>
        <w:rPr>
          <w:rFonts w:hint="eastAsia" w:ascii="宋体" w:hAnsi="宋体"/>
          <w:color w:val="auto"/>
          <w:sz w:val="24"/>
          <w:lang w:val="en-US" w:eastAsia="zh-CN"/>
        </w:rPr>
        <w:t>游人重走古时文人墨客游览富阳的水陆，在江边望见乡民生产生活的非遗</w:t>
      </w:r>
      <w:r>
        <w:rPr>
          <w:rFonts w:hint="eastAsia" w:ascii="宋体" w:hAnsi="宋体"/>
          <w:color w:val="auto"/>
          <w:sz w:val="24"/>
        </w:rPr>
        <w:t>展示为主。</w:t>
      </w:r>
    </w:p>
    <w:p>
      <w:p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1.春江揽胜</w:t>
      </w:r>
    </w:p>
    <w:p>
      <w:pPr>
        <w:spacing w:line="440" w:lineRule="exact"/>
        <w:ind w:firstLine="480" w:firstLineChars="200"/>
        <w:rPr>
          <w:rFonts w:hint="eastAsia" w:ascii="宋体" w:hAnsi="宋体"/>
          <w:color w:val="auto"/>
          <w:sz w:val="24"/>
          <w:lang w:eastAsia="zh-CN"/>
        </w:rPr>
      </w:pPr>
      <w:r>
        <w:rPr>
          <w:rFonts w:hint="eastAsia" w:ascii="宋体" w:hAnsi="宋体"/>
          <w:color w:val="auto"/>
          <w:sz w:val="24"/>
          <w:lang w:val="en-US" w:eastAsia="zh-CN"/>
        </w:rPr>
        <w:t>手工木船制造技艺</w:t>
      </w:r>
      <w:r>
        <w:rPr>
          <w:rFonts w:hint="eastAsia" w:ascii="宋体" w:hAnsi="宋体"/>
          <w:color w:val="auto"/>
          <w:sz w:val="24"/>
          <w:lang w:eastAsia="zh-CN"/>
        </w:rPr>
        <w:t>（省级）</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富春江渔歌</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渔网编织技艺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春江水灯会</w:t>
      </w:r>
    </w:p>
    <w:p>
      <w:pPr>
        <w:numPr>
          <w:ilvl w:val="0"/>
          <w:numId w:val="0"/>
        </w:numPr>
        <w:spacing w:line="440" w:lineRule="exact"/>
        <w:ind w:left="0" w:leftChars="0" w:firstLine="420" w:firstLineChars="175"/>
        <w:rPr>
          <w:rFonts w:hint="eastAsia" w:ascii="宋体" w:hAnsi="宋体"/>
          <w:color w:val="auto"/>
          <w:sz w:val="24"/>
          <w:lang w:val="en-US" w:eastAsia="zh-CN"/>
        </w:rPr>
      </w:pPr>
      <w:r>
        <w:rPr>
          <w:rFonts w:hint="eastAsia" w:ascii="宋体" w:hAnsi="宋体"/>
          <w:color w:val="auto"/>
          <w:sz w:val="24"/>
          <w:lang w:val="en-US" w:eastAsia="zh-CN"/>
        </w:rPr>
        <w:t>古埠悠悠</w:t>
      </w:r>
    </w:p>
    <w:p>
      <w:pPr>
        <w:numPr>
          <w:ilvl w:val="0"/>
          <w:numId w:val="0"/>
        </w:numPr>
        <w:spacing w:line="440" w:lineRule="exact"/>
        <w:ind w:left="0" w:leftChars="0" w:firstLine="420" w:firstLineChars="175"/>
        <w:rPr>
          <w:rFonts w:hint="default" w:ascii="宋体" w:hAnsi="宋体"/>
          <w:color w:val="auto"/>
          <w:sz w:val="24"/>
          <w:lang w:val="en-US" w:eastAsia="zh-CN"/>
        </w:rPr>
      </w:pPr>
      <w:r>
        <w:rPr>
          <w:rFonts w:hint="eastAsia" w:ascii="宋体" w:hAnsi="宋体"/>
          <w:color w:val="auto"/>
          <w:sz w:val="24"/>
          <w:lang w:val="en-US" w:eastAsia="zh-CN"/>
        </w:rPr>
        <w:t>1）富春茶馆</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安顶云雾茶制作技艺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土烧酒酿制技艺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竹家具制作技艺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麦草扇制作技艺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富阳竹帘制作技艺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竹窗帘制作技艺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越剧</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独脚戏</w:t>
      </w:r>
    </w:p>
    <w:p>
      <w:pPr>
        <w:numPr>
          <w:ilvl w:val="0"/>
          <w:numId w:val="0"/>
        </w:numPr>
        <w:spacing w:line="440" w:lineRule="exact"/>
        <w:ind w:left="0" w:leftChars="0" w:firstLine="420" w:firstLineChars="175"/>
        <w:rPr>
          <w:rFonts w:hint="default" w:ascii="宋体" w:hAnsi="宋体"/>
          <w:color w:val="auto"/>
          <w:sz w:val="24"/>
          <w:lang w:val="en-US" w:eastAsia="zh-CN"/>
        </w:rPr>
      </w:pPr>
      <w:r>
        <w:rPr>
          <w:rFonts w:hint="eastAsia" w:ascii="宋体" w:hAnsi="宋体"/>
          <w:color w:val="auto"/>
          <w:sz w:val="24"/>
          <w:lang w:val="en-US" w:eastAsia="zh-CN"/>
        </w:rPr>
        <w:t>2）医德堂</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中医正骨疗法（张氏骨伤疗法）（国家级）</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中草药采摘技艺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吴氏中草药治理肿瘤</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周氏骨髓炎疗法</w:t>
      </w:r>
    </w:p>
    <w:p>
      <w:pPr>
        <w:spacing w:line="440" w:lineRule="exact"/>
        <w:ind w:firstLine="3840" w:firstLineChars="1600"/>
        <w:rPr>
          <w:rFonts w:hint="eastAsia" w:ascii="宋体" w:hAnsi="宋体"/>
          <w:color w:val="auto"/>
          <w:sz w:val="24"/>
        </w:rPr>
      </w:pPr>
    </w:p>
    <w:p>
      <w:pPr>
        <w:numPr>
          <w:ilvl w:val="0"/>
          <w:numId w:val="0"/>
        </w:numPr>
        <w:spacing w:line="440" w:lineRule="exact"/>
        <w:ind w:left="0" w:leftChars="0" w:firstLine="420" w:firstLineChars="175"/>
        <w:jc w:val="center"/>
        <w:rPr>
          <w:rFonts w:hint="eastAsia" w:ascii="宋体" w:hAnsi="宋体"/>
          <w:color w:val="auto"/>
          <w:sz w:val="24"/>
          <w:lang w:eastAsia="zh-CN"/>
        </w:rPr>
      </w:pPr>
      <w:r>
        <w:rPr>
          <w:rFonts w:hint="eastAsia" w:ascii="宋体" w:hAnsi="宋体"/>
          <w:color w:val="auto"/>
          <w:sz w:val="24"/>
          <w:lang w:eastAsia="zh-CN"/>
        </w:rPr>
        <w:t>第二单元  富春山居物象饶</w:t>
      </w:r>
    </w:p>
    <w:p>
      <w:pPr>
        <w:spacing w:line="440" w:lineRule="exact"/>
        <w:ind w:firstLine="480" w:firstLineChars="200"/>
        <w:rPr>
          <w:rFonts w:hint="eastAsia" w:ascii="宋体" w:hAnsi="宋体"/>
          <w:color w:val="auto"/>
          <w:sz w:val="24"/>
        </w:rPr>
      </w:pPr>
      <w:r>
        <w:rPr>
          <w:rFonts w:hint="eastAsia" w:ascii="宋体" w:hAnsi="宋体"/>
          <w:color w:val="auto"/>
          <w:sz w:val="24"/>
        </w:rPr>
        <w:t>引言</w:t>
      </w:r>
    </w:p>
    <w:p>
      <w:pPr>
        <w:numPr>
          <w:ilvl w:val="0"/>
          <w:numId w:val="0"/>
        </w:numPr>
        <w:spacing w:line="440" w:lineRule="exact"/>
        <w:ind w:left="0" w:leftChars="0" w:firstLine="420" w:firstLineChars="175"/>
        <w:rPr>
          <w:rFonts w:hint="default" w:ascii="宋体" w:hAnsi="宋体"/>
          <w:color w:val="auto"/>
          <w:sz w:val="24"/>
          <w:lang w:val="en-US" w:eastAsia="zh-CN"/>
        </w:rPr>
      </w:pPr>
      <w:r>
        <w:rPr>
          <w:rFonts w:hint="eastAsia" w:ascii="宋体" w:hAnsi="宋体"/>
          <w:color w:val="auto"/>
          <w:sz w:val="24"/>
          <w:lang w:eastAsia="zh-CN"/>
        </w:rPr>
        <w:t>春播秋收，人勤年丰。走出码头游客走进了古老的富阳老街巷，仿佛听到了久远的叫卖声，</w:t>
      </w:r>
      <w:r>
        <w:rPr>
          <w:rFonts w:hint="eastAsia" w:ascii="宋体" w:hAnsi="宋体"/>
          <w:color w:val="auto"/>
          <w:sz w:val="24"/>
          <w:lang w:val="en-US" w:eastAsia="zh-CN"/>
        </w:rPr>
        <w:t>热闹的街巷里处处是</w:t>
      </w:r>
      <w:r>
        <w:rPr>
          <w:rFonts w:hint="eastAsia" w:ascii="宋体" w:hAnsi="宋体"/>
          <w:color w:val="auto"/>
          <w:sz w:val="24"/>
          <w:lang w:eastAsia="zh-CN"/>
        </w:rPr>
        <w:t>勤劳智慧的富阳先民农耕稻作</w:t>
      </w:r>
      <w:r>
        <w:rPr>
          <w:rFonts w:hint="eastAsia" w:ascii="宋体" w:hAnsi="宋体"/>
          <w:color w:val="auto"/>
          <w:sz w:val="24"/>
          <w:lang w:val="en-US" w:eastAsia="zh-CN"/>
        </w:rPr>
        <w:t>与精雕细琢的成就</w:t>
      </w:r>
      <w:r>
        <w:rPr>
          <w:rFonts w:hint="eastAsia" w:ascii="宋体" w:hAnsi="宋体"/>
          <w:color w:val="auto"/>
          <w:sz w:val="24"/>
          <w:lang w:eastAsia="zh-CN"/>
        </w:rPr>
        <w:t>，</w:t>
      </w:r>
      <w:r>
        <w:rPr>
          <w:rFonts w:hint="eastAsia" w:ascii="宋体" w:hAnsi="宋体"/>
          <w:color w:val="auto"/>
          <w:sz w:val="24"/>
          <w:lang w:val="en-US" w:eastAsia="zh-CN"/>
        </w:rPr>
        <w:t>他们</w:t>
      </w:r>
      <w:r>
        <w:rPr>
          <w:rFonts w:hint="eastAsia" w:ascii="宋体" w:hAnsi="宋体"/>
          <w:color w:val="auto"/>
          <w:sz w:val="24"/>
          <w:lang w:eastAsia="zh-CN"/>
        </w:rPr>
        <w:t>用双手建起幸福的家园，用汗水滋养了千千万万</w:t>
      </w:r>
      <w:r>
        <w:rPr>
          <w:rFonts w:hint="eastAsia" w:ascii="宋体" w:hAnsi="宋体"/>
          <w:color w:val="auto"/>
          <w:sz w:val="24"/>
          <w:lang w:val="en-US" w:eastAsia="zh-CN"/>
        </w:rPr>
        <w:t>富阳</w:t>
      </w:r>
      <w:r>
        <w:rPr>
          <w:rFonts w:hint="eastAsia" w:ascii="宋体" w:hAnsi="宋体"/>
          <w:color w:val="auto"/>
          <w:sz w:val="24"/>
          <w:lang w:eastAsia="zh-CN"/>
        </w:rPr>
        <w:t>儿女。</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本单元以传统技艺项目中农耕、商贸生产项目为主。</w:t>
      </w:r>
    </w:p>
    <w:p>
      <w:pPr>
        <w:numPr>
          <w:ilvl w:val="0"/>
          <w:numId w:val="0"/>
        </w:numPr>
        <w:spacing w:line="440" w:lineRule="exact"/>
        <w:ind w:left="0" w:leftChars="0" w:firstLine="420" w:firstLineChars="175"/>
        <w:rPr>
          <w:rFonts w:hint="eastAsia" w:ascii="宋体" w:hAnsi="宋体"/>
          <w:color w:val="auto"/>
          <w:sz w:val="24"/>
          <w:lang w:val="en-US" w:eastAsia="zh-CN"/>
        </w:rPr>
      </w:pPr>
      <w:r>
        <w:rPr>
          <w:rFonts w:hint="eastAsia" w:ascii="宋体" w:hAnsi="宋体"/>
          <w:color w:val="auto"/>
          <w:sz w:val="24"/>
          <w:lang w:val="en-US" w:eastAsia="zh-CN"/>
        </w:rPr>
        <w:t>锦织玉绣</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手工织带技艺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民间布艺画</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富阳刺绣</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富春印染</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香袋制作技艺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手工手工缫丝技艺（重点布景）</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清水丝绵制作技艺（重点布景）</w:t>
      </w:r>
    </w:p>
    <w:p>
      <w:pPr>
        <w:spacing w:line="440" w:lineRule="exact"/>
        <w:ind w:left="0" w:leftChars="0" w:firstLine="420" w:firstLineChars="175"/>
        <w:rPr>
          <w:rFonts w:hint="eastAsia" w:ascii="宋体" w:hAnsi="宋体" w:eastAsia="宋体"/>
          <w:color w:val="auto"/>
          <w:sz w:val="24"/>
          <w:lang w:eastAsia="zh-CN"/>
        </w:rPr>
      </w:pPr>
      <w:r>
        <w:rPr>
          <w:rFonts w:hint="eastAsia" w:ascii="宋体" w:hAnsi="宋体"/>
          <w:color w:val="auto"/>
          <w:sz w:val="24"/>
        </w:rPr>
        <w:t>2.</w:t>
      </w:r>
      <w:r>
        <w:rPr>
          <w:rFonts w:hint="eastAsia" w:ascii="宋体" w:hAnsi="宋体"/>
          <w:color w:val="auto"/>
          <w:sz w:val="24"/>
          <w:lang w:val="en-US" w:eastAsia="zh-CN"/>
        </w:rPr>
        <w:t>竹间</w:t>
      </w:r>
      <w:r>
        <w:rPr>
          <w:rFonts w:hint="eastAsia" w:ascii="宋体" w:hAnsi="宋体"/>
          <w:color w:val="auto"/>
          <w:sz w:val="24"/>
        </w:rPr>
        <w:t>风</w:t>
      </w:r>
      <w:r>
        <w:rPr>
          <w:rFonts w:hint="eastAsia" w:ascii="宋体" w:hAnsi="宋体"/>
          <w:color w:val="auto"/>
          <w:sz w:val="24"/>
          <w:lang w:val="en-US" w:eastAsia="zh-CN"/>
        </w:rPr>
        <w:t>雅</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竹纸制作技艺（国家级，作品展示）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朱三与刘二姐长篇叙事民歌</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传统线装书制作技艺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高桥毛笔制作技艺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雕版印刷术</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竹木小件雕刻</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二胡制作技艺</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施肩吾传说</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二董传说</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孙权传说（省级）</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罗隐传说（省级）</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郎飞贵传说</w:t>
      </w:r>
    </w:p>
    <w:p>
      <w:pPr>
        <w:numPr>
          <w:ilvl w:val="0"/>
          <w:numId w:val="0"/>
        </w:numPr>
        <w:spacing w:line="440" w:lineRule="exact"/>
        <w:ind w:left="0" w:leftChars="0" w:firstLine="420" w:firstLineChars="175"/>
        <w:rPr>
          <w:rFonts w:hint="eastAsia" w:ascii="宋体" w:hAnsi="宋体"/>
          <w:color w:val="auto"/>
          <w:sz w:val="24"/>
          <w:lang w:eastAsia="zh-CN"/>
        </w:rPr>
      </w:pPr>
      <w:r>
        <w:rPr>
          <w:rFonts w:hint="eastAsia" w:ascii="宋体" w:hAnsi="宋体"/>
          <w:color w:val="auto"/>
          <w:sz w:val="24"/>
          <w:lang w:eastAsia="zh-CN"/>
        </w:rPr>
        <w:t>烙画</w:t>
      </w:r>
    </w:p>
    <w:p>
      <w:pPr>
        <w:numPr>
          <w:ilvl w:val="0"/>
          <w:numId w:val="0"/>
        </w:numPr>
        <w:spacing w:line="440" w:lineRule="exact"/>
        <w:ind w:left="0" w:leftChars="0" w:firstLine="420" w:firstLineChars="175"/>
        <w:rPr>
          <w:rFonts w:hint="eastAsia" w:ascii="宋体" w:hAnsi="宋体"/>
          <w:color w:val="auto"/>
          <w:sz w:val="24"/>
          <w:lang w:val="en-US" w:eastAsia="zh-CN"/>
        </w:rPr>
      </w:pPr>
      <w:r>
        <w:rPr>
          <w:rFonts w:hint="eastAsia" w:ascii="宋体" w:hAnsi="宋体"/>
          <w:color w:val="auto"/>
          <w:sz w:val="24"/>
          <w:lang w:val="en-US" w:eastAsia="zh-CN"/>
        </w:rPr>
        <w:t>3.天工巧韵</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常绿纸伞</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木雕</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石雕（刻）</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铜雕</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根雕</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竹刻</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金锲画</w:t>
      </w:r>
    </w:p>
    <w:p>
      <w:pPr>
        <w:numPr>
          <w:ilvl w:val="0"/>
          <w:numId w:val="0"/>
        </w:numPr>
        <w:spacing w:line="440" w:lineRule="exact"/>
        <w:ind w:leftChars="200"/>
        <w:rPr>
          <w:rFonts w:hint="default" w:ascii="宋体" w:hAnsi="宋体"/>
          <w:color w:val="auto"/>
          <w:sz w:val="24"/>
          <w:lang w:val="en-US" w:eastAsia="zh-CN"/>
        </w:rPr>
      </w:pPr>
      <w:r>
        <w:rPr>
          <w:rFonts w:hint="eastAsia" w:ascii="宋体" w:hAnsi="宋体"/>
          <w:color w:val="auto"/>
          <w:sz w:val="24"/>
          <w:lang w:val="en-US" w:eastAsia="zh-CN"/>
        </w:rPr>
        <w:t>富阳纸伞制作技艺（省级）</w:t>
      </w:r>
    </w:p>
    <w:p>
      <w:pPr>
        <w:numPr>
          <w:ilvl w:val="0"/>
          <w:numId w:val="0"/>
        </w:numPr>
        <w:spacing w:line="440" w:lineRule="exact"/>
        <w:ind w:leftChars="200"/>
        <w:rPr>
          <w:rFonts w:hint="default" w:ascii="宋体" w:hAnsi="宋体"/>
          <w:color w:val="auto"/>
          <w:sz w:val="24"/>
          <w:lang w:val="en-US" w:eastAsia="zh-CN"/>
        </w:rPr>
      </w:pPr>
      <w:r>
        <w:rPr>
          <w:rFonts w:hint="eastAsia" w:ascii="宋体" w:hAnsi="宋体"/>
          <w:color w:val="auto"/>
          <w:sz w:val="24"/>
          <w:lang w:val="en-US" w:eastAsia="zh-CN"/>
        </w:rPr>
        <w:t>瓦刻</w:t>
      </w:r>
    </w:p>
    <w:p>
      <w:pPr>
        <w:numPr>
          <w:ilvl w:val="0"/>
          <w:numId w:val="0"/>
        </w:numPr>
        <w:spacing w:line="440" w:lineRule="exact"/>
        <w:ind w:leftChars="200"/>
        <w:rPr>
          <w:rFonts w:hint="default" w:ascii="宋体" w:hAnsi="宋体"/>
          <w:color w:val="auto"/>
          <w:sz w:val="24"/>
          <w:lang w:val="en-US" w:eastAsia="zh-CN"/>
        </w:rPr>
      </w:pPr>
      <w:r>
        <w:rPr>
          <w:rFonts w:hint="eastAsia" w:ascii="宋体" w:hAnsi="宋体"/>
          <w:color w:val="auto"/>
          <w:sz w:val="24"/>
          <w:lang w:val="en-US" w:eastAsia="zh-CN"/>
        </w:rPr>
        <w:t>楹联牌匾制作技艺</w:t>
      </w:r>
    </w:p>
    <w:p>
      <w:pPr>
        <w:numPr>
          <w:ilvl w:val="0"/>
          <w:numId w:val="0"/>
        </w:numPr>
        <w:spacing w:line="440" w:lineRule="exact"/>
        <w:rPr>
          <w:rFonts w:hint="default" w:ascii="宋体" w:hAnsi="宋体"/>
          <w:color w:val="auto"/>
          <w:sz w:val="24"/>
          <w:lang w:val="en-US" w:eastAsia="zh-CN"/>
        </w:rPr>
      </w:pPr>
    </w:p>
    <w:p>
      <w:pPr>
        <w:numPr>
          <w:ilvl w:val="0"/>
          <w:numId w:val="0"/>
        </w:numPr>
        <w:spacing w:line="440" w:lineRule="exact"/>
        <w:ind w:leftChars="200"/>
        <w:rPr>
          <w:rFonts w:hint="eastAsia" w:ascii="宋体" w:hAnsi="宋体"/>
          <w:color w:val="auto"/>
          <w:sz w:val="24"/>
          <w:lang w:val="en-US" w:eastAsia="zh-CN"/>
        </w:rPr>
      </w:pPr>
      <w:r>
        <w:rPr>
          <w:rFonts w:hint="eastAsia" w:ascii="宋体" w:hAnsi="宋体"/>
          <w:color w:val="auto"/>
          <w:sz w:val="24"/>
          <w:lang w:val="en-US" w:eastAsia="zh-CN"/>
        </w:rPr>
        <w:t>4.百味人间</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东坞山豆腐皮制作技艺（省级）</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龙门面筋制作技艺</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窈口灰汤粽</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永昌臭豆腐制作技艺</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畲乡乌米饭制作技艺</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索面制作技艺</w:t>
      </w:r>
    </w:p>
    <w:p>
      <w:pPr>
        <w:numPr>
          <w:ilvl w:val="0"/>
          <w:numId w:val="0"/>
        </w:numPr>
        <w:spacing w:line="440" w:lineRule="exact"/>
        <w:ind w:leftChars="200"/>
        <w:rPr>
          <w:rFonts w:hint="default" w:ascii="宋体" w:hAnsi="宋体"/>
          <w:color w:val="auto"/>
          <w:sz w:val="24"/>
          <w:lang w:val="en-US" w:eastAsia="zh-CN"/>
        </w:rPr>
      </w:pPr>
      <w:r>
        <w:rPr>
          <w:rFonts w:hint="default" w:ascii="宋体" w:hAnsi="宋体"/>
          <w:color w:val="auto"/>
          <w:sz w:val="24"/>
          <w:lang w:val="en-US" w:eastAsia="zh-CN"/>
        </w:rPr>
        <w:t>姜糖制作技艺</w:t>
      </w:r>
    </w:p>
    <w:p>
      <w:pPr>
        <w:numPr>
          <w:ilvl w:val="0"/>
          <w:numId w:val="0"/>
        </w:numPr>
        <w:spacing w:line="440" w:lineRule="exact"/>
        <w:ind w:leftChars="200"/>
        <w:rPr>
          <w:rFonts w:hint="default" w:ascii="宋体" w:hAnsi="宋体"/>
          <w:color w:val="auto"/>
          <w:sz w:val="24"/>
          <w:lang w:val="en-US" w:eastAsia="zh-CN"/>
        </w:rPr>
      </w:pPr>
    </w:p>
    <w:p>
      <w:pPr>
        <w:spacing w:line="440" w:lineRule="exact"/>
        <w:jc w:val="center"/>
        <w:rPr>
          <w:rFonts w:hint="eastAsia" w:ascii="宋体" w:hAnsi="宋体"/>
          <w:color w:val="auto"/>
          <w:sz w:val="24"/>
        </w:rPr>
      </w:pPr>
      <w:r>
        <w:rPr>
          <w:rFonts w:hint="eastAsia" w:ascii="宋体" w:hAnsi="宋体"/>
          <w:color w:val="auto"/>
          <w:sz w:val="24"/>
        </w:rPr>
        <w:t>第三单元  知有人家在翠微</w:t>
      </w:r>
    </w:p>
    <w:p>
      <w:pPr>
        <w:spacing w:line="440" w:lineRule="exact"/>
        <w:ind w:firstLine="480" w:firstLineChars="200"/>
        <w:rPr>
          <w:rFonts w:hint="eastAsia" w:ascii="宋体" w:hAnsi="宋体"/>
          <w:color w:val="auto"/>
          <w:sz w:val="24"/>
        </w:rPr>
      </w:pPr>
      <w:r>
        <w:rPr>
          <w:rFonts w:hint="eastAsia" w:ascii="宋体" w:hAnsi="宋体"/>
          <w:color w:val="auto"/>
          <w:sz w:val="24"/>
        </w:rPr>
        <w:t>引言</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富川山居</w:t>
      </w:r>
      <w:r>
        <w:rPr>
          <w:rFonts w:hint="eastAsia" w:ascii="宋体" w:hAnsi="宋体"/>
          <w:color w:val="auto"/>
          <w:sz w:val="24"/>
        </w:rPr>
        <w:t>，物华天宝。</w:t>
      </w:r>
      <w:r>
        <w:rPr>
          <w:rFonts w:hint="eastAsia" w:ascii="宋体" w:hAnsi="宋体"/>
          <w:color w:val="auto"/>
          <w:sz w:val="24"/>
          <w:lang w:val="en-US" w:eastAsia="zh-CN"/>
        </w:rPr>
        <w:t>山间纸农伐竹造纸</w:t>
      </w:r>
      <w:r>
        <w:rPr>
          <w:rFonts w:hint="eastAsia" w:ascii="宋体" w:hAnsi="宋体"/>
          <w:color w:val="auto"/>
          <w:sz w:val="24"/>
        </w:rPr>
        <w:t>，</w:t>
      </w:r>
      <w:r>
        <w:rPr>
          <w:rFonts w:hint="eastAsia" w:ascii="宋体" w:hAnsi="宋体"/>
          <w:color w:val="auto"/>
          <w:sz w:val="24"/>
          <w:lang w:val="en-US" w:eastAsia="zh-CN"/>
        </w:rPr>
        <w:t>以72道精加工的绝妙手法将一摞摞千年不腐的富阳元书纸呈现眼前，工艺</w:t>
      </w:r>
      <w:r>
        <w:rPr>
          <w:rFonts w:hint="eastAsia" w:ascii="宋体" w:hAnsi="宋体"/>
          <w:color w:val="auto"/>
          <w:sz w:val="24"/>
        </w:rPr>
        <w:t>卓越精湛，</w:t>
      </w:r>
      <w:r>
        <w:rPr>
          <w:rFonts w:hint="eastAsia" w:ascii="宋体" w:hAnsi="宋体"/>
          <w:color w:val="auto"/>
          <w:sz w:val="24"/>
          <w:lang w:val="en-US" w:eastAsia="zh-CN"/>
        </w:rPr>
        <w:t>承载着历史文化流传于世，让富阳纸</w:t>
      </w:r>
      <w:r>
        <w:rPr>
          <w:rFonts w:hint="eastAsia" w:ascii="宋体" w:hAnsi="宋体"/>
          <w:color w:val="auto"/>
          <w:sz w:val="24"/>
        </w:rPr>
        <w:t>享誉一方，</w:t>
      </w:r>
      <w:r>
        <w:rPr>
          <w:rFonts w:hint="eastAsia" w:ascii="宋体" w:hAnsi="宋体"/>
          <w:color w:val="auto"/>
          <w:sz w:val="24"/>
          <w:lang w:val="en-US" w:eastAsia="zh-CN"/>
        </w:rPr>
        <w:t>这</w:t>
      </w:r>
      <w:r>
        <w:rPr>
          <w:rFonts w:hint="eastAsia" w:ascii="宋体" w:hAnsi="宋体"/>
          <w:color w:val="auto"/>
          <w:sz w:val="24"/>
        </w:rPr>
        <w:t>是</w:t>
      </w:r>
      <w:r>
        <w:rPr>
          <w:rFonts w:hint="eastAsia" w:ascii="宋体" w:hAnsi="宋体"/>
          <w:color w:val="auto"/>
          <w:sz w:val="24"/>
          <w:lang w:val="en-US" w:eastAsia="zh-CN"/>
        </w:rPr>
        <w:t>富阳人</w:t>
      </w:r>
      <w:r>
        <w:rPr>
          <w:rFonts w:hint="eastAsia" w:ascii="宋体" w:hAnsi="宋体"/>
          <w:color w:val="auto"/>
          <w:sz w:val="24"/>
        </w:rPr>
        <w:t>精神的完美呈现，更是传统文化的“</w:t>
      </w:r>
      <w:r>
        <w:rPr>
          <w:rFonts w:hint="eastAsia" w:ascii="宋体" w:hAnsi="宋体"/>
          <w:color w:val="auto"/>
          <w:sz w:val="24"/>
          <w:lang w:eastAsia="zh-CN"/>
        </w:rPr>
        <w:t>富阳</w:t>
      </w:r>
      <w:r>
        <w:rPr>
          <w:rFonts w:hint="eastAsia" w:ascii="宋体" w:hAnsi="宋体"/>
          <w:color w:val="auto"/>
          <w:sz w:val="24"/>
        </w:rPr>
        <w:t>骄傲”。</w:t>
      </w:r>
    </w:p>
    <w:p>
      <w:pPr>
        <w:spacing w:line="440" w:lineRule="exact"/>
        <w:ind w:firstLine="480" w:firstLineChars="200"/>
        <w:rPr>
          <w:rFonts w:hint="eastAsia" w:ascii="宋体" w:hAnsi="宋体"/>
          <w:color w:val="auto"/>
          <w:sz w:val="24"/>
        </w:rPr>
      </w:pPr>
      <w:r>
        <w:rPr>
          <w:rFonts w:hint="eastAsia" w:ascii="宋体" w:hAnsi="宋体"/>
          <w:color w:val="auto"/>
          <w:sz w:val="24"/>
        </w:rPr>
        <w:t>本单元以</w:t>
      </w:r>
      <w:r>
        <w:rPr>
          <w:rFonts w:hint="eastAsia" w:ascii="宋体" w:hAnsi="宋体"/>
          <w:color w:val="auto"/>
          <w:sz w:val="24"/>
          <w:lang w:val="en-US" w:eastAsia="zh-CN"/>
        </w:rPr>
        <w:t>富阳</w:t>
      </w:r>
      <w:r>
        <w:rPr>
          <w:rFonts w:hint="eastAsia" w:ascii="宋体" w:hAnsi="宋体"/>
          <w:color w:val="auto"/>
          <w:sz w:val="24"/>
        </w:rPr>
        <w:t>传统技艺项目，传统</w:t>
      </w:r>
      <w:r>
        <w:rPr>
          <w:rFonts w:hint="eastAsia" w:ascii="宋体" w:hAnsi="宋体"/>
          <w:color w:val="auto"/>
          <w:sz w:val="24"/>
          <w:lang w:val="en-US" w:eastAsia="zh-CN"/>
        </w:rPr>
        <w:t>生产生活</w:t>
      </w:r>
      <w:r>
        <w:rPr>
          <w:rFonts w:hint="eastAsia" w:ascii="宋体" w:hAnsi="宋体"/>
          <w:color w:val="auto"/>
          <w:sz w:val="24"/>
        </w:rPr>
        <w:t>项目展示为主。</w:t>
      </w:r>
    </w:p>
    <w:p>
      <w:pPr>
        <w:spacing w:line="440" w:lineRule="exact"/>
        <w:rPr>
          <w:rFonts w:hint="eastAsia" w:ascii="宋体" w:hAnsi="宋体"/>
          <w:color w:val="auto"/>
          <w:sz w:val="24"/>
        </w:rPr>
      </w:pPr>
      <w:r>
        <w:rPr>
          <w:rFonts w:hint="eastAsia" w:ascii="宋体" w:hAnsi="宋体"/>
          <w:color w:val="auto"/>
          <w:sz w:val="24"/>
        </w:rPr>
        <w:t>1.竹纸制作技艺（国家级，设置抄纸场景）</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2.打铁（展示竹纸制作技艺环节砍竹、削青皮铁器工具）</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3.富春剪纸</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4.笠帽制作技艺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5.草鞋制作技艺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6.晒帚制作技艺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7.富阳竹编（赤松竹藤编织技艺）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8.鸟笼制作技艺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9.箍桶制作技艺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10.传统榫卯技艺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11.古民居营造技艺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12.传统木家具制作技艺</w:t>
      </w:r>
    </w:p>
    <w:p>
      <w:pPr>
        <w:spacing w:line="440" w:lineRule="exact"/>
        <w:ind w:left="0" w:leftChars="0" w:firstLine="0" w:firstLineChars="0"/>
        <w:rPr>
          <w:rFonts w:hint="eastAsia" w:ascii="宋体" w:hAnsi="宋体"/>
          <w:color w:val="auto"/>
          <w:sz w:val="24"/>
        </w:rPr>
      </w:pPr>
      <w:r>
        <w:rPr>
          <w:rFonts w:hint="eastAsia" w:ascii="宋体" w:hAnsi="宋体"/>
          <w:color w:val="auto"/>
          <w:sz w:val="24"/>
        </w:rPr>
        <w:t>13.双溪拳</w:t>
      </w:r>
    </w:p>
    <w:p>
      <w:pPr>
        <w:spacing w:line="440" w:lineRule="exact"/>
        <w:ind w:left="0" w:leftChars="0" w:firstLine="0" w:firstLineChars="0"/>
        <w:jc w:val="center"/>
        <w:rPr>
          <w:rFonts w:hint="default" w:ascii="宋体" w:hAnsi="宋体" w:eastAsia="宋体"/>
          <w:color w:val="auto"/>
          <w:sz w:val="24"/>
          <w:lang w:val="en-US" w:eastAsia="zh-CN"/>
        </w:rPr>
      </w:pPr>
      <w:r>
        <w:rPr>
          <w:rFonts w:hint="eastAsia" w:ascii="宋体" w:hAnsi="宋体"/>
          <w:color w:val="auto"/>
          <w:sz w:val="24"/>
        </w:rPr>
        <w:t xml:space="preserve">第四单元  </w:t>
      </w:r>
      <w:r>
        <w:rPr>
          <w:rFonts w:hint="eastAsia" w:ascii="宋体" w:hAnsi="宋体"/>
          <w:color w:val="auto"/>
          <w:sz w:val="24"/>
          <w:lang w:val="en-US" w:eastAsia="zh-CN"/>
        </w:rPr>
        <w:t>击鼓敲钲市喧腾</w:t>
      </w:r>
    </w:p>
    <w:p>
      <w:pPr>
        <w:spacing w:line="440" w:lineRule="exact"/>
        <w:ind w:firstLine="480" w:firstLineChars="200"/>
        <w:rPr>
          <w:rFonts w:hint="eastAsia" w:ascii="宋体" w:hAnsi="宋体"/>
          <w:color w:val="auto"/>
          <w:sz w:val="24"/>
        </w:rPr>
      </w:pPr>
      <w:r>
        <w:rPr>
          <w:rFonts w:hint="eastAsia" w:ascii="宋体" w:hAnsi="宋体"/>
          <w:color w:val="auto"/>
          <w:sz w:val="24"/>
        </w:rPr>
        <w:t>引言</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欢庆之日张灯结彩，喜悦之时锣鼓铿锵。娱神娱人娱己，淳朴的社会教化在一剧一幕中潜移默化。从村民家中走出，游人来赴一场与非遗的千年庙会之约，富阳人民将世代流传的生活中的艺术与技艺都在这场民俗</w:t>
      </w:r>
      <w:r>
        <w:rPr>
          <w:rFonts w:hint="eastAsia" w:ascii="宋体" w:hAnsi="宋体"/>
          <w:color w:val="auto"/>
          <w:sz w:val="24"/>
          <w:lang w:val="en-US" w:eastAsia="zh-CN"/>
        </w:rPr>
        <w:t>盛宴中一一呈现。</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本单元</w:t>
      </w:r>
      <w:r>
        <w:rPr>
          <w:rFonts w:hint="eastAsia" w:ascii="宋体" w:hAnsi="宋体"/>
          <w:color w:val="auto"/>
          <w:sz w:val="24"/>
        </w:rPr>
        <w:t>以传统音乐、传统舞蹈、传统戏剧、曲艺、传统体育游艺</w:t>
      </w:r>
      <w:r>
        <w:rPr>
          <w:rFonts w:hint="eastAsia" w:ascii="宋体" w:hAnsi="宋体"/>
          <w:color w:val="auto"/>
          <w:sz w:val="24"/>
          <w:lang w:val="en-US" w:eastAsia="zh-CN"/>
        </w:rPr>
        <w:t>等</w:t>
      </w:r>
      <w:r>
        <w:rPr>
          <w:rFonts w:hint="eastAsia" w:ascii="宋体" w:hAnsi="宋体"/>
          <w:color w:val="auto"/>
          <w:sz w:val="24"/>
        </w:rPr>
        <w:t>项目展示为主。</w:t>
      </w:r>
    </w:p>
    <w:p>
      <w:pPr>
        <w:numPr>
          <w:ilvl w:val="0"/>
          <w:numId w:val="6"/>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礼祭千年</w:t>
      </w:r>
    </w:p>
    <w:p>
      <w:pPr>
        <w:numPr>
          <w:ilvl w:val="0"/>
          <w:numId w:val="0"/>
        </w:numPr>
        <w:spacing w:line="440" w:lineRule="exact"/>
        <w:ind w:left="420" w:leftChars="0"/>
        <w:rPr>
          <w:rFonts w:hint="eastAsia" w:ascii="宋体" w:hAnsi="宋体"/>
          <w:color w:val="auto"/>
          <w:sz w:val="24"/>
        </w:rPr>
      </w:pPr>
      <w:r>
        <w:rPr>
          <w:rFonts w:hint="eastAsia" w:ascii="宋体" w:hAnsi="宋体"/>
          <w:color w:val="auto"/>
          <w:sz w:val="24"/>
        </w:rPr>
        <w:t>民间信俗孝子祭（国家级）</w:t>
      </w:r>
    </w:p>
    <w:p>
      <w:pPr>
        <w:spacing w:line="440" w:lineRule="exact"/>
        <w:ind w:left="0" w:leftChars="0" w:firstLine="420" w:firstLineChars="175"/>
        <w:rPr>
          <w:rFonts w:hint="eastAsia" w:ascii="宋体" w:hAnsi="宋体"/>
          <w:color w:val="auto"/>
          <w:sz w:val="24"/>
        </w:rPr>
      </w:pPr>
      <w:r>
        <w:rPr>
          <w:rFonts w:hint="eastAsia" w:ascii="宋体" w:hAnsi="宋体"/>
          <w:color w:val="auto"/>
          <w:sz w:val="24"/>
        </w:rPr>
        <w:t>龙门九月初一庙会（省级）</w:t>
      </w:r>
    </w:p>
    <w:p>
      <w:pPr>
        <w:spacing w:line="440" w:lineRule="exact"/>
        <w:ind w:left="0" w:leftChars="0" w:firstLine="420" w:firstLineChars="175"/>
        <w:rPr>
          <w:rFonts w:hint="eastAsia" w:ascii="宋体" w:hAnsi="宋体"/>
          <w:color w:val="auto"/>
          <w:sz w:val="24"/>
        </w:rPr>
      </w:pPr>
      <w:r>
        <w:rPr>
          <w:rFonts w:hint="eastAsia" w:ascii="宋体" w:hAnsi="宋体"/>
          <w:color w:val="auto"/>
          <w:sz w:val="24"/>
        </w:rPr>
        <w:t>“活金死刘”习俗（省级）</w:t>
      </w:r>
    </w:p>
    <w:p>
      <w:pPr>
        <w:spacing w:line="440" w:lineRule="exact"/>
        <w:ind w:left="0" w:leftChars="0" w:firstLine="420" w:firstLineChars="175"/>
        <w:rPr>
          <w:rFonts w:hint="eastAsia" w:ascii="宋体" w:hAnsi="宋体" w:eastAsia="宋体"/>
          <w:color w:val="auto"/>
          <w:sz w:val="24"/>
          <w:lang w:val="en-US" w:eastAsia="zh-CN"/>
        </w:rPr>
      </w:pPr>
      <w:r>
        <w:rPr>
          <w:rFonts w:hint="eastAsia" w:ascii="宋体" w:hAnsi="宋体"/>
          <w:color w:val="auto"/>
          <w:sz w:val="24"/>
        </w:rPr>
        <w:t>孙氏祭祖大典</w:t>
      </w:r>
    </w:p>
    <w:p>
      <w:pPr>
        <w:numPr>
          <w:ilvl w:val="0"/>
          <w:numId w:val="0"/>
        </w:numPr>
        <w:spacing w:line="440" w:lineRule="exact"/>
        <w:ind w:firstLine="480" w:firstLineChars="200"/>
        <w:rPr>
          <w:rFonts w:hint="eastAsia" w:ascii="宋体" w:hAnsi="宋体"/>
          <w:color w:val="auto"/>
          <w:sz w:val="24"/>
        </w:rPr>
      </w:pPr>
      <w:r>
        <w:rPr>
          <w:rFonts w:hint="eastAsia" w:ascii="宋体" w:hAnsi="宋体"/>
          <w:color w:val="auto"/>
          <w:sz w:val="24"/>
        </w:rPr>
        <w:t>东吴战马（省级）</w:t>
      </w:r>
    </w:p>
    <w:p>
      <w:pPr>
        <w:spacing w:line="440" w:lineRule="exact"/>
        <w:ind w:firstLine="480" w:firstLineChars="200"/>
        <w:rPr>
          <w:rFonts w:hint="eastAsia" w:ascii="宋体" w:hAnsi="宋体"/>
          <w:color w:val="auto"/>
          <w:sz w:val="24"/>
        </w:rPr>
      </w:pPr>
      <w:r>
        <w:rPr>
          <w:rFonts w:hint="eastAsia" w:ascii="宋体" w:hAnsi="宋体"/>
          <w:color w:val="auto"/>
          <w:sz w:val="24"/>
        </w:rPr>
        <w:t>梅花锣鼓（介绍涉及“工尺谱”）</w:t>
      </w:r>
    </w:p>
    <w:p>
      <w:pPr>
        <w:spacing w:line="440" w:lineRule="exact"/>
        <w:ind w:firstLine="480" w:firstLineChars="200"/>
        <w:rPr>
          <w:rFonts w:hint="eastAsia" w:ascii="宋体" w:hAnsi="宋体" w:eastAsia="宋体"/>
          <w:color w:val="auto"/>
          <w:sz w:val="24"/>
          <w:lang w:eastAsia="zh-CN"/>
        </w:rPr>
      </w:pPr>
      <w:r>
        <w:rPr>
          <w:rFonts w:hint="eastAsia" w:ascii="宋体" w:hAnsi="宋体"/>
          <w:color w:val="auto"/>
          <w:sz w:val="24"/>
        </w:rPr>
        <w:t>文武双</w:t>
      </w:r>
      <w:r>
        <w:rPr>
          <w:rFonts w:hint="eastAsia" w:ascii="宋体" w:hAnsi="宋体"/>
          <w:color w:val="auto"/>
          <w:sz w:val="24"/>
          <w:lang w:val="en-US" w:eastAsia="zh-CN"/>
        </w:rPr>
        <w:t>狮</w:t>
      </w:r>
    </w:p>
    <w:p>
      <w:pPr>
        <w:spacing w:line="440" w:lineRule="exact"/>
        <w:ind w:firstLine="480" w:firstLineChars="200"/>
        <w:rPr>
          <w:rFonts w:hint="eastAsia" w:ascii="宋体" w:hAnsi="宋体"/>
          <w:color w:val="auto"/>
          <w:sz w:val="24"/>
        </w:rPr>
      </w:pPr>
      <w:r>
        <w:rPr>
          <w:rFonts w:hint="eastAsia" w:ascii="宋体" w:hAnsi="宋体"/>
          <w:color w:val="auto"/>
          <w:sz w:val="24"/>
        </w:rPr>
        <w:t>梓树布龙（省级）</w:t>
      </w:r>
    </w:p>
    <w:p>
      <w:pPr>
        <w:spacing w:line="440" w:lineRule="exact"/>
        <w:ind w:firstLine="480" w:firstLineChars="200"/>
        <w:rPr>
          <w:rFonts w:hint="eastAsia" w:ascii="宋体" w:hAnsi="宋体"/>
          <w:color w:val="auto"/>
          <w:sz w:val="24"/>
        </w:rPr>
      </w:pPr>
      <w:r>
        <w:rPr>
          <w:rFonts w:hint="eastAsia" w:ascii="宋体" w:hAnsi="宋体"/>
          <w:color w:val="auto"/>
          <w:sz w:val="24"/>
        </w:rPr>
        <w:t>跳仙鹤（省级）</w:t>
      </w:r>
    </w:p>
    <w:p>
      <w:pPr>
        <w:spacing w:line="440" w:lineRule="exact"/>
        <w:ind w:firstLine="480" w:firstLineChars="200"/>
        <w:rPr>
          <w:rFonts w:hint="eastAsia" w:ascii="宋体" w:hAnsi="宋体"/>
          <w:color w:val="auto"/>
          <w:sz w:val="24"/>
        </w:rPr>
      </w:pPr>
      <w:r>
        <w:rPr>
          <w:rFonts w:hint="eastAsia" w:ascii="宋体" w:hAnsi="宋体"/>
          <w:color w:val="auto"/>
          <w:sz w:val="24"/>
        </w:rPr>
        <w:t>大头和尚（禅灯）</w:t>
      </w:r>
    </w:p>
    <w:p>
      <w:pPr>
        <w:spacing w:line="440" w:lineRule="exact"/>
        <w:ind w:firstLine="480" w:firstLineChars="200"/>
        <w:rPr>
          <w:rFonts w:hint="eastAsia" w:ascii="宋体" w:hAnsi="宋体"/>
          <w:color w:val="auto"/>
          <w:sz w:val="24"/>
        </w:rPr>
      </w:pPr>
      <w:r>
        <w:rPr>
          <w:rFonts w:hint="eastAsia" w:ascii="宋体" w:hAnsi="宋体"/>
          <w:color w:val="auto"/>
          <w:sz w:val="24"/>
        </w:rPr>
        <w:t>龙门魁星舞</w:t>
      </w:r>
    </w:p>
    <w:p>
      <w:pPr>
        <w:spacing w:line="440" w:lineRule="exact"/>
        <w:ind w:firstLine="480" w:firstLineChars="200"/>
        <w:rPr>
          <w:rFonts w:hint="eastAsia" w:ascii="宋体" w:hAnsi="宋体"/>
          <w:color w:val="auto"/>
          <w:sz w:val="24"/>
        </w:rPr>
      </w:pPr>
    </w:p>
    <w:p>
      <w:pPr>
        <w:spacing w:line="440" w:lineRule="exact"/>
        <w:ind w:firstLine="3720" w:firstLineChars="1550"/>
        <w:rPr>
          <w:rFonts w:hint="default" w:ascii="宋体" w:hAnsi="宋体" w:eastAsia="宋体"/>
          <w:color w:val="auto"/>
          <w:sz w:val="24"/>
          <w:lang w:val="en-US" w:eastAsia="zh-CN"/>
        </w:rPr>
      </w:pPr>
      <w:r>
        <w:rPr>
          <w:rFonts w:hint="eastAsia" w:ascii="宋体" w:hAnsi="宋体"/>
          <w:color w:val="auto"/>
          <w:sz w:val="24"/>
        </w:rPr>
        <w:t xml:space="preserve">尾厅  </w:t>
      </w:r>
      <w:r>
        <w:rPr>
          <w:rFonts w:hint="eastAsia" w:ascii="宋体" w:hAnsi="宋体"/>
          <w:color w:val="auto"/>
          <w:sz w:val="24"/>
          <w:lang w:val="en-US" w:eastAsia="zh-CN"/>
        </w:rPr>
        <w:t>未语乡愁是传承</w:t>
      </w:r>
    </w:p>
    <w:p>
      <w:pPr>
        <w:spacing w:line="440" w:lineRule="exact"/>
        <w:ind w:firstLine="480" w:firstLineChars="200"/>
        <w:rPr>
          <w:rFonts w:hint="eastAsia" w:ascii="宋体" w:hAnsi="宋体"/>
          <w:color w:val="auto"/>
          <w:sz w:val="24"/>
        </w:rPr>
      </w:pPr>
      <w:r>
        <w:rPr>
          <w:rFonts w:hint="eastAsia" w:ascii="宋体" w:hAnsi="宋体"/>
          <w:color w:val="auto"/>
          <w:sz w:val="24"/>
          <w:lang w:eastAsia="zh-CN"/>
        </w:rPr>
        <w:t>富阳</w:t>
      </w:r>
      <w:r>
        <w:rPr>
          <w:rFonts w:hint="eastAsia" w:ascii="宋体" w:hAnsi="宋体"/>
          <w:color w:val="auto"/>
          <w:sz w:val="24"/>
        </w:rPr>
        <w:t>区非遗代表性项目地图。</w:t>
      </w:r>
    </w:p>
    <w:p>
      <w:pPr>
        <w:spacing w:line="440" w:lineRule="exact"/>
        <w:ind w:firstLine="480" w:firstLineChars="200"/>
        <w:rPr>
          <w:rFonts w:hint="eastAsia" w:ascii="宋体" w:hAnsi="宋体"/>
          <w:color w:val="auto"/>
          <w:sz w:val="24"/>
        </w:rPr>
      </w:pPr>
      <w:r>
        <w:rPr>
          <w:rFonts w:hint="eastAsia" w:ascii="宋体" w:hAnsi="宋体"/>
          <w:color w:val="auto"/>
          <w:sz w:val="24"/>
        </w:rPr>
        <w:t>各级非遗代表性传承人展示。</w:t>
      </w:r>
    </w:p>
    <w:p>
      <w:pPr>
        <w:spacing w:line="440" w:lineRule="exact"/>
        <w:ind w:firstLine="480" w:firstLineChars="200"/>
        <w:rPr>
          <w:rFonts w:hint="eastAsia" w:ascii="宋体" w:hAnsi="宋体"/>
          <w:color w:val="auto"/>
          <w:sz w:val="24"/>
        </w:rPr>
      </w:pPr>
      <w:r>
        <w:rPr>
          <w:rFonts w:hint="eastAsia" w:ascii="宋体" w:hAnsi="宋体"/>
          <w:color w:val="auto"/>
          <w:sz w:val="24"/>
        </w:rPr>
        <w:t>各级非遗传承基地展示。</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富阳非遗保护行动展示。</w:t>
      </w:r>
    </w:p>
    <w:p>
      <w:pPr>
        <w:spacing w:line="440" w:lineRule="exact"/>
        <w:ind w:firstLine="480" w:firstLineChars="200"/>
        <w:rPr>
          <w:rFonts w:hint="eastAsia" w:ascii="宋体" w:hAnsi="宋体"/>
          <w:color w:val="auto"/>
          <w:sz w:val="24"/>
        </w:rPr>
      </w:pPr>
      <w:r>
        <w:rPr>
          <w:rFonts w:hint="eastAsia" w:ascii="宋体" w:hAnsi="宋体"/>
          <w:color w:val="auto"/>
          <w:sz w:val="24"/>
        </w:rPr>
        <w:t>展览结束语。</w:t>
      </w:r>
    </w:p>
    <w:p>
      <w:pPr>
        <w:pStyle w:val="3"/>
        <w:ind w:left="0" w:leftChars="0" w:firstLine="482" w:firstLineChars="200"/>
        <w:rPr>
          <w:rFonts w:hint="eastAsia" w:ascii="仿宋" w:hAnsi="仿宋" w:eastAsia="仿宋" w:cs="仿宋"/>
          <w:b/>
          <w:bCs/>
          <w:color w:val="auto"/>
          <w:kern w:val="3"/>
          <w:sz w:val="24"/>
          <w:szCs w:val="24"/>
          <w:lang w:val="en-US" w:eastAsia="zh-CN" w:bidi="ar-SA"/>
        </w:rPr>
      </w:pPr>
    </w:p>
    <w:p>
      <w:pPr>
        <w:pStyle w:val="3"/>
        <w:ind w:left="0" w:leftChars="0" w:firstLine="482" w:firstLineChars="200"/>
        <w:rPr>
          <w:rFonts w:hint="eastAsia" w:ascii="仿宋" w:hAnsi="仿宋" w:cs="仿宋"/>
          <w:b/>
          <w:bCs/>
          <w:color w:val="auto"/>
          <w:kern w:val="3"/>
          <w:sz w:val="24"/>
          <w:szCs w:val="24"/>
          <w:lang w:val="en-US" w:eastAsia="zh-CN" w:bidi="ar-SA"/>
        </w:rPr>
      </w:pPr>
      <w:r>
        <w:rPr>
          <w:rFonts w:hint="eastAsia" w:ascii="仿宋" w:hAnsi="仿宋" w:eastAsia="仿宋" w:cs="仿宋"/>
          <w:b/>
          <w:bCs/>
          <w:color w:val="auto"/>
          <w:kern w:val="3"/>
          <w:sz w:val="24"/>
          <w:szCs w:val="24"/>
          <w:lang w:val="en-US" w:eastAsia="zh-CN" w:bidi="ar-SA"/>
        </w:rPr>
        <w:t>2.4项目</w:t>
      </w:r>
      <w:r>
        <w:rPr>
          <w:rFonts w:hint="eastAsia" w:ascii="仿宋" w:hAnsi="仿宋" w:cs="仿宋"/>
          <w:b/>
          <w:bCs/>
          <w:color w:val="auto"/>
          <w:kern w:val="3"/>
          <w:sz w:val="24"/>
          <w:szCs w:val="24"/>
          <w:lang w:val="en-US" w:eastAsia="zh-CN" w:bidi="ar-SA"/>
        </w:rPr>
        <w:t>采购清单</w:t>
      </w:r>
    </w:p>
    <w:tbl>
      <w:tblPr>
        <w:tblStyle w:val="89"/>
        <w:tblW w:w="9474" w:type="dxa"/>
        <w:tblInd w:w="93" w:type="dxa"/>
        <w:tblLayout w:type="fixed"/>
        <w:tblCellMar>
          <w:top w:w="0" w:type="dxa"/>
          <w:left w:w="108" w:type="dxa"/>
          <w:bottom w:w="0" w:type="dxa"/>
          <w:right w:w="108" w:type="dxa"/>
        </w:tblCellMar>
      </w:tblPr>
      <w:tblGrid>
        <w:gridCol w:w="846"/>
        <w:gridCol w:w="1327"/>
        <w:gridCol w:w="4294"/>
        <w:gridCol w:w="813"/>
        <w:gridCol w:w="994"/>
        <w:gridCol w:w="1200"/>
      </w:tblGrid>
      <w:tr>
        <w:tblPrEx>
          <w:tblCellMar>
            <w:top w:w="0" w:type="dxa"/>
            <w:left w:w="108" w:type="dxa"/>
            <w:bottom w:w="0" w:type="dxa"/>
            <w:right w:w="108" w:type="dxa"/>
          </w:tblCellMar>
        </w:tblPrEx>
        <w:trPr>
          <w:trHeight w:val="362"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bidi="ar"/>
              </w:rPr>
              <w:t>一</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Cs w:val="21"/>
              </w:rPr>
            </w:pPr>
            <w:r>
              <w:rPr>
                <w:rFonts w:hint="eastAsia" w:ascii="仿宋" w:hAnsi="仿宋" w:eastAsia="仿宋" w:cs="仿宋"/>
                <w:b/>
                <w:bCs/>
                <w:kern w:val="0"/>
                <w:szCs w:val="21"/>
                <w:lang w:eastAsia="zh-CN" w:bidi="ar"/>
              </w:rPr>
              <w:t>基础</w:t>
            </w:r>
            <w:r>
              <w:rPr>
                <w:rFonts w:hint="eastAsia" w:ascii="仿宋" w:hAnsi="仿宋" w:eastAsia="仿宋" w:cs="仿宋"/>
                <w:b/>
                <w:bCs/>
                <w:kern w:val="0"/>
                <w:szCs w:val="21"/>
                <w:lang w:bidi="ar"/>
              </w:rPr>
              <w:t>装</w:t>
            </w:r>
            <w:r>
              <w:rPr>
                <w:rFonts w:hint="eastAsia" w:ascii="仿宋" w:hAnsi="仿宋" w:eastAsia="仿宋" w:cs="仿宋"/>
                <w:b/>
                <w:bCs/>
                <w:kern w:val="0"/>
                <w:szCs w:val="21"/>
                <w:lang w:eastAsia="zh-CN" w:bidi="ar"/>
              </w:rPr>
              <w:t>饰</w:t>
            </w:r>
            <w:r>
              <w:rPr>
                <w:rFonts w:hint="eastAsia" w:ascii="仿宋" w:hAnsi="仿宋" w:eastAsia="仿宋" w:cs="仿宋"/>
                <w:b/>
                <w:bCs/>
                <w:kern w:val="0"/>
                <w:szCs w:val="21"/>
                <w:lang w:bidi="ar"/>
              </w:rPr>
              <w:t>部分</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r>
              <w:rPr>
                <w:rFonts w:hint="eastAsia" w:ascii="仿宋" w:hAnsi="仿宋" w:eastAsia="仿宋" w:cs="仿宋"/>
                <w:szCs w:val="21"/>
              </w:rPr>
              <w:t>计量单位</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r>
              <w:rPr>
                <w:rFonts w:hint="eastAsia" w:ascii="仿宋" w:hAnsi="仿宋" w:eastAsia="仿宋" w:cs="仿宋"/>
                <w:szCs w:val="21"/>
              </w:rPr>
              <w:t>工程量</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lang w:eastAsia="zh-CN"/>
              </w:rPr>
            </w:pPr>
            <w:r>
              <w:rPr>
                <w:rFonts w:hint="eastAsia" w:cs="仿宋"/>
                <w:szCs w:val="21"/>
                <w:lang w:eastAsia="zh-CN"/>
              </w:rPr>
              <w:t>中小企业划分所属行业</w:t>
            </w:r>
          </w:p>
        </w:tc>
      </w:tr>
      <w:tr>
        <w:tblPrEx>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块料楼地面</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1.找平层厚度、砂浆配合比:界面剂：细石混凝土找平层30mm厚  2.面层材料品种、规格、颜色:300*300防滑地砖</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37.24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建筑业</w:t>
            </w:r>
          </w:p>
        </w:tc>
      </w:tr>
      <w:tr>
        <w:tblPrEx>
          <w:tblCellMar>
            <w:top w:w="0" w:type="dxa"/>
            <w:left w:w="108" w:type="dxa"/>
            <w:bottom w:w="0" w:type="dxa"/>
            <w:right w:w="108" w:type="dxa"/>
          </w:tblCellMar>
        </w:tblPrEx>
        <w:trPr>
          <w:trHeight w:val="6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块料楼地面</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1.面层材料品种、规格、颜色:1200*600仿古砖</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439.98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建筑业</w:t>
            </w:r>
          </w:p>
        </w:tc>
      </w:tr>
      <w:tr>
        <w:tblPrEx>
          <w:tblCellMar>
            <w:top w:w="0" w:type="dxa"/>
            <w:left w:w="108" w:type="dxa"/>
            <w:bottom w:w="0" w:type="dxa"/>
            <w:right w:w="108" w:type="dxa"/>
          </w:tblCellMar>
        </w:tblPrEx>
        <w:trPr>
          <w:trHeight w:val="49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地胶板楼地面</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1.粘结层厚度、材料种类:40厚细石混凝土找平层；3mm厚自流平地面  2.面层材料品种、规格、颜色:2.6mm厚地胶板</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396.5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建筑业</w:t>
            </w:r>
          </w:p>
        </w:tc>
      </w:tr>
      <w:tr>
        <w:tblPrEx>
          <w:tblCellMar>
            <w:top w:w="0" w:type="dxa"/>
            <w:left w:w="108" w:type="dxa"/>
            <w:bottom w:w="0" w:type="dxa"/>
            <w:right w:w="108" w:type="dxa"/>
          </w:tblCellMar>
        </w:tblPrEx>
        <w:trPr>
          <w:trHeight w:val="49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防静电活动地板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600*600*35mm防静电活动地板安装</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07"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lang w:val="en-US" w:eastAsia="zh-CN"/>
              </w:rPr>
            </w:pPr>
            <w:r>
              <w:rPr>
                <w:rFonts w:hint="eastAsia" w:cs="仿宋"/>
                <w:szCs w:val="21"/>
                <w:lang w:val="en-US" w:eastAsia="zh-CN"/>
              </w:rPr>
              <w:t>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可移动舞台</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1.面层材料品种、规格、颜色:木纹可移动舞台</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07"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cs="仿宋"/>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地台</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1.名称:地台  2.基层材料种类、规格:密度板  3.面层材料品种、规格、颜色:灰色聚酯漆三遍</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66.59</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 xml:space="preserve"> 工业</w:t>
            </w:r>
          </w:p>
        </w:tc>
      </w:tr>
      <w:tr>
        <w:tblPrEx>
          <w:tblCellMar>
            <w:top w:w="0" w:type="dxa"/>
            <w:left w:w="108" w:type="dxa"/>
            <w:bottom w:w="0" w:type="dxa"/>
            <w:right w:w="108" w:type="dxa"/>
          </w:tblCellMar>
        </w:tblPrEx>
        <w:trPr>
          <w:trHeight w:val="37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金属踢脚线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1.踢脚线高度:100mm  2.基层材料种类、规格:9mm厚阻燃胶合板  3.面层材料品种、规格、 颜色:1.2厚黑色不锈钢</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404.22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块料墙面</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1.墙体类型:内墙  2.面层材料品种、规格、颜色:300*600mm墙砖</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131.67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建筑业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墙面装饰板基层</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1.龙骨材料种类、规格、中距:75系列轻钢龙骨  2.基层材料种类、规格:12mm阻燃胶合板</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1206.44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墙面装饰板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1.面层材料品种、规格、颜色:9.5厚纸面石膏板</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402.15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成品隔断</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1.隔断材料品种、规格、颜色:成品卫生间隔断</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铝方通吊顶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铝方通挂片吊顶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1.1.0mm厚铝方通挂片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2.轻钢主龙骨60*20*1.2，中距900φ8镀锌全丝牙吊杆，双向吊点（中距1200一个）</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184.45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吊顶天棚</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1.龙骨材料种类、规格、中距:轻钢龙骨 (U50型)  2.面层材料品种、规格:双层9.5mm纸面石膏板</w:t>
            </w:r>
            <w:r>
              <w:rPr>
                <w:rFonts w:hint="eastAsia" w:cs="仿宋"/>
                <w:i w:val="0"/>
                <w:iCs w:val="0"/>
                <w:color w:val="000000"/>
                <w:kern w:val="0"/>
                <w:sz w:val="22"/>
                <w:szCs w:val="22"/>
                <w:highlight w:val="none"/>
                <w:u w:val="none"/>
                <w:lang w:val="en-US" w:eastAsia="zh-CN" w:bidi="ar"/>
              </w:rPr>
              <w:t>，自攻螺丝拧牢,钉眼防锈处理</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229.87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墙面喷刷涂料</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1.基层类型:石膏板面或其他面  2.喷刷涂料部位:墙面  3.刮腻子要求:腻子三遍  4.涂料品种、喷刷遍数:硅藻泥</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425.19</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建筑业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喷刷涂料</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刮腻子要求:3遍  涂料品种、喷刷遍数:乳胶漆三遍</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1235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建筑业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1"/>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楼梯改造工程</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楼梯改造</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建筑业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0"/>
                <w:szCs w:val="21"/>
                <w:lang w:val="en-US" w:eastAsia="zh-CN" w:bidi="ar"/>
              </w:rPr>
            </w:pPr>
            <w:r>
              <w:rPr>
                <w:rFonts w:hint="eastAsia" w:cs="仿宋"/>
                <w:kern w:val="0"/>
                <w:szCs w:val="21"/>
                <w:lang w:val="en-US" w:eastAsia="zh-CN" w:bidi="ar"/>
              </w:rPr>
              <w:t>17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拆除工程</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拆除工程</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建筑业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kern w:val="0"/>
                <w:szCs w:val="21"/>
                <w:highlight w:val="none"/>
                <w:lang w:bidi="ar"/>
              </w:rPr>
            </w:pPr>
            <w:r>
              <w:rPr>
                <w:rFonts w:hint="eastAsia" w:ascii="仿宋" w:hAnsi="仿宋" w:eastAsia="仿宋" w:cs="仿宋"/>
                <w:b/>
                <w:bCs/>
                <w:i w:val="0"/>
                <w:iCs w:val="0"/>
                <w:color w:val="000000"/>
                <w:kern w:val="0"/>
                <w:sz w:val="22"/>
                <w:szCs w:val="22"/>
                <w:highlight w:val="none"/>
                <w:u w:val="none"/>
                <w:lang w:val="en-US" w:eastAsia="zh-CN" w:bidi="ar"/>
              </w:rPr>
              <w:t>二</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kern w:val="0"/>
                <w:szCs w:val="21"/>
                <w:highlight w:val="none"/>
                <w:lang w:bidi="ar"/>
              </w:rPr>
            </w:pPr>
            <w:r>
              <w:rPr>
                <w:rFonts w:hint="eastAsia" w:ascii="仿宋" w:hAnsi="仿宋" w:eastAsia="仿宋" w:cs="仿宋"/>
                <w:b/>
                <w:bCs/>
                <w:i w:val="0"/>
                <w:iCs w:val="0"/>
                <w:color w:val="000000"/>
                <w:kern w:val="0"/>
                <w:sz w:val="22"/>
                <w:szCs w:val="22"/>
                <w:highlight w:val="none"/>
                <w:u w:val="none"/>
                <w:lang w:val="en-US" w:eastAsia="zh-CN" w:bidi="ar"/>
              </w:rPr>
              <w:t>安装</w:t>
            </w:r>
            <w:r>
              <w:rPr>
                <w:rFonts w:hint="eastAsia" w:cs="仿宋"/>
                <w:b/>
                <w:bCs/>
                <w:i w:val="0"/>
                <w:iCs w:val="0"/>
                <w:color w:val="000000"/>
                <w:kern w:val="0"/>
                <w:sz w:val="22"/>
                <w:szCs w:val="22"/>
                <w:highlight w:val="none"/>
                <w:u w:val="none"/>
                <w:lang w:val="en-US" w:eastAsia="zh-CN" w:bidi="ar"/>
              </w:rPr>
              <w:t>部分</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bidi="ar"/>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bidi="ar"/>
              </w:rPr>
            </w:pP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kern w:val="0"/>
                <w:szCs w:val="21"/>
                <w:lang w:bidi="ar"/>
              </w:rPr>
            </w:pPr>
            <w:r>
              <w:rPr>
                <w:rFonts w:hint="eastAsia" w:ascii="仿宋" w:hAnsi="仿宋" w:eastAsia="仿宋" w:cs="仿宋"/>
                <w:b/>
                <w:bCs/>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kern w:val="0"/>
                <w:szCs w:val="21"/>
                <w:lang w:bidi="ar"/>
              </w:rPr>
            </w:pPr>
            <w:r>
              <w:rPr>
                <w:rFonts w:hint="eastAsia" w:ascii="仿宋" w:hAnsi="仿宋" w:eastAsia="仿宋" w:cs="仿宋"/>
                <w:b/>
                <w:bCs/>
                <w:i w:val="0"/>
                <w:iCs w:val="0"/>
                <w:color w:val="000000"/>
                <w:kern w:val="0"/>
                <w:sz w:val="22"/>
                <w:szCs w:val="22"/>
                <w:u w:val="none"/>
                <w:lang w:val="en-US" w:eastAsia="zh-CN" w:bidi="ar"/>
              </w:rPr>
              <w:t>电气安装</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kern w:val="0"/>
                <w:szCs w:val="21"/>
                <w:lang w:bidi="ar"/>
              </w:rPr>
            </w:pPr>
            <w:r>
              <w:rPr>
                <w:rFonts w:hint="eastAsia" w:ascii="仿宋" w:hAnsi="仿宋" w:eastAsia="仿宋" w:cs="仿宋"/>
                <w:b/>
                <w:bCs/>
                <w:i w:val="0"/>
                <w:iCs w:val="0"/>
                <w:color w:val="000000"/>
                <w:kern w:val="0"/>
                <w:sz w:val="22"/>
                <w:szCs w:val="22"/>
                <w:u w:val="none"/>
                <w:lang w:val="en-US" w:eastAsia="zh-CN" w:bidi="ar"/>
              </w:rPr>
              <w:t>配电箱、综合布线、辅助照明、开关插座等</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kern w:val="0"/>
                <w:szCs w:val="21"/>
                <w:lang w:bidi="ar"/>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Cs w:val="21"/>
                <w:lang w:bidi="ar"/>
              </w:rPr>
            </w:pP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电力系统整理改造</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cs="仿宋"/>
                <w:i w:val="0"/>
                <w:iCs w:val="0"/>
                <w:color w:val="auto"/>
                <w:kern w:val="0"/>
                <w:sz w:val="22"/>
                <w:szCs w:val="22"/>
                <w:highlight w:val="none"/>
                <w:u w:val="none"/>
                <w:lang w:val="en-US" w:eastAsia="zh-CN" w:bidi="ar"/>
              </w:rPr>
              <w:t>原</w:t>
            </w:r>
            <w:r>
              <w:rPr>
                <w:rFonts w:hint="eastAsia" w:ascii="仿宋" w:hAnsi="仿宋" w:eastAsia="仿宋" w:cs="仿宋"/>
                <w:i w:val="0"/>
                <w:iCs w:val="0"/>
                <w:color w:val="auto"/>
                <w:kern w:val="0"/>
                <w:sz w:val="22"/>
                <w:szCs w:val="22"/>
                <w:highlight w:val="none"/>
                <w:u w:val="none"/>
                <w:lang w:val="en-US" w:eastAsia="zh-CN" w:bidi="ar"/>
              </w:rPr>
              <w:t>电力系统整理改造</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FF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建筑业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配电箱</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配电箱-AL 暗装 含箱内元器件等</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照明开关</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1位单控开关 10A</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二、三级插座（安全型）</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安装方式:吸顶</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配管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砖、混凝土结构暗配钢管 JDG20（壁厚符合国标及设计规范要求）</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2908.1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配线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cs="仿宋"/>
                <w:i w:val="0"/>
                <w:iCs w:val="0"/>
                <w:color w:val="000000"/>
                <w:kern w:val="0"/>
                <w:sz w:val="22"/>
                <w:szCs w:val="22"/>
                <w:u w:val="none"/>
                <w:lang w:val="en-US" w:eastAsia="zh-CN" w:bidi="ar"/>
              </w:rPr>
              <w:t>1</w:t>
            </w:r>
            <w:r>
              <w:rPr>
                <w:rFonts w:hint="eastAsia" w:ascii="仿宋" w:hAnsi="仿宋" w:eastAsia="仿宋" w:cs="仿宋"/>
                <w:i w:val="0"/>
                <w:iCs w:val="0"/>
                <w:color w:val="000000"/>
                <w:kern w:val="0"/>
                <w:sz w:val="22"/>
                <w:szCs w:val="22"/>
                <w:u w:val="none"/>
                <w:lang w:val="en-US" w:eastAsia="zh-CN" w:bidi="ar"/>
              </w:rPr>
              <w:t xml:space="preserve">.型号:2.5mm2  </w:t>
            </w:r>
            <w:r>
              <w:rPr>
                <w:rFonts w:hint="eastAsia" w:cs="仿宋"/>
                <w:i w:val="0"/>
                <w:iCs w:val="0"/>
                <w:color w:val="000000"/>
                <w:kern w:val="0"/>
                <w:sz w:val="22"/>
                <w:szCs w:val="22"/>
                <w:u w:val="none"/>
                <w:lang w:val="en-US" w:eastAsia="zh-CN" w:bidi="ar"/>
              </w:rPr>
              <w:t>2</w:t>
            </w:r>
            <w:r>
              <w:rPr>
                <w:rFonts w:hint="eastAsia" w:ascii="仿宋" w:hAnsi="仿宋" w:eastAsia="仿宋" w:cs="仿宋"/>
                <w:i w:val="0"/>
                <w:iCs w:val="0"/>
                <w:color w:val="000000"/>
                <w:kern w:val="0"/>
                <w:sz w:val="22"/>
                <w:szCs w:val="22"/>
                <w:u w:val="none"/>
                <w:lang w:val="en-US" w:eastAsia="zh-CN" w:bidi="ar"/>
              </w:rPr>
              <w:t xml:space="preserve">.规格:BV  </w:t>
            </w:r>
            <w:r>
              <w:rPr>
                <w:rFonts w:hint="eastAsia" w:cs="仿宋"/>
                <w:i w:val="0"/>
                <w:iCs w:val="0"/>
                <w:color w:val="000000"/>
                <w:kern w:val="0"/>
                <w:sz w:val="22"/>
                <w:szCs w:val="22"/>
                <w:u w:val="none"/>
                <w:lang w:val="en-US" w:eastAsia="zh-CN" w:bidi="ar"/>
              </w:rPr>
              <w:t>3</w:t>
            </w:r>
            <w:r>
              <w:rPr>
                <w:rFonts w:hint="eastAsia" w:ascii="仿宋" w:hAnsi="仿宋" w:eastAsia="仿宋" w:cs="仿宋"/>
                <w:i w:val="0"/>
                <w:iCs w:val="0"/>
                <w:color w:val="000000"/>
                <w:kern w:val="0"/>
                <w:sz w:val="22"/>
                <w:szCs w:val="22"/>
                <w:u w:val="none"/>
                <w:lang w:val="en-US" w:eastAsia="zh-CN" w:bidi="ar"/>
              </w:rPr>
              <w:t>.材质:铜</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9066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配线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 xml:space="preserve">1.型号:4mm2  </w:t>
            </w:r>
            <w:r>
              <w:rPr>
                <w:rFonts w:hint="eastAsia" w:cs="仿宋"/>
                <w:i w:val="0"/>
                <w:iCs w:val="0"/>
                <w:color w:val="000000"/>
                <w:kern w:val="0"/>
                <w:sz w:val="22"/>
                <w:szCs w:val="22"/>
                <w:u w:val="none"/>
                <w:lang w:val="en-US" w:eastAsia="zh-CN" w:bidi="ar"/>
              </w:rPr>
              <w:t>2</w:t>
            </w:r>
            <w:r>
              <w:rPr>
                <w:rFonts w:hint="eastAsia" w:ascii="仿宋" w:hAnsi="仿宋" w:eastAsia="仿宋" w:cs="仿宋"/>
                <w:i w:val="0"/>
                <w:iCs w:val="0"/>
                <w:color w:val="000000"/>
                <w:kern w:val="0"/>
                <w:sz w:val="22"/>
                <w:szCs w:val="22"/>
                <w:u w:val="none"/>
                <w:lang w:val="en-US" w:eastAsia="zh-CN" w:bidi="ar"/>
              </w:rPr>
              <w:t xml:space="preserve">.规格:BV  </w:t>
            </w:r>
            <w:r>
              <w:rPr>
                <w:rFonts w:hint="eastAsia" w:cs="仿宋"/>
                <w:i w:val="0"/>
                <w:iCs w:val="0"/>
                <w:color w:val="000000"/>
                <w:kern w:val="0"/>
                <w:sz w:val="22"/>
                <w:szCs w:val="22"/>
                <w:u w:val="none"/>
                <w:lang w:val="en-US" w:eastAsia="zh-CN" w:bidi="ar"/>
              </w:rPr>
              <w:t>3</w:t>
            </w:r>
            <w:r>
              <w:rPr>
                <w:rFonts w:hint="eastAsia" w:ascii="仿宋" w:hAnsi="仿宋" w:eastAsia="仿宋" w:cs="仿宋"/>
                <w:i w:val="0"/>
                <w:iCs w:val="0"/>
                <w:color w:val="000000"/>
                <w:kern w:val="0"/>
                <w:sz w:val="22"/>
                <w:szCs w:val="22"/>
                <w:u w:val="none"/>
                <w:lang w:val="en-US" w:eastAsia="zh-CN" w:bidi="ar"/>
              </w:rPr>
              <w:t>.材质:铜</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1869</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接线盒</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钢制接线盒</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应急灯具</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应急照明灯 A型灯具，TY-BLJC系列</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电梯</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1.名称:观光电梯  2.参数:额定载重量(kg):800 额定速度(m/s):1.0 额定人数:13 轿厢尺寸(mm):1600×1400 层门尺寸(mm):900×2100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kern w:val="0"/>
                <w:szCs w:val="21"/>
                <w:highlight w:val="none"/>
                <w:lang w:val="en-US" w:eastAsia="zh-CN" w:bidi="ar"/>
              </w:rPr>
            </w:pPr>
            <w:r>
              <w:rPr>
                <w:rFonts w:hint="eastAsia" w:cs="仿宋"/>
                <w:b/>
                <w:bCs/>
                <w:kern w:val="0"/>
                <w:szCs w:val="21"/>
                <w:highlight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cs="仿宋"/>
                <w:b/>
                <w:bCs/>
                <w:i w:val="0"/>
                <w:iCs w:val="0"/>
                <w:color w:val="000000"/>
                <w:kern w:val="0"/>
                <w:sz w:val="22"/>
                <w:szCs w:val="22"/>
                <w:highlight w:val="none"/>
                <w:u w:val="none"/>
                <w:lang w:val="en-US" w:eastAsia="zh-CN" w:bidi="ar"/>
              </w:rPr>
              <w:t>给排水</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塑料管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室外塑料给水管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材质、规格:PPR-DN32</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塑料管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室外塑料给水管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材质、规格:PPR-DN25</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塑料管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室外塑料排水管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材质、规格:PVC-DN110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塑料管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室外塑料排水管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材质、规格:PVC-DN75</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塑料管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室外塑料给水管</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洗脸盆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名称：陶瓷洗脸盆 台下式冷水</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附件名称、数量：含配套冷水龙头及配件</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组</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大便器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名称：蹲便器 脚踏开关</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附件名称、数量：含配套脚踏阀及配件</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组</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小便器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名称：小便器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附件名称、数量：含配套角阀及其他配件</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组</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热水器、开水炉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名称：小厨宝</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容积、功率：6.6升，1~1.5KW</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cs="仿宋"/>
                <w:i w:val="0"/>
                <w:iCs w:val="0"/>
                <w:color w:val="000000"/>
                <w:kern w:val="0"/>
                <w:sz w:val="22"/>
                <w:szCs w:val="22"/>
                <w:highlight w:val="none"/>
                <w:u w:val="none"/>
                <w:lang w:val="en-US" w:eastAsia="zh-CN" w:bidi="ar"/>
              </w:rPr>
              <w:t>10</w:t>
            </w:r>
            <w:r>
              <w:rPr>
                <w:rFonts w:hint="eastAsia" w:ascii="仿宋" w:hAnsi="仿宋" w:eastAsia="仿宋" w:cs="仿宋"/>
                <w:i w:val="0"/>
                <w:iCs w:val="0"/>
                <w:color w:val="000000"/>
                <w:kern w:val="0"/>
                <w:sz w:val="22"/>
                <w:szCs w:val="22"/>
                <w:highlight w:val="none"/>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烘手器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1.名称:烘手器</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kern w:val="0"/>
                <w:szCs w:val="21"/>
                <w:highlight w:val="none"/>
                <w:lang w:val="en-US" w:eastAsia="zh-CN" w:bidi="ar"/>
              </w:rPr>
            </w:pPr>
            <w:r>
              <w:rPr>
                <w:rFonts w:hint="eastAsia" w:cs="仿宋"/>
                <w:b/>
                <w:bCs/>
                <w:kern w:val="0"/>
                <w:szCs w:val="21"/>
                <w:highlight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cs="仿宋"/>
                <w:b/>
                <w:bCs/>
                <w:i w:val="0"/>
                <w:iCs w:val="0"/>
                <w:color w:val="000000"/>
                <w:kern w:val="0"/>
                <w:sz w:val="22"/>
                <w:szCs w:val="22"/>
                <w:highlight w:val="none"/>
                <w:u w:val="none"/>
                <w:lang w:val="en-US" w:eastAsia="zh-CN" w:bidi="ar"/>
              </w:rPr>
              <w:t>消防排烟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轴流通风机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宋体" w:hAnsi="宋体" w:cs="宋体"/>
                <w:szCs w:val="21"/>
                <w:highlight w:val="none"/>
              </w:rPr>
              <w:t>1</w:t>
            </w:r>
            <w:r>
              <w:rPr>
                <w:rFonts w:hint="eastAsia" w:ascii="仿宋" w:hAnsi="仿宋" w:eastAsia="仿宋" w:cs="仿宋"/>
                <w:i w:val="0"/>
                <w:iCs w:val="0"/>
                <w:color w:val="000000"/>
                <w:kern w:val="0"/>
                <w:sz w:val="22"/>
                <w:szCs w:val="22"/>
                <w:highlight w:val="none"/>
                <w:u w:val="none"/>
                <w:lang w:val="en-US" w:eastAsia="zh-CN" w:bidi="ar"/>
              </w:rPr>
              <w:t>.名称：高温消防排烟风机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2.型号：HTF-I-10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3.参数规格：风量:40000CMH;全压:690Pa;转速:1450rpm;功率:11Kw；噪声:90dB(A);重:300KG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4.安装形式：吊装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5.减震器制安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6.拆装检查、电动机检查接线</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cs="仿宋"/>
                <w:i w:val="0"/>
                <w:iCs w:val="0"/>
                <w:color w:val="000000"/>
                <w:kern w:val="0"/>
                <w:sz w:val="22"/>
                <w:szCs w:val="22"/>
                <w:highlight w:val="none"/>
                <w:u w:val="none"/>
                <w:lang w:val="en-US" w:eastAsia="zh-CN" w:bidi="ar"/>
              </w:rPr>
              <w:t>2</w:t>
            </w:r>
            <w:r>
              <w:rPr>
                <w:rFonts w:hint="eastAsia" w:ascii="仿宋" w:hAnsi="仿宋" w:eastAsia="仿宋" w:cs="仿宋"/>
                <w:i w:val="0"/>
                <w:iCs w:val="0"/>
                <w:color w:val="000000"/>
                <w:kern w:val="0"/>
                <w:sz w:val="22"/>
                <w:szCs w:val="22"/>
                <w:highlight w:val="none"/>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其他风机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排气扇，40W，500cmh，250Pa，47dB</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cs="仿宋"/>
                <w:i w:val="0"/>
                <w:iCs w:val="0"/>
                <w:color w:val="000000"/>
                <w:kern w:val="0"/>
                <w:sz w:val="22"/>
                <w:szCs w:val="22"/>
                <w:highlight w:val="none"/>
                <w:u w:val="none"/>
                <w:lang w:val="en-US" w:eastAsia="zh-CN" w:bidi="ar"/>
              </w:rPr>
              <w:t>3</w:t>
            </w:r>
            <w:r>
              <w:rPr>
                <w:rFonts w:hint="eastAsia" w:ascii="仿宋" w:hAnsi="仿宋" w:eastAsia="仿宋" w:cs="仿宋"/>
                <w:i w:val="0"/>
                <w:iCs w:val="0"/>
                <w:color w:val="000000"/>
                <w:kern w:val="0"/>
                <w:sz w:val="22"/>
                <w:szCs w:val="22"/>
                <w:highlight w:val="none"/>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碳钢通风管道</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镀锌薄钢板圆形风管制安δ=0.5mm咬口，长边长（mm）≤320，含支架制安及刷油;</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cs="仿宋"/>
                <w:i w:val="0"/>
                <w:iCs w:val="0"/>
                <w:color w:val="000000"/>
                <w:kern w:val="0"/>
                <w:sz w:val="22"/>
                <w:szCs w:val="22"/>
                <w:highlight w:val="none"/>
                <w:u w:val="none"/>
                <w:lang w:val="en-US" w:eastAsia="zh-CN" w:bidi="ar"/>
              </w:rPr>
              <w:t>4</w:t>
            </w:r>
            <w:r>
              <w:rPr>
                <w:rFonts w:hint="eastAsia" w:ascii="仿宋" w:hAnsi="仿宋" w:eastAsia="仿宋" w:cs="仿宋"/>
                <w:i w:val="0"/>
                <w:iCs w:val="0"/>
                <w:color w:val="000000"/>
                <w:kern w:val="0"/>
                <w:sz w:val="22"/>
                <w:szCs w:val="22"/>
                <w:highlight w:val="none"/>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碳钢通风管道</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镀锌薄钢板矩形风管制安δ=0.5mm咬口，长边长（mm）≤320，含支架制安及刷油;</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cs="仿宋"/>
                <w:i w:val="0"/>
                <w:iCs w:val="0"/>
                <w:color w:val="000000"/>
                <w:kern w:val="0"/>
                <w:sz w:val="22"/>
                <w:szCs w:val="22"/>
                <w:highlight w:val="none"/>
                <w:u w:val="none"/>
                <w:lang w:val="en-US" w:eastAsia="zh-CN" w:bidi="ar"/>
              </w:rPr>
              <w:t>5</w:t>
            </w:r>
            <w:r>
              <w:rPr>
                <w:rFonts w:hint="eastAsia" w:ascii="仿宋" w:hAnsi="仿宋" w:eastAsia="仿宋" w:cs="仿宋"/>
                <w:i w:val="0"/>
                <w:iCs w:val="0"/>
                <w:color w:val="000000"/>
                <w:kern w:val="0"/>
                <w:sz w:val="22"/>
                <w:szCs w:val="22"/>
                <w:highlight w:val="none"/>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碳钢通风管道</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镀锌薄钢板矩形风管制安δ=0.6mm咬口，长边长（mm）≤450，含支架制安及刷油;</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14.18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bidi="ar"/>
              </w:rPr>
            </w:pPr>
            <w:r>
              <w:rPr>
                <w:rFonts w:hint="eastAsia" w:cs="仿宋"/>
                <w:i w:val="0"/>
                <w:iCs w:val="0"/>
                <w:color w:val="000000"/>
                <w:kern w:val="0"/>
                <w:sz w:val="22"/>
                <w:szCs w:val="22"/>
                <w:u w:val="none"/>
                <w:lang w:val="en-US" w:eastAsia="zh-CN" w:bidi="ar"/>
              </w:rPr>
              <w:t>6</w:t>
            </w:r>
            <w:r>
              <w:rPr>
                <w:rFonts w:hint="eastAsia" w:ascii="仿宋" w:hAnsi="仿宋" w:eastAsia="仿宋" w:cs="仿宋"/>
                <w:i w:val="0"/>
                <w:iCs w:val="0"/>
                <w:color w:val="000000"/>
                <w:kern w:val="0"/>
                <w:sz w:val="22"/>
                <w:szCs w:val="22"/>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碳钢通风管道</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镀锌薄钢板矩形风管制安δ=0.75mm咬口，长边长（mm）≤1000，含支架制安及刷油;</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47.28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bidi="ar"/>
              </w:rPr>
            </w:pPr>
            <w:r>
              <w:rPr>
                <w:rFonts w:hint="eastAsia" w:cs="仿宋"/>
                <w:i w:val="0"/>
                <w:iCs w:val="0"/>
                <w:color w:val="000000"/>
                <w:kern w:val="0"/>
                <w:sz w:val="22"/>
                <w:szCs w:val="22"/>
                <w:u w:val="none"/>
                <w:lang w:val="en-US" w:eastAsia="zh-CN" w:bidi="ar"/>
              </w:rPr>
              <w:t>7</w:t>
            </w:r>
            <w:r>
              <w:rPr>
                <w:rFonts w:hint="eastAsia" w:ascii="仿宋" w:hAnsi="仿宋" w:eastAsia="仿宋" w:cs="仿宋"/>
                <w:i w:val="0"/>
                <w:iCs w:val="0"/>
                <w:color w:val="000000"/>
                <w:kern w:val="0"/>
                <w:sz w:val="22"/>
                <w:szCs w:val="22"/>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碳钢通风管道</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镀锌薄钢板矩形风管制安δ=1.0mm咬口，长边长（mm）≤2000，含支架制安及刷油;</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118.08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bidi="ar"/>
              </w:rPr>
            </w:pPr>
            <w:r>
              <w:rPr>
                <w:rFonts w:hint="eastAsia" w:cs="仿宋"/>
                <w:i w:val="0"/>
                <w:iCs w:val="0"/>
                <w:color w:val="000000"/>
                <w:kern w:val="0"/>
                <w:sz w:val="22"/>
                <w:szCs w:val="22"/>
                <w:u w:val="none"/>
                <w:lang w:val="en-US" w:eastAsia="zh-CN" w:bidi="ar"/>
              </w:rPr>
              <w:t>8</w:t>
            </w:r>
            <w:r>
              <w:rPr>
                <w:rFonts w:hint="eastAsia" w:ascii="仿宋" w:hAnsi="仿宋" w:eastAsia="仿宋" w:cs="仿宋"/>
                <w:i w:val="0"/>
                <w:iCs w:val="0"/>
                <w:color w:val="000000"/>
                <w:kern w:val="0"/>
                <w:sz w:val="22"/>
                <w:szCs w:val="22"/>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碳钢通风管道</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镀锌薄钢板矩形风管制安δ=1.5mm咬口，长边长（mm）＞4000，含支架制安及刷油;</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28.68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val="en-US" w:eastAsia="zh-CN" w:bidi="ar"/>
              </w:rPr>
            </w:pPr>
            <w:r>
              <w:rPr>
                <w:rFonts w:hint="eastAsia" w:cs="仿宋"/>
                <w:i w:val="0"/>
                <w:iCs w:val="0"/>
                <w:color w:val="000000"/>
                <w:kern w:val="0"/>
                <w:sz w:val="22"/>
                <w:szCs w:val="22"/>
                <w:highlight w:val="none"/>
                <w:u w:val="none"/>
                <w:lang w:val="en-US" w:eastAsia="zh-CN" w:bidi="ar"/>
              </w:rPr>
              <w:t>9</w:t>
            </w:r>
            <w:r>
              <w:rPr>
                <w:rFonts w:hint="eastAsia" w:ascii="仿宋" w:hAnsi="仿宋" w:eastAsia="仿宋" w:cs="仿宋"/>
                <w:i w:val="0"/>
                <w:iCs w:val="0"/>
                <w:color w:val="000000"/>
                <w:kern w:val="0"/>
                <w:sz w:val="22"/>
                <w:szCs w:val="22"/>
                <w:highlight w:val="none"/>
                <w:u w:val="none"/>
                <w:lang w:val="en-US" w:eastAsia="zh-CN" w:bidi="ar"/>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挡烟垂壁</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名称：固定挡烟垂壁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材质：防火玻璃</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18.71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cs="仿宋"/>
                <w:b/>
                <w:bCs/>
                <w:i w:val="0"/>
                <w:iCs w:val="0"/>
                <w:color w:val="000000"/>
                <w:kern w:val="0"/>
                <w:sz w:val="22"/>
                <w:szCs w:val="22"/>
                <w:highlight w:val="none"/>
                <w:u w:val="none"/>
                <w:lang w:val="en-US" w:eastAsia="zh-CN" w:bidi="ar"/>
              </w:rPr>
              <w:t>三</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szCs w:val="21"/>
                <w:highlight w:val="none"/>
              </w:rPr>
            </w:pPr>
            <w:r>
              <w:rPr>
                <w:rFonts w:hint="eastAsia" w:ascii="仿宋" w:hAnsi="仿宋" w:eastAsia="仿宋" w:cs="仿宋"/>
                <w:b/>
                <w:bCs/>
                <w:i w:val="0"/>
                <w:iCs w:val="0"/>
                <w:color w:val="000000"/>
                <w:kern w:val="0"/>
                <w:sz w:val="22"/>
                <w:szCs w:val="22"/>
                <w:highlight w:val="none"/>
                <w:u w:val="none"/>
                <w:lang w:val="en-US" w:eastAsia="zh-CN" w:bidi="ar"/>
              </w:rPr>
              <w:t>监控及门禁系统</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highlight w:val="none"/>
              </w:rPr>
            </w:pP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配管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1.名称:JDG管 2.材质:套接紧定式镀锌钢导管(JDG) 3.规格:DN20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highlight w:val="none"/>
              </w:rPr>
              <w:t>接地母线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1、名称:接地线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2、材质:30*3铜排</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3、用作防静电地板接地</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24.36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highlight w:val="none"/>
              </w:rPr>
              <w:t>接地母线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1、名称:接地线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2、材质:BVR-25</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3、用作防静电地板接地</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highlight w:val="none"/>
              </w:rPr>
              <w:t>接地母线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1、名称:接地线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2、材质:BVR-16</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3、用作防静电地板接地</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等电位端子箱、测试板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1、名称:总等电位箱</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2、利用建筑物金属体做防雷及接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地，MEB端子板直接短捷地与该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建筑物用作防雷及接地的金属体</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连通</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配线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1.名称:一体机电源线  2.规格:RVV3*2.5mm²</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交换机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名称:POE交换机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2.功能:S1850-28P-PWR  24个10/100/1000Base-T RJ45端口（支持PoE+供电）2个独立千兆SFP端口</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交换机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功能:S5048PV5-EI 48口千兆交换机</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交换机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汇聚交换机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功能:8口网络交换机</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配线架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24口非屏蔽模块式配线架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规格:国标 Cat.6 UTP  六类非屏蔽配线架，1U，24口，模块化配线架</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跳线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网线数据跳线（六类）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类别:国标 六类非屏蔽跳线，2米</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条</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双绞线缆</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CAT6 CAT6六类网线</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2500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线管理器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规格:国标 机房网线水平理线环1U网络机柜理线器</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r>
              <w:rPr>
                <w:rFonts w:hint="eastAsia" w:cs="仿宋"/>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机柜、机架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cs="仿宋"/>
                <w:i w:val="0"/>
                <w:iCs w:val="0"/>
                <w:color w:val="000000"/>
                <w:kern w:val="0"/>
                <w:sz w:val="22"/>
                <w:szCs w:val="22"/>
                <w:u w:val="none"/>
                <w:lang w:val="en-US" w:eastAsia="zh-CN" w:bidi="ar"/>
              </w:rPr>
              <w:t>1.</w:t>
            </w:r>
            <w:r>
              <w:rPr>
                <w:rFonts w:hint="eastAsia" w:ascii="仿宋" w:hAnsi="仿宋" w:eastAsia="仿宋" w:cs="仿宋"/>
                <w:i w:val="0"/>
                <w:iCs w:val="0"/>
                <w:color w:val="000000"/>
                <w:kern w:val="0"/>
                <w:sz w:val="22"/>
                <w:szCs w:val="22"/>
                <w:u w:val="none"/>
                <w:lang w:val="en-US" w:eastAsia="zh-CN" w:bidi="ar"/>
              </w:rPr>
              <w:t xml:space="preserve">规格:42U 600X600X2000 </w:t>
            </w:r>
            <w:r>
              <w:rPr>
                <w:rFonts w:hint="eastAsia" w:cs="仿宋"/>
                <w:i w:val="0"/>
                <w:iCs w:val="0"/>
                <w:color w:val="000000"/>
                <w:kern w:val="0"/>
                <w:sz w:val="22"/>
                <w:szCs w:val="22"/>
                <w:u w:val="none"/>
                <w:lang w:val="en-US" w:eastAsia="zh-CN" w:bidi="ar"/>
              </w:rPr>
              <w:t>2</w:t>
            </w:r>
            <w:r>
              <w:rPr>
                <w:rFonts w:hint="eastAsia" w:ascii="仿宋" w:hAnsi="仿宋" w:eastAsia="仿宋" w:cs="仿宋"/>
                <w:i w:val="0"/>
                <w:iCs w:val="0"/>
                <w:color w:val="000000"/>
                <w:kern w:val="0"/>
                <w:sz w:val="22"/>
                <w:szCs w:val="22"/>
                <w:u w:val="none"/>
                <w:lang w:val="en-US" w:eastAsia="zh-CN" w:bidi="ar"/>
              </w:rPr>
              <w:t>.安装方式:落地</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r>
              <w:rPr>
                <w:rFonts w:hint="eastAsia" w:cs="仿宋"/>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监控摄像设备</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名称：彩色红外半球摄像机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highlight w:val="none"/>
                <w:u w:val="none"/>
                <w:lang w:val="en-US" w:eastAsia="zh-CN" w:bidi="ar"/>
              </w:rPr>
              <w:t>2</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规格型号:400万1/3”CMOS ICR日夜型半球型网络摄像机;支持H.265及H.264编码;最小照度:0.07 Lux @(F1.2,AGC ON), 0 Lux with IR;</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r>
              <w:rPr>
                <w:rFonts w:hint="eastAsia" w:cs="仿宋"/>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显示设备</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50寸壁挂监视器</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r>
              <w:rPr>
                <w:rFonts w:hint="eastAsia" w:cs="仿宋"/>
                <w:i w:val="0"/>
                <w:iCs w:val="0"/>
                <w:color w:val="000000"/>
                <w:kern w:val="0"/>
                <w:sz w:val="22"/>
                <w:szCs w:val="22"/>
                <w:highlight w:val="none"/>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网络硬盘录像机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规格: 可接驳符合ONVIF、PSIA、RTSP标准及众多主流厂商的网络摄像机；支持500W像素高清网络视频的预览、存储与回放；支持IPC集中管理，包括IPC参数配置、信息的导入/导出、语音对讲和升级等功能；支持HDMI与VGA同时输出，输出分辨率最高均可达1920x1080p；全新的UI操作界面，支持一键开启录像功能；支持冗余录像和假日录像；支持即时回放功能，在预览画面下对指定通道的当前录像进行回放，并且不影响其他通道预览；支持最大16路4CIF实时同步回放及多路同步倒放；支持标签定义、查询、回放录像文件；支持重要录像文件加锁保护功能；支持硬盘配额和硬盘盘组两种存储模式，可对不同通道分配不同的录像保存容量或周期；支持8个SATA接口， 可选支持1个eSATA盘库，用于录像和备份；双千兆网卡，支持网络容错以及双网络IP设定等应用；支持海康威视DDNS域名解析系统；支持网络检测（网络流量监控、网络抓包、网络通畅）功能。视音频输入 网络视频入 32路 网络视频接入带宽 200Mbps网络视频输入 32路；网络视频接入带宽 200Mbps；视音频输出 HDMI输出 1路，分辨率：1024x768/60Hz，1280x720/60Hz， 1280x1024/60Hz，1600×1200/60Hz，1920x1080p/60Hz；同步回放 16路；硬盘驱动器 类型 8个SATA接口,选配eSATA接口 最大容量 每个接口支持容量小于4TB的硬盘作为录像盘；类型 8个SATA接口,选配eSATA接口；最大容量 每个接口支持容量小于4TB的硬盘作为录像盘；报警输入 16路；报警输出 4路；网络管理 网络协议 IPv6、UPnP(即插即用)、NTP（网络校时）、SADP（自动搜索IP地址）、PPPoE(拨号上网）、DHCP（自动获取IP地址）等；网络协议 IPv6、UPnP(即插即用)、NTP（网络校时）、SADP（自动搜索IP地址）、PPPoE(拨号上网）、DHCP（自动获取IP地址）等；其他 电源 AC 220V 功耗（不含硬盘） ≤20W 工作温度 -10℃--＋55℃ 工作湿度 10％--90％ 机箱 19英寸标准2U机箱 尺寸 445mm（宽）×470mm（深）×90mm（高） 重量（不含硬盘） ≤8Kg 备注： 2013年1月底开始陆续切换成两个网络接口。；电源 AC 220V；功耗（不含硬盘） ≤20W；工作温度 -10℃--＋55℃；工作湿度 10％--90％；机箱 19英寸标准2U机箱；尺寸 445mm（宽）×470mm（深）×90mm（高）</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出入口目标识别设备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1.名称：读卡器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2，规格参数：工作电压DC9-16V；按键类型全触摸；静态电流&lt;30mA输出模式NO COM NC触点；工作电流&lt;100mA；韦根接口WG26/34 输入输出可切换；指纹容量100枚 500枚(选配)；工作模式支持常开功能；卡片容量8000用户卡；遥控频率支持315M遥控对码；读卡类型ID/IC可选；防水类型表面防水/IP68全防水可选；工作温度-20°C-70°C；开门方式指纹 刷卡密码NFC(选配)WIFl(选配)</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远程开锁手机APP远程(选配) 工作湿度0-95%；读卡距离大于2厘米</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出入口目标识别设备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1.名称：开门按钮</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2。规格参数：结构：塑料面板；</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性能：最大耐电流1.25A，电压250V；</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输出：常开；</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类型：适合埋入式电器盒使用；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尺寸：86*86mm；</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重量：0.07kg</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出入口控制设备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1.名称：单门门禁控制器</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w:t>
            </w:r>
            <w:r>
              <w:rPr>
                <w:rFonts w:hint="eastAsia" w:cs="仿宋"/>
                <w:i w:val="0"/>
                <w:iCs w:val="0"/>
                <w:color w:val="000000"/>
                <w:kern w:val="0"/>
                <w:sz w:val="22"/>
                <w:szCs w:val="22"/>
                <w:highlight w:val="none"/>
                <w:u w:val="none"/>
                <w:lang w:val="en-US" w:eastAsia="zh-CN" w:bidi="ar"/>
              </w:rPr>
              <w:t>.</w:t>
            </w:r>
            <w:r>
              <w:rPr>
                <w:rFonts w:hint="eastAsia" w:ascii="仿宋" w:hAnsi="仿宋" w:eastAsia="仿宋" w:cs="仿宋"/>
                <w:i w:val="0"/>
                <w:iCs w:val="0"/>
                <w:color w:val="000000"/>
                <w:kern w:val="0"/>
                <w:sz w:val="22"/>
                <w:szCs w:val="22"/>
                <w:highlight w:val="none"/>
                <w:u w:val="none"/>
                <w:lang w:val="en-US" w:eastAsia="zh-CN" w:bidi="ar"/>
              </w:rPr>
              <w:t xml:space="preserve">规格参数：工作电压：DC 12v；功耗≤3.5W(不带负载)；处理器：32bit；上行通讯接口：TCP/IP网络接口；下行通讯接口：Wiegand接口；合法卡/事件记录：1万合法卡和5万刷卡记录；LED指示灯：电源状态、通讯状态、设备运行状态；内置时钟：有；可接读卡器数：2个wiegand接口的读卡器 4个wiegand接口读卡器 4个wiegand接口读卡器；输入接口：门磁*1、开门按钮*1、Case 门磁*2、开门按钮*2、Case；门磁*4、开门按钮*4、Case；输出接口：输入*1输入*2输入*4；开门继电器*1报警继电器*1；开门继电器*报警继电器*2 开门继电器*4报警继电器*4；工作湿度：-20°℃ -+65°℃ </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出入口执行机构设备 </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1.名称：磁力锁</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2。规格参数：上锁时NO输出，开锁时NC输出</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最大拉力：280kg静态直线拉力；锁体：240x48.5x26.5mm；吸板：180x38x11mm；适用于木门、金属门、防火门/国内中性；输入电压：DC12V或DC24V；支持门磁输出；使用环境：室内；工作电流 ：12V/500mA ; 24V/250mA；功耗 ： 6W</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21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UPS不间断电源及其附属设备安装</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szCs w:val="21"/>
                <w:lang w:val="en-US"/>
              </w:rPr>
            </w:pPr>
            <w:r>
              <w:rPr>
                <w:rFonts w:hint="eastAsia" w:ascii="仿宋" w:hAnsi="仿宋" w:eastAsia="仿宋" w:cs="仿宋"/>
                <w:i w:val="0"/>
                <w:iCs w:val="0"/>
                <w:color w:val="000000"/>
                <w:kern w:val="0"/>
                <w:sz w:val="22"/>
                <w:szCs w:val="22"/>
                <w:u w:val="none"/>
                <w:lang w:val="en-US" w:eastAsia="zh-CN" w:bidi="ar"/>
              </w:rPr>
              <w:t xml:space="preserve"> </w:t>
            </w:r>
            <w:r>
              <w:rPr>
                <w:rFonts w:hint="eastAsia" w:cs="仿宋"/>
                <w:i w:val="0"/>
                <w:iCs w:val="0"/>
                <w:color w:val="000000"/>
                <w:kern w:val="0"/>
                <w:sz w:val="22"/>
                <w:szCs w:val="22"/>
                <w:u w:val="none"/>
                <w:lang w:val="en-US" w:eastAsia="zh-CN" w:bidi="ar"/>
              </w:rPr>
              <w:t>1.名称：</w:t>
            </w:r>
            <w:r>
              <w:rPr>
                <w:rFonts w:hint="eastAsia" w:ascii="仿宋" w:hAnsi="仿宋" w:eastAsia="仿宋" w:cs="仿宋"/>
                <w:i w:val="0"/>
                <w:iCs w:val="0"/>
                <w:color w:val="000000"/>
                <w:kern w:val="0"/>
                <w:sz w:val="22"/>
                <w:szCs w:val="22"/>
                <w:u w:val="none"/>
                <w:lang w:val="en-US" w:eastAsia="zh-CN" w:bidi="ar"/>
              </w:rPr>
              <w:t>15KVA</w:t>
            </w:r>
            <w:r>
              <w:rPr>
                <w:rFonts w:hint="eastAsia" w:cs="仿宋"/>
                <w:i w:val="0"/>
                <w:iCs w:val="0"/>
                <w:color w:val="000000"/>
                <w:kern w:val="0"/>
                <w:sz w:val="22"/>
                <w:szCs w:val="22"/>
                <w:u w:val="none"/>
                <w:lang w:val="en-US" w:eastAsia="zh-CN" w:bidi="ar"/>
              </w:rPr>
              <w:t>，后备电池为不少于1小时，包含配套配电箱、电池柜等</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22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操作台</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规格:定制弱电设备双联操作台</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23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硬盘</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规格:S4000G 容量4T（GB） 5000接口 SATA3、转速（rpm） 5900纠错缓存 64MB</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24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门禁电源</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国内标配 输入输入电压：100-240VAC； 输出电压：12VDC； 输出电流：4.17A； 输出功率：50W； 支持蓄电池（0T7-12）接入（设备本身不含蓄电池）； 工作温度：-10℃-+70℃； 工作湿度：＜95%； 带机箱，机箱尺寸：237*285*85mm； 用于给一体机和电锁供电使用。</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r>
              <w:rPr>
                <w:rFonts w:hint="eastAsia" w:cs="仿宋"/>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磁力锁支架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280Kg磁力锁LZ支架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规格:(国内标配)；上L型支架尺寸：长240*宽47*厚28.5mm；Z型支架尺寸：长180*宽50*厚50mm  开门角度：90°；适用门类型：内开式木门/金属门/窄框门</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副</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cs="仿宋"/>
                <w:b/>
                <w:bCs/>
                <w:i w:val="0"/>
                <w:iCs w:val="0"/>
                <w:color w:val="auto"/>
                <w:kern w:val="0"/>
                <w:sz w:val="22"/>
                <w:szCs w:val="22"/>
                <w:u w:val="none"/>
                <w:lang w:val="en-US" w:eastAsia="zh-CN" w:bidi="ar"/>
              </w:rPr>
              <w:t>四</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auto"/>
                <w:szCs w:val="21"/>
              </w:rPr>
            </w:pPr>
            <w:r>
              <w:rPr>
                <w:rFonts w:hint="eastAsia" w:ascii="仿宋" w:hAnsi="仿宋" w:eastAsia="仿宋" w:cs="仿宋"/>
                <w:b/>
                <w:bCs/>
                <w:i w:val="0"/>
                <w:iCs w:val="0"/>
                <w:color w:val="auto"/>
                <w:kern w:val="0"/>
                <w:sz w:val="22"/>
                <w:szCs w:val="22"/>
                <w:u w:val="none"/>
                <w:lang w:val="en-US" w:eastAsia="zh-CN" w:bidi="ar"/>
              </w:rPr>
              <w:t>广播系统</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Cs w:val="21"/>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Cs w:val="21"/>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IP网络功放130W</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采用4.3寸TFT真彩液晶屏、控制旋钮，支持红外遥控器操作；2.具有四路分区控制功能，默认状态下分区关闭，通过按键或者遥控器操作可以打开/关闭分区，分区状态自动保存；3.带130W网络型定压功放(100V定压输出或定阻输出),4.带前置功能(1路动圈话筒输入、2路线路话筒输入、2路辅助线路输入、1路网络音频), 各音频通道均有独立的音量调节；5.支持本地SD卡定时自动播放(内置时钟芯片)和手动播放，SD卡内容远程更新；6.支持离线广播。当网络中断时，可自动开启本地播放；7.支持对讲功能，内置对讲咪头及扬声器；8.具有3路短路输入、2路短路输出用于联动；9.提供音频线路输出，扩展外部功放；待机功率低，空闲自动关闭功放部分电源； 10.标准RJ45网络接口，有以太网口的地方即可接入，支持跨网段和跨路由。电源, 功耗 AC180 -260V≤10W网络通讯协议    TCP、UDP、ARP、ICMP、IGMP网络芯片速率    10/100Mbps音频编码        MP2/MP3/PCM/ADPCM音频采样, 位率  8kHz～44.1kHz, 16bit ,8kbps-320kbpspcs信噪比, 频响    ≥90dB, 20Hz-20KHz 网络声音延迟    广播延迟≤30ms输出功率       120W(100V定压)显示屏          TFT 4.3”LCD 480x272音频接口        1路动圈话筒输入、2路线路话筒输入、2路辅助线路输入、1路线路输出、1路功率输出、4路分区功率输出其他接口        3路短路输入、2路短路输出工作温度、湿度  -10℃～50℃,≤80%RH（无结露）</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吸顶喇叭</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1.优质天花喇叭、复合喇叭鼓纸、音质清澈动听。强力活动夹设计、安装方便快捷。材料：钢制外壳+铝制网罩+钢制后罩额定功率 3W最大功率 6W输入电压 100V灵敏度 91±3dB频率响应 110Hz-13KHz开孔尺寸 φ170mm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IP网络对讲系统控制软件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网络系统管理软件1.运行在网络系统服务器上，是广播系统的核心控制中心，承载着数字网络广播的正常运行的核心设备；2.提供系统管理、用户管理、终端管理、分组管理、故障查询、节目管理、任务管理等多项功能，实现远程分控讲话、分区自由点播、支持单点播放、自动音乐打铃等，是整个系统的核心；3.系统通过采集、编码、压缩技术，使各类节目源均不受限制，IP网络广播在不同终端所播出的节目数量亦不受限；4.系统配置包括：基本配置、终端配置、用户配置和分组配置四个部分，系统配置的正确与否直接影响系统的正常使用；5.可运行在网络上的任意一台电脑上，为广播管理员和广播系统的使用人员提供一个远程操作的平台，使用人员只需要确认远程操作客户端与广播系统服务器的连通，即可通过网络在自已授权范围内自由使用广播系统，无需协调管6.范</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系统</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软件与信息技术服务业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IP触摸屏中控主机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采用机架式箱体设计。2.采用≥17寸工业级加固触摸屏，具有可抽拉隐藏式键盘、滑鼠板，简单易用的触摸屏操控（提供产品彩页并加盖生产厂家公章）。3.采用专用主板设计，处理速度更快，运作性能更强，适用于长时间运行。4.支持对广播系统各路音源信号控制，广播区域分配，终端信息的配置。5.支持根据服务软件形成的电子地图，查看各路广播终端实时情况，尽在掌控（提供操作界面截图并加盖生产厂家公章）。6.标准RJ45网络接口，有以太网口的地方即可接入，支持跨网段和跨路由。7.CPU:不低于I38.内存：≥4GB9.硬盘采用SATA，容量≥120GB/SSD10.接口：≥1个RJ45网口、≥6个USB口、≥1个HDMI接口，≥1路线路输入、≥1路线路输出、≥1路话筒输入11.为保证产品安全性能需提供权威机构出具CCC认证证书及中国质量认证中心颁发的中国节</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IP网络寻呼话筒</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1.专业控制台设计，坚固耐用，高档铝合金面板，全金属机身。2.≥7寸数字真彩显示屏，电容式触摸屏，分辨率≥800*480（提供产品彩页并加盖公章）。 3.内置3W扬声器和话筒咪头，用于免提通话、接收广播和监听(数字降噪)。 4.可对全区、分区、个别终端进行广播喊话。  5.具有紧急广播按键，支持一键全区紧急广播（提供具有CMA检验检测资质及CNAS认可的第三方检测机构检测的含有该型号产品此功能检验报告复印件并加盖公章）。 6.支持来/去/未接来电显示功能，具有常用通信电话薄查询功能（提供产品功能显示图片并加盖公章）。 7.支持U盘或读卡器接入，点播音频文件并通过网络广播到前端设备。8.支持触摸背景界面自由更换。9.内置Flash存储，可以存储音频、配置信息及备份，支持远程修改和升级 。10.网络通 讯协议 TCP/IP、UDP、ARP、ICMP、IGMP、HTTP、FTP11.网络芯片速率 10/100Mbps12.音频编码格式 WAV13.音频采样、位率： 8khz-44.1khz，16bit，8kbps-320kbps14.信噪比、频响 ：&gt;90dB、20Hz-16Khz15.接口： ≥1个RJ45网络接口、1个电源开关、≥1个USB接口、≥1个microTF卡接口、≥1路报警输入、≥1路报警输出、≥1路线路输入、≥1路线路输出、≥1路麦克输入，≥1路耳机输出</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消防报警矩阵</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电源，功耗：AC185V～260V 50～60Hz，≤15W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网络通讯协议：TCP/IP、UDP、ARP、ICMP、IGMP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网络芯片速率：10/100Mbps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接口：1路RJ45网口，32路报警输入，8路报警输出、1个数据更新接口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工作温度、湿度：-10℃~70℃,≤90%RH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尺寸(W×H×D)：483×259×44mm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产品用途：1、 采集消防中心消防报警信号，实现与消防系统进行联动报警功能；2、 基于网络的传输控制形式，直接接入网络中，无需其它转换设备，能实现消防邻层、全区报警功能。产品概述：1、标准机柜式设计（2U），黑色氧化铝拉丝面板，人性化的抽手，考究的工艺，尽显高档气质；2、32路消防报警采集接口，可任意扩展路数；3、自动发送报警信息到服务器，执行播放任务，可任意设置进行邻层报警、全区报警；4、报警语音文件预存储在IP网络广播服务器中，无需再配置报警语音发生器，能对报警音乐任意设定，报警矩阵具有地址拨码功能，一套系统中可以任意添加多台报警矩阵；5、各路具有LED报警指示；6、具有两种报警采集触发方式，高、低电平方式以供用户选择；7、标配2个10/100M  RJ45网络交换机接口，接口无输入输出之分，直接接入网</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cs="仿宋"/>
                <w:b/>
                <w:bCs/>
                <w:i w:val="0"/>
                <w:iCs w:val="0"/>
                <w:color w:val="000000"/>
                <w:kern w:val="0"/>
                <w:sz w:val="22"/>
                <w:szCs w:val="22"/>
                <w:highlight w:val="none"/>
                <w:u w:val="none"/>
                <w:lang w:val="en-US" w:eastAsia="zh-CN" w:bidi="ar"/>
              </w:rPr>
              <w:t>五</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szCs w:val="21"/>
                <w:highlight w:val="none"/>
              </w:rPr>
            </w:pPr>
            <w:r>
              <w:rPr>
                <w:rFonts w:hint="eastAsia" w:ascii="仿宋" w:hAnsi="仿宋" w:eastAsia="仿宋" w:cs="仿宋"/>
                <w:b/>
                <w:bCs/>
                <w:i w:val="0"/>
                <w:iCs w:val="0"/>
                <w:color w:val="000000"/>
                <w:kern w:val="0"/>
                <w:sz w:val="22"/>
                <w:szCs w:val="22"/>
                <w:highlight w:val="none"/>
                <w:u w:val="none"/>
                <w:lang w:val="en-US" w:eastAsia="zh-CN" w:bidi="ar"/>
              </w:rPr>
              <w:t>中控系统</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中控成套控制柜</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1.名称:中控成套控制柜   2.规格:普通控制单路最大瞬间电流：20A通道数：16通道（单路最大可承载2000W功率）通信协议：TCP/IP通信方式：全双工</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1.名称:套接紧定式镀锌钢导管(JDG)  2.规格:DN20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lang w:val="en-US"/>
              </w:rPr>
            </w:pPr>
            <w:r>
              <w:rPr>
                <w:rFonts w:hint="eastAsia" w:ascii="仿宋" w:hAnsi="仿宋" w:eastAsia="仿宋" w:cs="仿宋"/>
                <w:i w:val="0"/>
                <w:iCs w:val="0"/>
                <w:color w:val="000000"/>
                <w:kern w:val="0"/>
                <w:sz w:val="22"/>
                <w:szCs w:val="22"/>
                <w:u w:val="none"/>
                <w:lang w:val="en-US" w:eastAsia="zh-CN" w:bidi="ar"/>
              </w:rPr>
              <w:t>447.1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PCIE千兆网卡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1.名称:PCIE千兆网卡  2.类别:千兆网卡，1端口RJ45，pcie接口</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交换机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1.名称:24口千兆交换机  2.规格: 24*10/100/1000Base-T以太网端口4*100/1000 Base-X SFP光口</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无线AP</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1.名称:无线AP  2.规格:企业无线系列室内放装型无线，最大接入用户120个，推荐并发用户数60；简单，外观精美，即插即用   ·支持多SSID及隐藏，VLAN隔离无缝漫游自动切换 ·支持负载均衡技术，5G优先接入 发射功率可调 ·搭配网关轻松实现广告认证，计费运营 ·支持手机免AC管理（胖AP）·支持绑定云平台管理（胖AP直接接入，瘦AP绑定AC）</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AC控制器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1.名称:AC控制器  2.规格:千兆管理型交换机；交换容量336Gbps，转发率96Mpps，24*千兆电口+4*SFP；（支持POE+,POE输出≥190W，单端口≥30W）；VLAN：4K(数量非ID)、MAC：8K；支持半双工、全双工、自协商工作模式，支持MDI/MDI-X；支持IRF2（最大支持9台堆叠）；支持STP/RSTP/MSTP；支持三层功能，IPv4/IPv6静态路由、RIP；支持端口镜像、流镜像；支持二层、三层、四层ACL，支持Diff-Serv QoS；支持Console/AUX Modem/Telnet/SSH2.0 命令行配置；绿色节能设计。</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机柜、机架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1.名称:42U专业机柜  2.规格:42U 国际标准机柜,600*800机柜42U加厚19英寸2米机柜</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双绞线缆</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1.名称:网线  2.规格:FTP5E</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lang w:val="en-US"/>
              </w:rPr>
            </w:pPr>
            <w:r>
              <w:rPr>
                <w:rFonts w:hint="eastAsia" w:ascii="仿宋" w:hAnsi="仿宋" w:eastAsia="仿宋" w:cs="仿宋"/>
                <w:i w:val="0"/>
                <w:iCs w:val="0"/>
                <w:color w:val="000000"/>
                <w:kern w:val="0"/>
                <w:sz w:val="22"/>
                <w:szCs w:val="22"/>
                <w:u w:val="none"/>
                <w:lang w:val="en-US" w:eastAsia="zh-CN" w:bidi="ar"/>
              </w:rPr>
              <w:t>4693.96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中央管理系统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1.名称:中控后台管理服务器  2.规格:中控主机:CPU: Intel 酷睿I5；内存:4GB；硬盘:120G固态硬盘；电源:650w；机箱：定制机箱</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控制器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1.名称:分控管理控制器  2.功能:定制 内含可编程逻辑控制器、开关电源、微处理器、触发器等  24口一组，用于控制Pc主</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服务器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1.名称:8口串口服务器（机架式）  2.规格:C2000 N380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显示设备</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1.名称:24英寸LED液晶显示器</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千兆出口路由器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1.外形尺寸（H×W×D）mm440mm×230mm×44mm固定端口2个10/100/1000M WAN口4个10/100/1000M LAN口1个USB接口1个Console口整机功耗&lt;20W散热方式无风扇，自然散热工作温度/存储温度0oC～40oC/-40oC～70oC工作湿度/存储湿度5%~95%(非冷凝)认证电信入网证、3C认证MTBF&gt;50000H</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控制终端</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1.手持式移动控制终端平板8.4英寸6GB+128GB WIFI</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中控集中控制系统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1.运行CentOS8系统开发的高并发服务器端软件，整体设备运行集成控制、控制指令分发。实现多媒体展项运行良好，稳定；实现功能包括:  2.多媒体设备开关控制指令控制  3.视频、音效播放分场景控制指令控制  4.灯光分场景控制（如灯光接入中控控制）指令控制</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软件与信息技术服务业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移动端无线集控软件平台</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1.统一的操作界面，界面友好、直观， 通过按键可进行音频信号的分区和信号处理、灯光的开关、投影机和控制电脑等设备的开关机等操作，也可对各展区的多媒体演示资料进行增加、删除等编辑操作。整体功能支持：所有电脑集中状态管理，各路电脑集中分控开关、强制开关，各组投影仪集中分控开关，各路电脑与关联投影仪同步开关控制，所有电脑一键开关、一键状态查询，所有电脑投影设备展厅平面图图形化设备展现、状态显现远程电脑内容管理系统。其中内容管理系统包括：远程电脑桌面管理、远程文件传输（资料与软件更新）、操作系统远程管理。</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cs="仿宋"/>
                <w:i w:val="0"/>
                <w:iCs w:val="0"/>
                <w:color w:val="auto"/>
                <w:kern w:val="0"/>
                <w:sz w:val="22"/>
                <w:szCs w:val="22"/>
                <w:u w:val="none"/>
                <w:lang w:val="en-US" w:eastAsia="zh-CN" w:bidi="ar"/>
              </w:rPr>
              <w:t>软件与信息技术服务业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cs="仿宋"/>
                <w:b/>
                <w:bCs/>
                <w:i w:val="0"/>
                <w:iCs w:val="0"/>
                <w:color w:val="000000"/>
                <w:kern w:val="0"/>
                <w:sz w:val="22"/>
                <w:szCs w:val="22"/>
                <w:highlight w:val="none"/>
                <w:u w:val="none"/>
                <w:lang w:val="en-US" w:eastAsia="zh-CN" w:bidi="ar"/>
              </w:rPr>
              <w:t>六</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szCs w:val="21"/>
                <w:highlight w:val="none"/>
              </w:rPr>
            </w:pPr>
            <w:r>
              <w:rPr>
                <w:rFonts w:hint="eastAsia" w:ascii="仿宋" w:hAnsi="仿宋" w:eastAsia="仿宋" w:cs="仿宋"/>
                <w:b/>
                <w:bCs/>
                <w:i w:val="0"/>
                <w:iCs w:val="0"/>
                <w:color w:val="000000"/>
                <w:kern w:val="0"/>
                <w:sz w:val="22"/>
                <w:szCs w:val="22"/>
                <w:highlight w:val="none"/>
                <w:u w:val="none"/>
                <w:lang w:val="en-US" w:eastAsia="zh-CN" w:bidi="ar"/>
              </w:rPr>
              <w:t>通风空调</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jc w:val="left"/>
              <w:textAlignment w:val="center"/>
              <w:rPr>
                <w:rFonts w:hint="eastAsia"/>
                <w:highlight w:val="none"/>
                <w:lang w:val="en-US" w:eastAsia="zh-CN"/>
              </w:rPr>
            </w:pPr>
            <w:r>
              <w:rPr>
                <w:rFonts w:hint="eastAsia"/>
                <w:highlight w:val="none"/>
                <w:lang w:val="en-US" w:eastAsia="zh-CN"/>
              </w:rPr>
              <w:t xml:space="preserve">名称:室外机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highlight w:val="none"/>
                <w:lang w:val="en-US" w:eastAsia="zh-CN"/>
              </w:rPr>
            </w:pPr>
            <w:r>
              <w:rPr>
                <w:rFonts w:hint="eastAsia"/>
                <w:highlight w:val="none"/>
                <w:lang w:val="en-US" w:eastAsia="zh-CN"/>
              </w:rPr>
              <w:t>型号:制冷量\制热量KW61.5/69</w:t>
            </w:r>
            <w:r>
              <w:rPr>
                <w:rFonts w:hint="eastAsia"/>
                <w:highlight w:val="none"/>
                <w:lang w:val="en-US" w:eastAsia="zh-CN"/>
              </w:rPr>
              <w:br w:type="textWrapping"/>
            </w:r>
            <w:r>
              <w:rPr>
                <w:rFonts w:hint="eastAsia"/>
                <w:highlight w:val="none"/>
                <w:lang w:val="en-US" w:eastAsia="zh-CN"/>
              </w:rPr>
              <w:t>电功率KW17.75  3.电源:380V~三相 五线  4.安装形式:分体式；落地安装</w:t>
            </w:r>
          </w:p>
          <w:p>
            <w:pPr>
              <w:pStyle w:val="2"/>
              <w:numPr>
                <w:ilvl w:val="0"/>
                <w:numId w:val="0"/>
              </w:numPr>
              <w:ind w:leftChars="0"/>
              <w:rPr>
                <w:rFonts w:hint="default" w:eastAsia="仿宋"/>
                <w:highlight w:val="none"/>
                <w:lang w:val="en-US" w:eastAsia="zh-CN"/>
              </w:rPr>
            </w:pPr>
            <w:r>
              <w:rPr>
                <w:rFonts w:hint="eastAsia" w:ascii="仿宋" w:hAnsi="仿宋" w:eastAsia="仿宋" w:cs="仿宋"/>
                <w:kern w:val="3"/>
                <w:sz w:val="24"/>
                <w:szCs w:val="24"/>
                <w:highlight w:val="none"/>
                <w:lang w:val="en-US" w:eastAsia="zh-CN" w:bidi="ar-SA"/>
              </w:rPr>
              <w:t>5.包含冷媒剂及配件、冷媒管橡塑保温及辅材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名称:室外机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型号:制冷量\制热量KW101/112</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电功率KW27.8  3.电源:380V~三相 五线  4.安装形式:分体式；落地安装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仿宋" w:hAnsi="仿宋" w:eastAsia="仿宋" w:cs="仿宋"/>
                <w:szCs w:val="21"/>
                <w:highlight w:val="none"/>
              </w:rPr>
            </w:pPr>
            <w:r>
              <w:rPr>
                <w:rFonts w:hint="eastAsia" w:ascii="仿宋" w:hAnsi="仿宋" w:eastAsia="仿宋" w:cs="仿宋"/>
                <w:kern w:val="3"/>
                <w:sz w:val="24"/>
                <w:szCs w:val="24"/>
                <w:highlight w:val="none"/>
                <w:lang w:val="en-US" w:eastAsia="zh-CN" w:bidi="ar-SA"/>
              </w:rPr>
              <w:t>5.包含冷媒剂及配件、冷媒管橡塑保温及辅材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400" w:lineRule="exact"/>
              <w:jc w:val="left"/>
              <w:textAlignment w:val="center"/>
              <w:rPr>
                <w:rFonts w:hint="eastAsia"/>
                <w:highlight w:val="none"/>
                <w:lang w:val="en-US" w:eastAsia="zh-CN"/>
              </w:rPr>
            </w:pPr>
            <w:r>
              <w:rPr>
                <w:rFonts w:hint="eastAsia"/>
                <w:highlight w:val="none"/>
                <w:lang w:val="en-US" w:eastAsia="zh-CN"/>
              </w:rPr>
              <w:t xml:space="preserve">名称:四面出风天花机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highlight w:val="none"/>
                <w:lang w:val="en-US" w:eastAsia="zh-CN"/>
              </w:rPr>
            </w:pPr>
            <w:r>
              <w:rPr>
                <w:rFonts w:hint="eastAsia"/>
                <w:highlight w:val="none"/>
                <w:lang w:val="en-US" w:eastAsia="zh-CN"/>
              </w:rPr>
              <w:t>型号:制冷量\制热量KW10/11.2</w:t>
            </w:r>
            <w:r>
              <w:rPr>
                <w:rFonts w:hint="eastAsia"/>
                <w:highlight w:val="none"/>
                <w:lang w:val="en-US" w:eastAsia="zh-CN"/>
              </w:rPr>
              <w:br w:type="textWrapping"/>
            </w:r>
            <w:r>
              <w:rPr>
                <w:rFonts w:hint="eastAsia"/>
                <w:highlight w:val="none"/>
                <w:lang w:val="en-US" w:eastAsia="zh-CN"/>
              </w:rPr>
              <w:t xml:space="preserve">电功率KW0.19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highlight w:val="none"/>
                <w:lang w:val="en-US" w:eastAsia="zh-CN"/>
              </w:rPr>
            </w:pPr>
            <w:r>
              <w:rPr>
                <w:rFonts w:hint="eastAsia"/>
                <w:highlight w:val="none"/>
                <w:lang w:val="en-US" w:eastAsia="zh-CN"/>
              </w:rPr>
              <w:t>电源:220V  4.安装形式:吸顶安装</w:t>
            </w:r>
          </w:p>
          <w:p>
            <w:pPr>
              <w:pStyle w:val="2"/>
              <w:numPr>
                <w:ilvl w:val="0"/>
                <w:numId w:val="0"/>
              </w:numPr>
              <w:ind w:leftChars="0"/>
              <w:rPr>
                <w:rFonts w:hint="eastAsia"/>
                <w:highlight w:val="none"/>
              </w:rPr>
            </w:pPr>
            <w:r>
              <w:rPr>
                <w:rFonts w:hint="eastAsia" w:ascii="仿宋" w:hAnsi="仿宋" w:eastAsia="仿宋" w:cs="仿宋"/>
                <w:kern w:val="3"/>
                <w:sz w:val="24"/>
                <w:szCs w:val="24"/>
                <w:highlight w:val="none"/>
                <w:lang w:val="en-US" w:eastAsia="zh-CN" w:bidi="ar-SA"/>
              </w:rPr>
              <w:t>5.包含配件、冷媒管橡塑保温及辅材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400" w:lineRule="exact"/>
              <w:jc w:val="left"/>
              <w:textAlignment w:val="center"/>
              <w:rPr>
                <w:rFonts w:hint="eastAsia"/>
                <w:highlight w:val="none"/>
                <w:lang w:val="en-US" w:eastAsia="zh-CN"/>
              </w:rPr>
            </w:pPr>
            <w:r>
              <w:rPr>
                <w:rFonts w:hint="eastAsia"/>
                <w:highlight w:val="none"/>
                <w:lang w:val="en-US" w:eastAsia="zh-CN"/>
              </w:rPr>
              <w:t>名称:四面出风天花机  2.型号:制冷量\制热量KW11.2/12.5</w:t>
            </w:r>
            <w:r>
              <w:rPr>
                <w:rFonts w:hint="eastAsia"/>
                <w:highlight w:val="none"/>
                <w:lang w:val="en-US" w:eastAsia="zh-CN"/>
              </w:rPr>
              <w:br w:type="textWrapping"/>
            </w:r>
            <w:r>
              <w:rPr>
                <w:rFonts w:hint="eastAsia"/>
                <w:highlight w:val="none"/>
                <w:lang w:val="en-US" w:eastAsia="zh-CN"/>
              </w:rPr>
              <w:t>电功率KW0.19  3.电源:220V  4.安装形式:吸顶安装</w:t>
            </w:r>
          </w:p>
          <w:p>
            <w:pPr>
              <w:pStyle w:val="2"/>
              <w:numPr>
                <w:ilvl w:val="0"/>
                <w:numId w:val="0"/>
              </w:numPr>
              <w:rPr>
                <w:rFonts w:hint="eastAsia"/>
                <w:highlight w:val="none"/>
              </w:rPr>
            </w:pPr>
            <w:r>
              <w:rPr>
                <w:rFonts w:hint="eastAsia" w:ascii="仿宋" w:hAnsi="仿宋" w:eastAsia="仿宋" w:cs="仿宋"/>
                <w:kern w:val="3"/>
                <w:sz w:val="24"/>
                <w:szCs w:val="24"/>
                <w:highlight w:val="none"/>
                <w:lang w:val="en-US" w:eastAsia="zh-CN" w:bidi="ar-SA"/>
              </w:rPr>
              <w:t>5.包含配件、冷媒管橡塑保温及辅材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400" w:lineRule="exact"/>
              <w:jc w:val="left"/>
              <w:textAlignment w:val="center"/>
              <w:rPr>
                <w:rFonts w:hint="eastAsia"/>
                <w:highlight w:val="none"/>
                <w:lang w:val="en-US" w:eastAsia="zh-CN"/>
              </w:rPr>
            </w:pPr>
            <w:r>
              <w:rPr>
                <w:rFonts w:hint="eastAsia"/>
                <w:highlight w:val="none"/>
                <w:lang w:val="en-US" w:eastAsia="zh-CN"/>
              </w:rPr>
              <w:t>名称:四面出风天花机  2.型号:制冷量\制热量KW12.5/14</w:t>
            </w:r>
            <w:r>
              <w:rPr>
                <w:rFonts w:hint="eastAsia"/>
                <w:highlight w:val="none"/>
                <w:lang w:val="en-US" w:eastAsia="zh-CN"/>
              </w:rPr>
              <w:br w:type="textWrapping"/>
            </w:r>
            <w:r>
              <w:rPr>
                <w:rFonts w:hint="eastAsia"/>
                <w:highlight w:val="none"/>
                <w:lang w:val="en-US" w:eastAsia="zh-CN"/>
              </w:rPr>
              <w:t>电功率KW0.19  3.电源:220V  4.安装形式:吸顶安装</w:t>
            </w:r>
          </w:p>
          <w:p>
            <w:pPr>
              <w:pStyle w:val="2"/>
              <w:numPr>
                <w:ilvl w:val="0"/>
                <w:numId w:val="0"/>
              </w:numPr>
              <w:rPr>
                <w:rFonts w:hint="eastAsia"/>
                <w:highlight w:val="none"/>
              </w:rPr>
            </w:pPr>
            <w:r>
              <w:rPr>
                <w:rFonts w:hint="eastAsia" w:ascii="仿宋" w:hAnsi="仿宋" w:eastAsia="仿宋" w:cs="仿宋"/>
                <w:kern w:val="3"/>
                <w:sz w:val="24"/>
                <w:szCs w:val="24"/>
                <w:highlight w:val="none"/>
                <w:lang w:val="en-US" w:eastAsia="zh-CN" w:bidi="ar-SA"/>
              </w:rPr>
              <w:t>5.包含配件、冷媒管橡塑保温及辅材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400" w:lineRule="exact"/>
              <w:jc w:val="left"/>
              <w:textAlignment w:val="center"/>
              <w:rPr>
                <w:rFonts w:hint="eastAsia"/>
                <w:highlight w:val="none"/>
                <w:lang w:val="en-US" w:eastAsia="zh-CN"/>
              </w:rPr>
            </w:pPr>
            <w:r>
              <w:rPr>
                <w:rFonts w:hint="eastAsia"/>
                <w:highlight w:val="none"/>
                <w:lang w:val="en-US" w:eastAsia="zh-CN"/>
              </w:rPr>
              <w:t>名称:四面出风天花机  2.型号:制冷量\制热量KW14/16</w:t>
            </w:r>
            <w:r>
              <w:rPr>
                <w:rFonts w:hint="eastAsia"/>
                <w:highlight w:val="none"/>
                <w:lang w:val="en-US" w:eastAsia="zh-CN"/>
              </w:rPr>
              <w:br w:type="textWrapping"/>
            </w:r>
            <w:r>
              <w:rPr>
                <w:rFonts w:hint="eastAsia"/>
                <w:highlight w:val="none"/>
                <w:lang w:val="en-US" w:eastAsia="zh-CN"/>
              </w:rPr>
              <w:t>电功率KW0.19  3.电源:220V  4.安装形式:吸顶安装</w:t>
            </w:r>
          </w:p>
          <w:p>
            <w:pPr>
              <w:pStyle w:val="2"/>
              <w:numPr>
                <w:ilvl w:val="0"/>
                <w:numId w:val="0"/>
              </w:numPr>
              <w:rPr>
                <w:rFonts w:hint="eastAsia"/>
                <w:highlight w:val="none"/>
              </w:rPr>
            </w:pPr>
            <w:r>
              <w:rPr>
                <w:rFonts w:hint="eastAsia" w:ascii="仿宋" w:hAnsi="仿宋" w:eastAsia="仿宋" w:cs="仿宋"/>
                <w:kern w:val="3"/>
                <w:sz w:val="24"/>
                <w:szCs w:val="24"/>
                <w:highlight w:val="none"/>
                <w:lang w:val="en-US" w:eastAsia="zh-CN" w:bidi="ar-SA"/>
              </w:rPr>
              <w:t>5.包含配件、冷媒管橡塑保温及辅材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400" w:lineRule="exact"/>
              <w:jc w:val="left"/>
              <w:textAlignment w:val="center"/>
              <w:rPr>
                <w:rFonts w:hint="eastAsia"/>
                <w:highlight w:val="none"/>
                <w:lang w:val="en-US" w:eastAsia="zh-CN"/>
              </w:rPr>
            </w:pPr>
            <w:r>
              <w:rPr>
                <w:rFonts w:hint="eastAsia"/>
                <w:highlight w:val="none"/>
                <w:lang w:val="en-US" w:eastAsia="zh-CN"/>
              </w:rPr>
              <w:t>名称:四面出风天花机  2.型号:制冷量\制热量KW7.1/8.0</w:t>
            </w:r>
            <w:r>
              <w:rPr>
                <w:rFonts w:hint="eastAsia"/>
                <w:highlight w:val="none"/>
                <w:lang w:val="en-US" w:eastAsia="zh-CN"/>
              </w:rPr>
              <w:br w:type="textWrapping"/>
            </w:r>
            <w:r>
              <w:rPr>
                <w:rFonts w:hint="eastAsia"/>
                <w:highlight w:val="none"/>
                <w:lang w:val="en-US" w:eastAsia="zh-CN"/>
              </w:rPr>
              <w:t>电功率KW0.105  3.电源:220V  4.安装形式:吸顶安装</w:t>
            </w:r>
          </w:p>
          <w:p>
            <w:pPr>
              <w:pStyle w:val="2"/>
              <w:numPr>
                <w:ilvl w:val="0"/>
                <w:numId w:val="0"/>
              </w:numPr>
              <w:rPr>
                <w:rFonts w:hint="eastAsia"/>
                <w:highlight w:val="none"/>
              </w:rPr>
            </w:pPr>
            <w:r>
              <w:rPr>
                <w:rFonts w:hint="eastAsia" w:ascii="仿宋" w:hAnsi="仿宋" w:eastAsia="仿宋" w:cs="仿宋"/>
                <w:kern w:val="3"/>
                <w:sz w:val="24"/>
                <w:szCs w:val="24"/>
                <w:highlight w:val="none"/>
                <w:lang w:val="en-US" w:eastAsia="zh-CN" w:bidi="ar-SA"/>
              </w:rPr>
              <w:t>5.包含配件、冷媒管橡塑保温及辅材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jc w:val="left"/>
              <w:textAlignment w:val="center"/>
              <w:rPr>
                <w:rFonts w:hint="eastAsia"/>
                <w:highlight w:val="none"/>
                <w:lang w:val="en-US" w:eastAsia="zh-CN"/>
              </w:rPr>
            </w:pPr>
            <w:r>
              <w:rPr>
                <w:rFonts w:hint="eastAsia"/>
                <w:highlight w:val="none"/>
                <w:lang w:val="en-US" w:eastAsia="zh-CN"/>
              </w:rPr>
              <w:t xml:space="preserve">名称:四面出风天花机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highlight w:val="none"/>
                <w:lang w:val="en-US" w:eastAsia="zh-CN"/>
              </w:rPr>
            </w:pPr>
            <w:r>
              <w:rPr>
                <w:rFonts w:hint="eastAsia"/>
                <w:highlight w:val="none"/>
                <w:lang w:val="en-US" w:eastAsia="zh-CN"/>
              </w:rPr>
              <w:t>型号:制冷量\制热量KW6.3/7.1</w:t>
            </w:r>
            <w:r>
              <w:rPr>
                <w:rFonts w:hint="eastAsia"/>
                <w:highlight w:val="none"/>
                <w:lang w:val="en-US" w:eastAsia="zh-CN"/>
              </w:rPr>
              <w:br w:type="textWrapping"/>
            </w:r>
            <w:r>
              <w:rPr>
                <w:rFonts w:hint="eastAsia"/>
                <w:highlight w:val="none"/>
                <w:lang w:val="en-US" w:eastAsia="zh-CN"/>
              </w:rPr>
              <w:t xml:space="preserve">电功率KW0.105  </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highlight w:val="none"/>
                <w:lang w:val="en-US" w:eastAsia="zh-CN"/>
              </w:rPr>
            </w:pPr>
            <w:r>
              <w:rPr>
                <w:rFonts w:hint="eastAsia"/>
                <w:highlight w:val="none"/>
                <w:lang w:val="en-US" w:eastAsia="zh-CN"/>
              </w:rPr>
              <w:t>电源:220V  4.安装形式:吸顶安装</w:t>
            </w:r>
          </w:p>
          <w:p>
            <w:pPr>
              <w:pStyle w:val="2"/>
              <w:numPr>
                <w:ilvl w:val="0"/>
                <w:numId w:val="0"/>
              </w:numPr>
              <w:ind w:leftChars="0"/>
              <w:rPr>
                <w:rFonts w:hint="eastAsia"/>
                <w:highlight w:val="none"/>
              </w:rPr>
            </w:pPr>
            <w:r>
              <w:rPr>
                <w:rFonts w:hint="eastAsia" w:ascii="仿宋" w:hAnsi="仿宋" w:eastAsia="仿宋" w:cs="仿宋"/>
                <w:kern w:val="3"/>
                <w:sz w:val="24"/>
                <w:szCs w:val="24"/>
                <w:highlight w:val="none"/>
                <w:lang w:val="en-US" w:eastAsia="zh-CN" w:bidi="ar-SA"/>
              </w:rPr>
              <w:t>5.包含冷媒剂及配件、冷媒管橡塑保温及辅材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空调器</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jc w:val="left"/>
              <w:textAlignment w:val="center"/>
              <w:rPr>
                <w:rFonts w:hint="eastAsia"/>
                <w:highlight w:val="none"/>
              </w:rPr>
            </w:pPr>
            <w:r>
              <w:rPr>
                <w:rFonts w:hint="eastAsia"/>
                <w:highlight w:val="none"/>
                <w:lang w:val="en-US" w:eastAsia="zh-CN"/>
              </w:rPr>
              <w:t xml:space="preserve">名称:四面出风天花机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highlight w:val="none"/>
                <w:lang w:val="en-US" w:eastAsia="zh-CN"/>
              </w:rPr>
            </w:pPr>
            <w:r>
              <w:rPr>
                <w:rFonts w:hint="eastAsia"/>
                <w:highlight w:val="none"/>
                <w:lang w:val="en-US" w:eastAsia="zh-CN"/>
              </w:rPr>
              <w:t>型号:制冷量\制热量KW4/4.5</w:t>
            </w:r>
            <w:r>
              <w:rPr>
                <w:rFonts w:hint="eastAsia"/>
                <w:highlight w:val="none"/>
                <w:lang w:val="en-US" w:eastAsia="zh-CN"/>
              </w:rPr>
              <w:br w:type="textWrapping"/>
            </w:r>
            <w:r>
              <w:rPr>
                <w:rFonts w:hint="eastAsia"/>
                <w:highlight w:val="none"/>
                <w:lang w:val="en-US" w:eastAsia="zh-CN"/>
              </w:rPr>
              <w:t xml:space="preserve">电功率KW0.072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highlight w:val="none"/>
                <w:lang w:val="en-US" w:eastAsia="zh-CN"/>
              </w:rPr>
            </w:pPr>
            <w:r>
              <w:rPr>
                <w:rFonts w:hint="eastAsia"/>
                <w:highlight w:val="none"/>
                <w:lang w:val="en-US" w:eastAsia="zh-CN"/>
              </w:rPr>
              <w:t>电源:220V  4.安装形式:吸顶安装</w:t>
            </w:r>
          </w:p>
          <w:p>
            <w:pPr>
              <w:pStyle w:val="2"/>
              <w:numPr>
                <w:ilvl w:val="0"/>
                <w:numId w:val="0"/>
              </w:numPr>
              <w:ind w:leftChars="0"/>
              <w:rPr>
                <w:rFonts w:hint="eastAsia"/>
                <w:highlight w:val="none"/>
              </w:rPr>
            </w:pPr>
            <w:r>
              <w:rPr>
                <w:rFonts w:hint="eastAsia" w:ascii="仿宋" w:hAnsi="仿宋" w:eastAsia="仿宋" w:cs="仿宋"/>
                <w:kern w:val="3"/>
                <w:sz w:val="24"/>
                <w:szCs w:val="24"/>
                <w:highlight w:val="none"/>
                <w:lang w:val="en-US" w:eastAsia="zh-CN" w:bidi="ar-SA"/>
              </w:rPr>
              <w:t>5.包含冷媒剂及配件、冷媒管橡塑保温及辅材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复合型风管</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1.名称:复合型风管</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szCs w:val="21"/>
                <w:highlight w:val="none"/>
                <w:lang w:eastAsia="zh-CN"/>
              </w:rPr>
            </w:pPr>
            <w:r>
              <w:rPr>
                <w:rFonts w:hint="eastAsia" w:cs="仿宋"/>
                <w:b/>
                <w:bCs/>
                <w:color w:val="auto"/>
                <w:szCs w:val="21"/>
                <w:highlight w:val="none"/>
                <w:lang w:eastAsia="zh-CN"/>
              </w:rPr>
              <w:t>七</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i w:val="0"/>
                <w:iCs w:val="0"/>
                <w:color w:val="auto"/>
                <w:kern w:val="0"/>
                <w:sz w:val="22"/>
                <w:szCs w:val="22"/>
                <w:highlight w:val="none"/>
                <w:u w:val="none"/>
                <w:lang w:val="en-US" w:eastAsia="zh-CN" w:bidi="ar"/>
              </w:rPr>
              <w:t>展馆专业灯具</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39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highlight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highlight w:val="none"/>
              </w:rPr>
            </w:pPr>
            <w:r>
              <w:rPr>
                <w:rFonts w:hint="eastAsia" w:ascii="仿宋" w:hAnsi="仿宋" w:eastAsia="仿宋" w:cs="仿宋"/>
                <w:i w:val="0"/>
                <w:iCs w:val="0"/>
                <w:color w:val="auto"/>
                <w:kern w:val="0"/>
                <w:sz w:val="22"/>
                <w:szCs w:val="22"/>
                <w:highlight w:val="none"/>
                <w:u w:val="none"/>
                <w:lang w:val="en-US" w:eastAsia="zh-CN" w:bidi="ar"/>
              </w:rPr>
              <w:t>装饰灯</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highlight w:val="none"/>
              </w:rPr>
            </w:pPr>
            <w:r>
              <w:rPr>
                <w:rFonts w:hint="eastAsia" w:ascii="仿宋" w:hAnsi="仿宋" w:eastAsia="仿宋" w:cs="仿宋"/>
                <w:i w:val="0"/>
                <w:iCs w:val="0"/>
                <w:color w:val="auto"/>
                <w:kern w:val="0"/>
                <w:sz w:val="22"/>
                <w:szCs w:val="22"/>
                <w:highlight w:val="none"/>
                <w:u w:val="none"/>
                <w:lang w:val="en-US" w:eastAsia="zh-CN" w:bidi="ar"/>
              </w:rPr>
              <w:t>1.名称:筒灯  2.规格:18W；色温4000K；光束角：50度；材质：电镀白色；供电电压：220-240V、供电频率：50-60HZ；50000小时； CRI&gt;93,光通量：1800 lm；开孔：110MM、直径：130MM、光学配置：柔光反射器</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highlight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auto"/>
                <w:szCs w:val="21"/>
                <w:highlight w:val="none"/>
                <w:lang w:val="en-US"/>
              </w:rPr>
            </w:pPr>
            <w:r>
              <w:rPr>
                <w:rFonts w:hint="eastAsia" w:cs="仿宋"/>
                <w:i w:val="0"/>
                <w:iCs w:val="0"/>
                <w:color w:val="auto"/>
                <w:kern w:val="0"/>
                <w:sz w:val="22"/>
                <w:szCs w:val="22"/>
                <w:highlight w:val="none"/>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07"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展馆专业灯具</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 xml:space="preserve">1.名称:展馆专业轨道射灯  2.型号:LED 20W 3000K  3.规格:功 率：20W  色 温：3000K  角 度：12°-52°调焦  功率因数：0.9  输入电压：220-240V~50/60Hz  输入电流：0.16A  调节角度：水平360°/垂直90°  安装方式：五线三回路  </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282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展馆专业灯具</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 xml:space="preserve">1.名称:展馆专业轨道射灯  2.型号:5W 3000K  3.规格:  1.散热结构：一体压铸铝；  2.光源类型：原装进口LED；  3.功率：5W；  4.显色性：Ra≥90；  5.色温：3000K +/-75K；                                                            6.配光：窄光束10°；   7.调光：1-10V单灯调光，10%—100% ；                                                                                                                                                     9，灯体颜色：黑色或白色     8.强制性认证：CCC         </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9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展馆专业灯具</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1.名称:展馆专业射灯滑轨  2.规格:材质：铝型材；  五线（含地线），三个独立回路，每个回路16A；  铜片为方形，非圆形；  长度2米；  外型颜色：黑色或白色；  能直接安装主流国际、国内品牌的专业轨道射灯；  明装。</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165.16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39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highlight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highlight w:val="none"/>
              </w:rPr>
            </w:pPr>
            <w:r>
              <w:rPr>
                <w:rFonts w:hint="eastAsia" w:ascii="仿宋" w:hAnsi="仿宋" w:eastAsia="仿宋" w:cs="仿宋"/>
                <w:i w:val="0"/>
                <w:iCs w:val="0"/>
                <w:color w:val="auto"/>
                <w:kern w:val="0"/>
                <w:sz w:val="22"/>
                <w:szCs w:val="22"/>
                <w:highlight w:val="none"/>
                <w:u w:val="none"/>
                <w:lang w:val="en-US" w:eastAsia="zh-CN" w:bidi="ar"/>
              </w:rPr>
              <w:t>灯带</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highlight w:val="none"/>
              </w:rPr>
            </w:pPr>
            <w:r>
              <w:rPr>
                <w:rFonts w:hint="eastAsia" w:ascii="仿宋" w:hAnsi="仿宋" w:eastAsia="仿宋" w:cs="仿宋"/>
                <w:i w:val="0"/>
                <w:iCs w:val="0"/>
                <w:color w:val="auto"/>
                <w:kern w:val="0"/>
                <w:sz w:val="22"/>
                <w:szCs w:val="22"/>
                <w:highlight w:val="none"/>
                <w:u w:val="none"/>
                <w:lang w:val="en-US" w:eastAsia="zh-CN" w:bidi="ar"/>
              </w:rPr>
              <w:t>1.名称:展馆专业灯带  2.型号:13W 4000K  3.规格:COB 一米352灯  13W  24V  套管  4000K</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highlight w:val="none"/>
              </w:rPr>
            </w:pPr>
            <w:r>
              <w:rPr>
                <w:rFonts w:hint="eastAsia" w:ascii="仿宋" w:hAnsi="仿宋" w:eastAsia="仿宋" w:cs="仿宋"/>
                <w:i w:val="0"/>
                <w:iCs w:val="0"/>
                <w:color w:val="auto"/>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auto"/>
                <w:szCs w:val="21"/>
                <w:highlight w:val="none"/>
                <w:lang w:val="en-US"/>
              </w:rPr>
            </w:pPr>
            <w:r>
              <w:rPr>
                <w:rFonts w:hint="eastAsia" w:cs="仿宋"/>
                <w:i w:val="0"/>
                <w:iCs w:val="0"/>
                <w:color w:val="auto"/>
                <w:kern w:val="0"/>
                <w:sz w:val="22"/>
                <w:szCs w:val="22"/>
                <w:highlight w:val="none"/>
                <w:u w:val="none"/>
                <w:lang w:val="en-US" w:eastAsia="zh-CN" w:bidi="ar"/>
              </w:rPr>
              <w:t>65.34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46"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szCs w:val="21"/>
                <w:highlight w:val="none"/>
                <w:lang w:eastAsia="zh-CN"/>
              </w:rPr>
            </w:pPr>
            <w:r>
              <w:rPr>
                <w:rFonts w:hint="eastAsia" w:cs="仿宋"/>
                <w:b/>
                <w:bCs/>
                <w:color w:val="auto"/>
                <w:szCs w:val="21"/>
                <w:highlight w:val="none"/>
                <w:lang w:eastAsia="zh-CN"/>
              </w:rPr>
              <w:t>八</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i w:val="0"/>
                <w:iCs w:val="0"/>
                <w:color w:val="auto"/>
                <w:kern w:val="0"/>
                <w:sz w:val="22"/>
                <w:szCs w:val="22"/>
                <w:highlight w:val="none"/>
                <w:u w:val="none"/>
                <w:lang w:val="en-US" w:eastAsia="zh-CN" w:bidi="ar"/>
              </w:rPr>
              <w:t>多媒体</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Cs w:val="21"/>
                <w:highlight w:val="none"/>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357"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工程投影机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1.名称:工程投影机  2.规格:显示芯片：3×0.76英寸芯片  亮度：7000流明  对比度：3000000:1  标准分辨率：WUXGA（1920*1200）  光源参数  光源类型：激光  投影参数  投影距离：1.02-10.16m  投影尺寸：40-300英寸  屏幕比例：16:10  梯形校正：垂直：±25度，水平：±30度"</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2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高清投影机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1.名称:高清投影机  2.规格:显示芯片：3×0.76英寸芯片  亮度：5200流明  对比度：50000:1  标准分辨率：WUXGA（1920*1200）  光源类型：LED灯  变焦方式：手动变焦  聚焦方式：手动聚焦"</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56"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触控一体机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1.名称:触控一体机  2.规格:触控方式：电容多点；主机：I5处理器、内存4G、硬盘120G；安装方式：壁挂式；分辨率：1920*1080；尺寸：27英寸；亮度：400cd/m2；响应时间：4ms；声音：内置2个8∩10W中音喇叭</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07"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触控一体机</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1.名称:触控一体机(嵌入式)  2.规格:触控方式：电容多点；主机：I5处理器、内存4G、硬盘120G；安装方式：壁挂式；分辨率：1920*1080；尺寸：24英寸；亮度：400cd/m2；响应时间：4ms；声音：内置2个8∩10W中音喇叭</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LED显示屏</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1.名称:P2全彩 LED显示屏  2.规格:P2室内全彩屏   水平可视角度 ≥140（+10/-10）度  垂直可视角度 ≥130（+10/-10）度  亮度 400-600 CD/㎡  像素点间距 2 mm  像素密度 250000 Dots/㎡  像素构成 1RGB  单元板分辨率 160*80=12800 Dots  单元板尺寸（长*宽*厚度） 320mm*160mm*14.5mm</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13.25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软件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1.名称:高清信息发布软件  2.规格:基于软件著作权开发而成的高清信息发布软件，单机1个授权。支持4K及4K以上分辨率多格式数字内容发布控制，向下兼容1080P。包含UDP通讯协议，支持屏保，点播等多种远程控制指令。</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软件与信息技术服务业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highlight w:val="none"/>
                <w:lang w:bidi="ar"/>
              </w:rPr>
            </w:pPr>
            <w:r>
              <w:rPr>
                <w:rFonts w:hint="eastAsia" w:ascii="仿宋" w:hAnsi="仿宋" w:eastAsia="仿宋" w:cs="仿宋"/>
                <w:i w:val="0"/>
                <w:iCs w:val="0"/>
                <w:color w:val="000000"/>
                <w:kern w:val="0"/>
                <w:sz w:val="22"/>
                <w:szCs w:val="22"/>
                <w:highlight w:val="none"/>
                <w:u w:val="none"/>
                <w:lang w:val="en-US" w:eastAsia="zh-CN" w:bidi="ar"/>
              </w:rPr>
              <w:t>高清数字影片</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kern w:val="0"/>
                <w:szCs w:val="21"/>
                <w:highlight w:val="none"/>
                <w:lang w:val="en-US" w:bidi="ar"/>
              </w:rPr>
            </w:pPr>
            <w:r>
              <w:rPr>
                <w:rFonts w:hint="eastAsia" w:ascii="仿宋" w:hAnsi="仿宋" w:eastAsia="仿宋" w:cs="仿宋"/>
                <w:i w:val="0"/>
                <w:iCs w:val="0"/>
                <w:color w:val="000000"/>
                <w:kern w:val="0"/>
                <w:sz w:val="22"/>
                <w:szCs w:val="22"/>
                <w:highlight w:val="none"/>
                <w:u w:val="none"/>
                <w:lang w:val="en-US" w:eastAsia="zh-CN" w:bidi="ar"/>
              </w:rPr>
              <w:t>1.特殊场景及尺寸分辨率的多通道投影融合影像画面制作，需对特殊视角进行逻辑推算演示； 高清数字三维镜头制作；影视画面视觉设计包装；</w:t>
            </w:r>
            <w:r>
              <w:rPr>
                <w:rFonts w:hint="eastAsia" w:cs="仿宋"/>
                <w:i w:val="0"/>
                <w:iCs w:val="0"/>
                <w:color w:val="000000"/>
                <w:kern w:val="0"/>
                <w:sz w:val="22"/>
                <w:szCs w:val="22"/>
                <w:highlight w:val="none"/>
                <w:u w:val="none"/>
                <w:lang w:val="en-US" w:eastAsia="zh-CN" w:bidi="ar"/>
              </w:rPr>
              <w:t>片长不少于540秒</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cs="仿宋"/>
                <w:i w:val="0"/>
                <w:iCs w:val="0"/>
                <w:color w:val="000000"/>
                <w:kern w:val="0"/>
                <w:sz w:val="22"/>
                <w:szCs w:val="22"/>
                <w:highlight w:val="none"/>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其他未列明行业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互动程序开发</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1.交互程序开发底层程序开发++程序底层框架编写开发平台：Adobe AIR支持通过xml配置文件实现修改、更新菜单层级：3级</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软件与信息技术服务业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kern w:val="0"/>
                <w:szCs w:val="21"/>
                <w:highlight w:val="none"/>
                <w:lang w:bidi="ar"/>
              </w:rPr>
            </w:pPr>
            <w:r>
              <w:rPr>
                <w:rFonts w:hint="eastAsia" w:cs="仿宋"/>
                <w:b/>
                <w:bCs/>
                <w:i w:val="0"/>
                <w:iCs w:val="0"/>
                <w:color w:val="000000"/>
                <w:kern w:val="0"/>
                <w:sz w:val="22"/>
                <w:szCs w:val="22"/>
                <w:highlight w:val="none"/>
                <w:u w:val="none"/>
                <w:lang w:val="en-US" w:eastAsia="zh-CN" w:bidi="ar"/>
              </w:rPr>
              <w:t>九</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kern w:val="0"/>
                <w:szCs w:val="21"/>
                <w:highlight w:val="none"/>
                <w:lang w:bidi="ar"/>
              </w:rPr>
            </w:pPr>
            <w:r>
              <w:rPr>
                <w:rFonts w:hint="eastAsia" w:ascii="仿宋" w:hAnsi="仿宋" w:eastAsia="仿宋" w:cs="仿宋"/>
                <w:b/>
                <w:bCs/>
                <w:i w:val="0"/>
                <w:iCs w:val="0"/>
                <w:color w:val="000000"/>
                <w:kern w:val="0"/>
                <w:sz w:val="22"/>
                <w:szCs w:val="22"/>
                <w:highlight w:val="none"/>
                <w:u w:val="none"/>
                <w:lang w:val="en-US" w:eastAsia="zh-CN" w:bidi="ar"/>
              </w:rPr>
              <w:t>语音导览系统</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highlight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中控成套控制柜</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规格:普通控制单路最大瞬间电流：20A通道数：16通道（单路最大可承载2000W功率）通信协议：TCP/IP通信方式：全双工</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cs="仿宋"/>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val="en-US" w:bidi="ar"/>
              </w:rPr>
            </w:pPr>
            <w:r>
              <w:rPr>
                <w:rFonts w:hint="eastAsia" w:ascii="仿宋" w:hAnsi="仿宋" w:eastAsia="仿宋" w:cs="仿宋"/>
                <w:i w:val="0"/>
                <w:iCs w:val="0"/>
                <w:color w:val="000000"/>
                <w:kern w:val="0"/>
                <w:sz w:val="22"/>
                <w:szCs w:val="22"/>
                <w:u w:val="none"/>
                <w:lang w:val="en-US" w:eastAsia="zh-CN" w:bidi="ar"/>
              </w:rPr>
              <w:t>多媒体导讲系统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多媒体导览机、现场勘测开工费、充电储存箱、语音写入系统等</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软件与信息技术服务业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cs="仿宋"/>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中文录音、英文翻译、校对、录音</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中文录音、英文翻译、校对、录音</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其他未列明行业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eastAsia="zh-CN" w:bidi="ar"/>
              </w:rPr>
            </w:pPr>
            <w:r>
              <w:rPr>
                <w:rFonts w:hint="eastAsia" w:cs="仿宋"/>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无线团队讲解系</w:t>
            </w:r>
            <w:r>
              <w:rPr>
                <w:rFonts w:hint="eastAsia" w:cs="仿宋"/>
                <w:i w:val="0"/>
                <w:iCs w:val="0"/>
                <w:color w:val="000000"/>
                <w:kern w:val="0"/>
                <w:sz w:val="22"/>
                <w:szCs w:val="22"/>
                <w:u w:val="none"/>
                <w:lang w:val="en-US" w:eastAsia="zh-CN" w:bidi="ar"/>
              </w:rPr>
              <w:t>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发射机、接收机、充电储存箱和专用麦克等</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lang w:eastAsia="zh-CN"/>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kern w:val="0"/>
                <w:szCs w:val="21"/>
                <w:highlight w:val="none"/>
                <w:lang w:val="en-US" w:eastAsia="zh-CN" w:bidi="ar"/>
              </w:rPr>
            </w:pPr>
            <w:r>
              <w:rPr>
                <w:rFonts w:hint="eastAsia" w:cs="仿宋"/>
                <w:b/>
                <w:bCs/>
                <w:kern w:val="0"/>
                <w:szCs w:val="21"/>
                <w:highlight w:val="none"/>
                <w:lang w:val="en-US" w:eastAsia="zh-CN" w:bidi="ar"/>
              </w:rPr>
              <w:t>十</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kern w:val="0"/>
                <w:szCs w:val="21"/>
                <w:highlight w:val="none"/>
                <w:lang w:bidi="ar"/>
              </w:rPr>
            </w:pPr>
            <w:r>
              <w:rPr>
                <w:rFonts w:hint="eastAsia" w:ascii="仿宋" w:hAnsi="仿宋" w:eastAsia="仿宋" w:cs="仿宋"/>
                <w:b/>
                <w:bCs/>
                <w:i w:val="0"/>
                <w:iCs w:val="0"/>
                <w:color w:val="000000"/>
                <w:kern w:val="0"/>
                <w:sz w:val="22"/>
                <w:szCs w:val="22"/>
                <w:highlight w:val="none"/>
                <w:u w:val="none"/>
                <w:lang w:val="en-US" w:eastAsia="zh-CN" w:bidi="ar"/>
              </w:rPr>
              <w:t>陈列布展</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highlight w:val="none"/>
                <w:lang w:eastAsia="zh-CN"/>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szCs w:val="21"/>
                <w:lang w:val="en-US" w:eastAsia="zh-CN"/>
              </w:rPr>
            </w:pP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创作背景画UV</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1.面层材料品种、规格、颜色:电脑绘图创作背景画喷绘，背景合成图电分、扫描、修版、合成及艺术创作，背景合成喷专用防护油处理；</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lang w:eastAsia="zh-CN"/>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2"/>
                <w:szCs w:val="22"/>
                <w:u w:val="none"/>
                <w:lang w:val="en-US" w:eastAsia="zh-CN" w:bidi="ar"/>
              </w:rPr>
              <w:t>210.86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图文展板</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1.基层材料种类、规格:定制铝型材框包边，展板金属挂件  2.面层材料品种、规格、颜色:雪绒布喷绘，背景合成图电分、扫描、修版、合成及艺术创作，背景合成喷专用防护油处理；</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22.23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雪绒布UV</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1.面层材料品种、规格、颜色:雪绒布喷绘，背景合成图电分、扫描、修版、合成及艺术创作，背景合成喷专用防护油处理；</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191.81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软膜灯箱</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1.名称:定制软膜灯箱  2.基层材料种类:金属边框；铝合金龙骨+LED光源  3.面层材料种类:UV软膜</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49.34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金属字</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1.基层类型:块料面  2.镌字材料品种、颜色:雕刻字  3.固定方式:背面敷2cm厚PVC雕刻字</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定制前言“水送山迎入富春”</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1.名称:定制前言“水送山迎入富春”  2.面层材料品种、规格、颜色:山体塑形、雕刻字、透明祥云造型</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背景艺术创作画</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1.名称:背景艺术创作画  2.材料种类、规格:根据主题定位寻找素材资料、提炼主要信息点、中国美院油画系老师进行初稿手绘创作，色彩小样绘制确认、现场大图放样、着色、刻画、表面喷洒油画保护漆</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69.69</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硅胶人雕像</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1.定制硅胶人雕像  2.艺术造型:分层套圈放线、搭制钢木骨架、上大泥、大形塑造、细部刻划、过程保养，原创作者监制。  3.制模定样（石膏成型）:制外模、掏泥、拆内骨架、组合外模、制内模、清脱外模、内模整型、表面喷漆及保护、清运垃圾、原创作者监制。  4.高分子树脂雕塑硬质材料成品制作与安装:制外模、掏泥、拆内骨架、组合外模、打磨、修型、表面处理、清运垃圾、现场安装，原创作者监制。</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 xml:space="preserve">工业 </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雕塑</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1.名称:人物玻璃钢翻模雕塑；  2.材料种类、规格:图文信息收集整理、小样及参考图稿制作，骨架焊接、钢网表面定型、泥稿塑形、泥塑修正、玻璃钢翻模、玻璃钢着色、打磨、运输、安装、定位。</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尊</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泥塑人物</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1.名称:泥塑人物  2.材料种类、规格:人物按真人身高等比例缩放，由专业的泥塑技师用特制泥</w:t>
            </w:r>
            <w:r>
              <w:rPr>
                <w:rFonts w:hint="eastAsia" w:ascii="仿宋" w:hAnsi="仿宋" w:eastAsia="仿宋" w:cs="仿宋"/>
                <w:i w:val="0"/>
                <w:iCs w:val="0"/>
                <w:color w:val="000000"/>
                <w:kern w:val="0"/>
                <w:sz w:val="22"/>
                <w:szCs w:val="22"/>
                <w:highlight w:val="none"/>
                <w:u w:val="none"/>
                <w:lang w:val="en-US" w:eastAsia="zh-CN" w:bidi="ar"/>
              </w:rPr>
              <w:t>材，根据</w:t>
            </w:r>
            <w:r>
              <w:rPr>
                <w:rFonts w:hint="eastAsia" w:cs="仿宋"/>
                <w:i w:val="0"/>
                <w:iCs w:val="0"/>
                <w:color w:val="000000"/>
                <w:kern w:val="0"/>
                <w:sz w:val="22"/>
                <w:szCs w:val="22"/>
                <w:highlight w:val="none"/>
                <w:u w:val="none"/>
                <w:lang w:val="en-US" w:eastAsia="zh-CN" w:bidi="ar"/>
              </w:rPr>
              <w:t>设计</w:t>
            </w:r>
            <w:r>
              <w:rPr>
                <w:rFonts w:hint="eastAsia" w:ascii="仿宋" w:hAnsi="仿宋" w:eastAsia="仿宋" w:cs="仿宋"/>
                <w:i w:val="0"/>
                <w:iCs w:val="0"/>
                <w:color w:val="000000"/>
                <w:kern w:val="0"/>
                <w:sz w:val="22"/>
                <w:szCs w:val="22"/>
                <w:highlight w:val="none"/>
                <w:u w:val="none"/>
                <w:lang w:val="en-US" w:eastAsia="zh-CN" w:bidi="ar"/>
              </w:rPr>
              <w:t>的人物</w:t>
            </w:r>
            <w:r>
              <w:rPr>
                <w:rFonts w:hint="eastAsia" w:ascii="仿宋" w:hAnsi="仿宋" w:eastAsia="仿宋" w:cs="仿宋"/>
                <w:i w:val="0"/>
                <w:iCs w:val="0"/>
                <w:color w:val="000000"/>
                <w:kern w:val="0"/>
                <w:sz w:val="22"/>
                <w:szCs w:val="22"/>
                <w:u w:val="none"/>
                <w:lang w:val="en-US" w:eastAsia="zh-CN" w:bidi="ar"/>
              </w:rPr>
              <w:t>原型制作雕塑原模</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定制单元说明牌</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1.名称:定制单元说明牌</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场景复原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1.春江茶馆场景复原（后期深化）；  2.内容:房屋塑形，仿古瓦片；定制实木斗拱；</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场景复原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1.张氏骨伤疗法场景复原（后期深化）；  2.内容:定制实木斗拱；仿古瓦片房屋塑形；</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val="en-US" w:eastAsia="zh-CN" w:bidi="ar"/>
              </w:rPr>
            </w:pPr>
            <w:r>
              <w:rPr>
                <w:rFonts w:hint="eastAsia" w:ascii="仿宋" w:hAnsi="仿宋" w:eastAsia="仿宋" w:cs="仿宋"/>
                <w:i w:val="0"/>
                <w:iCs w:val="0"/>
                <w:color w:val="000000"/>
                <w:kern w:val="0"/>
                <w:sz w:val="22"/>
                <w:szCs w:val="22"/>
                <w:u w:val="none"/>
                <w:lang w:val="en-US" w:eastAsia="zh-CN" w:bidi="ar"/>
              </w:rPr>
              <w:t>场景复原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1.豆腐皮制作技艺场景房屋塑形  2.墙面艺术做旧；茅草屋檐；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Cs w:val="21"/>
                <w:lang w:bidi="ar"/>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场景复原</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1.常绿纸伞场景房屋塑形  2.墙面艺术做旧；茅草屋檐；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定制仿古建筑</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1.定制仿古建筑（木雕、石雕、铜雕、根雕、竹刻、金锲画场景，后期深化）；  2.内容:定制实木斗拱；仿古瓦片屋面塑形；</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cs="仿宋"/>
                <w:i w:val="0"/>
                <w:iCs w:val="0"/>
                <w:color w:val="000000"/>
                <w:kern w:val="0"/>
                <w:sz w:val="22"/>
                <w:szCs w:val="22"/>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书柜</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定制书柜</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5.49</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博古架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1.外形尺寸:深500mm  2.木材品种:梨花木</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m2</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10.34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19</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定制展示架</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1.名称:定制展示架  2.内容:不锈钢烤漆圆圈造型；艺术立体字；微缩雕塑模型</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定制独立柜</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cs="仿宋"/>
                <w:i w:val="0"/>
                <w:iCs w:val="0"/>
                <w:color w:val="auto"/>
                <w:kern w:val="0"/>
                <w:sz w:val="22"/>
                <w:szCs w:val="22"/>
                <w:highlight w:val="none"/>
                <w:u w:val="none"/>
                <w:lang w:val="en-US" w:eastAsia="zh-CN" w:bidi="ar"/>
              </w:rPr>
              <w:t>1</w:t>
            </w:r>
            <w:r>
              <w:rPr>
                <w:rFonts w:hint="eastAsia" w:ascii="仿宋" w:hAnsi="仿宋" w:eastAsia="仿宋" w:cs="仿宋"/>
                <w:i w:val="0"/>
                <w:iCs w:val="0"/>
                <w:color w:val="auto"/>
                <w:kern w:val="0"/>
                <w:sz w:val="22"/>
                <w:szCs w:val="22"/>
                <w:highlight w:val="none"/>
                <w:u w:val="none"/>
                <w:lang w:val="en-US" w:eastAsia="zh-CN" w:bidi="ar"/>
              </w:rPr>
              <w:t xml:space="preserve">2.尺寸:2200*650*690mm  </w:t>
            </w:r>
            <w:r>
              <w:rPr>
                <w:rFonts w:hint="eastAsia" w:cs="仿宋"/>
                <w:i w:val="0"/>
                <w:iCs w:val="0"/>
                <w:color w:val="auto"/>
                <w:kern w:val="0"/>
                <w:sz w:val="22"/>
                <w:szCs w:val="22"/>
                <w:highlight w:val="none"/>
                <w:u w:val="none"/>
                <w:lang w:val="en-US" w:eastAsia="zh-CN" w:bidi="ar"/>
              </w:rPr>
              <w:t>2</w:t>
            </w:r>
            <w:r>
              <w:rPr>
                <w:rFonts w:hint="eastAsia" w:ascii="仿宋" w:hAnsi="仿宋" w:eastAsia="仿宋" w:cs="仿宋"/>
                <w:i w:val="0"/>
                <w:iCs w:val="0"/>
                <w:color w:val="auto"/>
                <w:kern w:val="0"/>
                <w:sz w:val="22"/>
                <w:szCs w:val="22"/>
                <w:highlight w:val="none"/>
                <w:u w:val="none"/>
                <w:lang w:val="en-US" w:eastAsia="zh-CN" w:bidi="ar"/>
              </w:rPr>
              <w:t>.材料种类、规格:展柜玻璃采用国产超白夹胶玻璃(6mm+1.52mm+6mm)，透光率&gt;95%以上；烤漆钢板、密封型材、玻璃固定型材。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定制平柜</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cs="仿宋"/>
                <w:i w:val="0"/>
                <w:iCs w:val="0"/>
                <w:color w:val="auto"/>
                <w:kern w:val="0"/>
                <w:sz w:val="22"/>
                <w:szCs w:val="22"/>
                <w:highlight w:val="none"/>
                <w:u w:val="none"/>
                <w:lang w:val="en-US" w:eastAsia="zh-CN" w:bidi="ar"/>
              </w:rPr>
              <w:t>1</w:t>
            </w:r>
            <w:r>
              <w:rPr>
                <w:rFonts w:hint="eastAsia" w:ascii="仿宋" w:hAnsi="仿宋" w:eastAsia="仿宋" w:cs="仿宋"/>
                <w:i w:val="0"/>
                <w:iCs w:val="0"/>
                <w:color w:val="auto"/>
                <w:kern w:val="0"/>
                <w:sz w:val="22"/>
                <w:szCs w:val="22"/>
                <w:highlight w:val="none"/>
                <w:u w:val="none"/>
                <w:lang w:val="en-US" w:eastAsia="zh-CN" w:bidi="ar"/>
              </w:rPr>
              <w:t xml:space="preserve">.尺寸:1200*1000*500mm  </w:t>
            </w:r>
            <w:r>
              <w:rPr>
                <w:rFonts w:hint="eastAsia" w:cs="仿宋"/>
                <w:i w:val="0"/>
                <w:iCs w:val="0"/>
                <w:color w:val="auto"/>
                <w:kern w:val="0"/>
                <w:sz w:val="22"/>
                <w:szCs w:val="22"/>
                <w:highlight w:val="none"/>
                <w:u w:val="none"/>
                <w:lang w:val="en-US" w:eastAsia="zh-CN" w:bidi="ar"/>
              </w:rPr>
              <w:t>2</w:t>
            </w:r>
            <w:r>
              <w:rPr>
                <w:rFonts w:hint="eastAsia" w:ascii="仿宋" w:hAnsi="仿宋" w:eastAsia="仿宋" w:cs="仿宋"/>
                <w:i w:val="0"/>
                <w:iCs w:val="0"/>
                <w:color w:val="auto"/>
                <w:kern w:val="0"/>
                <w:sz w:val="22"/>
                <w:szCs w:val="22"/>
                <w:highlight w:val="none"/>
                <w:u w:val="none"/>
                <w:lang w:val="en-US" w:eastAsia="zh-CN" w:bidi="ar"/>
              </w:rPr>
              <w:t xml:space="preserve">.材料种类、规格:6+6超白夹胶玻璃；烤漆钢板、密封型材、玻璃固定型材。  </w:t>
            </w:r>
            <w:r>
              <w:rPr>
                <w:rFonts w:hint="eastAsia" w:cs="仿宋"/>
                <w:i w:val="0"/>
                <w:iCs w:val="0"/>
                <w:color w:val="auto"/>
                <w:kern w:val="0"/>
                <w:sz w:val="22"/>
                <w:szCs w:val="22"/>
                <w:highlight w:val="none"/>
                <w:u w:val="none"/>
                <w:lang w:val="en-US" w:eastAsia="zh-CN" w:bidi="ar"/>
              </w:rPr>
              <w:t>3</w:t>
            </w:r>
            <w:r>
              <w:rPr>
                <w:rFonts w:hint="eastAsia" w:ascii="仿宋" w:hAnsi="仿宋" w:eastAsia="仿宋" w:cs="仿宋"/>
                <w:i w:val="0"/>
                <w:iCs w:val="0"/>
                <w:color w:val="auto"/>
                <w:kern w:val="0"/>
                <w:sz w:val="22"/>
                <w:szCs w:val="22"/>
                <w:highlight w:val="none"/>
                <w:u w:val="none"/>
                <w:lang w:val="en-US" w:eastAsia="zh-CN" w:bidi="ar"/>
              </w:rPr>
              <w:t>.五金种类、规格:调节底脚、专用支臂</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个</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22</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定制通柜</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cs="仿宋"/>
                <w:i w:val="0"/>
                <w:iCs w:val="0"/>
                <w:color w:val="auto"/>
                <w:kern w:val="0"/>
                <w:sz w:val="22"/>
                <w:szCs w:val="22"/>
                <w:highlight w:val="none"/>
                <w:u w:val="none"/>
                <w:lang w:val="en-US" w:eastAsia="zh-CN" w:bidi="ar"/>
              </w:rPr>
              <w:t>1</w:t>
            </w:r>
            <w:r>
              <w:rPr>
                <w:rFonts w:hint="eastAsia" w:ascii="仿宋" w:hAnsi="仿宋" w:eastAsia="仿宋" w:cs="仿宋"/>
                <w:i w:val="0"/>
                <w:iCs w:val="0"/>
                <w:color w:val="auto"/>
                <w:kern w:val="0"/>
                <w:sz w:val="22"/>
                <w:szCs w:val="22"/>
                <w:highlight w:val="none"/>
                <w:u w:val="none"/>
                <w:lang w:val="en-US" w:eastAsia="zh-CN" w:bidi="ar"/>
              </w:rPr>
              <w:t>.材料种类、规格:展柜玻璃采用国产超白夹胶玻璃(6mm+1.52mm+6mm)，透光率&gt;95%以上；烤漆钢板、密封型材、玻璃固定型材。</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22.4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陈列布展费</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1.陈列布展费  人工+辅料+灯光调试及整个展厅布展艺术指导</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其他未列明行业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专家评审费</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1"/>
                <w:szCs w:val="21"/>
                <w:highlight w:val="none"/>
                <w:u w:val="none"/>
                <w:lang w:val="en-US" w:eastAsia="zh-CN" w:bidi="ar"/>
              </w:rPr>
              <w:t>包含布展深化设计评审、布展效果指导评审、音视频制作评审、非遗实物采集评审等</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25</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非遗作品实物征集费</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包括非遗物品为国家级的3</w:t>
            </w:r>
            <w:r>
              <w:rPr>
                <w:rFonts w:hint="eastAsia" w:cs="仿宋"/>
                <w:i w:val="0"/>
                <w:iCs w:val="0"/>
                <w:color w:val="000000"/>
                <w:kern w:val="0"/>
                <w:sz w:val="21"/>
                <w:szCs w:val="21"/>
                <w:highlight w:val="none"/>
                <w:u w:val="none"/>
                <w:lang w:val="en-US" w:eastAsia="zh-CN" w:bidi="ar"/>
              </w:rPr>
              <w:t>项</w:t>
            </w:r>
            <w:r>
              <w:rPr>
                <w:rFonts w:hint="eastAsia" w:ascii="仿宋" w:hAnsi="仿宋" w:eastAsia="仿宋" w:cs="仿宋"/>
                <w:i w:val="0"/>
                <w:iCs w:val="0"/>
                <w:color w:val="000000"/>
                <w:kern w:val="0"/>
                <w:sz w:val="21"/>
                <w:szCs w:val="21"/>
                <w:highlight w:val="none"/>
                <w:u w:val="none"/>
                <w:lang w:val="en-US" w:eastAsia="zh-CN" w:bidi="ar"/>
              </w:rPr>
              <w:t>，省级12</w:t>
            </w:r>
            <w:r>
              <w:rPr>
                <w:rFonts w:hint="eastAsia" w:cs="仿宋"/>
                <w:i w:val="0"/>
                <w:iCs w:val="0"/>
                <w:color w:val="000000"/>
                <w:kern w:val="0"/>
                <w:sz w:val="21"/>
                <w:szCs w:val="21"/>
                <w:highlight w:val="none"/>
                <w:u w:val="none"/>
                <w:lang w:val="en-US" w:eastAsia="zh-CN" w:bidi="ar"/>
              </w:rPr>
              <w:t>项</w:t>
            </w:r>
            <w:r>
              <w:rPr>
                <w:rFonts w:hint="eastAsia" w:ascii="仿宋" w:hAnsi="仿宋" w:eastAsia="仿宋" w:cs="仿宋"/>
                <w:i w:val="0"/>
                <w:iCs w:val="0"/>
                <w:color w:val="000000"/>
                <w:kern w:val="0"/>
                <w:sz w:val="21"/>
                <w:szCs w:val="21"/>
                <w:highlight w:val="none"/>
                <w:u w:val="none"/>
                <w:lang w:val="en-US" w:eastAsia="zh-CN" w:bidi="ar"/>
              </w:rPr>
              <w:t>，市级20</w:t>
            </w:r>
            <w:r>
              <w:rPr>
                <w:rFonts w:hint="eastAsia" w:cs="仿宋"/>
                <w:i w:val="0"/>
                <w:iCs w:val="0"/>
                <w:color w:val="000000"/>
                <w:kern w:val="0"/>
                <w:sz w:val="21"/>
                <w:szCs w:val="21"/>
                <w:highlight w:val="none"/>
                <w:u w:val="none"/>
                <w:lang w:val="en-US" w:eastAsia="zh-CN" w:bidi="ar"/>
              </w:rPr>
              <w:t>项</w:t>
            </w:r>
            <w:r>
              <w:rPr>
                <w:rFonts w:hint="eastAsia" w:ascii="仿宋" w:hAnsi="仿宋" w:eastAsia="仿宋" w:cs="仿宋"/>
                <w:i w:val="0"/>
                <w:iCs w:val="0"/>
                <w:color w:val="000000"/>
                <w:kern w:val="0"/>
                <w:sz w:val="21"/>
                <w:szCs w:val="21"/>
                <w:highlight w:val="none"/>
                <w:u w:val="none"/>
                <w:lang w:val="en-US" w:eastAsia="zh-CN" w:bidi="ar"/>
              </w:rPr>
              <w:t>，区县级98</w:t>
            </w:r>
            <w:r>
              <w:rPr>
                <w:rFonts w:hint="eastAsia" w:cs="仿宋"/>
                <w:i w:val="0"/>
                <w:iCs w:val="0"/>
                <w:color w:val="000000"/>
                <w:kern w:val="0"/>
                <w:sz w:val="21"/>
                <w:szCs w:val="21"/>
                <w:highlight w:val="none"/>
                <w:u w:val="none"/>
                <w:lang w:val="en-US" w:eastAsia="zh-CN" w:bidi="ar"/>
              </w:rPr>
              <w:t>项</w:t>
            </w:r>
            <w:r>
              <w:rPr>
                <w:rFonts w:hint="eastAsia" w:ascii="仿宋" w:hAnsi="仿宋" w:eastAsia="仿宋" w:cs="仿宋"/>
                <w:i w:val="0"/>
                <w:iCs w:val="0"/>
                <w:color w:val="000000"/>
                <w:kern w:val="0"/>
                <w:sz w:val="21"/>
                <w:szCs w:val="21"/>
                <w:highlight w:val="none"/>
                <w:u w:val="none"/>
                <w:lang w:val="en-US" w:eastAsia="zh-CN" w:bidi="ar"/>
              </w:rPr>
              <w:t>及部分老物件等</w:t>
            </w:r>
            <w:r>
              <w:rPr>
                <w:rFonts w:hint="eastAsia" w:cs="仿宋"/>
                <w:i w:val="0"/>
                <w:iCs w:val="0"/>
                <w:color w:val="000000"/>
                <w:kern w:val="0"/>
                <w:sz w:val="21"/>
                <w:szCs w:val="21"/>
                <w:highlight w:val="none"/>
                <w:u w:val="none"/>
                <w:lang w:val="en-US" w:eastAsia="zh-CN" w:bidi="ar"/>
              </w:rPr>
              <w:t>。</w:t>
            </w:r>
            <w:r>
              <w:rPr>
                <w:rFonts w:hint="eastAsia" w:cs="仿宋"/>
                <w:b/>
                <w:bCs/>
                <w:i w:val="0"/>
                <w:iCs w:val="0"/>
                <w:color w:val="000000"/>
                <w:kern w:val="0"/>
                <w:sz w:val="21"/>
                <w:szCs w:val="21"/>
                <w:highlight w:val="none"/>
                <w:u w:val="none"/>
                <w:lang w:val="en-US" w:eastAsia="zh-CN" w:bidi="ar"/>
              </w:rPr>
              <w:t>此项为暂列金额96万元，报价时不做调整。</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工业</w:t>
            </w: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cs="仿宋"/>
                <w:b/>
                <w:bCs/>
                <w:i w:val="0"/>
                <w:iCs w:val="0"/>
                <w:color w:val="000000"/>
                <w:kern w:val="0"/>
                <w:sz w:val="22"/>
                <w:szCs w:val="22"/>
                <w:highlight w:val="none"/>
                <w:u w:val="none"/>
                <w:lang w:val="en-US" w:eastAsia="zh-CN" w:bidi="ar"/>
              </w:rPr>
              <w:t>十一</w:t>
            </w:r>
          </w:p>
        </w:tc>
        <w:tc>
          <w:tcPr>
            <w:tcW w:w="5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非遗馆设计（含文案策划、展览文本）</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2"/>
                <w:szCs w:val="22"/>
                <w:highlight w:val="none"/>
                <w:u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2"/>
                <w:szCs w:val="22"/>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47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文案策划及大纲制作</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各展示区域的文案整理、编辑，展览文本的制作等</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cs="仿宋"/>
                <w:i w:val="0"/>
                <w:iCs w:val="0"/>
                <w:color w:val="000000"/>
                <w:kern w:val="0"/>
                <w:sz w:val="22"/>
                <w:szCs w:val="22"/>
                <w:highlight w:val="none"/>
                <w:u w:val="none"/>
                <w:lang w:val="en-US" w:eastAsia="zh-CN" w:bidi="ar"/>
              </w:rPr>
              <w:t>其他未列明行业</w:t>
            </w:r>
          </w:p>
        </w:tc>
      </w:tr>
    </w:tbl>
    <w:p>
      <w:pPr>
        <w:spacing w:line="360" w:lineRule="auto"/>
        <w:ind w:firstLine="482" w:firstLineChars="200"/>
        <w:rPr>
          <w:rFonts w:hint="default" w:eastAsia="仿宋" w:cs="仿宋"/>
          <w:b/>
          <w:bCs/>
          <w:sz w:val="24"/>
          <w:highlight w:val="none"/>
          <w:u w:val="none"/>
          <w:lang w:val="en-US" w:eastAsia="zh-CN"/>
        </w:rPr>
      </w:pPr>
      <w:r>
        <w:rPr>
          <w:rFonts w:hint="eastAsia" w:cs="仿宋"/>
          <w:b/>
          <w:bCs/>
          <w:sz w:val="24"/>
          <w:highlight w:val="none"/>
          <w:lang w:val="en-US" w:eastAsia="zh-CN"/>
        </w:rPr>
        <w:t>本项目核心产品为</w:t>
      </w:r>
      <w:r>
        <w:rPr>
          <w:rFonts w:hint="eastAsia" w:cs="仿宋"/>
          <w:b/>
          <w:bCs/>
          <w:sz w:val="24"/>
          <w:highlight w:val="none"/>
          <w:u w:val="single"/>
          <w:lang w:val="en-US" w:eastAsia="zh-CN"/>
        </w:rPr>
        <w:t xml:space="preserve"> 博古架 </w:t>
      </w:r>
      <w:r>
        <w:rPr>
          <w:rFonts w:hint="eastAsia" w:cs="仿宋"/>
          <w:b/>
          <w:bCs/>
          <w:sz w:val="24"/>
          <w:highlight w:val="none"/>
          <w:u w:val="none"/>
          <w:lang w:val="en-US" w:eastAsia="zh-CN"/>
        </w:rPr>
        <w:t>。</w:t>
      </w:r>
    </w:p>
    <w:p>
      <w:pPr>
        <w:spacing w:line="360" w:lineRule="auto"/>
        <w:ind w:firstLine="482" w:firstLineChars="200"/>
        <w:rPr>
          <w:rFonts w:hint="eastAsia" w:ascii="仿宋" w:hAnsi="仿宋" w:eastAsia="仿宋" w:cs="仿宋"/>
          <w:b/>
          <w:bCs/>
          <w:sz w:val="24"/>
          <w:highlight w:val="none"/>
        </w:rPr>
      </w:pPr>
      <w:r>
        <w:rPr>
          <w:rFonts w:hint="eastAsia" w:cs="仿宋"/>
          <w:b/>
          <w:bCs/>
          <w:sz w:val="24"/>
          <w:highlight w:val="none"/>
          <w:lang w:eastAsia="zh-CN"/>
        </w:rPr>
        <w:t>报价应</w:t>
      </w:r>
      <w:r>
        <w:rPr>
          <w:rFonts w:hint="eastAsia" w:ascii="仿宋" w:hAnsi="仿宋" w:eastAsia="仿宋" w:cs="仿宋"/>
          <w:b/>
          <w:bCs/>
          <w:sz w:val="24"/>
          <w:highlight w:val="none"/>
        </w:rPr>
        <w:t>包</w:t>
      </w:r>
      <w:r>
        <w:rPr>
          <w:rFonts w:hint="eastAsia" w:cs="仿宋"/>
          <w:b/>
          <w:bCs/>
          <w:sz w:val="24"/>
          <w:highlight w:val="none"/>
          <w:lang w:eastAsia="zh-CN"/>
        </w:rPr>
        <w:t>含深化</w:t>
      </w:r>
      <w:r>
        <w:rPr>
          <w:rFonts w:hint="eastAsia" w:ascii="仿宋" w:hAnsi="仿宋" w:eastAsia="仿宋" w:cs="仿宋"/>
          <w:b/>
          <w:bCs/>
          <w:sz w:val="24"/>
          <w:highlight w:val="none"/>
        </w:rPr>
        <w:t>设计、</w:t>
      </w:r>
      <w:r>
        <w:rPr>
          <w:rFonts w:hint="eastAsia" w:cs="仿宋"/>
          <w:b/>
          <w:bCs/>
          <w:sz w:val="24"/>
          <w:highlight w:val="none"/>
          <w:lang w:eastAsia="zh-CN"/>
        </w:rPr>
        <w:t>设备、</w:t>
      </w:r>
      <w:r>
        <w:rPr>
          <w:rFonts w:hint="eastAsia" w:ascii="仿宋" w:hAnsi="仿宋" w:eastAsia="仿宋" w:cs="仿宋"/>
          <w:b/>
          <w:bCs/>
          <w:sz w:val="24"/>
          <w:highlight w:val="none"/>
        </w:rPr>
        <w:t>制作、运输装卸、</w:t>
      </w:r>
      <w:r>
        <w:rPr>
          <w:rFonts w:hint="eastAsia" w:cs="仿宋"/>
          <w:b/>
          <w:bCs/>
          <w:sz w:val="24"/>
          <w:highlight w:val="none"/>
          <w:lang w:eastAsia="zh-CN"/>
        </w:rPr>
        <w:t>辅材费、</w:t>
      </w:r>
      <w:r>
        <w:rPr>
          <w:rFonts w:hint="eastAsia" w:ascii="仿宋" w:hAnsi="仿宋" w:eastAsia="仿宋" w:cs="仿宋"/>
          <w:b/>
          <w:bCs/>
          <w:sz w:val="24"/>
          <w:highlight w:val="none"/>
        </w:rPr>
        <w:t>安装调试、</w:t>
      </w:r>
      <w:r>
        <w:rPr>
          <w:rFonts w:hint="eastAsia" w:cs="仿宋"/>
          <w:b/>
          <w:bCs/>
          <w:sz w:val="24"/>
          <w:highlight w:val="none"/>
          <w:lang w:eastAsia="zh-CN"/>
        </w:rPr>
        <w:t>人工、质保、措施费、</w:t>
      </w:r>
      <w:r>
        <w:rPr>
          <w:rFonts w:hint="eastAsia" w:ascii="仿宋" w:hAnsi="仿宋" w:eastAsia="仿宋" w:cs="仿宋"/>
          <w:b/>
          <w:bCs/>
          <w:sz w:val="24"/>
          <w:highlight w:val="none"/>
        </w:rPr>
        <w:t>税金、保险、辅助工作及售后服务等完成本项目所需的全部费用。</w:t>
      </w:r>
    </w:p>
    <w:p>
      <w:pPr>
        <w:ind w:firstLine="480" w:firstLineChars="200"/>
        <w:rPr>
          <w:rFonts w:hint="eastAsia" w:ascii="仿宋" w:hAnsi="宋体" w:eastAsia="仿宋" w:cs="宋体"/>
          <w:b w:val="0"/>
          <w:bCs w:val="0"/>
          <w:color w:val="auto"/>
          <w:kern w:val="3"/>
          <w:sz w:val="24"/>
          <w:szCs w:val="21"/>
          <w:highlight w:val="none"/>
          <w:lang w:val="en-US" w:eastAsia="zh-CN" w:bidi="ar-SA"/>
        </w:rPr>
      </w:pPr>
      <w:r>
        <w:rPr>
          <w:rFonts w:hint="eastAsia" w:ascii="仿宋" w:hAnsi="宋体" w:eastAsia="仿宋" w:cs="宋体"/>
          <w:b w:val="0"/>
          <w:bCs w:val="0"/>
          <w:color w:val="auto"/>
          <w:kern w:val="3"/>
          <w:sz w:val="24"/>
          <w:szCs w:val="21"/>
          <w:highlight w:val="none"/>
          <w:lang w:val="en-US" w:eastAsia="zh-CN" w:bidi="ar-SA"/>
        </w:rPr>
        <w:t>注：1、中标后，设计方案与设备清单须根据采购人的要求进行再度细化或修正，经采购人最终确认后，方可进行施工、采购。否则采购人有权拒绝支付费用，并中止合同，由此造成的损失由中标人自行承担。</w:t>
      </w:r>
    </w:p>
    <w:p>
      <w:pPr>
        <w:pStyle w:val="106"/>
        <w:ind w:firstLine="480" w:firstLineChars="200"/>
        <w:rPr>
          <w:rFonts w:hint="eastAsia" w:ascii="仿宋" w:hAnsi="宋体" w:eastAsia="仿宋" w:cs="宋体"/>
          <w:b w:val="0"/>
          <w:bCs w:val="0"/>
          <w:color w:val="auto"/>
          <w:kern w:val="3"/>
          <w:sz w:val="24"/>
          <w:szCs w:val="21"/>
          <w:lang w:val="en-US" w:eastAsia="zh-CN" w:bidi="ar-SA"/>
        </w:rPr>
      </w:pPr>
      <w:r>
        <w:rPr>
          <w:rFonts w:hint="eastAsia" w:ascii="仿宋" w:hAnsi="宋体" w:eastAsia="仿宋" w:cs="宋体"/>
          <w:b w:val="0"/>
          <w:bCs w:val="0"/>
          <w:color w:val="auto"/>
          <w:kern w:val="3"/>
          <w:sz w:val="24"/>
          <w:szCs w:val="21"/>
          <w:highlight w:val="none"/>
          <w:lang w:val="en-US" w:eastAsia="zh-CN" w:bidi="ar-SA"/>
        </w:rPr>
        <w:t>2、设计方案与施工图确定后，中标人须按图施工，如有设计变更的，应以</w:t>
      </w:r>
      <w:r>
        <w:rPr>
          <w:rFonts w:hint="eastAsia" w:ascii="仿宋" w:hAnsi="宋体" w:eastAsia="仿宋" w:cs="宋体"/>
          <w:b w:val="0"/>
          <w:bCs w:val="0"/>
          <w:color w:val="auto"/>
          <w:kern w:val="3"/>
          <w:sz w:val="24"/>
          <w:szCs w:val="21"/>
          <w:lang w:val="en-US" w:eastAsia="zh-CN" w:bidi="ar-SA"/>
        </w:rPr>
        <w:t>变更联系单方式记录，并经采购人确认。</w:t>
      </w:r>
    </w:p>
    <w:p>
      <w:pPr>
        <w:numPr>
          <w:ilvl w:val="0"/>
          <w:numId w:val="0"/>
        </w:numPr>
        <w:spacing w:beforeLines="10" w:line="360" w:lineRule="auto"/>
        <w:ind w:left="420" w:leftChars="0"/>
        <w:rPr>
          <w:rFonts w:hint="eastAsia" w:ascii="Arial" w:hAnsi="Arial" w:eastAsia="仿宋" w:cs="Arial"/>
          <w:b/>
          <w:bCs/>
          <w:color w:val="000000"/>
          <w:sz w:val="28"/>
          <w:szCs w:val="28"/>
          <w:lang w:eastAsia="zh-CN"/>
        </w:rPr>
      </w:pPr>
      <w:r>
        <w:rPr>
          <w:rFonts w:hint="eastAsia" w:ascii="Arial" w:hAnsi="Arial" w:cs="Arial"/>
          <w:b/>
          <w:bCs/>
          <w:color w:val="000000"/>
          <w:sz w:val="28"/>
          <w:szCs w:val="28"/>
          <w:lang w:eastAsia="zh-CN"/>
        </w:rPr>
        <w:t>三、</w:t>
      </w:r>
      <w:r>
        <w:rPr>
          <w:rFonts w:ascii="Arial" w:hAnsi="Arial" w:cs="Arial"/>
          <w:b/>
          <w:bCs/>
          <w:color w:val="000000"/>
          <w:sz w:val="28"/>
          <w:szCs w:val="28"/>
        </w:rPr>
        <w:t>设计深</w:t>
      </w:r>
      <w:bookmarkEnd w:id="12"/>
      <w:r>
        <w:rPr>
          <w:rFonts w:hint="eastAsia" w:ascii="Arial" w:hAnsi="Arial" w:cs="Arial"/>
          <w:b/>
          <w:bCs/>
          <w:color w:val="000000"/>
          <w:sz w:val="28"/>
          <w:szCs w:val="28"/>
          <w:highlight w:val="none"/>
          <w:lang w:eastAsia="zh-CN"/>
        </w:rPr>
        <w:t>化</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1、设计的深度应包括（但不限于以下内容）：</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1.1设计应包含基本陈列及展区环境所涉及的所有专业的施工设计图，其中包括设计说明、必须的设备、材料表，其他如模型、吸音、隔音、隔热、灯光、音视频、</w:t>
      </w:r>
      <w:r>
        <w:rPr>
          <w:rFonts w:hint="eastAsia" w:ascii="仿宋" w:hAnsi="仿宋" w:eastAsia="仿宋" w:cs="仿宋"/>
          <w:sz w:val="24"/>
        </w:rPr>
        <w:t>安防、</w:t>
      </w:r>
      <w:r>
        <w:rPr>
          <w:rFonts w:hint="eastAsia" w:ascii="仿宋" w:hAnsi="仿宋" w:eastAsia="仿宋" w:cs="仿宋"/>
          <w:color w:val="000000"/>
          <w:sz w:val="24"/>
        </w:rPr>
        <w:t>消防、防火、给排水、结构、电气等设计，同时须说明各种设备、材料、模型等的厂家（制造商）、品牌、规格、功能等。</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1.2设计文件应提供展区及展示项目的平面、立面、</w:t>
      </w:r>
      <w:r>
        <w:rPr>
          <w:rFonts w:hint="eastAsia" w:ascii="仿宋" w:hAnsi="仿宋" w:eastAsia="仿宋" w:cs="仿宋"/>
          <w:color w:val="000000"/>
          <w:sz w:val="24"/>
          <w:shd w:val="clear" w:color="auto" w:fill="FFFFFF"/>
        </w:rPr>
        <w:t>剖面、大样、主要节点图纸、</w:t>
      </w:r>
      <w:r>
        <w:rPr>
          <w:rFonts w:hint="eastAsia" w:ascii="仿宋" w:hAnsi="仿宋" w:eastAsia="仿宋" w:cs="仿宋"/>
          <w:color w:val="000000"/>
          <w:sz w:val="24"/>
        </w:rPr>
        <w:t>分解图、</w:t>
      </w:r>
      <w:r>
        <w:rPr>
          <w:rFonts w:hint="eastAsia" w:ascii="仿宋" w:hAnsi="仿宋" w:eastAsia="仿宋" w:cs="仿宋"/>
          <w:color w:val="000000"/>
          <w:sz w:val="24"/>
          <w:shd w:val="clear" w:color="auto" w:fill="FFFFFF"/>
        </w:rPr>
        <w:t>透</w:t>
      </w:r>
      <w:r>
        <w:rPr>
          <w:rFonts w:hint="eastAsia" w:ascii="仿宋" w:hAnsi="仿宋" w:eastAsia="仿宋" w:cs="仿宋"/>
          <w:color w:val="000000"/>
          <w:sz w:val="24"/>
        </w:rPr>
        <w:t>视效果图、用料及规格、性能、技术标准、制作程序、详细的材料以及其它要求的各项技术参数。</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1.3设计应包含展示项目的尺寸、形状、结构、材质、色彩、模型、技术、工艺、功能等。</w:t>
      </w:r>
    </w:p>
    <w:p>
      <w:pPr>
        <w:spacing w:beforeLines="10" w:line="360" w:lineRule="auto"/>
        <w:ind w:firstLine="480" w:firstLineChars="200"/>
        <w:rPr>
          <w:rFonts w:hint="eastAsia" w:ascii="仿宋" w:hAnsi="仿宋" w:eastAsia="仿宋" w:cs="仿宋"/>
          <w:b/>
          <w:bCs/>
          <w:color w:val="000000"/>
          <w:sz w:val="24"/>
        </w:rPr>
      </w:pPr>
      <w:r>
        <w:rPr>
          <w:rFonts w:hint="eastAsia" w:ascii="仿宋" w:hAnsi="仿宋" w:eastAsia="仿宋" w:cs="仿宋"/>
          <w:color w:val="000000"/>
          <w:sz w:val="24"/>
        </w:rPr>
        <w:t>1.4为了实现高质量的展示，深化设计单位应用文字的形式详细叙述将如何进行深化设计，包括深化设计的顺序、方法、具体的工程制作顺序以及在制作阶段（短期内）从制作到设置安装的实施办法。</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1.5本次设计必须满足最新安防规范、防火规范、消防设施设计规范及有关规定。</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1.6以上各项设计文件应能满足业主和各级政府主管部门的审批要求，设计概算应控制在业主计划的投资额度内。</w:t>
      </w:r>
    </w:p>
    <w:p>
      <w:pPr>
        <w:spacing w:line="360" w:lineRule="auto"/>
        <w:rPr>
          <w:rFonts w:hint="eastAsia" w:ascii="仿宋" w:hAnsi="仿宋" w:eastAsia="仿宋" w:cs="仿宋"/>
          <w:b/>
          <w:bCs/>
          <w:sz w:val="24"/>
        </w:rPr>
      </w:pPr>
      <w:r>
        <w:rPr>
          <w:rFonts w:hint="eastAsia" w:ascii="仿宋" w:hAnsi="仿宋" w:eastAsia="仿宋" w:cs="仿宋"/>
          <w:b/>
          <w:bCs/>
          <w:sz w:val="24"/>
        </w:rPr>
        <w:t xml:space="preserve">    2、展览设计部分的具体要求:</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2.1展览设计原则：以陈列大纲、非遗展品、现有的建筑图纸为基础，以创新的思维，运用现代设计理念与展示手法，突出陈列的教育性、艺术性、观赏性与参与性，以展示的亮点突显陈列内容的重点，力求内容与形式的高度统一。在设计中，要体现“三个性”：</w:t>
      </w:r>
    </w:p>
    <w:p>
      <w:pPr>
        <w:spacing w:beforeLines="10" w:line="360" w:lineRule="auto"/>
        <w:ind w:firstLine="480" w:firstLineChars="200"/>
        <w:rPr>
          <w:rFonts w:hint="eastAsia" w:ascii="仿宋" w:hAnsi="仿宋" w:eastAsia="仿宋" w:cs="仿宋"/>
          <w:color w:val="000000"/>
          <w:sz w:val="24"/>
        </w:rPr>
      </w:pPr>
      <w:r>
        <w:rPr>
          <w:rFonts w:hint="eastAsia" w:cs="仿宋"/>
          <w:color w:val="000000"/>
          <w:sz w:val="24"/>
          <w:lang w:val="en-US" w:eastAsia="zh-CN"/>
        </w:rPr>
        <w:t>(1)</w:t>
      </w:r>
      <w:r>
        <w:rPr>
          <w:rFonts w:hint="eastAsia" w:ascii="仿宋" w:hAnsi="仿宋" w:eastAsia="仿宋" w:cs="仿宋"/>
          <w:color w:val="000000"/>
          <w:sz w:val="24"/>
        </w:rPr>
        <w:t>艺术性。所有艺术品除了按照艺术规律进行高水平创作外，必须充分考虑与陈列主题的高度契合，重点处理好空间布局、展品组合、局部细节的艺术构思。</w:t>
      </w:r>
    </w:p>
    <w:p>
      <w:pPr>
        <w:spacing w:beforeLines="10" w:line="360" w:lineRule="auto"/>
        <w:ind w:firstLine="480" w:firstLineChars="200"/>
        <w:rPr>
          <w:rFonts w:hint="eastAsia" w:ascii="仿宋" w:hAnsi="仿宋" w:eastAsia="仿宋" w:cs="仿宋"/>
          <w:color w:val="000000"/>
          <w:sz w:val="24"/>
        </w:rPr>
      </w:pPr>
      <w:r>
        <w:rPr>
          <w:rFonts w:hint="eastAsia" w:cs="仿宋"/>
          <w:color w:val="000000"/>
          <w:sz w:val="24"/>
          <w:lang w:val="en-US" w:eastAsia="zh-CN"/>
        </w:rPr>
        <w:t>(2)</w:t>
      </w:r>
      <w:r>
        <w:rPr>
          <w:rFonts w:hint="eastAsia" w:ascii="仿宋" w:hAnsi="仿宋" w:eastAsia="仿宋" w:cs="仿宋"/>
          <w:color w:val="000000"/>
          <w:sz w:val="24"/>
        </w:rPr>
        <w:t>科学性。所有展示手段的运用必须符合历史类陈列展览的内在要求，要综合运用包括灯光、色调、音效在内的各种展示手段，尤其要恰当运用现代科技展示手段，注重实际效果而不喧宾夺主，使之成为“国内一流水平”的陈列展览。</w:t>
      </w:r>
    </w:p>
    <w:p>
      <w:pPr>
        <w:spacing w:beforeLines="10" w:line="360" w:lineRule="auto"/>
        <w:ind w:firstLine="480" w:firstLineChars="200"/>
        <w:rPr>
          <w:rFonts w:hint="eastAsia" w:ascii="仿宋" w:hAnsi="仿宋" w:eastAsia="仿宋" w:cs="仿宋"/>
          <w:color w:val="000000"/>
          <w:sz w:val="24"/>
        </w:rPr>
      </w:pPr>
      <w:r>
        <w:rPr>
          <w:rFonts w:hint="eastAsia" w:cs="仿宋"/>
          <w:color w:val="000000"/>
          <w:sz w:val="24"/>
          <w:lang w:val="en-US" w:eastAsia="zh-CN"/>
        </w:rPr>
        <w:t>(3)</w:t>
      </w:r>
      <w:r>
        <w:rPr>
          <w:rFonts w:hint="eastAsia" w:ascii="仿宋" w:hAnsi="仿宋" w:eastAsia="仿宋" w:cs="仿宋"/>
          <w:color w:val="000000"/>
          <w:sz w:val="24"/>
        </w:rPr>
        <w:t>人本性。以观众为本位进行设计，充分考虑不同层次观展群体的要求，采用多样化的表现形式；充分考虑观众观展的心理，把握好展览节奏；充分考虑项目的互动，激发观众的观展兴趣；充分考虑展品展柜的组合，让观众舒服地观展，使之成为漾溢人文气息、体现人文关怀的的观览场所。</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2.2本次展览设计必须满足各项有关设计规范规程和标准，同时应满足以下需求：</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cs="仿宋"/>
          <w:color w:val="000000"/>
          <w:sz w:val="24"/>
          <w:lang w:val="en-US" w:eastAsia="zh-CN"/>
        </w:rPr>
        <w:t>1</w:t>
      </w:r>
      <w:r>
        <w:rPr>
          <w:rFonts w:hint="eastAsia" w:ascii="仿宋" w:hAnsi="仿宋" w:eastAsia="仿宋" w:cs="仿宋"/>
          <w:color w:val="000000"/>
          <w:sz w:val="24"/>
        </w:rPr>
        <w:t>)紧密围绕陈列大纲内容进行设计，充分挖掘展览的主题内涵，使整体艺术设计与内容设计形成高度的和谐统一。</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cs="仿宋"/>
          <w:color w:val="000000"/>
          <w:sz w:val="24"/>
          <w:lang w:val="en-US" w:eastAsia="zh-CN"/>
        </w:rPr>
        <w:t>2</w:t>
      </w:r>
      <w:r>
        <w:rPr>
          <w:rFonts w:hint="eastAsia" w:ascii="仿宋" w:hAnsi="仿宋" w:eastAsia="仿宋" w:cs="仿宋"/>
          <w:color w:val="000000"/>
          <w:sz w:val="24"/>
        </w:rPr>
        <w:t>)根据各展厅展示内容的不同，表现形式上也应有所区别，但要把握总体风格的统一。</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cs="仿宋"/>
          <w:color w:val="000000"/>
          <w:sz w:val="24"/>
          <w:lang w:val="en-US" w:eastAsia="zh-CN"/>
        </w:rPr>
        <w:t>3</w:t>
      </w:r>
      <w:r>
        <w:rPr>
          <w:rFonts w:hint="eastAsia" w:ascii="仿宋" w:hAnsi="仿宋" w:eastAsia="仿宋" w:cs="仿宋"/>
          <w:color w:val="000000"/>
          <w:sz w:val="24"/>
        </w:rPr>
        <w:t>)展厅平面布局深化设计要更合理、科学、通畅,并充分考虑观众参观方便与消防要求。</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cs="仿宋"/>
          <w:color w:val="000000"/>
          <w:sz w:val="24"/>
          <w:lang w:val="en-US" w:eastAsia="zh-CN"/>
        </w:rPr>
        <w:t>4</w:t>
      </w:r>
      <w:r>
        <w:rPr>
          <w:rFonts w:hint="eastAsia" w:ascii="仿宋" w:hAnsi="仿宋" w:eastAsia="仿宋" w:cs="仿宋"/>
          <w:color w:val="000000"/>
          <w:sz w:val="24"/>
        </w:rPr>
        <w:t>)照明设计要着重考虑其对陈列展示效果的升华，而不仅仅为普通照明之功用。</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cs="仿宋"/>
          <w:color w:val="000000"/>
          <w:sz w:val="24"/>
          <w:lang w:val="en-US" w:eastAsia="zh-CN"/>
        </w:rPr>
        <w:t>5</w:t>
      </w:r>
      <w:r>
        <w:rPr>
          <w:rFonts w:hint="eastAsia" w:ascii="仿宋" w:hAnsi="仿宋" w:eastAsia="仿宋" w:cs="仿宋"/>
          <w:color w:val="000000"/>
          <w:sz w:val="24"/>
        </w:rPr>
        <w:t>)色调设计要结合陈列主题与环境氛围进行综合考量，基本要求是“色调决定基调，局部服从整体，简洁而不单调”。</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cs="仿宋"/>
          <w:color w:val="000000"/>
          <w:sz w:val="24"/>
          <w:lang w:val="en-US" w:eastAsia="zh-CN"/>
        </w:rPr>
        <w:t>6</w:t>
      </w:r>
      <w:r>
        <w:rPr>
          <w:rFonts w:hint="eastAsia" w:ascii="仿宋" w:hAnsi="仿宋" w:eastAsia="仿宋" w:cs="仿宋"/>
          <w:color w:val="000000"/>
          <w:sz w:val="24"/>
        </w:rPr>
        <w:t>)互动项目的设计要符合陈列设计理念的总体要求，布局合理，有利于而不是有损于展示氛围的营造，同时注意操作简便、易于维护、质优价廉。</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cs="仿宋"/>
          <w:color w:val="000000"/>
          <w:sz w:val="24"/>
          <w:lang w:val="en-US" w:eastAsia="zh-CN"/>
        </w:rPr>
        <w:t>7</w:t>
      </w:r>
      <w:r>
        <w:rPr>
          <w:rFonts w:hint="eastAsia" w:ascii="仿宋" w:hAnsi="仿宋" w:eastAsia="仿宋" w:cs="仿宋"/>
          <w:color w:val="000000"/>
          <w:sz w:val="24"/>
        </w:rPr>
        <w:t>)场景深化设计要以充足的史实史料为依据，注重细节和内涵。在表现形式上，要根据不同内容采用不同的艺术形式，切忌千篇一律，主次不分。</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cs="仿宋"/>
          <w:color w:val="000000"/>
          <w:sz w:val="24"/>
          <w:lang w:val="en-US" w:eastAsia="zh-CN"/>
        </w:rPr>
        <w:t>8</w:t>
      </w:r>
      <w:r>
        <w:rPr>
          <w:rFonts w:hint="eastAsia" w:ascii="仿宋" w:hAnsi="仿宋" w:eastAsia="仿宋" w:cs="仿宋"/>
          <w:color w:val="000000"/>
          <w:sz w:val="24"/>
        </w:rPr>
        <w:t>)陈列深化设计要突破陈列展厅的空间局囿，将展馆范畴的公共空间纳入整个展览体系当中，使之成为展览延伸或过渡。</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3、陈列布展深化设计具体要求:</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3.1所有设计必须符合国家、省、市有关规程规范，必须满足消防、安防标准及其他相关的要求。同时，为了保持整个场馆的装修风格统一性，各中标人必须按业主要求优化各自设计，达到各公共区域风格的协调统一。</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3.2中标人应按投标文件中承诺的设计主创人员投入到展览深化设计中来，履行其义务。</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3.3中标人在设计过程中，应借鉴国内外成功展馆展陈的亮点，并不断完善、细化设计。</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3.4中标人在设计过程中，要严格按照招标文件的约定，围绕陈列大纲及相关现场勘察资料，并结合招标人及其专家的意见，进行深化设计工作。</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3.5中标人的深化设计成果，必须达到或高于中标人在投标文件中所作的展示效果的承诺。</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3.6设计最终成果包括但不限于以下内容：</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3.6.1艺术类项目中的绘画作品，要提供创作小样、构思色稿，完成后实际画幅尺寸；雕塑类项目要提供设计样稿、放大的尺寸、材质、工艺及摆放位置等。</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3.6.2展示设计中采用的照片、喷画，要提供照片、喷画的尺寸，照片放大的形式，工艺材质及艺术处理的手法，大型喷画、灯箱片的制作工艺、材料选择及质量保证措施等。</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3.6.3场景要有正立面图、平面图、侧剖图，提供人物塑型数量、布局、尺寸、材质、服饰等，场景的进深、宽度、高度及面积，地面塑型、背景画及声、光、电等多媒体设备的施工安装图纸及相关资料。</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3.6.4高科技互动项目必须提供设计图纸、三维演示、科技原理图及说明、施工安装方案、技术保障措施及相关视频示意等资料。</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3.6.5空间造型或单体建筑模型要提供比例尺寸、使用材料、制作工艺、展示效果、具体放置位置及其相关资料。</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3.6.6展墙、展板、展柜、展架等装</w:t>
      </w:r>
      <w:r>
        <w:rPr>
          <w:rFonts w:hint="eastAsia" w:cs="仿宋"/>
          <w:color w:val="000000"/>
          <w:sz w:val="24"/>
          <w:lang w:eastAsia="zh-CN"/>
        </w:rPr>
        <w:t>饰</w:t>
      </w:r>
      <w:r>
        <w:rPr>
          <w:rFonts w:hint="eastAsia" w:ascii="仿宋" w:hAnsi="仿宋" w:eastAsia="仿宋" w:cs="仿宋"/>
          <w:color w:val="000000"/>
          <w:sz w:val="24"/>
        </w:rPr>
        <w:t>部分要有平面图、立面图、剖面图、节点大样图、收口大样图等，标明使用材料、尺寸等相关资料。</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3.6.7展览范围内综合布线及照明系统设计要符合国家有关规程规范、标准，设计要科学、合理，提供综合布线图纸，标明灯具的品牌、型号、产地、数量等。</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3.6.8最终成果必须包括讲解词编写、语音导览系统、背景音乐和扩音系统、标识指引系统、各种标牌和指示牌的设置位置、数量、规格（性能参数）以及弱电智能化系统、门禁系统等。</w:t>
      </w:r>
    </w:p>
    <w:p>
      <w:pPr>
        <w:spacing w:beforeLines="10" w:line="360" w:lineRule="auto"/>
        <w:ind w:firstLine="479"/>
        <w:rPr>
          <w:rFonts w:hint="eastAsia" w:ascii="仿宋" w:hAnsi="仿宋" w:eastAsia="仿宋" w:cs="仿宋"/>
          <w:color w:val="000000"/>
          <w:sz w:val="24"/>
        </w:rPr>
      </w:pPr>
      <w:r>
        <w:rPr>
          <w:rFonts w:hint="eastAsia" w:ascii="仿宋" w:hAnsi="仿宋" w:eastAsia="仿宋" w:cs="仿宋"/>
          <w:color w:val="000000"/>
          <w:sz w:val="24"/>
        </w:rPr>
        <w:t>4.中标人完成展陈深化设计，同时应向招标人提供本工程的预算和工程量清单。预算按照2018版浙江省现行预算定额。材料、人工价格按照预算编制期的《杭州造价信息》、《浙江造价信息》正刊信息价（优先适用市正刊相应信息价和工程所在地相应信息价），无信息价的按市场价。</w:t>
      </w:r>
    </w:p>
    <w:p>
      <w:pPr>
        <w:spacing w:line="360" w:lineRule="auto"/>
        <w:ind w:firstLine="482" w:firstLineChars="200"/>
        <w:rPr>
          <w:b/>
          <w:bCs/>
          <w:color w:val="auto"/>
          <w:sz w:val="24"/>
        </w:rPr>
      </w:pPr>
      <w:r>
        <w:rPr>
          <w:rFonts w:hint="eastAsia"/>
          <w:b/>
          <w:bCs/>
          <w:color w:val="auto"/>
          <w:sz w:val="24"/>
          <w:lang w:val="en-US" w:eastAsia="zh-CN"/>
        </w:rPr>
        <w:t>4、</w:t>
      </w:r>
      <w:r>
        <w:rPr>
          <w:rFonts w:hint="eastAsia"/>
          <w:b/>
          <w:bCs/>
          <w:color w:val="auto"/>
          <w:sz w:val="24"/>
        </w:rPr>
        <w:t xml:space="preserve">库房要求（如有）    </w:t>
      </w:r>
    </w:p>
    <w:p>
      <w:pPr>
        <w:spacing w:line="360" w:lineRule="auto"/>
        <w:ind w:firstLine="480" w:firstLineChars="200"/>
        <w:rPr>
          <w:color w:val="auto"/>
          <w:sz w:val="24"/>
        </w:rPr>
      </w:pPr>
      <w:r>
        <w:rPr>
          <w:rFonts w:hint="eastAsia"/>
          <w:color w:val="auto"/>
          <w:sz w:val="24"/>
        </w:rPr>
        <w:t>库房门须采用专业库房门，密集柜采用专业柜</w:t>
      </w:r>
      <w:r>
        <w:rPr>
          <w:rFonts w:hint="eastAsia"/>
          <w:color w:val="auto"/>
          <w:sz w:val="24"/>
          <w:lang w:eastAsia="zh-CN"/>
        </w:rPr>
        <w:t>子</w:t>
      </w:r>
      <w:r>
        <w:rPr>
          <w:rFonts w:hint="eastAsia"/>
          <w:color w:val="auto"/>
          <w:sz w:val="24"/>
        </w:rPr>
        <w:t>，操作方便，手动、电动操作一体，充分考虑藏品种类，每层高度可自由调节；特殊材质</w:t>
      </w:r>
      <w:r>
        <w:rPr>
          <w:rFonts w:hint="eastAsia"/>
          <w:color w:val="auto"/>
          <w:sz w:val="24"/>
          <w:lang w:eastAsia="zh-CN"/>
        </w:rPr>
        <w:t>展品</w:t>
      </w:r>
      <w:r>
        <w:rPr>
          <w:rFonts w:hint="eastAsia"/>
          <w:color w:val="auto"/>
          <w:sz w:val="24"/>
        </w:rPr>
        <w:t>需采用恒温恒湿一体柜。</w:t>
      </w:r>
    </w:p>
    <w:p>
      <w:pPr>
        <w:spacing w:line="360" w:lineRule="auto"/>
        <w:ind w:firstLine="482" w:firstLineChars="200"/>
        <w:rPr>
          <w:rFonts w:hint="eastAsia" w:ascii="仿宋" w:hAnsi="仿宋" w:eastAsia="仿宋" w:cs="仿宋"/>
          <w:b/>
          <w:bCs/>
          <w:color w:val="auto"/>
          <w:sz w:val="24"/>
        </w:rPr>
      </w:pPr>
      <w:r>
        <w:rPr>
          <w:rFonts w:hint="eastAsia" w:cs="仿宋"/>
          <w:b/>
          <w:bCs/>
          <w:color w:val="auto"/>
          <w:sz w:val="24"/>
          <w:lang w:val="en-US" w:eastAsia="zh-CN"/>
        </w:rPr>
        <w:t>5、</w:t>
      </w:r>
      <w:r>
        <w:rPr>
          <w:rFonts w:hint="eastAsia" w:ascii="仿宋" w:hAnsi="仿宋" w:eastAsia="仿宋" w:cs="仿宋"/>
          <w:b/>
          <w:bCs/>
          <w:color w:val="auto"/>
          <w:sz w:val="24"/>
        </w:rPr>
        <w:t>灯光照明要求</w:t>
      </w:r>
    </w:p>
    <w:p>
      <w:pPr>
        <w:pStyle w:val="1033"/>
        <w:tabs>
          <w:tab w:val="left" w:pos="2340"/>
        </w:tabs>
        <w:spacing w:line="360" w:lineRule="auto"/>
        <w:ind w:firstLine="480" w:firstLineChars="200"/>
        <w:rPr>
          <w:rStyle w:val="1034"/>
          <w:sz w:val="24"/>
          <w:szCs w:val="24"/>
          <w:lang w:val="zh-TW"/>
        </w:rPr>
      </w:pPr>
      <w:r>
        <w:rPr>
          <w:rStyle w:val="1034"/>
          <w:rFonts w:hint="eastAsia"/>
          <w:color w:val="auto"/>
          <w:sz w:val="24"/>
          <w:szCs w:val="24"/>
        </w:rPr>
        <w:t>5.1</w:t>
      </w:r>
      <w:r>
        <w:rPr>
          <w:rStyle w:val="1034"/>
          <w:color w:val="auto"/>
          <w:sz w:val="24"/>
          <w:szCs w:val="24"/>
          <w:lang w:val="zh-TW" w:eastAsia="zh-TW"/>
        </w:rPr>
        <w:t>陈列照明设计中展品的照度</w:t>
      </w:r>
      <w:r>
        <w:rPr>
          <w:rStyle w:val="1034"/>
          <w:rFonts w:hint="eastAsia"/>
          <w:color w:val="auto"/>
          <w:sz w:val="24"/>
          <w:szCs w:val="24"/>
          <w:lang w:val="zh-TW"/>
        </w:rPr>
        <w:t>符合设计和规范要求，</w:t>
      </w:r>
      <w:r>
        <w:rPr>
          <w:rStyle w:val="1034"/>
          <w:color w:val="auto"/>
          <w:sz w:val="24"/>
          <w:szCs w:val="24"/>
          <w:lang w:val="zh-TW" w:eastAsia="zh-TW"/>
        </w:rPr>
        <w:t>要求均匀，对不同的展品</w:t>
      </w:r>
      <w:r>
        <w:rPr>
          <w:rStyle w:val="1034"/>
          <w:sz w:val="24"/>
          <w:szCs w:val="24"/>
          <w:lang w:val="zh-TW" w:eastAsia="zh-TW"/>
        </w:rPr>
        <w:t>有不同的照度。根据具体的对象，采取不同的照明方式增强或者减弱照度</w:t>
      </w:r>
      <w:r>
        <w:rPr>
          <w:rStyle w:val="1034"/>
          <w:rFonts w:hint="eastAsia"/>
          <w:sz w:val="24"/>
          <w:szCs w:val="24"/>
          <w:lang w:val="zh-TW"/>
        </w:rPr>
        <w:t>，并避免反射眩光。</w:t>
      </w:r>
    </w:p>
    <w:tbl>
      <w:tblPr>
        <w:tblStyle w:val="8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88"/>
        <w:gridCol w:w="1695"/>
        <w:gridCol w:w="2520"/>
        <w:gridCol w:w="33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8" w:hRule="exact"/>
          <w:jc w:val="center"/>
        </w:trPr>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b/>
                <w:bCs/>
                <w:color w:val="auto"/>
                <w:sz w:val="24"/>
                <w:szCs w:val="24"/>
                <w:lang w:val="zh-TW" w:eastAsia="zh-TW"/>
              </w:rPr>
              <w:t>展品敏感度种类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b/>
                <w:bCs/>
                <w:color w:val="auto"/>
                <w:sz w:val="24"/>
                <w:szCs w:val="24"/>
                <w:lang w:val="zh-TW" w:eastAsia="zh-TW"/>
              </w:rPr>
              <w:t>限制照度（</w:t>
            </w:r>
            <w:r>
              <w:rPr>
                <w:rStyle w:val="1034"/>
                <w:rFonts w:hint="eastAsia" w:ascii="仿宋" w:hAnsi="仿宋" w:eastAsia="仿宋" w:cs="仿宋"/>
                <w:b/>
                <w:bCs/>
                <w:color w:val="auto"/>
                <w:sz w:val="24"/>
                <w:szCs w:val="24"/>
              </w:rPr>
              <w:t>1X</w:t>
            </w:r>
            <w:r>
              <w:rPr>
                <w:rStyle w:val="1034"/>
                <w:rFonts w:hint="eastAsia" w:ascii="仿宋" w:hAnsi="仿宋" w:eastAsia="仿宋" w:cs="仿宋"/>
                <w:b/>
                <w:bCs/>
                <w:color w:val="auto"/>
                <w:sz w:val="24"/>
                <w:szCs w:val="24"/>
                <w:lang w:val="zh-TW" w:eastAsia="zh-TW"/>
              </w:rPr>
              <w:t>）</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b/>
                <w:bCs/>
                <w:color w:val="auto"/>
                <w:sz w:val="24"/>
                <w:szCs w:val="24"/>
                <w:lang w:val="zh-TW" w:eastAsia="zh-TW"/>
              </w:rPr>
              <w:t>限制暴露值（</w:t>
            </w:r>
            <w:r>
              <w:rPr>
                <w:rStyle w:val="1034"/>
                <w:rFonts w:hint="eastAsia" w:ascii="仿宋" w:hAnsi="仿宋" w:eastAsia="仿宋" w:cs="仿宋"/>
                <w:b/>
                <w:bCs/>
                <w:color w:val="auto"/>
                <w:sz w:val="24"/>
                <w:szCs w:val="24"/>
              </w:rPr>
              <w:t>1X×h/y</w:t>
            </w:r>
            <w:r>
              <w:rPr>
                <w:rStyle w:val="1034"/>
                <w:rFonts w:hint="eastAsia" w:ascii="仿宋" w:hAnsi="仿宋" w:eastAsia="仿宋" w:cs="仿宋"/>
                <w:b/>
                <w:bCs/>
                <w:color w:val="auto"/>
                <w:sz w:val="24"/>
                <w:szCs w:val="24"/>
                <w:lang w:val="zh-TW" w:eastAsia="zh-TW"/>
              </w:rPr>
              <w:t>）</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b/>
                <w:bCs/>
                <w:color w:val="auto"/>
                <w:sz w:val="24"/>
                <w:szCs w:val="24"/>
                <w:lang w:val="zh-TW" w:eastAsia="zh-TW"/>
              </w:rPr>
              <w:t>描述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7" w:hRule="exact"/>
          <w:jc w:val="center"/>
        </w:trPr>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不敏感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没有限制</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没有限制</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大部分金属、石头、大部分玻璃、未染色的陶瓷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80" w:hRule="exact"/>
          <w:jc w:val="center"/>
        </w:trPr>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低敏感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rPr>
              <w:t>200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rPr>
              <w:t>600,000</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油画、蛋彩画、未染色和木类、（羊牛等动物）象牙、漆器、玉器、一些塑料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91" w:hRule="exact"/>
          <w:jc w:val="center"/>
        </w:trPr>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中等敏感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rPr>
              <w:t>50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rPr>
              <w:t>150,000</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服饰、水彩画、彩色粉笔画、挂毯、印花布、手稿、彩饰画、墙纸、水粉画、染色的皮类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6" w:hRule="exact"/>
          <w:jc w:val="center"/>
        </w:trPr>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高敏感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rPr>
              <w:t>50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rPr>
              <w:t>15,000</w:t>
            </w:r>
          </w:p>
        </w:tc>
        <w:tc>
          <w:tcPr>
            <w:tcW w:w="3337" w:type="dxa"/>
            <w:tcBorders>
              <w:top w:val="single" w:color="000000" w:sz="4" w:space="0"/>
              <w:left w:val="single" w:color="000000" w:sz="4" w:space="0"/>
              <w:bottom w:val="single" w:color="000000" w:sz="4" w:space="0"/>
              <w:right w:val="single" w:color="000000" w:sz="4" w:space="0"/>
            </w:tcBorders>
            <w:shd w:val="clear" w:color="auto" w:fill="auto"/>
            <w:noWrap/>
            <w:tcMar>
              <w:top w:w="80" w:type="dxa"/>
              <w:left w:w="80" w:type="dxa"/>
              <w:bottom w:w="80" w:type="dxa"/>
              <w:right w:w="80" w:type="dxa"/>
            </w:tcMar>
            <w:vAlign w:val="center"/>
          </w:tcPr>
          <w:p>
            <w:pPr>
              <w:pStyle w:val="1035"/>
              <w:spacing w:line="360" w:lineRule="auto"/>
              <w:jc w:val="center"/>
              <w:rPr>
                <w:rFonts w:hint="eastAsia" w:ascii="仿宋" w:hAnsi="仿宋" w:eastAsia="仿宋" w:cs="仿宋"/>
                <w:color w:val="auto"/>
                <w:sz w:val="24"/>
                <w:szCs w:val="24"/>
              </w:rPr>
            </w:pPr>
            <w:r>
              <w:rPr>
                <w:rStyle w:val="1034"/>
                <w:rFonts w:hint="eastAsia" w:ascii="仿宋" w:hAnsi="仿宋" w:eastAsia="仿宋" w:cs="仿宋"/>
                <w:color w:val="auto"/>
                <w:sz w:val="24"/>
                <w:szCs w:val="24"/>
                <w:lang w:val="zh-TW" w:eastAsia="zh-TW"/>
              </w:rPr>
              <w:t>丝绸、着色的珍品、报纸</w:t>
            </w:r>
          </w:p>
        </w:tc>
      </w:tr>
    </w:tbl>
    <w:p>
      <w:pPr>
        <w:pStyle w:val="1033"/>
        <w:tabs>
          <w:tab w:val="left" w:pos="2340"/>
        </w:tabs>
        <w:spacing w:line="360" w:lineRule="auto"/>
        <w:ind w:firstLine="480" w:firstLineChars="200"/>
        <w:rPr>
          <w:rStyle w:val="1034"/>
          <w:sz w:val="24"/>
          <w:szCs w:val="24"/>
          <w:lang w:val="zh-TW" w:eastAsia="zh-TW"/>
        </w:rPr>
      </w:pPr>
      <w:r>
        <w:rPr>
          <w:rStyle w:val="1034"/>
          <w:sz w:val="24"/>
          <w:szCs w:val="24"/>
          <w:lang w:val="zh-TW" w:eastAsia="zh-TW"/>
        </w:rPr>
        <w:t>展室中的一般照明与特殊照明，要求按照在保证展品安全展示的同时，合理利用光源材料，以最大限度地展现出相关对象的艺术特点或其他需要表现的信息的标准设计，以达到理想的照明效果。</w:t>
      </w:r>
    </w:p>
    <w:p>
      <w:pPr>
        <w:pStyle w:val="1033"/>
        <w:tabs>
          <w:tab w:val="left" w:pos="2340"/>
        </w:tabs>
        <w:spacing w:line="360" w:lineRule="auto"/>
        <w:ind w:firstLine="480" w:firstLineChars="200"/>
        <w:rPr>
          <w:rStyle w:val="1034"/>
          <w:sz w:val="24"/>
          <w:szCs w:val="24"/>
          <w:lang w:val="zh-TW" w:eastAsia="zh-TW"/>
        </w:rPr>
      </w:pPr>
      <w:r>
        <w:rPr>
          <w:rStyle w:val="1034"/>
          <w:rFonts w:hint="eastAsia"/>
          <w:sz w:val="24"/>
          <w:szCs w:val="24"/>
        </w:rPr>
        <w:t>5.2</w:t>
      </w:r>
      <w:r>
        <w:rPr>
          <w:rStyle w:val="1034"/>
          <w:sz w:val="24"/>
          <w:szCs w:val="24"/>
          <w:lang w:val="zh-TW" w:eastAsia="zh-TW"/>
        </w:rPr>
        <w:t>公共空间的照明应当采用与展厅的陈列照明色温相同或者相近的照明系统，以此保证观众对室内人工照明环境的视觉适应。在公共空间与展厅的接合部，要注意设置照明过渡区，避免出现因照度差异过大而造成观众在进入展厅时出现短暂的视觉不适应。</w:t>
      </w:r>
    </w:p>
    <w:p>
      <w:pPr>
        <w:pStyle w:val="1033"/>
        <w:tabs>
          <w:tab w:val="left" w:pos="2340"/>
        </w:tabs>
        <w:spacing w:line="360" w:lineRule="auto"/>
        <w:ind w:firstLine="480" w:firstLineChars="200"/>
        <w:rPr>
          <w:rStyle w:val="1034"/>
          <w:sz w:val="24"/>
          <w:szCs w:val="24"/>
        </w:rPr>
      </w:pPr>
      <w:r>
        <w:rPr>
          <w:rStyle w:val="1034"/>
          <w:rFonts w:hint="eastAsia"/>
          <w:sz w:val="24"/>
          <w:szCs w:val="24"/>
        </w:rPr>
        <w:t>5.3</w:t>
      </w:r>
      <w:r>
        <w:rPr>
          <w:rStyle w:val="1034"/>
          <w:sz w:val="24"/>
          <w:szCs w:val="24"/>
          <w:lang w:val="zh-TW" w:eastAsia="zh-TW"/>
        </w:rPr>
        <w:t>消除与控制</w:t>
      </w:r>
      <w:r>
        <w:rPr>
          <w:rStyle w:val="1034"/>
          <w:sz w:val="24"/>
          <w:szCs w:val="24"/>
        </w:rPr>
        <w:t>"</w:t>
      </w:r>
      <w:r>
        <w:rPr>
          <w:rStyle w:val="1034"/>
          <w:sz w:val="24"/>
          <w:szCs w:val="24"/>
          <w:lang w:val="zh-TW" w:eastAsia="zh-TW"/>
        </w:rPr>
        <w:t>光害</w:t>
      </w:r>
      <w:r>
        <w:rPr>
          <w:rStyle w:val="1034"/>
          <w:sz w:val="24"/>
          <w:szCs w:val="24"/>
        </w:rPr>
        <w:t>"</w:t>
      </w:r>
      <w:r>
        <w:rPr>
          <w:rStyle w:val="1034"/>
          <w:sz w:val="24"/>
          <w:szCs w:val="24"/>
          <w:lang w:val="zh-TW" w:eastAsia="zh-TW"/>
        </w:rPr>
        <w:t>对展品的影响</w:t>
      </w:r>
      <w:r>
        <w:rPr>
          <w:rStyle w:val="1034"/>
          <w:rFonts w:hint="eastAsia"/>
          <w:sz w:val="24"/>
          <w:szCs w:val="24"/>
          <w:lang w:val="zh-TW"/>
        </w:rPr>
        <w:t>展厅内（特别是临展厅），涉及书画类展品的，</w:t>
      </w:r>
      <w:r>
        <w:rPr>
          <w:rStyle w:val="1034"/>
          <w:sz w:val="24"/>
          <w:szCs w:val="24"/>
          <w:lang w:val="zh-TW" w:eastAsia="zh-TW"/>
        </w:rPr>
        <w:t>须配置两种照明光源系统，一种为普通光源系统，一种为红外线感应系统，按展览需要互相切换。书画古籍文献类展示的部位的照明，要求采用极低的红外线辐射、紫线辐射的光源，照明控制在</w:t>
      </w:r>
      <w:r>
        <w:rPr>
          <w:rStyle w:val="1034"/>
          <w:sz w:val="24"/>
          <w:szCs w:val="24"/>
        </w:rPr>
        <w:t>50LX</w:t>
      </w:r>
      <w:r>
        <w:rPr>
          <w:rStyle w:val="1034"/>
          <w:sz w:val="24"/>
          <w:szCs w:val="24"/>
          <w:lang w:val="zh-TW" w:eastAsia="zh-TW"/>
        </w:rPr>
        <w:t>以内，在光源的控制上，应当加装红外感应开关，以便最大限度地降低光源本身的红外线辐射对书画古籍类</w:t>
      </w:r>
      <w:r>
        <w:rPr>
          <w:rStyle w:val="1034"/>
          <w:rFonts w:hint="eastAsia"/>
          <w:sz w:val="24"/>
          <w:szCs w:val="24"/>
          <w:lang w:val="zh-TW"/>
        </w:rPr>
        <w:t>展品</w:t>
      </w:r>
      <w:r>
        <w:rPr>
          <w:rStyle w:val="1034"/>
          <w:sz w:val="24"/>
          <w:szCs w:val="24"/>
          <w:lang w:val="zh-TW" w:eastAsia="zh-TW"/>
        </w:rPr>
        <w:t>的影响。</w:t>
      </w:r>
    </w:p>
    <w:p>
      <w:pPr>
        <w:pStyle w:val="1033"/>
        <w:tabs>
          <w:tab w:val="left" w:pos="2340"/>
        </w:tabs>
        <w:spacing w:line="360" w:lineRule="auto"/>
        <w:ind w:firstLine="480" w:firstLineChars="200"/>
        <w:rPr>
          <w:rStyle w:val="1034"/>
          <w:sz w:val="24"/>
          <w:szCs w:val="24"/>
        </w:rPr>
      </w:pPr>
      <w:r>
        <w:rPr>
          <w:rStyle w:val="1034"/>
          <w:rFonts w:hint="eastAsia"/>
          <w:sz w:val="24"/>
          <w:szCs w:val="24"/>
        </w:rPr>
        <w:t>5.4</w:t>
      </w:r>
      <w:r>
        <w:rPr>
          <w:rStyle w:val="1034"/>
          <w:sz w:val="24"/>
          <w:szCs w:val="24"/>
          <w:lang w:val="zh-TW" w:eastAsia="zh-TW"/>
        </w:rPr>
        <w:t>灯具的品质和数量按照清单内容，其中每盏</w:t>
      </w:r>
      <w:r>
        <w:rPr>
          <w:rStyle w:val="1034"/>
          <w:sz w:val="24"/>
          <w:szCs w:val="24"/>
        </w:rPr>
        <w:t>LED</w:t>
      </w:r>
      <w:r>
        <w:rPr>
          <w:rStyle w:val="1034"/>
          <w:sz w:val="24"/>
          <w:szCs w:val="24"/>
          <w:lang w:val="zh-TW" w:eastAsia="zh-TW"/>
        </w:rPr>
        <w:t>灯的照明时间不少于</w:t>
      </w:r>
      <w:r>
        <w:rPr>
          <w:rStyle w:val="1034"/>
          <w:sz w:val="24"/>
          <w:szCs w:val="24"/>
        </w:rPr>
        <w:t>5</w:t>
      </w:r>
      <w:r>
        <w:rPr>
          <w:rStyle w:val="1034"/>
          <w:sz w:val="24"/>
          <w:szCs w:val="24"/>
          <w:lang w:val="zh-TW" w:eastAsia="zh-TW"/>
        </w:rPr>
        <w:t>万小时，显色性不低于</w:t>
      </w:r>
      <w:r>
        <w:rPr>
          <w:rStyle w:val="1034"/>
          <w:sz w:val="24"/>
          <w:szCs w:val="24"/>
        </w:rPr>
        <w:t>90%</w:t>
      </w:r>
      <w:r>
        <w:rPr>
          <w:rStyle w:val="1034"/>
          <w:rFonts w:hint="eastAsia"/>
          <w:sz w:val="24"/>
          <w:szCs w:val="24"/>
        </w:rPr>
        <w:t>，特殊展示场景显色性大于95%。</w:t>
      </w:r>
    </w:p>
    <w:p>
      <w:pPr>
        <w:spacing w:line="360" w:lineRule="auto"/>
        <w:ind w:firstLine="482" w:firstLineChars="200"/>
        <w:rPr>
          <w:b/>
          <w:bCs/>
          <w:sz w:val="24"/>
        </w:rPr>
      </w:pPr>
      <w:r>
        <w:rPr>
          <w:rFonts w:hint="eastAsia"/>
          <w:b/>
          <w:bCs/>
          <w:sz w:val="24"/>
        </w:rPr>
        <w:t>6、展柜设计要求</w:t>
      </w:r>
    </w:p>
    <w:p>
      <w:pPr>
        <w:pStyle w:val="1033"/>
        <w:tabs>
          <w:tab w:val="left" w:pos="2340"/>
        </w:tabs>
        <w:spacing w:line="360" w:lineRule="auto"/>
        <w:ind w:firstLine="440"/>
        <w:rPr>
          <w:bCs/>
          <w:sz w:val="24"/>
          <w:szCs w:val="24"/>
        </w:rPr>
      </w:pPr>
      <w:r>
        <w:rPr>
          <w:rStyle w:val="1034"/>
          <w:rFonts w:hint="eastAsia"/>
          <w:sz w:val="24"/>
          <w:szCs w:val="24"/>
          <w:lang w:val="zh-TW"/>
        </w:rPr>
        <w:t>6.1</w:t>
      </w:r>
      <w:r>
        <w:rPr>
          <w:rStyle w:val="1034"/>
          <w:sz w:val="24"/>
          <w:szCs w:val="24"/>
          <w:lang w:val="zh-TW" w:eastAsia="zh-TW"/>
        </w:rPr>
        <w:t>展示柜</w:t>
      </w:r>
      <w:r>
        <w:rPr>
          <w:rStyle w:val="1034"/>
          <w:rFonts w:hint="eastAsia"/>
          <w:sz w:val="24"/>
          <w:szCs w:val="24"/>
          <w:lang w:val="zh-TW"/>
        </w:rPr>
        <w:t>符合博物馆展柜设计及规范要求，安全、坚固、开启维护方便（</w:t>
      </w:r>
      <w:r>
        <w:rPr>
          <w:rFonts w:hint="eastAsia"/>
          <w:bCs/>
          <w:sz w:val="24"/>
          <w:szCs w:val="24"/>
        </w:rPr>
        <w:t>便于大型展品放置及布展操作</w:t>
      </w:r>
      <w:r>
        <w:rPr>
          <w:rStyle w:val="1034"/>
          <w:rFonts w:hint="eastAsia"/>
          <w:sz w:val="24"/>
          <w:szCs w:val="24"/>
          <w:lang w:val="zh-TW"/>
        </w:rPr>
        <w:t>，</w:t>
      </w:r>
      <w:r>
        <w:rPr>
          <w:rFonts w:hint="eastAsia"/>
          <w:bCs/>
          <w:sz w:val="24"/>
          <w:szCs w:val="24"/>
        </w:rPr>
        <w:t>独立柜玻璃门开启比例≥85%，电动开启的展柜必须同时具备手动开启方式，如断电时需用手动来开关展柜，开启展柜方式需安全、便捷</w:t>
      </w:r>
      <w:r>
        <w:rPr>
          <w:rStyle w:val="1034"/>
          <w:rFonts w:hint="eastAsia"/>
          <w:sz w:val="24"/>
          <w:szCs w:val="24"/>
          <w:lang w:val="zh-TW"/>
        </w:rPr>
        <w:t>）、</w:t>
      </w:r>
      <w:r>
        <w:rPr>
          <w:rFonts w:hint="eastAsia"/>
          <w:bCs/>
          <w:sz w:val="24"/>
          <w:szCs w:val="24"/>
        </w:rPr>
        <w:t>不易变形，防盗和防破坏性能必须符合国家各项相关规定及行业标准。展柜外形尺寸可根据设计规格约定合同的相关要求。</w:t>
      </w:r>
      <w:r>
        <w:rPr>
          <w:rFonts w:hint="eastAsia" w:hAnsi="宋体" w:cs="宋体"/>
          <w:sz w:val="24"/>
          <w:szCs w:val="24"/>
          <w:shd w:val="clear" w:color="auto" w:fill="FFFFFF"/>
        </w:rPr>
        <w:t>柜门都要坚固而且精致的压缩装置密封。</w:t>
      </w:r>
    </w:p>
    <w:p>
      <w:pPr>
        <w:spacing w:line="360" w:lineRule="auto"/>
        <w:ind w:firstLine="480" w:firstLineChars="200"/>
        <w:jc w:val="left"/>
        <w:rPr>
          <w:rFonts w:ascii="宋体" w:hAnsi="宋体" w:cs="宋体"/>
          <w:sz w:val="24"/>
          <w:shd w:val="clear" w:color="auto" w:fill="FFFFFF"/>
        </w:rPr>
      </w:pPr>
      <w:r>
        <w:rPr>
          <w:rStyle w:val="1034"/>
          <w:rFonts w:hint="eastAsia"/>
          <w:sz w:val="24"/>
          <w:lang w:val="zh-TW"/>
        </w:rPr>
        <w:t>6.2所有展柜均不得使用钢化玻璃，</w:t>
      </w:r>
      <w:r>
        <w:rPr>
          <w:rFonts w:hint="eastAsia"/>
          <w:bCs/>
          <w:sz w:val="24"/>
        </w:rPr>
        <w:t>须采用高安全性能的高透明度超白夹胶玻璃，</w:t>
      </w:r>
      <w:r>
        <w:rPr>
          <w:rFonts w:hint="eastAsia" w:ascii="宋体" w:hAnsi="宋体" w:cs="宋体"/>
          <w:sz w:val="24"/>
          <w:shd w:val="clear" w:color="auto" w:fill="FFFFFF"/>
        </w:rPr>
        <w:t>夹胶胶层ＰＶＢ的厚度必须达到1.52mm，</w:t>
      </w:r>
      <w:r>
        <w:rPr>
          <w:rFonts w:hint="eastAsia"/>
          <w:bCs/>
          <w:sz w:val="24"/>
        </w:rPr>
        <w:t>夹胶后玻璃透光率≥90%，</w:t>
      </w:r>
      <w:r>
        <w:rPr>
          <w:rFonts w:hint="eastAsia" w:ascii="宋体" w:hAnsi="宋体" w:cs="宋体"/>
          <w:sz w:val="24"/>
          <w:shd w:val="clear" w:color="auto" w:fill="FFFFFF"/>
        </w:rPr>
        <w:t>玻璃必须使用良好的粘结胶（而不是普通的密封胶）完全的和边框型材粘接，从而保证展柜的安全性，以及保证展柜的密封性。</w:t>
      </w:r>
      <w:r>
        <w:rPr>
          <w:rFonts w:hint="eastAsia"/>
          <w:bCs/>
          <w:sz w:val="24"/>
        </w:rPr>
        <w:t>具有防爆功能。</w:t>
      </w:r>
    </w:p>
    <w:p>
      <w:pPr>
        <w:pStyle w:val="1036"/>
        <w:spacing w:line="360" w:lineRule="auto"/>
        <w:ind w:firstLine="480"/>
        <w:rPr>
          <w:bCs/>
          <w:sz w:val="24"/>
        </w:rPr>
      </w:pPr>
      <w:r>
        <w:rPr>
          <w:rStyle w:val="1034"/>
          <w:rFonts w:hint="eastAsia"/>
          <w:sz w:val="24"/>
          <w:lang w:val="zh-TW"/>
        </w:rPr>
        <w:t>6.3基本陈列展柜主看面采用低反射玻璃，临展厅、精品厅展柜采用低反射玻璃。</w:t>
      </w:r>
      <w:r>
        <w:rPr>
          <w:rFonts w:hint="eastAsia"/>
          <w:bCs/>
          <w:sz w:val="24"/>
        </w:rPr>
        <w:t>重点展品</w:t>
      </w:r>
      <w:r>
        <w:rPr>
          <w:rFonts w:hint="eastAsia" w:ascii="宋体" w:hAnsi="宋体" w:cs="宋体"/>
          <w:sz w:val="24"/>
          <w:shd w:val="clear" w:color="auto" w:fill="FFFFFF"/>
        </w:rPr>
        <w:t>和特殊材质的</w:t>
      </w:r>
      <w:r>
        <w:rPr>
          <w:rFonts w:hint="eastAsia"/>
          <w:bCs/>
          <w:sz w:val="24"/>
        </w:rPr>
        <w:t>柜体玻璃应采用SGP抗弯低反射超白夹胶玻璃，应配置恒温恒湿系统。</w:t>
      </w:r>
    </w:p>
    <w:p>
      <w:pPr>
        <w:pStyle w:val="1033"/>
        <w:tabs>
          <w:tab w:val="left" w:pos="2340"/>
        </w:tabs>
        <w:spacing w:line="360" w:lineRule="auto"/>
        <w:ind w:firstLine="440"/>
        <w:rPr>
          <w:bCs/>
          <w:sz w:val="24"/>
          <w:szCs w:val="24"/>
        </w:rPr>
      </w:pPr>
      <w:r>
        <w:rPr>
          <w:rStyle w:val="1034"/>
          <w:rFonts w:hint="eastAsia"/>
          <w:sz w:val="24"/>
          <w:szCs w:val="24"/>
          <w:lang w:val="zh-TW"/>
        </w:rPr>
        <w:t>6.4展柜内灯光</w:t>
      </w:r>
      <w:r>
        <w:rPr>
          <w:rFonts w:hint="eastAsia"/>
          <w:bCs/>
          <w:sz w:val="24"/>
          <w:szCs w:val="24"/>
        </w:rPr>
        <w:t>应符合博物馆藏品保存环境光照水平标准。预留灯光、电源接口，以便增加扩展照明；灯具应与展品陈列相隔离，维修更换无需开启展柜。</w:t>
      </w:r>
    </w:p>
    <w:p>
      <w:pPr>
        <w:spacing w:line="360" w:lineRule="auto"/>
        <w:ind w:firstLine="482" w:firstLineChars="200"/>
        <w:rPr>
          <w:b/>
          <w:bCs/>
          <w:sz w:val="24"/>
        </w:rPr>
      </w:pPr>
      <w:r>
        <w:rPr>
          <w:rFonts w:hint="eastAsia"/>
          <w:b/>
          <w:bCs/>
          <w:sz w:val="24"/>
        </w:rPr>
        <w:t>7、安防技防要求</w:t>
      </w:r>
    </w:p>
    <w:p>
      <w:pPr>
        <w:spacing w:line="360" w:lineRule="auto"/>
        <w:ind w:firstLine="480" w:firstLineChars="200"/>
        <w:rPr>
          <w:sz w:val="24"/>
        </w:rPr>
      </w:pPr>
      <w:r>
        <w:rPr>
          <w:rFonts w:hint="eastAsia"/>
          <w:sz w:val="24"/>
        </w:rPr>
        <w:t>展厅内根据展陈设计方案及相关规定出具安防技防方案，方案需经相关部门审批通过后实施。</w:t>
      </w:r>
    </w:p>
    <w:p>
      <w:pPr>
        <w:spacing w:line="360" w:lineRule="auto"/>
        <w:ind w:firstLine="482" w:firstLineChars="200"/>
        <w:rPr>
          <w:b/>
          <w:bCs/>
          <w:sz w:val="24"/>
        </w:rPr>
      </w:pPr>
      <w:r>
        <w:rPr>
          <w:rFonts w:hint="eastAsia"/>
          <w:b/>
          <w:bCs/>
          <w:sz w:val="24"/>
        </w:rPr>
        <w:t>8、声学环境设计</w:t>
      </w:r>
    </w:p>
    <w:p>
      <w:pPr>
        <w:spacing w:line="360" w:lineRule="auto"/>
        <w:ind w:firstLine="480" w:firstLineChars="200"/>
        <w:rPr>
          <w:rFonts w:ascii="Calibri" w:hAnsi="Calibri" w:cs="黑体"/>
          <w:sz w:val="24"/>
        </w:rPr>
      </w:pPr>
      <w:r>
        <w:rPr>
          <w:rFonts w:hint="eastAsia" w:ascii="Calibri" w:hAnsi="Calibri" w:cs="黑体"/>
          <w:sz w:val="24"/>
        </w:rPr>
        <w:t>展陈设计时应充分考虑声学环境设计，在展陈设计时应对其进行单项说明。其设计要满足JGJ2055-2015&lt;&lt;博物馆建筑设计规范&gt;&gt;中声学专章规定，展厅内允许噪声级应符合表9.0.5的规定。各房间围护结构的空气声学隔标准和撞击声标准应符合表9.0.6的规定。混响时间符合表9.0.8的规定，同时应避免产生声聚焦、回声、颤动回声等声学缺陷。声学环境设计方案需经业主方确认后实施。</w:t>
      </w:r>
    </w:p>
    <w:p>
      <w:pPr>
        <w:spacing w:line="360" w:lineRule="auto"/>
        <w:ind w:firstLine="562" w:firstLineChars="200"/>
        <w:rPr>
          <w:rFonts w:hint="eastAsia" w:ascii="仿宋" w:hAnsi="仿宋" w:eastAsia="仿宋" w:cs="仿宋"/>
          <w:color w:val="000000"/>
          <w:sz w:val="28"/>
          <w:szCs w:val="28"/>
        </w:rPr>
      </w:pPr>
      <w:r>
        <w:rPr>
          <w:rFonts w:hint="eastAsia" w:ascii="仿宋" w:hAnsi="仿宋" w:eastAsia="仿宋" w:cs="仿宋"/>
          <w:b/>
          <w:bCs/>
          <w:sz w:val="28"/>
          <w:szCs w:val="28"/>
        </w:rPr>
        <w:t>四、</w:t>
      </w:r>
      <w:r>
        <w:rPr>
          <w:rFonts w:hint="eastAsia" w:ascii="仿宋" w:hAnsi="仿宋" w:eastAsia="仿宋" w:cs="仿宋"/>
          <w:b/>
          <w:bCs/>
          <w:color w:val="000000"/>
          <w:sz w:val="28"/>
          <w:szCs w:val="28"/>
        </w:rPr>
        <w:t>投标人需提交投标设计方案的具体内容和需求，包括但不限于:</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1、设计文件必须包括：</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1.1展览总平面图、各展厅分平面图、参观流线图</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1.2 空间轴侧图、展厅全景透视图</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1.3 展览设备造型图（包括展柜、壁龛、展台、展墙等）</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1.4典型展品组合效果图（包括序厅、各单元重点和亮点、专题陈列）</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1.5导视系统和弱电智能化</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cs="仿宋"/>
          <w:color w:val="000000"/>
          <w:sz w:val="24"/>
          <w:lang w:val="en-US" w:eastAsia="zh-CN"/>
        </w:rPr>
        <w:t>6</w:t>
      </w:r>
      <w:r>
        <w:rPr>
          <w:rFonts w:hint="eastAsia" w:ascii="仿宋" w:hAnsi="仿宋" w:eastAsia="仿宋" w:cs="仿宋"/>
          <w:color w:val="000000"/>
          <w:sz w:val="24"/>
        </w:rPr>
        <w:t xml:space="preserve"> 完整施工图（平面、立面图、暖通图、水电、强弱电图、节点图、大样图）</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cs="仿宋"/>
          <w:color w:val="000000"/>
          <w:sz w:val="24"/>
          <w:lang w:val="en-US" w:eastAsia="zh-CN"/>
        </w:rPr>
        <w:t>7</w:t>
      </w:r>
      <w:r>
        <w:rPr>
          <w:rFonts w:hint="eastAsia" w:ascii="仿宋" w:hAnsi="仿宋" w:eastAsia="仿宋" w:cs="仿宋"/>
          <w:color w:val="000000"/>
          <w:sz w:val="24"/>
        </w:rPr>
        <w:t xml:space="preserve"> 材料表。</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各设计单位必须提供包括但不限于以上设计内容。</w:t>
      </w:r>
    </w:p>
    <w:p>
      <w:pPr>
        <w:spacing w:beforeLines="10"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2、以提供的非遗目录对陈列大纲文本进行深化</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2.1对招标人提供的陈列大纲非遗目录为基础进行优化拓展编制的合理性；</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2.2对文本架构的解读、梳理与提炼，新资料或内容的完善，表达思路的准确性等；</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2.3功能规划逻辑清晰，构思巧妙，重点亮点突出，具有传播力度；</w:t>
      </w:r>
    </w:p>
    <w:p>
      <w:pPr>
        <w:spacing w:beforeLines="1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2.4各主题表达需严格对应本馆特性，理念具备先进性、新颖性、独创性；</w:t>
      </w:r>
    </w:p>
    <w:p>
      <w:pPr>
        <w:spacing w:line="360" w:lineRule="auto"/>
        <w:ind w:firstLine="562" w:firstLineChars="200"/>
        <w:rPr>
          <w:rFonts w:ascii="宋体" w:hAnsi="宋体" w:cs="宋体"/>
          <w:b/>
          <w:sz w:val="28"/>
          <w:szCs w:val="28"/>
        </w:rPr>
      </w:pPr>
      <w:r>
        <w:rPr>
          <w:rFonts w:hint="eastAsia" w:ascii="宋体" w:hAnsi="宋体" w:cs="宋体"/>
          <w:b/>
          <w:sz w:val="28"/>
          <w:szCs w:val="28"/>
        </w:rPr>
        <w:t>五、项目投标报价特别提醒：</w:t>
      </w:r>
    </w:p>
    <w:p>
      <w:pPr>
        <w:spacing w:line="360" w:lineRule="auto"/>
        <w:ind w:firstLine="480" w:firstLineChars="200"/>
        <w:rPr>
          <w:rFonts w:ascii="宋体" w:hAnsi="宋体" w:cs="宋体"/>
          <w:sz w:val="24"/>
        </w:rPr>
      </w:pPr>
      <w:r>
        <w:rPr>
          <w:rFonts w:hint="eastAsia" w:ascii="宋体" w:hAnsi="宋体" w:cs="宋体"/>
          <w:sz w:val="24"/>
        </w:rPr>
        <w:t>1、投标响应供应商在投标报价时,必须充分考虑下列因素</w:t>
      </w:r>
      <w:r>
        <w:rPr>
          <w:rFonts w:hint="eastAsia" w:hAnsi="宋体" w:cs="宋体"/>
          <w:sz w:val="24"/>
        </w:rPr>
        <w:t>：</w:t>
      </w:r>
    </w:p>
    <w:p>
      <w:pPr>
        <w:pStyle w:val="1037"/>
        <w:spacing w:line="360" w:lineRule="auto"/>
        <w:ind w:left="0" w:leftChars="0" w:firstLine="480" w:firstLineChars="200"/>
        <w:rPr>
          <w:rFonts w:ascii="宋体" w:hAnsi="宋体"/>
          <w:sz w:val="24"/>
        </w:rPr>
      </w:pPr>
      <w:r>
        <w:rPr>
          <w:rFonts w:hint="eastAsia" w:ascii="宋体" w:hAnsi="宋体"/>
          <w:sz w:val="24"/>
        </w:rPr>
        <w:t xml:space="preserve">1.1招标范围内的效果图、平面图深化和施工（制作）图设计； </w:t>
      </w:r>
    </w:p>
    <w:p>
      <w:pPr>
        <w:pStyle w:val="1037"/>
        <w:spacing w:line="360" w:lineRule="auto"/>
        <w:ind w:left="0" w:leftChars="0" w:firstLine="480" w:firstLineChars="200"/>
        <w:rPr>
          <w:rFonts w:ascii="宋体" w:hAnsi="宋体"/>
          <w:sz w:val="24"/>
        </w:rPr>
      </w:pPr>
      <w:r>
        <w:rPr>
          <w:rFonts w:hint="eastAsia" w:ascii="宋体" w:hAnsi="宋体"/>
          <w:sz w:val="24"/>
        </w:rPr>
        <w:t>1.2布展设计范围内展品展项研发制作、采购、安装、调试、整个展厅环境制作等所有费用。所提供的展品展项，需具备完整的展示功能。展品展项中涉及的主要设备材料，各投标响应供应商须按中高档的用材标准进行设计并报价，其中装饰材料要求采用在行业内有一定知名度的品牌，材料生产厂家必须符合环保要求。如果成交供应商的材料用材标准不符合采购人或使用要求的，成交供应商须根据采购人要求进行更换，价格不予以调整。</w:t>
      </w:r>
    </w:p>
    <w:p>
      <w:pPr>
        <w:pStyle w:val="1037"/>
        <w:spacing w:line="360" w:lineRule="auto"/>
        <w:ind w:left="0" w:leftChars="0" w:firstLine="480" w:firstLineChars="200"/>
        <w:rPr>
          <w:rFonts w:ascii="宋体" w:hAnsi="宋体"/>
          <w:sz w:val="24"/>
        </w:rPr>
      </w:pPr>
      <w:r>
        <w:rPr>
          <w:rFonts w:hint="eastAsia" w:ascii="宋体" w:hAnsi="宋体"/>
          <w:sz w:val="24"/>
        </w:rPr>
        <w:t>1.3投标报价是招标文件所确定的招标范围内全部工作内容的价格表现，包括施工设备、劳务、管理、材料、安装、调试、维护、展区深化设计、施工（制作）图设计、设计的修改和确认、设计交流、展品展项的研发制作、制作及布展、垃圾清扫和搬运。</w:t>
      </w:r>
    </w:p>
    <w:p>
      <w:pPr>
        <w:pStyle w:val="1037"/>
        <w:spacing w:line="360" w:lineRule="auto"/>
        <w:ind w:left="0" w:leftChars="0" w:firstLine="480" w:firstLineChars="200"/>
        <w:rPr>
          <w:rFonts w:ascii="宋体" w:hAnsi="宋体"/>
          <w:sz w:val="24"/>
        </w:rPr>
      </w:pPr>
      <w:r>
        <w:rPr>
          <w:rFonts w:hint="eastAsia" w:ascii="宋体" w:hAnsi="宋体"/>
          <w:sz w:val="24"/>
        </w:rPr>
        <w:t xml:space="preserve">1.4任何因对本招标文件理解不清、产生歧义等由此产生的费用，视作已含在投标总报价中。 </w:t>
      </w:r>
    </w:p>
    <w:p>
      <w:pPr>
        <w:spacing w:line="360" w:lineRule="auto"/>
        <w:ind w:firstLine="562" w:firstLineChars="200"/>
        <w:rPr>
          <w:rFonts w:ascii="宋体" w:hAnsi="宋体" w:cs="宋体"/>
          <w:b/>
          <w:sz w:val="28"/>
          <w:szCs w:val="28"/>
        </w:rPr>
      </w:pPr>
      <w:r>
        <w:rPr>
          <w:rFonts w:hint="eastAsia" w:ascii="宋体" w:hAnsi="宋体" w:cs="宋体"/>
          <w:b/>
          <w:sz w:val="28"/>
          <w:szCs w:val="28"/>
        </w:rPr>
        <w:t>六、项目布展实施要求</w:t>
      </w:r>
    </w:p>
    <w:p>
      <w:pPr>
        <w:spacing w:line="360" w:lineRule="auto"/>
        <w:ind w:firstLine="480" w:firstLineChars="200"/>
        <w:rPr>
          <w:rFonts w:ascii="宋体" w:hAnsi="宋体" w:cs="宋体"/>
          <w:sz w:val="24"/>
        </w:rPr>
      </w:pPr>
      <w:r>
        <w:rPr>
          <w:rFonts w:hint="eastAsia" w:ascii="宋体" w:hAnsi="宋体" w:cs="宋体"/>
          <w:sz w:val="24"/>
        </w:rPr>
        <w:t>1、本项目施工质量要求一次性验收合格，达到国内一流水平。</w:t>
      </w:r>
    </w:p>
    <w:p>
      <w:pPr>
        <w:spacing w:line="360" w:lineRule="auto"/>
        <w:ind w:firstLine="480" w:firstLineChars="200"/>
        <w:rPr>
          <w:rFonts w:ascii="宋体" w:hAnsi="宋体" w:cs="宋体"/>
          <w:sz w:val="24"/>
        </w:rPr>
      </w:pPr>
      <w:r>
        <w:rPr>
          <w:rFonts w:hint="eastAsia" w:ascii="宋体" w:hAnsi="宋体" w:cs="宋体"/>
          <w:sz w:val="24"/>
        </w:rPr>
        <w:t>2、中标人施工完成的效果必须达到招标文件和深化设计图纸会审要求，如不能达到，在招标人允许的一定时间内进行修改、完善，使其达到对展示效果的承诺，所涉及的费用由中标人承担。</w:t>
      </w:r>
    </w:p>
    <w:p>
      <w:pPr>
        <w:spacing w:line="360" w:lineRule="auto"/>
        <w:ind w:firstLine="480" w:firstLineChars="200"/>
        <w:rPr>
          <w:rFonts w:ascii="宋体" w:hAnsi="宋体" w:cs="宋体"/>
          <w:sz w:val="24"/>
        </w:rPr>
      </w:pPr>
      <w:r>
        <w:rPr>
          <w:rFonts w:hint="eastAsia" w:ascii="宋体" w:hAnsi="宋体" w:cs="宋体"/>
          <w:sz w:val="24"/>
        </w:rPr>
        <w:t>3、模型制作要求形象逼真。</w:t>
      </w:r>
    </w:p>
    <w:p>
      <w:pPr>
        <w:spacing w:line="360" w:lineRule="auto"/>
        <w:ind w:firstLine="480" w:firstLineChars="200"/>
        <w:rPr>
          <w:rFonts w:ascii="宋体" w:hAnsi="宋体" w:cs="宋体"/>
          <w:sz w:val="24"/>
        </w:rPr>
      </w:pPr>
      <w:r>
        <w:rPr>
          <w:rFonts w:hint="eastAsia" w:ascii="宋体" w:hAnsi="宋体" w:cs="宋体"/>
          <w:sz w:val="24"/>
        </w:rPr>
        <w:t>4、隐蔽工程经招标人验收合格后方可进入下道工序施工。</w:t>
      </w:r>
    </w:p>
    <w:p>
      <w:pPr>
        <w:spacing w:line="360" w:lineRule="auto"/>
        <w:ind w:firstLine="480" w:firstLineChars="200"/>
        <w:rPr>
          <w:rFonts w:hint="eastAsia" w:ascii="宋体" w:hAnsi="宋体" w:cs="宋体"/>
          <w:sz w:val="24"/>
        </w:rPr>
      </w:pPr>
      <w:r>
        <w:rPr>
          <w:rFonts w:hint="eastAsia" w:ascii="宋体" w:hAnsi="宋体" w:cs="宋体"/>
          <w:sz w:val="24"/>
        </w:rPr>
        <w:t>5、布展施工应符合国家相关规定进行施工。</w:t>
      </w:r>
    </w:p>
    <w:p>
      <w:pPr>
        <w:spacing w:line="360" w:lineRule="auto"/>
        <w:ind w:firstLine="562" w:firstLineChars="200"/>
        <w:rPr>
          <w:rFonts w:ascii="宋体" w:hAnsi="宋体" w:cs="宋体"/>
          <w:b/>
          <w:sz w:val="28"/>
          <w:szCs w:val="28"/>
        </w:rPr>
      </w:pPr>
      <w:r>
        <w:rPr>
          <w:rFonts w:hint="eastAsia" w:ascii="宋体" w:hAnsi="宋体" w:cs="宋体"/>
          <w:b/>
          <w:sz w:val="28"/>
          <w:szCs w:val="28"/>
        </w:rPr>
        <w:t>七、布展施工材料供应</w:t>
      </w:r>
    </w:p>
    <w:p>
      <w:pPr>
        <w:numPr>
          <w:ilvl w:val="0"/>
          <w:numId w:val="0"/>
        </w:numPr>
        <w:tabs>
          <w:tab w:val="left" w:pos="753"/>
        </w:tabs>
        <w:spacing w:line="360" w:lineRule="auto"/>
        <w:ind w:firstLine="480" w:firstLineChars="200"/>
        <w:rPr>
          <w:rFonts w:hint="eastAsia" w:ascii="仿宋" w:hAnsi="仿宋" w:eastAsia="仿宋" w:cs="仿宋"/>
          <w:color w:val="000000"/>
          <w:sz w:val="24"/>
        </w:rPr>
      </w:pPr>
      <w:r>
        <w:rPr>
          <w:rFonts w:hint="eastAsia" w:cs="仿宋"/>
          <w:color w:val="000000"/>
          <w:sz w:val="24"/>
          <w:lang w:val="en-US" w:eastAsia="zh-CN"/>
        </w:rPr>
        <w:t>1、</w:t>
      </w:r>
      <w:r>
        <w:rPr>
          <w:rFonts w:hint="eastAsia" w:ascii="仿宋" w:hAnsi="仿宋" w:eastAsia="仿宋" w:cs="仿宋"/>
          <w:color w:val="000000"/>
          <w:sz w:val="24"/>
        </w:rPr>
        <w:t>本次招标范围内的施工材料均由中标人根据本招标文件、深化设计图纸和国家有关规定的具体要求进行采购、运输、检验、保管。所有材料须有产品合格证和质量保证书，符合节能、环保要求和国家规定的技术标准。</w:t>
      </w:r>
    </w:p>
    <w:p>
      <w:pPr>
        <w:numPr>
          <w:ilvl w:val="0"/>
          <w:numId w:val="0"/>
        </w:numPr>
        <w:tabs>
          <w:tab w:val="left" w:pos="753"/>
        </w:tabs>
        <w:spacing w:line="360" w:lineRule="auto"/>
        <w:ind w:firstLine="480" w:firstLineChars="200"/>
        <w:rPr>
          <w:rFonts w:hint="eastAsia" w:ascii="仿宋" w:hAnsi="仿宋" w:eastAsia="仿宋" w:cs="仿宋"/>
          <w:color w:val="000000"/>
          <w:sz w:val="24"/>
        </w:rPr>
      </w:pPr>
      <w:r>
        <w:rPr>
          <w:rFonts w:hint="eastAsia" w:cs="仿宋"/>
          <w:color w:val="000000"/>
          <w:sz w:val="24"/>
          <w:lang w:val="en-US" w:eastAsia="zh-CN"/>
        </w:rPr>
        <w:t>2、</w:t>
      </w:r>
      <w:r>
        <w:rPr>
          <w:rFonts w:hint="eastAsia" w:ascii="仿宋" w:hAnsi="仿宋" w:eastAsia="仿宋" w:cs="仿宋"/>
          <w:color w:val="000000"/>
          <w:sz w:val="24"/>
        </w:rPr>
        <w:t>本次招标项目的主要施工材料，中标人应在采购前向业主送样或经业主签证确认，未经签证业主将不予支付。</w:t>
      </w:r>
    </w:p>
    <w:p>
      <w:pPr>
        <w:numPr>
          <w:ilvl w:val="0"/>
          <w:numId w:val="0"/>
        </w:numPr>
        <w:tabs>
          <w:tab w:val="left" w:pos="753"/>
        </w:tabs>
        <w:spacing w:line="360" w:lineRule="auto"/>
        <w:ind w:firstLine="480" w:firstLineChars="200"/>
        <w:rPr>
          <w:rFonts w:hint="eastAsia" w:ascii="仿宋" w:hAnsi="仿宋" w:eastAsia="仿宋" w:cs="仿宋"/>
          <w:color w:val="000000"/>
          <w:sz w:val="24"/>
        </w:rPr>
      </w:pPr>
      <w:r>
        <w:rPr>
          <w:rFonts w:hint="eastAsia" w:cs="仿宋"/>
          <w:color w:val="000000"/>
          <w:sz w:val="24"/>
          <w:lang w:val="en-US" w:eastAsia="zh-CN"/>
        </w:rPr>
        <w:t>3、</w:t>
      </w:r>
      <w:r>
        <w:rPr>
          <w:rFonts w:hint="eastAsia" w:ascii="仿宋" w:hAnsi="仿宋" w:eastAsia="仿宋" w:cs="仿宋"/>
          <w:color w:val="000000"/>
          <w:sz w:val="24"/>
        </w:rPr>
        <w:t>招标人提供的展品标本一旦移交至中标人，中标人需承担起相关的保管责任，并按招标人的要求分门别类地进行保管。</w:t>
      </w:r>
    </w:p>
    <w:p>
      <w:pPr>
        <w:numPr>
          <w:ilvl w:val="0"/>
          <w:numId w:val="0"/>
        </w:numPr>
        <w:tabs>
          <w:tab w:val="left" w:pos="753"/>
        </w:tabs>
        <w:spacing w:line="360" w:lineRule="auto"/>
        <w:ind w:firstLine="482" w:firstLineChars="200"/>
        <w:rPr>
          <w:rFonts w:hint="eastAsia" w:ascii="仿宋" w:hAnsi="仿宋" w:eastAsia="仿宋" w:cs="仿宋"/>
        </w:rPr>
      </w:pPr>
      <w:r>
        <w:rPr>
          <w:rFonts w:hint="eastAsia" w:cs="仿宋"/>
          <w:b/>
          <w:bCs/>
          <w:color w:val="000000"/>
          <w:sz w:val="24"/>
          <w:lang w:val="en-US" w:eastAsia="zh-CN"/>
        </w:rPr>
        <w:t>4、</w:t>
      </w:r>
      <w:r>
        <w:rPr>
          <w:rFonts w:hint="eastAsia" w:ascii="仿宋" w:hAnsi="仿宋" w:eastAsia="仿宋" w:cs="仿宋"/>
          <w:b/>
          <w:bCs/>
          <w:color w:val="000000"/>
          <w:sz w:val="24"/>
        </w:rPr>
        <w:t>主要材料参考品牌：</w:t>
      </w:r>
    </w:p>
    <w:p>
      <w:pPr>
        <w:tabs>
          <w:tab w:val="left" w:pos="753"/>
        </w:tabs>
        <w:spacing w:line="360" w:lineRule="auto"/>
        <w:ind w:left="420"/>
        <w:rPr>
          <w:rFonts w:hint="eastAsia" w:ascii="仿宋" w:hAnsi="仿宋" w:eastAsia="仿宋" w:cs="仿宋"/>
          <w:b/>
          <w:bCs/>
          <w:color w:val="000000"/>
          <w:sz w:val="24"/>
        </w:rPr>
      </w:pPr>
      <w:r>
        <w:rPr>
          <w:rFonts w:hint="eastAsia" w:ascii="仿宋" w:hAnsi="仿宋" w:eastAsia="仿宋" w:cs="仿宋"/>
          <w:b/>
          <w:bCs/>
          <w:color w:val="000000"/>
          <w:sz w:val="24"/>
        </w:rPr>
        <w:t>4.1装修材料</w:t>
      </w:r>
      <w:r>
        <w:rPr>
          <w:rFonts w:hint="eastAsia" w:cs="仿宋"/>
          <w:b/>
          <w:bCs/>
          <w:color w:val="000000"/>
          <w:sz w:val="24"/>
          <w:highlight w:val="none"/>
          <w:lang w:eastAsia="zh-CN"/>
        </w:rPr>
        <w:t>参考</w:t>
      </w:r>
      <w:r>
        <w:rPr>
          <w:rFonts w:hint="eastAsia" w:ascii="仿宋" w:hAnsi="仿宋" w:eastAsia="仿宋" w:cs="仿宋"/>
          <w:b/>
          <w:bCs/>
          <w:color w:val="000000"/>
          <w:sz w:val="24"/>
        </w:rPr>
        <w:t>品牌表</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68"/>
        <w:gridCol w:w="2988"/>
        <w:gridCol w:w="3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0" w:type="pct"/>
            <w:noWrap/>
            <w:vAlign w:val="center"/>
          </w:tcPr>
          <w:p>
            <w:pPr>
              <w:widowControl/>
              <w:jc w:val="center"/>
              <w:textAlignment w:val="center"/>
              <w:rPr>
                <w:rFonts w:ascii="仿宋" w:hAnsi="仿宋" w:eastAsia="仿宋" w:cs="仿宋"/>
                <w:b/>
                <w:bCs/>
                <w:szCs w:val="22"/>
              </w:rPr>
            </w:pPr>
            <w:r>
              <w:rPr>
                <w:rFonts w:hint="eastAsia" w:ascii="仿宋" w:hAnsi="仿宋" w:eastAsia="仿宋" w:cs="仿宋"/>
                <w:b/>
                <w:bCs/>
                <w:kern w:val="0"/>
              </w:rPr>
              <w:t>序号</w:t>
            </w:r>
          </w:p>
        </w:tc>
        <w:tc>
          <w:tcPr>
            <w:tcW w:w="914" w:type="pct"/>
            <w:noWrap/>
            <w:vAlign w:val="center"/>
          </w:tcPr>
          <w:p>
            <w:pPr>
              <w:widowControl/>
              <w:jc w:val="center"/>
              <w:textAlignment w:val="center"/>
              <w:rPr>
                <w:rFonts w:ascii="仿宋" w:hAnsi="仿宋" w:eastAsia="仿宋" w:cs="仿宋"/>
                <w:b/>
                <w:bCs/>
                <w:szCs w:val="22"/>
              </w:rPr>
            </w:pPr>
            <w:r>
              <w:rPr>
                <w:rFonts w:hint="eastAsia" w:ascii="仿宋" w:hAnsi="仿宋" w:eastAsia="仿宋" w:cs="仿宋"/>
                <w:b/>
                <w:bCs/>
                <w:kern w:val="0"/>
              </w:rPr>
              <w:t>类型</w:t>
            </w:r>
          </w:p>
        </w:tc>
        <w:tc>
          <w:tcPr>
            <w:tcW w:w="1638" w:type="pct"/>
            <w:noWrap/>
            <w:vAlign w:val="center"/>
          </w:tcPr>
          <w:p>
            <w:pPr>
              <w:widowControl/>
              <w:jc w:val="center"/>
              <w:textAlignment w:val="center"/>
              <w:rPr>
                <w:rFonts w:hint="eastAsia" w:ascii="仿宋" w:hAnsi="仿宋" w:eastAsia="仿宋" w:cs="仿宋"/>
                <w:b/>
                <w:bCs/>
                <w:szCs w:val="22"/>
                <w:highlight w:val="none"/>
                <w:lang w:eastAsia="zh-CN"/>
              </w:rPr>
            </w:pPr>
            <w:r>
              <w:rPr>
                <w:rFonts w:hint="eastAsia" w:cs="仿宋"/>
                <w:b/>
                <w:bCs/>
                <w:kern w:val="0"/>
                <w:highlight w:val="none"/>
                <w:lang w:eastAsia="zh-CN"/>
              </w:rPr>
              <w:t>参考品牌或相当于</w:t>
            </w:r>
          </w:p>
        </w:tc>
        <w:tc>
          <w:tcPr>
            <w:tcW w:w="2035" w:type="pct"/>
            <w:noWrap/>
            <w:vAlign w:val="center"/>
          </w:tcPr>
          <w:p>
            <w:pPr>
              <w:widowControl/>
              <w:jc w:val="center"/>
              <w:textAlignment w:val="center"/>
              <w:rPr>
                <w:rFonts w:ascii="仿宋" w:hAnsi="仿宋" w:eastAsia="仿宋" w:cs="仿宋"/>
                <w:b/>
                <w:bCs/>
                <w:szCs w:val="22"/>
                <w:highlight w:val="none"/>
              </w:rPr>
            </w:pPr>
            <w:r>
              <w:rPr>
                <w:rFonts w:hint="eastAsia" w:cs="仿宋"/>
                <w:b/>
                <w:bCs/>
                <w:kern w:val="0"/>
                <w:highlight w:val="none"/>
                <w:lang w:eastAsia="zh-CN"/>
              </w:rPr>
              <w:t>技术</w:t>
            </w:r>
            <w:r>
              <w:rPr>
                <w:rFonts w:hint="eastAsia" w:ascii="仿宋" w:hAnsi="仿宋" w:eastAsia="仿宋" w:cs="仿宋"/>
                <w:b/>
                <w:bCs/>
                <w:kern w:val="0"/>
                <w:highlight w: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1</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轻钢骨架</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拉法基、可耐福、龙牌</w:t>
            </w:r>
          </w:p>
        </w:tc>
        <w:tc>
          <w:tcPr>
            <w:tcW w:w="2035"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国标厚度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2</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 xml:space="preserve">石膏板 </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拉法基、可耐福、龙牌</w:t>
            </w:r>
          </w:p>
        </w:tc>
        <w:tc>
          <w:tcPr>
            <w:tcW w:w="2035"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2400*1200-9.5、12厚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3</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阻燃板</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千年舟、兔宝宝、莫干山</w:t>
            </w:r>
          </w:p>
        </w:tc>
        <w:tc>
          <w:tcPr>
            <w:tcW w:w="2035"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2400*1200-9、12、15等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5</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木地板</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圣象、大自然、世友</w:t>
            </w:r>
          </w:p>
        </w:tc>
        <w:tc>
          <w:tcPr>
            <w:tcW w:w="2035"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1200*120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6</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乳胶漆</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立邦、多乐士、三棵树</w:t>
            </w:r>
          </w:p>
        </w:tc>
        <w:tc>
          <w:tcPr>
            <w:tcW w:w="2035"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7</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普通灯具</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雷士、飞利浦、欧普</w:t>
            </w:r>
          </w:p>
        </w:tc>
        <w:tc>
          <w:tcPr>
            <w:tcW w:w="2035" w:type="pct"/>
            <w:noWrap/>
            <w:vAlign w:val="center"/>
          </w:tcPr>
          <w:p>
            <w:pPr>
              <w:jc w:val="center"/>
              <w:rPr>
                <w:rFonts w:ascii="仿宋" w:hAnsi="仿宋" w:eastAsia="仿宋" w:cs="仿宋"/>
                <w:szCs w:val="22"/>
              </w:rPr>
            </w:pPr>
            <w:r>
              <w:rPr>
                <w:rFonts w:hint="eastAsia" w:ascii="仿宋" w:hAnsi="仿宋" w:eastAsia="仿宋" w:cs="仿宋"/>
              </w:rPr>
              <w:t>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8</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电缆及电线</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中策、万马、晨光</w:t>
            </w:r>
          </w:p>
        </w:tc>
        <w:tc>
          <w:tcPr>
            <w:tcW w:w="2035" w:type="pct"/>
            <w:noWrap/>
            <w:vAlign w:val="center"/>
          </w:tcPr>
          <w:p>
            <w:pPr>
              <w:jc w:val="center"/>
              <w:rPr>
                <w:rFonts w:ascii="仿宋" w:hAnsi="仿宋" w:eastAsia="仿宋" w:cs="仿宋"/>
                <w:szCs w:val="22"/>
              </w:rPr>
            </w:pPr>
            <w:r>
              <w:rPr>
                <w:rFonts w:hint="eastAsia" w:ascii="仿宋" w:hAnsi="仿宋" w:eastAsia="仿宋" w:cs="仿宋"/>
              </w:rPr>
              <w:t>根据实际情况确定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9</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配电箱箱体</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正泰、天安、德力西</w:t>
            </w:r>
          </w:p>
        </w:tc>
        <w:tc>
          <w:tcPr>
            <w:tcW w:w="2035"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元器件（如断路器等）采用：施耐德、ABB、西门子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10</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桥架、导管</w:t>
            </w:r>
          </w:p>
        </w:tc>
        <w:tc>
          <w:tcPr>
            <w:tcW w:w="1638" w:type="pct"/>
            <w:noWrap/>
            <w:vAlign w:val="center"/>
          </w:tcPr>
          <w:p>
            <w:pPr>
              <w:widowControl/>
              <w:jc w:val="left"/>
              <w:textAlignment w:val="center"/>
              <w:rPr>
                <w:rFonts w:ascii="仿宋" w:hAnsi="仿宋" w:eastAsia="仿宋" w:cs="仿宋"/>
                <w:szCs w:val="22"/>
              </w:rPr>
            </w:pPr>
            <w:r>
              <w:rPr>
                <w:rFonts w:hint="eastAsia" w:ascii="仿宋" w:hAnsi="仿宋" w:eastAsia="仿宋" w:cs="仿宋"/>
                <w:kern w:val="0"/>
              </w:rPr>
              <w:t xml:space="preserve"> 扬中、中原、镇江</w:t>
            </w:r>
          </w:p>
        </w:tc>
        <w:tc>
          <w:tcPr>
            <w:tcW w:w="2035"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防火等级、厚度等参数满足国标及相关标准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0"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11</w:t>
            </w:r>
          </w:p>
        </w:tc>
        <w:tc>
          <w:tcPr>
            <w:tcW w:w="914" w:type="pct"/>
            <w:noWrap/>
            <w:vAlign w:val="center"/>
          </w:tcPr>
          <w:p>
            <w:pPr>
              <w:widowControl/>
              <w:jc w:val="center"/>
              <w:textAlignment w:val="center"/>
              <w:rPr>
                <w:rFonts w:ascii="仿宋" w:hAnsi="仿宋" w:eastAsia="仿宋" w:cs="仿宋"/>
                <w:szCs w:val="22"/>
              </w:rPr>
            </w:pPr>
            <w:r>
              <w:rPr>
                <w:rFonts w:hint="eastAsia" w:ascii="仿宋" w:hAnsi="仿宋" w:eastAsia="仿宋" w:cs="仿宋"/>
                <w:kern w:val="0"/>
              </w:rPr>
              <w:t>插座、地插、开关等</w:t>
            </w:r>
          </w:p>
        </w:tc>
        <w:tc>
          <w:tcPr>
            <w:tcW w:w="1638" w:type="pct"/>
            <w:noWrap/>
            <w:vAlign w:val="center"/>
          </w:tcPr>
          <w:p>
            <w:pPr>
              <w:widowControl/>
              <w:jc w:val="left"/>
              <w:textAlignment w:val="center"/>
              <w:rPr>
                <w:rFonts w:ascii="仿宋" w:hAnsi="仿宋" w:eastAsia="仿宋" w:cs="仿宋"/>
                <w:kern w:val="0"/>
                <w:szCs w:val="22"/>
              </w:rPr>
            </w:pPr>
            <w:r>
              <w:rPr>
                <w:rFonts w:hint="eastAsia" w:ascii="仿宋" w:hAnsi="仿宋" w:eastAsia="仿宋" w:cs="仿宋"/>
                <w:kern w:val="0"/>
              </w:rPr>
              <w:t xml:space="preserve"> 公牛G18、施耐德、西门子</w:t>
            </w:r>
          </w:p>
        </w:tc>
        <w:tc>
          <w:tcPr>
            <w:tcW w:w="2035" w:type="pct"/>
            <w:noWrap/>
            <w:vAlign w:val="center"/>
          </w:tcPr>
          <w:p>
            <w:pPr>
              <w:jc w:val="center"/>
              <w:rPr>
                <w:rFonts w:ascii="仿宋" w:hAnsi="仿宋" w:eastAsia="仿宋" w:cs="仿宋"/>
                <w:szCs w:val="22"/>
              </w:rPr>
            </w:pPr>
            <w:r>
              <w:rPr>
                <w:rFonts w:hint="eastAsia" w:ascii="仿宋" w:hAnsi="仿宋" w:eastAsia="仿宋" w:cs="仿宋"/>
              </w:rPr>
              <w:t>根据实际情况确定</w:t>
            </w:r>
          </w:p>
        </w:tc>
      </w:tr>
    </w:tbl>
    <w:p>
      <w:pPr>
        <w:pStyle w:val="3"/>
        <w:rPr>
          <w:rFonts w:ascii="仿宋" w:hAnsi="仿宋" w:eastAsia="仿宋" w:cs="仿宋"/>
          <w:b/>
          <w:bCs/>
          <w:color w:val="000000"/>
          <w:szCs w:val="24"/>
          <w:lang w:val="en-US"/>
        </w:rPr>
      </w:pPr>
      <w:r>
        <w:rPr>
          <w:rFonts w:hint="eastAsia" w:ascii="仿宋" w:hAnsi="仿宋" w:eastAsia="仿宋" w:cs="仿宋"/>
          <w:b/>
          <w:bCs/>
          <w:color w:val="000000"/>
          <w:szCs w:val="24"/>
          <w:lang w:val="en-US"/>
        </w:rPr>
        <w:t>4.2多媒体设备</w:t>
      </w:r>
      <w:r>
        <w:rPr>
          <w:rFonts w:hint="eastAsia" w:ascii="仿宋" w:hAnsi="仿宋" w:cs="仿宋"/>
          <w:b/>
          <w:bCs/>
          <w:color w:val="000000"/>
          <w:szCs w:val="24"/>
          <w:lang w:val="en-US" w:eastAsia="zh-CN"/>
        </w:rPr>
        <w:t>参考</w:t>
      </w:r>
      <w:r>
        <w:rPr>
          <w:rFonts w:hint="eastAsia" w:ascii="仿宋" w:hAnsi="仿宋" w:eastAsia="仿宋" w:cs="仿宋"/>
          <w:b/>
          <w:bCs/>
          <w:color w:val="000000"/>
          <w:szCs w:val="24"/>
          <w:lang w:val="en-US"/>
        </w:rPr>
        <w:t>品牌表</w:t>
      </w:r>
    </w:p>
    <w:tbl>
      <w:tblPr>
        <w:tblStyle w:val="89"/>
        <w:tblW w:w="4998" w:type="pct"/>
        <w:tblInd w:w="0" w:type="dxa"/>
        <w:tblLayout w:type="autofit"/>
        <w:tblCellMar>
          <w:top w:w="0" w:type="dxa"/>
          <w:left w:w="108" w:type="dxa"/>
          <w:bottom w:w="0" w:type="dxa"/>
          <w:right w:w="108" w:type="dxa"/>
        </w:tblCellMar>
      </w:tblPr>
      <w:tblGrid>
        <w:gridCol w:w="1199"/>
        <w:gridCol w:w="3703"/>
        <w:gridCol w:w="4210"/>
      </w:tblGrid>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序号</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项目</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highlight w:val="none"/>
              </w:rPr>
            </w:pPr>
            <w:r>
              <w:rPr>
                <w:rFonts w:hint="eastAsia" w:cs="仿宋"/>
                <w:b/>
                <w:bCs/>
                <w:kern w:val="0"/>
                <w:highlight w:val="none"/>
                <w:lang w:eastAsia="zh-CN"/>
              </w:rPr>
              <w:t>参考品牌或相当于</w:t>
            </w:r>
          </w:p>
        </w:tc>
      </w:tr>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highlight w:val="none"/>
              </w:rPr>
            </w:pPr>
            <w:r>
              <w:rPr>
                <w:rFonts w:hint="eastAsia" w:ascii="仿宋" w:hAnsi="仿宋" w:eastAsia="仿宋" w:cs="仿宋"/>
                <w:kern w:val="0"/>
                <w:highlight w:val="none"/>
              </w:rPr>
              <w:t>1</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highlight w:val="none"/>
              </w:rPr>
            </w:pPr>
            <w:r>
              <w:rPr>
                <w:rFonts w:hint="eastAsia" w:ascii="仿宋" w:hAnsi="仿宋" w:eastAsia="仿宋" w:cs="仿宋"/>
                <w:kern w:val="0"/>
                <w:highlight w:val="none"/>
              </w:rPr>
              <w:t>室内全彩LED P2.5含支架</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highlight w:val="none"/>
              </w:rPr>
            </w:pPr>
            <w:r>
              <w:rPr>
                <w:rFonts w:hint="eastAsia" w:ascii="仿宋" w:hAnsi="仿宋" w:eastAsia="仿宋" w:cs="仿宋"/>
                <w:kern w:val="0"/>
                <w:highlight w:val="none"/>
              </w:rPr>
              <w:t>强力巨彩/华逸阳/蓝普</w:t>
            </w:r>
          </w:p>
        </w:tc>
      </w:tr>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2</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室内全彩LED P2含支架</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强力巨彩/华逸阳/蓝普</w:t>
            </w:r>
          </w:p>
        </w:tc>
      </w:tr>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3</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触摸一体机</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晶科世界/锐彩/画王</w:t>
            </w:r>
          </w:p>
        </w:tc>
      </w:tr>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4</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液晶拼接单元</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京东方/LG/夏普</w:t>
            </w:r>
          </w:p>
        </w:tc>
      </w:tr>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5</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音响系统</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JBL/惠威/雅马哈</w:t>
            </w:r>
          </w:p>
        </w:tc>
      </w:tr>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6</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投影机</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APPOTRONICS /索诺克/松下</w:t>
            </w:r>
          </w:p>
        </w:tc>
      </w:tr>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7</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视频显示器</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晶科世界/锐彩/画王</w:t>
            </w:r>
          </w:p>
        </w:tc>
      </w:tr>
      <w:tr>
        <w:tblPrEx>
          <w:tblCellMar>
            <w:top w:w="0" w:type="dxa"/>
            <w:left w:w="108" w:type="dxa"/>
            <w:bottom w:w="0" w:type="dxa"/>
            <w:right w:w="108" w:type="dxa"/>
          </w:tblCellMar>
        </w:tblPrEx>
        <w:trPr>
          <w:trHeight w:val="238"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8</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交换机</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华三/华为/普联</w:t>
            </w:r>
          </w:p>
        </w:tc>
      </w:tr>
      <w:tr>
        <w:tblPrEx>
          <w:tblCellMar>
            <w:top w:w="0" w:type="dxa"/>
            <w:left w:w="108" w:type="dxa"/>
            <w:bottom w:w="0" w:type="dxa"/>
            <w:right w:w="108" w:type="dxa"/>
          </w:tblCellMar>
        </w:tblPrEx>
        <w:trPr>
          <w:trHeight w:val="241"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9</w:t>
            </w:r>
          </w:p>
        </w:tc>
        <w:tc>
          <w:tcPr>
            <w:tcW w:w="2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AP</w:t>
            </w:r>
          </w:p>
        </w:tc>
        <w:tc>
          <w:tcPr>
            <w:tcW w:w="23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rPr>
            </w:pPr>
            <w:r>
              <w:rPr>
                <w:rFonts w:hint="eastAsia" w:ascii="仿宋" w:hAnsi="仿宋" w:eastAsia="仿宋" w:cs="仿宋"/>
                <w:kern w:val="0"/>
              </w:rPr>
              <w:t>华三/华为/普联</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5、本项目中所有涉及软件开发、数据接口的，投标人必须免费开放数据接口，并承诺终生免费升级。</w:t>
      </w:r>
    </w:p>
    <w:p>
      <w:pPr>
        <w:spacing w:line="360" w:lineRule="auto"/>
        <w:ind w:firstLine="562" w:firstLineChars="200"/>
        <w:rPr>
          <w:rFonts w:hint="eastAsia" w:ascii="宋体" w:hAnsi="宋体" w:cs="宋体"/>
          <w:b/>
          <w:sz w:val="28"/>
          <w:szCs w:val="28"/>
          <w:lang w:eastAsia="zh-CN"/>
        </w:rPr>
      </w:pPr>
      <w:r>
        <w:rPr>
          <w:rFonts w:hint="eastAsia" w:ascii="宋体" w:hAnsi="宋体" w:cs="宋体"/>
          <w:b/>
          <w:sz w:val="28"/>
          <w:szCs w:val="28"/>
          <w:lang w:eastAsia="zh-CN"/>
        </w:rPr>
        <w:t>八、工期要求</w:t>
      </w:r>
    </w:p>
    <w:p>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本项目自合同签订之日起</w:t>
      </w:r>
      <w:r>
        <w:rPr>
          <w:rFonts w:hint="eastAsia" w:ascii="仿宋" w:hAnsi="仿宋" w:eastAsia="仿宋" w:cs="仿宋"/>
          <w:sz w:val="24"/>
          <w:highlight w:val="none"/>
          <w:lang w:val="en-US" w:eastAsia="zh-CN"/>
        </w:rPr>
        <w:t>1</w:t>
      </w:r>
      <w:r>
        <w:rPr>
          <w:rFonts w:hint="eastAsia" w:cs="仿宋"/>
          <w:sz w:val="24"/>
          <w:highlight w:val="none"/>
          <w:lang w:val="en-US" w:eastAsia="zh-CN"/>
        </w:rPr>
        <w:t>5</w:t>
      </w:r>
      <w:r>
        <w:rPr>
          <w:rFonts w:hint="eastAsia" w:ascii="仿宋" w:hAnsi="仿宋" w:eastAsia="仿宋" w:cs="仿宋"/>
          <w:sz w:val="24"/>
          <w:highlight w:val="none"/>
          <w:lang w:val="en-US" w:eastAsia="zh-CN"/>
        </w:rPr>
        <w:t>0天内完成设计布展施工。</w:t>
      </w:r>
    </w:p>
    <w:p>
      <w:pPr>
        <w:keepNext w:val="0"/>
        <w:keepLines w:val="0"/>
        <w:pageBreakBefore w:val="0"/>
        <w:widowControl w:val="0"/>
        <w:kinsoku/>
        <w:wordWrap/>
        <w:overflowPunct/>
        <w:topLinePunct w:val="0"/>
        <w:autoSpaceDE/>
        <w:autoSpaceDN/>
        <w:bidi w:val="0"/>
        <w:adjustRightInd/>
        <w:snapToGrid/>
        <w:spacing w:before="109" w:beforeLines="35" w:line="400" w:lineRule="exact"/>
        <w:ind w:firstLine="562" w:firstLineChars="200"/>
        <w:textAlignment w:val="auto"/>
        <w:outlineLvl w:val="1"/>
        <w:rPr>
          <w:rFonts w:hint="eastAsia" w:ascii="仿宋" w:hAnsi="仿宋" w:eastAsia="仿宋" w:cs="仿宋"/>
          <w:b/>
          <w:sz w:val="28"/>
          <w:szCs w:val="28"/>
          <w:highlight w:val="none"/>
        </w:rPr>
      </w:pPr>
      <w:r>
        <w:rPr>
          <w:rFonts w:hint="eastAsia" w:ascii="宋体" w:hAnsi="宋体" w:cs="宋体"/>
          <w:b/>
          <w:kern w:val="3"/>
          <w:sz w:val="28"/>
          <w:szCs w:val="28"/>
          <w:highlight w:val="none"/>
          <w:lang w:val="en-US" w:eastAsia="zh-CN" w:bidi="ar-SA"/>
        </w:rPr>
        <w:t>九、</w:t>
      </w:r>
      <w:r>
        <w:rPr>
          <w:rFonts w:hint="eastAsia" w:ascii="仿宋" w:hAnsi="仿宋" w:eastAsia="仿宋" w:cs="仿宋"/>
          <w:b/>
          <w:sz w:val="28"/>
          <w:szCs w:val="28"/>
          <w:highlight w:val="none"/>
        </w:rPr>
        <w:t>质量保证及售后服务</w:t>
      </w:r>
    </w:p>
    <w:p>
      <w:pPr>
        <w:spacing w:line="360" w:lineRule="auto"/>
        <w:ind w:firstLine="480" w:firstLineChars="200"/>
        <w:rPr>
          <w:rFonts w:hint="eastAsia" w:ascii="仿宋" w:hAnsi="仿宋" w:eastAsia="仿宋" w:cs="仿宋"/>
          <w:sz w:val="24"/>
          <w:szCs w:val="24"/>
        </w:rPr>
      </w:pPr>
      <w:r>
        <w:rPr>
          <w:rFonts w:hint="eastAsia" w:cs="仿宋"/>
          <w:sz w:val="24"/>
          <w:szCs w:val="24"/>
          <w:highlight w:val="none"/>
          <w:lang w:val="en-US" w:eastAsia="zh-CN"/>
        </w:rPr>
        <w:t>1、</w:t>
      </w:r>
      <w:r>
        <w:rPr>
          <w:rFonts w:hint="eastAsia" w:ascii="仿宋" w:hAnsi="仿宋" w:eastAsia="仿宋" w:cs="仿宋"/>
          <w:sz w:val="24"/>
          <w:szCs w:val="24"/>
          <w:highlight w:val="none"/>
        </w:rPr>
        <w:t>整体质保期为</w:t>
      </w:r>
      <w:r>
        <w:rPr>
          <w:rFonts w:hint="eastAsia" w:ascii="仿宋" w:hAnsi="仿宋" w:eastAsia="仿宋" w:cs="仿宋"/>
          <w:sz w:val="24"/>
          <w:szCs w:val="24"/>
          <w:highlight w:val="none"/>
          <w:u w:val="single"/>
        </w:rPr>
        <w:t xml:space="preserve"> 2</w:t>
      </w:r>
      <w:r>
        <w:rPr>
          <w:rFonts w:hint="eastAsia" w:ascii="仿宋" w:hAnsi="仿宋" w:eastAsia="仿宋" w:cs="仿宋"/>
          <w:sz w:val="24"/>
          <w:szCs w:val="24"/>
          <w:highlight w:val="none"/>
        </w:rPr>
        <w:t>年，其中设备产品跟随厂家提供正常保修期限。投</w:t>
      </w:r>
      <w:r>
        <w:rPr>
          <w:rFonts w:hint="eastAsia" w:ascii="仿宋" w:hAnsi="仿宋" w:eastAsia="仿宋" w:cs="仿宋"/>
          <w:sz w:val="24"/>
          <w:szCs w:val="24"/>
        </w:rPr>
        <w:t>标人在质保期内，如遇软件产品升级、改版等，应安排专业人员上门免费提供更新、升级服务。</w:t>
      </w:r>
    </w:p>
    <w:p>
      <w:pPr>
        <w:spacing w:line="360" w:lineRule="auto"/>
        <w:ind w:firstLine="480" w:firstLineChars="200"/>
        <w:rPr>
          <w:rFonts w:hint="eastAsia" w:ascii="仿宋" w:hAnsi="仿宋" w:eastAsia="仿宋" w:cs="仿宋"/>
          <w:sz w:val="24"/>
          <w:szCs w:val="24"/>
        </w:rPr>
      </w:pPr>
      <w:r>
        <w:rPr>
          <w:rFonts w:hint="eastAsia" w:cs="仿宋"/>
          <w:sz w:val="24"/>
          <w:szCs w:val="24"/>
          <w:lang w:val="en-US" w:eastAsia="zh-CN"/>
        </w:rPr>
        <w:t>2</w:t>
      </w:r>
      <w:r>
        <w:rPr>
          <w:rFonts w:hint="eastAsia" w:ascii="仿宋" w:hAnsi="仿宋" w:eastAsia="仿宋" w:cs="仿宋"/>
          <w:sz w:val="24"/>
          <w:szCs w:val="24"/>
        </w:rPr>
        <w:t>、投标人须保证所提供产品符合国家有关规定。投标人须保证所提供产品具有合法的版权或使用权，本项目采购的产品，如在本项目范围内使用过程中出现版权或使用权纠纷，应由投标人负责，采购人不承担责任。</w:t>
      </w:r>
    </w:p>
    <w:p>
      <w:pPr>
        <w:spacing w:line="360" w:lineRule="auto"/>
        <w:ind w:firstLine="480" w:firstLineChars="200"/>
        <w:rPr>
          <w:rFonts w:hint="eastAsia" w:ascii="仿宋" w:hAnsi="仿宋" w:eastAsia="仿宋" w:cs="仿宋"/>
          <w:sz w:val="24"/>
          <w:szCs w:val="24"/>
        </w:rPr>
      </w:pPr>
      <w:r>
        <w:rPr>
          <w:rFonts w:hint="eastAsia" w:cs="仿宋"/>
          <w:sz w:val="24"/>
          <w:szCs w:val="24"/>
          <w:lang w:val="en-US" w:eastAsia="zh-CN"/>
        </w:rPr>
        <w:t>3</w:t>
      </w:r>
      <w:r>
        <w:rPr>
          <w:rFonts w:hint="eastAsia" w:ascii="仿宋" w:hAnsi="仿宋" w:eastAsia="仿宋" w:cs="仿宋"/>
          <w:sz w:val="24"/>
          <w:szCs w:val="24"/>
        </w:rPr>
        <w:t>、投标人必须保证解决项目所涉及的技术问题，如因技术原因无法满足采购人需求，由此产生的风险由投标人承担。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备品备件：</w:t>
      </w:r>
      <w:r>
        <w:rPr>
          <w:rFonts w:hint="eastAsia" w:ascii="仿宋" w:hAnsi="仿宋" w:eastAsia="仿宋" w:cs="仿宋"/>
          <w:sz w:val="24"/>
          <w:szCs w:val="24"/>
        </w:rPr>
        <w:t>针对</w:t>
      </w:r>
      <w:r>
        <w:rPr>
          <w:rFonts w:hint="eastAsia" w:cs="仿宋"/>
          <w:sz w:val="24"/>
          <w:szCs w:val="24"/>
          <w:lang w:eastAsia="zh-CN"/>
        </w:rPr>
        <w:t>本项目</w:t>
      </w:r>
      <w:r>
        <w:rPr>
          <w:rFonts w:hint="eastAsia" w:ascii="仿宋" w:hAnsi="仿宋" w:eastAsia="仿宋" w:cs="仿宋"/>
          <w:sz w:val="24"/>
          <w:szCs w:val="24"/>
        </w:rPr>
        <w:t>设备的配备配件，可以由中标人自行考虑，前提是保证各个</w:t>
      </w:r>
      <w:r>
        <w:rPr>
          <w:rFonts w:hint="eastAsia" w:cs="仿宋"/>
          <w:sz w:val="24"/>
          <w:szCs w:val="24"/>
          <w:lang w:eastAsia="zh-CN"/>
        </w:rPr>
        <w:t>设备</w:t>
      </w:r>
      <w:r>
        <w:rPr>
          <w:rFonts w:hint="eastAsia" w:ascii="仿宋" w:hAnsi="仿宋" w:eastAsia="仿宋" w:cs="仿宋"/>
          <w:sz w:val="24"/>
          <w:szCs w:val="24"/>
        </w:rPr>
        <w:t>系统正常运行，同时保证8小时内解决问题。</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售后与运维:</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提供7×24小时的问题响应，及时解决问题；</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质保期内投标人应承诺出现问题，应在1小时内响应；2小时内到达现场；8小时内修复，如无法处理修复的，需提供备品备件；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售后与运维服务具备科学性、可操作性；</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、培训要求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技术培训及相关系统的基础培训，内容包括软硬件安装调试及初始化、使用等的基本操作培训。投标人须制定出详细完整的培训方案，包括培训的具体内容、培训方式（现场培训或集中培训）、人数、讲师、日程安排、资料、培训费等。应能使采购人相关人员独立操作、维护、管理，确保系统能正常安全运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培训内容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投标人应提供详细的培训方案必须包括：</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w:t>
      </w:r>
      <w:r>
        <w:rPr>
          <w:rFonts w:hint="eastAsia" w:ascii="仿宋" w:hAnsi="仿宋" w:eastAsia="仿宋" w:cs="仿宋"/>
          <w:sz w:val="24"/>
          <w:szCs w:val="24"/>
        </w:rPr>
        <w:t>1</w:t>
      </w:r>
      <w:r>
        <w:rPr>
          <w:rFonts w:hint="eastAsia" w:cs="仿宋"/>
          <w:sz w:val="24"/>
          <w:szCs w:val="24"/>
          <w:lang w:eastAsia="zh-CN"/>
        </w:rPr>
        <w:t>）</w:t>
      </w:r>
      <w:r>
        <w:rPr>
          <w:rFonts w:hint="eastAsia" w:ascii="仿宋" w:hAnsi="仿宋" w:eastAsia="仿宋" w:cs="仿宋"/>
          <w:sz w:val="24"/>
          <w:szCs w:val="24"/>
        </w:rPr>
        <w:t>提供理论及实操现场培训，保障用户人员了解并掌握系统软硬件的操作、应用及管理知识，直至采购单位人员能完全操作和维修；</w:t>
      </w:r>
    </w:p>
    <w:p>
      <w:pPr>
        <w:spacing w:line="360" w:lineRule="auto"/>
        <w:ind w:firstLine="480" w:firstLineChars="200"/>
        <w:rPr>
          <w:rFonts w:hint="eastAsia" w:ascii="仿宋" w:hAnsi="仿宋" w:eastAsia="仿宋" w:cs="仿宋"/>
          <w:sz w:val="24"/>
          <w:szCs w:val="24"/>
        </w:rPr>
      </w:pPr>
      <w:r>
        <w:rPr>
          <w:rFonts w:hint="eastAsia" w:cs="仿宋"/>
          <w:sz w:val="24"/>
          <w:szCs w:val="24"/>
          <w:lang w:eastAsia="zh-CN"/>
        </w:rPr>
        <w:t>（</w:t>
      </w:r>
      <w:r>
        <w:rPr>
          <w:rFonts w:hint="eastAsia" w:ascii="仿宋" w:hAnsi="仿宋" w:eastAsia="仿宋" w:cs="仿宋"/>
          <w:sz w:val="24"/>
          <w:szCs w:val="24"/>
        </w:rPr>
        <w:t>2</w:t>
      </w:r>
      <w:r>
        <w:rPr>
          <w:rFonts w:hint="eastAsia" w:cs="仿宋"/>
          <w:sz w:val="24"/>
          <w:szCs w:val="24"/>
          <w:lang w:eastAsia="zh-CN"/>
        </w:rPr>
        <w:t>）</w:t>
      </w:r>
      <w:r>
        <w:rPr>
          <w:rFonts w:hint="eastAsia" w:ascii="仿宋" w:hAnsi="仿宋" w:eastAsia="仿宋" w:cs="仿宋"/>
          <w:sz w:val="24"/>
          <w:szCs w:val="24"/>
        </w:rPr>
        <w:t>系统及平台软件用户操作培训，培训地点双方议定；</w:t>
      </w:r>
    </w:p>
    <w:p>
      <w:pPr>
        <w:numPr>
          <w:ilvl w:val="0"/>
          <w:numId w:val="0"/>
        </w:numPr>
        <w:ind w:firstLine="480" w:firstLineChars="200"/>
        <w:rPr>
          <w:rFonts w:hint="default"/>
          <w:lang w:val="en-US" w:eastAsia="zh-CN"/>
        </w:rPr>
      </w:pPr>
      <w:r>
        <w:rPr>
          <w:rFonts w:hint="eastAsia" w:cs="仿宋"/>
          <w:sz w:val="24"/>
          <w:szCs w:val="24"/>
          <w:lang w:eastAsia="zh-CN"/>
        </w:rPr>
        <w:t>（</w:t>
      </w:r>
      <w:r>
        <w:rPr>
          <w:rFonts w:hint="eastAsia" w:ascii="仿宋" w:hAnsi="仿宋" w:eastAsia="仿宋" w:cs="仿宋"/>
          <w:sz w:val="24"/>
          <w:szCs w:val="24"/>
        </w:rPr>
        <w:t>3</w:t>
      </w:r>
      <w:r>
        <w:rPr>
          <w:rFonts w:hint="eastAsia" w:cs="仿宋"/>
          <w:sz w:val="24"/>
          <w:szCs w:val="24"/>
          <w:lang w:eastAsia="zh-CN"/>
        </w:rPr>
        <w:t>）</w:t>
      </w:r>
      <w:r>
        <w:rPr>
          <w:rFonts w:hint="eastAsia" w:ascii="仿宋" w:hAnsi="仿宋" w:eastAsia="仿宋" w:cs="仿宋"/>
          <w:sz w:val="24"/>
          <w:szCs w:val="24"/>
        </w:rPr>
        <w:t>应提供各用户的培训计划，包括培训方式、培训文件、课程内容、人数、时间、地点等。</w:t>
      </w:r>
    </w:p>
    <w:p>
      <w:pPr>
        <w:spacing w:line="360" w:lineRule="auto"/>
        <w:ind w:firstLine="562" w:firstLineChars="200"/>
        <w:rPr>
          <w:rFonts w:hint="eastAsia" w:ascii="宋体" w:hAnsi="宋体" w:eastAsia="仿宋" w:cs="宋体"/>
          <w:b/>
          <w:sz w:val="28"/>
          <w:szCs w:val="28"/>
          <w:lang w:eastAsia="zh-CN"/>
        </w:rPr>
      </w:pPr>
      <w:r>
        <w:rPr>
          <w:rFonts w:hint="eastAsia" w:ascii="宋体" w:hAnsi="宋体" w:cs="宋体"/>
          <w:b/>
          <w:sz w:val="28"/>
          <w:szCs w:val="28"/>
          <w:lang w:eastAsia="zh-CN"/>
        </w:rPr>
        <w:t>十</w:t>
      </w:r>
      <w:r>
        <w:rPr>
          <w:rFonts w:hint="eastAsia" w:ascii="宋体" w:hAnsi="宋体" w:cs="宋体"/>
          <w:b/>
          <w:sz w:val="28"/>
          <w:szCs w:val="28"/>
        </w:rPr>
        <w:t>、其他</w:t>
      </w:r>
      <w:r>
        <w:rPr>
          <w:rFonts w:hint="eastAsia" w:ascii="宋体" w:hAnsi="宋体" w:cs="宋体"/>
          <w:b/>
          <w:sz w:val="28"/>
          <w:szCs w:val="28"/>
          <w:lang w:eastAsia="zh-CN"/>
        </w:rPr>
        <w:t>说明</w:t>
      </w:r>
    </w:p>
    <w:p>
      <w:pPr>
        <w:spacing w:line="312" w:lineRule="auto"/>
        <w:ind w:firstLine="480" w:firstLineChars="200"/>
        <w:rPr>
          <w:rFonts w:hint="eastAsia" w:ascii="仿宋" w:hAnsi="仿宋" w:eastAsia="仿宋" w:cs="仿宋"/>
          <w:sz w:val="24"/>
        </w:rPr>
      </w:pPr>
      <w:r>
        <w:rPr>
          <w:rFonts w:hint="eastAsia" w:ascii="宋体" w:hAnsi="宋体" w:cs="宋体"/>
          <w:sz w:val="24"/>
        </w:rPr>
        <w:t>1、中标后三天内须提供设计方案及施工图文本和电子版交于采购单位。</w:t>
      </w:r>
      <w:r>
        <w:rPr>
          <w:rFonts w:hint="eastAsia" w:ascii="仿宋" w:hAnsi="仿宋" w:eastAsia="仿宋" w:cs="仿宋"/>
          <w:sz w:val="24"/>
        </w:rPr>
        <w:t>中标人需无条件配合业主根据专家领导提出的意见对设计方案及施工图进行修改完善和优化，直至通过,其间发生的费用由中标人承担。</w:t>
      </w:r>
    </w:p>
    <w:p>
      <w:pPr>
        <w:spacing w:line="360" w:lineRule="auto"/>
        <w:ind w:firstLine="460" w:firstLineChars="192"/>
        <w:rPr>
          <w:rFonts w:ascii="宋体" w:hAnsi="宋体" w:cs="宋体"/>
          <w:sz w:val="24"/>
        </w:rPr>
      </w:pPr>
      <w:r>
        <w:rPr>
          <w:rFonts w:hint="eastAsia" w:ascii="宋体" w:hAnsi="宋体" w:cs="宋体"/>
          <w:sz w:val="24"/>
        </w:rPr>
        <w:t>2、</w:t>
      </w:r>
      <w:r>
        <w:rPr>
          <w:rFonts w:hint="eastAsia" w:ascii="宋体" w:hAnsi="宋体" w:cs="宋体"/>
          <w:sz w:val="24"/>
          <w:lang w:eastAsia="zh-CN"/>
        </w:rPr>
        <w:t>中标</w:t>
      </w:r>
      <w:r>
        <w:rPr>
          <w:rFonts w:hint="eastAsia" w:ascii="宋体" w:hAnsi="宋体" w:cs="宋体"/>
          <w:sz w:val="24"/>
        </w:rPr>
        <w:t>供应商项目实施完成后必须向采购单位提交设计成果：纸质文件（竣工蓝图）至少6份，电子版1份。</w:t>
      </w:r>
    </w:p>
    <w:p>
      <w:pPr>
        <w:spacing w:line="360" w:lineRule="auto"/>
        <w:ind w:firstLine="460" w:firstLineChars="192"/>
        <w:rPr>
          <w:rFonts w:ascii="宋体" w:hAnsi="宋体" w:cs="宋体"/>
          <w:sz w:val="24"/>
        </w:rPr>
      </w:pPr>
      <w:r>
        <w:rPr>
          <w:rFonts w:hint="eastAsia" w:ascii="宋体" w:hAnsi="宋体" w:cs="宋体"/>
          <w:sz w:val="24"/>
        </w:rPr>
        <w:t>3、违约责任：成交供应商应按照采购方的要求，按期、保质完成，若发生有延迟交付等行为，则按政府采购法、合同法等相关规定处理。</w:t>
      </w:r>
    </w:p>
    <w:p>
      <w:pPr>
        <w:spacing w:line="360" w:lineRule="auto"/>
        <w:ind w:firstLine="460" w:firstLineChars="192"/>
        <w:rPr>
          <w:rFonts w:ascii="宋体" w:hAnsi="宋体" w:cs="宋体"/>
          <w:sz w:val="24"/>
        </w:rPr>
      </w:pPr>
      <w:r>
        <w:rPr>
          <w:rFonts w:hint="eastAsia" w:ascii="宋体" w:hAnsi="宋体" w:cs="宋体"/>
          <w:sz w:val="24"/>
        </w:rPr>
        <w:t>4、一旦投标，只要是招标文件规定提交的内容和投标响应供应商为本采购项目提供的，所涉及的全部版权、知识产权、著作权等，无论是响应供应商独有的、还是投标响应供应商使用其他权利人的，采购人拥有百分百无偿使用的权力；响应供应商如涉及侵权行为的，其法律和经济责任均由该响应供应商承担，与采购人无关；绝不能因为响应供应商的违法行为而导致采购人无法使用。</w:t>
      </w:r>
    </w:p>
    <w:p>
      <w:pPr>
        <w:spacing w:line="360" w:lineRule="auto"/>
        <w:ind w:firstLine="463" w:firstLineChars="192"/>
        <w:rPr>
          <w:rFonts w:hint="eastAsia" w:ascii="仿宋" w:hAnsi="仿宋" w:eastAsia="仿宋" w:cs="仿宋"/>
          <w:b/>
          <w:bCs/>
          <w:sz w:val="24"/>
        </w:rPr>
      </w:pPr>
      <w:r>
        <w:rPr>
          <w:rFonts w:hint="eastAsia" w:ascii="仿宋" w:hAnsi="仿宋" w:eastAsia="仿宋" w:cs="仿宋"/>
          <w:b/>
          <w:bCs/>
          <w:sz w:val="24"/>
        </w:rPr>
        <w:t>5、项目结算约定：本项目完成后，在设计及数量不变的前提下,按原合同总金额结算。项目过程中如产生经采购单位批准的设计及数量变更的,则费用相应增减，具体调整方式为：</w:t>
      </w:r>
    </w:p>
    <w:p>
      <w:pPr>
        <w:spacing w:line="312" w:lineRule="auto"/>
        <w:ind w:left="-65" w:leftChars="-27" w:right="-202" w:rightChars="-84" w:firstLine="480" w:firstLineChars="200"/>
        <w:rPr>
          <w:rFonts w:hint="default" w:ascii="仿宋" w:hAnsi="仿宋" w:eastAsia="仿宋" w:cs="仿宋"/>
          <w:i w:val="0"/>
          <w:iCs w:val="0"/>
          <w:color w:val="auto"/>
          <w:sz w:val="24"/>
          <w:lang w:val="en-US" w:eastAsia="zh-CN"/>
        </w:rPr>
      </w:pPr>
      <w:r>
        <w:rPr>
          <w:rFonts w:hint="eastAsia" w:cs="仿宋"/>
          <w:i w:val="0"/>
          <w:iCs w:val="0"/>
          <w:color w:val="auto"/>
          <w:sz w:val="24"/>
          <w:lang w:val="en-US" w:eastAsia="zh-CN"/>
        </w:rPr>
        <w:t>（1）设计费报价后不作调整；</w:t>
      </w:r>
    </w:p>
    <w:p>
      <w:pPr>
        <w:spacing w:line="312" w:lineRule="auto"/>
        <w:ind w:left="-65" w:leftChars="-27" w:right="-202" w:rightChars="-84" w:firstLine="480" w:firstLineChars="200"/>
        <w:rPr>
          <w:rFonts w:hint="default" w:ascii="仿宋" w:hAnsi="仿宋" w:eastAsia="仿宋" w:cs="仿宋"/>
          <w:i w:val="0"/>
          <w:iCs w:val="0"/>
          <w:color w:val="auto"/>
          <w:sz w:val="24"/>
          <w:highlight w:val="none"/>
          <w:lang w:val="en-US" w:eastAsia="zh-CN"/>
        </w:rPr>
      </w:pPr>
      <w:r>
        <w:rPr>
          <w:rFonts w:hint="eastAsia" w:cs="仿宋"/>
          <w:i w:val="0"/>
          <w:iCs w:val="0"/>
          <w:color w:val="auto"/>
          <w:sz w:val="24"/>
          <w:lang w:val="en-US" w:eastAsia="zh-CN"/>
        </w:rPr>
        <w:t>（2）基础装饰、陈列布展及多媒体部分，投标清单内已列明的以投标报价按实结算，新增清单内未列明部分单价按市场询价及业主认可为准再结算。</w:t>
      </w:r>
      <w:r>
        <w:rPr>
          <w:rFonts w:hint="eastAsia" w:ascii="仿宋" w:hAnsi="仿宋" w:eastAsia="仿宋" w:cs="仿宋"/>
          <w:b/>
          <w:bCs/>
          <w:i w:val="0"/>
          <w:iCs w:val="0"/>
          <w:color w:val="auto"/>
          <w:sz w:val="24"/>
          <w:highlight w:val="none"/>
        </w:rPr>
        <w:t>无论增加多少，则不得超过预算总价，超过部分不予以结算。</w:t>
      </w:r>
    </w:p>
    <w:p>
      <w:pPr>
        <w:spacing w:line="312" w:lineRule="auto"/>
        <w:ind w:left="-65" w:leftChars="-27" w:right="-202" w:rightChars="-84" w:firstLine="480" w:firstLineChars="200"/>
        <w:rPr>
          <w:rFonts w:hint="eastAsia" w:cs="仿宋"/>
          <w:i w:val="0"/>
          <w:iCs w:val="0"/>
          <w:color w:val="auto"/>
          <w:sz w:val="24"/>
          <w:lang w:val="en-US" w:eastAsia="zh-CN"/>
        </w:rPr>
      </w:pPr>
      <w:r>
        <w:rPr>
          <w:rFonts w:hint="eastAsia" w:cs="仿宋"/>
          <w:i w:val="0"/>
          <w:iCs w:val="0"/>
          <w:color w:val="auto"/>
          <w:sz w:val="24"/>
          <w:lang w:val="en-US" w:eastAsia="zh-CN"/>
        </w:rPr>
        <w:t>（3）非遗物品采集的结算以市场询价、专家评审及业主方认可为结算依据。</w:t>
      </w:r>
    </w:p>
    <w:p>
      <w:pPr>
        <w:spacing w:line="312" w:lineRule="auto"/>
        <w:ind w:firstLine="482" w:firstLineChars="200"/>
        <w:rPr>
          <w:rFonts w:hint="eastAsia" w:ascii="仿宋" w:hAnsi="仿宋" w:eastAsia="仿宋" w:cs="仿宋"/>
          <w:b/>
          <w:bCs/>
          <w:sz w:val="24"/>
        </w:rPr>
      </w:pPr>
      <w:r>
        <w:rPr>
          <w:rFonts w:hint="eastAsia" w:cs="仿宋"/>
          <w:b/>
          <w:bCs/>
          <w:sz w:val="24"/>
          <w:lang w:val="en-US" w:eastAsia="zh-CN"/>
        </w:rPr>
        <w:t>6、</w:t>
      </w:r>
      <w:r>
        <w:rPr>
          <w:rFonts w:hint="eastAsia" w:ascii="仿宋" w:hAnsi="仿宋" w:eastAsia="仿宋" w:cs="仿宋"/>
          <w:b/>
          <w:bCs/>
          <w:sz w:val="24"/>
        </w:rPr>
        <w:t>项目</w:t>
      </w:r>
      <w:r>
        <w:rPr>
          <w:rFonts w:hint="eastAsia" w:cs="仿宋"/>
          <w:b/>
          <w:bCs/>
          <w:sz w:val="24"/>
          <w:lang w:eastAsia="zh-CN"/>
        </w:rPr>
        <w:t>实施</w:t>
      </w:r>
      <w:r>
        <w:rPr>
          <w:rFonts w:hint="eastAsia" w:ascii="仿宋" w:hAnsi="仿宋" w:eastAsia="仿宋" w:cs="仿宋"/>
          <w:b/>
          <w:bCs/>
          <w:sz w:val="24"/>
        </w:rPr>
        <w:t>期间发生的所有安全责任事故，由中标单位负全部责任。</w:t>
      </w:r>
    </w:p>
    <w:p>
      <w:pPr>
        <w:spacing w:line="312" w:lineRule="auto"/>
        <w:ind w:left="-65" w:leftChars="-27" w:right="-202" w:rightChars="-84" w:firstLine="562" w:firstLineChars="200"/>
        <w:rPr>
          <w:rFonts w:hint="eastAsia" w:ascii="仿宋" w:hAnsi="仿宋" w:eastAsia="仿宋" w:cs="仿宋"/>
          <w:b/>
          <w:sz w:val="28"/>
          <w:szCs w:val="28"/>
        </w:rPr>
      </w:pPr>
      <w:r>
        <w:rPr>
          <w:rFonts w:hint="eastAsia" w:cs="仿宋"/>
          <w:b/>
          <w:sz w:val="28"/>
          <w:szCs w:val="28"/>
          <w:lang w:eastAsia="zh-CN"/>
        </w:rPr>
        <w:t>十一</w:t>
      </w:r>
      <w:r>
        <w:rPr>
          <w:rFonts w:hint="eastAsia" w:ascii="仿宋" w:hAnsi="仿宋" w:eastAsia="仿宋" w:cs="仿宋"/>
          <w:b/>
          <w:sz w:val="28"/>
          <w:szCs w:val="28"/>
        </w:rPr>
        <w:t>、项目款的结算</w:t>
      </w:r>
    </w:p>
    <w:p>
      <w:pPr>
        <w:spacing w:line="312" w:lineRule="auto"/>
        <w:ind w:left="-65" w:leftChars="-27" w:right="-202" w:rightChars="-84" w:firstLine="480" w:firstLineChars="200"/>
        <w:rPr>
          <w:rFonts w:hint="eastAsia" w:ascii="仿宋" w:hAnsi="仿宋" w:eastAsia="仿宋" w:cs="仿宋"/>
          <w:sz w:val="24"/>
        </w:rPr>
      </w:pPr>
      <w:r>
        <w:rPr>
          <w:rFonts w:hint="eastAsia" w:ascii="仿宋" w:hAnsi="仿宋" w:eastAsia="仿宋" w:cs="仿宋"/>
          <w:sz w:val="24"/>
        </w:rPr>
        <w:t>采购单位根据合同、投标文件等资料进行验收。</w:t>
      </w:r>
    </w:p>
    <w:p>
      <w:pPr>
        <w:spacing w:line="312" w:lineRule="auto"/>
        <w:ind w:left="-65" w:leftChars="-27" w:right="-202" w:rightChars="-84" w:firstLine="480" w:firstLineChars="200"/>
        <w:rPr>
          <w:rFonts w:hint="eastAsia" w:ascii="仿宋" w:hAnsi="仿宋" w:eastAsia="仿宋" w:cs="仿宋"/>
          <w:sz w:val="24"/>
        </w:rPr>
      </w:pPr>
      <w:r>
        <w:rPr>
          <w:rFonts w:hint="eastAsia" w:ascii="仿宋" w:hAnsi="仿宋" w:eastAsia="仿宋" w:cs="仿宋"/>
          <w:sz w:val="24"/>
        </w:rPr>
        <w:t>项目款结算采取分期付款方式。</w:t>
      </w:r>
    </w:p>
    <w:p>
      <w:pPr>
        <w:spacing w:line="312" w:lineRule="auto"/>
        <w:ind w:left="-65" w:leftChars="-27" w:right="-202" w:rightChars="-84" w:firstLine="480" w:firstLineChars="200"/>
        <w:rPr>
          <w:rFonts w:hint="eastAsia" w:ascii="仿宋" w:hAnsi="仿宋" w:eastAsia="仿宋" w:cs="仿宋"/>
          <w:sz w:val="24"/>
        </w:rPr>
      </w:pPr>
      <w:r>
        <w:rPr>
          <w:rFonts w:hint="eastAsia" w:ascii="仿宋" w:hAnsi="仿宋" w:eastAsia="仿宋" w:cs="仿宋"/>
          <w:sz w:val="24"/>
        </w:rPr>
        <w:t>（1）合同签订生效后，成交供应商进场施工次日起7个工作日内，采购单位向成交供应商支付合同总价的30%预付款；</w:t>
      </w:r>
    </w:p>
    <w:p>
      <w:pPr>
        <w:spacing w:line="312" w:lineRule="auto"/>
        <w:ind w:left="-65" w:leftChars="-27" w:right="-202" w:rightChars="-84" w:firstLine="480" w:firstLineChars="200"/>
        <w:rPr>
          <w:rFonts w:hint="eastAsia" w:ascii="仿宋" w:hAnsi="仿宋" w:eastAsia="仿宋" w:cs="仿宋"/>
          <w:sz w:val="24"/>
        </w:rPr>
      </w:pPr>
      <w:r>
        <w:rPr>
          <w:rFonts w:hint="eastAsia" w:ascii="仿宋" w:hAnsi="仿宋" w:eastAsia="仿宋" w:cs="仿宋"/>
          <w:sz w:val="24"/>
        </w:rPr>
        <w:t>（</w:t>
      </w:r>
      <w:r>
        <w:rPr>
          <w:rFonts w:hint="eastAsia" w:cs="仿宋"/>
          <w:sz w:val="24"/>
          <w:lang w:val="en-US" w:eastAsia="zh-CN"/>
        </w:rPr>
        <w:t>2</w:t>
      </w:r>
      <w:r>
        <w:rPr>
          <w:rFonts w:hint="eastAsia" w:ascii="仿宋" w:hAnsi="仿宋" w:eastAsia="仿宋" w:cs="仿宋"/>
          <w:sz w:val="24"/>
        </w:rPr>
        <w:t>）本项目通过</w:t>
      </w:r>
      <w:r>
        <w:rPr>
          <w:rFonts w:hint="eastAsia" w:cs="仿宋"/>
          <w:sz w:val="24"/>
          <w:lang w:eastAsia="zh-CN"/>
        </w:rPr>
        <w:t>初步</w:t>
      </w:r>
      <w:r>
        <w:rPr>
          <w:rFonts w:hint="eastAsia" w:ascii="仿宋" w:hAnsi="仿宋" w:eastAsia="仿宋" w:cs="仿宋"/>
          <w:sz w:val="24"/>
        </w:rPr>
        <w:t>验收，且成交供应商提供完整的项目资料并经采购单位认可后，采购单位向成交供应商支付至合同总价的</w:t>
      </w:r>
      <w:r>
        <w:rPr>
          <w:rFonts w:hint="eastAsia" w:cs="仿宋"/>
          <w:sz w:val="24"/>
          <w:lang w:val="en-US" w:eastAsia="zh-CN"/>
        </w:rPr>
        <w:t>7</w:t>
      </w:r>
      <w:r>
        <w:rPr>
          <w:rFonts w:hint="eastAsia" w:ascii="仿宋" w:hAnsi="仿宋" w:eastAsia="仿宋" w:cs="仿宋"/>
          <w:sz w:val="24"/>
        </w:rPr>
        <w:t>0%；</w:t>
      </w:r>
    </w:p>
    <w:p>
      <w:pPr>
        <w:spacing w:line="312" w:lineRule="auto"/>
        <w:ind w:left="-65" w:leftChars="-27" w:right="-202" w:rightChars="-84" w:firstLine="480" w:firstLineChars="200"/>
        <w:rPr>
          <w:rFonts w:hint="eastAsia" w:ascii="仿宋" w:hAnsi="仿宋" w:eastAsia="仿宋" w:cs="仿宋"/>
          <w:sz w:val="24"/>
        </w:rPr>
      </w:pPr>
      <w:r>
        <w:rPr>
          <w:rFonts w:hint="eastAsia" w:ascii="仿宋" w:hAnsi="仿宋" w:eastAsia="仿宋" w:cs="仿宋"/>
          <w:sz w:val="24"/>
        </w:rPr>
        <w:t>（</w:t>
      </w:r>
      <w:r>
        <w:rPr>
          <w:rFonts w:hint="eastAsia" w:cs="仿宋"/>
          <w:sz w:val="24"/>
          <w:lang w:val="en-US" w:eastAsia="zh-CN"/>
        </w:rPr>
        <w:t>3</w:t>
      </w:r>
      <w:r>
        <w:rPr>
          <w:rFonts w:hint="eastAsia" w:ascii="仿宋" w:hAnsi="仿宋" w:eastAsia="仿宋" w:cs="仿宋"/>
          <w:sz w:val="24"/>
        </w:rPr>
        <w:t>）待本项目</w:t>
      </w:r>
      <w:r>
        <w:rPr>
          <w:rFonts w:hint="eastAsia" w:cs="仿宋"/>
          <w:sz w:val="24"/>
          <w:lang w:eastAsia="zh-CN"/>
        </w:rPr>
        <w:t>通过最终验收及</w:t>
      </w:r>
      <w:r>
        <w:rPr>
          <w:rFonts w:hint="eastAsia" w:ascii="仿宋" w:hAnsi="仿宋" w:eastAsia="仿宋" w:cs="仿宋"/>
          <w:sz w:val="24"/>
        </w:rPr>
        <w:t>委托第三方审计结束后，采购单位向成交供应商支付项目余款(余款=审定价一已付款金额)。</w:t>
      </w:r>
    </w:p>
    <w:p>
      <w:pPr>
        <w:spacing w:line="312" w:lineRule="auto"/>
        <w:ind w:left="-65" w:leftChars="-27" w:right="-202" w:rightChars="-84" w:firstLine="480" w:firstLineChars="200"/>
        <w:rPr>
          <w:rFonts w:hint="eastAsia" w:ascii="仿宋" w:hAnsi="仿宋" w:eastAsia="仿宋" w:cs="仿宋"/>
          <w:sz w:val="24"/>
        </w:rPr>
      </w:pPr>
      <w:r>
        <w:rPr>
          <w:rFonts w:hint="eastAsia" w:ascii="仿宋" w:hAnsi="仿宋" w:eastAsia="仿宋" w:cs="仿宋"/>
          <w:sz w:val="24"/>
        </w:rPr>
        <w:t>支付项目款时，供应商将结款申请1份、发票原件（按当期应付金额开具）及复印件1份、合同复印件1份、货物设备（工程量）清单和经采购单位验收确认的验收报告提交采购单位，由采购单位向成交供应商支付结算当期项目款。</w:t>
      </w:r>
    </w:p>
    <w:p>
      <w:pPr>
        <w:spacing w:line="312" w:lineRule="auto"/>
        <w:ind w:left="-65" w:leftChars="-27" w:right="-202" w:rightChars="-84"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cs="仿宋"/>
          <w:b/>
          <w:sz w:val="28"/>
          <w:szCs w:val="28"/>
          <w:lang w:eastAsia="zh-CN"/>
        </w:rPr>
        <w:t>二</w:t>
      </w:r>
      <w:r>
        <w:rPr>
          <w:rFonts w:hint="eastAsia" w:ascii="仿宋" w:hAnsi="仿宋" w:eastAsia="仿宋" w:cs="仿宋"/>
          <w:b/>
          <w:sz w:val="28"/>
          <w:szCs w:val="28"/>
        </w:rPr>
        <w:t>、履约保证金</w:t>
      </w:r>
    </w:p>
    <w:p>
      <w:pPr>
        <w:pageBreakBefore w:val="0"/>
        <w:kinsoku/>
        <w:wordWrap w:val="0"/>
        <w:topLinePunct/>
        <w:bidi w:val="0"/>
        <w:spacing w:beforeAutospacing="0" w:afterAutospacing="0" w:line="440" w:lineRule="exact"/>
        <w:ind w:firstLine="480" w:firstLineChars="200"/>
      </w:pPr>
      <w:r>
        <w:rPr>
          <w:rFonts w:hint="eastAsia"/>
          <w:highlight w:val="none"/>
        </w:rPr>
        <w:t>1</w:t>
      </w:r>
      <w:r>
        <w:rPr>
          <w:rFonts w:hint="eastAsia"/>
          <w:highlight w:val="none"/>
          <w:lang w:eastAsia="zh-CN"/>
        </w:rPr>
        <w:t>.</w:t>
      </w:r>
      <w:r>
        <w:rPr>
          <w:rFonts w:hint="eastAsia"/>
          <w:highlight w:val="none"/>
        </w:rPr>
        <w:t>签订合同时中标人应向采购人缴纳</w:t>
      </w:r>
      <w:r>
        <w:rPr>
          <w:rFonts w:hint="eastAsia"/>
          <w:color w:val="auto"/>
          <w:highlight w:val="none"/>
        </w:rPr>
        <w:t>合同金额的5</w:t>
      </w:r>
      <w:r>
        <w:rPr>
          <w:rFonts w:hint="eastAsia"/>
          <w:highlight w:val="none"/>
        </w:rPr>
        <w:t>%作为履约保证金，中标人在合同签订后5日内交付至指定账户。</w:t>
      </w:r>
      <w:r>
        <w:rPr>
          <w:rFonts w:hint="eastAsia"/>
          <w:highlight w:val="none"/>
          <w:lang w:eastAsia="zh-CN"/>
        </w:rPr>
        <w:t>项目验收合格后十个工作日内</w:t>
      </w:r>
      <w:r>
        <w:rPr>
          <w:rFonts w:hint="eastAsia"/>
          <w:color w:val="FF0000"/>
          <w:highlight w:val="none"/>
        </w:rPr>
        <w:t>，</w:t>
      </w:r>
      <w:r>
        <w:rPr>
          <w:rFonts w:hint="eastAsia"/>
          <w:highlight w:val="none"/>
        </w:rPr>
        <w:t>采购人无息退还履</w:t>
      </w:r>
      <w:r>
        <w:rPr>
          <w:rFonts w:hint="eastAsia"/>
        </w:rPr>
        <w:t>约保证金</w:t>
      </w:r>
      <w:r>
        <w:rPr>
          <w:rFonts w:hint="eastAsia" w:ascii="仿宋" w:hAnsi="仿宋" w:eastAsia="仿宋" w:cs="仿宋"/>
          <w:bCs/>
          <w:sz w:val="24"/>
        </w:rPr>
        <w:t>（如有处罚相应扣除）。</w:t>
      </w:r>
    </w:p>
    <w:p>
      <w:pPr>
        <w:pStyle w:val="49"/>
        <w:widowControl/>
        <w:wordWrap w:val="0"/>
        <w:topLinePunct/>
        <w:adjustRightInd w:val="0"/>
        <w:spacing w:beforeLines="0" w:afterLines="0" w:line="360" w:lineRule="auto"/>
        <w:ind w:firstLine="480" w:firstLineChars="200"/>
        <w:jc w:val="left"/>
        <w:textAlignment w:val="baseline"/>
        <w:rPr>
          <w:rFonts w:hint="eastAsia" w:ascii="仿宋" w:hAnsi="仿宋" w:eastAsia="仿宋" w:cs="仿宋"/>
          <w:color w:val="auto"/>
        </w:rPr>
      </w:pPr>
      <w:r>
        <w:rPr>
          <w:rFonts w:hint="eastAsia" w:ascii="仿宋" w:hAnsi="仿宋" w:eastAsia="仿宋" w:cs="仿宋"/>
          <w:color w:val="auto"/>
        </w:rPr>
        <w:t>2.缴纳方式：可采用转账或履约保函形式。</w:t>
      </w:r>
    </w:p>
    <w:p>
      <w:pPr>
        <w:spacing w:line="312" w:lineRule="auto"/>
        <w:ind w:left="-65" w:leftChars="-27" w:right="-202" w:rightChars="-84"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cs="仿宋"/>
          <w:b/>
          <w:sz w:val="28"/>
          <w:szCs w:val="28"/>
          <w:lang w:eastAsia="zh-CN"/>
        </w:rPr>
        <w:t>三</w:t>
      </w:r>
      <w:r>
        <w:rPr>
          <w:rFonts w:hint="eastAsia" w:ascii="仿宋" w:hAnsi="仿宋" w:eastAsia="仿宋" w:cs="仿宋"/>
          <w:b/>
          <w:sz w:val="28"/>
          <w:szCs w:val="28"/>
        </w:rPr>
        <w:t>、验收</w:t>
      </w:r>
    </w:p>
    <w:p>
      <w:pPr>
        <w:pStyle w:val="1020"/>
        <w:spacing w:line="312" w:lineRule="auto"/>
        <w:rPr>
          <w:rFonts w:hint="eastAsia" w:ascii="仿宋" w:hAnsi="仿宋" w:eastAsia="仿宋" w:cs="仿宋"/>
          <w:kern w:val="2"/>
          <w:szCs w:val="24"/>
          <w:lang w:val="en-US"/>
        </w:rPr>
      </w:pPr>
      <w:r>
        <w:rPr>
          <w:rFonts w:hint="eastAsia" w:ascii="仿宋" w:hAnsi="仿宋" w:eastAsia="仿宋" w:cs="仿宋"/>
          <w:bCs/>
          <w:szCs w:val="24"/>
          <w:lang w:val="en-US"/>
        </w:rPr>
        <w:t xml:space="preserve">    1、</w:t>
      </w:r>
      <w:r>
        <w:rPr>
          <w:rFonts w:hint="eastAsia" w:ascii="仿宋" w:hAnsi="仿宋" w:eastAsia="仿宋" w:cs="仿宋"/>
          <w:kern w:val="2"/>
          <w:szCs w:val="24"/>
          <w:lang w:val="en-US"/>
        </w:rPr>
        <w:t>根据《杭州市政府采购履约验收暂行办法》（杭财采监〔2019〕10号）规定，采购人应当根据采购项目的具体情</w:t>
      </w:r>
      <w:r>
        <w:rPr>
          <w:rFonts w:hint="eastAsia" w:ascii="仿宋" w:hAnsi="仿宋" w:eastAsia="仿宋" w:cs="仿宋"/>
          <w:kern w:val="2"/>
          <w:szCs w:val="24"/>
          <w:highlight w:val="none"/>
          <w:lang w:val="en-US"/>
        </w:rPr>
        <w:t>况，</w:t>
      </w:r>
      <w:r>
        <w:rPr>
          <w:rFonts w:hint="eastAsia" w:ascii="宋体" w:hAnsi="宋体" w:eastAsia="仿宋" w:cs="宋体"/>
          <w:color w:val="000000"/>
          <w:kern w:val="3"/>
          <w:sz w:val="24"/>
          <w:szCs w:val="24"/>
          <w:highlight w:val="none"/>
          <w:lang w:val="en-US" w:eastAsia="zh-CN" w:bidi="ar-SA"/>
        </w:rPr>
        <w:t>自行组</w:t>
      </w:r>
      <w:r>
        <w:rPr>
          <w:rFonts w:hint="eastAsia" w:ascii="宋体" w:hAnsi="宋体" w:eastAsia="仿宋" w:cs="宋体"/>
          <w:color w:val="000000"/>
          <w:kern w:val="3"/>
          <w:sz w:val="24"/>
          <w:szCs w:val="24"/>
          <w:lang w:val="en-US" w:eastAsia="zh-CN" w:bidi="ar-SA"/>
        </w:rPr>
        <w:t>织项目验收或者委托采购代理机构验收。</w:t>
      </w:r>
    </w:p>
    <w:p>
      <w:pPr>
        <w:pStyle w:val="1020"/>
        <w:spacing w:line="312" w:lineRule="auto"/>
        <w:ind w:firstLine="480" w:firstLineChars="200"/>
        <w:rPr>
          <w:rFonts w:hint="eastAsia" w:ascii="仿宋" w:hAnsi="仿宋" w:eastAsia="仿宋" w:cs="仿宋"/>
          <w:bCs/>
          <w:szCs w:val="24"/>
          <w:lang w:val="en-US"/>
        </w:rPr>
      </w:pPr>
      <w:r>
        <w:rPr>
          <w:rFonts w:hint="eastAsia" w:ascii="仿宋" w:hAnsi="仿宋" w:eastAsia="仿宋" w:cs="仿宋"/>
          <w:bCs/>
          <w:szCs w:val="24"/>
          <w:lang w:val="en-US"/>
        </w:rPr>
        <w:t>2、供货完成后，进行初验，初验完成后，组织终验，最终验收不合格，中标方整改，由此所产生的所有损失由中标单位承担（包括验收评审费用等）。</w:t>
      </w:r>
    </w:p>
    <w:p>
      <w:pPr>
        <w:widowControl/>
        <w:wordWrap w:val="0"/>
        <w:topLinePunct/>
        <w:adjustRightInd w:val="0"/>
        <w:ind w:firstLine="562" w:firstLineChars="2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cs="仿宋"/>
          <w:b/>
          <w:color w:val="auto"/>
          <w:sz w:val="28"/>
          <w:szCs w:val="28"/>
          <w:lang w:eastAsia="zh-CN"/>
        </w:rPr>
        <w:t>四</w:t>
      </w:r>
      <w:r>
        <w:rPr>
          <w:rFonts w:hint="eastAsia" w:ascii="仿宋" w:hAnsi="仿宋" w:eastAsia="仿宋" w:cs="仿宋"/>
          <w:b/>
          <w:color w:val="auto"/>
          <w:sz w:val="28"/>
          <w:szCs w:val="28"/>
        </w:rPr>
        <w:t>、转让和分包</w:t>
      </w:r>
    </w:p>
    <w:p>
      <w:pPr>
        <w:spacing w:line="312" w:lineRule="auto"/>
        <w:ind w:firstLine="482" w:firstLineChars="200"/>
        <w:rPr>
          <w:rFonts w:hint="eastAsia" w:ascii="仿宋" w:hAnsi="仿宋" w:eastAsia="仿宋" w:cs="仿宋"/>
          <w:sz w:val="24"/>
          <w:highlight w:val="none"/>
        </w:rPr>
      </w:pPr>
      <w:r>
        <w:rPr>
          <w:rFonts w:hint="eastAsia" w:ascii="仿宋" w:hAnsi="仿宋" w:eastAsia="仿宋" w:cs="仿宋"/>
          <w:b/>
          <w:bCs/>
          <w:color w:val="auto"/>
          <w:highlight w:val="none"/>
        </w:rPr>
        <w:t>本项目不得以任何形式进行转包及分包</w:t>
      </w:r>
      <w:r>
        <w:rPr>
          <w:rFonts w:hint="eastAsia" w:ascii="仿宋" w:hAnsi="仿宋" w:eastAsia="仿宋" w:cs="仿宋"/>
          <w:b/>
          <w:bCs/>
          <w:color w:val="auto"/>
          <w:highlight w:val="none"/>
          <w:lang w:eastAsia="zh-CN"/>
        </w:rPr>
        <w:t>。</w:t>
      </w:r>
      <w:r>
        <w:rPr>
          <w:rFonts w:hint="eastAsia" w:ascii="仿宋" w:hAnsi="仿宋" w:eastAsia="仿宋" w:cs="仿宋"/>
          <w:sz w:val="24"/>
          <w:highlight w:val="none"/>
        </w:rPr>
        <w:t>一经发现立即取消中标资格，作违约处理，并承担由此引起的一切经济损失。</w:t>
      </w:r>
    </w:p>
    <w:p>
      <w:pPr>
        <w:pStyle w:val="1020"/>
        <w:spacing w:line="312" w:lineRule="auto"/>
        <w:ind w:firstLine="480" w:firstLineChars="200"/>
        <w:rPr>
          <w:rFonts w:hint="eastAsia" w:ascii="仿宋" w:hAnsi="仿宋" w:eastAsia="仿宋" w:cs="仿宋"/>
          <w:bCs/>
          <w:szCs w:val="24"/>
          <w:highlight w:val="none"/>
          <w:lang w:val="en-US"/>
        </w:rPr>
      </w:pPr>
    </w:p>
    <w:p>
      <w:pPr>
        <w:adjustRightInd w:val="0"/>
        <w:snapToGrid w:val="0"/>
        <w:spacing w:line="360" w:lineRule="auto"/>
        <w:ind w:firstLine="482" w:firstLineChars="200"/>
        <w:rPr>
          <w:rFonts w:hint="eastAsia" w:ascii="仿宋" w:hAnsi="仿宋" w:eastAsia="仿宋" w:cs="仿宋"/>
          <w:highlight w:val="none"/>
        </w:rPr>
      </w:pPr>
      <w:r>
        <w:rPr>
          <w:rFonts w:hint="eastAsia" w:ascii="仿宋" w:hAnsi="仿宋" w:eastAsia="仿宋" w:cs="仿宋"/>
          <w:b/>
          <w:bCs/>
          <w:sz w:val="24"/>
          <w:highlight w:val="none"/>
        </w:rPr>
        <w:t>另附：原建筑</w:t>
      </w:r>
      <w:r>
        <w:rPr>
          <w:rFonts w:hint="eastAsia" w:cs="仿宋"/>
          <w:b/>
          <w:bCs/>
          <w:sz w:val="24"/>
          <w:highlight w:val="none"/>
          <w:lang w:eastAsia="zh-CN"/>
        </w:rPr>
        <w:t>平面</w:t>
      </w:r>
      <w:r>
        <w:rPr>
          <w:rFonts w:hint="eastAsia" w:ascii="仿宋" w:hAnsi="仿宋" w:eastAsia="仿宋" w:cs="仿宋"/>
          <w:b/>
          <w:bCs/>
          <w:sz w:val="24"/>
          <w:highlight w:val="none"/>
        </w:rPr>
        <w:t>参考图纸；其他以现场踏勘为准。</w:t>
      </w:r>
      <w:bookmarkEnd w:id="5"/>
      <w:bookmarkEnd w:id="6"/>
      <w:bookmarkEnd w:id="7"/>
      <w:bookmarkEnd w:id="8"/>
      <w:bookmarkEnd w:id="9"/>
      <w:bookmarkEnd w:id="10"/>
    </w:p>
    <w:p>
      <w:pPr>
        <w:rPr>
          <w:b/>
          <w:bCs/>
          <w:color w:val="FF0000"/>
          <w:kern w:val="2"/>
        </w:rPr>
      </w:pPr>
      <w:r>
        <w:rPr>
          <w:b/>
          <w:bCs/>
          <w:color w:val="FF0000"/>
          <w:kern w:val="2"/>
        </w:rPr>
        <w:br w:type="page"/>
      </w:r>
    </w:p>
    <w:p>
      <w:pPr>
        <w:pageBreakBefore w:val="0"/>
        <w:kinsoku/>
        <w:wordWrap w:val="0"/>
        <w:topLinePunct/>
        <w:bidi w:val="0"/>
        <w:spacing w:beforeAutospacing="0" w:afterAutospacing="0" w:line="440" w:lineRule="exact"/>
        <w:rPr>
          <w:b/>
          <w:bCs/>
          <w:color w:val="FF0000"/>
          <w:kern w:val="2"/>
        </w:rPr>
      </w:pPr>
    </w:p>
    <w:p>
      <w:pPr>
        <w:pStyle w:val="6"/>
        <w:pageBreakBefore w:val="0"/>
        <w:kinsoku/>
        <w:bidi w:val="0"/>
        <w:spacing w:beforeAutospacing="0" w:afterAutospacing="0" w:line="440" w:lineRule="exact"/>
      </w:pPr>
      <w:bookmarkStart w:id="13" w:name="_Toc1180707375"/>
      <w:r>
        <w:rPr>
          <w:rFonts w:hint="eastAsia"/>
        </w:rPr>
        <w:t>第五章  杭州市富阳区政府采购合同主要条款</w:t>
      </w:r>
      <w:bookmarkEnd w:id="13"/>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（本合同为合同样稿，最终稿由三方协商后确定）</w:t>
      </w:r>
    </w:p>
    <w:p>
      <w:pPr>
        <w:pageBreakBefore w:val="0"/>
        <w:kinsoku/>
        <w:wordWrap w:val="0"/>
        <w:topLinePunct/>
        <w:bidi w:val="0"/>
        <w:adjustRightInd w:val="0"/>
        <w:spacing w:beforeAutospacing="0" w:afterAutospacing="0" w:line="440" w:lineRule="exact"/>
        <w:ind w:firstLine="480" w:firstLineChars="200"/>
        <w:rPr>
          <w:bCs/>
          <w:color w:val="000000" w:themeColor="text1"/>
          <w:kern w:val="0"/>
        </w:rPr>
      </w:pPr>
      <w:bookmarkStart w:id="14" w:name="_Toc1399953345"/>
      <w:r>
        <w:rPr>
          <w:rFonts w:hint="eastAsia"/>
          <w:bCs/>
          <w:color w:val="000000" w:themeColor="text1"/>
          <w:kern w:val="0"/>
        </w:rPr>
        <w:t>甲  方（采购人）：</w:t>
      </w:r>
    </w:p>
    <w:p>
      <w:pPr>
        <w:pageBreakBefore w:val="0"/>
        <w:kinsoku/>
        <w:wordWrap w:val="0"/>
        <w:topLinePunct/>
        <w:bidi w:val="0"/>
        <w:adjustRightInd w:val="0"/>
        <w:spacing w:beforeAutospacing="0" w:afterAutospacing="0" w:line="440" w:lineRule="exact"/>
        <w:ind w:firstLine="480" w:firstLineChars="200"/>
        <w:rPr>
          <w:bCs/>
          <w:color w:val="000000" w:themeColor="text1"/>
          <w:kern w:val="0"/>
        </w:rPr>
      </w:pPr>
      <w:r>
        <w:rPr>
          <w:rFonts w:hint="eastAsia"/>
          <w:bCs/>
          <w:color w:val="000000" w:themeColor="text1"/>
          <w:kern w:val="0"/>
        </w:rPr>
        <w:t>乙  方（中标人）：</w:t>
      </w:r>
    </w:p>
    <w:p>
      <w:pPr>
        <w:pageBreakBefore w:val="0"/>
        <w:kinsoku/>
        <w:wordWrap w:val="0"/>
        <w:topLinePunct/>
        <w:bidi w:val="0"/>
        <w:adjustRightInd w:val="0"/>
        <w:spacing w:beforeAutospacing="0" w:afterAutospacing="0" w:line="440" w:lineRule="exact"/>
        <w:ind w:firstLine="480" w:firstLineChars="200"/>
        <w:rPr>
          <w:rFonts w:hint="eastAsia" w:eastAsia="仿宋"/>
          <w:bCs/>
          <w:color w:val="000000" w:themeColor="text1"/>
          <w:kern w:val="0"/>
          <w:lang w:eastAsia="zh-CN"/>
        </w:rPr>
      </w:pPr>
      <w:r>
        <w:rPr>
          <w:rFonts w:hint="eastAsia"/>
          <w:bCs/>
          <w:color w:val="000000" w:themeColor="text1"/>
          <w:kern w:val="0"/>
        </w:rPr>
        <w:t>鉴证方（采购代理机构）：杭州好邦建筑工程咨询有限公司</w:t>
      </w:r>
    </w:p>
    <w:p>
      <w:pPr>
        <w:pageBreakBefore w:val="0"/>
        <w:kinsoku/>
        <w:bidi w:val="0"/>
        <w:spacing w:beforeAutospacing="0" w:afterAutospacing="0" w:line="440" w:lineRule="exact"/>
        <w:ind w:firstLine="480" w:firstLineChars="200"/>
        <w:rPr>
          <w:rFonts w:ascii="仿宋" w:hAnsi="仿宋" w:eastAsia="仿宋"/>
          <w:sz w:val="24"/>
        </w:rPr>
      </w:pPr>
      <w:r>
        <w:rPr>
          <w:rFonts w:hint="eastAsia" w:ascii="仿宋" w:hAnsi="仿宋"/>
          <w:color w:val="000000" w:themeColor="text1"/>
        </w:rPr>
        <w:t>经过公开招标采购（编号：      ），确定***********为中标人，</w:t>
      </w: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hint="eastAsia"/>
          <w:sz w:val="24"/>
          <w:highlight w:val="none"/>
          <w:u w:val="none"/>
          <w:lang w:eastAsia="zh-CN"/>
        </w:rPr>
        <w:t>甲乙双方</w:t>
      </w:r>
      <w:r>
        <w:rPr>
          <w:rFonts w:ascii="仿宋" w:hAnsi="仿宋" w:eastAsia="仿宋"/>
          <w:sz w:val="24"/>
          <w:highlight w:val="none"/>
          <w:lang w:val="zh-CN"/>
        </w:rPr>
        <w:t>协商一致，约定以下合同</w:t>
      </w:r>
      <w:r>
        <w:rPr>
          <w:rFonts w:hint="eastAsia" w:ascii="仿宋" w:hAnsi="仿宋" w:eastAsia="仿宋"/>
          <w:sz w:val="24"/>
          <w:highlight w:val="none"/>
        </w:rPr>
        <w:t>条款，</w:t>
      </w:r>
      <w:r>
        <w:rPr>
          <w:rFonts w:hint="eastAsia" w:ascii="仿宋" w:hAnsi="仿宋" w:eastAsia="仿宋"/>
          <w:sz w:val="24"/>
        </w:rPr>
        <w:t>以兹共同遵守、全面履行。</w:t>
      </w:r>
    </w:p>
    <w:p>
      <w:pPr>
        <w:pStyle w:val="49"/>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000000" w:themeColor="text1"/>
        </w:rPr>
      </w:pP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000000" w:themeColor="text1"/>
        </w:rPr>
      </w:pPr>
      <w:r>
        <w:rPr>
          <w:rFonts w:hint="eastAsia"/>
          <w:b/>
          <w:bCs/>
          <w:color w:val="000000" w:themeColor="text1"/>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本合同总价为：人民币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 xml:space="preserve">分项价格：                                                  </w:t>
      </w:r>
      <w:r>
        <w:rPr>
          <w:rFonts w:hint="eastAsia" w:ascii="仿宋" w:hAnsi="仿宋" w:eastAsia="仿宋" w:cs="仿宋"/>
          <w:b w:val="0"/>
          <w:bCs w:val="0"/>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合同总价（人民币大写）：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kern w:val="0"/>
        </w:rPr>
      </w:pPr>
      <w:r>
        <w:rPr>
          <w:rFonts w:hint="eastAsia"/>
          <w:kern w:val="0"/>
        </w:rPr>
        <w:t>注：</w:t>
      </w:r>
      <w:r>
        <w:rPr>
          <w:rFonts w:hint="eastAsia"/>
          <w:bCs/>
          <w:kern w:val="0"/>
        </w:rPr>
        <w:t>以上合同价包含本项目实施所需的一切费用，乙方需提供本项目采购明细清单（若项目要求）。</w:t>
      </w:r>
    </w:p>
    <w:p>
      <w:pPr>
        <w:pageBreakBefore w:val="0"/>
        <w:kinsoku/>
        <w:wordWrap w:val="0"/>
        <w:topLinePunct/>
        <w:bidi w:val="0"/>
        <w:adjustRightInd w:val="0"/>
        <w:spacing w:beforeAutospacing="0" w:afterAutospacing="0" w:line="440" w:lineRule="exact"/>
        <w:ind w:firstLine="480" w:firstLineChars="200"/>
        <w:rPr>
          <w:rFonts w:hint="eastAsia"/>
          <w:bCs/>
          <w:color w:val="FF0000"/>
          <w:kern w:val="0"/>
          <w:highlight w:val="cyan"/>
          <w:lang w:val="en-US" w:eastAsia="zh-CN"/>
        </w:rPr>
      </w:pPr>
      <w:r>
        <w:rPr>
          <w:rFonts w:hint="eastAsia"/>
          <w:bCs/>
          <w:kern w:val="0"/>
          <w:lang w:val="en-US" w:eastAsia="zh-CN"/>
        </w:rPr>
        <w:t>合同形式</w:t>
      </w:r>
      <w:r>
        <w:rPr>
          <w:rFonts w:hint="eastAsia"/>
          <w:bCs/>
          <w:color w:val="auto"/>
          <w:kern w:val="0"/>
          <w:lang w:val="en-US" w:eastAsia="zh-CN"/>
        </w:rPr>
        <w:t>：</w:t>
      </w:r>
      <w:r>
        <w:rPr>
          <w:rFonts w:hint="eastAsia"/>
          <w:bCs/>
          <w:color w:val="auto"/>
          <w:kern w:val="0"/>
          <w:highlight w:val="none"/>
          <w:lang w:val="en-US" w:eastAsia="zh-CN"/>
        </w:rPr>
        <w:t>固定单价合同。</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第二条：质量保证</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本项目标的物的质保期为：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1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sz w:val="24"/>
          <w:szCs w:val="24"/>
          <w:highlight w:val="none"/>
          <w:lang w:val="en-US" w:eastAsia="zh-CN"/>
        </w:rPr>
      </w:pPr>
      <w:r>
        <w:rPr>
          <w:rFonts w:hint="eastAsia" w:ascii="仿宋" w:hAnsi="仿宋" w:eastAsia="仿宋" w:cs="仿宋"/>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第三条：</w:t>
      </w:r>
      <w:r>
        <w:rPr>
          <w:rFonts w:hint="eastAsia" w:ascii="仿宋" w:hAnsi="仿宋" w:eastAsia="仿宋" w:cs="仿宋"/>
          <w:b/>
          <w:bCs/>
          <w:sz w:val="24"/>
          <w:szCs w:val="24"/>
          <w:highlight w:val="none"/>
          <w:lang w:val="en-US" w:eastAsia="zh-CN"/>
        </w:rPr>
        <w:t>标的物交付期限、地点、方式</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交付期限：</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交付地点：</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交付方式：</w:t>
      </w:r>
      <w:r>
        <w:rPr>
          <w:rFonts w:hint="eastAsia" w:ascii="仿宋" w:hAnsi="仿宋" w:eastAsia="仿宋" w:cs="仿宋"/>
          <w:sz w:val="24"/>
          <w:szCs w:val="24"/>
          <w:highlight w:val="none"/>
          <w:u w:val="single"/>
          <w:lang w:val="en-US" w:eastAsia="zh-CN"/>
        </w:rPr>
        <w:t xml:space="preserve">                                 </w:t>
      </w:r>
    </w:p>
    <w:p>
      <w:pPr>
        <w:pageBreakBefore w:val="0"/>
        <w:widowControl w:val="0"/>
        <w:kinsoku/>
        <w:wordWrap/>
        <w:overflowPunct/>
        <w:topLinePunct w:val="0"/>
        <w:bidi w:val="0"/>
        <w:adjustRightInd/>
        <w:spacing w:beforeAutospacing="0" w:afterAutospacing="0" w:line="440" w:lineRule="exact"/>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交付说明：</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标的物</w:t>
      </w:r>
      <w:r>
        <w:rPr>
          <w:rFonts w:hint="eastAsia" w:ascii="仿宋" w:hAnsi="仿宋" w:eastAsia="仿宋" w:cs="仿宋"/>
          <w:sz w:val="24"/>
          <w:szCs w:val="24"/>
          <w:highlight w:val="none"/>
        </w:rPr>
        <w:t>交付使用时，乙方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向甲方提供发票、产品合格证、使用维修说明书、质量保证书、保修卡等</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具备的相关资料和必备的附件。为</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办理设备保修手续，并向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提供原产服务承诺书原件。乙方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提供切实、高效、优质的售后服务，主要产品按要求提供原厂家质保承诺书。供货时，</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在商品的右侧面显著位置粘贴公司标签，注明公司名称、地址、服务电话及供货日期等。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第四条：</w:t>
      </w:r>
      <w:r>
        <w:rPr>
          <w:rFonts w:hint="eastAsia" w:ascii="仿宋" w:hAnsi="仿宋" w:eastAsia="仿宋" w:cs="仿宋"/>
          <w:b/>
          <w:bCs/>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第五条：</w:t>
      </w:r>
      <w:r>
        <w:rPr>
          <w:rFonts w:hint="eastAsia" w:ascii="仿宋" w:hAnsi="仿宋" w:eastAsia="仿宋" w:cs="仿宋"/>
          <w:b/>
          <w:bCs/>
          <w:sz w:val="24"/>
          <w:szCs w:val="24"/>
          <w:highlight w:val="none"/>
          <w:lang w:val="en-US" w:eastAsia="zh-CN"/>
        </w:rPr>
        <w:t>知识产权</w:t>
      </w:r>
    </w:p>
    <w:p>
      <w:pPr>
        <w:keepNext w:val="0"/>
        <w:keepLines w:val="0"/>
        <w:pageBreakBefore w:val="0"/>
        <w:widowControl w:val="0"/>
        <w:numPr>
          <w:ilvl w:val="0"/>
          <w:numId w:val="1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1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具有知识产权的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等标的物的知识产权归属，详见以下专用条款：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第六条：</w:t>
      </w:r>
      <w:r>
        <w:rPr>
          <w:rFonts w:hint="eastAsia" w:ascii="仿宋" w:hAnsi="仿宋" w:eastAsia="仿宋" w:cs="仿宋"/>
          <w:b/>
          <w:bCs/>
          <w:sz w:val="24"/>
          <w:szCs w:val="24"/>
          <w:highlight w:val="none"/>
          <w:lang w:val="en-US" w:eastAsia="zh-CN"/>
        </w:rPr>
        <w:t>技术资料和保密义务</w:t>
      </w:r>
    </w:p>
    <w:p>
      <w:pPr>
        <w:keepNext w:val="0"/>
        <w:keepLines w:val="0"/>
        <w:pageBreakBefore w:val="0"/>
        <w:widowControl w:val="0"/>
        <w:numPr>
          <w:ilvl w:val="0"/>
          <w:numId w:val="1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1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1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第七条：</w:t>
      </w:r>
      <w:r>
        <w:rPr>
          <w:rFonts w:hint="eastAsia" w:ascii="仿宋" w:hAnsi="仿宋" w:eastAsia="仿宋" w:cs="仿宋"/>
          <w:b/>
          <w:bCs/>
          <w:sz w:val="24"/>
          <w:szCs w:val="24"/>
          <w:highlight w:val="none"/>
          <w:lang w:val="en-US" w:eastAsia="zh-CN"/>
        </w:rPr>
        <w:t>包装和运输（货物类）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b/>
          <w:bCs/>
          <w:kern w:val="0"/>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另有约定外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乙方交付的全部标的物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w:t>
      </w:r>
      <w:r>
        <w:rPr>
          <w:rFonts w:hint="eastAsia"/>
          <w:b/>
          <w:bCs/>
          <w:kern w:val="0"/>
          <w:lang w:eastAsia="zh-CN"/>
        </w:rPr>
        <w:t>八</w:t>
      </w:r>
      <w:r>
        <w:rPr>
          <w:rFonts w:hint="eastAsia"/>
          <w:b/>
          <w:bCs/>
          <w:kern w:val="0"/>
        </w:rPr>
        <w:t>条：</w:t>
      </w:r>
      <w:r>
        <w:rPr>
          <w:rFonts w:hint="eastAsia" w:ascii="仿宋" w:hAnsi="仿宋" w:eastAsia="仿宋" w:cs="仿宋"/>
          <w:b/>
          <w:bCs/>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检验和验收</w:t>
      </w:r>
      <w:r>
        <w:rPr>
          <w:rFonts w:hint="eastAsia" w:ascii="仿宋" w:hAnsi="仿宋" w:eastAsia="仿宋" w:cs="仿宋"/>
          <w:sz w:val="24"/>
          <w:szCs w:val="24"/>
          <w:highlight w:val="none"/>
          <w:lang w:eastAsia="zh-CN"/>
        </w:rPr>
        <w:t>的时间、方案及</w:t>
      </w:r>
      <w:r>
        <w:rPr>
          <w:rFonts w:hint="eastAsia" w:ascii="仿宋" w:hAnsi="仿宋" w:eastAsia="仿宋" w:cs="仿宋"/>
          <w:sz w:val="24"/>
          <w:szCs w:val="24"/>
          <w:highlight w:val="none"/>
        </w:rPr>
        <w:t>标准、程序</w:t>
      </w:r>
      <w:r>
        <w:rPr>
          <w:rFonts w:hint="eastAsia" w:ascii="仿宋" w:hAnsi="仿宋" w:eastAsia="仿宋" w:cs="仿宋"/>
          <w:sz w:val="24"/>
          <w:szCs w:val="24"/>
          <w:highlight w:val="none"/>
          <w:lang w:eastAsia="zh-CN"/>
        </w:rPr>
        <w:t>、费用</w:t>
      </w:r>
      <w:r>
        <w:rPr>
          <w:rFonts w:hint="eastAsia" w:ascii="仿宋" w:hAnsi="仿宋" w:eastAsia="仿宋" w:cs="仿宋"/>
          <w:sz w:val="24"/>
          <w:szCs w:val="24"/>
          <w:highlight w:val="none"/>
        </w:rPr>
        <w:t>等具体内容以及前述</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的效力</w:t>
      </w:r>
      <w:r>
        <w:rPr>
          <w:rFonts w:hint="eastAsia" w:ascii="仿宋" w:hAnsi="仿宋" w:eastAsia="仿宋" w:cs="仿宋"/>
          <w:sz w:val="24"/>
          <w:szCs w:val="24"/>
          <w:highlight w:val="none"/>
          <w:lang w:eastAsia="zh-CN"/>
        </w:rPr>
        <w:t>如下：</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w:t>
      </w:r>
      <w:r>
        <w:rPr>
          <w:rFonts w:hint="eastAsia"/>
          <w:b/>
          <w:bCs/>
          <w:kern w:val="0"/>
          <w:lang w:eastAsia="zh-CN"/>
        </w:rPr>
        <w:t>九</w:t>
      </w:r>
      <w:r>
        <w:rPr>
          <w:rFonts w:hint="eastAsia"/>
          <w:b/>
          <w:bCs/>
          <w:kern w:val="0"/>
        </w:rPr>
        <w:t>条：</w:t>
      </w:r>
      <w:r>
        <w:rPr>
          <w:rFonts w:hint="eastAsia"/>
          <w:b/>
          <w:bCs/>
          <w:kern w:val="0"/>
          <w:lang w:val="en-US" w:eastAsia="zh-CN"/>
        </w:rPr>
        <w:t>合同</w:t>
      </w:r>
      <w:r>
        <w:rPr>
          <w:rFonts w:hint="eastAsia"/>
          <w:b/>
          <w:bCs/>
          <w:kern w:val="0"/>
        </w:rPr>
        <w:t>款的支付</w:t>
      </w:r>
    </w:p>
    <w:p>
      <w:pPr>
        <w:spacing w:line="312" w:lineRule="auto"/>
        <w:ind w:left="-65" w:leftChars="-27" w:right="-202" w:rightChars="-84" w:firstLine="480" w:firstLineChars="200"/>
        <w:rPr>
          <w:rFonts w:hint="eastAsia" w:ascii="仿宋" w:hAnsi="仿宋" w:eastAsia="仿宋" w:cs="仿宋"/>
          <w:sz w:val="24"/>
        </w:rPr>
      </w:pPr>
      <w:r>
        <w:rPr>
          <w:rFonts w:hint="eastAsia"/>
          <w:kern w:val="0"/>
        </w:rPr>
        <w:t>政府采购的资金结算按照《富阳区财政局关于政府采购资金支付实行报备制的通知》执行。</w:t>
      </w:r>
      <w:r>
        <w:rPr>
          <w:rFonts w:hint="eastAsia" w:ascii="仿宋" w:hAnsi="仿宋" w:eastAsia="仿宋" w:cs="仿宋"/>
          <w:sz w:val="24"/>
        </w:rPr>
        <w:t>（1）合同签订生效后，成交供应商进场施工次日起7个工作日内，采购单位向成交供应商支付合同总价的30%预付款；</w:t>
      </w:r>
    </w:p>
    <w:p>
      <w:pPr>
        <w:spacing w:line="312" w:lineRule="auto"/>
        <w:ind w:left="-65" w:leftChars="-27" w:right="-202" w:rightChars="-84" w:firstLine="480" w:firstLineChars="200"/>
        <w:rPr>
          <w:rFonts w:hint="eastAsia" w:ascii="仿宋" w:hAnsi="仿宋" w:eastAsia="仿宋" w:cs="仿宋"/>
          <w:sz w:val="24"/>
        </w:rPr>
      </w:pPr>
      <w:r>
        <w:rPr>
          <w:rFonts w:hint="eastAsia" w:ascii="仿宋" w:hAnsi="仿宋" w:eastAsia="仿宋" w:cs="仿宋"/>
          <w:sz w:val="24"/>
        </w:rPr>
        <w:t>（</w:t>
      </w:r>
      <w:r>
        <w:rPr>
          <w:rFonts w:hint="eastAsia" w:cs="仿宋"/>
          <w:sz w:val="24"/>
          <w:lang w:val="en-US" w:eastAsia="zh-CN"/>
        </w:rPr>
        <w:t>2</w:t>
      </w:r>
      <w:r>
        <w:rPr>
          <w:rFonts w:hint="eastAsia" w:ascii="仿宋" w:hAnsi="仿宋" w:eastAsia="仿宋" w:cs="仿宋"/>
          <w:sz w:val="24"/>
        </w:rPr>
        <w:t>）本项目通过</w:t>
      </w:r>
      <w:r>
        <w:rPr>
          <w:rFonts w:hint="eastAsia" w:cs="仿宋"/>
          <w:sz w:val="24"/>
          <w:lang w:eastAsia="zh-CN"/>
        </w:rPr>
        <w:t>初步</w:t>
      </w:r>
      <w:r>
        <w:rPr>
          <w:rFonts w:hint="eastAsia" w:ascii="仿宋" w:hAnsi="仿宋" w:eastAsia="仿宋" w:cs="仿宋"/>
          <w:sz w:val="24"/>
        </w:rPr>
        <w:t>验收，且成交供应商提供完整的项目资料并经采购单位认可后，采购单位向成交供应商支付至合同总价的</w:t>
      </w:r>
      <w:r>
        <w:rPr>
          <w:rFonts w:hint="eastAsia" w:cs="仿宋"/>
          <w:sz w:val="24"/>
          <w:lang w:val="en-US" w:eastAsia="zh-CN"/>
        </w:rPr>
        <w:t>7</w:t>
      </w:r>
      <w:r>
        <w:rPr>
          <w:rFonts w:hint="eastAsia" w:ascii="仿宋" w:hAnsi="仿宋" w:eastAsia="仿宋" w:cs="仿宋"/>
          <w:sz w:val="24"/>
        </w:rPr>
        <w:t>0%；</w:t>
      </w:r>
    </w:p>
    <w:p>
      <w:pPr>
        <w:spacing w:line="312" w:lineRule="auto"/>
        <w:ind w:left="-65" w:leftChars="-27" w:right="-202" w:rightChars="-84" w:firstLine="480" w:firstLineChars="200"/>
        <w:rPr>
          <w:rFonts w:hint="eastAsia" w:ascii="仿宋" w:hAnsi="仿宋" w:eastAsia="仿宋" w:cs="仿宋"/>
          <w:sz w:val="24"/>
        </w:rPr>
      </w:pPr>
      <w:r>
        <w:rPr>
          <w:rFonts w:hint="eastAsia" w:ascii="仿宋" w:hAnsi="仿宋" w:eastAsia="仿宋" w:cs="仿宋"/>
          <w:sz w:val="24"/>
        </w:rPr>
        <w:t>（</w:t>
      </w:r>
      <w:r>
        <w:rPr>
          <w:rFonts w:hint="eastAsia" w:cs="仿宋"/>
          <w:sz w:val="24"/>
          <w:lang w:val="en-US" w:eastAsia="zh-CN"/>
        </w:rPr>
        <w:t>3</w:t>
      </w:r>
      <w:r>
        <w:rPr>
          <w:rFonts w:hint="eastAsia" w:ascii="仿宋" w:hAnsi="仿宋" w:eastAsia="仿宋" w:cs="仿宋"/>
          <w:sz w:val="24"/>
        </w:rPr>
        <w:t>）待本项目</w:t>
      </w:r>
      <w:r>
        <w:rPr>
          <w:rFonts w:hint="eastAsia" w:cs="仿宋"/>
          <w:sz w:val="24"/>
          <w:lang w:eastAsia="zh-CN"/>
        </w:rPr>
        <w:t>通过最终验收及</w:t>
      </w:r>
      <w:r>
        <w:rPr>
          <w:rFonts w:hint="eastAsia" w:ascii="仿宋" w:hAnsi="仿宋" w:eastAsia="仿宋" w:cs="仿宋"/>
          <w:sz w:val="24"/>
        </w:rPr>
        <w:t>委托第三方审计结束后，采购单位向成交供应商支付项目余款(余款=审定价一已付款金额)。</w:t>
      </w:r>
    </w:p>
    <w:p>
      <w:pPr>
        <w:pageBreakBefore w:val="0"/>
        <w:kinsoku/>
        <w:wordWrap w:val="0"/>
        <w:topLinePunct/>
        <w:bidi w:val="0"/>
        <w:adjustRightInd w:val="0"/>
        <w:spacing w:beforeAutospacing="0" w:afterAutospacing="0" w:line="440" w:lineRule="exact"/>
        <w:ind w:firstLine="480" w:firstLineChars="200"/>
        <w:rPr>
          <w:kern w:val="0"/>
        </w:rPr>
      </w:pPr>
      <w:r>
        <w:rPr>
          <w:rFonts w:hint="eastAsia"/>
          <w:kern w:val="0"/>
        </w:rPr>
        <w:t>乙方开户行名称：_____________________</w:t>
      </w:r>
    </w:p>
    <w:p>
      <w:pPr>
        <w:pageBreakBefore w:val="0"/>
        <w:kinsoku/>
        <w:wordWrap w:val="0"/>
        <w:topLinePunct/>
        <w:bidi w:val="0"/>
        <w:adjustRightInd w:val="0"/>
        <w:spacing w:beforeAutospacing="0" w:afterAutospacing="0" w:line="440" w:lineRule="exact"/>
        <w:ind w:firstLine="480" w:firstLineChars="200"/>
      </w:pPr>
      <w:r>
        <w:rPr>
          <w:rFonts w:hint="eastAsia"/>
          <w:kern w:val="0"/>
        </w:rPr>
        <w:t>开户行账号：_____________________</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b/>
              </w:rPr>
            </w:pPr>
            <w:r>
              <w:rPr>
                <w:rFonts w:hint="eastAsia"/>
                <w:b/>
              </w:rPr>
              <w:t>付款阶段</w:t>
            </w:r>
          </w:p>
        </w:tc>
        <w:tc>
          <w:tcPr>
            <w:tcW w:w="3827" w:type="dxa"/>
            <w:vAlign w:val="center"/>
          </w:tcPr>
          <w:p>
            <w:pPr>
              <w:pageBreakBefore w:val="0"/>
              <w:kinsoku/>
              <w:wordWrap w:val="0"/>
              <w:topLinePunct/>
              <w:bidi w:val="0"/>
              <w:spacing w:beforeAutospacing="0" w:afterAutospacing="0" w:line="440" w:lineRule="exact"/>
              <w:jc w:val="center"/>
              <w:rPr>
                <w:b/>
              </w:rPr>
            </w:pPr>
            <w:r>
              <w:rPr>
                <w:rFonts w:hint="eastAsia"/>
                <w:b/>
              </w:rPr>
              <w:t>付款额度</w:t>
            </w:r>
          </w:p>
        </w:tc>
        <w:tc>
          <w:tcPr>
            <w:tcW w:w="3402" w:type="dxa"/>
            <w:vAlign w:val="center"/>
          </w:tcPr>
          <w:p>
            <w:pPr>
              <w:pageBreakBefore w:val="0"/>
              <w:kinsoku/>
              <w:wordWrap w:val="0"/>
              <w:topLinePunct/>
              <w:bidi w:val="0"/>
              <w:spacing w:beforeAutospacing="0" w:afterAutospacing="0" w:line="440" w:lineRule="exact"/>
              <w:jc w:val="center"/>
              <w:rPr>
                <w:b/>
              </w:rPr>
            </w:pPr>
            <w:r>
              <w:rPr>
                <w:rFonts w:hint="eastAsia"/>
                <w:b/>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预付款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二期款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lang w:val="en-US" w:eastAsia="zh-CN"/>
              </w:rPr>
              <w:t>收到发票后5</w:t>
            </w:r>
            <w:r>
              <w:rPr>
                <w:rFonts w:hint="eastAsia"/>
              </w:rPr>
              <w:t>个工作日内，</w:t>
            </w:r>
          </w:p>
          <w:p>
            <w:pPr>
              <w:pageBreakBefore w:val="0"/>
              <w:kinsoku/>
              <w:wordWrap w:val="0"/>
              <w:topLinePunct/>
              <w:bidi w:val="0"/>
              <w:spacing w:beforeAutospacing="0" w:afterAutospacing="0"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三期款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lang w:val="en-US" w:eastAsia="zh-CN"/>
              </w:rPr>
              <w:t>收到发票后5</w:t>
            </w:r>
            <w:r>
              <w:rPr>
                <w:rFonts w:hint="eastAsia"/>
              </w:rPr>
              <w:t>个工作日内，</w:t>
            </w:r>
          </w:p>
          <w:p>
            <w:pPr>
              <w:pageBreakBefore w:val="0"/>
              <w:kinsoku/>
              <w:wordWrap w:val="0"/>
              <w:topLinePunct/>
              <w:bidi w:val="0"/>
              <w:spacing w:beforeAutospacing="0" w:afterAutospacing="0"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p>
        </w:tc>
        <w:tc>
          <w:tcPr>
            <w:tcW w:w="3827" w:type="dxa"/>
            <w:vAlign w:val="center"/>
          </w:tcPr>
          <w:p>
            <w:pPr>
              <w:pageBreakBefore w:val="0"/>
              <w:kinsoku/>
              <w:wordWrap w:val="0"/>
              <w:topLinePunct/>
              <w:bidi w:val="0"/>
              <w:spacing w:beforeAutospacing="0" w:afterAutospacing="0" w:line="440" w:lineRule="exact"/>
              <w:jc w:val="center"/>
            </w:pPr>
            <w:r>
              <w:rPr>
                <w:rFonts w:hint="eastAsia"/>
              </w:rPr>
              <w:t>……</w:t>
            </w:r>
          </w:p>
        </w:tc>
        <w:tc>
          <w:tcPr>
            <w:tcW w:w="3402" w:type="dxa"/>
            <w:vAlign w:val="center"/>
          </w:tcPr>
          <w:p>
            <w:pPr>
              <w:pageBreakBefore w:val="0"/>
              <w:kinsoku/>
              <w:wordWrap w:val="0"/>
              <w:topLinePunct/>
              <w:bidi w:val="0"/>
              <w:spacing w:beforeAutospacing="0" w:afterAutospacing="0" w:line="440" w:lineRule="exact"/>
            </w:pPr>
          </w:p>
        </w:tc>
      </w:tr>
    </w:tbl>
    <w:p>
      <w:pPr>
        <w:pageBreakBefore w:val="0"/>
        <w:kinsoku/>
        <w:wordWrap w:val="0"/>
        <w:topLinePunct/>
        <w:bidi w:val="0"/>
        <w:adjustRightInd w:val="0"/>
        <w:spacing w:beforeAutospacing="0" w:afterAutospacing="0" w:line="440" w:lineRule="exact"/>
        <w:ind w:firstLine="480" w:firstLineChars="200"/>
        <w:rPr>
          <w:rFonts w:hint="eastAsia"/>
          <w:b/>
          <w:bCs/>
          <w:kern w:val="0"/>
          <w:highlight w:val="none"/>
        </w:rPr>
      </w:pPr>
      <w:r>
        <w:rPr>
          <w:rFonts w:hint="eastAsia" w:ascii="仿宋" w:hAnsi="仿宋" w:eastAsia="仿宋" w:cs="仿宋"/>
          <w:color w:val="000000"/>
          <w:sz w:val="24"/>
          <w:szCs w:val="24"/>
          <w:highlight w:val="none"/>
          <w:lang w:val="en-US" w:eastAsia="zh-CN"/>
        </w:rPr>
        <w:t>（特别说明：采购人应积极履行合同，及时组织验收，验收合格后应及时将合同款支付完毕。</w:t>
      </w:r>
      <w:r>
        <w:rPr>
          <w:rFonts w:hint="eastAsia" w:ascii="仿宋" w:hAnsi="仿宋" w:eastAsia="仿宋" w:cs="仿宋"/>
          <w:b w:val="0"/>
          <w:bCs w:val="0"/>
          <w:color w:val="000000"/>
          <w:kern w:val="2"/>
          <w:sz w:val="24"/>
          <w:szCs w:val="24"/>
          <w:highlight w:val="none"/>
          <w:lang w:val="en-US" w:eastAsia="zh-CN" w:bidi="ar-SA"/>
        </w:rPr>
        <w:t>采购项目实施以人工投入为主的，可按季度支付</w:t>
      </w:r>
      <w:r>
        <w:rPr>
          <w:rFonts w:hint="eastAsia" w:ascii="仿宋" w:hAnsi="仿宋" w:eastAsia="仿宋" w:cs="仿宋"/>
          <w:color w:val="000000"/>
          <w:sz w:val="24"/>
          <w:szCs w:val="24"/>
          <w:highlight w:val="none"/>
          <w:lang w:val="en-US" w:eastAsia="zh-CN"/>
        </w:rPr>
        <w:t>合同款</w:t>
      </w:r>
      <w:r>
        <w:rPr>
          <w:rFonts w:hint="eastAsia" w:ascii="仿宋" w:hAnsi="仿宋" w:eastAsia="仿宋" w:cs="仿宋"/>
          <w:b w:val="0"/>
          <w:bCs w:val="0"/>
          <w:color w:val="000000"/>
          <w:kern w:val="2"/>
          <w:sz w:val="24"/>
          <w:szCs w:val="24"/>
          <w:highlight w:val="none"/>
          <w:lang w:val="en-US" w:eastAsia="zh-CN" w:bidi="ar-SA"/>
        </w:rPr>
        <w:t>。</w:t>
      </w:r>
      <w:r>
        <w:rPr>
          <w:rFonts w:hint="eastAsia" w:ascii="仿宋" w:hAnsi="仿宋" w:eastAsia="仿宋" w:cs="仿宋"/>
          <w:b/>
          <w:bCs/>
          <w:color w:val="000000"/>
          <w:sz w:val="24"/>
          <w:szCs w:val="24"/>
          <w:highlight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000000"/>
          <w:sz w:val="24"/>
          <w:szCs w:val="24"/>
          <w:highlight w:val="none"/>
          <w:lang w:val="en-US" w:eastAsia="zh-CN"/>
        </w:rPr>
        <w:t>不得以机构变动、人员更替、政策调整、单位放假等为由延迟付款。</w:t>
      </w:r>
      <w:r>
        <w:rPr>
          <w:rFonts w:hint="eastAsia" w:ascii="仿宋" w:hAnsi="仿宋" w:cs="仿宋"/>
          <w:sz w:val="24"/>
          <w:szCs w:val="24"/>
          <w:highlight w:val="none"/>
          <w:lang w:val="en-US" w:eastAsia="zh-CN"/>
        </w:rPr>
        <w:t>）</w:t>
      </w:r>
    </w:p>
    <w:p>
      <w:pPr>
        <w:pageBreakBefore w:val="0"/>
        <w:kinsoku/>
        <w:wordWrap w:val="0"/>
        <w:topLinePunct/>
        <w:bidi w:val="0"/>
        <w:adjustRightInd w:val="0"/>
        <w:spacing w:beforeAutospacing="0" w:afterAutospacing="0" w:line="440" w:lineRule="exact"/>
        <w:ind w:firstLine="482" w:firstLineChars="200"/>
        <w:rPr>
          <w:b/>
          <w:bCs/>
          <w:kern w:val="0"/>
          <w:highlight w:val="none"/>
        </w:rPr>
      </w:pPr>
      <w:r>
        <w:rPr>
          <w:rFonts w:hint="eastAsia"/>
          <w:b/>
          <w:bCs/>
          <w:kern w:val="0"/>
          <w:highlight w:val="none"/>
        </w:rPr>
        <w:t>第</w:t>
      </w:r>
      <w:r>
        <w:rPr>
          <w:rFonts w:hint="eastAsia"/>
          <w:b/>
          <w:bCs/>
          <w:kern w:val="0"/>
          <w:highlight w:val="none"/>
          <w:lang w:eastAsia="zh-CN"/>
        </w:rPr>
        <w:t>十</w:t>
      </w:r>
      <w:r>
        <w:rPr>
          <w:rFonts w:hint="eastAsia"/>
          <w:b/>
          <w:bCs/>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cs="仿宋"/>
          <w:sz w:val="24"/>
          <w:szCs w:val="24"/>
          <w:highlight w:val="none"/>
          <w:lang w:val="en-US" w:eastAsia="zh-CN"/>
        </w:rPr>
        <w:t>乙方需</w:t>
      </w:r>
      <w:r>
        <w:rPr>
          <w:rFonts w:hint="eastAsia" w:ascii="仿宋" w:hAnsi="仿宋" w:eastAsia="仿宋" w:cs="仿宋"/>
          <w:sz w:val="24"/>
          <w:szCs w:val="24"/>
          <w:highlight w:val="none"/>
        </w:rPr>
        <w:t>提交合同价</w:t>
      </w:r>
      <w:r>
        <w:rPr>
          <w:rFonts w:hint="eastAsia" w:cs="仿宋"/>
          <w:sz w:val="24"/>
          <w:szCs w:val="24"/>
          <w:highlight w:val="none"/>
          <w:u w:val="single"/>
          <w:lang w:val="en-US" w:eastAsia="zh-CN"/>
        </w:rPr>
        <w:t>5</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%的履约保证金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zh-CN"/>
        </w:rPr>
        <w:t>应在合同签订后5个工作日内</w:t>
      </w:r>
      <w:r>
        <w:rPr>
          <w:rFonts w:hint="eastAsia" w:ascii="仿宋" w:hAnsi="仿宋" w:eastAsia="仿宋" w:cs="仿宋"/>
          <w:sz w:val="24"/>
          <w:szCs w:val="24"/>
          <w:highlight w:val="none"/>
        </w:rPr>
        <w:t>，以支票、汇票、本票或者金融机构、担保机构出具的保函等非现金形式</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u w:val="none"/>
        </w:rPr>
        <w:t>鼓励和支持供应商以银行、保险公司出具的保函形式提供履约保证金。</w:t>
      </w:r>
      <w:r>
        <w:rPr>
          <w:rFonts w:hint="eastAsia" w:ascii="仿宋" w:hAnsi="仿宋" w:eastAsia="仿宋" w:cs="仿宋"/>
          <w:sz w:val="24"/>
          <w:szCs w:val="24"/>
          <w:highlight w:val="none"/>
          <w:lang w:eastAsia="zh-CN"/>
        </w:rPr>
        <w:t>采</w:t>
      </w:r>
      <w:r>
        <w:rPr>
          <w:rFonts w:hint="eastAsia" w:ascii="仿宋" w:hAnsi="仿宋" w:eastAsia="仿宋" w:cs="仿宋"/>
          <w:sz w:val="24"/>
          <w:szCs w:val="24"/>
          <w:highlight w:val="none"/>
        </w:rPr>
        <w:t>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可根据杭州市政府采购网公布的供应商履约评价情况减免履约保证金。</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个工作日内退还乙方履约保证金。甲方无故逾期退还的，按照每逾期一日支付履约保证金5‰的额度承担违约责任。</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第十一条：</w:t>
      </w:r>
      <w:r>
        <w:rPr>
          <w:rFonts w:hint="eastAsia" w:ascii="仿宋" w:hAnsi="仿宋" w:eastAsia="仿宋" w:cs="仿宋"/>
          <w:b/>
          <w:bCs/>
          <w:sz w:val="24"/>
          <w:szCs w:val="24"/>
          <w:highlight w:val="none"/>
          <w:lang w:val="en-US" w:eastAsia="zh-CN"/>
        </w:rPr>
        <w:t>售后服务</w:t>
      </w:r>
    </w:p>
    <w:p>
      <w:pPr>
        <w:pStyle w:val="477"/>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w:t>
      </w:r>
      <w:r>
        <w:rPr>
          <w:rFonts w:hint="eastAsia" w:ascii="仿宋" w:hAnsi="仿宋" w:eastAsia="仿宋" w:cs="仿宋"/>
          <w:sz w:val="24"/>
          <w:szCs w:val="24"/>
          <w:highlight w:val="none"/>
          <w:lang w:val="en-US" w:eastAsia="zh-CN"/>
        </w:rPr>
        <w:t>根据投标文件</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售后服务承诺：</w:t>
      </w:r>
    </w:p>
    <w:p>
      <w:pPr>
        <w:pStyle w:val="477"/>
        <w:keepNext w:val="0"/>
        <w:keepLines w:val="0"/>
        <w:pageBreakBefore w:val="0"/>
        <w:widowControl w:val="0"/>
        <w:numPr>
          <w:ilvl w:val="0"/>
          <w:numId w:val="2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本合同项下货物的</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为最终验收合格之日起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个月。</w:t>
      </w:r>
    </w:p>
    <w:p>
      <w:pPr>
        <w:pStyle w:val="477"/>
        <w:keepNext w:val="0"/>
        <w:keepLines w:val="0"/>
        <w:pageBreakBefore w:val="0"/>
        <w:widowControl w:val="0"/>
        <w:numPr>
          <w:ilvl w:val="0"/>
          <w:numId w:val="2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内应对提供的所有货物进行常规检查、调整等。</w:t>
      </w:r>
    </w:p>
    <w:p>
      <w:pPr>
        <w:pStyle w:val="477"/>
        <w:keepNext w:val="0"/>
        <w:keepLines w:val="0"/>
        <w:pageBreakBefore w:val="0"/>
        <w:widowControl w:val="0"/>
        <w:numPr>
          <w:ilvl w:val="0"/>
          <w:numId w:val="2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乙方负责对甲方人员的全免（含交通食宿）集中技术培训（≥</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人），及不少于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年的免费售后现场技术服务。</w:t>
      </w:r>
    </w:p>
    <w:p>
      <w:pPr>
        <w:pStyle w:val="477"/>
        <w:keepNext w:val="0"/>
        <w:keepLines w:val="0"/>
        <w:pageBreakBefore w:val="0"/>
        <w:widowControl w:val="0"/>
        <w:numPr>
          <w:ilvl w:val="0"/>
          <w:numId w:val="2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7"/>
        <w:keepNext w:val="0"/>
        <w:keepLines w:val="0"/>
        <w:pageBreakBefore w:val="0"/>
        <w:widowControl w:val="0"/>
        <w:numPr>
          <w:ilvl w:val="0"/>
          <w:numId w:val="2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sz w:val="24"/>
          <w:szCs w:val="24"/>
          <w:highlight w:val="none"/>
          <w:lang w:eastAsia="zh-CN"/>
        </w:rPr>
        <w:t>质保期</w:t>
      </w:r>
      <w:r>
        <w:rPr>
          <w:rFonts w:hint="eastAsia" w:ascii="仿宋" w:hAnsi="仿宋" w:eastAsia="仿宋" w:cs="仿宋"/>
          <w:sz w:val="24"/>
          <w:szCs w:val="24"/>
          <w:highlight w:val="none"/>
        </w:rPr>
        <w:t>满后，乙方仍提供维护服务，收取成本费。</w:t>
      </w:r>
    </w:p>
    <w:p>
      <w:pPr>
        <w:pStyle w:val="477"/>
        <w:keepNext w:val="0"/>
        <w:keepLines w:val="0"/>
        <w:pageBreakBefore w:val="0"/>
        <w:widowControl w:val="0"/>
        <w:numPr>
          <w:ilvl w:val="0"/>
          <w:numId w:val="2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内或在应当由乙方负责的其他情况下，若由于乙方原因而造成货物不得不停止使用的情形，货物</w:t>
      </w:r>
      <w:r>
        <w:rPr>
          <w:rFonts w:hint="eastAsia" w:ascii="仿宋" w:hAnsi="仿宋" w:eastAsia="仿宋" w:cs="仿宋"/>
          <w:sz w:val="24"/>
          <w:szCs w:val="24"/>
          <w:highlight w:val="none"/>
          <w:lang w:eastAsia="zh-CN"/>
        </w:rPr>
        <w:t>售后服务期及质保期</w:t>
      </w:r>
      <w:r>
        <w:rPr>
          <w:rFonts w:hint="eastAsia" w:ascii="仿宋" w:hAnsi="仿宋" w:eastAsia="仿宋" w:cs="仿宋"/>
          <w:sz w:val="24"/>
          <w:szCs w:val="24"/>
          <w:highlight w:val="none"/>
        </w:rPr>
        <w:t>应依照停止使用的实际时间加以延长，由此给甲方造成的损失由乙方承担。</w:t>
      </w:r>
    </w:p>
    <w:p>
      <w:pPr>
        <w:pStyle w:val="477"/>
        <w:keepNext w:val="0"/>
        <w:keepLines w:val="0"/>
        <w:pageBreakBefore w:val="0"/>
        <w:widowControl w:val="0"/>
        <w:numPr>
          <w:ilvl w:val="0"/>
          <w:numId w:val="2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乙方应提供电话、电子邮件、现场服务等方式的7*24小时的技术支持。若设备发生故障，乙方应在接到通知之时起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小时内赶赴现场处理问题。一般故障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小时内解决，重大故障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w:t>
      </w:r>
    </w:p>
    <w:p>
      <w:pPr>
        <w:pStyle w:val="477"/>
        <w:keepNext w:val="0"/>
        <w:keepLines w:val="0"/>
        <w:pageBreakBefore w:val="0"/>
        <w:widowControl w:val="0"/>
        <w:numPr>
          <w:ilvl w:val="0"/>
          <w:numId w:val="2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如投标文件中承诺优于本条规定或其他本条未涉及的承诺，按投标文件中承诺执行。</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kern w:val="0"/>
        </w:rPr>
      </w:pPr>
      <w:r>
        <w:rPr>
          <w:rFonts w:hint="eastAsia"/>
          <w:b/>
          <w:bCs/>
          <w:kern w:val="0"/>
        </w:rPr>
        <w:t>第</w:t>
      </w:r>
      <w:r>
        <w:rPr>
          <w:rFonts w:hint="eastAsia"/>
          <w:b/>
          <w:bCs/>
          <w:kern w:val="0"/>
          <w:lang w:eastAsia="zh-CN"/>
        </w:rPr>
        <w:t>十一</w:t>
      </w:r>
      <w:r>
        <w:rPr>
          <w:rFonts w:hint="eastAsia"/>
          <w:b/>
          <w:bCs/>
          <w:kern w:val="0"/>
        </w:rPr>
        <w:t>条：违约责任</w:t>
      </w:r>
    </w:p>
    <w:p>
      <w:pPr>
        <w:keepNext w:val="0"/>
        <w:keepLines w:val="0"/>
        <w:pageBreakBefore w:val="0"/>
        <w:widowControl w:val="0"/>
        <w:numPr>
          <w:ilvl w:val="0"/>
          <w:numId w:val="2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2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2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2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2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2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十二</w:t>
      </w:r>
      <w:r>
        <w:rPr>
          <w:rFonts w:hint="eastAsia"/>
          <w:b/>
          <w:bCs/>
        </w:rPr>
        <w:t>条：不可抗力事件处理</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2.不可抗力事件发生后，应立即通知对方，并寄送有关权威机构出具的证明。</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第十三条：</w:t>
      </w:r>
      <w:r>
        <w:rPr>
          <w:rFonts w:hint="eastAsia" w:ascii="仿宋" w:hAnsi="仿宋" w:eastAsia="仿宋" w:cs="仿宋"/>
          <w:b/>
          <w:bCs/>
          <w:sz w:val="24"/>
          <w:szCs w:val="24"/>
          <w:highlight w:val="none"/>
          <w:lang w:val="en-US" w:eastAsia="zh-CN"/>
        </w:rPr>
        <w:t>合同的变更、中止和终止</w:t>
      </w:r>
    </w:p>
    <w:p>
      <w:pPr>
        <w:keepNext w:val="0"/>
        <w:keepLines w:val="0"/>
        <w:pageBreakBefore w:val="0"/>
        <w:widowControl w:val="0"/>
        <w:numPr>
          <w:ilvl w:val="0"/>
          <w:numId w:val="2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2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双方当事人不得擅自中止或者终止合同；</w:t>
      </w:r>
    </w:p>
    <w:p>
      <w:pPr>
        <w:keepNext w:val="0"/>
        <w:keepLines w:val="0"/>
        <w:pageBreakBefore w:val="0"/>
        <w:widowControl w:val="0"/>
        <w:numPr>
          <w:ilvl w:val="0"/>
          <w:numId w:val="2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中止或者终止合同。有过错的一方应当承担赔偿责任，双方当事人都有过错的，各自承担相应的责任。</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rPr>
      </w:pPr>
      <w:r>
        <w:rPr>
          <w:rFonts w:hint="eastAsia" w:cs="仿宋"/>
          <w:sz w:val="24"/>
          <w:szCs w:val="24"/>
          <w:highlight w:val="none"/>
          <w:lang w:val="en-US" w:eastAsia="zh-CN"/>
        </w:rPr>
        <w:t>4.</w:t>
      </w:r>
      <w:r>
        <w:rPr>
          <w:rFonts w:hint="eastAsia" w:ascii="仿宋" w:hAnsi="仿宋" w:eastAsia="仿宋" w:cs="仿宋"/>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若乙方因破产或经营不善导致合同不能</w:t>
      </w:r>
      <w:r>
        <w:rPr>
          <w:rFonts w:hint="eastAsia" w:ascii="仿宋" w:hAnsi="仿宋" w:eastAsia="仿宋" w:cs="仿宋"/>
          <w:sz w:val="24"/>
          <w:szCs w:val="24"/>
          <w:highlight w:val="none"/>
          <w:lang w:val="en-US" w:eastAsia="zh-CN"/>
        </w:rPr>
        <w:t>继续</w:t>
      </w:r>
      <w:r>
        <w:rPr>
          <w:rFonts w:hint="eastAsia" w:ascii="仿宋" w:hAnsi="仿宋" w:eastAsia="仿宋" w:cs="仿宋"/>
          <w:sz w:val="24"/>
          <w:szCs w:val="24"/>
          <w:highlight w:val="none"/>
        </w:rPr>
        <w:t>履行，乙方应书面通知甲方终止合同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在甲方知情而未收到乙方终止合同书面通知时，甲方可在任何时候书面通知乙方终止合同。</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十四</w:t>
      </w:r>
      <w:r>
        <w:rPr>
          <w:rFonts w:hint="eastAsia"/>
          <w:b/>
          <w:bCs/>
        </w:rPr>
        <w:t>条：争议的解决</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highlight w:val="none"/>
        </w:rPr>
      </w:pPr>
      <w:r>
        <w:rPr>
          <w:rFonts w:hint="eastAsia"/>
          <w:bCs/>
          <w:highlight w:val="none"/>
        </w:rPr>
        <w:t>本合同为政府采购之合同，在发生</w:t>
      </w:r>
      <w:r>
        <w:rPr>
          <w:rFonts w:hint="eastAsia"/>
          <w:bCs/>
          <w:highlight w:val="none"/>
          <w:lang w:eastAsia="zh-CN"/>
        </w:rPr>
        <w:t>产品</w:t>
      </w:r>
      <w:r>
        <w:rPr>
          <w:rFonts w:hint="eastAsia"/>
          <w:bCs/>
          <w:highlight w:val="none"/>
          <w:lang w:val="en-US" w:eastAsia="zh-CN"/>
        </w:rPr>
        <w:t>/</w:t>
      </w:r>
      <w:r>
        <w:rPr>
          <w:rFonts w:hint="eastAsia"/>
          <w:bCs/>
          <w:highlight w:val="none"/>
        </w:rPr>
        <w:t>服务</w:t>
      </w:r>
      <w:r>
        <w:rPr>
          <w:rFonts w:hint="eastAsia"/>
          <w:bCs/>
          <w:highlight w:val="none"/>
          <w:lang w:val="en-US" w:eastAsia="zh-CN"/>
        </w:rPr>
        <w:t>质量</w:t>
      </w:r>
      <w:r>
        <w:rPr>
          <w:rFonts w:hint="eastAsia"/>
          <w:bCs/>
          <w:highlight w:val="none"/>
        </w:rPr>
        <w:t>问题时，甲方有权直接向</w:t>
      </w:r>
      <w:r>
        <w:rPr>
          <w:rFonts w:hint="eastAsia"/>
          <w:bCs/>
          <w:highlight w:val="none"/>
          <w:lang w:eastAsia="zh-CN"/>
        </w:rPr>
        <w:t>乙</w:t>
      </w:r>
      <w:r>
        <w:rPr>
          <w:rFonts w:hint="eastAsia"/>
          <w:bCs/>
          <w:highlight w:val="none"/>
        </w:rPr>
        <w:t>方索赔，签订必要的书面处理协议。如协商不成，任何一方有权在合同签约地选择仲裁或诉讼的途径解决。</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kern w:val="0"/>
          <w:highlight w:val="none"/>
        </w:rPr>
      </w:pPr>
      <w:r>
        <w:rPr>
          <w:rFonts w:hint="eastAsia"/>
          <w:b/>
          <w:bCs/>
          <w:highlight w:val="none"/>
        </w:rPr>
        <w:t>第十</w:t>
      </w:r>
      <w:r>
        <w:rPr>
          <w:rFonts w:hint="eastAsia"/>
          <w:b/>
          <w:bCs/>
          <w:highlight w:val="none"/>
          <w:lang w:eastAsia="zh-CN"/>
        </w:rPr>
        <w:t>五</w:t>
      </w:r>
      <w:r>
        <w:rPr>
          <w:rFonts w:hint="eastAsia"/>
          <w:b/>
          <w:bCs/>
          <w:highlight w:val="none"/>
        </w:rPr>
        <w:t>条：</w:t>
      </w:r>
      <w:r>
        <w:rPr>
          <w:rFonts w:hint="eastAsia"/>
          <w:b/>
          <w:kern w:val="0"/>
          <w:highlight w:val="none"/>
        </w:rPr>
        <w:t>合同的生效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本合同经甲方、乙方和杭州好邦建筑工程咨询有限公司法定代表人或其委托人签字并加盖三方公章后生效。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kern w:val="0"/>
          <w:highlight w:val="none"/>
        </w:rPr>
      </w:pPr>
      <w:r>
        <w:rPr>
          <w:rFonts w:hint="eastAsia" w:cs="仿宋_GB2312"/>
          <w:kern w:val="0"/>
          <w:highlight w:val="none"/>
        </w:rPr>
        <w:t>本合同壹式陆份，甲乙双方各执贰份，杭州市富阳区财政局政府采购监督管理科执壹份，</w:t>
      </w:r>
      <w:r>
        <w:rPr>
          <w:rFonts w:hint="eastAsia" w:cs="仿宋_GB2312"/>
          <w:kern w:val="0"/>
          <w:highlight w:val="none"/>
          <w:lang w:eastAsia="zh-CN"/>
        </w:rPr>
        <w:t>代理机构</w:t>
      </w:r>
      <w:r>
        <w:rPr>
          <w:rFonts w:hint="eastAsia" w:cs="仿宋_GB2312"/>
          <w:kern w:val="0"/>
          <w:highlight w:val="none"/>
        </w:rPr>
        <w:t>执壹份。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第十六条：</w:t>
      </w:r>
      <w:r>
        <w:rPr>
          <w:rFonts w:hint="eastAsia" w:ascii="仿宋" w:hAnsi="仿宋" w:eastAsia="仿宋" w:cs="仿宋"/>
          <w:b/>
          <w:bCs/>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第十七条：</w:t>
      </w:r>
      <w:r>
        <w:rPr>
          <w:rFonts w:hint="eastAsia" w:ascii="仿宋" w:hAnsi="仿宋" w:eastAsia="仿宋" w:cs="仿宋"/>
          <w:b/>
          <w:bCs/>
          <w:sz w:val="24"/>
          <w:szCs w:val="24"/>
          <w:highlight w:val="none"/>
          <w:lang w:val="en-US" w:eastAsia="zh-CN"/>
        </w:rPr>
        <w:t>特别说明</w:t>
      </w:r>
    </w:p>
    <w:p>
      <w:pPr>
        <w:keepNext w:val="0"/>
        <w:keepLines w:val="0"/>
        <w:pageBreakBefore w:val="0"/>
        <w:widowControl w:val="0"/>
        <w:numPr>
          <w:ilvl w:val="0"/>
          <w:numId w:val="2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2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rPr>
      </w:pPr>
      <w:r>
        <w:rPr>
          <w:rFonts w:hint="eastAsia" w:cs="仿宋"/>
          <w:sz w:val="24"/>
          <w:szCs w:val="24"/>
          <w:highlight w:val="none"/>
          <w:lang w:val="en-US" w:eastAsia="zh-CN"/>
        </w:rPr>
        <w:t>3.</w:t>
      </w:r>
      <w:r>
        <w:rPr>
          <w:rFonts w:hint="eastAsia" w:ascii="仿宋" w:hAnsi="仿宋" w:eastAsia="仿宋" w:cs="仿宋"/>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第十八条：</w:t>
      </w:r>
      <w:r>
        <w:rPr>
          <w:rFonts w:hint="eastAsia" w:ascii="仿宋" w:hAnsi="仿宋" w:eastAsia="仿宋" w:cs="仿宋"/>
          <w:b/>
          <w:bCs/>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highlight w:val="cyan"/>
          <w:lang w:val="en-US" w:eastAsia="zh-CN"/>
        </w:rPr>
      </w:pPr>
      <w:r>
        <w:rPr>
          <w:rFonts w:hint="eastAsia" w:ascii="仿宋" w:hAnsi="仿宋" w:eastAsia="仿宋" w:cs="仿宋"/>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kern w:val="0"/>
        </w:rPr>
      </w:pPr>
      <w:r>
        <w:rPr>
          <w:rFonts w:hint="eastAsia" w:cs="仿宋_GB2312"/>
          <w:b/>
          <w:bCs/>
          <w:kern w:val="0"/>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法定代表人或受委托人（签字</w:t>
      </w:r>
      <w:r>
        <w:rPr>
          <w:rFonts w:hint="eastAsia" w:cs="仿宋_GB2312"/>
          <w:kern w:val="0"/>
          <w:lang w:val="en-US" w:eastAsia="zh-CN"/>
        </w:rPr>
        <w:t>或盖章</w:t>
      </w:r>
      <w:r>
        <w:rPr>
          <w:rFonts w:hint="eastAsia" w:cs="仿宋_GB2312"/>
          <w:kern w:val="0"/>
        </w:rPr>
        <w:t>）         法定代表人或受委托人（签字</w:t>
      </w:r>
      <w:r>
        <w:rPr>
          <w:rFonts w:hint="eastAsia" w:cs="仿宋_GB2312"/>
          <w:kern w:val="0"/>
          <w:lang w:val="en-US" w:eastAsia="zh-CN"/>
        </w:rPr>
        <w:t>或盖章</w:t>
      </w:r>
      <w:r>
        <w:rPr>
          <w:rFonts w:hint="eastAsia" w:cs="仿宋_GB2312"/>
          <w:kern w:val="0"/>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kern w:val="0"/>
        </w:rPr>
      </w:pPr>
      <w:r>
        <w:rPr>
          <w:rFonts w:hint="eastAsia" w:cs="仿宋_GB2312"/>
          <w:kern w:val="0"/>
        </w:rPr>
        <w:t>电话：                               电话：</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kern w:val="0"/>
        </w:rPr>
      </w:pPr>
      <w:r>
        <w:rPr>
          <w:rFonts w:hint="eastAsia" w:cs="仿宋_GB2312"/>
          <w:b/>
          <w:bCs/>
          <w:kern w:val="0"/>
        </w:rPr>
        <w:t>鉴证方（公章）：</w:t>
      </w:r>
    </w:p>
    <w:p>
      <w:pPr>
        <w:pageBreakBefore w:val="0"/>
        <w:widowControl/>
        <w:kinsoku/>
        <w:overflowPunct w:val="0"/>
        <w:autoSpaceDE w:val="0"/>
        <w:autoSpaceDN w:val="0"/>
        <w:bidi w:val="0"/>
        <w:adjustRightInd w:val="0"/>
        <w:snapToGrid w:val="0"/>
        <w:spacing w:beforeAutospacing="0" w:afterAutospacing="0" w:line="440" w:lineRule="exact"/>
        <w:ind w:leftChars="-1" w:hanging="2"/>
        <w:jc w:val="left"/>
        <w:textAlignment w:val="baseline"/>
        <w:rPr>
          <w:rFonts w:cs="仿宋_GB2312"/>
          <w:kern w:val="0"/>
        </w:rPr>
      </w:pPr>
      <w:r>
        <w:rPr>
          <w:rFonts w:hint="eastAsia" w:cs="仿宋_GB2312"/>
          <w:kern w:val="0"/>
        </w:rPr>
        <w:t>法定代表人或受委托人（签字</w:t>
      </w:r>
      <w:r>
        <w:rPr>
          <w:rFonts w:hint="eastAsia" w:cs="仿宋_GB2312"/>
          <w:kern w:val="0"/>
          <w:lang w:val="en-US" w:eastAsia="zh-CN"/>
        </w:rPr>
        <w:t>或盖章</w:t>
      </w:r>
      <w:r>
        <w:rPr>
          <w:rFonts w:hint="eastAsia" w:cs="仿宋_GB2312"/>
          <w:kern w:val="0"/>
        </w:rPr>
        <w:t>）</w:t>
      </w:r>
    </w:p>
    <w:p>
      <w:pPr>
        <w:pageBreakBefore w:val="0"/>
        <w:widowControl/>
        <w:kinsoku/>
        <w:overflowPunct w:val="0"/>
        <w:autoSpaceDE w:val="0"/>
        <w:autoSpaceDN w:val="0"/>
        <w:bidi w:val="0"/>
        <w:adjustRightInd w:val="0"/>
        <w:snapToGrid w:val="0"/>
        <w:spacing w:beforeAutospacing="0" w:afterAutospacing="0" w:line="440" w:lineRule="exact"/>
        <w:ind w:leftChars="-1" w:hanging="2"/>
        <w:jc w:val="left"/>
        <w:textAlignment w:val="baseline"/>
        <w:rPr>
          <w:rFonts w:cs="仿宋_GB2312"/>
          <w:kern w:val="0"/>
        </w:rPr>
      </w:pPr>
      <w:r>
        <w:rPr>
          <w:rFonts w:hint="eastAsia" w:cs="仿宋_GB2312"/>
          <w:kern w:val="0"/>
        </w:rPr>
        <w:t>地址：</w:t>
      </w:r>
    </w:p>
    <w:p>
      <w:pPr>
        <w:pageBreakBefore w:val="0"/>
        <w:widowControl/>
        <w:kinsoku/>
        <w:overflowPunct w:val="0"/>
        <w:autoSpaceDE w:val="0"/>
        <w:autoSpaceDN w:val="0"/>
        <w:bidi w:val="0"/>
        <w:adjustRightInd w:val="0"/>
        <w:snapToGrid w:val="0"/>
        <w:spacing w:beforeAutospacing="0" w:afterAutospacing="0" w:line="440" w:lineRule="exact"/>
        <w:ind w:leftChars="-1" w:hanging="2"/>
        <w:jc w:val="left"/>
        <w:textAlignment w:val="baseline"/>
        <w:rPr>
          <w:rFonts w:cs="仿宋_GB2312"/>
          <w:kern w:val="0"/>
        </w:rPr>
      </w:pPr>
      <w:r>
        <w:rPr>
          <w:rFonts w:hint="eastAsia" w:cs="仿宋_GB2312"/>
          <w:kern w:val="0"/>
        </w:rPr>
        <w:t>电话：　　　　　    传真：　</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kern w:val="0"/>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6"/>
        <w:pageBreakBefore w:val="0"/>
        <w:kinsoku/>
        <w:bidi w:val="0"/>
        <w:spacing w:beforeAutospacing="0" w:afterAutospacing="0" w:line="440" w:lineRule="exact"/>
      </w:pPr>
      <w:r>
        <w:rPr>
          <w:rFonts w:hint="eastAsia"/>
        </w:rPr>
        <w:t>第六章 投标文件格式附件</w:t>
      </w:r>
      <w:bookmarkEnd w:id="14"/>
    </w:p>
    <w:p>
      <w:pPr>
        <w:pageBreakBefore w:val="0"/>
        <w:widowControl/>
        <w:kinsoku/>
        <w:wordWrap w:val="0"/>
        <w:topLinePunct/>
        <w:bidi w:val="0"/>
        <w:snapToGrid w:val="0"/>
        <w:spacing w:beforeAutospacing="0" w:afterAutospacing="0" w:line="440" w:lineRule="exact"/>
        <w:rPr>
          <w:b/>
          <w:kern w:val="0"/>
          <w:sz w:val="28"/>
        </w:rPr>
      </w:pPr>
    </w:p>
    <w:p>
      <w:pPr>
        <w:pageBreakBefore w:val="0"/>
        <w:kinsoku/>
        <w:wordWrap w:val="0"/>
        <w:topLinePunct/>
        <w:bidi w:val="0"/>
        <w:spacing w:beforeAutospacing="0" w:afterAutospacing="0" w:line="440" w:lineRule="exact"/>
        <w:ind w:firstLine="480" w:firstLineChars="200"/>
      </w:pPr>
      <w:r>
        <w:rPr>
          <w:rFonts w:hint="eastAsia"/>
        </w:rPr>
        <w:t>投标人提交投标文件须知：</w:t>
      </w:r>
    </w:p>
    <w:p>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pPr>
        <w:pageBreakBefore w:val="0"/>
        <w:kinsoku/>
        <w:wordWrap w:val="0"/>
        <w:topLinePunct/>
        <w:bidi w:val="0"/>
        <w:spacing w:beforeAutospacing="0" w:afterAutospacing="0" w:line="440" w:lineRule="exact"/>
        <w:ind w:firstLine="480" w:firstLineChars="200"/>
      </w:pPr>
      <w:r>
        <w:rPr>
          <w:rFonts w:hint="eastAsia"/>
        </w:rPr>
        <w:t>（三）本声明书和投标响应函的签字人应保证全部声明和问题的回答是真实的和准确的。</w:t>
      </w:r>
    </w:p>
    <w:p>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pPr>
        <w:pageBreakBefore w:val="0"/>
        <w:kinsoku/>
        <w:wordWrap w:val="0"/>
        <w:topLinePunct/>
        <w:bidi w:val="0"/>
        <w:spacing w:beforeAutospacing="0" w:afterAutospacing="0"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pageBreakBefore w:val="0"/>
        <w:kinsoku/>
        <w:bidi w:val="0"/>
        <w:spacing w:beforeAutospacing="0" w:afterAutospacing="0" w:line="440" w:lineRule="exact"/>
        <w:rPr>
          <w:b/>
          <w:sz w:val="36"/>
          <w:szCs w:val="36"/>
        </w:rPr>
      </w:pPr>
      <w:r>
        <w:rPr>
          <w:b/>
          <w:sz w:val="36"/>
          <w:szCs w:val="36"/>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pageBreakBefore w:val="0"/>
        <w:kinsoku/>
        <w:bidi w:val="0"/>
        <w:spacing w:beforeAutospacing="0" w:afterAutospacing="0" w:line="440" w:lineRule="exact"/>
        <w:jc w:val="left"/>
      </w:pPr>
    </w:p>
    <w:p>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pPr>
        <w:pageBreakBefore w:val="0"/>
        <w:kinsoku/>
        <w:bidi w:val="0"/>
        <w:snapToGrid w:val="0"/>
        <w:spacing w:beforeAutospacing="0" w:afterAutospacing="0" w:line="440" w:lineRule="exact"/>
        <w:ind w:firstLine="630" w:firstLineChars="196"/>
        <w:rPr>
          <w:rFonts w:hint="eastAsia"/>
          <w:b/>
          <w:sz w:val="32"/>
        </w:rPr>
      </w:pPr>
    </w:p>
    <w:p>
      <w:pPr>
        <w:pageBreakBefore w:val="0"/>
        <w:kinsoku/>
        <w:bidi w:val="0"/>
        <w:snapToGrid w:val="0"/>
        <w:spacing w:beforeAutospacing="0" w:afterAutospacing="0" w:line="440" w:lineRule="exact"/>
        <w:ind w:firstLine="630" w:firstLineChars="196"/>
        <w:rPr>
          <w:rFonts w:hint="eastAsia"/>
          <w:b/>
          <w:sz w:val="32"/>
        </w:rPr>
      </w:pPr>
    </w:p>
    <w:p>
      <w:pPr>
        <w:pageBreakBefore w:val="0"/>
        <w:kinsoku/>
        <w:bidi w:val="0"/>
        <w:snapToGrid w:val="0"/>
        <w:spacing w:beforeAutospacing="0" w:afterAutospacing="0"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bidi w:val="0"/>
        <w:snapToGrid w:val="0"/>
        <w:spacing w:beforeAutospacing="0" w:afterAutospacing="0" w:line="440" w:lineRule="exact"/>
        <w:jc w:val="center"/>
        <w:rPr>
          <w:rFonts w:ascii="仿宋_GB2312" w:eastAsia="仿宋_GB2312"/>
        </w:rPr>
      </w:pPr>
    </w:p>
    <w:p>
      <w:pPr>
        <w:pStyle w:val="49"/>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0"/>
        <w:pageBreakBefore w:val="0"/>
        <w:kinsoku/>
        <w:bidi w:val="0"/>
        <w:spacing w:before="0" w:beforeAutospacing="0" w:after="0" w:afterAutospacing="0" w:line="440" w:lineRule="exact"/>
        <w:rPr>
          <w:rFonts w:ascii="仿宋_GB2312" w:eastAsia="仿宋_GB2312"/>
        </w:rPr>
      </w:pPr>
    </w:p>
    <w:p>
      <w:pPr>
        <w:pageBreakBefore w:val="0"/>
        <w:kinsoku/>
        <w:bidi w:val="0"/>
        <w:spacing w:beforeAutospacing="0" w:afterAutospacing="0" w:line="440" w:lineRule="exact"/>
      </w:pPr>
    </w:p>
    <w:p>
      <w:pPr>
        <w:pStyle w:val="106"/>
      </w:pPr>
    </w:p>
    <w:p>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u w:val="single"/>
        </w:rPr>
      </w:pPr>
      <w:r>
        <w:rPr>
          <w:rFonts w:hint="eastAsia"/>
        </w:rPr>
        <w:t>日期：</w:t>
      </w:r>
      <w:r>
        <w:rPr>
          <w:rFonts w:hint="eastAsia"/>
          <w:u w:val="single"/>
        </w:rPr>
        <w:t xml:space="preserve">       年     月     日</w:t>
      </w:r>
    </w:p>
    <w:p>
      <w:pPr>
        <w:pStyle w:val="10"/>
        <w:pageBreakBefore w:val="0"/>
        <w:kinsoku/>
        <w:bidi w:val="0"/>
        <w:spacing w:before="0" w:beforeAutospacing="0" w:after="0" w:afterAutospacing="0" w:line="440" w:lineRule="exact"/>
        <w:rPr>
          <w:u w:val="single"/>
        </w:rPr>
      </w:pPr>
    </w:p>
    <w:p>
      <w:pPr>
        <w:pageBreakBefore w:val="0"/>
        <w:kinsoku/>
        <w:bidi w:val="0"/>
        <w:spacing w:beforeAutospacing="0" w:afterAutospacing="0" w:line="440" w:lineRule="exact"/>
        <w:rPr>
          <w:u w:val="single"/>
        </w:rPr>
      </w:pPr>
    </w:p>
    <w:p>
      <w:pPr>
        <w:pStyle w:val="10"/>
        <w:pageBreakBefore w:val="0"/>
        <w:kinsoku/>
        <w:bidi w:val="0"/>
        <w:spacing w:before="0" w:beforeAutospacing="0" w:after="0" w:afterAutospacing="0" w:line="440" w:lineRule="exact"/>
        <w:ind w:left="0" w:firstLine="0"/>
      </w:pPr>
    </w:p>
    <w:p>
      <w:pPr>
        <w:pageBreakBefore w:val="0"/>
        <w:kinsoku/>
        <w:bidi w:val="0"/>
        <w:spacing w:beforeAutospacing="0" w:afterAutospacing="0" w:line="440" w:lineRule="exact"/>
      </w:pPr>
    </w:p>
    <w:p>
      <w:pPr>
        <w:pStyle w:val="7"/>
        <w:pageBreakBefore w:val="0"/>
        <w:kinsoku/>
        <w:bidi w:val="0"/>
        <w:spacing w:before="0" w:beforeAutospacing="0" w:after="0" w:afterAutospacing="0" w:line="440" w:lineRule="exact"/>
      </w:pPr>
    </w:p>
    <w:p>
      <w:pPr>
        <w:pageBreakBefore w:val="0"/>
        <w:kinsoku/>
        <w:bidi w:val="0"/>
        <w:spacing w:beforeAutospacing="0" w:afterAutospacing="0" w:line="440" w:lineRule="exact"/>
      </w:pPr>
    </w:p>
    <w:p>
      <w:pPr>
        <w:pageBreakBefore w:val="0"/>
        <w:kinsoku/>
        <w:bidi w:val="0"/>
        <w:spacing w:beforeAutospacing="0" w:afterAutospacing="0" w:line="440" w:lineRule="exact"/>
      </w:pPr>
    </w:p>
    <w:p>
      <w:pPr>
        <w:pageBreakBefore w:val="0"/>
        <w:kinsoku/>
        <w:bidi w:val="0"/>
        <w:snapToGrid w:val="0"/>
        <w:spacing w:beforeAutospacing="0" w:afterAutospacing="0" w:line="440" w:lineRule="exact"/>
        <w:jc w:val="both"/>
        <w:rPr>
          <w:rFonts w:hint="eastAsia"/>
          <w:b/>
          <w:sz w:val="32"/>
          <w:szCs w:val="32"/>
        </w:rPr>
      </w:pPr>
    </w:p>
    <w:p>
      <w:pPr>
        <w:pStyle w:val="106"/>
        <w:rPr>
          <w:rFonts w:hint="eastAsia"/>
          <w:b/>
          <w:sz w:val="32"/>
          <w:szCs w:val="32"/>
        </w:rPr>
      </w:pPr>
    </w:p>
    <w:p>
      <w:pP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pageBreakBefore w:val="0"/>
        <w:kinsoku/>
        <w:bidi w:val="0"/>
        <w:snapToGrid w:val="0"/>
        <w:spacing w:beforeAutospacing="0" w:afterAutospacing="0" w:line="440" w:lineRule="exact"/>
        <w:jc w:val="center"/>
        <w:rPr>
          <w:b/>
          <w:sz w:val="32"/>
          <w:szCs w:val="32"/>
        </w:rPr>
      </w:pPr>
      <w:r>
        <w:rPr>
          <w:rFonts w:hint="eastAsia"/>
          <w:b/>
          <w:sz w:val="32"/>
          <w:szCs w:val="32"/>
        </w:rPr>
        <w:t>法定代表人授权委托书</w:t>
      </w:r>
    </w:p>
    <w:p>
      <w:pPr>
        <w:pStyle w:val="49"/>
        <w:pageBreakBefore w:val="0"/>
        <w:kinsoku/>
        <w:bidi w:val="0"/>
        <w:spacing w:beforeLines="0" w:beforeAutospacing="0" w:afterLines="0" w:afterAutospacing="0" w:line="440" w:lineRule="exact"/>
        <w:rPr>
          <w:rFonts w:ascii="仿宋" w:hAnsi="仿宋"/>
        </w:rPr>
      </w:pPr>
      <w:r>
        <w:rPr>
          <w:rFonts w:hint="eastAsia" w:ascii="仿宋" w:hAnsi="仿宋"/>
        </w:rPr>
        <w:t>杭州好邦建筑工程咨询有限公司：</w:t>
      </w:r>
    </w:p>
    <w:p>
      <w:pPr>
        <w:pageBreakBefore w:val="0"/>
        <w:kinsoku/>
        <w:wordWrap w:val="0"/>
        <w:topLinePunct/>
        <w:bidi w:val="0"/>
        <w:snapToGrid w:val="0"/>
        <w:spacing w:beforeAutospacing="0" w:afterAutospacing="0"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pageBreakBefore w:val="0"/>
        <w:kinsoku/>
        <w:bidi w:val="0"/>
        <w:snapToGrid w:val="0"/>
        <w:spacing w:beforeAutospacing="0" w:afterAutospacing="0" w:line="440" w:lineRule="exact"/>
        <w:ind w:firstLine="480"/>
      </w:pPr>
      <w:r>
        <w:rPr>
          <w:rFonts w:hint="eastAsia"/>
        </w:rPr>
        <w:t>在撤销授权的书面通知以前，本授权书一直有效。授权代表在授权书有效期内签署的所有文件不因授权的撤销而失效。</w:t>
      </w:r>
    </w:p>
    <w:p>
      <w:pPr>
        <w:pageBreakBefore w:val="0"/>
        <w:kinsoku/>
        <w:bidi w:val="0"/>
        <w:snapToGrid w:val="0"/>
        <w:spacing w:beforeAutospacing="0" w:afterAutospacing="0" w:line="440" w:lineRule="exact"/>
        <w:ind w:firstLine="480"/>
      </w:pPr>
      <w:r>
        <w:rPr>
          <w:rFonts w:hint="eastAsia"/>
        </w:rPr>
        <w:t>授权代表无转委托权，特此委托。</w:t>
      </w:r>
    </w:p>
    <w:p>
      <w:pPr>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kinsoku/>
        <w:bidi w:val="0"/>
        <w:snapToGrid w:val="0"/>
        <w:spacing w:beforeAutospacing="0" w:afterAutospacing="0" w:line="440" w:lineRule="exact"/>
        <w:rPr>
          <w:rFonts w:ascii="仿宋_GB2312" w:hAnsi="宋体" w:eastAsia="仿宋_GB2312"/>
          <w:sz w:val="24"/>
          <w:szCs w:val="24"/>
        </w:rPr>
      </w:pPr>
      <w:r>
        <w:rPr>
          <w:rFonts w:hint="eastAsia" w:ascii="仿宋" w:hAnsi="仿宋" w:eastAsia="仿宋" w:cs="仿宋"/>
          <w:sz w:val="24"/>
          <w:szCs w:val="24"/>
        </w:rPr>
        <w:t>法定代表人（签名或</w:t>
      </w:r>
      <w:r>
        <w:rPr>
          <w:rFonts w:hint="eastAsia" w:cs="仿宋"/>
          <w:sz w:val="24"/>
          <w:szCs w:val="24"/>
          <w:lang w:eastAsia="zh-CN"/>
        </w:rPr>
        <w:t>盖</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kern w:val="0"/>
          <w:sz w:val="24"/>
          <w:highlight w:val="none"/>
          <w:u w:val="none"/>
          <w:lang w:val="zh-CN"/>
        </w:rPr>
      </w:pPr>
      <w:r>
        <w:rPr>
          <w:rFonts w:hint="eastAsia" w:ascii="仿宋" w:hAnsi="仿宋" w:eastAsia="仿宋" w:cs="仿宋"/>
          <w:sz w:val="24"/>
          <w:szCs w:val="24"/>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授权日期：</w:t>
      </w:r>
      <w:r>
        <w:rPr>
          <w:rFonts w:hint="eastAsia" w:ascii="仿宋" w:hAnsi="仿宋" w:eastAsia="仿宋" w:cs="仿宋"/>
          <w:sz w:val="24"/>
          <w:szCs w:val="24"/>
          <w:u w:val="single"/>
        </w:rPr>
        <w:t xml:space="preserve">     年   月   日</w:t>
      </w:r>
    </w:p>
    <w:p>
      <w:pPr>
        <w:pStyle w:val="1025"/>
        <w:pageBreakBefore w:val="0"/>
        <w:kinsoku/>
        <w:bidi w:val="0"/>
        <w:spacing w:beforeAutospacing="0" w:afterAutospacing="0" w:line="440" w:lineRule="exact"/>
        <w:ind w:firstLine="482" w:firstLineChars="200"/>
        <w:rPr>
          <w:rFonts w:hint="eastAsia" w:ascii="仿宋" w:hAnsi="仿宋" w:eastAsia="仿宋" w:cs="仿宋"/>
          <w:b/>
          <w:bCs w:val="0"/>
          <w:sz w:val="24"/>
          <w:lang w:eastAsia="zh-CN"/>
        </w:rPr>
      </w:pPr>
    </w:p>
    <w:p>
      <w:pPr>
        <w:pStyle w:val="1025"/>
        <w:pageBreakBefore w:val="0"/>
        <w:kinsoku/>
        <w:bidi w:val="0"/>
        <w:spacing w:beforeAutospacing="0" w:afterAutospacing="0" w:line="440" w:lineRule="exact"/>
        <w:rPr>
          <w:rFonts w:ascii="仿宋" w:hAnsi="仿宋" w:eastAsia="仿宋"/>
          <w:bCs/>
          <w:color w:val="auto"/>
          <w:sz w:val="24"/>
        </w:rPr>
      </w:pPr>
      <w:r>
        <w:rPr>
          <w:rFonts w:hint="eastAsia" w:ascii="仿宋" w:hAnsi="仿宋" w:eastAsia="仿宋" w:cs="仿宋"/>
          <w:b/>
          <w:bCs w:val="0"/>
          <w:sz w:val="24"/>
          <w:lang w:eastAsia="zh-CN"/>
        </w:rPr>
        <w:t>附授权代表的身份</w:t>
      </w:r>
      <w:r>
        <w:rPr>
          <w:rFonts w:hint="eastAsia" w:ascii="仿宋" w:hAnsi="仿宋" w:eastAsia="仿宋" w:cs="仿宋"/>
          <w:b/>
          <w:bCs w:val="0"/>
          <w:sz w:val="24"/>
        </w:rPr>
        <w:t>证件</w:t>
      </w:r>
      <w:r>
        <w:rPr>
          <w:rFonts w:hint="eastAsia" w:ascii="仿宋" w:hAnsi="仿宋" w:eastAsia="仿宋" w:cs="仿宋"/>
          <w:b/>
          <w:bCs w:val="0"/>
          <w:sz w:val="24"/>
          <w:lang w:eastAsia="zh-CN"/>
        </w:rPr>
        <w:t>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pPr>
              <w:pStyle w:val="1025"/>
              <w:pageBreakBefore w:val="0"/>
              <w:kinsoku/>
              <w:bidi w:val="0"/>
              <w:spacing w:beforeAutospacing="0" w:afterAutospacing="0" w:line="440" w:lineRule="exact"/>
              <w:rPr>
                <w:rFonts w:ascii="仿宋" w:hAnsi="仿宋" w:eastAsia="仿宋"/>
                <w:bCs/>
                <w:color w:val="auto"/>
                <w:sz w:val="24"/>
              </w:rPr>
            </w:pPr>
            <w:r>
              <w:rPr>
                <w:rFonts w:hint="eastAsia" w:ascii="仿宋" w:hAnsi="仿宋" w:eastAsia="仿宋"/>
                <w:bCs/>
                <w:color w:val="auto"/>
                <w:sz w:val="24"/>
              </w:rPr>
              <w:t>正面：                                 反面：</w:t>
            </w:r>
          </w:p>
        </w:tc>
      </w:tr>
    </w:tbl>
    <w:p>
      <w:pPr>
        <w:pStyle w:val="838"/>
        <w:pageBreakBefore w:val="0"/>
        <w:kinsoku/>
        <w:bidi w:val="0"/>
        <w:snapToGrid w:val="0"/>
        <w:spacing w:beforeAutospacing="0" w:afterAutospacing="0" w:line="440" w:lineRule="exact"/>
        <w:jc w:val="left"/>
        <w:rPr>
          <w:rFonts w:hint="eastAsia" w:ascii="仿宋" w:hAnsi="仿宋" w:eastAsia="仿宋" w:cs="仿宋"/>
          <w:b/>
          <w:bCs w:val="0"/>
          <w:color w:val="auto"/>
          <w:kern w:val="2"/>
          <w:sz w:val="24"/>
          <w:szCs w:val="21"/>
          <w:highlight w:val="none"/>
          <w:lang w:val="zh-CN" w:eastAsia="zh-CN" w:bidi="ar-SA"/>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bCs w:val="0"/>
          <w:kern w:val="2"/>
          <w:sz w:val="24"/>
          <w:szCs w:val="21"/>
          <w:lang w:val="zh-CN" w:eastAsia="zh-CN" w:bidi="ar-SA"/>
        </w:rPr>
        <w:t>（</w:t>
      </w:r>
      <w:r>
        <w:rPr>
          <w:rFonts w:hint="eastAsia" w:ascii="仿宋" w:hAnsi="仿宋" w:eastAsia="仿宋" w:cs="仿宋"/>
          <w:b/>
          <w:bCs w:val="0"/>
          <w:kern w:val="2"/>
          <w:sz w:val="24"/>
          <w:szCs w:val="21"/>
          <w:lang w:val="en-US" w:eastAsia="zh-CN" w:bidi="ar-SA"/>
        </w:rPr>
        <w:t>注：如法定代表人直接参加投标并对相应文件签字的，只需提供其身份证复印件正反面</w:t>
      </w:r>
      <w:r>
        <w:rPr>
          <w:rFonts w:hint="eastAsia" w:ascii="仿宋" w:hAnsi="仿宋" w:eastAsia="仿宋" w:cs="仿宋"/>
          <w:b/>
          <w:bCs w:val="0"/>
          <w:color w:val="auto"/>
          <w:kern w:val="2"/>
          <w:sz w:val="24"/>
          <w:szCs w:val="21"/>
          <w:highlight w:val="none"/>
          <w:lang w:val="en-US" w:eastAsia="zh-CN" w:bidi="ar-SA"/>
        </w:rPr>
        <w:t>。</w:t>
      </w: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Times New Roman"/>
          <w:b/>
          <w:bCs/>
          <w:color w:val="auto"/>
          <w:sz w:val="24"/>
          <w:highlight w:val="none"/>
        </w:rPr>
        <w:t>▲投标文件中法定代表人授权委托书所载内容与本项目内容有异的，投标无效</w:t>
      </w:r>
      <w:r>
        <w:rPr>
          <w:rFonts w:hint="eastAsia" w:ascii="仿宋" w:hAnsi="仿宋" w:eastAsia="仿宋" w:cs="Times New Roman"/>
          <w:b/>
          <w:bCs/>
          <w:color w:val="auto"/>
          <w:sz w:val="24"/>
          <w:highlight w:val="none"/>
          <w:lang w:eastAsia="zh-CN"/>
        </w:rPr>
        <w:t>。</w:t>
      </w:r>
    </w:p>
    <w:p>
      <w:pPr>
        <w:snapToGrid w:val="0"/>
        <w:spacing w:line="360" w:lineRule="auto"/>
        <w:ind w:right="480"/>
        <w:jc w:val="center"/>
        <w:rPr>
          <w:rFonts w:hint="eastAsia" w:ascii="仿宋" w:hAnsi="仿宋" w:eastAsia="仿宋" w:cs="仿宋"/>
          <w:b/>
          <w:kern w:val="0"/>
          <w:sz w:val="24"/>
          <w:szCs w:val="24"/>
          <w:highlight w:val="none"/>
        </w:rPr>
      </w:pPr>
      <w:r>
        <w:rPr>
          <w:rFonts w:hint="eastAsia" w:ascii="仿宋_GB2312" w:hAnsi="宋体" w:eastAsia="仿宋_GB2312" w:cs="Times New Roman"/>
          <w:b/>
          <w:bCs w:val="0"/>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rPr>
      </w:pPr>
      <w:r>
        <w:rPr>
          <w:rFonts w:hint="eastAsia" w:ascii="仿宋" w:hAnsi="仿宋" w:eastAsia="仿宋" w:cs="仿宋"/>
          <w:bCs/>
          <w:sz w:val="24"/>
          <w:szCs w:val="24"/>
        </w:rPr>
        <w:t>杭州好邦建筑工程咨询有限公司：</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2、为采购项目提供整体设计、规范编制或者项目管理、监理、检测等服务后再参加该采购项目的其他采购活动的。</w:t>
      </w:r>
    </w:p>
    <w:p>
      <w:pPr>
        <w:pStyle w:val="838"/>
        <w:snapToGrid w:val="0"/>
        <w:spacing w:before="156" w:line="360" w:lineRule="auto"/>
        <w:ind w:firstLine="3120" w:firstLineChars="1300"/>
        <w:rPr>
          <w:rFonts w:hint="eastAsia" w:ascii="仿宋" w:hAnsi="仿宋" w:eastAsia="仿宋" w:cs="仿宋"/>
          <w:sz w:val="24"/>
          <w:szCs w:val="24"/>
          <w:highlight w:val="none"/>
        </w:rPr>
      </w:pPr>
    </w:p>
    <w:p>
      <w:pPr>
        <w:pStyle w:val="838"/>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Style w:val="7"/>
        <w:rPr>
          <w:rFonts w:hint="eastAsia" w:ascii="仿宋" w:hAnsi="仿宋" w:eastAsia="仿宋" w:cs="仿宋"/>
          <w:sz w:val="24"/>
          <w:szCs w:val="24"/>
          <w:highlight w:val="none"/>
          <w:u w:val="single"/>
        </w:rPr>
      </w:pPr>
    </w:p>
    <w:p>
      <w:pPr>
        <w:rPr>
          <w:rFonts w:hint="eastAsia" w:eastAsia="仿宋"/>
          <w:highlight w:val="none"/>
          <w:u w:val="none"/>
          <w:lang w:val="en-US" w:eastAsia="zh-CN"/>
        </w:rPr>
        <w:sectPr>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highlight w:val="none"/>
          <w:u w:val="none"/>
          <w:lang w:eastAsia="zh-CN"/>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pPr>
        <w:pageBreakBefore w:val="0"/>
        <w:widowControl/>
        <w:kinsoku/>
        <w:bidi w:val="0"/>
        <w:spacing w:beforeAutospacing="0" w:afterAutospacing="0" w:line="440" w:lineRule="exact"/>
        <w:jc w:val="left"/>
        <w:rPr>
          <w:b/>
          <w:sz w:val="32"/>
          <w:szCs w:val="32"/>
        </w:rPr>
      </w:pPr>
    </w:p>
    <w:p>
      <w:pPr>
        <w:pageBreakBefore w:val="0"/>
        <w:widowControl/>
        <w:kinsoku/>
        <w:bidi w:val="0"/>
        <w:spacing w:beforeAutospacing="0" w:afterAutospacing="0" w:line="440" w:lineRule="exact"/>
        <w:jc w:val="left"/>
        <w:rPr>
          <w:b/>
          <w:sz w:val="32"/>
          <w:szCs w:val="32"/>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sz w:val="32"/>
          <w:szCs w:val="32"/>
        </w:rPr>
      </w:pPr>
      <w:r>
        <w:rPr>
          <w:b/>
          <w:sz w:val="32"/>
          <w:szCs w:val="32"/>
        </w:rPr>
        <w:br w:type="page"/>
      </w:r>
    </w:p>
    <w:p>
      <w:pPr>
        <w:pageBreakBefore w:val="0"/>
        <w:kinsoku/>
        <w:bidi w:val="0"/>
        <w:spacing w:beforeAutospacing="0" w:afterAutospacing="0" w:line="440" w:lineRule="exact"/>
        <w:jc w:val="center"/>
        <w:rPr>
          <w:rFonts w:hint="eastAsia"/>
          <w:b/>
          <w:bCs/>
          <w:sz w:val="30"/>
          <w:szCs w:val="30"/>
        </w:rPr>
      </w:pPr>
    </w:p>
    <w:p>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pPr>
        <w:pageBreakBefore w:val="0"/>
        <w:kinsoku/>
        <w:bidi w:val="0"/>
        <w:spacing w:beforeAutospacing="0" w:afterAutospacing="0" w:line="440" w:lineRule="exact"/>
        <w:jc w:val="center"/>
      </w:pPr>
      <w:r>
        <w:rPr>
          <w:rFonts w:hint="eastAsia"/>
        </w:rPr>
        <w:t>（此表请放于商务技术投标文件正文首页）</w:t>
      </w:r>
    </w:p>
    <w:p>
      <w:pPr>
        <w:pageBreakBefore w:val="0"/>
        <w:kinsoku/>
        <w:bidi w:val="0"/>
        <w:spacing w:beforeAutospacing="0" w:afterAutospacing="0" w:line="440" w:lineRule="exact"/>
        <w:jc w:val="both"/>
        <w:rPr>
          <w:rFonts w:hint="eastAsia" w:eastAsia="仿宋"/>
          <w:color w:val="FF0000"/>
          <w:highlight w:val="green"/>
          <w:lang w:eastAsia="zh-CN"/>
        </w:rPr>
      </w:pPr>
      <w:r>
        <w:rPr>
          <w:rFonts w:hint="eastAsia"/>
        </w:rPr>
        <w:t>项目名称：</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投标响应函</w:t>
            </w:r>
            <w:r>
              <w:rPr>
                <w:rFonts w:hint="eastAsia"/>
                <w:color w:val="auto"/>
                <w:highlight w:val="none"/>
              </w:rPr>
              <w:t>（格式见附件）；</w:t>
            </w: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rPr>
              <w:t>投标人情况介绍(格式见附件)；</w:t>
            </w: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pPr>
        <w:pageBreakBefore w:val="0"/>
        <w:kinsoku/>
        <w:bidi w:val="0"/>
        <w:spacing w:beforeAutospacing="0" w:afterAutospacing="0" w:line="440" w:lineRule="exact"/>
        <w:rPr>
          <w:b/>
          <w:sz w:val="32"/>
          <w:szCs w:val="32"/>
        </w:rPr>
      </w:pPr>
    </w:p>
    <w:p>
      <w:pPr>
        <w:pStyle w:val="10"/>
        <w:pageBreakBefore w:val="0"/>
        <w:kinsoku/>
        <w:bidi w:val="0"/>
        <w:spacing w:before="0" w:beforeAutospacing="0" w:after="0" w:afterAutospacing="0" w:line="440" w:lineRule="exact"/>
        <w:rPr>
          <w:b/>
          <w:sz w:val="32"/>
          <w:szCs w:val="32"/>
        </w:rPr>
      </w:pPr>
    </w:p>
    <w:p>
      <w:pPr>
        <w:pageBreakBefore w:val="0"/>
        <w:kinsoku/>
        <w:bidi w:val="0"/>
        <w:spacing w:beforeAutospacing="0" w:afterAutospacing="0" w:line="440" w:lineRule="exact"/>
        <w:rPr>
          <w:b/>
          <w:sz w:val="32"/>
          <w:szCs w:val="32"/>
        </w:rPr>
      </w:pPr>
    </w:p>
    <w:p>
      <w:pPr>
        <w:pStyle w:val="106"/>
      </w:pPr>
    </w:p>
    <w:p>
      <w:pPr>
        <w:pageBreakBefore w:val="0"/>
        <w:kinsoku/>
        <w:bidi w:val="0"/>
        <w:spacing w:beforeAutospacing="0" w:afterAutospacing="0" w:line="440" w:lineRule="exact"/>
      </w:pPr>
    </w:p>
    <w:p>
      <w:pPr>
        <w:pageBreakBefore w:val="0"/>
        <w:kinsoku/>
        <w:bidi w:val="0"/>
        <w:spacing w:beforeAutospacing="0" w:afterAutospacing="0" w:line="440" w:lineRule="exact"/>
        <w:jc w:val="center"/>
        <w:rPr>
          <w:rFonts w:hint="eastAsia"/>
          <w:b/>
          <w:bCs/>
          <w:sz w:val="30"/>
          <w:szCs w:val="30"/>
          <w:lang w:eastAsia="zh-CN"/>
        </w:rPr>
      </w:pPr>
      <w:r>
        <w:rPr>
          <w:rFonts w:hint="eastAsia"/>
          <w:b/>
          <w:bCs/>
          <w:sz w:val="30"/>
          <w:szCs w:val="30"/>
          <w:lang w:eastAsia="zh-CN"/>
        </w:rPr>
        <w:t>投标响应函</w:t>
      </w:r>
    </w:p>
    <w:p>
      <w:pPr>
        <w:pStyle w:val="49"/>
        <w:pageBreakBefore w:val="0"/>
        <w:kinsoku/>
        <w:bidi w:val="0"/>
        <w:spacing w:beforeLines="0" w:beforeAutospacing="0" w:afterLines="0" w:afterAutospacing="0" w:line="440" w:lineRule="exact"/>
        <w:rPr>
          <w:rFonts w:ascii="仿宋" w:hAnsi="仿宋"/>
          <w:color w:val="auto"/>
          <w:sz w:val="24"/>
          <w:szCs w:val="24"/>
          <w:highlight w:val="none"/>
        </w:rPr>
      </w:pPr>
      <w:r>
        <w:rPr>
          <w:rFonts w:hint="eastAsia" w:ascii="仿宋" w:hAnsi="仿宋"/>
          <w:color w:val="auto"/>
          <w:sz w:val="24"/>
          <w:szCs w:val="24"/>
          <w:highlight w:val="none"/>
        </w:rPr>
        <w:t>杭州好邦建筑工程咨询有限公司：</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我</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的法定代表人，授权</w:t>
      </w:r>
      <w:r>
        <w:rPr>
          <w:rFonts w:hint="eastAsia" w:ascii="仿宋" w:hAnsi="仿宋" w:eastAsia="仿宋" w:cs="仿宋"/>
          <w:color w:val="auto"/>
          <w:sz w:val="24"/>
          <w:szCs w:val="24"/>
          <w:highlight w:val="none"/>
          <w:u w:val="single"/>
        </w:rPr>
        <w:t xml:space="preserve">  （全名、职务）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为全权代表，参加贵方组织的</w:t>
      </w:r>
      <w:r>
        <w:rPr>
          <w:rFonts w:hint="eastAsia" w:ascii="仿宋" w:hAnsi="仿宋" w:eastAsia="仿宋" w:cs="仿宋"/>
          <w:color w:val="auto"/>
          <w:sz w:val="24"/>
          <w:szCs w:val="24"/>
          <w:highlight w:val="none"/>
          <w:u w:val="single"/>
        </w:rPr>
        <w:t xml:space="preserve">           （招标项目名称）        项目（项目编号：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）采购的有关活动，并对此项目进行投标。为此，我方就本次投标有关事项郑重声明如下：</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1.我方承诺已经具备《中华人民共和国政府采购法》中规定的参加政府采购活动的供应商应当具备的条件：</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（1）具有独立承担民事责任能力；</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color w:val="auto"/>
          <w:kern w:val="0"/>
          <w:sz w:val="24"/>
          <w:szCs w:val="24"/>
          <w:highlight w:val="none"/>
        </w:rPr>
        <w:t>（2）遵守国家法律、行政法规，具有良好</w:t>
      </w:r>
      <w:r>
        <w:rPr>
          <w:rFonts w:hint="eastAsia" w:ascii="仿宋" w:hAnsi="仿宋" w:eastAsia="仿宋" w:cs="仿宋"/>
          <w:color w:val="auto"/>
          <w:kern w:val="0"/>
          <w:sz w:val="24"/>
          <w:szCs w:val="24"/>
          <w:highlight w:val="none"/>
          <w:u w:val="none"/>
        </w:rPr>
        <w:t>的商业信誉</w:t>
      </w:r>
      <w:r>
        <w:rPr>
          <w:rFonts w:hint="eastAsia" w:ascii="仿宋" w:hAnsi="仿宋" w:eastAsia="仿宋" w:cs="仿宋"/>
          <w:color w:val="auto"/>
          <w:kern w:val="0"/>
          <w:sz w:val="24"/>
          <w:szCs w:val="24"/>
          <w:highlight w:val="none"/>
          <w:u w:val="none"/>
          <w:lang w:eastAsia="zh-CN"/>
        </w:rPr>
        <w:t>、商业道德</w:t>
      </w:r>
      <w:r>
        <w:rPr>
          <w:rFonts w:hint="eastAsia" w:ascii="仿宋" w:hAnsi="仿宋" w:eastAsia="仿宋" w:cs="仿宋"/>
          <w:color w:val="auto"/>
          <w:kern w:val="0"/>
          <w:sz w:val="24"/>
          <w:szCs w:val="24"/>
          <w:highlight w:val="none"/>
          <w:u w:val="none"/>
        </w:rPr>
        <w:t>和健全的财务会计制度；</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（3）具有履行合同所必需的设备和专业技术能力</w:t>
      </w:r>
      <w:r>
        <w:rPr>
          <w:rFonts w:hint="eastAsia" w:ascii="仿宋" w:hAnsi="仿宋" w:eastAsia="仿宋" w:cs="仿宋_GB2312"/>
          <w:color w:val="auto"/>
          <w:sz w:val="24"/>
          <w:szCs w:val="24"/>
          <w:highlight w:val="none"/>
          <w:u w:val="none"/>
        </w:rPr>
        <w:t>；</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（5）遵守中华人民共和国政府采购有关规定，没有违反政府采购法规、政策的记录；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（6）具有良好的财务状况以及良好的履行合同的能力和记录；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（7）产品及生产所需装备符合中国政府规定的相应技术标准和环保标准；</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u w:val="none"/>
        </w:rPr>
        <w:t>（8）没有违反政府采购法规、政策的记录</w:t>
      </w:r>
      <w:r>
        <w:rPr>
          <w:rFonts w:hint="eastAsia" w:ascii="仿宋" w:hAnsi="仿宋" w:eastAsia="仿宋" w:cs="仿宋"/>
          <w:color w:val="auto"/>
          <w:kern w:val="0"/>
          <w:sz w:val="24"/>
          <w:szCs w:val="24"/>
          <w:highlight w:val="none"/>
          <w:u w:val="none"/>
          <w:lang w:eastAsia="zh-CN"/>
        </w:rPr>
        <w:t>。</w:t>
      </w:r>
    </w:p>
    <w:p>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2.我方同意在招标文件规定的开标日期起遵守本投标文件中的承诺且在投标有效期满之前均具有约束力。</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3.本项目实行电子投标，须提供投标人须知规定的全部投标文件，供应商应准备电子投标文件</w:t>
      </w:r>
      <w:r>
        <w:rPr>
          <w:rFonts w:hint="eastAsia" w:ascii="仿宋" w:hAnsi="仿宋" w:eastAsia="仿宋" w:cs="仿宋"/>
          <w:color w:val="auto"/>
          <w:kern w:val="0"/>
          <w:sz w:val="24"/>
          <w:szCs w:val="24"/>
          <w:highlight w:val="none"/>
          <w:u w:val="none"/>
          <w:lang w:eastAsia="zh-CN"/>
        </w:rPr>
        <w:t>及</w:t>
      </w:r>
      <w:r>
        <w:rPr>
          <w:rFonts w:hint="eastAsia" w:ascii="仿宋" w:hAnsi="仿宋" w:eastAsia="仿宋" w:cs="仿宋"/>
          <w:color w:val="auto"/>
          <w:sz w:val="24"/>
          <w:szCs w:val="24"/>
          <w:highlight w:val="none"/>
          <w:u w:val="none"/>
        </w:rPr>
        <w:t>其他要求投标人提交的全部</w:t>
      </w:r>
      <w:r>
        <w:rPr>
          <w:rFonts w:hint="eastAsia" w:ascii="仿宋" w:hAnsi="仿宋" w:eastAsia="仿宋" w:cs="仿宋"/>
          <w:color w:val="auto"/>
          <w:sz w:val="24"/>
          <w:szCs w:val="24"/>
          <w:highlight w:val="none"/>
          <w:u w:val="none"/>
          <w:lang w:eastAsia="zh-CN"/>
        </w:rPr>
        <w:t>材料</w:t>
      </w:r>
      <w:r>
        <w:rPr>
          <w:rFonts w:hint="eastAsia" w:ascii="仿宋" w:hAnsi="仿宋" w:eastAsia="仿宋" w:cs="仿宋"/>
          <w:color w:val="auto"/>
          <w:kern w:val="0"/>
          <w:sz w:val="24"/>
          <w:szCs w:val="24"/>
          <w:highlight w:val="none"/>
          <w:u w:val="none"/>
        </w:rPr>
        <w:t>，按政采云平台项目采购-电子招投标操作指南及本招标文件要求递交。</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4.按招标文件要求提供和交付的货物和服务的投标报价详见</w:t>
      </w:r>
      <w:r>
        <w:rPr>
          <w:rFonts w:hint="eastAsia" w:cs="仿宋"/>
          <w:color w:val="auto"/>
          <w:sz w:val="24"/>
          <w:szCs w:val="24"/>
          <w:highlight w:val="none"/>
          <w:u w:val="none"/>
          <w:lang w:val="en-US" w:eastAsia="zh-CN"/>
        </w:rPr>
        <w:t>开标</w:t>
      </w:r>
      <w:r>
        <w:rPr>
          <w:rFonts w:hint="eastAsia" w:ascii="仿宋" w:hAnsi="仿宋" w:eastAsia="仿宋" w:cs="仿宋"/>
          <w:color w:val="auto"/>
          <w:sz w:val="24"/>
          <w:szCs w:val="24"/>
          <w:highlight w:val="none"/>
          <w:u w:val="none"/>
        </w:rPr>
        <w:t>一览表。</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5.我方已详细审查全部招标文件，</w:t>
      </w:r>
      <w:r>
        <w:rPr>
          <w:rFonts w:hint="eastAsia" w:ascii="仿宋" w:hAnsi="仿宋" w:eastAsia="仿宋" w:cs="仿宋_GB2312"/>
          <w:color w:val="auto"/>
          <w:sz w:val="24"/>
          <w:szCs w:val="24"/>
          <w:highlight w:val="none"/>
          <w:u w:val="none"/>
        </w:rPr>
        <w:t>包括招标文件</w:t>
      </w:r>
      <w:r>
        <w:rPr>
          <w:rFonts w:hint="eastAsia" w:ascii="仿宋" w:hAnsi="仿宋" w:eastAsia="仿宋" w:cs="仿宋_GB2312"/>
          <w:color w:val="auto"/>
          <w:sz w:val="24"/>
          <w:szCs w:val="24"/>
          <w:highlight w:val="none"/>
          <w:u w:val="none"/>
          <w:lang w:eastAsia="zh-CN"/>
        </w:rPr>
        <w:t>澄清修改内容</w:t>
      </w:r>
      <w:r>
        <w:rPr>
          <w:rFonts w:hint="eastAsia" w:ascii="仿宋" w:hAnsi="仿宋" w:eastAsia="仿宋" w:cs="仿宋_GB2312"/>
          <w:color w:val="auto"/>
          <w:sz w:val="24"/>
          <w:szCs w:val="24"/>
          <w:highlight w:val="none"/>
          <w:u w:val="none"/>
        </w:rPr>
        <w:t>(如果有)、参考资料及有关附件，</w:t>
      </w:r>
      <w:r>
        <w:rPr>
          <w:rFonts w:hint="eastAsia" w:ascii="仿宋" w:hAnsi="仿宋" w:eastAsia="仿宋" w:cs="仿宋"/>
          <w:color w:val="auto"/>
          <w:sz w:val="24"/>
          <w:szCs w:val="24"/>
          <w:highlight w:val="none"/>
          <w:u w:val="none"/>
        </w:rPr>
        <w:t>确认无误，同意并保证遵守招标文件（包括答疑文件、补充文件等）的各项规定和要求。</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w:t>
      </w:r>
      <w:r>
        <w:rPr>
          <w:rFonts w:hint="eastAsia" w:ascii="仿宋" w:hAnsi="仿宋" w:eastAsia="仿宋" w:cs="仿宋"/>
          <w:color w:val="auto"/>
          <w:sz w:val="24"/>
          <w:szCs w:val="24"/>
          <w:highlight w:val="none"/>
          <w:u w:val="none"/>
          <w:lang w:eastAsia="zh-CN"/>
        </w:rPr>
        <w:t>我方同意在中标后按时签订合同</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szCs w:val="24"/>
          <w:highlight w:val="none"/>
          <w:u w:val="none"/>
          <w:lang w:eastAsia="zh-CN"/>
        </w:rPr>
        <w:t>我方</w:t>
      </w:r>
      <w:r>
        <w:rPr>
          <w:rFonts w:hint="eastAsia" w:ascii="仿宋" w:hAnsi="仿宋" w:eastAsia="仿宋" w:cs="仿宋"/>
          <w:color w:val="auto"/>
          <w:kern w:val="0"/>
          <w:sz w:val="24"/>
          <w:szCs w:val="24"/>
          <w:highlight w:val="none"/>
        </w:rPr>
        <w:t>保证遵守招标文件中的其他有关规定。</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8.我方愿意向贵方提供任何与该项投标有关的数据、情况和技术资料。若贵方需要，我方愿意提供我方作出的一切承诺的证明材料</w:t>
      </w:r>
      <w:r>
        <w:rPr>
          <w:rFonts w:hint="eastAsia" w:ascii="仿宋" w:hAnsi="仿宋" w:eastAsia="仿宋" w:cs="仿宋"/>
          <w:color w:val="auto"/>
          <w:kern w:val="0"/>
          <w:sz w:val="24"/>
          <w:szCs w:val="24"/>
          <w:highlight w:val="none"/>
          <w:lang w:eastAsia="zh-CN"/>
        </w:rPr>
        <w:t>。我方</w:t>
      </w:r>
      <w:r>
        <w:rPr>
          <w:rFonts w:hint="eastAsia" w:ascii="仿宋" w:hAnsi="仿宋" w:eastAsia="仿宋" w:cs="仿宋"/>
          <w:color w:val="auto"/>
          <w:kern w:val="0"/>
          <w:sz w:val="24"/>
          <w:szCs w:val="24"/>
          <w:highlight w:val="none"/>
        </w:rPr>
        <w:t>理解贵方不一定要接受最低价的投标或收到的任何投标。</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9.我方向贵方提交的所有投标文件、资料都是准确的和真实的。</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我方承诺投标有效期从提交投标文件的截止之日起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天，不少于招标文件中载明的投标有效期（从提交投标文件的截止之日起90天）。</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（1)提供虚假材料谋取中标、成交的；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（3)与采购人、其它供应商或者采购代理机构恶意串通的；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（5)在招标采购过程中与采购人进行协商谈判的；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（6)拒绝有关部门监督检查或提供虚假情况的。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供应商有前款第（1)至（5)项情形之一的，中标、成交无效。</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以上事项如有虚假或隐瞒，我方愿意承担一切后果，并不再寻求任何旨在减轻或免除法律责任的辩解。</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与本投标有关的一切正式往来通讯请</w:t>
      </w:r>
      <w:r>
        <w:rPr>
          <w:rFonts w:hint="eastAsia" w:ascii="仿宋" w:hAnsi="仿宋" w:eastAsia="仿宋" w:cs="仿宋"/>
          <w:color w:val="auto"/>
          <w:sz w:val="24"/>
          <w:szCs w:val="24"/>
          <w:highlight w:val="none"/>
          <w:u w:val="none"/>
          <w:lang w:eastAsia="zh-CN"/>
        </w:rPr>
        <w:t>联系</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rPr>
        <w:t>法定代表人或授权代表</w:t>
      </w:r>
      <w:r>
        <w:rPr>
          <w:rFonts w:hint="eastAsia" w:ascii="仿宋" w:hAnsi="仿宋" w:eastAsia="仿宋" w:cs="仿宋"/>
          <w:color w:val="auto"/>
          <w:sz w:val="24"/>
          <w:szCs w:val="24"/>
          <w:highlight w:val="none"/>
        </w:rPr>
        <w:t>（签名或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邮箱</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_GB2312" w:hAnsi="仿宋" w:eastAsia="仿宋_GB2312"/>
          <w:b/>
          <w:color w:val="auto"/>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▲注：未按照本投标响应函要求填报的将被视为非实质性响应投标。</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sz w:val="24"/>
          <w:highlight w:val="none"/>
        </w:rPr>
      </w:pPr>
      <w:r>
        <w:rPr>
          <w:rFonts w:hint="eastAsia" w:ascii="仿宋_GB2312" w:hAnsi="宋体" w:eastAsia="仿宋_GB2312" w:cs="Times New Roman"/>
          <w:b/>
          <w:kern w:val="2"/>
          <w:sz w:val="32"/>
          <w:szCs w:val="32"/>
          <w:highlight w:val="none"/>
          <w:lang w:val="en-US" w:eastAsia="zh-CN" w:bidi="ar-SA"/>
        </w:rPr>
        <w:t>政府采购供应商廉洁自律承诺书</w:t>
      </w:r>
      <w:r>
        <w:rPr>
          <w:rFonts w:hint="eastAsia" w:ascii="宋体" w:hAnsi="宋体" w:cs="宋体"/>
          <w:sz w:val="24"/>
          <w:highlight w:val="none"/>
        </w:rPr>
        <w:t> </w:t>
      </w:r>
    </w:p>
    <w:p>
      <w:pPr>
        <w:pageBreakBefore w:val="0"/>
        <w:kinsoku/>
        <w:bidi w:val="0"/>
        <w:spacing w:beforeAutospacing="0" w:afterAutospacing="0" w:line="440" w:lineRule="exact"/>
        <w:rPr>
          <w:rFonts w:hint="eastAsia" w:ascii="仿宋_GB2312" w:eastAsia="仿宋_GB2312" w:cs="仿宋_GB2312"/>
          <w:sz w:val="28"/>
          <w:szCs w:val="28"/>
          <w:highlight w:val="cyan"/>
          <w:lang w:eastAsia="zh-CN"/>
        </w:rPr>
      </w:pPr>
    </w:p>
    <w:p>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杭州好邦建筑工程咨询有限公司：</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pPr>
        <w:pStyle w:val="838"/>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pPr>
        <w:pStyle w:val="7"/>
        <w:pageBreakBefore w:val="0"/>
        <w:kinsoku/>
        <w:bidi w:val="0"/>
        <w:spacing w:before="0" w:beforeAutospacing="0" w:after="0" w:afterAutospacing="0" w:line="440" w:lineRule="exact"/>
        <w:rPr>
          <w:rFonts w:hint="eastAsia" w:ascii="仿宋" w:hAnsi="仿宋" w:eastAsia="仿宋" w:cs="仿宋"/>
          <w:sz w:val="24"/>
          <w:szCs w:val="24"/>
          <w:highlight w:val="none"/>
        </w:rPr>
      </w:pPr>
    </w:p>
    <w:p>
      <w:pPr>
        <w:pageBreakBefore w:val="0"/>
        <w:kinsoku/>
        <w:bidi w:val="0"/>
        <w:spacing w:beforeAutospacing="0" w:afterAutospacing="0" w:line="440" w:lineRule="exact"/>
        <w:rPr>
          <w:rFonts w:hint="eastAsia" w:ascii="仿宋" w:hAnsi="仿宋" w:eastAsia="仿宋" w:cs="仿宋"/>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sz w:val="24"/>
          <w:highlight w:val="cyan"/>
        </w:rPr>
      </w:pPr>
    </w:p>
    <w:p>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rPr>
        <w:t>杭州好邦建筑工程咨询有限公司：</w:t>
      </w:r>
      <w:r>
        <w:rPr>
          <w:rFonts w:hint="eastAsia" w:ascii="仿宋" w:hAnsi="仿宋" w:eastAsia="仿宋" w:cs="仿宋"/>
          <w:color w:val="000000"/>
          <w:sz w:val="24"/>
          <w:szCs w:val="24"/>
          <w:highlight w:val="none"/>
          <w:lang w:val="zh-CN"/>
        </w:rPr>
        <w:t xml:space="preserve">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pPr>
        <w:pStyle w:val="838"/>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sz w:val="24"/>
          <w:highlight w:val="cya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Style w:val="106"/>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6"/>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6"/>
        <w:rPr>
          <w:rFonts w:hint="eastAsia"/>
          <w:lang w:val="en-US" w:eastAsia="zh-C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sz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杭州好邦建筑工程咨询有限公司：</w:t>
      </w:r>
      <w:r>
        <w:rPr>
          <w:rFonts w:hint="eastAsia" w:ascii="仿宋" w:hAnsi="仿宋" w:eastAsia="仿宋" w:cs="仿宋"/>
          <w:color w:val="auto"/>
          <w:sz w:val="24"/>
          <w:szCs w:val="24"/>
          <w:highlight w:val="none"/>
          <w:lang w:val="zh-CN"/>
        </w:rPr>
        <w:t xml:space="preserve">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sectPr>
          <w:pgSz w:w="11906" w:h="16838"/>
          <w:pgMar w:top="1247" w:right="1418" w:bottom="1276" w:left="1418" w:header="851" w:footer="992" w:gutter="0"/>
          <w:cols w:space="720" w:num="1"/>
          <w:titlePg/>
          <w:docGrid w:linePitch="312" w:charSpace="0"/>
        </w:sectPr>
      </w:pPr>
    </w:p>
    <w:p>
      <w:pPr>
        <w:pageBreakBefore w:val="0"/>
        <w:kinsoku/>
        <w:bidi w:val="0"/>
        <w:spacing w:beforeAutospacing="0" w:afterAutospacing="0" w:line="440" w:lineRule="exact"/>
        <w:jc w:val="center"/>
        <w:rPr>
          <w:b/>
          <w:sz w:val="32"/>
          <w:szCs w:val="32"/>
        </w:rPr>
      </w:pPr>
      <w:r>
        <w:rPr>
          <w:rFonts w:hint="eastAsia"/>
          <w:b/>
          <w:sz w:val="32"/>
          <w:szCs w:val="32"/>
        </w:rPr>
        <w:t>投标人情况介绍</w:t>
      </w:r>
    </w:p>
    <w:p>
      <w:pPr>
        <w:pageBreakBefore w:val="0"/>
        <w:kinsoku/>
        <w:bidi w:val="0"/>
        <w:spacing w:beforeAutospacing="0" w:afterAutospacing="0"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地址</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pageBreakBefore w:val="0"/>
              <w:kinsoku/>
              <w:bidi w:val="0"/>
              <w:spacing w:beforeAutospacing="0" w:afterAutospacing="0" w:line="440" w:lineRule="exact"/>
              <w:jc w:val="center"/>
            </w:pPr>
            <w:r>
              <w:rPr>
                <w:rFonts w:hint="eastAsia"/>
              </w:rPr>
              <w:t>经营范围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pPr>
              <w:pageBreakBefore w:val="0"/>
              <w:kinsoku/>
              <w:bidi w:val="0"/>
              <w:spacing w:beforeAutospacing="0" w:afterAutospacing="0"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成立时间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法定代表人</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pPr>
              <w:pageBreakBefore w:val="0"/>
              <w:kinsoku/>
              <w:bidi w:val="0"/>
              <w:spacing w:beforeAutospacing="0" w:afterAutospacing="0" w:line="440" w:lineRule="exact"/>
              <w:jc w:val="center"/>
            </w:pPr>
          </w:p>
        </w:tc>
        <w:tc>
          <w:tcPr>
            <w:tcW w:w="1980" w:type="dxa"/>
            <w:vMerge w:val="restart"/>
            <w:vAlign w:val="center"/>
          </w:tcPr>
          <w:p>
            <w:pPr>
              <w:pageBreakBefore w:val="0"/>
              <w:kinsoku/>
              <w:bidi w:val="0"/>
              <w:spacing w:beforeAutospacing="0" w:afterAutospacing="0" w:line="440" w:lineRule="exact"/>
              <w:jc w:val="center"/>
            </w:pPr>
            <w:r>
              <w:rPr>
                <w:rFonts w:hint="eastAsia"/>
              </w:rPr>
              <w:t>技术人员数</w:t>
            </w:r>
          </w:p>
        </w:tc>
        <w:tc>
          <w:tcPr>
            <w:tcW w:w="720" w:type="dxa"/>
            <w:vAlign w:val="center"/>
          </w:tcPr>
          <w:p>
            <w:pPr>
              <w:pageBreakBefore w:val="0"/>
              <w:kinsoku/>
              <w:bidi w:val="0"/>
              <w:spacing w:beforeAutospacing="0" w:afterAutospacing="0" w:line="440" w:lineRule="exact"/>
              <w:jc w:val="center"/>
            </w:pPr>
            <w:r>
              <w:rPr>
                <w:rFonts w:hint="eastAsia"/>
              </w:rPr>
              <w:t>高级</w:t>
            </w:r>
          </w:p>
        </w:tc>
        <w:tc>
          <w:tcPr>
            <w:tcW w:w="720" w:type="dxa"/>
            <w:vAlign w:val="center"/>
          </w:tcPr>
          <w:p>
            <w:pPr>
              <w:pageBreakBefore w:val="0"/>
              <w:kinsoku/>
              <w:bidi w:val="0"/>
              <w:spacing w:beforeAutospacing="0" w:afterAutospacing="0" w:line="440" w:lineRule="exact"/>
              <w:jc w:val="center"/>
            </w:pPr>
            <w:r>
              <w:rPr>
                <w:rFonts w:hint="eastAsia"/>
              </w:rPr>
              <w:t>中级</w:t>
            </w:r>
          </w:p>
        </w:tc>
        <w:tc>
          <w:tcPr>
            <w:tcW w:w="801" w:type="dxa"/>
            <w:vAlign w:val="center"/>
          </w:tcPr>
          <w:p>
            <w:pPr>
              <w:pageBreakBefore w:val="0"/>
              <w:kinsoku/>
              <w:bidi w:val="0"/>
              <w:spacing w:beforeAutospacing="0" w:afterAutospacing="0"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pPr>
          </w:p>
        </w:tc>
        <w:tc>
          <w:tcPr>
            <w:tcW w:w="2118" w:type="dxa"/>
            <w:vMerge w:val="continue"/>
            <w:vAlign w:val="center"/>
          </w:tcPr>
          <w:p>
            <w:pPr>
              <w:pageBreakBefore w:val="0"/>
              <w:kinsoku/>
              <w:bidi w:val="0"/>
              <w:spacing w:beforeAutospacing="0" w:afterAutospacing="0" w:line="440" w:lineRule="exact"/>
              <w:jc w:val="center"/>
            </w:pPr>
          </w:p>
        </w:tc>
        <w:tc>
          <w:tcPr>
            <w:tcW w:w="1980" w:type="dxa"/>
            <w:vMerge w:val="continue"/>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801" w:type="dxa"/>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资产总额</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工商登记号</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是否依法纳税</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pPr>
              <w:pageBreakBefore w:val="0"/>
              <w:kinsoku/>
              <w:bidi w:val="0"/>
              <w:spacing w:beforeAutospacing="0" w:afterAutospacing="0" w:line="440" w:lineRule="exact"/>
              <w:ind w:firstLine="60" w:firstLineChars="25"/>
            </w:pPr>
            <w:r>
              <w:rPr>
                <w:rFonts w:hint="eastAsia"/>
              </w:rPr>
              <w:t>名称：</w:t>
            </w:r>
          </w:p>
          <w:p>
            <w:pPr>
              <w:pageBreakBefore w:val="0"/>
              <w:kinsoku/>
              <w:bidi w:val="0"/>
              <w:spacing w:beforeAutospacing="0" w:afterAutospacing="0" w:line="440" w:lineRule="exact"/>
              <w:ind w:firstLine="60" w:firstLineChars="25"/>
            </w:pPr>
            <w:r>
              <w:rPr>
                <w:rFonts w:hint="eastAsia"/>
              </w:rPr>
              <w:t>地址：</w:t>
            </w:r>
          </w:p>
          <w:p>
            <w:pPr>
              <w:pageBreakBefore w:val="0"/>
              <w:kinsoku/>
              <w:bidi w:val="0"/>
              <w:spacing w:beforeAutospacing="0" w:afterAutospacing="0" w:line="440" w:lineRule="exact"/>
              <w:ind w:firstLine="60" w:firstLineChars="25"/>
            </w:pPr>
            <w:r>
              <w:rPr>
                <w:rFonts w:hint="eastAsia"/>
              </w:rPr>
              <w:t>人员状况：</w:t>
            </w:r>
          </w:p>
          <w:p>
            <w:pPr>
              <w:pageBreakBefore w:val="0"/>
              <w:kinsoku/>
              <w:bidi w:val="0"/>
              <w:spacing w:beforeAutospacing="0" w:afterAutospacing="0" w:line="440" w:lineRule="exact"/>
              <w:ind w:firstLine="60" w:firstLineChars="25"/>
            </w:pPr>
            <w:r>
              <w:rPr>
                <w:rFonts w:hint="eastAsia"/>
              </w:rPr>
              <w:t>联系方式：</w:t>
            </w:r>
          </w:p>
          <w:p>
            <w:pPr>
              <w:pageBreakBefore w:val="0"/>
              <w:kinsoku/>
              <w:bidi w:val="0"/>
              <w:spacing w:beforeAutospacing="0" w:afterAutospacing="0" w:line="440" w:lineRule="exact"/>
              <w:ind w:firstLine="60" w:firstLineChars="25"/>
            </w:pPr>
            <w:r>
              <w:rPr>
                <w:rFonts w:hint="eastAsia"/>
              </w:rPr>
              <w:t>（可另附纸说明）</w:t>
            </w:r>
          </w:p>
        </w:tc>
      </w:tr>
    </w:tbl>
    <w:p>
      <w:pPr>
        <w:pageBreakBefore w:val="0"/>
        <w:kinsoku/>
        <w:bidi w:val="0"/>
        <w:spacing w:beforeAutospacing="0" w:afterAutospacing="0" w:line="440" w:lineRule="exact"/>
        <w:ind w:firstLine="480" w:firstLineChars="200"/>
      </w:pPr>
    </w:p>
    <w:p>
      <w:pPr>
        <w:pStyle w:val="838"/>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spacing w:before="156" w:line="360" w:lineRule="auto"/>
        <w:jc w:val="center"/>
        <w:rPr>
          <w:rFonts w:hint="eastAsia" w:ascii="仿宋_GB2312" w:hAnsi="仿宋" w:eastAsia="仿宋_GB2312" w:cs="Times New Roman"/>
          <w:b/>
          <w:sz w:val="32"/>
        </w:rPr>
      </w:pPr>
    </w:p>
    <w:p>
      <w:pPr>
        <w:spacing w:before="156" w:line="360" w:lineRule="auto"/>
        <w:jc w:val="center"/>
        <w:rPr>
          <w:rFonts w:hint="eastAsia" w:ascii="仿宋" w:hAnsi="仿宋" w:eastAsia="仿宋" w:cs="仿宋"/>
          <w:b/>
          <w:color w:val="auto"/>
          <w:spacing w:val="6"/>
          <w:sz w:val="32"/>
          <w:szCs w:val="32"/>
          <w:highlight w:val="none"/>
        </w:rPr>
      </w:pPr>
      <w:r>
        <w:rPr>
          <w:rFonts w:hint="eastAsia" w:ascii="仿宋_GB2312" w:hAnsi="仿宋" w:eastAsia="仿宋_GB2312" w:cs="Times New Roman"/>
          <w:b/>
          <w:sz w:val="32"/>
        </w:rPr>
        <w:t>节能产品认证证书复印件</w:t>
      </w:r>
    </w:p>
    <w:p>
      <w:pPr>
        <w:pStyle w:val="107"/>
        <w:rPr>
          <w:rFonts w:hint="eastAsia"/>
        </w:rPr>
      </w:pPr>
    </w:p>
    <w:p>
      <w:pPr>
        <w:rPr>
          <w:rFonts w:hint="eastAsia"/>
        </w:rPr>
      </w:pPr>
    </w:p>
    <w:p>
      <w:pPr>
        <w:pStyle w:val="107"/>
        <w:rPr>
          <w:rFonts w:hint="eastAsia"/>
        </w:rPr>
      </w:pPr>
    </w:p>
    <w:p>
      <w:pPr>
        <w:pStyle w:val="838"/>
        <w:snapToGrid w:val="0"/>
        <w:spacing w:before="156" w:line="360" w:lineRule="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56" w:after="50" w:line="460" w:lineRule="exact"/>
        <w:rPr>
          <w:rFonts w:hint="eastAsia" w:ascii="仿宋" w:hAnsi="仿宋" w:eastAsia="仿宋" w:cs="仿宋"/>
          <w:b/>
          <w:sz w:val="32"/>
          <w:szCs w:val="32"/>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Style w:val="107"/>
        <w:rPr>
          <w:rFonts w:hint="eastAsia"/>
        </w:rPr>
      </w:pPr>
    </w:p>
    <w:p>
      <w:pPr>
        <w:rPr>
          <w:rFonts w:hint="eastAsia"/>
        </w:rPr>
      </w:pPr>
    </w:p>
    <w:p>
      <w:pPr>
        <w:pStyle w:val="107"/>
        <w:rPr>
          <w:rFonts w:hint="eastAsia"/>
        </w:rPr>
      </w:pPr>
    </w:p>
    <w:p>
      <w:pPr>
        <w:rPr>
          <w:rFonts w:hint="eastAsia"/>
        </w:rPr>
      </w:pPr>
    </w:p>
    <w:p>
      <w:pPr>
        <w:pStyle w:val="107"/>
        <w:ind w:left="0" w:leftChars="0" w:firstLine="0" w:firstLineChars="0"/>
        <w:rPr>
          <w:rFonts w:hint="eastAsia"/>
        </w:rPr>
      </w:pPr>
    </w:p>
    <w:p>
      <w:pPr>
        <w:rPr>
          <w:rFonts w:hint="eastAsia"/>
        </w:rPr>
      </w:pPr>
    </w:p>
    <w:p>
      <w:pPr>
        <w:spacing w:before="156" w:line="360" w:lineRule="auto"/>
        <w:jc w:val="center"/>
        <w:rPr>
          <w:rFonts w:hint="eastAsia" w:ascii="仿宋_GB2312" w:hAnsi="仿宋" w:eastAsia="仿宋_GB2312" w:cs="Times New Roman"/>
          <w:b/>
          <w:sz w:val="32"/>
        </w:rPr>
      </w:pPr>
      <w:r>
        <w:rPr>
          <w:rFonts w:hint="eastAsia" w:ascii="仿宋_GB2312" w:hAnsi="仿宋" w:eastAsia="仿宋_GB2312" w:cs="Times New Roman"/>
          <w:b/>
          <w:sz w:val="32"/>
        </w:rPr>
        <w:t>环境标志产品认证证书复印件</w:t>
      </w:r>
    </w:p>
    <w:p>
      <w:pPr>
        <w:rPr>
          <w:rFonts w:hint="eastAsia"/>
        </w:rPr>
      </w:pPr>
    </w:p>
    <w:p>
      <w:pPr>
        <w:pStyle w:val="107"/>
        <w:rPr>
          <w:rFonts w:hint="eastAsia"/>
        </w:rPr>
      </w:pPr>
    </w:p>
    <w:p>
      <w:pPr>
        <w:rPr>
          <w:rFonts w:hint="eastAsia"/>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p>
    <w:p>
      <w:pPr>
        <w:pStyle w:val="838"/>
        <w:snapToGrid w:val="0"/>
        <w:spacing w:before="156" w:line="360" w:lineRule="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56" w:after="50" w:line="460" w:lineRule="exact"/>
        <w:rPr>
          <w:rFonts w:hint="eastAsia" w:ascii="仿宋" w:hAnsi="仿宋" w:eastAsia="仿宋" w:cs="仿宋"/>
          <w:b/>
          <w:sz w:val="32"/>
          <w:szCs w:val="32"/>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Style w:val="107"/>
        <w:rPr>
          <w:rFonts w:hint="eastAsia"/>
          <w:color w:val="auto"/>
          <w:highlight w:val="none"/>
        </w:rPr>
      </w:pPr>
    </w:p>
    <w:p>
      <w:pPr>
        <w:rPr>
          <w:rFonts w:hint="eastAsia"/>
          <w:color w:val="auto"/>
          <w:highlight w:val="none"/>
        </w:rPr>
      </w:pPr>
    </w:p>
    <w:p>
      <w:pPr>
        <w:pStyle w:val="107"/>
        <w:rPr>
          <w:rFonts w:hint="eastAsia"/>
          <w:color w:val="auto"/>
          <w:highlight w:val="none"/>
        </w:rPr>
      </w:pPr>
    </w:p>
    <w:p>
      <w:pPr>
        <w:rPr>
          <w:rFonts w:hint="eastAsia"/>
        </w:rPr>
      </w:pPr>
    </w:p>
    <w:p>
      <w:pPr>
        <w:pStyle w:val="107"/>
        <w:rPr>
          <w:rFonts w:hint="eastAsia"/>
        </w:rPr>
      </w:pPr>
    </w:p>
    <w:p>
      <w:pPr>
        <w:rPr>
          <w:rFonts w:hint="eastAsia"/>
        </w:rPr>
      </w:pPr>
    </w:p>
    <w:p>
      <w:pPr>
        <w:pStyle w:val="107"/>
        <w:ind w:left="0" w:leftChars="0" w:firstLine="0" w:firstLineChars="0"/>
        <w:rPr>
          <w:rFonts w:hint="eastAsia" w:ascii="仿宋" w:hAnsi="仿宋" w:eastAsia="仿宋" w:cs="仿宋"/>
          <w:b/>
          <w:bCs/>
          <w:color w:val="auto"/>
          <w:kern w:val="0"/>
          <w:sz w:val="24"/>
          <w:szCs w:val="20"/>
          <w:highlight w:val="none"/>
          <w:u w:val="none"/>
          <w:lang w:val="zh-CN" w:eastAsia="zh-CN" w:bidi="ar-SA"/>
        </w:rPr>
      </w:pPr>
      <w:r>
        <w:rPr>
          <w:rFonts w:hint="eastAsia" w:ascii="仿宋" w:hAnsi="仿宋" w:eastAsia="仿宋" w:cs="仿宋"/>
          <w:b/>
          <w:bCs/>
          <w:sz w:val="24"/>
          <w:highlight w:val="none"/>
        </w:rPr>
        <w:t>注：</w:t>
      </w:r>
      <w:r>
        <w:rPr>
          <w:rFonts w:hint="eastAsia" w:ascii="仿宋" w:hAnsi="仿宋" w:eastAsia="仿宋" w:cs="仿宋"/>
          <w:b/>
          <w:bCs/>
          <w:color w:val="auto"/>
          <w:kern w:val="0"/>
          <w:sz w:val="24"/>
          <w:szCs w:val="20"/>
          <w:highlight w:val="none"/>
          <w:u w:val="none"/>
          <w:lang w:val="zh-CN" w:eastAsia="zh-CN" w:bidi="ar-SA"/>
        </w:rPr>
        <w:t>本项目如需采购政府强制采购的节能产品的或投标人提供的产品是环境标志产品，投标人按格式提供节能产品、环境标志产品认证证书复印件。</w:t>
      </w:r>
    </w:p>
    <w:p>
      <w:pPr>
        <w:rPr>
          <w:rFonts w:hint="eastAsia" w:ascii="仿宋" w:hAnsi="仿宋" w:eastAsia="仿宋" w:cs="仿宋"/>
          <w:b/>
          <w:bCs/>
          <w:color w:val="auto"/>
          <w:kern w:val="0"/>
          <w:sz w:val="24"/>
          <w:szCs w:val="20"/>
          <w:highlight w:val="none"/>
          <w:u w:val="none"/>
          <w:lang w:val="zh-CN" w:eastAsia="zh-CN" w:bidi="ar-SA"/>
        </w:rPr>
      </w:pPr>
    </w:p>
    <w:p>
      <w:pPr>
        <w:spacing w:before="156" w:line="360" w:lineRule="auto"/>
        <w:jc w:val="center"/>
        <w:rPr>
          <w:rFonts w:hint="eastAsia" w:ascii="仿宋_GB2312" w:hAnsi="仿宋" w:eastAsia="仿宋_GB2312"/>
          <w:b/>
          <w:sz w:val="32"/>
        </w:rPr>
      </w:pPr>
    </w:p>
    <w:p>
      <w:pPr>
        <w:spacing w:before="156" w:line="360" w:lineRule="auto"/>
        <w:jc w:val="center"/>
        <w:rPr>
          <w:rFonts w:ascii="仿宋_GB2312" w:hAnsi="仿宋" w:eastAsia="仿宋_GB2312"/>
          <w:b/>
          <w:sz w:val="32"/>
        </w:rPr>
      </w:pPr>
      <w:r>
        <w:rPr>
          <w:rFonts w:hint="eastAsia" w:ascii="仿宋_GB2312" w:hAnsi="仿宋" w:eastAsia="仿宋_GB2312"/>
          <w:b/>
          <w:sz w:val="32"/>
        </w:rPr>
        <w:t>投标产品配置表</w:t>
      </w:r>
    </w:p>
    <w:p>
      <w:pPr>
        <w:spacing w:before="156" w:line="360" w:lineRule="auto"/>
        <w:jc w:val="left"/>
        <w:rPr>
          <w:rFonts w:hint="eastAsia" w:ascii="仿宋" w:hAnsi="仿宋" w:eastAsia="仿宋" w:cs="仿宋"/>
          <w:b/>
          <w:sz w:val="30"/>
          <w:szCs w:val="30"/>
        </w:rPr>
      </w:pPr>
      <w:r>
        <w:rPr>
          <w:rFonts w:hint="eastAsia" w:ascii="仿宋" w:hAnsi="仿宋" w:eastAsia="仿宋" w:cs="仿宋"/>
          <w:b/>
          <w:sz w:val="24"/>
          <w:szCs w:val="24"/>
        </w:rPr>
        <w:t>项目编号：</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w:t>
      </w:r>
      <w:r>
        <w:rPr>
          <w:rFonts w:hint="eastAsia" w:ascii="仿宋" w:hAnsi="仿宋" w:eastAsia="仿宋" w:cs="仿宋"/>
          <w:b/>
          <w:color w:val="FF0000"/>
          <w:sz w:val="24"/>
          <w:szCs w:val="24"/>
          <w:highlight w:val="none"/>
        </w:rPr>
        <w:t xml:space="preserve">   </w:t>
      </w:r>
      <w:r>
        <w:rPr>
          <w:rFonts w:hint="eastAsia" w:ascii="仿宋" w:hAnsi="仿宋" w:eastAsia="仿宋" w:cs="仿宋"/>
          <w:bCs/>
          <w:color w:val="FF0000"/>
          <w:sz w:val="24"/>
          <w:szCs w:val="24"/>
          <w:highlight w:val="none"/>
        </w:rPr>
        <w:t xml:space="preserve">  </w:t>
      </w:r>
    </w:p>
    <w:tbl>
      <w:tblPr>
        <w:tblStyle w:val="89"/>
        <w:tblW w:w="96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noWrap w:val="0"/>
            <w:vAlign w:val="center"/>
          </w:tcPr>
          <w:p>
            <w:pPr>
              <w:spacing w:before="156"/>
              <w:jc w:val="center"/>
              <w:rPr>
                <w:rFonts w:hint="eastAsia" w:ascii="仿宋" w:hAnsi="仿宋" w:eastAsia="仿宋" w:cs="仿宋"/>
                <w:b/>
                <w:sz w:val="24"/>
              </w:rPr>
            </w:pPr>
            <w:r>
              <w:rPr>
                <w:rFonts w:hint="eastAsia" w:ascii="仿宋" w:hAnsi="仿宋" w:eastAsia="仿宋" w:cs="仿宋"/>
                <w:b/>
                <w:sz w:val="24"/>
              </w:rPr>
              <w:t>序号</w:t>
            </w:r>
          </w:p>
        </w:tc>
        <w:tc>
          <w:tcPr>
            <w:tcW w:w="1584" w:type="dxa"/>
            <w:noWrap w:val="0"/>
            <w:vAlign w:val="center"/>
          </w:tcPr>
          <w:p>
            <w:pPr>
              <w:spacing w:before="156" w:line="440" w:lineRule="exact"/>
              <w:jc w:val="center"/>
              <w:rPr>
                <w:rFonts w:hint="eastAsia" w:ascii="仿宋" w:hAnsi="仿宋" w:eastAsia="仿宋" w:cs="仿宋"/>
                <w:b/>
                <w:sz w:val="24"/>
                <w:szCs w:val="24"/>
              </w:rPr>
            </w:pPr>
            <w:r>
              <w:rPr>
                <w:rFonts w:hint="eastAsia" w:ascii="仿宋" w:hAnsi="仿宋" w:eastAsia="仿宋" w:cs="仿宋"/>
                <w:b/>
                <w:sz w:val="24"/>
                <w:szCs w:val="24"/>
              </w:rPr>
              <w:t>产品名称</w:t>
            </w:r>
          </w:p>
        </w:tc>
        <w:tc>
          <w:tcPr>
            <w:tcW w:w="2040" w:type="dxa"/>
            <w:noWrap w:val="0"/>
            <w:vAlign w:val="center"/>
          </w:tcPr>
          <w:p>
            <w:pPr>
              <w:spacing w:before="156" w:line="440" w:lineRule="exact"/>
              <w:jc w:val="center"/>
              <w:rPr>
                <w:rFonts w:hint="eastAsia" w:ascii="仿宋" w:hAnsi="仿宋" w:eastAsia="仿宋" w:cs="仿宋"/>
                <w:b/>
                <w:sz w:val="24"/>
                <w:szCs w:val="24"/>
              </w:rPr>
            </w:pPr>
            <w:r>
              <w:rPr>
                <w:rFonts w:hint="eastAsia" w:ascii="仿宋" w:hAnsi="仿宋" w:eastAsia="仿宋" w:cs="仿宋"/>
                <w:b/>
                <w:sz w:val="24"/>
                <w:szCs w:val="24"/>
              </w:rPr>
              <w:t>品牌和规格型号</w:t>
            </w:r>
          </w:p>
        </w:tc>
        <w:tc>
          <w:tcPr>
            <w:tcW w:w="2232" w:type="dxa"/>
            <w:noWrap w:val="0"/>
            <w:vAlign w:val="center"/>
          </w:tcPr>
          <w:p>
            <w:pPr>
              <w:spacing w:before="156" w:line="44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规格配置详细说明</w:t>
            </w:r>
          </w:p>
        </w:tc>
        <w:tc>
          <w:tcPr>
            <w:tcW w:w="792" w:type="dxa"/>
            <w:noWrap w:val="0"/>
            <w:vAlign w:val="center"/>
          </w:tcPr>
          <w:p>
            <w:pPr>
              <w:spacing w:before="156"/>
              <w:jc w:val="center"/>
              <w:rPr>
                <w:rFonts w:hint="eastAsia" w:ascii="仿宋" w:hAnsi="仿宋" w:eastAsia="仿宋" w:cs="仿宋"/>
                <w:b/>
                <w:sz w:val="24"/>
              </w:rPr>
            </w:pPr>
            <w:r>
              <w:rPr>
                <w:rFonts w:hint="eastAsia" w:ascii="仿宋" w:hAnsi="仿宋" w:eastAsia="仿宋" w:cs="仿宋"/>
                <w:b/>
                <w:sz w:val="24"/>
              </w:rPr>
              <w:t>数量</w:t>
            </w:r>
          </w:p>
        </w:tc>
        <w:tc>
          <w:tcPr>
            <w:tcW w:w="780" w:type="dxa"/>
            <w:noWrap w:val="0"/>
            <w:vAlign w:val="center"/>
          </w:tcPr>
          <w:p>
            <w:pPr>
              <w:spacing w:before="156"/>
              <w:jc w:val="center"/>
              <w:rPr>
                <w:rFonts w:hint="eastAsia" w:ascii="仿宋" w:hAnsi="仿宋" w:eastAsia="仿宋" w:cs="仿宋"/>
                <w:b/>
                <w:sz w:val="24"/>
              </w:rPr>
            </w:pPr>
            <w:r>
              <w:rPr>
                <w:rFonts w:hint="eastAsia" w:ascii="仿宋" w:hAnsi="仿宋" w:eastAsia="仿宋" w:cs="仿宋"/>
                <w:b/>
                <w:sz w:val="24"/>
              </w:rPr>
              <w:t>单位</w:t>
            </w:r>
          </w:p>
        </w:tc>
        <w:tc>
          <w:tcPr>
            <w:tcW w:w="768" w:type="dxa"/>
            <w:noWrap w:val="0"/>
            <w:vAlign w:val="center"/>
          </w:tcPr>
          <w:p>
            <w:pPr>
              <w:spacing w:before="156"/>
              <w:jc w:val="center"/>
              <w:rPr>
                <w:rFonts w:hint="eastAsia" w:ascii="仿宋" w:hAnsi="仿宋" w:eastAsia="仿宋" w:cs="仿宋"/>
                <w:b/>
                <w:sz w:val="24"/>
              </w:rPr>
            </w:pPr>
            <w:r>
              <w:rPr>
                <w:rFonts w:hint="eastAsia" w:ascii="仿宋" w:hAnsi="仿宋" w:eastAsia="仿宋" w:cs="仿宋"/>
                <w:b/>
                <w:sz w:val="24"/>
              </w:rPr>
              <w:t>产地</w:t>
            </w:r>
          </w:p>
        </w:tc>
        <w:tc>
          <w:tcPr>
            <w:tcW w:w="756" w:type="dxa"/>
            <w:noWrap w:val="0"/>
            <w:vAlign w:val="center"/>
          </w:tcPr>
          <w:p>
            <w:pPr>
              <w:spacing w:before="156"/>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1</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spacing w:before="156"/>
              <w:jc w:val="center"/>
              <w:rPr>
                <w:rFonts w:hint="eastAsia" w:ascii="仿宋" w:hAnsi="仿宋" w:eastAsia="仿宋" w:cs="仿宋"/>
                <w:sz w:val="24"/>
              </w:rPr>
            </w:pPr>
          </w:p>
        </w:tc>
        <w:tc>
          <w:tcPr>
            <w:tcW w:w="756" w:type="dxa"/>
            <w:noWrap w:val="0"/>
            <w:vAlign w:val="center"/>
          </w:tcPr>
          <w:p>
            <w:pPr>
              <w:spacing w:before="15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2</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3</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4</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jc w:val="center"/>
              <w:rPr>
                <w:rFonts w:hint="eastAsia" w:ascii="仿宋" w:hAnsi="仿宋" w:eastAsia="仿宋" w:cs="仿宋"/>
                <w:sz w:val="24"/>
              </w:rPr>
            </w:pPr>
            <w:r>
              <w:rPr>
                <w:rFonts w:hint="eastAsia" w:ascii="仿宋" w:hAnsi="仿宋" w:eastAsia="仿宋" w:cs="仿宋"/>
                <w:sz w:val="24"/>
              </w:rPr>
              <w:t>…</w:t>
            </w:r>
          </w:p>
        </w:tc>
        <w:tc>
          <w:tcPr>
            <w:tcW w:w="1584" w:type="dxa"/>
            <w:noWrap w:val="0"/>
            <w:vAlign w:val="center"/>
          </w:tcPr>
          <w:p>
            <w:pPr>
              <w:autoSpaceDE w:val="0"/>
              <w:autoSpaceDN w:val="0"/>
              <w:adjustRightInd w:val="0"/>
              <w:spacing w:before="156"/>
              <w:jc w:val="center"/>
              <w:rPr>
                <w:rFonts w:hint="eastAsia" w:ascii="仿宋" w:hAnsi="仿宋" w:eastAsia="仿宋" w:cs="仿宋"/>
                <w:sz w:val="24"/>
              </w:rPr>
            </w:pPr>
          </w:p>
        </w:tc>
        <w:tc>
          <w:tcPr>
            <w:tcW w:w="2040" w:type="dxa"/>
            <w:noWrap w:val="0"/>
            <w:vAlign w:val="center"/>
          </w:tcPr>
          <w:p>
            <w:pPr>
              <w:autoSpaceDE w:val="0"/>
              <w:autoSpaceDN w:val="0"/>
              <w:adjustRightInd w:val="0"/>
              <w:spacing w:before="156"/>
              <w:jc w:val="center"/>
              <w:rPr>
                <w:rFonts w:hint="eastAsia" w:ascii="仿宋" w:hAnsi="仿宋" w:eastAsia="仿宋" w:cs="仿宋"/>
                <w:sz w:val="24"/>
              </w:rPr>
            </w:pPr>
          </w:p>
        </w:tc>
        <w:tc>
          <w:tcPr>
            <w:tcW w:w="2232" w:type="dxa"/>
            <w:noWrap w:val="0"/>
            <w:vAlign w:val="center"/>
          </w:tcPr>
          <w:p>
            <w:pPr>
              <w:spacing w:before="156"/>
              <w:jc w:val="center"/>
              <w:rPr>
                <w:rFonts w:hint="eastAsia" w:ascii="仿宋" w:hAnsi="仿宋" w:eastAsia="仿宋" w:cs="仿宋"/>
                <w:sz w:val="24"/>
              </w:rPr>
            </w:pPr>
          </w:p>
        </w:tc>
        <w:tc>
          <w:tcPr>
            <w:tcW w:w="792" w:type="dxa"/>
            <w:noWrap w:val="0"/>
            <w:vAlign w:val="center"/>
          </w:tcPr>
          <w:p>
            <w:pPr>
              <w:spacing w:before="156"/>
              <w:jc w:val="center"/>
              <w:rPr>
                <w:rFonts w:hint="eastAsia" w:ascii="仿宋" w:hAnsi="仿宋" w:eastAsia="仿宋" w:cs="仿宋"/>
                <w:sz w:val="24"/>
              </w:rPr>
            </w:pPr>
          </w:p>
        </w:tc>
        <w:tc>
          <w:tcPr>
            <w:tcW w:w="780" w:type="dxa"/>
            <w:noWrap w:val="0"/>
            <w:vAlign w:val="center"/>
          </w:tcPr>
          <w:p>
            <w:pPr>
              <w:spacing w:before="156"/>
              <w:jc w:val="center"/>
              <w:rPr>
                <w:rFonts w:hint="eastAsia" w:ascii="仿宋" w:hAnsi="仿宋" w:eastAsia="仿宋" w:cs="仿宋"/>
                <w:sz w:val="24"/>
              </w:rPr>
            </w:pPr>
          </w:p>
        </w:tc>
        <w:tc>
          <w:tcPr>
            <w:tcW w:w="768" w:type="dxa"/>
            <w:noWrap w:val="0"/>
            <w:vAlign w:val="center"/>
          </w:tcPr>
          <w:p>
            <w:pPr>
              <w:autoSpaceDE w:val="0"/>
              <w:autoSpaceDN w:val="0"/>
              <w:adjustRightInd w:val="0"/>
              <w:spacing w:before="156"/>
              <w:jc w:val="center"/>
              <w:rPr>
                <w:rFonts w:hint="eastAsia" w:ascii="仿宋" w:hAnsi="仿宋" w:eastAsia="仿宋" w:cs="仿宋"/>
                <w:sz w:val="24"/>
              </w:rPr>
            </w:pPr>
          </w:p>
        </w:tc>
        <w:tc>
          <w:tcPr>
            <w:tcW w:w="756" w:type="dxa"/>
            <w:noWrap w:val="0"/>
            <w:vAlign w:val="center"/>
          </w:tcPr>
          <w:p>
            <w:pPr>
              <w:autoSpaceDE w:val="0"/>
              <w:autoSpaceDN w:val="0"/>
              <w:adjustRightInd w:val="0"/>
              <w:spacing w:before="156"/>
              <w:jc w:val="center"/>
              <w:rPr>
                <w:rFonts w:hint="eastAsia" w:ascii="仿宋" w:hAnsi="仿宋" w:eastAsia="仿宋" w:cs="仿宋"/>
                <w:sz w:val="24"/>
              </w:rPr>
            </w:pPr>
          </w:p>
        </w:tc>
      </w:tr>
    </w:tbl>
    <w:p>
      <w:pPr>
        <w:spacing w:before="156" w:line="360" w:lineRule="auto"/>
        <w:ind w:firstLine="480" w:firstLineChars="200"/>
        <w:rPr>
          <w:rFonts w:hint="eastAsia" w:ascii="仿宋" w:hAnsi="仿宋" w:eastAsia="仿宋" w:cs="仿宋"/>
          <w:sz w:val="24"/>
        </w:rPr>
      </w:pPr>
      <w:r>
        <w:rPr>
          <w:rFonts w:hint="eastAsia" w:ascii="仿宋" w:hAnsi="仿宋" w:eastAsia="仿宋" w:cs="仿宋"/>
          <w:sz w:val="24"/>
        </w:rPr>
        <w:t>注：</w:t>
      </w:r>
    </w:p>
    <w:p>
      <w:pPr>
        <w:spacing w:before="156"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sz w:val="24"/>
          <w:szCs w:val="22"/>
          <w:lang w:eastAsia="zh-CN"/>
        </w:rPr>
        <w:t>如本项目涉及硬件设备采购，须在技术文件中提供此配置清单。须</w:t>
      </w:r>
      <w:r>
        <w:rPr>
          <w:rFonts w:hint="eastAsia" w:ascii="仿宋" w:hAnsi="仿宋" w:eastAsia="仿宋" w:cs="仿宋"/>
          <w:sz w:val="24"/>
          <w:szCs w:val="22"/>
        </w:rPr>
        <w:t>针对本项目的需求清单一一对应填写投标产品配置表。</w:t>
      </w:r>
    </w:p>
    <w:p>
      <w:pPr>
        <w:spacing w:before="156" w:line="360" w:lineRule="auto"/>
        <w:ind w:firstLine="480" w:firstLineChars="200"/>
        <w:rPr>
          <w:rFonts w:hint="eastAsia" w:ascii="仿宋" w:hAnsi="仿宋" w:eastAsia="仿宋" w:cs="仿宋"/>
          <w:sz w:val="24"/>
        </w:rPr>
      </w:pPr>
      <w:r>
        <w:rPr>
          <w:rFonts w:hint="eastAsia" w:ascii="仿宋" w:hAnsi="仿宋" w:eastAsia="仿宋" w:cs="仿宋"/>
          <w:sz w:val="24"/>
        </w:rPr>
        <w:t>2.投标文件</w:t>
      </w:r>
      <w:r>
        <w:rPr>
          <w:rFonts w:hint="eastAsia" w:ascii="仿宋" w:hAnsi="仿宋" w:eastAsia="仿宋" w:cs="仿宋"/>
          <w:sz w:val="24"/>
          <w:szCs w:val="22"/>
        </w:rPr>
        <w:t>中</w:t>
      </w:r>
      <w:r>
        <w:rPr>
          <w:rFonts w:hint="eastAsia" w:ascii="仿宋" w:hAnsi="仿宋" w:eastAsia="仿宋" w:cs="仿宋"/>
          <w:sz w:val="24"/>
          <w:szCs w:val="22"/>
          <w:lang w:eastAsia="zh-CN"/>
        </w:rPr>
        <w:t>须</w:t>
      </w:r>
      <w:r>
        <w:rPr>
          <w:rFonts w:hint="eastAsia" w:ascii="仿宋" w:hAnsi="仿宋" w:eastAsia="仿宋" w:cs="仿宋"/>
          <w:sz w:val="24"/>
          <w:szCs w:val="22"/>
        </w:rPr>
        <w:t>明确主要产品的品牌、规格型号、</w:t>
      </w:r>
      <w:r>
        <w:rPr>
          <w:rFonts w:hint="eastAsia" w:ascii="仿宋" w:hAnsi="仿宋" w:eastAsia="仿宋" w:cs="仿宋"/>
          <w:sz w:val="24"/>
          <w:szCs w:val="22"/>
          <w:lang w:eastAsia="zh-CN"/>
        </w:rPr>
        <w:t>规格配置如</w:t>
      </w:r>
      <w:r>
        <w:rPr>
          <w:rFonts w:hint="eastAsia" w:ascii="仿宋" w:hAnsi="仿宋" w:eastAsia="仿宋" w:cs="仿宋"/>
          <w:sz w:val="24"/>
          <w:szCs w:val="22"/>
        </w:rPr>
        <w:t>配置参数、性能指标等内容。可附投</w:t>
      </w:r>
      <w:r>
        <w:rPr>
          <w:rFonts w:hint="eastAsia" w:ascii="仿宋" w:hAnsi="仿宋" w:eastAsia="仿宋" w:cs="仿宋"/>
          <w:sz w:val="24"/>
        </w:rPr>
        <w:t>标产品介绍图文资料。</w:t>
      </w:r>
    </w:p>
    <w:p>
      <w:pPr>
        <w:pStyle w:val="49"/>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所有技术指标表述均应采用中文</w:t>
      </w:r>
      <w:r>
        <w:rPr>
          <w:rFonts w:hint="eastAsia" w:ascii="仿宋" w:hAnsi="仿宋" w:eastAsia="仿宋" w:cs="仿宋"/>
          <w:b w:val="0"/>
          <w:bCs/>
          <w:sz w:val="24"/>
          <w:lang w:eastAsia="zh-CN"/>
        </w:rPr>
        <w:t>汉语</w:t>
      </w:r>
      <w:r>
        <w:rPr>
          <w:rFonts w:hint="eastAsia" w:ascii="仿宋" w:hAnsi="仿宋" w:eastAsia="仿宋" w:cs="仿宋"/>
          <w:b w:val="0"/>
          <w:bCs/>
          <w:sz w:val="24"/>
        </w:rPr>
        <w:t>，如当前公布的技术指标只有</w:t>
      </w:r>
      <w:r>
        <w:rPr>
          <w:rFonts w:hint="eastAsia" w:ascii="仿宋" w:hAnsi="仿宋" w:eastAsia="仿宋" w:cs="仿宋"/>
          <w:b w:val="0"/>
          <w:bCs/>
          <w:sz w:val="24"/>
          <w:lang w:eastAsia="zh-CN"/>
        </w:rPr>
        <w:t>外文或少数民族文字</w:t>
      </w:r>
      <w:r>
        <w:rPr>
          <w:rFonts w:hint="eastAsia" w:ascii="仿宋" w:hAnsi="仿宋" w:eastAsia="仿宋" w:cs="仿宋"/>
          <w:b w:val="0"/>
          <w:bCs/>
          <w:sz w:val="24"/>
        </w:rPr>
        <w:t>表述的，</w:t>
      </w:r>
      <w:r>
        <w:rPr>
          <w:rFonts w:hint="eastAsia" w:ascii="仿宋" w:hAnsi="仿宋" w:eastAsia="仿宋" w:cs="仿宋"/>
          <w:b w:val="0"/>
          <w:bCs/>
          <w:sz w:val="24"/>
          <w:lang w:eastAsia="zh-CN"/>
        </w:rPr>
        <w:t>须</w:t>
      </w:r>
      <w:r>
        <w:rPr>
          <w:rFonts w:hint="eastAsia" w:ascii="仿宋" w:hAnsi="仿宋" w:eastAsia="仿宋" w:cs="仿宋"/>
          <w:b w:val="0"/>
          <w:bCs/>
          <w:sz w:val="24"/>
        </w:rPr>
        <w:t>由投标人作出中文</w:t>
      </w:r>
      <w:r>
        <w:rPr>
          <w:rFonts w:hint="eastAsia" w:ascii="仿宋" w:hAnsi="仿宋" w:eastAsia="仿宋" w:cs="仿宋"/>
          <w:b w:val="0"/>
          <w:bCs/>
          <w:sz w:val="24"/>
          <w:lang w:eastAsia="zh-CN"/>
        </w:rPr>
        <w:t>汉语翻译</w:t>
      </w:r>
      <w:r>
        <w:rPr>
          <w:rFonts w:hint="eastAsia" w:ascii="仿宋" w:hAnsi="仿宋" w:eastAsia="仿宋" w:cs="仿宋"/>
          <w:b w:val="0"/>
          <w:bCs/>
          <w:sz w:val="24"/>
        </w:rPr>
        <w:t>（评审时以中文</w:t>
      </w:r>
      <w:r>
        <w:rPr>
          <w:rFonts w:hint="eastAsia" w:ascii="仿宋" w:hAnsi="仿宋" w:eastAsia="仿宋" w:cs="仿宋"/>
          <w:b w:val="0"/>
          <w:bCs/>
          <w:sz w:val="24"/>
          <w:lang w:eastAsia="zh-CN"/>
        </w:rPr>
        <w:t>汉语翻译</w:t>
      </w:r>
      <w:r>
        <w:rPr>
          <w:rFonts w:hint="eastAsia" w:ascii="仿宋" w:hAnsi="仿宋" w:eastAsia="仿宋" w:cs="仿宋"/>
          <w:b w:val="0"/>
          <w:bCs/>
          <w:sz w:val="24"/>
        </w:rPr>
        <w:t>为准）</w:t>
      </w:r>
      <w:r>
        <w:rPr>
          <w:rFonts w:hint="eastAsia" w:ascii="仿宋" w:hAnsi="仿宋" w:eastAsia="仿宋" w:cs="仿宋"/>
          <w:b w:val="0"/>
          <w:bCs/>
          <w:sz w:val="24"/>
          <w:lang w:eastAsia="zh-CN"/>
        </w:rPr>
        <w:t>。</w:t>
      </w:r>
      <w:r>
        <w:rPr>
          <w:rFonts w:hint="eastAsia" w:ascii="仿宋" w:hAnsi="仿宋" w:eastAsia="仿宋" w:cs="仿宋"/>
          <w:b w:val="0"/>
          <w:bCs/>
          <w:sz w:val="24"/>
        </w:rPr>
        <w:t>否则</w:t>
      </w:r>
      <w:r>
        <w:rPr>
          <w:rFonts w:hint="eastAsia" w:ascii="仿宋" w:hAnsi="仿宋" w:eastAsia="仿宋" w:cs="仿宋"/>
          <w:b w:val="0"/>
          <w:bCs/>
          <w:sz w:val="24"/>
          <w:lang w:val="zh-CN"/>
        </w:rPr>
        <w:t>任何含糊不清的</w:t>
      </w:r>
      <w:r>
        <w:rPr>
          <w:rFonts w:hint="eastAsia" w:ascii="仿宋" w:hAnsi="仿宋" w:eastAsia="仿宋" w:cs="仿宋"/>
          <w:b w:val="0"/>
          <w:bCs/>
          <w:sz w:val="24"/>
        </w:rPr>
        <w:t>表述导致</w:t>
      </w:r>
      <w:r>
        <w:rPr>
          <w:rFonts w:hint="eastAsia" w:ascii="仿宋" w:hAnsi="仿宋" w:eastAsia="仿宋" w:cs="仿宋"/>
          <w:b w:val="0"/>
          <w:bCs/>
          <w:sz w:val="24"/>
          <w:lang w:val="zh-CN"/>
        </w:rPr>
        <w:t>评标委员会技术扣分直至认定为投标无效都将是投标人的责任</w:t>
      </w:r>
      <w:r>
        <w:rPr>
          <w:rFonts w:hint="eastAsia" w:ascii="仿宋" w:hAnsi="仿宋" w:eastAsia="仿宋" w:cs="仿宋"/>
          <w:b w:val="0"/>
          <w:bCs/>
          <w:sz w:val="24"/>
        </w:rPr>
        <w:t>。</w:t>
      </w:r>
    </w:p>
    <w:p>
      <w:pPr>
        <w:pStyle w:val="49"/>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本项目如需采购政府强制采购的节能产品的或投标人提供的产品是环境标志产品，投标人按格式提供节能产品、环境标志产品认证证书复印件。</w:t>
      </w:r>
    </w:p>
    <w:p>
      <w:pPr>
        <w:spacing w:before="156" w:line="360" w:lineRule="auto"/>
        <w:ind w:left="480"/>
        <w:rPr>
          <w:rFonts w:hint="eastAsia" w:ascii="仿宋" w:hAnsi="仿宋" w:eastAsia="仿宋" w:cs="仿宋"/>
          <w:szCs w:val="24"/>
          <w:highlight w:val="none"/>
        </w:rPr>
      </w:pPr>
      <w:r>
        <w:rPr>
          <w:rFonts w:hint="eastAsia" w:ascii="仿宋" w:hAnsi="仿宋" w:eastAsia="仿宋" w:cs="仿宋"/>
          <w:sz w:val="24"/>
          <w:lang w:val="en-US" w:eastAsia="zh-CN"/>
        </w:rPr>
        <w:t>5</w:t>
      </w:r>
      <w:r>
        <w:rPr>
          <w:rFonts w:hint="eastAsia" w:ascii="仿宋" w:hAnsi="仿宋" w:eastAsia="仿宋" w:cs="仿宋"/>
          <w:sz w:val="24"/>
        </w:rPr>
        <w:t xml:space="preserve">.此表可在不改变格式的情况下自行制作。 </w:t>
      </w:r>
    </w:p>
    <w:p>
      <w:pPr>
        <w:pStyle w:val="838"/>
        <w:snapToGrid w:val="0"/>
        <w:spacing w:before="156" w:line="360" w:lineRule="auto"/>
        <w:rPr>
          <w:rFonts w:hint="eastAsia" w:ascii="仿宋" w:hAnsi="仿宋" w:eastAsia="仿宋" w:cs="仿宋"/>
          <w:szCs w:val="24"/>
          <w:highlight w:val="none"/>
        </w:rPr>
      </w:pPr>
    </w:p>
    <w:p>
      <w:pPr>
        <w:pStyle w:val="838"/>
        <w:snapToGrid w:val="0"/>
        <w:spacing w:before="156" w:line="360" w:lineRule="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56" w:after="50" w:line="460" w:lineRule="exact"/>
        <w:rPr>
          <w:rFonts w:hint="eastAsia" w:ascii="仿宋" w:hAnsi="仿宋" w:eastAsia="仿宋" w:cs="仿宋"/>
          <w:b/>
          <w:sz w:val="32"/>
          <w:szCs w:val="32"/>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spacing w:before="120"/>
        <w:jc w:val="center"/>
        <w:rPr>
          <w:rFonts w:hint="eastAsia" w:ascii="仿宋_GB2312" w:eastAsia="仿宋_GB2312"/>
          <w:b/>
          <w:sz w:val="32"/>
          <w:highlight w:val="none"/>
        </w:rPr>
      </w:pPr>
    </w:p>
    <w:p>
      <w:pPr>
        <w:spacing w:before="120"/>
        <w:jc w:val="center"/>
        <w:rPr>
          <w:rFonts w:ascii="仿宋_GB2312" w:eastAsia="仿宋_GB2312"/>
          <w:b/>
          <w:sz w:val="32"/>
        </w:rPr>
      </w:pPr>
      <w:r>
        <w:rPr>
          <w:rFonts w:hint="eastAsia" w:ascii="仿宋_GB2312" w:eastAsia="仿宋_GB2312"/>
          <w:b/>
          <w:sz w:val="32"/>
          <w:highlight w:val="none"/>
        </w:rPr>
        <w:t>技术</w:t>
      </w:r>
      <w:r>
        <w:rPr>
          <w:rFonts w:hint="eastAsia" w:ascii="仿宋_GB2312" w:eastAsia="仿宋_GB2312"/>
          <w:b/>
          <w:sz w:val="32"/>
          <w:highlight w:val="none"/>
          <w:lang w:eastAsia="zh-CN"/>
        </w:rPr>
        <w:t>规格</w:t>
      </w:r>
      <w:r>
        <w:rPr>
          <w:rFonts w:hint="eastAsia" w:ascii="仿宋_GB2312" w:eastAsia="仿宋_GB2312"/>
          <w:b/>
          <w:sz w:val="32"/>
          <w:highlight w:val="none"/>
          <w:lang w:val="en-US" w:eastAsia="zh-CN"/>
        </w:rPr>
        <w:t>/服务</w:t>
      </w:r>
      <w:r>
        <w:rPr>
          <w:rFonts w:hint="eastAsia" w:ascii="仿宋_GB2312" w:eastAsia="仿宋_GB2312"/>
          <w:b/>
          <w:sz w:val="32"/>
          <w:highlight w:val="none"/>
        </w:rPr>
        <w:t>偏离</w:t>
      </w:r>
      <w:r>
        <w:rPr>
          <w:rFonts w:hint="eastAsia" w:ascii="仿宋_GB2312" w:eastAsia="仿宋_GB2312"/>
          <w:b/>
          <w:sz w:val="32"/>
        </w:rPr>
        <w:t>表</w:t>
      </w:r>
    </w:p>
    <w:p>
      <w:pPr>
        <w:spacing w:before="120"/>
        <w:jc w:val="left"/>
        <w:rPr>
          <w:rFonts w:ascii="仿宋_GB2312" w:eastAsia="仿宋_GB2312" w:cs="仿宋_GB2312"/>
          <w:b/>
          <w:bCs/>
          <w:sz w:val="18"/>
          <w:szCs w:val="18"/>
        </w:rPr>
      </w:pPr>
      <w:r>
        <w:rPr>
          <w:rFonts w:hint="eastAsia"/>
          <w:b/>
        </w:rPr>
        <w:t>项目编号：</w:t>
      </w:r>
      <w:r>
        <w:rPr>
          <w:rFonts w:hint="eastAsia"/>
          <w:b/>
          <w:u w:val="single"/>
        </w:rPr>
        <w:t xml:space="preserve">             </w:t>
      </w:r>
      <w:r>
        <w:rPr>
          <w:rFonts w:hint="eastAsia"/>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pPr>
    </w:p>
    <w:p>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7"/>
        <w:pageBreakBefore w:val="0"/>
        <w:kinsoku/>
        <w:bidi w:val="0"/>
        <w:spacing w:before="0" w:beforeAutospacing="0" w:after="0" w:afterAutospacing="0" w:line="440" w:lineRule="exact"/>
        <w:ind w:left="0" w:leftChars="0" w:firstLine="0" w:firstLineChars="0"/>
        <w:jc w:val="both"/>
      </w:pPr>
    </w:p>
    <w:p>
      <w:pPr>
        <w:pStyle w:val="838"/>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同类项目业绩表</w:t>
      </w: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pPr>
              <w:pStyle w:val="838"/>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w:t>
            </w:r>
            <w:r>
              <w:rPr>
                <w:rFonts w:hint="eastAsia" w:ascii="仿宋" w:hAnsi="仿宋" w:cs="仿宋"/>
                <w:sz w:val="24"/>
                <w:szCs w:val="24"/>
                <w:lang w:val="en-US" w:eastAsia="zh-CN"/>
              </w:rPr>
              <w:t>采购</w:t>
            </w:r>
            <w:r>
              <w:rPr>
                <w:rFonts w:hint="eastAsia" w:ascii="仿宋" w:hAnsi="仿宋" w:eastAsia="仿宋" w:cs="仿宋"/>
                <w:sz w:val="24"/>
                <w:szCs w:val="24"/>
                <w:lang w:val="en-US" w:eastAsia="zh-CN"/>
              </w:rPr>
              <w:t>单位联系电话</w:t>
            </w:r>
          </w:p>
        </w:tc>
        <w:tc>
          <w:tcPr>
            <w:tcW w:w="1253"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pPr>
        <w:pStyle w:val="838"/>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注：投标人可按上述的格式自行编制，须随表提交相应的证明材料复印件，并加盖投标单位公章。</w:t>
      </w:r>
    </w:p>
    <w:p>
      <w:pPr>
        <w:pStyle w:val="838"/>
        <w:pageBreakBefore w:val="0"/>
        <w:kinsoku/>
        <w:bidi w:val="0"/>
        <w:snapToGrid w:val="0"/>
        <w:spacing w:beforeAutospacing="0" w:afterAutospacing="0" w:line="440" w:lineRule="exact"/>
        <w:rPr>
          <w:rFonts w:hint="eastAsia"/>
          <w:b/>
          <w:sz w:val="32"/>
          <w:szCs w:val="32"/>
          <w:lang w:val="en-US" w:eastAsia="zh-CN"/>
        </w:rPr>
      </w:pPr>
    </w:p>
    <w:p>
      <w:pPr>
        <w:pStyle w:val="838"/>
        <w:pageBreakBefore w:val="0"/>
        <w:kinsoku/>
        <w:bidi w:val="0"/>
        <w:snapToGrid w:val="0"/>
        <w:spacing w:beforeAutospacing="0" w:afterAutospacing="0" w:line="440" w:lineRule="exact"/>
        <w:rPr>
          <w:rFonts w:hint="eastAsia"/>
          <w:b/>
          <w:sz w:val="32"/>
          <w:szCs w:val="32"/>
          <w:lang w:val="en-US" w:eastAsia="zh-CN"/>
        </w:rPr>
      </w:pPr>
    </w:p>
    <w:p>
      <w:pPr>
        <w:pStyle w:val="838"/>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7"/>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pPr>
        <w:pageBreakBefore w:val="0"/>
        <w:kinsoku/>
        <w:bidi w:val="0"/>
        <w:snapToGrid w:val="0"/>
        <w:spacing w:beforeAutospacing="0" w:afterAutospacing="0" w:line="440" w:lineRule="exact"/>
        <w:ind w:right="600"/>
        <w:jc w:val="center"/>
        <w:rPr>
          <w:rFonts w:hint="eastAsia"/>
          <w:b/>
          <w:sz w:val="30"/>
          <w:szCs w:val="30"/>
        </w:rPr>
      </w:pPr>
    </w:p>
    <w:p>
      <w:pPr>
        <w:pageBreakBefore w:val="0"/>
        <w:kinsoku/>
        <w:bidi w:val="0"/>
        <w:snapToGrid w:val="0"/>
        <w:spacing w:beforeAutospacing="0" w:afterAutospacing="0" w:line="440" w:lineRule="exact"/>
        <w:ind w:right="600"/>
        <w:jc w:val="center"/>
        <w:rPr>
          <w:rFonts w:hint="eastAsia"/>
          <w:b/>
          <w:sz w:val="30"/>
          <w:szCs w:val="30"/>
        </w:rPr>
      </w:pPr>
    </w:p>
    <w:p>
      <w:pPr>
        <w:pageBreakBefore w:val="0"/>
        <w:kinsoku/>
        <w:bidi w:val="0"/>
        <w:snapToGrid w:val="0"/>
        <w:spacing w:beforeAutospacing="0" w:afterAutospacing="0" w:line="440" w:lineRule="exact"/>
        <w:ind w:right="600"/>
        <w:jc w:val="center"/>
        <w:rPr>
          <w:b/>
          <w:sz w:val="30"/>
          <w:szCs w:val="30"/>
        </w:rPr>
      </w:pPr>
      <w:r>
        <w:rPr>
          <w:rFonts w:hint="eastAsia"/>
          <w:b/>
          <w:sz w:val="30"/>
          <w:szCs w:val="30"/>
        </w:rPr>
        <w:t>项目实施人员（主要从业人员及其技术资格）一览表</w:t>
      </w:r>
    </w:p>
    <w:p>
      <w:pPr>
        <w:pStyle w:val="27"/>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参加本单位</w:t>
            </w:r>
          </w:p>
          <w:p>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劳动合</w:t>
            </w:r>
          </w:p>
          <w:p>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3"/>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bl>
    <w:p>
      <w:pPr>
        <w:pageBreakBefore w:val="0"/>
        <w:kinsoku/>
        <w:bidi w:val="0"/>
        <w:snapToGrid w:val="0"/>
        <w:spacing w:beforeAutospacing="0" w:afterAutospacing="0" w:line="440" w:lineRule="exact"/>
        <w:jc w:val="left"/>
      </w:pPr>
      <w:r>
        <w:rPr>
          <w:rFonts w:hint="eastAsia"/>
        </w:rPr>
        <w:t xml:space="preserve">注：1、在填写时，如本表格不适合投标人的实际情况，可根据本表格式自行划表填写。 </w:t>
      </w:r>
    </w:p>
    <w:p>
      <w:pPr>
        <w:pageBreakBefore w:val="0"/>
        <w:kinsoku/>
        <w:bidi w:val="0"/>
        <w:snapToGrid w:val="0"/>
        <w:spacing w:beforeAutospacing="0" w:afterAutospacing="0" w:line="440" w:lineRule="exact"/>
        <w:ind w:firstLine="480" w:firstLineChars="200"/>
        <w:jc w:val="left"/>
      </w:pPr>
      <w:r>
        <w:rPr>
          <w:rFonts w:hint="eastAsia"/>
        </w:rPr>
        <w:t>2、本表结合“第三章 评标办法及评分标准”中相关人员要求，后附人员证书等证明材料复印件。</w:t>
      </w:r>
    </w:p>
    <w:p>
      <w:pPr>
        <w:pStyle w:val="838"/>
        <w:pageBreakBefore w:val="0"/>
        <w:kinsoku/>
        <w:bidi w:val="0"/>
        <w:snapToGrid w:val="0"/>
        <w:spacing w:beforeAutospacing="0" w:afterAutospacing="0" w:line="440" w:lineRule="exact"/>
        <w:rPr>
          <w:rFonts w:hint="eastAsia" w:ascii="仿宋" w:hAnsi="仿宋"/>
          <w:szCs w:val="24"/>
        </w:rPr>
      </w:pPr>
    </w:p>
    <w:p>
      <w:pPr>
        <w:pStyle w:val="838"/>
        <w:pageBreakBefore w:val="0"/>
        <w:kinsoku/>
        <w:bidi w:val="0"/>
        <w:snapToGrid w:val="0"/>
        <w:spacing w:beforeAutospacing="0" w:afterAutospacing="0"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rPr>
          <w:rFonts w:hint="eastAsia"/>
        </w:rPr>
      </w:pPr>
    </w:p>
    <w:p>
      <w:pPr>
        <w:pageBreakBefore w:val="0"/>
        <w:kinsoku/>
        <w:bidi w:val="0"/>
        <w:snapToGrid w:val="0"/>
        <w:spacing w:beforeAutospacing="0" w:afterAutospacing="0" w:line="440" w:lineRule="exact"/>
        <w:ind w:right="600"/>
        <w:rPr>
          <w:rFonts w:hint="eastAsia"/>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pPr>
        <w:pStyle w:val="7"/>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cyan"/>
        </w:rPr>
      </w:pPr>
      <w:r>
        <w:rPr>
          <w:rFonts w:hint="eastAsia"/>
          <w:u w:val="single"/>
        </w:rPr>
        <w:br w:type="page"/>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firstLine="0"/>
        <w:jc w:val="both"/>
        <w:textAlignment w:val="auto"/>
        <w:rPr>
          <w:rFonts w:hint="eastAsia" w:eastAsia="仿宋" w:cs="宋体"/>
          <w:color w:val="auto"/>
          <w:kern w:val="0"/>
          <w:sz w:val="24"/>
          <w:highlight w:val="cyan"/>
          <w:lang w:eastAsia="zh-CN"/>
        </w:rPr>
      </w:pPr>
      <w:r>
        <w:rPr>
          <w:rFonts w:hint="eastAsia" w:cs="仿宋"/>
          <w:b/>
          <w:bCs w:val="0"/>
          <w:color w:val="000000"/>
          <w:kern w:val="2"/>
          <w:sz w:val="24"/>
          <w:szCs w:val="24"/>
          <w:highlight w:val="none"/>
          <w:lang w:val="en-US" w:eastAsia="zh-CN" w:bidi="ar-SA"/>
        </w:rPr>
        <w:t>提示：1、</w:t>
      </w:r>
      <w:r>
        <w:rPr>
          <w:rFonts w:hint="eastAsia"/>
          <w:b/>
          <w:bCs/>
          <w:sz w:val="24"/>
          <w:szCs w:val="24"/>
          <w:lang w:eastAsia="zh-CN"/>
        </w:rPr>
        <w:t>如货物制造商</w:t>
      </w:r>
      <w:r>
        <w:rPr>
          <w:rFonts w:hint="eastAsia" w:ascii="仿宋" w:hAnsi="仿宋" w:eastAsia="仿宋"/>
          <w:b/>
          <w:bCs/>
          <w:sz w:val="24"/>
          <w:szCs w:val="24"/>
        </w:rPr>
        <w:t>非</w:t>
      </w:r>
      <w:r>
        <w:rPr>
          <w:rFonts w:hint="eastAsia"/>
          <w:b/>
          <w:bCs/>
          <w:sz w:val="24"/>
          <w:szCs w:val="24"/>
          <w:lang w:eastAsia="zh-CN"/>
        </w:rPr>
        <w:t>全部为</w:t>
      </w:r>
      <w:r>
        <w:rPr>
          <w:rFonts w:hint="eastAsia" w:ascii="仿宋" w:hAnsi="仿宋" w:eastAsia="仿宋"/>
          <w:b/>
          <w:bCs/>
          <w:sz w:val="24"/>
          <w:szCs w:val="24"/>
        </w:rPr>
        <w:t>中小微型企业</w:t>
      </w:r>
      <w:r>
        <w:rPr>
          <w:rFonts w:hint="eastAsia"/>
          <w:b/>
          <w:bCs/>
          <w:sz w:val="24"/>
          <w:szCs w:val="24"/>
          <w:lang w:eastAsia="zh-CN"/>
        </w:rPr>
        <w:t>的，则</w:t>
      </w:r>
      <w:r>
        <w:rPr>
          <w:rFonts w:hint="eastAsia" w:ascii="仿宋" w:hAnsi="仿宋" w:eastAsia="仿宋"/>
          <w:b/>
          <w:bCs/>
          <w:sz w:val="24"/>
          <w:szCs w:val="24"/>
        </w:rPr>
        <w:t>无需提供</w:t>
      </w:r>
      <w:r>
        <w:rPr>
          <w:rFonts w:hint="eastAsia"/>
          <w:b/>
          <w:bCs/>
          <w:sz w:val="24"/>
          <w:szCs w:val="24"/>
          <w:lang w:eastAsia="zh-CN"/>
        </w:rPr>
        <w:t>以下材料。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b/>
          <w:bCs w:val="0"/>
          <w:color w:val="000000"/>
          <w:kern w:val="2"/>
          <w:sz w:val="24"/>
          <w:szCs w:val="24"/>
          <w:highlight w:val="none"/>
          <w:lang w:val="en-US" w:eastAsia="zh-CN" w:bidi="ar-SA"/>
        </w:rPr>
      </w:pPr>
      <w:r>
        <w:rPr>
          <w:rFonts w:hint="eastAsia" w:cs="仿宋"/>
          <w:b/>
          <w:bCs w:val="0"/>
          <w:color w:val="000000"/>
          <w:kern w:val="2"/>
          <w:sz w:val="24"/>
          <w:szCs w:val="24"/>
          <w:highlight w:val="none"/>
          <w:lang w:val="en-US" w:eastAsia="zh-CN" w:bidi="ar-SA"/>
        </w:rPr>
        <w:t>2、</w:t>
      </w:r>
      <w:r>
        <w:rPr>
          <w:rFonts w:hint="eastAsia" w:ascii="仿宋" w:hAnsi="仿宋" w:eastAsia="仿宋" w:cs="仿宋"/>
          <w:b/>
          <w:bCs w:val="0"/>
          <w:color w:val="000000"/>
          <w:kern w:val="2"/>
          <w:sz w:val="24"/>
          <w:szCs w:val="24"/>
          <w:highlight w:val="none"/>
          <w:lang w:val="en-US" w:eastAsia="zh-CN" w:bidi="ar-SA"/>
        </w:rPr>
        <w:t>如投标人对相关制造商信息了解不充分，或者不能确定相关信息真实、准确的，不建议出具《中小企业声明函》</w:t>
      </w:r>
    </w:p>
    <w:p>
      <w:pPr>
        <w:numPr>
          <w:ilvl w:val="0"/>
          <w:numId w:val="0"/>
        </w:numPr>
        <w:spacing w:before="156" w:line="360" w:lineRule="auto"/>
        <w:ind w:leftChars="0"/>
        <w:jc w:val="center"/>
        <w:rPr>
          <w:rFonts w:hint="eastAsia" w:ascii="仿宋_GB2312" w:hAnsi="仿宋" w:eastAsia="仿宋_GB2312"/>
          <w:b/>
          <w:color w:val="000000"/>
          <w:sz w:val="32"/>
          <w:szCs w:val="32"/>
          <w:highlight w:val="none"/>
          <w:u w:val="none"/>
          <w:lang w:val="en-US" w:eastAsia="zh-CN"/>
        </w:rPr>
      </w:pPr>
      <w:r>
        <w:rPr>
          <w:rFonts w:hint="eastAsia" w:ascii="仿宋_GB2312" w:hAnsi="仿宋" w:eastAsia="仿宋_GB2312"/>
          <w:b/>
          <w:color w:val="000000"/>
          <w:sz w:val="32"/>
          <w:szCs w:val="32"/>
          <w:highlight w:val="none"/>
          <w:u w:val="none"/>
          <w:lang w:val="en-US" w:eastAsia="zh-CN"/>
        </w:rPr>
        <w:t>中小企业声明函（货物）</w:t>
      </w:r>
    </w:p>
    <w:p>
      <w:pPr>
        <w:pStyle w:val="82"/>
        <w:ind w:firstLine="480" w:firstLineChars="200"/>
        <w:rPr>
          <w:rFonts w:hint="eastAsia" w:ascii="仿宋" w:hAnsi="仿宋" w:eastAsia="仿宋" w:cs="宋体"/>
          <w:color w:val="auto"/>
          <w:kern w:val="0"/>
          <w:sz w:val="24"/>
        </w:rPr>
      </w:pPr>
      <w:r>
        <w:rPr>
          <w:rFonts w:hint="eastAsia" w:ascii="仿宋" w:hAnsi="仿宋" w:eastAsia="仿宋" w:cs="仿宋"/>
          <w:color w:val="000000"/>
          <w:kern w:val="0"/>
          <w:sz w:val="24"/>
          <w:szCs w:val="24"/>
          <w:lang w:val="en-US" w:eastAsia="zh-CN" w:bidi="ar"/>
        </w:rPr>
        <w:t>本公司（联合体）郑重声明，根据《政府采购促进中小企业发展管理办法》（财库﹝2020﹞46 号）的规定，本公司（联合体）参加</w:t>
      </w:r>
      <w:r>
        <w:rPr>
          <w:rFonts w:hint="eastAsia" w:ascii="仿宋" w:hAnsi="仿宋" w:eastAsia="仿宋" w:cs="仿宋"/>
          <w:b/>
          <w:bCs/>
          <w:i w:val="0"/>
          <w:iCs/>
          <w:color w:val="000000"/>
          <w:kern w:val="0"/>
          <w:sz w:val="24"/>
          <w:szCs w:val="24"/>
          <w:u w:val="single"/>
          <w:lang w:val="en-US" w:eastAsia="zh-CN" w:bidi="ar"/>
        </w:rPr>
        <w:t>（        单位名称      ）</w:t>
      </w:r>
      <w:r>
        <w:rPr>
          <w:rFonts w:hint="eastAsia" w:ascii="仿宋" w:hAnsi="仿宋" w:eastAsia="仿宋" w:cs="仿宋"/>
          <w:i w:val="0"/>
          <w:iCs/>
          <w:color w:val="000000"/>
          <w:kern w:val="0"/>
          <w:sz w:val="24"/>
          <w:szCs w:val="24"/>
          <w:lang w:val="en-US" w:eastAsia="zh-CN" w:bidi="ar"/>
        </w:rPr>
        <w:t>的</w:t>
      </w:r>
      <w:r>
        <w:rPr>
          <w:rFonts w:hint="eastAsia" w:ascii="仿宋" w:hAnsi="仿宋" w:eastAsia="仿宋" w:cs="仿宋"/>
          <w:b/>
          <w:bCs/>
          <w:i w:val="0"/>
          <w:iCs/>
          <w:color w:val="000000"/>
          <w:kern w:val="0"/>
          <w:sz w:val="24"/>
          <w:szCs w:val="24"/>
          <w:u w:val="single"/>
          <w:lang w:val="en-US" w:eastAsia="zh-CN" w:bidi="ar"/>
        </w:rPr>
        <w:t>（      项目名称      ）</w:t>
      </w:r>
      <w:r>
        <w:rPr>
          <w:rFonts w:hint="eastAsia" w:ascii="仿宋" w:hAnsi="仿宋" w:eastAsia="仿宋" w:cs="仿宋"/>
          <w:color w:val="000000"/>
          <w:kern w:val="0"/>
          <w:sz w:val="24"/>
          <w:szCs w:val="24"/>
          <w:lang w:val="en-US" w:eastAsia="zh-CN" w:bidi="ar"/>
        </w:rPr>
        <w:t>采购活动，提供的货物全部由符合政策要求的中小企业制造。相关企业 （含联合体中的中小企业、签订分包意向协议的中小企业） 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40"/>
        <w:gridCol w:w="1020"/>
        <w:gridCol w:w="1683"/>
        <w:gridCol w:w="1062"/>
        <w:gridCol w:w="1172"/>
        <w:gridCol w:w="10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6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3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710"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8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65"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29" w:type="dxa"/>
            <w:noWrap w:val="0"/>
            <w:vAlign w:val="center"/>
          </w:tcPr>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pPr>
              <w:pStyle w:val="477"/>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6" w:type="dxa"/>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65" w:type="dxa"/>
            <w:noWrap w:val="0"/>
            <w:vAlign w:val="top"/>
          </w:tcPr>
          <w:p>
            <w:pPr>
              <w:pStyle w:val="107"/>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pPr>
              <w:pStyle w:val="107"/>
              <w:spacing w:before="0" w:after="0" w:line="240" w:lineRule="auto"/>
              <w:ind w:left="0"/>
              <w:rPr>
                <w:rFonts w:hint="eastAsia" w:eastAsia="仿宋"/>
                <w:color w:val="auto"/>
                <w:highlight w:val="none"/>
                <w:vertAlign w:val="baseline"/>
                <w:lang w:eastAsia="zh-CN"/>
              </w:rPr>
            </w:pPr>
          </w:p>
        </w:tc>
        <w:tc>
          <w:tcPr>
            <w:tcW w:w="1710" w:type="dxa"/>
            <w:noWrap w:val="0"/>
            <w:vAlign w:val="top"/>
          </w:tcPr>
          <w:p>
            <w:pPr>
              <w:pStyle w:val="107"/>
              <w:rPr>
                <w:rFonts w:hint="eastAsia"/>
                <w:color w:val="auto"/>
                <w:highlight w:val="none"/>
                <w:vertAlign w:val="baseline"/>
              </w:rPr>
            </w:pPr>
          </w:p>
        </w:tc>
        <w:tc>
          <w:tcPr>
            <w:tcW w:w="1065" w:type="dxa"/>
            <w:noWrap w:val="0"/>
            <w:vAlign w:val="top"/>
          </w:tcPr>
          <w:p>
            <w:pPr>
              <w:pStyle w:val="107"/>
              <w:rPr>
                <w:rFonts w:hint="eastAsia"/>
                <w:color w:val="auto"/>
                <w:highlight w:val="none"/>
                <w:vertAlign w:val="baseline"/>
              </w:rPr>
            </w:pPr>
          </w:p>
        </w:tc>
        <w:tc>
          <w:tcPr>
            <w:tcW w:w="1185" w:type="dxa"/>
            <w:noWrap w:val="0"/>
            <w:vAlign w:val="top"/>
          </w:tcPr>
          <w:p>
            <w:pPr>
              <w:pStyle w:val="107"/>
              <w:rPr>
                <w:rFonts w:hint="eastAsia"/>
                <w:color w:val="auto"/>
                <w:highlight w:val="none"/>
                <w:vertAlign w:val="baseline"/>
              </w:rPr>
            </w:pPr>
          </w:p>
        </w:tc>
        <w:tc>
          <w:tcPr>
            <w:tcW w:w="1065" w:type="dxa"/>
            <w:noWrap w:val="0"/>
            <w:vAlign w:val="top"/>
          </w:tcPr>
          <w:p>
            <w:pPr>
              <w:pStyle w:val="107"/>
              <w:rPr>
                <w:rFonts w:hint="eastAsia"/>
                <w:color w:val="auto"/>
                <w:highlight w:val="none"/>
                <w:vertAlign w:val="baseline"/>
              </w:rPr>
            </w:pPr>
          </w:p>
        </w:tc>
        <w:tc>
          <w:tcPr>
            <w:tcW w:w="1329" w:type="dxa"/>
            <w:noWrap w:val="0"/>
            <w:vAlign w:val="top"/>
          </w:tcPr>
          <w:p>
            <w:pPr>
              <w:pStyle w:val="107"/>
              <w:rPr>
                <w:rFonts w:hint="eastAsia" w:eastAsia="仿宋"/>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 w:type="dxa"/>
            <w:noWrap w:val="0"/>
            <w:vAlign w:val="top"/>
          </w:tcPr>
          <w:p>
            <w:pPr>
              <w:pStyle w:val="107"/>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w:t>
            </w:r>
          </w:p>
        </w:tc>
        <w:tc>
          <w:tcPr>
            <w:tcW w:w="1665" w:type="dxa"/>
            <w:noWrap w:val="0"/>
            <w:vAlign w:val="top"/>
          </w:tcPr>
          <w:p>
            <w:pPr>
              <w:pStyle w:val="107"/>
              <w:spacing w:before="0" w:after="0" w:line="240" w:lineRule="auto"/>
              <w:ind w:left="0"/>
              <w:rPr>
                <w:rFonts w:hint="default" w:eastAsia="宋体"/>
                <w:color w:val="auto"/>
                <w:highlight w:val="none"/>
                <w:vertAlign w:val="baseline"/>
                <w:lang w:val="en-US" w:eastAsia="zh-CN"/>
              </w:rPr>
            </w:pPr>
          </w:p>
        </w:tc>
        <w:tc>
          <w:tcPr>
            <w:tcW w:w="1035" w:type="dxa"/>
            <w:noWrap w:val="0"/>
            <w:vAlign w:val="top"/>
          </w:tcPr>
          <w:p>
            <w:pPr>
              <w:pStyle w:val="107"/>
              <w:spacing w:before="0" w:after="0" w:line="240" w:lineRule="auto"/>
              <w:ind w:left="0"/>
              <w:rPr>
                <w:rFonts w:hint="eastAsia" w:eastAsia="仿宋"/>
                <w:color w:val="auto"/>
                <w:highlight w:val="none"/>
                <w:vertAlign w:val="baseline"/>
                <w:lang w:eastAsia="zh-CN"/>
              </w:rPr>
            </w:pPr>
          </w:p>
        </w:tc>
        <w:tc>
          <w:tcPr>
            <w:tcW w:w="1710" w:type="dxa"/>
            <w:noWrap w:val="0"/>
            <w:vAlign w:val="top"/>
          </w:tcPr>
          <w:p>
            <w:pPr>
              <w:pStyle w:val="107"/>
              <w:rPr>
                <w:rFonts w:hint="eastAsia"/>
                <w:color w:val="auto"/>
                <w:highlight w:val="none"/>
                <w:vertAlign w:val="baseline"/>
              </w:rPr>
            </w:pPr>
          </w:p>
        </w:tc>
        <w:tc>
          <w:tcPr>
            <w:tcW w:w="1065" w:type="dxa"/>
            <w:noWrap w:val="0"/>
            <w:vAlign w:val="top"/>
          </w:tcPr>
          <w:p>
            <w:pPr>
              <w:pStyle w:val="107"/>
              <w:rPr>
                <w:rFonts w:hint="eastAsia"/>
                <w:color w:val="auto"/>
                <w:highlight w:val="none"/>
                <w:vertAlign w:val="baseline"/>
              </w:rPr>
            </w:pPr>
          </w:p>
        </w:tc>
        <w:tc>
          <w:tcPr>
            <w:tcW w:w="1185" w:type="dxa"/>
            <w:noWrap w:val="0"/>
            <w:vAlign w:val="top"/>
          </w:tcPr>
          <w:p>
            <w:pPr>
              <w:pStyle w:val="107"/>
              <w:rPr>
                <w:rFonts w:hint="eastAsia"/>
                <w:color w:val="auto"/>
                <w:highlight w:val="none"/>
                <w:vertAlign w:val="baseline"/>
              </w:rPr>
            </w:pPr>
          </w:p>
        </w:tc>
        <w:tc>
          <w:tcPr>
            <w:tcW w:w="1065" w:type="dxa"/>
            <w:noWrap w:val="0"/>
            <w:vAlign w:val="top"/>
          </w:tcPr>
          <w:p>
            <w:pPr>
              <w:pStyle w:val="107"/>
              <w:rPr>
                <w:rFonts w:hint="eastAsia"/>
                <w:color w:val="auto"/>
                <w:highlight w:val="none"/>
                <w:vertAlign w:val="baseline"/>
              </w:rPr>
            </w:pPr>
          </w:p>
        </w:tc>
        <w:tc>
          <w:tcPr>
            <w:tcW w:w="1329" w:type="dxa"/>
            <w:noWrap w:val="0"/>
            <w:vAlign w:val="top"/>
          </w:tcPr>
          <w:p>
            <w:pPr>
              <w:pStyle w:val="107"/>
              <w:rPr>
                <w:rFonts w:hint="eastAsia" w:eastAsia="仿宋"/>
                <w:color w:val="auto"/>
                <w:highlight w:val="none"/>
                <w:vertAlign w:val="baseline"/>
                <w:lang w:eastAsia="zh-CN"/>
              </w:rPr>
            </w:pPr>
          </w:p>
        </w:tc>
      </w:tr>
    </w:tbl>
    <w:p>
      <w:pPr>
        <w:pStyle w:val="82"/>
        <w:pageBreakBefore w:val="0"/>
        <w:kinsoku/>
        <w:bidi w:val="0"/>
        <w:spacing w:beforeAutospacing="0" w:afterAutospacing="0" w:line="440" w:lineRule="exact"/>
        <w:ind w:firstLine="480" w:firstLineChars="200"/>
        <w:rPr>
          <w:rFonts w:ascii="仿宋" w:hAnsi="仿宋"/>
          <w:color w:val="FF0000"/>
          <w:sz w:val="24"/>
          <w:szCs w:val="24"/>
        </w:rPr>
      </w:pPr>
      <w:r>
        <w:rPr>
          <w:rFonts w:hint="eastAsia" w:ascii="仿宋" w:hAnsi="仿宋"/>
          <w:color w:val="FF0000"/>
          <w:sz w:val="24"/>
          <w:szCs w:val="24"/>
        </w:rPr>
        <w:t>以上企业，不属于大企业的分支机构，不存在控股股东为大企业的情形，也不存在与大企业的负责人为同一人的情形。</w:t>
      </w:r>
    </w:p>
    <w:p>
      <w:pPr>
        <w:pStyle w:val="82"/>
        <w:pageBreakBefore w:val="0"/>
        <w:kinsoku/>
        <w:bidi w:val="0"/>
        <w:spacing w:beforeAutospacing="0" w:afterAutospacing="0" w:line="440" w:lineRule="exact"/>
        <w:ind w:firstLine="480" w:firstLineChars="200"/>
        <w:rPr>
          <w:rFonts w:hint="eastAsia" w:ascii="仿宋" w:hAnsi="仿宋"/>
          <w:color w:val="FF0000"/>
          <w:sz w:val="24"/>
          <w:szCs w:val="24"/>
        </w:rPr>
      </w:pPr>
      <w:r>
        <w:rPr>
          <w:rFonts w:hint="eastAsia" w:ascii="仿宋" w:hAnsi="仿宋"/>
          <w:color w:val="FF0000"/>
          <w:sz w:val="24"/>
          <w:szCs w:val="24"/>
        </w:rPr>
        <w:t>本企业对上述声明内容的真实性负责。如有虚假，将依法承担相应责任。</w:t>
      </w:r>
    </w:p>
    <w:p>
      <w:pPr>
        <w:pStyle w:val="838"/>
        <w:pageBreakBefore w:val="0"/>
        <w:kinsoku/>
        <w:bidi w:val="0"/>
        <w:snapToGrid w:val="0"/>
        <w:spacing w:beforeAutospacing="0" w:afterAutospacing="0" w:line="440" w:lineRule="exact"/>
        <w:rPr>
          <w:rFonts w:hint="eastAsia" w:ascii="仿宋" w:hAnsi="仿宋"/>
          <w:szCs w:val="24"/>
        </w:rPr>
      </w:pPr>
    </w:p>
    <w:p>
      <w:pPr>
        <w:pStyle w:val="838"/>
        <w:pageBreakBefore w:val="0"/>
        <w:kinsoku/>
        <w:bidi w:val="0"/>
        <w:snapToGrid w:val="0"/>
        <w:spacing w:beforeAutospacing="0" w:afterAutospacing="0"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pPr>
      <w:r>
        <w:rPr>
          <w:rFonts w:hint="eastAsia"/>
        </w:rPr>
        <w:t>法定代表人或授权代表（签名或盖章）：</w:t>
      </w:r>
      <w:r>
        <w:rPr>
          <w:rFonts w:hint="eastAsia"/>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ind w:firstLine="480" w:firstLineChars="200"/>
        <w:rPr>
          <w:rFonts w:hint="eastAsia"/>
          <w:b/>
          <w:color w:val="FF0000"/>
        </w:rPr>
      </w:pPr>
      <w:r>
        <w:rPr>
          <w:rFonts w:hint="eastAsia"/>
          <w:color w:val="FF0000"/>
        </w:rPr>
        <w:t>注：从业人员、营业收入、资产总额填报上一年度数据，无上一年度数据的新成立企业可不填报。</w:t>
      </w:r>
    </w:p>
    <w:p>
      <w:pPr>
        <w:pageBreakBefore w:val="0"/>
        <w:kinsoku/>
        <w:bidi w:val="0"/>
        <w:snapToGrid w:val="0"/>
        <w:spacing w:beforeAutospacing="0" w:afterAutospacing="0" w:line="440" w:lineRule="exact"/>
        <w:ind w:firstLine="472" w:firstLineChars="196"/>
        <w:rPr>
          <w:rFonts w:hint="eastAsia" w:ascii="仿宋" w:hAnsi="仿宋" w:eastAsia="仿宋" w:cs="仿宋"/>
          <w:b/>
          <w:bCs w:val="0"/>
          <w:color w:val="FF0000"/>
          <w:kern w:val="2"/>
          <w:sz w:val="24"/>
          <w:szCs w:val="24"/>
          <w:highlight w:val="none"/>
          <w:lang w:val="en-US" w:eastAsia="zh-CN" w:bidi="ar-SA"/>
        </w:rPr>
      </w:pPr>
      <w:bookmarkStart w:id="15" w:name="_GoBack"/>
      <w:bookmarkEnd w:id="15"/>
    </w:p>
    <w:p>
      <w:pPr>
        <w:pageBreakBefore w:val="0"/>
        <w:kinsoku/>
        <w:bidi w:val="0"/>
        <w:snapToGrid w:val="0"/>
        <w:spacing w:beforeAutospacing="0" w:afterAutospacing="0" w:line="440" w:lineRule="exact"/>
        <w:ind w:firstLine="472" w:firstLineChars="196"/>
        <w:rPr>
          <w:b/>
          <w:color w:val="FF0000"/>
          <w:szCs w:val="24"/>
        </w:rPr>
      </w:pPr>
      <w:r>
        <w:rPr>
          <w:rFonts w:hint="eastAsia" w:ascii="仿宋" w:hAnsi="仿宋" w:eastAsia="仿宋" w:cs="仿宋"/>
          <w:b/>
          <w:bCs w:val="0"/>
          <w:color w:val="FF0000"/>
          <w:kern w:val="2"/>
          <w:sz w:val="24"/>
          <w:szCs w:val="24"/>
          <w:highlight w:val="none"/>
          <w:lang w:val="en-US" w:eastAsia="zh-CN" w:bidi="ar-SA"/>
        </w:rPr>
        <w:t>▲</w:t>
      </w:r>
      <w:r>
        <w:rPr>
          <w:rFonts w:hint="eastAsia"/>
          <w:b/>
          <w:color w:val="FF0000"/>
        </w:rPr>
        <w:t>注：</w:t>
      </w:r>
      <w:r>
        <w:rPr>
          <w:rFonts w:hint="eastAsia" w:ascii="仿宋" w:hAnsi="仿宋" w:eastAsia="仿宋" w:cs="仿宋"/>
          <w:b/>
          <w:bCs w:val="0"/>
          <w:color w:val="FF0000"/>
          <w:kern w:val="2"/>
          <w:sz w:val="24"/>
          <w:szCs w:val="24"/>
          <w:highlight w:val="none"/>
          <w:lang w:val="en-US" w:eastAsia="zh-CN" w:bidi="ar-SA"/>
        </w:rPr>
        <w:t>投标人应当对其出具的</w:t>
      </w:r>
      <w:r>
        <w:rPr>
          <w:rFonts w:hint="eastAsia"/>
          <w:b/>
          <w:color w:val="FF0000"/>
          <w:szCs w:val="24"/>
        </w:rPr>
        <w:t>《中小企业声明函》、监狱企业</w:t>
      </w:r>
      <w:r>
        <w:rPr>
          <w:rFonts w:hint="eastAsia"/>
          <w:b/>
          <w:color w:val="FF0000"/>
          <w:szCs w:val="24"/>
          <w:lang w:eastAsia="zh-CN"/>
        </w:rPr>
        <w:t>证明文件</w:t>
      </w:r>
      <w:r>
        <w:rPr>
          <w:rFonts w:hint="eastAsia"/>
          <w:b/>
          <w:color w:val="FF0000"/>
          <w:szCs w:val="24"/>
        </w:rPr>
        <w:t>、《残疾人福利性单位声明函》</w:t>
      </w:r>
      <w:r>
        <w:rPr>
          <w:rFonts w:hint="eastAsia" w:ascii="仿宋" w:hAnsi="仿宋" w:eastAsia="仿宋" w:cs="仿宋"/>
          <w:b/>
          <w:bCs w:val="0"/>
          <w:color w:val="FF0000"/>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7"/>
        <w:keepNext w:val="0"/>
        <w:keepLines w:val="0"/>
        <w:pageBreakBefore w:val="0"/>
        <w:kinsoku/>
        <w:bidi w:val="0"/>
        <w:spacing w:before="0" w:beforeAutospacing="0" w:after="0" w:afterAutospacing="0" w:line="440" w:lineRule="exact"/>
        <w:ind w:left="0" w:firstLine="482" w:firstLineChars="200"/>
        <w:jc w:val="both"/>
        <w:rPr>
          <w:rFonts w:hint="eastAsia" w:ascii="仿宋" w:hAnsi="仿宋" w:eastAsia="仿宋" w:cs="仿宋"/>
          <w:b/>
          <w:bCs w:val="0"/>
          <w:color w:val="FF0000"/>
          <w:kern w:val="2"/>
          <w:sz w:val="24"/>
          <w:szCs w:val="24"/>
          <w:highlight w:val="none"/>
          <w:lang w:val="en-US" w:eastAsia="zh-CN" w:bidi="ar-SA"/>
        </w:rPr>
      </w:pPr>
    </w:p>
    <w:p>
      <w:pPr>
        <w:pStyle w:val="7"/>
        <w:keepNext w:val="0"/>
        <w:keepLines w:val="0"/>
        <w:pageBreakBefore w:val="0"/>
        <w:kinsoku/>
        <w:bidi w:val="0"/>
        <w:spacing w:before="0" w:beforeAutospacing="0" w:after="0" w:afterAutospacing="0" w:line="440" w:lineRule="exact"/>
        <w:ind w:left="0" w:firstLine="482" w:firstLineChars="200"/>
        <w:jc w:val="both"/>
        <w:rPr>
          <w:rFonts w:hint="eastAsia" w:cs="仿宋"/>
          <w:b/>
          <w:bCs w:val="0"/>
          <w:i/>
          <w:iCs/>
          <w:color w:val="FF0000"/>
          <w:kern w:val="2"/>
          <w:sz w:val="24"/>
          <w:szCs w:val="24"/>
          <w:highlight w:val="none"/>
          <w:lang w:val="en-US" w:eastAsia="zh-CN" w:bidi="ar-SA"/>
        </w:rPr>
      </w:pPr>
    </w:p>
    <w:p>
      <w:pPr>
        <w:pStyle w:val="26"/>
        <w:pageBreakBefore w:val="0"/>
        <w:kinsoku/>
        <w:bidi w:val="0"/>
        <w:spacing w:beforeAutospacing="0" w:afterAutospacing="0" w:line="440" w:lineRule="exact"/>
        <w:ind w:right="480" w:firstLine="0"/>
        <w:jc w:val="center"/>
        <w:rPr>
          <w:rFonts w:hint="eastAsia"/>
          <w:b/>
          <w:sz w:val="32"/>
          <w:szCs w:val="32"/>
        </w:rPr>
      </w:pPr>
    </w:p>
    <w:p>
      <w:pPr>
        <w:pStyle w:val="26"/>
        <w:pageBreakBefore w:val="0"/>
        <w:kinsoku/>
        <w:bidi w:val="0"/>
        <w:spacing w:beforeAutospacing="0" w:afterAutospacing="0" w:line="440" w:lineRule="exact"/>
        <w:ind w:right="480" w:firstLine="0"/>
        <w:jc w:val="center"/>
        <w:rPr>
          <w:szCs w:val="24"/>
        </w:rPr>
      </w:pPr>
      <w:r>
        <w:rPr>
          <w:rFonts w:hint="eastAsia"/>
          <w:b/>
          <w:sz w:val="32"/>
          <w:szCs w:val="32"/>
        </w:rPr>
        <w:t>残疾人福利性单位声明函</w:t>
      </w:r>
    </w:p>
    <w:p>
      <w:pPr>
        <w:pStyle w:val="26"/>
        <w:pageBreakBefore w:val="0"/>
        <w:kinsoku/>
        <w:bidi w:val="0"/>
        <w:spacing w:beforeAutospacing="0" w:afterAutospacing="0" w:line="440" w:lineRule="exact"/>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pageBreakBefore w:val="0"/>
        <w:kinsoku/>
        <w:bidi w:val="0"/>
        <w:spacing w:beforeAutospacing="0" w:afterAutospacing="0" w:line="440" w:lineRule="exact"/>
        <w:ind w:right="482" w:firstLine="480" w:firstLineChars="200"/>
        <w:jc w:val="left"/>
        <w:rPr>
          <w:szCs w:val="24"/>
        </w:rPr>
      </w:pPr>
      <w:r>
        <w:rPr>
          <w:rFonts w:hint="eastAsia"/>
          <w:szCs w:val="24"/>
        </w:rPr>
        <w:t>本单位对上述声明的真实性负责。如有虚假，将依法承担相应责任。</w:t>
      </w:r>
    </w:p>
    <w:p>
      <w:pPr>
        <w:pStyle w:val="838"/>
        <w:pageBreakBefore w:val="0"/>
        <w:kinsoku/>
        <w:bidi w:val="0"/>
        <w:snapToGrid w:val="0"/>
        <w:spacing w:beforeAutospacing="0" w:afterAutospacing="0" w:line="440" w:lineRule="exact"/>
        <w:rPr>
          <w:rFonts w:ascii="仿宋" w:hAnsi="仿宋"/>
          <w:szCs w:val="24"/>
        </w:rPr>
      </w:pPr>
      <w:r>
        <w:rPr>
          <w:rFonts w:hint="eastAsia"/>
          <w:szCs w:val="24"/>
        </w:rPr>
        <w:br w:type="textWrapping"/>
      </w:r>
      <w:r>
        <w:rPr>
          <w:rFonts w:hint="eastAsia"/>
          <w:szCs w:val="24"/>
        </w:rPr>
        <w:br w:type="textWrapping"/>
      </w: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pP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ind w:firstLine="482" w:firstLineChars="200"/>
        <w:jc w:val="center"/>
        <w:rPr>
          <w:b/>
        </w:rPr>
      </w:pPr>
    </w:p>
    <w:p>
      <w:pPr>
        <w:pageBreakBefore w:val="0"/>
        <w:widowControl/>
        <w:kinsoku/>
        <w:bidi w:val="0"/>
        <w:spacing w:beforeAutospacing="0" w:afterAutospacing="0" w:line="440" w:lineRule="exact"/>
        <w:ind w:firstLine="480" w:firstLineChars="200"/>
        <w:jc w:val="left"/>
        <w:rPr>
          <w:kern w:val="0"/>
        </w:rPr>
      </w:pPr>
    </w:p>
    <w:p>
      <w:pPr>
        <w:pStyle w:val="10"/>
        <w:pageBreakBefore w:val="0"/>
        <w:kinsoku/>
        <w:bidi w:val="0"/>
        <w:spacing w:before="0" w:beforeAutospacing="0" w:after="0" w:afterAutospacing="0" w:line="440" w:lineRule="exact"/>
        <w:rPr>
          <w:kern w:val="0"/>
        </w:rPr>
      </w:pPr>
    </w:p>
    <w:p>
      <w:pPr>
        <w:pageBreakBefore w:val="0"/>
        <w:kinsoku/>
        <w:bidi w:val="0"/>
        <w:spacing w:beforeAutospacing="0" w:afterAutospacing="0" w:line="440" w:lineRule="exact"/>
        <w:rPr>
          <w:kern w:val="0"/>
        </w:rPr>
      </w:pPr>
    </w:p>
    <w:p>
      <w:pPr>
        <w:pageBreakBefore w:val="0"/>
        <w:kinsoku/>
        <w:bidi w:val="0"/>
        <w:spacing w:beforeAutospacing="0" w:afterAutospacing="0" w:line="440" w:lineRule="exact"/>
        <w:rPr>
          <w:kern w:val="0"/>
        </w:rPr>
      </w:pPr>
    </w:p>
    <w:p>
      <w:pPr>
        <w:pStyle w:val="106"/>
        <w:rPr>
          <w:kern w:val="0"/>
        </w:rPr>
      </w:pPr>
    </w:p>
    <w:p>
      <w:pPr>
        <w:rPr>
          <w:kern w:val="0"/>
        </w:rPr>
      </w:pPr>
    </w:p>
    <w:p>
      <w:pPr>
        <w:pStyle w:val="106"/>
        <w:rPr>
          <w:kern w:val="0"/>
        </w:rPr>
      </w:pPr>
    </w:p>
    <w:p>
      <w:pPr>
        <w:rPr>
          <w:kern w:val="0"/>
        </w:rPr>
      </w:pPr>
    </w:p>
    <w:p>
      <w:pPr>
        <w:pStyle w:val="106"/>
        <w:rPr>
          <w:kern w:val="0"/>
        </w:rPr>
      </w:pPr>
    </w:p>
    <w:p>
      <w:pPr>
        <w:rPr>
          <w:kern w:val="0"/>
        </w:rPr>
      </w:pPr>
    </w:p>
    <w:p>
      <w:pPr>
        <w:pStyle w:val="106"/>
        <w:rPr>
          <w:kern w:val="0"/>
        </w:rPr>
      </w:pPr>
    </w:p>
    <w:p/>
    <w:p>
      <w:pPr>
        <w:pStyle w:val="26"/>
        <w:pageBreakBefore w:val="0"/>
        <w:kinsoku/>
        <w:bidi w:val="0"/>
        <w:spacing w:beforeAutospacing="0" w:afterAutospacing="0" w:line="440" w:lineRule="exact"/>
        <w:ind w:right="480" w:firstLine="0"/>
        <w:jc w:val="center"/>
        <w:rPr>
          <w:rFonts w:hint="eastAsia"/>
          <w:b/>
          <w:sz w:val="32"/>
          <w:szCs w:val="32"/>
          <w:highlight w:val="cyan"/>
          <w:lang w:val="en-US" w:eastAsia="zh-CN"/>
        </w:rPr>
      </w:pPr>
    </w:p>
    <w:p>
      <w:pPr>
        <w:pStyle w:val="26"/>
        <w:pageBreakBefore w:val="0"/>
        <w:kinsoku/>
        <w:bidi w:val="0"/>
        <w:spacing w:beforeAutospacing="0" w:afterAutospacing="0" w:line="440" w:lineRule="exact"/>
        <w:ind w:right="482" w:firstLine="0"/>
        <w:rPr>
          <w:b/>
          <w:szCs w:val="24"/>
          <w:highlight w:val="cyan"/>
        </w:rPr>
      </w:pPr>
    </w:p>
    <w:p>
      <w:pPr>
        <w:snapToGrid w:val="0"/>
        <w:spacing w:before="156" w:after="50" w:line="460" w:lineRule="exact"/>
        <w:jc w:val="center"/>
        <w:rPr>
          <w:rFonts w:ascii="仿宋_GB2312" w:hAnsi="仿宋" w:eastAsia="仿宋_GB2312"/>
          <w:b/>
          <w:color w:val="auto"/>
          <w:sz w:val="32"/>
          <w:highlight w:val="none"/>
        </w:rPr>
      </w:pPr>
      <w:r>
        <w:rPr>
          <w:rFonts w:hint="eastAsia" w:ascii="仿宋_GB2312" w:eastAsia="仿宋_GB2312"/>
          <w:b/>
          <w:color w:val="auto"/>
          <w:sz w:val="32"/>
          <w:highlight w:val="none"/>
          <w:lang w:eastAsia="zh-CN"/>
        </w:rPr>
        <w:t>开标</w:t>
      </w:r>
      <w:r>
        <w:rPr>
          <w:rFonts w:hint="eastAsia" w:ascii="仿宋_GB2312" w:hAnsi="仿宋" w:eastAsia="仿宋_GB2312"/>
          <w:b/>
          <w:color w:val="auto"/>
          <w:sz w:val="32"/>
          <w:highlight w:val="none"/>
        </w:rPr>
        <w:t>一览表</w:t>
      </w:r>
    </w:p>
    <w:p>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262"/>
        <w:gridCol w:w="708"/>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产品品牌</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cs="仿宋"/>
                <w:b/>
                <w:color w:val="auto"/>
                <w:sz w:val="24"/>
                <w:szCs w:val="24"/>
                <w:highlight w:val="none"/>
                <w:lang w:eastAsia="zh-CN"/>
              </w:rPr>
              <w:t>合</w:t>
            </w:r>
            <w:r>
              <w:rPr>
                <w:rFonts w:hint="eastAsia" w:ascii="仿宋" w:hAnsi="仿宋" w:eastAsia="仿宋" w:cs="仿宋"/>
                <w:b/>
                <w:color w:val="auto"/>
                <w:sz w:val="24"/>
                <w:szCs w:val="24"/>
                <w:highlight w:val="none"/>
              </w:rPr>
              <w:t>价（元）</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质保</w:t>
            </w:r>
            <w:r>
              <w:rPr>
                <w:rFonts w:hint="eastAsia" w:ascii="仿宋" w:hAnsi="仿宋" w:eastAsia="仿宋" w:cs="仿宋"/>
                <w:b/>
                <w:color w:val="auto"/>
                <w:sz w:val="24"/>
                <w:szCs w:val="24"/>
                <w:highlight w:val="none"/>
                <w:lang w:eastAsia="zh-CN"/>
              </w:rPr>
              <w:t>要求</w:t>
            </w:r>
          </w:p>
          <w:p>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ind w:firstLine="120" w:firstLineChars="50"/>
              <w:rPr>
                <w:rFonts w:hint="eastAsia" w:ascii="仿宋" w:hAnsi="仿宋" w:eastAsia="仿宋" w:cs="仿宋"/>
                <w:lang w:val="en-US"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ind w:firstLine="120" w:firstLineChars="50"/>
              <w:rPr>
                <w:rFonts w:hint="eastAsia" w:ascii="仿宋" w:hAnsi="仿宋" w:eastAsia="仿宋" w:cs="仿宋"/>
                <w:lang w:val="en-US" w:eastAsia="zh-CN"/>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83"/>
              <w:spacing w:line="440" w:lineRule="exact"/>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sz w:val="24"/>
                <w:szCs w:val="24"/>
              </w:rPr>
            </w:pPr>
            <w:r>
              <w:rPr>
                <w:rFonts w:hint="eastAsia" w:ascii="仿宋" w:hAnsi="仿宋" w:eastAsia="仿宋" w:cs="仿宋"/>
                <w:sz w:val="24"/>
                <w:szCs w:val="24"/>
              </w:rPr>
              <w:t>合计</w:t>
            </w:r>
          </w:p>
        </w:tc>
        <w:tc>
          <w:tcPr>
            <w:tcW w:w="9528" w:type="dxa"/>
            <w:gridSpan w:val="7"/>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default" w:ascii="仿宋" w:hAnsi="仿宋" w:eastAsia="仿宋" w:cs="仿宋"/>
                <w:b/>
                <w:bCs/>
                <w:sz w:val="24"/>
                <w:szCs w:val="24"/>
                <w:u w:val="single"/>
                <w:lang w:val="en-US" w:eastAsia="zh-CN"/>
              </w:rPr>
            </w:pPr>
            <w:r>
              <w:rPr>
                <w:rFonts w:hint="eastAsia" w:cs="仿宋"/>
                <w:b/>
                <w:bCs/>
                <w:sz w:val="24"/>
                <w:szCs w:val="24"/>
                <w:lang w:eastAsia="zh-CN"/>
              </w:rPr>
              <w:t>本项目核心产品为</w:t>
            </w:r>
            <w:r>
              <w:rPr>
                <w:rFonts w:hint="eastAsia" w:cs="仿宋"/>
                <w:b/>
                <w:bCs/>
                <w:sz w:val="24"/>
                <w:szCs w:val="24"/>
                <w:u w:val="single"/>
                <w:lang w:val="en-US" w:eastAsia="zh-CN"/>
              </w:rPr>
              <w:t xml:space="preserve">          </w:t>
            </w:r>
            <w:r>
              <w:rPr>
                <w:rFonts w:hint="eastAsia" w:cs="仿宋"/>
                <w:b/>
                <w:bCs/>
                <w:sz w:val="24"/>
                <w:szCs w:val="24"/>
                <w:u w:val="none"/>
                <w:lang w:val="en-US" w:eastAsia="zh-CN"/>
              </w:rPr>
              <w:t>，投标品牌为</w:t>
            </w:r>
            <w:r>
              <w:rPr>
                <w:rFonts w:hint="eastAsia" w:cs="仿宋"/>
                <w:b/>
                <w:bCs/>
                <w:sz w:val="24"/>
                <w:szCs w:val="24"/>
                <w:u w:val="single"/>
                <w:lang w:val="en-US" w:eastAsia="zh-CN"/>
              </w:rPr>
              <w:t xml:space="preserve">           。</w:t>
            </w:r>
          </w:p>
          <w:p>
            <w:pPr>
              <w:spacing w:before="156"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before="156" w:line="440" w:lineRule="exact"/>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bl>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lang w:val="zh-CN"/>
        </w:rPr>
      </w:pPr>
    </w:p>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3、以上表格要求细分项目及报价，在“规格型号”一栏中，货物类项目填写规格型号务。</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4、特别提示：采购代理机构将对项目名称和项目编号，中标人名称、地址和中标金额，主要中标标的的名称、规格型号、数量、单价、服务要求等予以公示。</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仿宋" w:hAnsi="仿宋" w:eastAsia="仿宋" w:cs="仿宋_GB2312"/>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各项明细费用请按实填写（不得出现“0元”“免费赠送”等形式的无偿报价），否则投标无效。</w:t>
      </w:r>
    </w:p>
    <w:p>
      <w:pPr>
        <w:pStyle w:val="838"/>
        <w:keepNext w:val="0"/>
        <w:keepLines w:val="0"/>
        <w:pageBreakBefore w:val="0"/>
        <w:widowControl w:val="0"/>
        <w:kinsoku/>
        <w:wordWrap/>
        <w:overflowPunct/>
        <w:topLinePunct w:val="0"/>
        <w:autoSpaceDE/>
        <w:autoSpaceDN/>
        <w:bidi w:val="0"/>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pPr>
        <w:pStyle w:val="838"/>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jc w:val="center"/>
        <w:rPr>
          <w:rFonts w:hint="eastAsia" w:ascii="仿宋_GB2312" w:eastAsia="仿宋_GB2312"/>
          <w:b/>
          <w:color w:val="FF0000"/>
          <w:sz w:val="32"/>
          <w:szCs w:val="32"/>
        </w:rPr>
      </w:pPr>
    </w:p>
    <w:p>
      <w:pPr>
        <w:pageBreakBefore w:val="0"/>
        <w:kinsoku/>
        <w:bidi w:val="0"/>
        <w:spacing w:beforeAutospacing="0" w:afterAutospacing="0" w:line="440" w:lineRule="exact"/>
        <w:rPr>
          <w:rFonts w:hint="eastAsia" w:ascii="仿宋_GB2312" w:eastAsia="仿宋_GB2312"/>
          <w:b/>
          <w:color w:val="FF0000"/>
          <w:sz w:val="32"/>
          <w:szCs w:val="32"/>
        </w:rPr>
      </w:pPr>
      <w:r>
        <w:rPr>
          <w:rFonts w:hint="eastAsia" w:ascii="仿宋_GB2312" w:eastAsia="仿宋_GB2312"/>
          <w:b/>
          <w:color w:val="FF0000"/>
          <w:sz w:val="32"/>
          <w:szCs w:val="32"/>
        </w:rPr>
        <w:br w:type="page"/>
      </w:r>
    </w:p>
    <w:p>
      <w:pPr>
        <w:pStyle w:val="106"/>
        <w:rPr>
          <w:rFonts w:hint="eastAsia"/>
          <w:lang w:eastAsia="zh-CN"/>
        </w:rPr>
      </w:pPr>
    </w:p>
    <w:p>
      <w:pPr>
        <w:pageBreakBefore w:val="0"/>
        <w:kinsoku/>
        <w:bidi w:val="0"/>
        <w:adjustRightInd w:val="0"/>
        <w:snapToGrid w:val="0"/>
        <w:spacing w:beforeAutospacing="0" w:afterAutospacing="0" w:line="440" w:lineRule="exact"/>
        <w:jc w:val="both"/>
        <w:rPr>
          <w:rFonts w:hint="default" w:eastAsia="仿宋"/>
          <w:b/>
          <w:sz w:val="32"/>
          <w:szCs w:val="32"/>
          <w:lang w:val="en-US" w:eastAsia="zh-CN"/>
        </w:rPr>
      </w:pPr>
      <w:r>
        <w:rPr>
          <w:rFonts w:hint="eastAsia"/>
          <w:b/>
          <w:sz w:val="32"/>
          <w:szCs w:val="32"/>
          <w:lang w:eastAsia="zh-CN"/>
        </w:rPr>
        <w:t>附件</w:t>
      </w:r>
      <w:r>
        <w:rPr>
          <w:rFonts w:hint="eastAsia"/>
          <w:b/>
          <w:sz w:val="32"/>
          <w:szCs w:val="32"/>
          <w:lang w:val="en-US" w:eastAsia="zh-CN"/>
        </w:rPr>
        <w:t>1</w:t>
      </w:r>
    </w:p>
    <w:p>
      <w:pPr>
        <w:pageBreakBefore w:val="0"/>
        <w:kinsoku/>
        <w:bidi w:val="0"/>
        <w:adjustRightInd w:val="0"/>
        <w:snapToGrid w:val="0"/>
        <w:spacing w:beforeAutospacing="0" w:afterAutospacing="0" w:line="440" w:lineRule="exact"/>
        <w:jc w:val="center"/>
        <w:rPr>
          <w:rFonts w:hint="eastAsia"/>
          <w:b/>
          <w:sz w:val="32"/>
          <w:szCs w:val="32"/>
        </w:rPr>
      </w:pPr>
    </w:p>
    <w:p>
      <w:pPr>
        <w:pageBreakBefore w:val="0"/>
        <w:kinsoku/>
        <w:bidi w:val="0"/>
        <w:adjustRightInd w:val="0"/>
        <w:snapToGrid w:val="0"/>
        <w:spacing w:beforeAutospacing="0" w:afterAutospacing="0" w:line="440" w:lineRule="exact"/>
        <w:jc w:val="center"/>
      </w:pPr>
      <w:r>
        <w:rPr>
          <w:rFonts w:hint="eastAsia"/>
          <w:b/>
          <w:sz w:val="32"/>
          <w:szCs w:val="32"/>
        </w:rPr>
        <w:t>参与政府采购活动健康承诺书</w:t>
      </w:r>
    </w:p>
    <w:p>
      <w:pPr>
        <w:pageBreakBefore w:val="0"/>
        <w:kinsoku/>
        <w:bidi w:val="0"/>
        <w:spacing w:beforeAutospacing="0" w:afterAutospacing="0" w:line="440" w:lineRule="exact"/>
        <w:rPr>
          <w:sz w:val="28"/>
          <w:szCs w:val="28"/>
          <w:shd w:val="clear" w:color="auto" w:fill="FFFFFF"/>
        </w:rPr>
      </w:pPr>
    </w:p>
    <w:p>
      <w:pPr>
        <w:pageBreakBefore w:val="0"/>
        <w:kinsoku/>
        <w:bidi w:val="0"/>
        <w:snapToGrid w:val="0"/>
        <w:spacing w:beforeAutospacing="0" w:afterAutospacing="0" w:line="440" w:lineRule="exact"/>
        <w:ind w:firstLine="480" w:firstLineChars="200"/>
      </w:pPr>
      <w:r>
        <w:rPr>
          <w:rFonts w:hint="eastAsia"/>
        </w:rPr>
        <w:t>我（姓名）：</w:t>
      </w:r>
    </w:p>
    <w:p>
      <w:pPr>
        <w:pageBreakBefore w:val="0"/>
        <w:kinsoku/>
        <w:bidi w:val="0"/>
        <w:snapToGrid w:val="0"/>
        <w:spacing w:beforeAutospacing="0" w:afterAutospacing="0" w:line="440" w:lineRule="exact"/>
        <w:ind w:firstLine="480" w:firstLineChars="200"/>
      </w:pPr>
      <w:r>
        <w:rPr>
          <w:rFonts w:hint="eastAsia"/>
        </w:rPr>
        <w:t>身份证号：</w:t>
      </w:r>
    </w:p>
    <w:p>
      <w:pPr>
        <w:pageBreakBefore w:val="0"/>
        <w:kinsoku/>
        <w:bidi w:val="0"/>
        <w:snapToGrid w:val="0"/>
        <w:spacing w:beforeAutospacing="0" w:afterAutospacing="0" w:line="440" w:lineRule="exact"/>
        <w:ind w:firstLine="480" w:firstLineChars="200"/>
      </w:pPr>
      <w:r>
        <w:rPr>
          <w:rFonts w:hint="eastAsia"/>
        </w:rPr>
        <w:t>所属单位（公司） ：</w:t>
      </w:r>
    </w:p>
    <w:p>
      <w:pPr>
        <w:pageBreakBefore w:val="0"/>
        <w:kinsoku/>
        <w:bidi w:val="0"/>
        <w:snapToGrid w:val="0"/>
        <w:spacing w:beforeAutospacing="0" w:afterAutospacing="0" w:line="440" w:lineRule="exact"/>
        <w:ind w:firstLine="480" w:firstLineChars="200"/>
      </w:pPr>
      <w:r>
        <w:rPr>
          <w:rFonts w:hint="eastAsia"/>
        </w:rPr>
        <w:t>本人现郑重承诺：</w:t>
      </w:r>
    </w:p>
    <w:p>
      <w:pPr>
        <w:pageBreakBefore w:val="0"/>
        <w:kinsoku/>
        <w:bidi w:val="0"/>
        <w:snapToGrid w:val="0"/>
        <w:spacing w:beforeAutospacing="0" w:afterAutospacing="0" w:line="440" w:lineRule="exact"/>
        <w:ind w:firstLine="480" w:firstLineChars="200"/>
      </w:pPr>
      <w:r>
        <w:rPr>
          <w:rFonts w:hint="eastAsia"/>
        </w:rPr>
        <w:t>（一）不是来自（或途经）疫情重点地区，或最近14天未有国外旅居史；</w:t>
      </w:r>
    </w:p>
    <w:p>
      <w:pPr>
        <w:pageBreakBefore w:val="0"/>
        <w:kinsoku/>
        <w:bidi w:val="0"/>
        <w:snapToGrid w:val="0"/>
        <w:spacing w:beforeAutospacing="0" w:afterAutospacing="0" w:line="440" w:lineRule="exact"/>
        <w:ind w:firstLine="480" w:firstLineChars="200"/>
      </w:pPr>
      <w:r>
        <w:rPr>
          <w:rFonts w:hint="eastAsia"/>
        </w:rPr>
        <w:t>（二）未接触过新型冠状病毒感染的疑似或确诊病例；</w:t>
      </w:r>
    </w:p>
    <w:p>
      <w:pPr>
        <w:pageBreakBefore w:val="0"/>
        <w:kinsoku/>
        <w:bidi w:val="0"/>
        <w:snapToGrid w:val="0"/>
        <w:spacing w:beforeAutospacing="0" w:afterAutospacing="0" w:line="440" w:lineRule="exact"/>
        <w:ind w:firstLine="480" w:firstLineChars="200"/>
      </w:pPr>
      <w:r>
        <w:rPr>
          <w:rFonts w:hint="eastAsia"/>
        </w:rPr>
        <w:t>（三）近期无发热、咳嗽、呼吸困难等新型冠状病毒感染可疑症状；</w:t>
      </w:r>
    </w:p>
    <w:p>
      <w:pPr>
        <w:pageBreakBefore w:val="0"/>
        <w:kinsoku/>
        <w:bidi w:val="0"/>
        <w:snapToGrid w:val="0"/>
        <w:spacing w:beforeAutospacing="0" w:afterAutospacing="0" w:line="440" w:lineRule="exact"/>
        <w:ind w:firstLine="480" w:firstLineChars="200"/>
      </w:pPr>
      <w:r>
        <w:rPr>
          <w:rFonts w:hint="eastAsia"/>
        </w:rPr>
        <w:t>（四）健康码显示为绿色。</w:t>
      </w:r>
    </w:p>
    <w:p>
      <w:pPr>
        <w:pageBreakBefore w:val="0"/>
        <w:kinsoku/>
        <w:bidi w:val="0"/>
        <w:snapToGrid w:val="0"/>
        <w:spacing w:beforeAutospacing="0" w:afterAutospacing="0" w:line="440" w:lineRule="exact"/>
        <w:ind w:firstLine="480" w:firstLineChars="200"/>
      </w:pPr>
      <w:r>
        <w:rPr>
          <w:rFonts w:hint="eastAsia"/>
        </w:rPr>
        <w:t xml:space="preserve"> 如上述承诺不实而导致不良后果(如：出现疫情防控重大风险，出现确诊病例等)的，本人自愿承担相关法律责任。 </w:t>
      </w:r>
    </w:p>
    <w:p>
      <w:pPr>
        <w:pageBreakBefore w:val="0"/>
        <w:kinsoku/>
        <w:bidi w:val="0"/>
        <w:snapToGrid w:val="0"/>
        <w:spacing w:beforeAutospacing="0" w:afterAutospacing="0" w:line="440" w:lineRule="exact"/>
        <w:ind w:firstLine="720" w:firstLineChars="300"/>
        <w:jc w:val="both"/>
        <w:rPr>
          <w:rFonts w:hint="eastAsia"/>
        </w:rPr>
      </w:pPr>
      <w:r>
        <w:rPr>
          <w:rFonts w:hint="eastAsia"/>
        </w:rPr>
        <w:t xml:space="preserve">                                           </w:t>
      </w:r>
    </w:p>
    <w:p>
      <w:pPr>
        <w:pageBreakBefore w:val="0"/>
        <w:kinsoku/>
        <w:bidi w:val="0"/>
        <w:snapToGrid w:val="0"/>
        <w:spacing w:beforeAutospacing="0" w:afterAutospacing="0" w:line="440" w:lineRule="exact"/>
        <w:ind w:firstLine="720" w:firstLineChars="300"/>
        <w:jc w:val="both"/>
        <w:rPr>
          <w:rFonts w:hint="eastAsia"/>
        </w:rPr>
      </w:pPr>
    </w:p>
    <w:p>
      <w:pPr>
        <w:pageBreakBefore w:val="0"/>
        <w:kinsoku/>
        <w:bidi w:val="0"/>
        <w:snapToGrid w:val="0"/>
        <w:spacing w:beforeAutospacing="0" w:afterAutospacing="0" w:line="440" w:lineRule="exact"/>
        <w:ind w:firstLine="5760" w:firstLineChars="2400"/>
        <w:jc w:val="both"/>
        <w:rPr>
          <w:rFonts w:hint="eastAsia"/>
        </w:rPr>
      </w:pPr>
      <w:r>
        <w:rPr>
          <w:rFonts w:hint="eastAsia"/>
        </w:rPr>
        <w:t xml:space="preserve">承诺人： </w:t>
      </w:r>
    </w:p>
    <w:p>
      <w:pPr>
        <w:pageBreakBefore w:val="0"/>
        <w:kinsoku/>
        <w:bidi w:val="0"/>
        <w:snapToGrid w:val="0"/>
        <w:spacing w:beforeAutospacing="0" w:afterAutospacing="0" w:line="440" w:lineRule="exact"/>
        <w:ind w:firstLine="5760" w:firstLineChars="2400"/>
        <w:jc w:val="both"/>
        <w:rPr>
          <w:sz w:val="20"/>
        </w:rPr>
      </w:pPr>
      <w:r>
        <w:rPr>
          <w:rFonts w:hint="eastAsia"/>
        </w:rPr>
        <w:t>时</w:t>
      </w:r>
      <w:r>
        <w:rPr>
          <w:rFonts w:hint="eastAsia"/>
          <w:lang w:val="en-US" w:eastAsia="zh-CN"/>
        </w:rPr>
        <w:t xml:space="preserve">  </w:t>
      </w:r>
      <w:r>
        <w:rPr>
          <w:rFonts w:hint="eastAsia"/>
        </w:rPr>
        <w:t>间：</w:t>
      </w:r>
    </w:p>
    <w:p>
      <w:pPr>
        <w:pageBreakBefore w:val="0"/>
        <w:kinsoku/>
        <w:bidi w:val="0"/>
        <w:adjustRightInd w:val="0"/>
        <w:snapToGrid w:val="0"/>
        <w:spacing w:beforeAutospacing="0" w:afterAutospacing="0" w:line="440" w:lineRule="exact"/>
        <w:jc w:val="center"/>
      </w:pPr>
    </w:p>
    <w:p>
      <w:pPr>
        <w:pageBreakBefore w:val="0"/>
        <w:kinsoku/>
        <w:bidi w:val="0"/>
        <w:adjustRightInd w:val="0"/>
        <w:snapToGrid w:val="0"/>
        <w:spacing w:beforeAutospacing="0" w:afterAutospacing="0" w:line="440" w:lineRule="exact"/>
        <w:jc w:val="center"/>
      </w:pPr>
    </w:p>
    <w:p>
      <w:pPr>
        <w:pageBreakBefore w:val="0"/>
        <w:kinsoku/>
        <w:bidi w:val="0"/>
        <w:adjustRightInd w:val="0"/>
        <w:snapToGrid w:val="0"/>
        <w:spacing w:beforeAutospacing="0" w:afterAutospacing="0" w:line="440" w:lineRule="exact"/>
        <w:jc w:val="left"/>
        <w:rPr>
          <w:b/>
          <w:bCs/>
        </w:rPr>
      </w:pPr>
      <w:r>
        <w:rPr>
          <w:rFonts w:hint="eastAsia"/>
          <w:b/>
          <w:bCs/>
        </w:rPr>
        <w:t>注：本承诺函按疫情防控需要提供</w:t>
      </w:r>
    </w:p>
    <w:p>
      <w:pPr>
        <w:pageBreakBefore w:val="0"/>
        <w:kinsoku/>
        <w:bidi w:val="0"/>
        <w:adjustRightInd w:val="0"/>
        <w:snapToGrid w:val="0"/>
        <w:spacing w:beforeAutospacing="0" w:afterAutospacing="0" w:line="440" w:lineRule="exact"/>
        <w:jc w:val="center"/>
      </w:pPr>
    </w:p>
    <w:p>
      <w:pPr>
        <w:pageBreakBefore w:val="0"/>
        <w:kinsoku/>
        <w:bidi w:val="0"/>
        <w:adjustRightInd w:val="0"/>
        <w:snapToGrid w:val="0"/>
        <w:spacing w:beforeAutospacing="0" w:afterAutospacing="0" w:line="440" w:lineRule="exact"/>
        <w:jc w:val="both"/>
        <w:rPr>
          <w:rFonts w:hint="eastAsia"/>
          <w:b/>
          <w:sz w:val="32"/>
          <w:szCs w:val="32"/>
          <w:lang w:eastAsia="zh-CN"/>
        </w:rPr>
      </w:pPr>
    </w:p>
    <w:p>
      <w:pPr>
        <w:pStyle w:val="106"/>
        <w:rPr>
          <w:rFonts w:hint="eastAsia"/>
          <w:b/>
          <w:sz w:val="32"/>
          <w:szCs w:val="32"/>
          <w:lang w:eastAsia="zh-CN"/>
        </w:rPr>
      </w:pPr>
    </w:p>
    <w:p>
      <w:pPr>
        <w:rPr>
          <w:rFonts w:hint="eastAsia"/>
          <w:b/>
          <w:sz w:val="32"/>
          <w:szCs w:val="32"/>
          <w:lang w:eastAsia="zh-CN"/>
        </w:rPr>
      </w:pPr>
    </w:p>
    <w:p>
      <w:pPr>
        <w:pStyle w:val="106"/>
        <w:rPr>
          <w:rFonts w:hint="eastAsia"/>
          <w:b/>
          <w:sz w:val="32"/>
          <w:szCs w:val="32"/>
          <w:lang w:eastAsia="zh-CN"/>
        </w:rPr>
      </w:pPr>
    </w:p>
    <w:p>
      <w:pPr>
        <w:rPr>
          <w:rFonts w:hint="eastAsia"/>
          <w:lang w:eastAsia="zh-CN"/>
        </w:rPr>
      </w:pPr>
    </w:p>
    <w:p>
      <w:pPr>
        <w:pageBreakBefore w:val="0"/>
        <w:kinsoku/>
        <w:bidi w:val="0"/>
        <w:adjustRightInd w:val="0"/>
        <w:snapToGrid w:val="0"/>
        <w:spacing w:beforeAutospacing="0" w:afterAutospacing="0" w:line="440" w:lineRule="exact"/>
        <w:jc w:val="both"/>
        <w:rPr>
          <w:rFonts w:hint="eastAsia"/>
          <w:b/>
          <w:sz w:val="32"/>
          <w:szCs w:val="32"/>
          <w:lang w:eastAsia="zh-CN"/>
        </w:rPr>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2</w:t>
      </w:r>
    </w:p>
    <w:p>
      <w:pPr>
        <w:pStyle w:val="39"/>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9"/>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9"/>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pPr>
        <w:pageBreakBefore w:val="0"/>
        <w:kinsoku/>
        <w:bidi w:val="0"/>
        <w:spacing w:beforeAutospacing="0" w:afterAutospacing="0" w:line="440" w:lineRule="exact"/>
      </w:pPr>
    </w:p>
    <w:p>
      <w:pPr>
        <w:pStyle w:val="107"/>
        <w:pageBreakBefore w:val="0"/>
        <w:kinsoku/>
        <w:bidi w:val="0"/>
        <w:spacing w:before="0" w:beforeAutospacing="0" w:after="0" w:afterAutospacing="0" w:line="440" w:lineRule="exact"/>
      </w:pPr>
    </w:p>
    <w:p>
      <w:pPr>
        <w:pageBreakBefore w:val="0"/>
        <w:kinsoku/>
        <w:bidi w:val="0"/>
        <w:spacing w:beforeAutospacing="0" w:afterAutospacing="0" w:line="440" w:lineRule="exact"/>
        <w:jc w:val="center"/>
      </w:pPr>
      <w:r>
        <w:rPr>
          <w:rFonts w:hint="eastAsia"/>
        </w:rPr>
        <w:t>关于XXX项目公开招标的询问函</w:t>
      </w:r>
    </w:p>
    <w:p>
      <w:pPr>
        <w:pageBreakBefore w:val="0"/>
        <w:kinsoku/>
        <w:bidi w:val="0"/>
        <w:snapToGrid w:val="0"/>
        <w:spacing w:beforeAutospacing="0" w:afterAutospacing="0" w:line="440" w:lineRule="exact"/>
        <w:ind w:firstLine="480" w:firstLineChars="200"/>
      </w:pPr>
    </w:p>
    <w:p>
      <w:pPr>
        <w:pageBreakBefore w:val="0"/>
        <w:kinsoku/>
        <w:bidi w:val="0"/>
        <w:snapToGrid w:val="0"/>
        <w:spacing w:beforeAutospacing="0" w:afterAutospacing="0" w:line="440" w:lineRule="exact"/>
        <w:ind w:firstLine="480" w:firstLineChars="200"/>
        <w:rPr>
          <w:rFonts w:hint="eastAsia"/>
        </w:rPr>
      </w:pPr>
    </w:p>
    <w:p>
      <w:pPr>
        <w:pageBreakBefore w:val="0"/>
        <w:kinsoku/>
        <w:bidi w:val="0"/>
        <w:snapToGrid w:val="0"/>
        <w:spacing w:beforeAutospacing="0" w:afterAutospacing="0" w:line="440" w:lineRule="exact"/>
        <w:ind w:firstLine="480" w:firstLineChars="200"/>
      </w:pPr>
      <w:r>
        <w:rPr>
          <w:rFonts w:hint="eastAsia"/>
        </w:rPr>
        <w:t>关于（项目名称）（项目编号）（项目标项）我公司有以下几点疑问：</w:t>
      </w:r>
    </w:p>
    <w:p>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pPr>
        <w:pageBreakBefore w:val="0"/>
        <w:kinsoku/>
        <w:bidi w:val="0"/>
        <w:snapToGrid w:val="0"/>
        <w:spacing w:beforeAutospacing="0" w:afterAutospacing="0" w:line="440" w:lineRule="exact"/>
        <w:ind w:firstLine="480" w:firstLineChars="200"/>
      </w:pPr>
      <w:r>
        <w:rPr>
          <w:rFonts w:hint="eastAsia"/>
        </w:rPr>
        <w:t>询问事项二：  ...</w:t>
      </w:r>
    </w:p>
    <w:p>
      <w:pPr>
        <w:pageBreakBefore w:val="0"/>
        <w:kinsoku/>
        <w:bidi w:val="0"/>
        <w:spacing w:beforeAutospacing="0" w:afterAutospacing="0" w:line="440" w:lineRule="exact"/>
      </w:pPr>
    </w:p>
    <w:p>
      <w:pPr>
        <w:pStyle w:val="7"/>
        <w:pageBreakBefore w:val="0"/>
        <w:kinsoku/>
        <w:bidi w:val="0"/>
        <w:spacing w:before="0" w:beforeAutospacing="0" w:after="0" w:afterAutospacing="0" w:line="440" w:lineRule="exact"/>
      </w:pPr>
    </w:p>
    <w:p>
      <w:pPr>
        <w:pStyle w:val="39"/>
        <w:pageBreakBefore w:val="0"/>
        <w:kinsoku/>
        <w:bidi w:val="0"/>
        <w:spacing w:beforeAutospacing="0" w:afterAutospacing="0" w:line="440" w:lineRule="exact"/>
        <w:rPr>
          <w:rFonts w:ascii="仿宋" w:hAnsi="仿宋"/>
          <w:sz w:val="24"/>
        </w:rPr>
      </w:pPr>
    </w:p>
    <w:p>
      <w:pPr>
        <w:pageBreakBefore w:val="0"/>
        <w:kinsoku/>
        <w:bidi w:val="0"/>
        <w:spacing w:beforeAutospacing="0" w:afterAutospacing="0" w:line="440" w:lineRule="exact"/>
        <w:ind w:firstLine="4535"/>
      </w:pPr>
      <w:r>
        <w:rPr>
          <w:rFonts w:hint="eastAsia"/>
        </w:rPr>
        <w:t xml:space="preserve">供应商全称（盖章）：              </w:t>
      </w:r>
    </w:p>
    <w:p>
      <w:pPr>
        <w:pageBreakBefore w:val="0"/>
        <w:kinsoku/>
        <w:bidi w:val="0"/>
        <w:spacing w:beforeAutospacing="0" w:afterAutospacing="0" w:line="440" w:lineRule="exact"/>
        <w:ind w:firstLine="4535"/>
      </w:pPr>
      <w:r>
        <w:rPr>
          <w:rFonts w:hint="eastAsia"/>
        </w:rPr>
        <w:t xml:space="preserve">法定代表人（签名或签章）：                                                </w:t>
      </w:r>
    </w:p>
    <w:p>
      <w:pPr>
        <w:pageBreakBefore w:val="0"/>
        <w:kinsoku/>
        <w:bidi w:val="0"/>
        <w:spacing w:beforeAutospacing="0" w:afterAutospacing="0" w:line="440" w:lineRule="exact"/>
        <w:ind w:firstLine="4535"/>
      </w:pPr>
      <w:r>
        <w:rPr>
          <w:rFonts w:hint="eastAsia"/>
        </w:rPr>
        <w:t xml:space="preserve">授权代表（签名）：                                           </w:t>
      </w:r>
    </w:p>
    <w:p>
      <w:pPr>
        <w:pageBreakBefore w:val="0"/>
        <w:kinsoku/>
        <w:bidi w:val="0"/>
        <w:spacing w:beforeAutospacing="0" w:afterAutospacing="0" w:line="440" w:lineRule="exact"/>
        <w:ind w:firstLine="4535"/>
      </w:pPr>
      <w:r>
        <w:rPr>
          <w:rFonts w:hint="eastAsia"/>
        </w:rPr>
        <w:t xml:space="preserve">联系电话（手机）：                  </w:t>
      </w:r>
    </w:p>
    <w:p>
      <w:pPr>
        <w:pageBreakBefore w:val="0"/>
        <w:kinsoku/>
        <w:bidi w:val="0"/>
        <w:spacing w:beforeAutospacing="0" w:afterAutospacing="0" w:line="440" w:lineRule="exact"/>
        <w:ind w:firstLine="4535"/>
      </w:pPr>
      <w:r>
        <w:rPr>
          <w:rFonts w:hint="eastAsia"/>
        </w:rPr>
        <w:t xml:space="preserve">电子邮箱：                        </w:t>
      </w:r>
    </w:p>
    <w:p>
      <w:pPr>
        <w:pageBreakBefore w:val="0"/>
        <w:kinsoku/>
        <w:bidi w:val="0"/>
        <w:spacing w:beforeAutospacing="0" w:afterAutospacing="0" w:line="440" w:lineRule="exact"/>
        <w:ind w:firstLine="4535"/>
      </w:pPr>
      <w:r>
        <w:rPr>
          <w:rFonts w:hint="eastAsia"/>
        </w:rPr>
        <w:t xml:space="preserve">询问日期：                        </w:t>
      </w:r>
    </w:p>
    <w:p>
      <w:pPr>
        <w:pageBreakBefore w:val="0"/>
        <w:kinsoku/>
        <w:bidi w:val="0"/>
        <w:spacing w:beforeAutospacing="0" w:afterAutospacing="0" w:line="440" w:lineRule="exact"/>
      </w:pPr>
      <w:r>
        <w:rPr>
          <w:rFonts w:hint="eastAsia"/>
        </w:rPr>
        <w:t xml:space="preserve"> </w:t>
      </w:r>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center"/>
      </w:pPr>
    </w:p>
    <w:p>
      <w:pPr>
        <w:pStyle w:val="107"/>
        <w:pageBreakBefore w:val="0"/>
        <w:kinsoku/>
        <w:bidi w:val="0"/>
        <w:spacing w:before="0" w:beforeAutospacing="0" w:after="0" w:afterAutospacing="0" w:line="440" w:lineRule="exact"/>
        <w:rPr>
          <w:rFonts w:ascii="仿宋" w:hAnsi="仿宋"/>
        </w:rPr>
      </w:pPr>
    </w:p>
    <w:p>
      <w:pPr>
        <w:pageBreakBefore w:val="0"/>
        <w:kinsoku/>
        <w:bidi w:val="0"/>
        <w:spacing w:beforeAutospacing="0" w:afterAutospacing="0" w:line="440" w:lineRule="exact"/>
      </w:pPr>
    </w:p>
    <w:p>
      <w:pPr>
        <w:pStyle w:val="106"/>
      </w:pPr>
    </w:p>
    <w:p/>
    <w:p>
      <w:pPr>
        <w:pStyle w:val="106"/>
      </w:pPr>
    </w:p>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pPr>
        <w:pStyle w:val="88"/>
        <w:pageBreakBefore w:val="0"/>
        <w:kinsoku/>
        <w:bidi w:val="0"/>
        <w:spacing w:beforeAutospacing="0" w:after="0" w:afterAutospacing="0" w:line="440" w:lineRule="exact"/>
        <w:ind w:left="480"/>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件4</w:t>
      </w:r>
    </w:p>
    <w:p>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Century"/>
    <w:panose1 w:val="02040604050505020304"/>
    <w:charset w:val="00"/>
    <w:family w:val="roman"/>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7"/>
      </w:rPr>
    </w:pPr>
    <w:r>
      <w:fldChar w:fldCharType="begin"/>
    </w:r>
    <w:r>
      <w:rPr>
        <w:rStyle w:val="97"/>
      </w:rPr>
      <w:instrText xml:space="preserve">PAGE  </w:instrText>
    </w:r>
    <w:r>
      <w:fldChar w:fldCharType="end"/>
    </w:r>
  </w:p>
  <w:p>
    <w:pPr>
      <w:pStyle w:val="5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86D1"/>
    <w:multiLevelType w:val="singleLevel"/>
    <w:tmpl w:val="89B686D1"/>
    <w:lvl w:ilvl="0" w:tentative="0">
      <w:start w:val="1"/>
      <w:numFmt w:val="decimal"/>
      <w:lvlText w:val="%1."/>
      <w:lvlJc w:val="left"/>
      <w:pPr>
        <w:tabs>
          <w:tab w:val="left" w:pos="312"/>
        </w:tabs>
      </w:pPr>
    </w:lvl>
  </w:abstractNum>
  <w:abstractNum w:abstractNumId="1">
    <w:nsid w:val="8AC316BA"/>
    <w:multiLevelType w:val="singleLevel"/>
    <w:tmpl w:val="8AC316BA"/>
    <w:lvl w:ilvl="0" w:tentative="0">
      <w:start w:val="1"/>
      <w:numFmt w:val="decimal"/>
      <w:lvlText w:val="%1."/>
      <w:lvlJc w:val="left"/>
      <w:pPr>
        <w:ind w:left="425" w:hanging="425"/>
      </w:pPr>
      <w:rPr>
        <w:rFonts w:hint="default"/>
      </w:rPr>
    </w:lvl>
  </w:abstractNum>
  <w:abstractNum w:abstractNumId="2">
    <w:nsid w:val="8E63AEDD"/>
    <w:multiLevelType w:val="singleLevel"/>
    <w:tmpl w:val="8E63AEDD"/>
    <w:lvl w:ilvl="0" w:tentative="0">
      <w:start w:val="1"/>
      <w:numFmt w:val="decimal"/>
      <w:lvlText w:val="%1."/>
      <w:lvlJc w:val="left"/>
      <w:pPr>
        <w:ind w:left="425" w:hanging="425"/>
      </w:pPr>
      <w:rPr>
        <w:rFonts w:hint="default"/>
      </w:rPr>
    </w:lvl>
  </w:abstractNum>
  <w:abstractNum w:abstractNumId="3">
    <w:nsid w:val="9C319D31"/>
    <w:multiLevelType w:val="singleLevel"/>
    <w:tmpl w:val="9C319D31"/>
    <w:lvl w:ilvl="0" w:tentative="0">
      <w:start w:val="1"/>
      <w:numFmt w:val="decimal"/>
      <w:suff w:val="nothing"/>
      <w:lvlText w:val="（%1）"/>
      <w:lvlJc w:val="left"/>
    </w:lvl>
  </w:abstractNum>
  <w:abstractNum w:abstractNumId="4">
    <w:nsid w:val="9D675915"/>
    <w:multiLevelType w:val="singleLevel"/>
    <w:tmpl w:val="9D675915"/>
    <w:lvl w:ilvl="0" w:tentative="0">
      <w:start w:val="1"/>
      <w:numFmt w:val="decimal"/>
      <w:lvlText w:val="%1."/>
      <w:lvlJc w:val="left"/>
      <w:pPr>
        <w:tabs>
          <w:tab w:val="left" w:pos="312"/>
        </w:tabs>
      </w:pPr>
    </w:lvl>
  </w:abstractNum>
  <w:abstractNum w:abstractNumId="5">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6">
    <w:nsid w:val="B32FDD20"/>
    <w:multiLevelType w:val="singleLevel"/>
    <w:tmpl w:val="B32FDD20"/>
    <w:lvl w:ilvl="0" w:tentative="0">
      <w:start w:val="4"/>
      <w:numFmt w:val="chineseCounting"/>
      <w:suff w:val="space"/>
      <w:lvlText w:val="第%1章"/>
      <w:lvlJc w:val="left"/>
      <w:rPr>
        <w:rFonts w:hint="eastAsia"/>
      </w:rPr>
    </w:lvl>
  </w:abstractNum>
  <w:abstractNum w:abstractNumId="7">
    <w:nsid w:val="BAA01655"/>
    <w:multiLevelType w:val="singleLevel"/>
    <w:tmpl w:val="BAA01655"/>
    <w:lvl w:ilvl="0" w:tentative="0">
      <w:start w:val="1"/>
      <w:numFmt w:val="decimal"/>
      <w:lvlText w:val="%1."/>
      <w:lvlJc w:val="left"/>
      <w:pPr>
        <w:tabs>
          <w:tab w:val="left" w:pos="312"/>
        </w:tabs>
      </w:pPr>
    </w:lvl>
  </w:abstractNum>
  <w:abstractNum w:abstractNumId="8">
    <w:nsid w:val="C61E99E0"/>
    <w:multiLevelType w:val="singleLevel"/>
    <w:tmpl w:val="C61E99E0"/>
    <w:lvl w:ilvl="0" w:tentative="0">
      <w:start w:val="1"/>
      <w:numFmt w:val="decimal"/>
      <w:lvlText w:val="%1."/>
      <w:lvlJc w:val="left"/>
      <w:pPr>
        <w:tabs>
          <w:tab w:val="left" w:pos="312"/>
        </w:tabs>
      </w:pPr>
    </w:lvl>
  </w:abstractNum>
  <w:abstractNum w:abstractNumId="9">
    <w:nsid w:val="D052218D"/>
    <w:multiLevelType w:val="singleLevel"/>
    <w:tmpl w:val="D052218D"/>
    <w:lvl w:ilvl="0" w:tentative="0">
      <w:start w:val="1"/>
      <w:numFmt w:val="decimal"/>
      <w:lvlText w:val="%1."/>
      <w:lvlJc w:val="left"/>
      <w:pPr>
        <w:ind w:left="425" w:hanging="425"/>
      </w:pPr>
      <w:rPr>
        <w:rFonts w:hint="default"/>
      </w:rPr>
    </w:lvl>
  </w:abstractNum>
  <w:abstractNum w:abstractNumId="10">
    <w:nsid w:val="DA749441"/>
    <w:multiLevelType w:val="singleLevel"/>
    <w:tmpl w:val="DA749441"/>
    <w:lvl w:ilvl="0" w:tentative="0">
      <w:start w:val="1"/>
      <w:numFmt w:val="decimal"/>
      <w:lvlText w:val="%1."/>
      <w:lvlJc w:val="left"/>
      <w:pPr>
        <w:ind w:left="425" w:hanging="425"/>
      </w:pPr>
      <w:rPr>
        <w:rFonts w:hint="default"/>
      </w:rPr>
    </w:lvl>
  </w:abstractNum>
  <w:abstractNum w:abstractNumId="11">
    <w:nsid w:val="EB8747B1"/>
    <w:multiLevelType w:val="singleLevel"/>
    <w:tmpl w:val="EB8747B1"/>
    <w:lvl w:ilvl="0" w:tentative="0">
      <w:start w:val="1"/>
      <w:numFmt w:val="decimal"/>
      <w:lvlText w:val="%1."/>
      <w:lvlJc w:val="left"/>
      <w:pPr>
        <w:tabs>
          <w:tab w:val="left" w:pos="312"/>
        </w:tabs>
      </w:pPr>
    </w:lvl>
  </w:abstractNum>
  <w:abstractNum w:abstractNumId="12">
    <w:nsid w:val="EE496139"/>
    <w:multiLevelType w:val="singleLevel"/>
    <w:tmpl w:val="EE496139"/>
    <w:lvl w:ilvl="0" w:tentative="0">
      <w:start w:val="1"/>
      <w:numFmt w:val="decimal"/>
      <w:lvlText w:val="%1."/>
      <w:lvlJc w:val="left"/>
      <w:pPr>
        <w:tabs>
          <w:tab w:val="left" w:pos="312"/>
        </w:tabs>
      </w:pPr>
    </w:lvl>
  </w:abstractNum>
  <w:abstractNum w:abstractNumId="13">
    <w:nsid w:val="F4C677D8"/>
    <w:multiLevelType w:val="singleLevel"/>
    <w:tmpl w:val="F4C677D8"/>
    <w:lvl w:ilvl="0" w:tentative="0">
      <w:start w:val="1"/>
      <w:numFmt w:val="decimal"/>
      <w:lvlText w:val="%1."/>
      <w:lvlJc w:val="left"/>
      <w:pPr>
        <w:tabs>
          <w:tab w:val="left" w:pos="312"/>
        </w:tabs>
      </w:pPr>
    </w:lvl>
  </w:abstractNum>
  <w:abstractNum w:abstractNumId="14">
    <w:nsid w:val="069A03DF"/>
    <w:multiLevelType w:val="singleLevel"/>
    <w:tmpl w:val="069A03DF"/>
    <w:lvl w:ilvl="0" w:tentative="0">
      <w:start w:val="1"/>
      <w:numFmt w:val="decimal"/>
      <w:lvlText w:val="%1."/>
      <w:lvlJc w:val="left"/>
      <w:pPr>
        <w:ind w:left="425" w:hanging="425"/>
      </w:pPr>
      <w:rPr>
        <w:rFonts w:hint="default"/>
      </w:rPr>
    </w:lvl>
  </w:abstractNum>
  <w:abstractNum w:abstractNumId="15">
    <w:nsid w:val="0CC93A10"/>
    <w:multiLevelType w:val="multilevel"/>
    <w:tmpl w:val="0CC93A10"/>
    <w:lvl w:ilvl="0" w:tentative="0">
      <w:start w:val="2"/>
      <w:numFmt w:val="decimal"/>
      <w:lvlText w:val="%1、"/>
      <w:lvlJc w:val="left"/>
      <w:pPr>
        <w:ind w:left="780" w:hanging="360"/>
      </w:pPr>
      <w:rPr>
        <w:rFonts w:hint="default"/>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16">
    <w:nsid w:val="226C47B0"/>
    <w:multiLevelType w:val="singleLevel"/>
    <w:tmpl w:val="226C47B0"/>
    <w:lvl w:ilvl="0" w:tentative="0">
      <w:start w:val="1"/>
      <w:numFmt w:val="decimal"/>
      <w:lvlText w:val="%1."/>
      <w:lvlJc w:val="left"/>
      <w:pPr>
        <w:tabs>
          <w:tab w:val="left" w:pos="312"/>
        </w:tabs>
      </w:pPr>
    </w:lvl>
  </w:abstractNum>
  <w:abstractNum w:abstractNumId="17">
    <w:nsid w:val="23561944"/>
    <w:multiLevelType w:val="singleLevel"/>
    <w:tmpl w:val="23561944"/>
    <w:lvl w:ilvl="0" w:tentative="0">
      <w:start w:val="1"/>
      <w:numFmt w:val="decimal"/>
      <w:lvlText w:val="%1."/>
      <w:lvlJc w:val="left"/>
      <w:pPr>
        <w:tabs>
          <w:tab w:val="left" w:pos="312"/>
        </w:tabs>
      </w:pPr>
    </w:lvl>
  </w:abstractNum>
  <w:abstractNum w:abstractNumId="18">
    <w:nsid w:val="33ECF4CF"/>
    <w:multiLevelType w:val="singleLevel"/>
    <w:tmpl w:val="33ECF4CF"/>
    <w:lvl w:ilvl="0" w:tentative="0">
      <w:start w:val="1"/>
      <w:numFmt w:val="decimal"/>
      <w:lvlText w:val="%1."/>
      <w:lvlJc w:val="left"/>
      <w:pPr>
        <w:ind w:left="425" w:hanging="425"/>
      </w:pPr>
      <w:rPr>
        <w:rFonts w:hint="default"/>
      </w:rPr>
    </w:lvl>
  </w:abstractNum>
  <w:abstractNum w:abstractNumId="19">
    <w:nsid w:val="4A450E61"/>
    <w:multiLevelType w:val="singleLevel"/>
    <w:tmpl w:val="4A450E61"/>
    <w:lvl w:ilvl="0" w:tentative="0">
      <w:start w:val="1"/>
      <w:numFmt w:val="decimal"/>
      <w:lvlText w:val="%1."/>
      <w:lvlJc w:val="left"/>
      <w:pPr>
        <w:ind w:left="425" w:hanging="425"/>
      </w:pPr>
      <w:rPr>
        <w:rFonts w:hint="default"/>
      </w:rPr>
    </w:lvl>
  </w:abstractNum>
  <w:abstractNum w:abstractNumId="20">
    <w:nsid w:val="64300793"/>
    <w:multiLevelType w:val="singleLevel"/>
    <w:tmpl w:val="64300793"/>
    <w:lvl w:ilvl="0" w:tentative="0">
      <w:start w:val="1"/>
      <w:numFmt w:val="decimal"/>
      <w:lvlText w:val="%1."/>
      <w:lvlJc w:val="left"/>
      <w:pPr>
        <w:tabs>
          <w:tab w:val="left" w:pos="312"/>
        </w:tabs>
      </w:pPr>
    </w:lvl>
  </w:abstractNum>
  <w:abstractNum w:abstractNumId="21">
    <w:nsid w:val="6C1608D0"/>
    <w:multiLevelType w:val="singleLevel"/>
    <w:tmpl w:val="6C1608D0"/>
    <w:lvl w:ilvl="0" w:tentative="0">
      <w:start w:val="1"/>
      <w:numFmt w:val="decimal"/>
      <w:lvlText w:val="%1."/>
      <w:lvlJc w:val="left"/>
      <w:pPr>
        <w:ind w:left="425" w:hanging="425"/>
      </w:pPr>
      <w:rPr>
        <w:rFonts w:hint="default"/>
      </w:rPr>
    </w:lvl>
  </w:abstractNum>
  <w:abstractNum w:abstractNumId="22">
    <w:nsid w:val="7916B3B2"/>
    <w:multiLevelType w:val="singleLevel"/>
    <w:tmpl w:val="7916B3B2"/>
    <w:lvl w:ilvl="0" w:tentative="0">
      <w:start w:val="1"/>
      <w:numFmt w:val="decimal"/>
      <w:lvlText w:val="%1."/>
      <w:lvlJc w:val="left"/>
      <w:pPr>
        <w:tabs>
          <w:tab w:val="left" w:pos="312"/>
        </w:tabs>
      </w:pPr>
    </w:lvl>
  </w:abstractNum>
  <w:num w:numId="1">
    <w:abstractNumId w:val="3"/>
  </w:num>
  <w:num w:numId="2">
    <w:abstractNumId w:val="18"/>
  </w:num>
  <w:num w:numId="3">
    <w:abstractNumId w:val="5"/>
  </w:num>
  <w:num w:numId="4">
    <w:abstractNumId w:val="6"/>
  </w:num>
  <w:num w:numId="5">
    <w:abstractNumId w:val="15"/>
  </w:num>
  <w:num w:numId="6">
    <w:abstractNumId w:val="8"/>
  </w:num>
  <w:num w:numId="7">
    <w:abstractNumId w:val="22"/>
  </w:num>
  <w:num w:numId="8">
    <w:abstractNumId w:val="11"/>
  </w:num>
  <w:num w:numId="9">
    <w:abstractNumId w:val="16"/>
  </w:num>
  <w:num w:numId="10">
    <w:abstractNumId w:val="20"/>
  </w:num>
  <w:num w:numId="11">
    <w:abstractNumId w:val="12"/>
  </w:num>
  <w:num w:numId="12">
    <w:abstractNumId w:val="17"/>
  </w:num>
  <w:num w:numId="13">
    <w:abstractNumId w:val="0"/>
  </w:num>
  <w:num w:numId="14">
    <w:abstractNumId w:val="7"/>
  </w:num>
  <w:num w:numId="15">
    <w:abstractNumId w:val="13"/>
  </w:num>
  <w:num w:numId="16">
    <w:abstractNumId w:val="4"/>
  </w:num>
  <w:num w:numId="17">
    <w:abstractNumId w:val="14"/>
  </w:num>
  <w:num w:numId="18">
    <w:abstractNumId w:val="21"/>
  </w:num>
  <w:num w:numId="19">
    <w:abstractNumId w:val="2"/>
  </w:num>
  <w:num w:numId="20">
    <w:abstractNumId w:val="10"/>
  </w:num>
  <w:num w:numId="21">
    <w:abstractNumId w:val="19"/>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82299F"/>
    <w:rsid w:val="02BC38D2"/>
    <w:rsid w:val="02C37AC6"/>
    <w:rsid w:val="02C86BF7"/>
    <w:rsid w:val="02E77227"/>
    <w:rsid w:val="02EB08BF"/>
    <w:rsid w:val="02ED2E83"/>
    <w:rsid w:val="0304501D"/>
    <w:rsid w:val="03316FCB"/>
    <w:rsid w:val="03373980"/>
    <w:rsid w:val="035E5FA1"/>
    <w:rsid w:val="036E19E4"/>
    <w:rsid w:val="038A6195"/>
    <w:rsid w:val="03925809"/>
    <w:rsid w:val="03C25CCE"/>
    <w:rsid w:val="04075304"/>
    <w:rsid w:val="044A4D37"/>
    <w:rsid w:val="045955B0"/>
    <w:rsid w:val="04644DB3"/>
    <w:rsid w:val="0468245D"/>
    <w:rsid w:val="04925926"/>
    <w:rsid w:val="04EF19AA"/>
    <w:rsid w:val="050866B0"/>
    <w:rsid w:val="050E0405"/>
    <w:rsid w:val="053A4FF9"/>
    <w:rsid w:val="054A5317"/>
    <w:rsid w:val="054C5424"/>
    <w:rsid w:val="05537BA4"/>
    <w:rsid w:val="05767156"/>
    <w:rsid w:val="0578283B"/>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164062"/>
    <w:rsid w:val="0AB61297"/>
    <w:rsid w:val="0AF72FE3"/>
    <w:rsid w:val="0B4D3B6E"/>
    <w:rsid w:val="0B650CF4"/>
    <w:rsid w:val="0B6940EA"/>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5035A"/>
    <w:rsid w:val="11984A56"/>
    <w:rsid w:val="11CD69F4"/>
    <w:rsid w:val="12000975"/>
    <w:rsid w:val="122114BC"/>
    <w:rsid w:val="122E093D"/>
    <w:rsid w:val="125E6BD9"/>
    <w:rsid w:val="129D558E"/>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650B45"/>
    <w:rsid w:val="168144CE"/>
    <w:rsid w:val="16971E47"/>
    <w:rsid w:val="169E17A5"/>
    <w:rsid w:val="16A1400D"/>
    <w:rsid w:val="16B667DA"/>
    <w:rsid w:val="16BA0E4A"/>
    <w:rsid w:val="16C371C2"/>
    <w:rsid w:val="170D40E3"/>
    <w:rsid w:val="1727550D"/>
    <w:rsid w:val="17801A73"/>
    <w:rsid w:val="17D55010"/>
    <w:rsid w:val="181152FA"/>
    <w:rsid w:val="18323011"/>
    <w:rsid w:val="186D4557"/>
    <w:rsid w:val="18DE19FF"/>
    <w:rsid w:val="18E17B6B"/>
    <w:rsid w:val="19492DFC"/>
    <w:rsid w:val="19536A21"/>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0B5096"/>
    <w:rsid w:val="21203C37"/>
    <w:rsid w:val="21233350"/>
    <w:rsid w:val="21480C86"/>
    <w:rsid w:val="21585F77"/>
    <w:rsid w:val="21677BAA"/>
    <w:rsid w:val="219D2323"/>
    <w:rsid w:val="21A91391"/>
    <w:rsid w:val="21C37930"/>
    <w:rsid w:val="220014EE"/>
    <w:rsid w:val="22043EB8"/>
    <w:rsid w:val="228F7F35"/>
    <w:rsid w:val="22955526"/>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3807E2"/>
    <w:rsid w:val="29AB42A1"/>
    <w:rsid w:val="29D03F99"/>
    <w:rsid w:val="29EC35DB"/>
    <w:rsid w:val="29ED1DB9"/>
    <w:rsid w:val="2A003335"/>
    <w:rsid w:val="2A257F5A"/>
    <w:rsid w:val="2A273408"/>
    <w:rsid w:val="2A28357D"/>
    <w:rsid w:val="2A2C5EF9"/>
    <w:rsid w:val="2A3B4D38"/>
    <w:rsid w:val="2A78362C"/>
    <w:rsid w:val="2A8225E0"/>
    <w:rsid w:val="2A9C55AB"/>
    <w:rsid w:val="2AA43158"/>
    <w:rsid w:val="2ABA4F2F"/>
    <w:rsid w:val="2AFC7F9D"/>
    <w:rsid w:val="2B151618"/>
    <w:rsid w:val="2B240ED4"/>
    <w:rsid w:val="2B2C58D7"/>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4901DE"/>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6E34C9"/>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3872D8"/>
    <w:rsid w:val="38546316"/>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97F5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AB4634"/>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26BFB"/>
    <w:rsid w:val="47152CBF"/>
    <w:rsid w:val="47210F15"/>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0C6B45"/>
    <w:rsid w:val="4A4A3B86"/>
    <w:rsid w:val="4A6D4157"/>
    <w:rsid w:val="4A871534"/>
    <w:rsid w:val="4A9C1E58"/>
    <w:rsid w:val="4ADE0BBB"/>
    <w:rsid w:val="4AE43967"/>
    <w:rsid w:val="4AE629AF"/>
    <w:rsid w:val="4B0F2A62"/>
    <w:rsid w:val="4B20778C"/>
    <w:rsid w:val="4B7F5330"/>
    <w:rsid w:val="4B9261F2"/>
    <w:rsid w:val="4BBA3F83"/>
    <w:rsid w:val="4BBE1D9B"/>
    <w:rsid w:val="4BDE56B2"/>
    <w:rsid w:val="4C691265"/>
    <w:rsid w:val="4C6B6F86"/>
    <w:rsid w:val="4C82218F"/>
    <w:rsid w:val="4CBD27F7"/>
    <w:rsid w:val="4CC8576A"/>
    <w:rsid w:val="4CE731CB"/>
    <w:rsid w:val="4D4F4080"/>
    <w:rsid w:val="4D524A2E"/>
    <w:rsid w:val="4D550108"/>
    <w:rsid w:val="4D8B4016"/>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E13A1D"/>
    <w:rsid w:val="54ED5120"/>
    <w:rsid w:val="55002C50"/>
    <w:rsid w:val="55227DF8"/>
    <w:rsid w:val="55460217"/>
    <w:rsid w:val="55541FE5"/>
    <w:rsid w:val="556E7AEA"/>
    <w:rsid w:val="5573623D"/>
    <w:rsid w:val="55B76E8B"/>
    <w:rsid w:val="56040FDB"/>
    <w:rsid w:val="560F57AD"/>
    <w:rsid w:val="56A24FEE"/>
    <w:rsid w:val="56B72191"/>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13958"/>
    <w:rsid w:val="5C2C386A"/>
    <w:rsid w:val="5C8747C8"/>
    <w:rsid w:val="5CE01400"/>
    <w:rsid w:val="5D064BB6"/>
    <w:rsid w:val="5D201D45"/>
    <w:rsid w:val="5D230805"/>
    <w:rsid w:val="5D243F74"/>
    <w:rsid w:val="5D2C556F"/>
    <w:rsid w:val="5D6210FF"/>
    <w:rsid w:val="5D6736A1"/>
    <w:rsid w:val="5D6C57C7"/>
    <w:rsid w:val="5D757C2D"/>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20416C"/>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0A3CED"/>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DC2DB2"/>
    <w:rsid w:val="70F36FF5"/>
    <w:rsid w:val="71351762"/>
    <w:rsid w:val="71552D10"/>
    <w:rsid w:val="716442E9"/>
    <w:rsid w:val="71B318F8"/>
    <w:rsid w:val="71B74DFA"/>
    <w:rsid w:val="71BD2ACE"/>
    <w:rsid w:val="71C9237C"/>
    <w:rsid w:val="71D71900"/>
    <w:rsid w:val="71E34B28"/>
    <w:rsid w:val="71F56214"/>
    <w:rsid w:val="72076A30"/>
    <w:rsid w:val="72123697"/>
    <w:rsid w:val="7235257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570AB9"/>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9314F5"/>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4A6FE4"/>
    <w:rsid w:val="79525DD0"/>
    <w:rsid w:val="79684030"/>
    <w:rsid w:val="79A90AA7"/>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01133"/>
    <w:rsid w:val="7C022754"/>
    <w:rsid w:val="7C452FFC"/>
    <w:rsid w:val="7C79211D"/>
    <w:rsid w:val="7C7D7793"/>
    <w:rsid w:val="7C9F79C8"/>
    <w:rsid w:val="7CA20363"/>
    <w:rsid w:val="7CA91ED2"/>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7">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9">
    <w:name w:val="heading 4"/>
    <w:basedOn w:val="1"/>
    <w:next w:val="1"/>
    <w:link w:val="273"/>
    <w:qFormat/>
    <w:uiPriority w:val="0"/>
    <w:pPr>
      <w:keepNext/>
      <w:keepLines/>
      <w:tabs>
        <w:tab w:val="left" w:pos="864"/>
      </w:tabs>
      <w:ind w:left="862" w:hanging="862"/>
      <w:outlineLvl w:val="3"/>
    </w:pPr>
    <w:rPr>
      <w:b/>
      <w:bCs/>
      <w:sz w:val="28"/>
      <w:szCs w:val="28"/>
    </w:rPr>
  </w:style>
  <w:style w:type="paragraph" w:styleId="10">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0"/>
    <w:qFormat/>
    <w:uiPriority w:val="0"/>
    <w:pPr>
      <w:spacing w:after="120"/>
    </w:pPr>
    <w:rPr>
      <w:sz w:val="28"/>
    </w:rPr>
  </w:style>
  <w:style w:type="paragraph" w:styleId="3">
    <w:name w:val="Body Text First Indent"/>
    <w:basedOn w:val="2"/>
    <w:next w:val="1"/>
    <w:link w:val="144"/>
    <w:qFormat/>
    <w:uiPriority w:val="0"/>
    <w:pPr>
      <w:ind w:firstLine="420" w:firstLineChars="100"/>
    </w:pPr>
    <w:rPr>
      <w:rFonts w:ascii="Calibri" w:hAnsi="Calibri"/>
      <w:sz w:val="21"/>
      <w:szCs w:val="22"/>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7"/>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next w:val="24"/>
    <w:qFormat/>
    <w:uiPriority w:val="0"/>
    <w:pPr>
      <w:widowControl/>
      <w:tabs>
        <w:tab w:val="left" w:pos="454"/>
        <w:tab w:val="left" w:pos="720"/>
      </w:tabs>
      <w:spacing w:afterLines="50"/>
      <w:ind w:left="454" w:hanging="284"/>
      <w:jc w:val="left"/>
    </w:pPr>
    <w:rPr>
      <w:kern w:val="0"/>
      <w:szCs w:val="20"/>
    </w:rPr>
  </w:style>
  <w:style w:type="paragraph" w:styleId="24">
    <w:name w:val="Balloon Text"/>
    <w:basedOn w:val="1"/>
    <w:next w:val="25"/>
    <w:link w:val="334"/>
    <w:qFormat/>
    <w:uiPriority w:val="0"/>
    <w:rPr>
      <w:rFonts w:ascii="Calibri" w:hAnsi="Calibri"/>
      <w:sz w:val="18"/>
      <w:szCs w:val="18"/>
    </w:rPr>
  </w:style>
  <w:style w:type="paragraph" w:styleId="25">
    <w:name w:val="toc 8"/>
    <w:basedOn w:val="1"/>
    <w:next w:val="1"/>
    <w:semiHidden/>
    <w:qFormat/>
    <w:uiPriority w:val="0"/>
    <w:pPr>
      <w:spacing w:afterLines="50"/>
      <w:ind w:left="1470"/>
      <w:jc w:val="left"/>
    </w:pPr>
    <w:rPr>
      <w:snapToGrid w:val="0"/>
      <w:kern w:val="0"/>
      <w:sz w:val="18"/>
      <w:szCs w:val="18"/>
    </w:rPr>
  </w:style>
  <w:style w:type="paragraph" w:styleId="26">
    <w:name w:val="Normal Indent"/>
    <w:basedOn w:val="1"/>
    <w:link w:val="197"/>
    <w:qFormat/>
    <w:uiPriority w:val="0"/>
    <w:pPr>
      <w:ind w:firstLine="420"/>
    </w:pPr>
    <w:rPr>
      <w:szCs w:val="20"/>
    </w:rPr>
  </w:style>
  <w:style w:type="paragraph" w:styleId="27">
    <w:name w:val="caption"/>
    <w:basedOn w:val="1"/>
    <w:next w:val="1"/>
    <w:link w:val="189"/>
    <w:qFormat/>
    <w:uiPriority w:val="0"/>
    <w:pPr>
      <w:spacing w:before="152" w:after="160"/>
    </w:pPr>
    <w:rPr>
      <w:rFonts w:ascii="Arial" w:hAnsi="Arial" w:eastAsia="黑体"/>
      <w:sz w:val="20"/>
      <w:szCs w:val="20"/>
    </w:rPr>
  </w:style>
  <w:style w:type="paragraph" w:styleId="28">
    <w:name w:val="index 5"/>
    <w:basedOn w:val="1"/>
    <w:next w:val="1"/>
    <w:semiHidden/>
    <w:qFormat/>
    <w:uiPriority w:val="0"/>
    <w:pPr>
      <w:ind w:left="800" w:leftChars="800"/>
    </w:pPr>
  </w:style>
  <w:style w:type="paragraph" w:styleId="29">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0">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1">
    <w:name w:val="Document Map"/>
    <w:basedOn w:val="1"/>
    <w:link w:val="156"/>
    <w:unhideWhenUsed/>
    <w:qFormat/>
    <w:uiPriority w:val="0"/>
    <w:rPr>
      <w:rFonts w:ascii="宋体" w:hAnsi="Courier New"/>
      <w:kern w:val="0"/>
      <w:szCs w:val="20"/>
    </w:rPr>
  </w:style>
  <w:style w:type="paragraph" w:styleId="32">
    <w:name w:val="toa heading"/>
    <w:basedOn w:val="1"/>
    <w:next w:val="1"/>
    <w:semiHidden/>
    <w:qFormat/>
    <w:uiPriority w:val="0"/>
    <w:pPr>
      <w:spacing w:before="120"/>
    </w:pPr>
    <w:rPr>
      <w:rFonts w:ascii="Arial" w:hAnsi="Arial" w:cs="Arial"/>
    </w:rPr>
  </w:style>
  <w:style w:type="paragraph" w:styleId="33">
    <w:name w:val="annotation text"/>
    <w:basedOn w:val="1"/>
    <w:link w:val="125"/>
    <w:qFormat/>
    <w:uiPriority w:val="0"/>
    <w:pPr>
      <w:jc w:val="left"/>
    </w:pPr>
    <w:rPr>
      <w:rFonts w:ascii="Calibri" w:hAnsi="Calibri"/>
    </w:rPr>
  </w:style>
  <w:style w:type="paragraph" w:styleId="34">
    <w:name w:val="index 6"/>
    <w:basedOn w:val="1"/>
    <w:next w:val="1"/>
    <w:semiHidden/>
    <w:qFormat/>
    <w:uiPriority w:val="0"/>
    <w:pPr>
      <w:ind w:left="1000" w:leftChars="1000"/>
    </w:pPr>
  </w:style>
  <w:style w:type="paragraph" w:styleId="35">
    <w:name w:val="Salutation"/>
    <w:basedOn w:val="1"/>
    <w:next w:val="1"/>
    <w:link w:val="1016"/>
    <w:qFormat/>
    <w:uiPriority w:val="0"/>
  </w:style>
  <w:style w:type="paragraph" w:styleId="36">
    <w:name w:val="Body Text 3"/>
    <w:basedOn w:val="1"/>
    <w:qFormat/>
    <w:uiPriority w:val="0"/>
    <w:pPr>
      <w:snapToGrid w:val="0"/>
      <w:spacing w:before="50" w:after="50"/>
    </w:pPr>
  </w:style>
  <w:style w:type="paragraph" w:styleId="37">
    <w:name w:val="Closing"/>
    <w:basedOn w:val="1"/>
    <w:qFormat/>
    <w:uiPriority w:val="0"/>
    <w:pPr>
      <w:spacing w:beforeLines="40" w:afterLines="40" w:line="300" w:lineRule="auto"/>
      <w:ind w:left="100" w:leftChars="2100" w:firstLine="420"/>
    </w:pPr>
  </w:style>
  <w:style w:type="paragraph" w:styleId="38">
    <w:name w:val="List Bullet 3"/>
    <w:basedOn w:val="1"/>
    <w:qFormat/>
    <w:uiPriority w:val="0"/>
    <w:pPr>
      <w:tabs>
        <w:tab w:val="left" w:pos="1200"/>
      </w:tabs>
      <w:ind w:left="1200" w:leftChars="400" w:hanging="360" w:hangingChars="200"/>
    </w:pPr>
  </w:style>
  <w:style w:type="paragraph" w:styleId="39">
    <w:name w:val="Body Text Indent"/>
    <w:basedOn w:val="1"/>
    <w:next w:val="23"/>
    <w:link w:val="151"/>
    <w:qFormat/>
    <w:uiPriority w:val="0"/>
    <w:pPr>
      <w:spacing w:line="200" w:lineRule="exact"/>
      <w:ind w:firstLine="301"/>
    </w:pPr>
    <w:rPr>
      <w:rFonts w:ascii="宋体" w:hAnsi="Courier New"/>
      <w:spacing w:val="-4"/>
      <w:sz w:val="18"/>
      <w:szCs w:val="20"/>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next w:val="1"/>
    <w:link w:val="329"/>
    <w:qFormat/>
    <w:uiPriority w:val="0"/>
    <w:pPr>
      <w:spacing w:beforeLines="50" w:afterLines="50" w:line="400" w:lineRule="exact"/>
    </w:pPr>
    <w:rPr>
      <w:rFonts w:ascii="宋体" w:hAnsi="Courier New"/>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Date"/>
    <w:basedOn w:val="1"/>
    <w:next w:val="1"/>
    <w:link w:val="228"/>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7"/>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3"/>
    <w:next w:val="33"/>
    <w:semiHidden/>
    <w:qFormat/>
    <w:uiPriority w:val="0"/>
    <w:rPr>
      <w:b/>
      <w:bCs/>
    </w:rPr>
  </w:style>
  <w:style w:type="paragraph" w:styleId="88">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6"/>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3"/>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3"/>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6"/>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6"/>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3"/>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9"/>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31"/>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7"/>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2"/>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10"/>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7"/>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7"/>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7"/>
    <w:link w:val="195"/>
    <w:qFormat/>
    <w:uiPriority w:val="0"/>
    <w:pPr>
      <w:spacing w:beforeLines="40" w:afterLines="40"/>
      <w:jc w:val="center"/>
    </w:pPr>
    <w:rPr>
      <w:rFonts w:cs="Arial"/>
      <w:sz w:val="21"/>
    </w:rPr>
  </w:style>
  <w:style w:type="character" w:customStyle="1" w:styleId="197">
    <w:name w:val="正文缩进 Char2"/>
    <w:link w:val="26"/>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7"/>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7"/>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9"/>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3"/>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8"/>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7"/>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5"/>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7"/>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4"/>
    <w:qFormat/>
    <w:uiPriority w:val="0"/>
    <w:rPr>
      <w:rFonts w:ascii="Arial" w:hAnsi="Arial" w:eastAsia="黑体"/>
      <w:sz w:val="28"/>
    </w:rPr>
  </w:style>
  <w:style w:type="character" w:customStyle="1" w:styleId="273">
    <w:name w:val="标题 4 Char"/>
    <w:link w:val="9"/>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7"/>
    <w:link w:val="279"/>
    <w:qFormat/>
    <w:uiPriority w:val="0"/>
    <w:pPr>
      <w:spacing w:beforeLines="40" w:afterLines="40"/>
      <w:jc w:val="center"/>
    </w:pPr>
    <w:rPr>
      <w:rFonts w:ascii="黑体" w:hAnsi="黑体" w:cs="Arial"/>
      <w:sz w:val="21"/>
    </w:rPr>
  </w:style>
  <w:style w:type="character" w:customStyle="1" w:styleId="281">
    <w:name w:val="正文文本缩进 3 Char"/>
    <w:link w:val="72"/>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2"/>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9"/>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4"/>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8"/>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7"/>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11"/>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7"/>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6"/>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6"/>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2"/>
    <w:qFormat/>
    <w:uiPriority w:val="0"/>
    <w:pPr>
      <w:suppressLineNumbers/>
      <w:suppressAutoHyphens/>
    </w:pPr>
    <w:rPr>
      <w:kern w:val="1"/>
      <w:sz w:val="21"/>
      <w:lang w:eastAsia="ar-SA"/>
    </w:rPr>
  </w:style>
  <w:style w:type="paragraph" w:customStyle="1" w:styleId="396">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8"/>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10"/>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7"/>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7"/>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8"/>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7"/>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7"/>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6"/>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7"/>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8"/>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7"/>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1"/>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8"/>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7"/>
    <w:next w:val="2"/>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7"/>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7"/>
    <w:next w:val="2"/>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7"/>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8"/>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7"/>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3"/>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6"/>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6"/>
    <w:qFormat/>
    <w:uiPriority w:val="0"/>
    <w:pPr>
      <w:tabs>
        <w:tab w:val="left" w:pos="1440"/>
      </w:tabs>
      <w:spacing w:afterLines="50"/>
    </w:pPr>
    <w:rPr>
      <w:b/>
    </w:rPr>
  </w:style>
  <w:style w:type="paragraph" w:customStyle="1" w:styleId="721">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9"/>
    <w:next w:val="51"/>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8"/>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7"/>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7"/>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1"/>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9"/>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6"/>
    <w:next w:val="2"/>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8"/>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10"/>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7"/>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7"/>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7"/>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6"/>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9"/>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10"/>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9"/>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2"/>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8"/>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9"/>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7">
    <w:name w:val="正文首行缩进1"/>
    <w:basedOn w:val="2"/>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4"/>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7"/>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2"/>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5"/>
    <w:qFormat/>
    <w:uiPriority w:val="0"/>
    <w:rPr>
      <w:kern w:val="2"/>
      <w:sz w:val="24"/>
      <w:szCs w:val="24"/>
    </w:rPr>
  </w:style>
  <w:style w:type="character" w:customStyle="1" w:styleId="1017">
    <w:name w:val="标题 5 Char"/>
    <w:basedOn w:val="95"/>
    <w:link w:val="10"/>
    <w:qFormat/>
    <w:uiPriority w:val="9"/>
    <w:rPr>
      <w:b/>
      <w:bCs/>
      <w:kern w:val="2"/>
      <w:sz w:val="28"/>
      <w:szCs w:val="28"/>
    </w:rPr>
  </w:style>
  <w:style w:type="character" w:customStyle="1" w:styleId="1018">
    <w:name w:val="普通(网站) Char"/>
    <w:link w:val="83"/>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paragraph" w:customStyle="1" w:styleId="1033">
    <w:name w:val="纯文本1"/>
    <w:basedOn w:val="1"/>
    <w:qFormat/>
    <w:uiPriority w:val="0"/>
    <w:rPr>
      <w:rFonts w:ascii="宋体" w:hAnsi="Courier New"/>
      <w:szCs w:val="20"/>
    </w:rPr>
  </w:style>
  <w:style w:type="character" w:customStyle="1" w:styleId="1034">
    <w:name w:val="无"/>
    <w:qFormat/>
    <w:uiPriority w:val="99"/>
  </w:style>
  <w:style w:type="paragraph" w:customStyle="1" w:styleId="1035">
    <w:name w:val="正文 A"/>
    <w:unhideWhenUsed/>
    <w:qFormat/>
    <w:uiPriority w:val="99"/>
    <w:pPr>
      <w:widowControl w:val="0"/>
      <w:jc w:val="both"/>
    </w:pPr>
    <w:rPr>
      <w:rFonts w:hint="eastAsia" w:ascii="Arial Unicode MS" w:hAnsi="Arial Unicode MS" w:eastAsia="宋体" w:cs="Times New Roman"/>
      <w:color w:val="000000"/>
      <w:kern w:val="2"/>
      <w:sz w:val="21"/>
      <w:szCs w:val="22"/>
      <w:u w:color="000000"/>
      <w:lang w:val="en-US" w:eastAsia="zh-CN" w:bidi="ar-SA"/>
    </w:rPr>
  </w:style>
  <w:style w:type="paragraph" w:customStyle="1" w:styleId="1036">
    <w:name w:val="列出段落5"/>
    <w:basedOn w:val="1"/>
    <w:qFormat/>
    <w:uiPriority w:val="34"/>
    <w:pPr>
      <w:ind w:firstLine="420" w:firstLineChars="200"/>
    </w:pPr>
  </w:style>
  <w:style w:type="paragraph" w:customStyle="1" w:styleId="1037">
    <w:name w:val="Body Text First Indent 21"/>
    <w:basedOn w:val="1038"/>
    <w:qFormat/>
    <w:uiPriority w:val="0"/>
    <w:pPr>
      <w:ind w:firstLine="420"/>
    </w:pPr>
    <w:rPr>
      <w:rFonts w:cs="宋体"/>
    </w:rPr>
  </w:style>
  <w:style w:type="paragraph" w:customStyle="1" w:styleId="1038">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67</Pages>
  <Words>5897</Words>
  <Characters>33614</Characters>
  <Lines>280</Lines>
  <Paragraphs>78</Paragraphs>
  <TotalTime>48</TotalTime>
  <ScaleCrop>false</ScaleCrop>
  <LinksUpToDate>false</LinksUpToDate>
  <CharactersWithSpaces>39433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Administrator</cp:lastModifiedBy>
  <cp:lastPrinted>2021-12-07T01:41:00Z</cp:lastPrinted>
  <dcterms:modified xsi:type="dcterms:W3CDTF">2022-02-09T07:51:01Z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E38830965A5A478FAC473EF8D723D37E</vt:lpwstr>
  </property>
</Properties>
</file>