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校园大脑(一期)项目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项目名称：校园大脑(一期)项目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项目编号：QSZB-Z(F)-C24100(GK)</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采购计划文号：[2024]20037号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校园大脑(一期)项目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6</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1.项目编号：QSZB-Z(F)-C24100(GK)</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.项目名称：校园大脑(一期)项目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.预算金额：1960000元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.最高限价：1960000元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5.合同履约期限：签订合同后90天内完成项目建设</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校园大脑(一期)项目</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84"/>
      <w:bookmarkStart w:id="21" w:name="_Toc3539379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85"/>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w:t>
      </w:r>
      <w:r>
        <w:rPr>
          <w:rFonts w:ascii="宋体" w:hAnsi="宋体" w:eastAsia="宋体" w:cs="Times New Roman"/>
          <w:color w:val="auto"/>
          <w:szCs w:val="21"/>
          <w:highlight w:val="none"/>
        </w:rPr>
        <w:t>1516号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项目联系人（询问）：沈烈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项目联系方式（询问）：0571-88486812</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质疑联系方式：0571-88481917</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质疑联系人：刘璐</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r>
        <w:rPr>
          <w:rFonts w:ascii="宋体" w:hAnsi="宋体" w:eastAsia="宋体" w:cs="Times New Roman"/>
          <w:color w:val="auto"/>
          <w:szCs w:val="21"/>
          <w:highlight w:val="none"/>
        </w:rPr>
        <w:br w:type="page"/>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采购人向供应商支付合同总价的40%；项目履约完成，经采购人验收合格后，收到发票后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，采购人向供应商支付合同总价的60%。</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w:t>
      </w:r>
      <w:bookmarkStart w:id="37" w:name="_Toc164753392"/>
      <w:bookmarkStart w:id="38" w:name="_Toc102655338"/>
      <w:bookmarkStart w:id="39" w:name="_Toc252043851"/>
      <w:bookmarkStart w:id="40" w:name="_Toc245179511"/>
      <w:bookmarkStart w:id="41" w:name="_Toc264987895"/>
      <w:bookmarkStart w:id="42" w:name="_Toc271633238"/>
      <w:bookmarkStart w:id="43" w:name="_Toc246931936"/>
      <w:bookmarkStart w:id="44" w:name="_Toc248165656"/>
      <w:bookmarkStart w:id="45" w:name="_Toc317584165"/>
      <w:r>
        <w:rPr>
          <w:rFonts w:hint="eastAsia" w:ascii="宋体" w:hAnsi="宋体" w:eastAsia="宋体" w:cs="Times New Roman"/>
          <w:b/>
          <w:color w:val="auto"/>
          <w:szCs w:val="21"/>
          <w:highlight w:val="none"/>
        </w:rPr>
        <w:t>项目概述与现状分析</w:t>
      </w:r>
      <w:bookmarkEnd w:id="37"/>
      <w:bookmarkEnd w:id="38"/>
    </w:p>
    <w:bookmarkEnd w:id="39"/>
    <w:bookmarkEnd w:id="40"/>
    <w:bookmarkEnd w:id="41"/>
    <w:bookmarkEnd w:id="42"/>
    <w:bookmarkEnd w:id="43"/>
    <w:bookmarkEnd w:id="44"/>
    <w:bookmarkEnd w:id="45"/>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学校前期已经建设三期数据中心，第一期建设数据中心平台、第二期校园数据标准、第三期主要建设数据应用（建设中）。经过三期建设，目前已经实现学校数据资源互联互通、完成部分数据治理工作，正在完善师生数据应用，初步实现学校数字化改革的预期要求。</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ascii="宋体" w:hAnsi="宋体" w:eastAsia="宋体" w:cs="Times New Roman"/>
          <w:bCs/>
          <w:color w:val="auto"/>
          <w:szCs w:val="21"/>
          <w:highlight w:val="none"/>
        </w:rPr>
        <w:t>023</w:t>
      </w:r>
      <w:r>
        <w:rPr>
          <w:rFonts w:hint="eastAsia" w:ascii="宋体" w:hAnsi="宋体" w:eastAsia="宋体" w:cs="Times New Roman"/>
          <w:bCs/>
          <w:color w:val="auto"/>
          <w:szCs w:val="21"/>
          <w:highlight w:val="none"/>
        </w:rPr>
        <w:t>年6月，教育部主管部门发布了《关于进一步推进职业院校数字校园建设试点通知》，通知要求建设校本数据中心，实现与国家职教中台做好数据对接。同时教育部教育管理信息中心也发布了《</w:t>
      </w:r>
      <w:r>
        <w:rPr>
          <w:rFonts w:ascii="宋体" w:hAnsi="宋体" w:eastAsia="宋体" w:cs="Times New Roman"/>
          <w:bCs/>
          <w:color w:val="auto"/>
          <w:szCs w:val="21"/>
          <w:highlight w:val="none"/>
        </w:rPr>
        <w:t>全国职业院校大数据中心建设指南</w:t>
      </w:r>
      <w:r>
        <w:rPr>
          <w:rFonts w:hint="eastAsia" w:ascii="宋体" w:hAnsi="宋体" w:eastAsia="宋体" w:cs="Times New Roman"/>
          <w:bCs/>
          <w:color w:val="auto"/>
          <w:szCs w:val="21"/>
          <w:highlight w:val="none"/>
        </w:rPr>
        <w:t>》，明确要求职业院校建立校本数据中台及相应数据标准。在学校内、外部双重驱动要求，需要对现有数据中台进行优化升级，完善数据采集、清洗转换及数据共享功能，同时加强数据安全管理及数据质量的自动分析能力；开展基于交院大脑的更深层次的数据治理，以挖掘校园数据价值，提升智能化、精细化的校园治理体系；实现职教大脑、生均成本核算、审计思政等对外对接数据的精细化管理。建立校园综合态势驾驶舱，下设交院总览、双高建设、审计专题、资产专题、教育教学、学生培养、服务办事等多个数据展示项。</w:t>
      </w:r>
    </w:p>
    <w:p>
      <w:pPr>
        <w:adjustRightInd w:val="0"/>
        <w:snapToGrid w:val="0"/>
        <w:spacing w:line="288" w:lineRule="auto"/>
        <w:rPr>
          <w:rFonts w:ascii="宋体" w:hAnsi="宋体" w:eastAsia="宋体" w:cs="Times New Roman"/>
          <w:b/>
          <w:bCs/>
          <w:color w:val="auto"/>
          <w:szCs w:val="21"/>
          <w:highlight w:val="none"/>
        </w:rPr>
      </w:pPr>
    </w:p>
    <w:p>
      <w:pPr>
        <w:adjustRightInd w:val="0"/>
        <w:snapToGrid w:val="0"/>
        <w:spacing w:line="288" w:lineRule="auto"/>
        <w:outlineLvl w:val="1"/>
        <w:rPr>
          <w:rFonts w:ascii="宋体" w:hAnsi="宋体" w:eastAsia="宋体" w:cs="宋体"/>
          <w:b/>
          <w:bCs/>
          <w:iCs/>
          <w:color w:val="auto"/>
          <w:szCs w:val="21"/>
          <w:highlight w:val="none"/>
        </w:rPr>
      </w:pPr>
      <w:bookmarkStart w:id="46" w:name="_Toc164753397"/>
      <w:r>
        <w:rPr>
          <w:rFonts w:hint="eastAsia" w:ascii="宋体" w:hAnsi="宋体" w:eastAsia="宋体" w:cs="Times New Roman"/>
          <w:b/>
          <w:bCs/>
          <w:color w:val="auto"/>
          <w:szCs w:val="21"/>
          <w:highlight w:val="none"/>
        </w:rPr>
        <w:t>四、总体框架</w:t>
      </w:r>
      <w:bookmarkEnd w:id="46"/>
      <w:bookmarkStart w:id="47" w:name="_Toc164753398"/>
    </w:p>
    <w:p>
      <w:pPr>
        <w:adjustRightInd w:val="0"/>
        <w:snapToGrid w:val="0"/>
        <w:spacing w:line="288" w:lineRule="auto"/>
        <w:ind w:firstLine="422" w:firstLineChars="200"/>
        <w:outlineLvl w:val="2"/>
        <w:rPr>
          <w:rFonts w:ascii="宋体" w:hAnsi="宋体" w:eastAsia="宋体" w:cs="宋体"/>
          <w:b/>
          <w:bCs/>
          <w:iCs/>
          <w:color w:val="auto"/>
          <w:szCs w:val="21"/>
          <w:highlight w:val="none"/>
        </w:rPr>
      </w:pPr>
      <w:r>
        <w:rPr>
          <w:rFonts w:hint="eastAsia" w:ascii="宋体" w:hAnsi="宋体" w:eastAsia="宋体" w:cs="宋体"/>
          <w:b/>
          <w:bCs/>
          <w:iCs/>
          <w:color w:val="auto"/>
          <w:szCs w:val="21"/>
          <w:highlight w:val="none"/>
        </w:rPr>
        <w:t>1、校园大脑总体架构</w:t>
      </w:r>
      <w:bookmarkEnd w:id="47"/>
    </w:p>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object>
          <v:shape id="_x0000_i1025" o:spt="75" type="#_x0000_t75" style="height:305.55pt;width:414.4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注：图中绿色部分为本期主要建设内容，蓝色部门为已建设内容，灰色为待建设内容。</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48" w:name="_Toc164753399"/>
      <w:r>
        <w:rPr>
          <w:rFonts w:hint="eastAsia" w:ascii="宋体" w:hAnsi="宋体" w:eastAsia="宋体" w:cs="宋体"/>
          <w:b/>
          <w:bCs/>
          <w:iCs/>
          <w:color w:val="auto"/>
          <w:szCs w:val="21"/>
          <w:highlight w:val="none"/>
        </w:rPr>
        <w:t>2、本期建设内容与目标</w:t>
      </w:r>
      <w:bookmarkEnd w:id="48"/>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本期项目建设内容包含以下几个方面：</w:t>
      </w:r>
    </w:p>
    <w:p>
      <w:pPr>
        <w:widowControl/>
        <w:adjustRightInd w:val="0"/>
        <w:snapToGrid w:val="0"/>
        <w:spacing w:line="288"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（1）数据中台优化升级：</w:t>
      </w:r>
      <w:r>
        <w:rPr>
          <w:rFonts w:hint="eastAsia" w:ascii="宋体" w:hAnsi="宋体" w:eastAsia="宋体" w:cs="宋体"/>
          <w:color w:val="auto"/>
          <w:kern w:val="0"/>
          <w:szCs w:val="21"/>
          <w:highlight w:val="none"/>
        </w:rPr>
        <w:t>夯实数据平台底座，采集原始业务数据入辅助库，支持数据历史变更轨迹管理；增强标准数据清洗转换能力；优化数据同步调度任务管理，实现不同类型的数据同步任务分类管理；提升数据治理检测能力；提升平台预警能力，提供任务调度、计算资源、接口调用等多个方面的监控看板；提升数据开放能力，方便学校各部门查询、提取数据；强化数据安全管理，提供数据分级分类管理能力；</w:t>
      </w:r>
    </w:p>
    <w:p>
      <w:pPr>
        <w:widowControl/>
        <w:adjustRightInd w:val="0"/>
        <w:snapToGrid w:val="0"/>
        <w:spacing w:line="288"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（2）校园数据深化治理：</w:t>
      </w:r>
      <w:r>
        <w:rPr>
          <w:rFonts w:hint="eastAsia" w:ascii="宋体" w:hAnsi="宋体" w:eastAsia="宋体" w:cs="宋体"/>
          <w:color w:val="auto"/>
          <w:kern w:val="0"/>
          <w:szCs w:val="21"/>
          <w:highlight w:val="none"/>
        </w:rPr>
        <w:t>迭代更新数据标准，持续开展数据治理；结合学校长兴新校区建设，深入挖掘校园数据价值，通过物联增强感知，提升智能化、精细化的校园治理体系，实现学校数字化核心应用一体化，逐步建成“行之虹校园大脑”；</w:t>
      </w:r>
    </w:p>
    <w:p>
      <w:pPr>
        <w:widowControl/>
        <w:adjustRightInd w:val="0"/>
        <w:snapToGrid w:val="0"/>
        <w:spacing w:line="288"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（3）校园门户优化改造：</w:t>
      </w:r>
      <w:r>
        <w:rPr>
          <w:rFonts w:hint="eastAsia" w:ascii="宋体" w:hAnsi="宋体" w:eastAsia="宋体" w:cs="宋体"/>
          <w:color w:val="auto"/>
          <w:kern w:val="0"/>
          <w:szCs w:val="21"/>
          <w:highlight w:val="none"/>
        </w:rPr>
        <w:t>协同教务处、学生处、各分院及图书馆统筹学校现有的教学视频、实训视频、软件应用类工具、模拟仿真、数字资源等电子化学习资源，并进行分类整理，在校园门户学习空间中集中展示方便师生提取；同时依据校园大脑的分析数据规划教学资源后续的建设；</w:t>
      </w:r>
    </w:p>
    <w:p>
      <w:pPr>
        <w:widowControl/>
        <w:adjustRightInd w:val="0"/>
        <w:snapToGrid w:val="0"/>
        <w:spacing w:line="288"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（4）数据上报优化改造：</w:t>
      </w:r>
      <w:r>
        <w:rPr>
          <w:rFonts w:hint="eastAsia" w:ascii="宋体" w:hAnsi="宋体" w:eastAsia="宋体" w:cs="宋体"/>
          <w:color w:val="auto"/>
          <w:kern w:val="0"/>
          <w:szCs w:val="21"/>
          <w:highlight w:val="none"/>
        </w:rPr>
        <w:t>构建多级联动机制，实现平台对接，支撑职教智慧大脑推进职业院校与国家智慧教育公共服务平台的对接工作；针对《全国职业教育智慧大脑院校中台【高职】数据标准及计算指标规划方案》的要求，结合学校信息化建设情况，完善职教大脑数据采集上报系统；</w:t>
      </w:r>
    </w:p>
    <w:p>
      <w:pPr>
        <w:widowControl/>
        <w:adjustRightInd w:val="0"/>
        <w:snapToGrid w:val="0"/>
        <w:spacing w:line="288"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（5）交院大脑数据展示：</w:t>
      </w:r>
      <w:r>
        <w:rPr>
          <w:rFonts w:hint="eastAsia" w:ascii="宋体" w:hAnsi="宋体" w:eastAsia="宋体" w:cs="宋体"/>
          <w:color w:val="auto"/>
          <w:kern w:val="0"/>
          <w:szCs w:val="21"/>
          <w:highlight w:val="none"/>
        </w:rPr>
        <w:t>从校级管理的视角去提炼核心关注的数据指标，进行集中式数据融合呈现。对人事、学生工作等维度及特定的应用场景进行综合大屏展示，并能根据具体管理需要进行重点展示内容的调整；建设智能化应用，提供数据综合查询、主题分析、对比分析等数据服务，满足校内和校外各类人员的数据需求。</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以上建设内容推动建成高质量数字教育公共服务体系、实现管理服务精准化为目标，开展高职院校智能管理及服务探索与实践，全方位推动学校实现整体智治；提升公共数据基础平台，建设数字交院大脑；扎实推进国家教育数字化战略行动，服务交通强国建设任务，依托国家智慧教育平台及之江汇教育广场创建“云上交通职教”品牌。</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p>
    <w:p>
      <w:pPr>
        <w:adjustRightInd w:val="0"/>
        <w:snapToGrid w:val="0"/>
        <w:spacing w:line="288" w:lineRule="auto"/>
        <w:outlineLvl w:val="1"/>
        <w:rPr>
          <w:rFonts w:ascii="宋体" w:hAnsi="宋体" w:eastAsia="宋体" w:cs="Times New Roman"/>
          <w:b/>
          <w:bCs/>
          <w:color w:val="auto"/>
          <w:szCs w:val="21"/>
          <w:highlight w:val="none"/>
        </w:rPr>
      </w:pPr>
      <w:bookmarkStart w:id="49" w:name="_Toc164753400"/>
      <w:r>
        <w:rPr>
          <w:rFonts w:hint="eastAsia" w:ascii="宋体" w:hAnsi="宋体" w:eastAsia="宋体" w:cs="Times New Roman"/>
          <w:b/>
          <w:bCs/>
          <w:color w:val="auto"/>
          <w:szCs w:val="21"/>
          <w:highlight w:val="none"/>
        </w:rPr>
        <w:t>五、系统功能需求</w:t>
      </w:r>
      <w:bookmarkEnd w:id="49"/>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50" w:name="_Toc164753401"/>
      <w:r>
        <w:rPr>
          <w:rFonts w:hint="eastAsia" w:ascii="宋体" w:hAnsi="宋体" w:eastAsia="宋体" w:cs="宋体"/>
          <w:b/>
          <w:bCs/>
          <w:iCs/>
          <w:color w:val="auto"/>
          <w:szCs w:val="21"/>
          <w:highlight w:val="none"/>
        </w:rPr>
        <w:t>1、短信及SSL证书采购需求</w:t>
      </w:r>
      <w:bookmarkEnd w:id="50"/>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提供多域CA证书和短信服务，用于支撑学校一体化公共平台的短信消息及数据访问安全，详细参数如下：</w:t>
      </w:r>
      <w:bookmarkStart w:id="51" w:name="_Toc164753402"/>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r>
        <w:rPr>
          <w:rFonts w:hint="eastAsia" w:ascii="宋体" w:hAnsi="宋体" w:eastAsia="宋体" w:cs="宋体"/>
          <w:b/>
          <w:bCs/>
          <w:iCs/>
          <w:color w:val="auto"/>
          <w:szCs w:val="21"/>
          <w:highlight w:val="none"/>
        </w:rPr>
        <w:t>1.1多域CA证书功能及配置要求</w:t>
      </w:r>
      <w:bookmarkEnd w:id="51"/>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年限</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加密强度</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强制128/256位加密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签发周期</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企业型超安（OV）通配型开始审核的2~5个工作日左右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加密算法</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2048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签名算法</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SHA256WithRSA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兼容度</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通过严格的WebTrust国际认证，并通过了微软认证、Mozilla 认证、Android 认证、苹果认证和Adobe认证，根证书预置到所有PC和移动终端中，全球信任！可用于SSL VPN设备的SSL加密通信、iOS安卓APP、微信小程序。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保护域名数</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支持保护主域名及二级域名同步加密，不限子域名数量，不限服务器。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展示形式</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1、浏览器地址栏左侧显示绿锁标识，表明网络传输过程是安全的，点击后显示详细申请单位信息，表明网站身份已经通过严格验证（OV ssl）</w:t>
            </w:r>
          </w:p>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2、网站底部可选择安装部署“网站安全证书”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其他参数</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1、支持证书转态在线查询协议（OCSP）；</w:t>
            </w:r>
          </w:p>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2、支持证书吊销列表（CRL）；</w:t>
            </w:r>
          </w:p>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3、证书主题字段支持中文及各种常用语言（如：日文、韩文、阿拉伯文等）。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售后服务支持</w:t>
            </w:r>
          </w:p>
        </w:tc>
        <w:tc>
          <w:tcPr>
            <w:tcW w:w="402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1、免费提供安装指导文件、远程部署及7*24小时售后支持服务；</w:t>
            </w:r>
          </w:p>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2、证书到期前续费提醒（电话、邮件等）；</w:t>
            </w:r>
          </w:p>
        </w:tc>
      </w:tr>
    </w:tbl>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52" w:name="_Toc164753403"/>
      <w:r>
        <w:rPr>
          <w:rFonts w:hint="eastAsia" w:ascii="宋体" w:hAnsi="宋体" w:eastAsia="宋体" w:cs="宋体"/>
          <w:b/>
          <w:bCs/>
          <w:iCs/>
          <w:color w:val="auto"/>
          <w:szCs w:val="21"/>
          <w:highlight w:val="none"/>
        </w:rPr>
        <w:t>1.2短信服务功能及配置要求</w:t>
      </w:r>
      <w:bookmarkEnd w:id="52"/>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0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到达率</w:t>
            </w:r>
          </w:p>
        </w:tc>
        <w:tc>
          <w:tcPr>
            <w:tcW w:w="399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排除手机本身问题（如没信号、空号、停机、关机等）应该要100%；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0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延迟</w:t>
            </w:r>
          </w:p>
        </w:tc>
        <w:tc>
          <w:tcPr>
            <w:tcW w:w="399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正常短信3-5秒内到达的比例在90%以上；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04" w:type="pct"/>
            <w:vAlign w:val="center"/>
          </w:tcPr>
          <w:p>
            <w:pPr>
              <w:widowControl/>
              <w:adjustRightInd w:val="0"/>
              <w:snapToGrid w:val="0"/>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服务期限</w:t>
            </w:r>
          </w:p>
        </w:tc>
        <w:tc>
          <w:tcPr>
            <w:tcW w:w="3995" w:type="pct"/>
            <w:vAlign w:val="center"/>
          </w:tcPr>
          <w:p>
            <w:pPr>
              <w:widowControl/>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提供50万条短信数量，无时间限制要求</w:t>
            </w:r>
          </w:p>
        </w:tc>
      </w:tr>
    </w:tbl>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53" w:name="_Toc164753404"/>
      <w:r>
        <w:rPr>
          <w:rFonts w:hint="eastAsia" w:ascii="宋体" w:hAnsi="宋体" w:eastAsia="宋体" w:cs="宋体"/>
          <w:b/>
          <w:bCs/>
          <w:iCs/>
          <w:color w:val="auto"/>
          <w:szCs w:val="21"/>
          <w:highlight w:val="none"/>
        </w:rPr>
        <w:t>2、数据中台优化升级</w:t>
      </w:r>
      <w:bookmarkEnd w:id="53"/>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校2021年数据中心（一期）项目采购的数据中台到现在使用三年，经过这段时间的使用目前发现产品本身存在很多缺陷，已经无法适应学校数据中心仓库使用越来越频繁，数据量越来越多的情况，急需对现有平台进行优化升级，提供运行高效、操作便捷、容错能力更强、数据安全性更高、更为智能化的校园数据运维平台。下面就平台需要具备的功能逐一进行详细阐述。</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54" w:name="_Toc164753405"/>
      <w:r>
        <w:rPr>
          <w:rFonts w:hint="eastAsia" w:ascii="宋体" w:hAnsi="宋体" w:eastAsia="宋体" w:cs="宋体"/>
          <w:b/>
          <w:bCs/>
          <w:iCs/>
          <w:color w:val="auto"/>
          <w:szCs w:val="21"/>
          <w:highlight w:val="none"/>
        </w:rPr>
        <w:t>2.1原始数据管理</w:t>
      </w:r>
      <w:bookmarkEnd w:id="5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将业务系统原始数据采集到数据中心辅助库进行存储，同时提供以下功能：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（1）支持自动根据源头表的结构生成辅助库原始表，并自动提取字段中文注释；当源头表结构发生变更时支出表结构的更新同步。支持原始表自定义模式，在源表结构上进行拓展编辑；</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（2）为方便对辅助库中数据表的管理，支持原始表进行分类管理；支持设置原始表的归属单位/部门；</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（3）支持对源表字段内容通过库函数转换取值，例如去空格、字段类型转换等等；</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代码值映射功能，支持原表某个字段值列表与标准代码进行匹配建立映射关系，在数据转入中心库时自动进行转换。当源头表数据发生变化,代码未映射成功时,会使用名称与代码标准的名称、简称进行匹配映射；</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（5）支持批量将外部数据源中的表和数据采集到辅助库中，采集时需支持全量或增量采集。采集时需支持忽略错误数据条目，继续执行采集任务；</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查看采集后原始表的详情概览，展示源头表信息与本表信息；源头表信息中需包含数据源名称，源头表名称，源头表数据量；本表信息需包含表名、物理表名、字段数量、数据量、数据上次更新时间、责任单位/部门、集成任务等信息；</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（7）★支持自定义数据清洗规则过滤脏数据，过滤的数据归集为黑名单数据，需支持对黑名单数据进行查询；</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（8）支持原始表、中心库标准表的数据血缘关系管理，查看各节点之间上游与下游数据流转关系；</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（9）支持停用和删除原始表，只有停用的表才能删除。</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55" w:name="_Toc164753406"/>
      <w:r>
        <w:rPr>
          <w:rFonts w:hint="eastAsia" w:ascii="宋体" w:hAnsi="宋体" w:eastAsia="宋体" w:cs="宋体"/>
          <w:b/>
          <w:bCs/>
          <w:iCs/>
          <w:color w:val="auto"/>
          <w:szCs w:val="21"/>
          <w:highlight w:val="none"/>
        </w:rPr>
        <w:t>2.2信息标准管理</w:t>
      </w:r>
      <w:bookmarkEnd w:id="55"/>
      <w:bookmarkStart w:id="56" w:name="_Toc164753407"/>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2.2.1数据元素</w:t>
      </w:r>
      <w:bookmarkEnd w:id="5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批量导入《GB/T36351.2-2018信息技术学习、教育和培训教育管理数据元素第2部分：公共数据元素》中的标准数据元素到平台。导入时，需能检测数据元素依赖的标准代码是否存在，不存在时，需要同步导入依赖的标准代码；</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（2）支持对数据元素进行查询、新增、注册、标准落实、变更、废止等管理功能；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数据元素属性需包含业务属性、技术属性、管理属性等；数据元素的业务属性需包含数据元素分类、标识符、数据元素名称、汉语简拼、定义等；数据元素的技术属性需包含数据类型、长度、精度、值域；数据元素的管理属性需包含标准级别、标准引用来源、批准日期、版本等；</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（4）支持按状态管理数据元素，包括草稿、标准、废止等不同状态。只有草稿状态的数据元素，才能删除，其他状态的数据元素，不可以删除。对于多个草稿状态的数据元素，支持批量注册；</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同一个数据元素的多个版本，仅能有一个版本处于标准状态，当注册一个新版本时，其他标准状态版本自动变更为废止状态。变更时，能生成一个高版本的草稿状态的数据元素标准；当某数据元素已经存在变更的草稿状态的数据元素时，不能重复变更；</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（6）支持对数据元素取值范围进行管理，需包含“限定范围”，“引用标准代码值”，“枚举值”等形式；</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（7）标准落实时，支持自动匹配数据中心内哪些字段与数据元素一致，支持批量选择进行标准落实，保证字段定义的标准化；</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（8）支持数据元素分类的管理，包括新增、编辑、删除功能；只有该数据元素分类下没有数据元素时，才可以删除该分类。</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57" w:name="_Toc164753408"/>
      <w:r>
        <w:rPr>
          <w:rFonts w:hint="eastAsia" w:ascii="宋体" w:hAnsi="宋体" w:eastAsia="宋体" w:cs="宋体"/>
          <w:b/>
          <w:bCs/>
          <w:color w:val="auto"/>
          <w:szCs w:val="21"/>
          <w:highlight w:val="none"/>
        </w:rPr>
        <w:t>2.2.2标准代码</w:t>
      </w:r>
      <w:bookmarkEnd w:id="57"/>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（1）支持批量导入国标《GB/T33782-2017信息技术学习、教育和培训教育管理基础代码》标准代码到平台。导入时，需能自动过滤已导入的标准代码。导入的不能对已有的代码进行更改和删除，仅新增；</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（2）支持基于学校业务系统等校级标准代码的维护和自动同步功能；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（3）支持对标准代码进行查询、新增、编辑、配置代码等管理功能；新增标准代码时，标准代码名称不可重复，新增的标准代码默认为已启用状态；</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（4）★支持对标准代码中的代码值进行新增，支持添加辅助代码与上级代码；</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（5）支持查看标准代码的引用关系，可查看引用该标准代码的表名和字段名；</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（6）★支持标准代码删除操作，删除前需先停用，不可以直接删除；</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（7）支持标准代码分类的管理，包括新增、编辑、删除功能。只有该标准代码分类下没有标准代码时，才可以删除该分类。</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58" w:name="_Toc164753409"/>
      <w:r>
        <w:rPr>
          <w:rFonts w:hint="eastAsia" w:ascii="宋体" w:hAnsi="宋体" w:eastAsia="宋体" w:cs="宋体"/>
          <w:b/>
          <w:bCs/>
          <w:iCs/>
          <w:color w:val="auto"/>
          <w:szCs w:val="21"/>
          <w:highlight w:val="none"/>
        </w:rPr>
        <w:t>2.3中心仓库管理</w:t>
      </w:r>
      <w:bookmarkEnd w:id="58"/>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为了规范全校数据的采集、处理、存储与管理，中心仓库支持对全校数据进行分层操作管理，使学校的数据资产结构更加清晰，数据血缘透明可追溯，数据关系条理化；具体要求如下：</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59" w:name="_Toc164753410"/>
      <w:r>
        <w:rPr>
          <w:rFonts w:hint="eastAsia" w:ascii="宋体" w:hAnsi="宋体" w:eastAsia="宋体" w:cs="宋体"/>
          <w:b/>
          <w:bCs/>
          <w:color w:val="auto"/>
          <w:szCs w:val="21"/>
          <w:highlight w:val="none"/>
        </w:rPr>
        <w:t>2.3.1标准层管理</w:t>
      </w:r>
      <w:bookmarkEnd w:id="59"/>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（1）★支持按业务域、业务子域和业务单元三级对标准层数据模型进行分类管理；已预置标准模型需严格遵循三级分类。</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（2）支持批量导入标准层数据模型；导入时支持对相关引用表、引用代码表进行同步导入；</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查看标准表的概览信息，展示表名、物理表名、引用模型信息、字段数、数据量、数据上次更新时间、责任单位、集成情况等信息。支持标准表的数据明细查询；支持查看数据的变更记录；能检测标准表内字段与数据元素之间差异，并自动进行标准落实以实现和数据元素标准保持一致；</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（4）支持新增和查看与标准表相关的清洗转换任务；数据清洗转化任务需支持通过零代码配置，支持可视化配置数据输入、左右关联、过滤、计算字段、字段映射、数据输出等属性来完成清洗转换任务。</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60" w:name="_Toc164753411"/>
      <w:r>
        <w:rPr>
          <w:rFonts w:hint="eastAsia" w:ascii="宋体" w:hAnsi="宋体" w:eastAsia="宋体" w:cs="宋体"/>
          <w:b/>
          <w:bCs/>
          <w:color w:val="auto"/>
          <w:szCs w:val="21"/>
          <w:highlight w:val="none"/>
        </w:rPr>
        <w:t>2.3.2主题层管理</w:t>
      </w:r>
      <w:bookmarkEnd w:id="60"/>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（1）主题层数据模型支持面向业务对象和面向业务过程进行分类管理。支持批量导入主题层数据模型；</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（2）主题层事实模型结构支持以ER图方式呈现事实表以及关联维度；支持关联维度展开或收缩的功能，便于查看浏览；</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（3）支持查看事实表的概览信息，展示事实名称、引用模型、事实类型、事务事实、维度数量、度量数量、数据量、数据上次更新、集成情况等信息。</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61" w:name="_Toc164753412"/>
      <w:r>
        <w:rPr>
          <w:rFonts w:hint="eastAsia" w:ascii="宋体" w:hAnsi="宋体" w:eastAsia="宋体" w:cs="宋体"/>
          <w:b/>
          <w:bCs/>
          <w:iCs/>
          <w:color w:val="auto"/>
          <w:szCs w:val="21"/>
          <w:highlight w:val="none"/>
        </w:rPr>
        <w:t>2.4任务调度管理</w:t>
      </w:r>
      <w:bookmarkEnd w:id="6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资产管理平台采集存储原始数据，再通过清洗转换层进行处理入中心仓库，最后从中心库根据不同的业务场景进行转换、处理汇入各个主题库，期间涉及多个环节的数据调用任务；有序控制各层级之间任务调度才能保障数据按时按需提供到最终的使用端，由此提出以下功能要求：</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62" w:name="_Toc164753413"/>
      <w:r>
        <w:rPr>
          <w:rFonts w:hint="eastAsia" w:ascii="宋体" w:hAnsi="宋体" w:eastAsia="宋体" w:cs="宋体"/>
          <w:b/>
          <w:bCs/>
          <w:color w:val="auto"/>
          <w:szCs w:val="21"/>
          <w:highlight w:val="none"/>
        </w:rPr>
        <w:t>2.4.1调度计划管理</w:t>
      </w:r>
      <w:bookmarkEnd w:id="62"/>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（1）根据数据的分层管理模式，需要提供分类调度计划，如源采集调度、清洗转换调度、主题层数据调度等等；</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（2）每类调度计划支持按天、周、月、年等不同类型的调度周期，每种调度周期可调整具体的执行时间；</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（3）支持自定义的调度任务，满足特殊场景下对于时间频度要求较高的数据同步任务，最小时间片满足分钟级要求。</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63" w:name="_Toc164753414"/>
      <w:r>
        <w:rPr>
          <w:rFonts w:hint="eastAsia" w:ascii="宋体" w:hAnsi="宋体" w:eastAsia="宋体" w:cs="宋体"/>
          <w:b/>
          <w:bCs/>
          <w:color w:val="auto"/>
          <w:szCs w:val="21"/>
          <w:highlight w:val="none"/>
        </w:rPr>
        <w:t>2.4.2任务调度日志</w:t>
      </w:r>
      <w:bookmarkEnd w:id="63"/>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（1）调度运行记录记录查询：为各类调度计划提供清单查询，支持查看运行开始与结束时间、调度时长、调度状态、成功和失败任务数等等；并支持按名称、分类。开始时间、运行状态等多条件进行组合筛选；</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（2）任务运行记录查询：为各类运行任务提供清单查询，支持查看运行类型、开始与结束时间、运行时长、运行状态等等；并支持按名称、类型。开始时间、运行状态等多条件进行组合筛选。</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64" w:name="_Toc164753415"/>
      <w:r>
        <w:rPr>
          <w:rFonts w:hint="eastAsia" w:ascii="宋体" w:hAnsi="宋体" w:eastAsia="宋体" w:cs="宋体"/>
          <w:b/>
          <w:bCs/>
          <w:color w:val="auto"/>
          <w:szCs w:val="21"/>
          <w:highlight w:val="none"/>
        </w:rPr>
        <w:t>2.4.3监控看板</w:t>
      </w:r>
      <w:bookmarkEnd w:id="6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为数据调度任务提供集中式的监控看板，能够清晰的看到调度异常信息、数据源访问异常信息、任务运行失败信息、运行时长异常信息、任务运行时CPU、内存情况统计等等。</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65" w:name="_Toc164753416"/>
      <w:r>
        <w:rPr>
          <w:rFonts w:hint="eastAsia" w:ascii="宋体" w:hAnsi="宋体" w:eastAsia="宋体" w:cs="宋体"/>
          <w:b/>
          <w:bCs/>
          <w:iCs/>
          <w:color w:val="auto"/>
          <w:szCs w:val="21"/>
          <w:highlight w:val="none"/>
        </w:rPr>
        <w:t>2.5数据质量管理</w:t>
      </w:r>
      <w:bookmarkEnd w:id="65"/>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持续发现我校数据质量问题，需预置数据质量检测规则，对数据质量问题进行管理、检测、跟踪、处理，常态化自动生成数据质量报告，持续提升我校数据质量。（1）数据质量管理包含质检规则、质检方案、质检结果管理。规则库至少包含非空检查、值域检查、规范检查、唯一性检查、引用完整性检查、逻辑检查等类型的检测规则。支持按数据元素批量新增质检规则；</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（2）★支持设置进行质检的表、检查字段；支持通过正则表达式自定义数据质量检测规则；</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w:t>
      </w:r>
      <w:r>
        <w:rPr>
          <w:rFonts w:hint="eastAsia" w:ascii="宋体" w:hAnsi="宋体" w:eastAsia="宋体" w:cs="宋体"/>
          <w:color w:val="auto"/>
          <w:szCs w:val="21"/>
          <w:highlight w:val="none"/>
        </w:rPr>
        <w:t>质量问题预警功能，</w:t>
      </w:r>
      <w:r>
        <w:rPr>
          <w:rFonts w:hint="eastAsia" w:ascii="宋体" w:hAnsi="宋体" w:eastAsia="宋体" w:cs="宋体"/>
          <w:color w:val="auto"/>
          <w:kern w:val="0"/>
          <w:szCs w:val="21"/>
          <w:highlight w:val="none"/>
        </w:rPr>
        <w:t>对质量检测规则进行问题级别定义，至少包含“建议”“轻微”“一般”“严重”等维度，便于对数据质量问题采取不同响应措施；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（4）支持自定义保留最近检测次数的质检结果，而质检方案汇总数据将永久保存；</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质检方案的执行周期，预警规则，质检报告发送策略和发送人员进行设置。需支持按每日、每周、每月、每年进行质检任务调度；支持通过问题级别、质检分数设置阈值，通过不同阈值将预警级别分为高、中、低三个级别。质检报告发送策略支持每执行多少次发送一次、预警结果高于或等于某预警级别时、质检分数低于多少分时三种方式，也支持三种方式组合；</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（6）支持查看数据质量分析报告，质检报告支持PDF格式下载；报告内容需包含数据质检综合评分、质检评分历史趋势、质检结果分析、评估概况、数据表质检明细、各部门质检明细等部分内容。</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66" w:name="_Toc164753417"/>
      <w:r>
        <w:rPr>
          <w:rFonts w:hint="eastAsia" w:ascii="宋体" w:hAnsi="宋体" w:eastAsia="宋体" w:cs="宋体"/>
          <w:b/>
          <w:bCs/>
          <w:iCs/>
          <w:color w:val="auto"/>
          <w:szCs w:val="21"/>
          <w:highlight w:val="none"/>
        </w:rPr>
        <w:t>2.6数据安全管理</w:t>
      </w:r>
      <w:bookmarkEnd w:id="6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安全是数字化转型的前提，更是底线，高效运转的校园离不开坚实的数据安全“堤坝”。数据共享开放环节复杂、数据流动频繁，过程中潜藏了诸多数据泄露风险，系统需要提供数据分类分级、加密脱敏等功能，实现对敏感数据的保护；具体要求如下：</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（1）支持数据资源分类管理、数据资源分级管理、数据脱敏管理；</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数据资源分类管理需包含分类维度、分类规则、分类管理等管理功能；分类维度需预置公民个人维度、敏感个人三个信息维度；分类规则需支持通过正则表达式进行设置，系统可自动匹配符合规则的数据资源项并将其放入对应的分类；分类管理需支持用户手动新增、通过分类规则两种方式新增。支持在数据中心的表详情页和元数据管理中查看数据项的分类信息；</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数据资源分级管理需包含分级定义、分级规则、分级管理等管理功能。分级管理需支持用户手动新增和通过分级规则执行两种方式需支持在数据中心的表详情页和元数据管理中进行查看数据项的分级信息；</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按照数据资源名称或脱敏规则名称自动匹配生成数据资源项对应的脱敏规则；支持对数据仓库及外部数据源中的数据项传输时进行脱敏规则的绑定；支持在数据中心的表详情页和元数据管理中进行查看数据项的脱敏策略；</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（5）★需支持在数据共享交换时为数据项选择数据脱敏策略；数据脱敏需支持哈希脱敏、字符掩码、取整脱敏几种方式，其中算法支持国密算法；</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（6）支持对中心仓库及外部数据源中的数据项传输时进行字段加密。加密算法和密钥以应用管理中的应用为单位进行控制；支持中心仓库表详情页和元数据管理中进行查看数据项的加密策略；</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（7）支持在数据共享交换时为单个数据项选择数据加密策略。</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67" w:name="_Toc164753418"/>
      <w:r>
        <w:rPr>
          <w:rFonts w:hint="eastAsia" w:ascii="宋体" w:hAnsi="宋体" w:eastAsia="宋体" w:cs="宋体"/>
          <w:b/>
          <w:bCs/>
          <w:iCs/>
          <w:color w:val="auto"/>
          <w:szCs w:val="21"/>
          <w:highlight w:val="none"/>
        </w:rPr>
        <w:t>2.7资源开放与共享</w:t>
      </w:r>
      <w:bookmarkEnd w:id="67"/>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68" w:name="_Toc164753419"/>
      <w:r>
        <w:rPr>
          <w:rFonts w:hint="eastAsia" w:ascii="宋体" w:hAnsi="宋体" w:eastAsia="宋体" w:cs="宋体"/>
          <w:b/>
          <w:bCs/>
          <w:color w:val="auto"/>
          <w:szCs w:val="21"/>
          <w:highlight w:val="none"/>
        </w:rPr>
        <w:t>2.7.1标准规范发布</w:t>
      </w:r>
      <w:bookmarkEnd w:id="68"/>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（1）支持根据当前平台标准代码集自动生成代码标准规范文档，同时支持文档版本手动更新；</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（2）支持根据平台中心仓库标准表集（已启用）自动生成标准表模型规范，同时支持文档版本手动更新；</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（3）支持增加外部与数据相关的规范文档进行管理；</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（4）发布后的规范文档发布到综合服务门户，供全校各职能部门和师生查阅、下载。</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69" w:name="_Toc164753420"/>
      <w:r>
        <w:rPr>
          <w:rFonts w:hint="eastAsia" w:ascii="宋体" w:hAnsi="宋体" w:eastAsia="宋体" w:cs="宋体"/>
          <w:b/>
          <w:bCs/>
          <w:color w:val="auto"/>
          <w:szCs w:val="21"/>
          <w:highlight w:val="none"/>
        </w:rPr>
        <w:t>2.7.2数据API管理</w:t>
      </w:r>
      <w:bookmarkEnd w:id="69"/>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数据API支持根据数据使用需求直接定义数据接口并授权给应用，同时为确保数据接口安全调用，支持设置调用频率限制和IP白名单。</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新增、编辑或删除数据集成API。新增数据集成API的配置信息需包括接口的属性和字段信息，其中属性的定义包括接口的唯一编码、接口名称和说明，编码默认系统自动生成并支持用户手动调整；接口的字段需支持通过SQL语句选择外部数据源或数据中心的数据作为接口返回字段。需支持通过SQL构建器快速选表生成SQL语句。</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（2）支持用户删除数据集成API。删除后，在数据集成API授权列表中，授权关系将被标注“已删除”，但不会同步删除授权关系，在有效期内应用将无法调用授权API，同时数据API看板将不再统计已删除API；</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（3）支持用户将集成API授权给应用，授权属性包括：授权API、授权应用、授权有效期、使用限制。</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（4）支持用户禁用或启用API授权状态，禁用后该应用将无法调用授权API，需通过启用恢复。</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（5）支持删除授权关系，删除后，该应用将无法调用API接口，授权关系无法恢复，但删除授权关系不会影响API调用日志，数据API看板同步保留删除之前的使用统计结果。</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（6）支持查看数据集成API的调用信息，便于系统操作员排查异常情况，支持在详情中查看接口调用失败的原因，日志记录时长不少于一年。日志信息包括：应用名称、APP ID、接口名称、接口路径、请求时间、请求方式、调用者IP、执行时间、响应时间、调用结果、调用数据量。</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70" w:name="_Toc164753421"/>
      <w:r>
        <w:rPr>
          <w:rFonts w:hint="eastAsia" w:ascii="宋体" w:hAnsi="宋体" w:eastAsia="宋体" w:cs="宋体"/>
          <w:b/>
          <w:bCs/>
          <w:color w:val="auto"/>
          <w:szCs w:val="21"/>
          <w:highlight w:val="none"/>
        </w:rPr>
        <w:t>2.7.3数据资源目录管理与共享</w:t>
      </w:r>
      <w:bookmarkEnd w:id="70"/>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数据资源目录是学校数据共享开放的成果，后台发布的数据资源可以在综合信息门户侧展示，供用户申请使用，以满足校内应用建设或行政办公的需要。</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（1）支持根据数据范围构建不同的数据资源目录完成数据资源目录的新增和删除；可自定义的管理数据资源的组织和展示结构。支持数据资源分类维度新增和删除。支持数据资源分类层级的新增和删除；</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按照不同的数据资源目录展示数据资源，可在分类树上切换数据资源目录。新增数据资源时，需支持数据资源属性、分类和数据项的维护工作，其中数据资源属性需包括数据资源编码、数据资源名称、责任单位、共享类型、使用方式和数据资源说明。数据资源分类需能够定义数据资源属于哪个分类维度的哪个分类。数据资源的数据项需包含SQL字段、数据项名称、数据项别名、业务标识、责任单位和元数据关联字段；</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（3）支持使用数据资源名称和数据项名称进行全局检索；</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（4）支持通过数据资源分类维度、使用方式、责任单位快速筛选定位相关的数据资源；</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（5）支持查看数据资源的详情，包括：数据资源的基本属性信息、数据项、数据子集、样例数据和安全信息；</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（6）支持用户申请数据资源，申请方式支持直接提交申请，或加入到待申请清单中。支持的申请使用方式包括：在线查询、通过Excel下载、通过OData接口获取数据、通过ETL获取数据；</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（7）提供数据运营看板，可对数据资源基本情况、数据资源共享情况、数据资源使用情况、数据资源挂接情况进行实时监测。</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71" w:name="_Toc164753422"/>
      <w:r>
        <w:rPr>
          <w:rFonts w:hint="eastAsia" w:ascii="宋体" w:hAnsi="宋体" w:eastAsia="宋体" w:cs="宋体"/>
          <w:b/>
          <w:bCs/>
          <w:iCs/>
          <w:color w:val="auto"/>
          <w:szCs w:val="21"/>
          <w:highlight w:val="none"/>
        </w:rPr>
        <w:t>2.8指标库管理</w:t>
      </w:r>
      <w:bookmarkEnd w:id="7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数据指标项是基于现有中心仓库中的数据进行统计、特殊转换等一些列处理后形成内部数据看板及外部上报要求的特殊数据项，由这些指标项构成指标库，涉及指标库管理的功能如下：</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（1）★支持指标分类管理；当指标分类下面数据指标不为空时，不允许删除；</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w:t>
      </w:r>
      <w:r>
        <w:rPr>
          <w:rFonts w:hint="eastAsia" w:ascii="宋体" w:hAnsi="宋体" w:eastAsia="宋体" w:cs="宋体"/>
          <w:color w:val="auto"/>
          <w:szCs w:val="21"/>
          <w:highlight w:val="none"/>
        </w:rPr>
        <w:t>创建、启用、停用、删除原子指标、派生指标和衍生指标</w:t>
      </w:r>
      <w:r>
        <w:rPr>
          <w:rFonts w:hint="eastAsia" w:ascii="宋体" w:hAnsi="宋体" w:eastAsia="宋体" w:cs="宋体"/>
          <w:color w:val="auto"/>
          <w:kern w:val="0"/>
          <w:szCs w:val="21"/>
          <w:highlight w:val="none"/>
        </w:rPr>
        <w:t>管理；支持查看指标基本信息、指标数据、指标血缘关系及指标计算任务运行日志信息；</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（3）派生指标支持</w:t>
      </w:r>
      <w:r>
        <w:rPr>
          <w:rFonts w:hint="eastAsia" w:ascii="宋体" w:hAnsi="宋体" w:eastAsia="宋体" w:cs="宋体"/>
          <w:color w:val="auto"/>
          <w:szCs w:val="21"/>
          <w:highlight w:val="none"/>
        </w:rPr>
        <w:t>可视化配置</w:t>
      </w:r>
      <w:r>
        <w:rPr>
          <w:rFonts w:hint="eastAsia" w:ascii="宋体" w:hAnsi="宋体" w:eastAsia="宋体" w:cs="宋体"/>
          <w:color w:val="auto"/>
          <w:kern w:val="0"/>
          <w:szCs w:val="21"/>
          <w:highlight w:val="none"/>
        </w:rPr>
        <w:t>自定义统计周期、统计范围限定、统计算法设置；统计范围限定需支持 与、或、不等于、空、为空、包含、模糊匹配等设置，统计函数支持求和、平均、计数、去重计数、最大值、最小值等算法；支持调度规则设置，完成数据自动化计算；</w:t>
      </w:r>
      <w:r>
        <w:rPr>
          <w:rFonts w:hint="eastAsia" w:ascii="宋体" w:hAnsi="宋体" w:eastAsia="宋体" w:cs="宋体"/>
          <w:color w:val="auto"/>
          <w:szCs w:val="21"/>
          <w:highlight w:val="none"/>
        </w:rPr>
        <w:t>支持过滤条件、聚合粒度、聚合函数设置，并可按设定指标周期查询数据指标计算数据；</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（4）★衍生指标支持可视化配置，支持从指标库拖拽数据指标，支持算术运算符、比较运算符、逻辑运算符等计算；支持调试及结果查看；支持调度规则设置，完成数据自动化计算；</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（5）支持统计周期的灵活可视化配置，支持基准日期、偏移量及单位设置，基准日期支持该日、该周首日、该月首日、该季度首日、该年首日、该学期首日、该学年首日等选择。</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72" w:name="_Toc164753423"/>
      <w:r>
        <w:rPr>
          <w:rFonts w:hint="eastAsia" w:ascii="宋体" w:hAnsi="宋体" w:eastAsia="宋体" w:cs="宋体"/>
          <w:b/>
          <w:bCs/>
          <w:iCs/>
          <w:color w:val="auto"/>
          <w:szCs w:val="21"/>
          <w:highlight w:val="none"/>
        </w:rPr>
        <w:t>2.9平台升级要求</w:t>
      </w:r>
      <w:bookmarkEnd w:id="72"/>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现数据中台升级的平稳过渡，确保业务连续性。在升级过程中需保障数据安全，防止数据丢失或泄露。需评估现有数据中台的资源，包括硬件、数据、网络等情况，制定详细的升级计划，支持对平台数据进行备份，确保数据的完整性和可恢复性。</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升级过程中，加强对数据中台所有数据的保护，采取加密、访问控制等安全措施，防止数据泄露。对升级过程中可能出现的风险进行识别和评估，制定应急预案，确保在紧急情况下能够迅速响应。迁移完成后，对数据中台进行安全检查，确保数据中台安全配置正确，无安全隐患。升级过程中，应确保业务部门的正常运作，尽量减少对业务的影响。</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升级完成后现有对外数据访问方式不发生变化，确保业务系统正常访问数据中心的数据。</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73" w:name="_Toc164753424"/>
      <w:r>
        <w:rPr>
          <w:rFonts w:hint="eastAsia" w:ascii="宋体" w:hAnsi="宋体" w:eastAsia="宋体" w:cs="宋体"/>
          <w:b/>
          <w:bCs/>
          <w:iCs/>
          <w:color w:val="auto"/>
          <w:szCs w:val="21"/>
          <w:highlight w:val="none"/>
        </w:rPr>
        <w:t>3、校园数据深化治理</w:t>
      </w:r>
      <w:bookmarkEnd w:id="73"/>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74" w:name="_Toc164753425"/>
      <w:r>
        <w:rPr>
          <w:rFonts w:hint="eastAsia" w:ascii="宋体" w:hAnsi="宋体" w:eastAsia="宋体" w:cs="宋体"/>
          <w:b/>
          <w:bCs/>
          <w:iCs/>
          <w:color w:val="auto"/>
          <w:szCs w:val="21"/>
          <w:highlight w:val="none"/>
        </w:rPr>
        <w:t>3.1代码标准调整</w:t>
      </w:r>
      <w:bookmarkEnd w:id="7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最新的国标、行标的代码规范对数据中台涉及的代码标准进行校对，并完善现有的代码标准集。将业务系统、审计上报、生均成本核算、教育部职教大脑等数据中涉及的代码标准未纳入数据平台代码标准集的按照校标一并纳入，并做好分类。</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75" w:name="_Toc134276342"/>
      <w:bookmarkEnd w:id="75"/>
      <w:bookmarkStart w:id="76" w:name="_Toc134276343"/>
      <w:bookmarkEnd w:id="76"/>
      <w:bookmarkStart w:id="77" w:name="_Toc164753426"/>
      <w:r>
        <w:rPr>
          <w:rFonts w:hint="eastAsia" w:ascii="宋体" w:hAnsi="宋体" w:eastAsia="宋体" w:cs="宋体"/>
          <w:b/>
          <w:bCs/>
          <w:iCs/>
          <w:color w:val="auto"/>
          <w:szCs w:val="21"/>
          <w:highlight w:val="none"/>
        </w:rPr>
        <w:t>3.2完善数据交换</w:t>
      </w:r>
      <w:bookmarkEnd w:id="77"/>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随着学校数据上报升级优化、智慧校园建设、长兴校区建设及信息化标杆校建设等等各类建设内容不断升级，数据互联互通的多跨场景日益增多，涉及共享的数据类目也出现井喷式发展，原有数据中心采集的数据已无法满足当下要求，从学校实际情况出发完善数据中心仓库的数据及数据对接方式，具体内容如下：</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实现前台页面可配置化API接口方式的源数据采集，涵盖教学一体化平台、采购系统、车辆进出、到梦空间、心海教育、网络流量、博达站群等等相关数据，支持数据采集频率可配置化，提供采集日志的查询及采集异常的告警功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（2）为毕业预警系统采集完善第二课堂学分、体测等数据，并开放API供其使用；</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（3）为一站式学生社区服务系统采集完善学生成绩、平均学分绩点、订单班等等数据，并为其做好数据转换及开放工作；</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（4）为生均成本核算系统做好资产、财务、人事、教务等相关数据的采集、清洗转换处理，并实现数据自动化推送功能；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（5）为教育部职教大脑做好教务、学工、人事、科研等相关数据的采集、清洗转换处理，并实现数据自动化推送功能；</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（6）根据审计校验结果推动审计源头数据的治理工作，完善相关整改数据后的数据采集。</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78" w:name="_Toc164753427"/>
      <w:r>
        <w:rPr>
          <w:rFonts w:hint="eastAsia" w:ascii="宋体" w:hAnsi="宋体" w:eastAsia="宋体" w:cs="宋体"/>
          <w:b/>
          <w:bCs/>
          <w:iCs/>
          <w:color w:val="auto"/>
          <w:szCs w:val="21"/>
          <w:highlight w:val="none"/>
        </w:rPr>
        <w:t>4、校园门户优化改造</w:t>
      </w:r>
      <w:bookmarkEnd w:id="78"/>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79" w:name="_Toc164753428"/>
      <w:r>
        <w:rPr>
          <w:rFonts w:hint="eastAsia" w:ascii="宋体" w:hAnsi="宋体" w:eastAsia="宋体" w:cs="宋体"/>
          <w:b/>
          <w:bCs/>
          <w:iCs/>
          <w:color w:val="auto"/>
          <w:szCs w:val="21"/>
          <w:highlight w:val="none"/>
        </w:rPr>
        <w:t>4.1学在交院</w:t>
      </w:r>
      <w:bookmarkEnd w:id="79"/>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在交院门户需实现在线精品课、专业资源库、在线学习、电子资源、特色课程五大学习模块。支持在不同模块下展示学习资源，实现对学校现有线上教学资源梳理，实现教学资源可分类、可查看。同时学在交院门户需要支持对接学校门户、并实现对接统一身份认证平台，实现在学校门户中顺畅使用该平台。</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★交院专属钉移动门户开设教职工在线学习模块，丰富教职工的网络学习途径。</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80" w:name="_Toc164753429"/>
      <w:r>
        <w:rPr>
          <w:rFonts w:hint="eastAsia" w:ascii="宋体" w:hAnsi="宋体" w:eastAsia="宋体" w:cs="宋体"/>
          <w:b/>
          <w:bCs/>
          <w:iCs/>
          <w:color w:val="auto"/>
          <w:szCs w:val="21"/>
          <w:highlight w:val="none"/>
        </w:rPr>
        <w:t>4.2办事大厅</w:t>
      </w:r>
      <w:bookmarkEnd w:id="80"/>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在综合服务门户中办事大厅页面增加两个模块：</w:t>
      </w:r>
    </w:p>
    <w:p>
      <w:pPr>
        <w:widowControl/>
        <w:numPr>
          <w:ilvl w:val="0"/>
          <w:numId w:val="3"/>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一件事联办模块：</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梳理校内一件事联办相应的应用，新增一件事联办模块，完成对接到办事大厅，并支持对接统一身份认证平台。一件事联办模块的应用需支持自定义拓展，支持可调整布局。</w:t>
      </w:r>
    </w:p>
    <w:p>
      <w:pPr>
        <w:widowControl/>
        <w:numPr>
          <w:ilvl w:val="0"/>
          <w:numId w:val="3"/>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智能填表模块：</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梳理智能填表应用，新增智能填报模块，完成对接到办事大厅，并支持对接统一身份认证平台。智能填表的应用需支持自定义拓展，支持可调整布局。</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81" w:name="_Toc164753430"/>
      <w:r>
        <w:rPr>
          <w:rFonts w:hint="eastAsia" w:ascii="宋体" w:hAnsi="宋体" w:eastAsia="宋体" w:cs="宋体"/>
          <w:b/>
          <w:bCs/>
          <w:iCs/>
          <w:color w:val="auto"/>
          <w:szCs w:val="21"/>
          <w:highlight w:val="none"/>
        </w:rPr>
        <w:t>5、数据上报优化改造</w:t>
      </w:r>
      <w:bookmarkEnd w:id="8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随着国家信息化建设的推进，学校与外部数据中台进行数据上报的需求也日益频繁。数据上报系统解决数据手动采集和自动采集，采集数据与上报数据间数据标准的转换，上报数据质量的核验，上报操作的执行及历史数据的管理等问题。现阶段需要实现以下平台的数据上报工作。</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82" w:name="_Toc164753431"/>
      <w:r>
        <w:rPr>
          <w:rFonts w:hint="eastAsia" w:ascii="宋体" w:hAnsi="宋体" w:eastAsia="宋体" w:cs="宋体"/>
          <w:b/>
          <w:bCs/>
          <w:iCs/>
          <w:color w:val="auto"/>
          <w:szCs w:val="21"/>
          <w:highlight w:val="none"/>
        </w:rPr>
        <w:t>5.1审计数据上报</w:t>
      </w:r>
      <w:bookmarkEnd w:id="82"/>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审计数据专项数据库，按年度存放上报至审计厅的数据，数据上报后形成静态样本用于历年数据的比对核查；实现独立的审计数据上报数据展示模块，提供审计上报数据自动通过数据中心进行采集、清洗转换，未建设系统或无法采集数据的提供补采页面并由数据中心进行采集沉淀、清洗转换，实现补采数据按年度报送；提供上报数据项的分页查询、数据校验及校验异常结果导出；提供数据校验展示内容及校验语句可界面化配置能力；提供所有数据项校验结果统一查询界面，支持校验结果全量导出、单项校验结果详情查看；支持一键全量执行所有数据项校验；支持数据补采、数据查询等界面分部门、人员分配不同的权限。</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83" w:name="_Toc164753432"/>
      <w:r>
        <w:rPr>
          <w:rFonts w:hint="eastAsia" w:ascii="宋体" w:hAnsi="宋体" w:eastAsia="宋体" w:cs="宋体"/>
          <w:b/>
          <w:bCs/>
          <w:iCs/>
          <w:color w:val="auto"/>
          <w:szCs w:val="21"/>
          <w:highlight w:val="none"/>
        </w:rPr>
        <w:t>5.2生均成本核算</w:t>
      </w:r>
      <w:bookmarkEnd w:id="83"/>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现独立的生均成本核算数据展示模块，提供生均成本核算数据自动通过数据中心进行采集、清洗转换，未建设系统或无法采集数据的提供补采页面并由数据中心进行采集沉淀、清洗转换，实现补采数据增量报送机制；提供数据项的分页查询、数据校验及校验异常结果导出；提供数据校验展示内容及校验语句可界面化配置能力；提供所有数据项校验结果统一查询界面，支持校验结果全量导出、单项校验结果详情查看；支持一键全量执行所有数据项校验；支持数据补采、数据查询等界面分部门、人员分配不同的权限。</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84" w:name="_Toc164753433"/>
      <w:r>
        <w:rPr>
          <w:rFonts w:hint="eastAsia" w:ascii="宋体" w:hAnsi="宋体" w:eastAsia="宋体" w:cs="宋体"/>
          <w:b/>
          <w:bCs/>
          <w:iCs/>
          <w:color w:val="auto"/>
          <w:szCs w:val="21"/>
          <w:highlight w:val="none"/>
        </w:rPr>
        <w:t>5.3职教大脑数据上报</w:t>
      </w:r>
      <w:bookmarkEnd w:id="8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职教大脑上报数据专项数据库；实现独立的职教大脑上报数据展示模块，提供上报数据自动通过数据中心进行采集、清洗转换，未建设系统或无法采集数据的提供补采页面并由数据中心进行采集沉淀、清洗转换，实现补采数据按增量报送机制；提供上报数据项的分页查询；支持数据补采、数据查询等界面分部门、人员分配不同的权限。</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85" w:name="_Toc164753434"/>
      <w:r>
        <w:rPr>
          <w:rFonts w:hint="eastAsia" w:ascii="宋体" w:hAnsi="宋体" w:eastAsia="宋体" w:cs="宋体"/>
          <w:b/>
          <w:bCs/>
          <w:iCs/>
          <w:color w:val="auto"/>
          <w:szCs w:val="21"/>
          <w:highlight w:val="none"/>
        </w:rPr>
        <w:t>5.4教育信息化数据报送</w:t>
      </w:r>
      <w:bookmarkEnd w:id="85"/>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按照“教育信息化工作（业务）管理信息系统“填报要求进行数据采集，采集的数据分两大类：自动从数据中心抓取和人工补采；填报的数据分部门、人员做数据采集及核验。</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动提醒功能：可以设定各部门数据填报提醒人员名单，提醒时间可以动态设定，消息内容可以自定义，推送方式支持钉钉、短信；按照设定时间自动批量推送消息至填报人员，同时支持按未填报数据手动触发提醒。</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数据报表：提供所有填报数据的分类展示，并支持选择性导出。</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86" w:name="_Toc164753435"/>
      <w:r>
        <w:rPr>
          <w:rFonts w:hint="eastAsia" w:ascii="宋体" w:hAnsi="宋体" w:eastAsia="宋体" w:cs="宋体"/>
          <w:b/>
          <w:bCs/>
          <w:iCs/>
          <w:color w:val="auto"/>
          <w:szCs w:val="21"/>
          <w:highlight w:val="none"/>
        </w:rPr>
        <w:t>6、交院大脑数据展示</w:t>
      </w:r>
      <w:bookmarkEnd w:id="8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结合学校数据中心建设情况，建立多主题校园数据展示内容，以下展示项是基于目前数据中心建设情况提出的，最终的建设内容将按照各部门的意见和后续数据中心建设情况为准；数据展示看板条目不限以下所提及的条目清单。</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87" w:name="_Toc164753436"/>
      <w:r>
        <w:rPr>
          <w:rFonts w:hint="eastAsia" w:ascii="宋体" w:hAnsi="宋体" w:eastAsia="宋体" w:cs="宋体"/>
          <w:b/>
          <w:bCs/>
          <w:iCs/>
          <w:color w:val="auto"/>
          <w:szCs w:val="21"/>
          <w:highlight w:val="none"/>
        </w:rPr>
        <w:t>6.1校园大脑主屏</w:t>
      </w:r>
      <w:bookmarkEnd w:id="87"/>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一个校级的全面的智能感知环境和综合信息服务平台，有效提升整体运营、教学、科研等成果的统一呈现。对校园内人、财、物、教、研等要素运行态势等进行真实复现，辅助管理者快速地掌握校园情况，实现统一管理，校园综合运营态势一屏掌握。其中包括师资队伍、学生培养、教育教学、科研服务、资产管理等几个模块的综合数据概览，</w:t>
      </w:r>
      <w:r>
        <w:rPr>
          <w:rFonts w:hint="eastAsia" w:ascii="宋体" w:hAnsi="宋体" w:eastAsia="宋体" w:cs="宋体"/>
          <w:color w:val="auto"/>
          <w:szCs w:val="21"/>
          <w:highlight w:val="none"/>
        </w:rPr>
        <w:t>支持指标项下钻展示详细内容，查看明细详情后提供返回主屏功能</w:t>
      </w:r>
      <w:r>
        <w:rPr>
          <w:rFonts w:hint="eastAsia" w:ascii="宋体" w:hAnsi="宋体" w:eastAsia="宋体" w:cs="宋体"/>
          <w:color w:val="auto"/>
          <w:kern w:val="0"/>
          <w:szCs w:val="21"/>
          <w:highlight w:val="none"/>
        </w:rPr>
        <w:t>。</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88" w:name="_Toc164753437"/>
      <w:r>
        <w:rPr>
          <w:rFonts w:hint="eastAsia" w:ascii="宋体" w:hAnsi="宋体" w:eastAsia="宋体" w:cs="宋体"/>
          <w:b/>
          <w:bCs/>
          <w:color w:val="auto"/>
          <w:szCs w:val="21"/>
          <w:highlight w:val="none"/>
        </w:rPr>
        <w:t>6.1.1师资队伍分屏</w:t>
      </w:r>
      <w:bookmarkEnd w:id="88"/>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师资队伍分屏体现交通技术学院教职工的师资队伍建设情况，如教职工入校前的个人资历信息、在校基本情况构建以及培训发展、退休离职后的人员保障等情况。通过教职工的队伍结构、教职工进修培训、教职工能力提升等综合展示，为学校管理者在教职工的任聘发展以及退休规划方面提供辅助决策依据。</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89" w:name="_Toc164753438"/>
      <w:r>
        <w:rPr>
          <w:rFonts w:hint="eastAsia" w:ascii="宋体" w:hAnsi="宋体" w:eastAsia="宋体" w:cs="宋体"/>
          <w:b/>
          <w:bCs/>
          <w:color w:val="auto"/>
          <w:szCs w:val="21"/>
          <w:highlight w:val="none"/>
        </w:rPr>
        <w:t>6.1.2学生培养分屏</w:t>
      </w:r>
      <w:bookmarkEnd w:id="89"/>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学生培养分屏体现学生成长的总体情况，通过分析学校招生信息、在校学习、学生上课、课外实践、社会就业等数据，体现学生在校期间的成长轨迹，为学生管理人员提供管理决策的依据。</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90" w:name="_Toc164753439"/>
      <w:r>
        <w:rPr>
          <w:rFonts w:hint="eastAsia" w:ascii="宋体" w:hAnsi="宋体" w:eastAsia="宋体" w:cs="宋体"/>
          <w:b/>
          <w:bCs/>
          <w:color w:val="auto"/>
          <w:szCs w:val="21"/>
          <w:highlight w:val="none"/>
        </w:rPr>
        <w:t>6.1.3教育教学分屏</w:t>
      </w:r>
      <w:bookmarkEnd w:id="90"/>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育教学分屏需体现学校的特色教育建设，通过展示学校教学资源、专业课程建设、教材建设、以及学校教育成果等情况，能够清晰的认知学校的教育方向和教学规划，辅助学校管理者提供教育教学方面的决策分析。</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91" w:name="_Toc164753440"/>
      <w:r>
        <w:rPr>
          <w:rFonts w:hint="eastAsia" w:ascii="宋体" w:hAnsi="宋体" w:eastAsia="宋体" w:cs="宋体"/>
          <w:b/>
          <w:bCs/>
          <w:color w:val="auto"/>
          <w:szCs w:val="21"/>
          <w:highlight w:val="none"/>
        </w:rPr>
        <w:t>6.1.4科研技术分屏</w:t>
      </w:r>
      <w:bookmarkEnd w:id="9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研技术分屏体现学校科研活动的变化情况，展示学校的科研项目情况、科研团队建设以及科研成果等内容，通过科研数据的分析与展示，以期促进科学研究、技术创新、以及推动学术交流与合作，激励学生和教职工共同追求科研学术发展。</w:t>
      </w:r>
    </w:p>
    <w:p>
      <w:pPr>
        <w:widowControl/>
        <w:adjustRightInd w:val="0"/>
        <w:snapToGrid w:val="0"/>
        <w:spacing w:line="288" w:lineRule="auto"/>
        <w:ind w:firstLine="422" w:firstLineChars="200"/>
        <w:jc w:val="left"/>
        <w:outlineLvl w:val="4"/>
        <w:rPr>
          <w:rFonts w:ascii="宋体" w:hAnsi="宋体" w:eastAsia="宋体" w:cs="宋体"/>
          <w:b/>
          <w:bCs/>
          <w:color w:val="auto"/>
          <w:szCs w:val="21"/>
          <w:highlight w:val="none"/>
        </w:rPr>
      </w:pPr>
      <w:bookmarkStart w:id="92" w:name="_Toc164753441"/>
      <w:r>
        <w:rPr>
          <w:rFonts w:hint="eastAsia" w:ascii="宋体" w:hAnsi="宋体" w:eastAsia="宋体" w:cs="宋体"/>
          <w:b/>
          <w:bCs/>
          <w:color w:val="auto"/>
          <w:szCs w:val="21"/>
          <w:highlight w:val="none"/>
        </w:rPr>
        <w:t>6.1.5资产管理分屏</w:t>
      </w:r>
      <w:bookmarkEnd w:id="92"/>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管理分屏体现学校资产全生命周期各个阶段的数据形态，通过分析资产的购置情况、使用分布等信息，挖掘资产在各阶段存在的一些问题，使管理者能够清晰掌握学校资产的总体情况，并合理规划后续资产的购置、使用等管理行为。</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93" w:name="_Toc164753442"/>
      <w:r>
        <w:rPr>
          <w:rFonts w:hint="eastAsia" w:ascii="宋体" w:hAnsi="宋体" w:eastAsia="宋体" w:cs="宋体"/>
          <w:b/>
          <w:bCs/>
          <w:iCs/>
          <w:color w:val="auto"/>
          <w:szCs w:val="21"/>
          <w:highlight w:val="none"/>
        </w:rPr>
        <w:t>6.2审计数据看板</w:t>
      </w:r>
      <w:bookmarkEnd w:id="93"/>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审计数据看板是通过分析各年度审计上报归档数据，提炼出与审计相关的关键指标体系，以期达到行为审计、资金审计、数据审计等多个维度的效果，为审计人员提供审计预警和趋势分析。</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94" w:name="_Toc164753443"/>
      <w:r>
        <w:rPr>
          <w:rFonts w:hint="eastAsia" w:ascii="宋体" w:hAnsi="宋体" w:eastAsia="宋体" w:cs="宋体"/>
          <w:b/>
          <w:bCs/>
          <w:iCs/>
          <w:color w:val="auto"/>
          <w:szCs w:val="21"/>
          <w:highlight w:val="none"/>
        </w:rPr>
        <w:t>6.3数据治理看板</w:t>
      </w:r>
      <w:bookmarkEnd w:id="9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分析校园大脑中心仓库数据的建设及使用情况，形成交院大脑数据从采集、清洗、转换到共享等全流程各环节的监测看板，实时监测数据在流转环节出现的各类问题及数据质量问题，使数据管理人员能够及时解决相关问题，并通过优化数据源头的数据提升数据质量，为后续数据多元化应用提供确实保障。</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95" w:name="_Toc164753444"/>
      <w:r>
        <w:rPr>
          <w:rFonts w:hint="eastAsia" w:ascii="宋体" w:hAnsi="宋体" w:eastAsia="宋体" w:cs="宋体"/>
          <w:b/>
          <w:bCs/>
          <w:iCs/>
          <w:color w:val="auto"/>
          <w:szCs w:val="21"/>
          <w:highlight w:val="none"/>
        </w:rPr>
        <w:t>6.4网上办事看板</w:t>
      </w:r>
      <w:bookmarkEnd w:id="95"/>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抓取一站式网上办事大厅相关数据，展示办件汇总情况、办件纵向与横向对比、办件实时动态、满意度调查等内容；体现学校整体办事效率及信息化管理技术水平，通过不断优化网上办事服务，促进学校信息化治理技术水平。</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96" w:name="_Toc164753445"/>
      <w:r>
        <w:rPr>
          <w:rFonts w:hint="eastAsia" w:ascii="宋体" w:hAnsi="宋体" w:eastAsia="宋体" w:cs="宋体"/>
          <w:b/>
          <w:bCs/>
          <w:iCs/>
          <w:color w:val="auto"/>
          <w:szCs w:val="21"/>
          <w:highlight w:val="none"/>
        </w:rPr>
        <w:t>6.5学生服务看板</w:t>
      </w:r>
      <w:bookmarkEnd w:id="9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服务看板涵盖学生校园办事、活动场所空间、奖勤助贷、学生社团活动、心理健康、学生任职等信息，展示学生在校期间的校园生活、服务等动态信息；促进学生管理人员优化学生服务事项，全面提升学生满意度。</w:t>
      </w:r>
    </w:p>
    <w:p>
      <w:pPr>
        <w:adjustRightInd w:val="0"/>
        <w:snapToGrid w:val="0"/>
        <w:spacing w:line="288" w:lineRule="auto"/>
        <w:rPr>
          <w:rFonts w:ascii="宋体" w:hAnsi="宋体" w:eastAsia="宋体" w:cs="Times New Roman"/>
          <w:b/>
          <w:bCs/>
          <w:color w:val="auto"/>
          <w:szCs w:val="21"/>
          <w:highlight w:val="none"/>
        </w:rPr>
      </w:pPr>
      <w:bookmarkStart w:id="97" w:name="_Toc164753446"/>
    </w:p>
    <w:p>
      <w:pPr>
        <w:adjustRightInd w:val="0"/>
        <w:snapToGrid w:val="0"/>
        <w:spacing w:line="288" w:lineRule="auto"/>
        <w:outlineLvl w:val="1"/>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六、技术要求</w:t>
      </w:r>
      <w:bookmarkEnd w:id="97"/>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98" w:name="_Toc324167803"/>
      <w:bookmarkStart w:id="99" w:name="_Toc335741285"/>
      <w:bookmarkStart w:id="100" w:name="_Toc248165665"/>
      <w:bookmarkStart w:id="101" w:name="_Toc331573859"/>
      <w:bookmarkStart w:id="102" w:name="_Toc252043973"/>
      <w:bookmarkStart w:id="103" w:name="_Toc353892507"/>
      <w:bookmarkStart w:id="104" w:name="_Toc346113412"/>
      <w:bookmarkStart w:id="105" w:name="_Toc164753447"/>
      <w:bookmarkStart w:id="106" w:name="_Toc317584202"/>
      <w:r>
        <w:rPr>
          <w:rFonts w:hint="eastAsia" w:ascii="宋体" w:hAnsi="宋体" w:eastAsia="宋体" w:cs="宋体"/>
          <w:b/>
          <w:bCs/>
          <w:iCs/>
          <w:color w:val="auto"/>
          <w:szCs w:val="21"/>
          <w:highlight w:val="none"/>
        </w:rPr>
        <w:t>1、设计原则</w:t>
      </w:r>
      <w:bookmarkEnd w:id="98"/>
      <w:bookmarkEnd w:id="99"/>
      <w:bookmarkEnd w:id="100"/>
      <w:bookmarkEnd w:id="101"/>
      <w:bookmarkEnd w:id="102"/>
      <w:bookmarkEnd w:id="103"/>
      <w:bookmarkEnd w:id="104"/>
      <w:bookmarkEnd w:id="105"/>
      <w:bookmarkEnd w:id="106"/>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先进性 ( Advanced Technology )：采用目前业界公认的、成熟的、代表发展主流的计算机网络体系结构及相关产品，确保设计方案在行业中具有先进水平；</w:t>
      </w:r>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可靠性 ( Reliability )：方案采用具有成熟应用先例的，高可靠性的系统结构和产品，保证系统实现后安全运行的要求；</w:t>
      </w:r>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可用性 ( Availability )；</w:t>
      </w:r>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可扩展能力 ( Scalability )：系统采用开放的、结构化的体系结构，并提供明确而广泛的系统升级渠道和保证，因此，能确保系统在比较长的时间内可以不断适应业务发展而引起的网络性能扩展的需要；</w:t>
      </w:r>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可管理能力 ( Manageability )；系统采用符合国内外标准规范的结构和产品，包括规范的文档资料，有着很好的可管理能力。</w:t>
      </w:r>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可维护能力 ( Serviceability )；</w:t>
      </w:r>
    </w:p>
    <w:p>
      <w:pPr>
        <w:widowControl/>
        <w:numPr>
          <w:ilvl w:val="0"/>
          <w:numId w:val="4"/>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保护投资 ( Investment Protection )：采用开放系统设计，能实现很好的可扩展性和可管理性，业主投资建设的计算机网络系统不会因为时间的过去而废弃，而是随着用户今后的发展和对计算机网络规模和性能方面需求的增长，最大限度的利用和扩充现有系统和设施，达到保护业主已有投资的目的。</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07" w:name="_Toc331573861"/>
      <w:bookmarkStart w:id="108" w:name="_Toc252043975"/>
      <w:bookmarkStart w:id="109" w:name="_Toc335741287"/>
      <w:bookmarkStart w:id="110" w:name="_Toc353892509"/>
      <w:bookmarkStart w:id="111" w:name="_Toc317584204"/>
      <w:bookmarkStart w:id="112" w:name="_Toc346113414"/>
      <w:bookmarkStart w:id="113" w:name="_Toc324167805"/>
      <w:bookmarkStart w:id="114" w:name="_Toc248165667"/>
      <w:bookmarkStart w:id="115" w:name="_Toc164753448"/>
      <w:r>
        <w:rPr>
          <w:rFonts w:hint="eastAsia" w:ascii="宋体" w:hAnsi="宋体" w:eastAsia="宋体" w:cs="宋体"/>
          <w:b/>
          <w:bCs/>
          <w:iCs/>
          <w:color w:val="auto"/>
          <w:szCs w:val="21"/>
          <w:highlight w:val="none"/>
        </w:rPr>
        <w:t>2、系统部署</w:t>
      </w:r>
      <w:bookmarkEnd w:id="107"/>
      <w:bookmarkEnd w:id="108"/>
      <w:bookmarkEnd w:id="109"/>
      <w:bookmarkEnd w:id="110"/>
      <w:bookmarkEnd w:id="111"/>
      <w:bookmarkEnd w:id="112"/>
      <w:bookmarkEnd w:id="113"/>
      <w:bookmarkEnd w:id="114"/>
      <w:r>
        <w:rPr>
          <w:rFonts w:hint="eastAsia" w:ascii="宋体" w:hAnsi="宋体" w:eastAsia="宋体" w:cs="宋体"/>
          <w:b/>
          <w:bCs/>
          <w:iCs/>
          <w:color w:val="auto"/>
          <w:szCs w:val="21"/>
          <w:highlight w:val="none"/>
        </w:rPr>
        <w:t>要求</w:t>
      </w:r>
      <w:bookmarkEnd w:id="115"/>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统一身份认证、综合信息门户保持原有的主机部署方案不做调整，如果现有存储、计算资源需要扩充允许在原有主机上增加资源，</w:t>
      </w:r>
      <w:r>
        <w:rPr>
          <w:rFonts w:hint="eastAsia" w:ascii="宋体" w:hAnsi="宋体" w:eastAsia="宋体" w:cs="宋体"/>
          <w:b/>
          <w:bCs/>
          <w:color w:val="auto"/>
          <w:kern w:val="0"/>
          <w:szCs w:val="21"/>
          <w:highlight w:val="none"/>
        </w:rPr>
        <w:t>要求投标文件中提供承诺函</w:t>
      </w:r>
      <w:r>
        <w:rPr>
          <w:rFonts w:hint="eastAsia" w:ascii="宋体" w:hAnsi="宋体" w:eastAsia="宋体" w:cs="宋体"/>
          <w:color w:val="auto"/>
          <w:kern w:val="0"/>
          <w:szCs w:val="21"/>
          <w:highlight w:val="none"/>
        </w:rPr>
        <w:t>。</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16" w:name="_Toc341106634"/>
      <w:bookmarkStart w:id="117" w:name="_Toc353892510"/>
      <w:bookmarkStart w:id="118" w:name="_Toc248165668"/>
      <w:bookmarkStart w:id="119" w:name="_Toc324167806"/>
      <w:bookmarkStart w:id="120" w:name="_Toc252043976"/>
      <w:bookmarkStart w:id="121" w:name="_Toc229195388"/>
      <w:bookmarkStart w:id="122" w:name="_Toc317584205"/>
      <w:bookmarkStart w:id="123" w:name="_Toc164753449"/>
      <w:bookmarkStart w:id="124" w:name="_Toc346113415"/>
      <w:bookmarkStart w:id="125" w:name="_Toc245396396"/>
      <w:bookmarkStart w:id="126" w:name="_Toc333235154"/>
      <w:r>
        <w:rPr>
          <w:rFonts w:hint="eastAsia" w:ascii="宋体" w:hAnsi="宋体" w:eastAsia="宋体" w:cs="宋体"/>
          <w:b/>
          <w:bCs/>
          <w:iCs/>
          <w:color w:val="auto"/>
          <w:szCs w:val="21"/>
          <w:highlight w:val="none"/>
        </w:rPr>
        <w:t>3、基础应用软件选型</w:t>
      </w:r>
      <w:bookmarkEnd w:id="116"/>
      <w:bookmarkEnd w:id="117"/>
      <w:bookmarkEnd w:id="118"/>
      <w:bookmarkEnd w:id="119"/>
      <w:bookmarkEnd w:id="120"/>
      <w:bookmarkEnd w:id="121"/>
      <w:bookmarkEnd w:id="122"/>
      <w:bookmarkEnd w:id="123"/>
      <w:bookmarkEnd w:id="124"/>
      <w:bookmarkEnd w:id="125"/>
      <w:bookmarkEnd w:id="126"/>
    </w:p>
    <w:p>
      <w:pPr>
        <w:numPr>
          <w:ilvl w:val="1"/>
          <w:numId w:val="5"/>
        </w:numPr>
        <w:adjustRightInd w:val="0"/>
        <w:snapToGrid w:val="0"/>
        <w:spacing w:line="288" w:lineRule="auto"/>
        <w:ind w:left="0"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操作系统</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支持Unix、Linux、Windows 2016 Server、国产龙蜥OS等操作系统。</w:t>
      </w:r>
    </w:p>
    <w:p>
      <w:pPr>
        <w:numPr>
          <w:ilvl w:val="1"/>
          <w:numId w:val="5"/>
        </w:numPr>
        <w:adjustRightInd w:val="0"/>
        <w:snapToGrid w:val="0"/>
        <w:spacing w:line="288" w:lineRule="auto"/>
        <w:ind w:left="0"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数据库</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数据库的选择将主要考虑安全性、并发性、可拓展性等，系统支持主流的数据库技术，包括：DB2、Oracle、Microsoft SQL、Sybase、MySQL、PostreSQL。</w:t>
      </w:r>
    </w:p>
    <w:p>
      <w:pPr>
        <w:numPr>
          <w:ilvl w:val="1"/>
          <w:numId w:val="5"/>
        </w:numPr>
        <w:adjustRightInd w:val="0"/>
        <w:snapToGrid w:val="0"/>
        <w:spacing w:line="288" w:lineRule="auto"/>
        <w:ind w:left="0"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中间件应用服务器</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中间件应用服务器可以采用各种主流应用服务器软件，包括Oracle Weblogic、IBMWebsphere、Tomcat等</w:t>
      </w:r>
    </w:p>
    <w:p>
      <w:pPr>
        <w:numPr>
          <w:ilvl w:val="1"/>
          <w:numId w:val="5"/>
        </w:numPr>
        <w:adjustRightInd w:val="0"/>
        <w:snapToGrid w:val="0"/>
        <w:spacing w:line="288" w:lineRule="auto"/>
        <w:ind w:left="0" w:firstLine="422" w:firstLineChars="200"/>
        <w:jc w:val="left"/>
        <w:rPr>
          <w:rFonts w:ascii="宋体" w:hAnsi="宋体" w:eastAsia="宋体" w:cs="宋体"/>
          <w:b/>
          <w:color w:val="auto"/>
          <w:szCs w:val="21"/>
          <w:highlight w:val="none"/>
        </w:rPr>
      </w:pPr>
      <w:bookmarkStart w:id="127" w:name="_Toc333235158"/>
      <w:bookmarkStart w:id="128" w:name="_Toc341106638"/>
      <w:bookmarkStart w:id="129" w:name="_Toc252043978"/>
      <w:bookmarkStart w:id="130" w:name="_Toc248165670"/>
      <w:bookmarkStart w:id="131" w:name="_Toc229195390"/>
      <w:bookmarkStart w:id="132" w:name="_Toc245396398"/>
      <w:bookmarkStart w:id="133" w:name="_Toc353892514"/>
      <w:bookmarkStart w:id="134" w:name="_Toc324167808"/>
      <w:bookmarkStart w:id="135" w:name="_Toc317584207"/>
      <w:bookmarkStart w:id="136" w:name="_Toc346113419"/>
      <w:r>
        <w:rPr>
          <w:rFonts w:hint="eastAsia" w:ascii="宋体" w:hAnsi="宋体" w:eastAsia="宋体" w:cs="宋体"/>
          <w:b/>
          <w:color w:val="auto"/>
          <w:szCs w:val="21"/>
          <w:highlight w:val="none"/>
        </w:rPr>
        <w:t>防病毒软件</w:t>
      </w:r>
      <w:bookmarkEnd w:id="127"/>
      <w:bookmarkEnd w:id="128"/>
      <w:bookmarkEnd w:id="129"/>
      <w:bookmarkEnd w:id="130"/>
      <w:bookmarkEnd w:id="131"/>
      <w:bookmarkEnd w:id="132"/>
      <w:bookmarkEnd w:id="133"/>
      <w:bookmarkEnd w:id="134"/>
      <w:bookmarkEnd w:id="135"/>
      <w:bookmarkEnd w:id="13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防病毒等软件必须安装学校提供的edr产品。</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37" w:name="_Toc164753450"/>
      <w:bookmarkStart w:id="138" w:name="_Toc343784797"/>
      <w:bookmarkStart w:id="139" w:name="_Toc343765652"/>
      <w:bookmarkStart w:id="140" w:name="_Toc314660386"/>
      <w:bookmarkStart w:id="141" w:name="_Toc305072907"/>
      <w:bookmarkStart w:id="142" w:name="_Toc282788155"/>
      <w:bookmarkStart w:id="143" w:name="_Toc268204598"/>
      <w:bookmarkStart w:id="144" w:name="_Toc353892517"/>
      <w:bookmarkStart w:id="145" w:name="_Toc346113422"/>
      <w:bookmarkStart w:id="146" w:name="_Toc311799706"/>
      <w:bookmarkStart w:id="147" w:name="_Toc324167812"/>
      <w:bookmarkStart w:id="148" w:name="_Toc335741297"/>
      <w:bookmarkStart w:id="149" w:name="_Toc283737673"/>
      <w:bookmarkStart w:id="150" w:name="_Toc306732614"/>
      <w:bookmarkStart w:id="151" w:name="_Toc298085875"/>
      <w:bookmarkStart w:id="152" w:name="_Toc252043982"/>
      <w:r>
        <w:rPr>
          <w:rFonts w:hint="eastAsia" w:ascii="宋体" w:hAnsi="宋体" w:eastAsia="宋体" w:cs="宋体"/>
          <w:b/>
          <w:bCs/>
          <w:iCs/>
          <w:color w:val="auto"/>
          <w:szCs w:val="21"/>
          <w:highlight w:val="none"/>
        </w:rPr>
        <w:t>4、性能指标</w:t>
      </w:r>
      <w:bookmarkEnd w:id="137"/>
      <w:bookmarkEnd w:id="138"/>
      <w:bookmarkEnd w:id="139"/>
    </w:p>
    <w:p>
      <w:pPr>
        <w:widowControl/>
        <w:numPr>
          <w:ilvl w:val="0"/>
          <w:numId w:val="6"/>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系统运行支持至少10万级注册用户量；</w:t>
      </w:r>
    </w:p>
    <w:p>
      <w:pPr>
        <w:widowControl/>
        <w:numPr>
          <w:ilvl w:val="1"/>
          <w:numId w:val="7"/>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系统需支持3000用户并发进行登录操作，平均响应时间不超过3秒，</w:t>
      </w:r>
      <w:r>
        <w:rPr>
          <w:rFonts w:hint="eastAsia" w:ascii="宋体" w:hAnsi="宋体" w:eastAsia="宋体" w:cs="宋体"/>
          <w:b/>
          <w:bCs/>
          <w:color w:val="auto"/>
          <w:kern w:val="0"/>
          <w:szCs w:val="21"/>
          <w:highlight w:val="none"/>
        </w:rPr>
        <w:t>要求投标文件中提供承诺函</w:t>
      </w:r>
      <w:r>
        <w:rPr>
          <w:rFonts w:hint="eastAsia" w:ascii="宋体" w:hAnsi="宋体" w:eastAsia="宋体" w:cs="宋体"/>
          <w:color w:val="auto"/>
          <w:kern w:val="0"/>
          <w:szCs w:val="21"/>
          <w:highlight w:val="none"/>
        </w:rPr>
        <w:t>；</w:t>
      </w:r>
    </w:p>
    <w:p>
      <w:pPr>
        <w:widowControl/>
        <w:numPr>
          <w:ilvl w:val="0"/>
          <w:numId w:val="6"/>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系统保证7*24 小时运行；</w:t>
      </w:r>
    </w:p>
    <w:p>
      <w:pPr>
        <w:widowControl/>
        <w:numPr>
          <w:ilvl w:val="0"/>
          <w:numId w:val="6"/>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平均延时：普通页面，小于1秒，最大不超过5秒；查询页面，小于3秒，最大不超过30秒；</w:t>
      </w:r>
    </w:p>
    <w:p>
      <w:pPr>
        <w:widowControl/>
        <w:numPr>
          <w:ilvl w:val="0"/>
          <w:numId w:val="6"/>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支持负载均衡、可扩展性；</w:t>
      </w:r>
    </w:p>
    <w:p>
      <w:pPr>
        <w:widowControl/>
        <w:numPr>
          <w:ilvl w:val="0"/>
          <w:numId w:val="6"/>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客户端支持Google Chrome、Mozilla Firefox等主流浏览器；终端PC安装运行以上浏览器的操作系统，如Windows 7/2003/8.X及以上操作系统。</w:t>
      </w:r>
    </w:p>
    <w:p>
      <w:pPr>
        <w:adjustRightInd w:val="0"/>
        <w:snapToGrid w:val="0"/>
        <w:spacing w:line="288" w:lineRule="auto"/>
        <w:outlineLvl w:val="1"/>
        <w:rPr>
          <w:rFonts w:ascii="宋体" w:hAnsi="宋体" w:eastAsia="宋体" w:cs="Times New Roman"/>
          <w:b/>
          <w:bCs/>
          <w:color w:val="auto"/>
          <w:szCs w:val="21"/>
          <w:highlight w:val="none"/>
        </w:rPr>
      </w:pPr>
      <w:bookmarkStart w:id="153" w:name="_Toc164753451"/>
      <w:r>
        <w:rPr>
          <w:rFonts w:hint="eastAsia" w:ascii="宋体" w:hAnsi="宋体" w:eastAsia="宋体" w:cs="Times New Roman"/>
          <w:b/>
          <w:bCs/>
          <w:color w:val="auto"/>
          <w:szCs w:val="21"/>
          <w:highlight w:val="none"/>
        </w:rPr>
        <w:t>七、系统安全</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随着业务应用系统的持续建设，应用系统所涉及的重要信息数据不断增加，不可避免地面临着众多安全威胁。应用系统的安全风险主要体现在信息资源被非法使用，用户越权访问系统资源等方面，针对措施具体包括：</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（1）认证授权：保证用户的合法性和用户使用应用信息资源的权力，避免内部敏感信息泄漏和服务所提供的信息资源被非法访问，造成严重的安全事件。</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（2）信息保密：充分利用密码技术，对于需要保密的信息，采用密码技术进行加解密处理，防止信息的非授权泄漏，确保涉密信息在产生、存储、传递和处理过程中的保密。</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（3）数据完整性：建立数据完整性检验机制，保证收发双方数据的一致性，防止信息被非授权修改。</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（4）安全等级：项目中涉及的系统需要满足等保二级要求，如果未能达到学校等级测评要求则必须进行无条件整改，直至满足要求。</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（5）审计：记录应用日志，对事件进行分析，并能提供预警信息。</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（6）数据的可回溯性：当发生数据误操作后，可以实现数据的可回溯性。</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（7）漏洞升级：当应用系统、数据库、操作系统等发现存在安全漏洞，需要严格按照学校的要求进行升级，安装补丁包确保系统运行的安全可靠，</w:t>
      </w:r>
      <w:r>
        <w:rPr>
          <w:rFonts w:hint="eastAsia" w:ascii="宋体" w:hAnsi="宋体" w:eastAsia="宋体" w:cs="宋体"/>
          <w:b/>
          <w:bCs/>
          <w:color w:val="auto"/>
          <w:kern w:val="0"/>
          <w:szCs w:val="21"/>
          <w:highlight w:val="none"/>
        </w:rPr>
        <w:t>要求投标文件中提供承诺函。</w:t>
      </w:r>
    </w:p>
    <w:p>
      <w:pPr>
        <w:adjustRightInd w:val="0"/>
        <w:snapToGrid w:val="0"/>
        <w:spacing w:line="288" w:lineRule="auto"/>
        <w:outlineLvl w:val="1"/>
        <w:rPr>
          <w:rFonts w:ascii="宋体" w:hAnsi="宋体" w:eastAsia="宋体" w:cs="Times New Roman"/>
          <w:b/>
          <w:bCs/>
          <w:color w:val="auto"/>
          <w:szCs w:val="21"/>
          <w:highlight w:val="none"/>
        </w:rPr>
      </w:pPr>
      <w:bookmarkStart w:id="154" w:name="_Toc38476658"/>
      <w:bookmarkStart w:id="155" w:name="_Toc164753452"/>
      <w:bookmarkStart w:id="156" w:name="_Toc268204625"/>
      <w:bookmarkStart w:id="157" w:name="_Toc306732654"/>
      <w:bookmarkStart w:id="158" w:name="_Toc282788182"/>
      <w:bookmarkStart w:id="159" w:name="_Toc324167840"/>
      <w:bookmarkStart w:id="160" w:name="_Toc311799734"/>
      <w:bookmarkStart w:id="161" w:name="_Toc252043999"/>
      <w:bookmarkStart w:id="162" w:name="_Toc314660414"/>
      <w:bookmarkStart w:id="163" w:name="_Toc346113444"/>
      <w:bookmarkStart w:id="164" w:name="_Toc305072925"/>
      <w:bookmarkStart w:id="165" w:name="_Toc283737701"/>
      <w:bookmarkStart w:id="166" w:name="_Toc335741325"/>
      <w:bookmarkStart w:id="167" w:name="_Toc353892539"/>
      <w:bookmarkStart w:id="168" w:name="_Toc298085904"/>
      <w:r>
        <w:rPr>
          <w:rFonts w:hint="eastAsia" w:ascii="宋体" w:hAnsi="宋体" w:eastAsia="宋体" w:cs="Times New Roman"/>
          <w:b/>
          <w:bCs/>
          <w:color w:val="auto"/>
          <w:szCs w:val="21"/>
          <w:highlight w:val="none"/>
        </w:rPr>
        <w:t>八、工程实施服务要求</w:t>
      </w:r>
      <w:bookmarkEnd w:id="154"/>
      <w:bookmarkEnd w:id="155"/>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69" w:name="_Toc164753453"/>
      <w:r>
        <w:rPr>
          <w:rFonts w:hint="eastAsia" w:ascii="宋体" w:hAnsi="宋体" w:eastAsia="宋体" w:cs="宋体"/>
          <w:b/>
          <w:bCs/>
          <w:iCs/>
          <w:color w:val="auto"/>
          <w:szCs w:val="21"/>
          <w:highlight w:val="none"/>
        </w:rPr>
        <w:t>1、时间进度要求</w:t>
      </w:r>
      <w:bookmarkEnd w:id="169"/>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本次项目须严格按工期部署完成，并达到采购人的要求。投标方需要在投标文件中给出预实施工期进度表。采购人要求签订合同后90天内完成项目建设工作，</w:t>
      </w:r>
      <w:r>
        <w:rPr>
          <w:rFonts w:hint="eastAsia" w:ascii="宋体" w:hAnsi="宋体" w:eastAsia="宋体" w:cs="宋体"/>
          <w:b/>
          <w:bCs/>
          <w:color w:val="auto"/>
          <w:kern w:val="0"/>
          <w:szCs w:val="21"/>
          <w:highlight w:val="none"/>
        </w:rPr>
        <w:t>要求投标文件中提供承诺函</w:t>
      </w:r>
      <w:r>
        <w:rPr>
          <w:rFonts w:hint="eastAsia" w:ascii="宋体" w:hAnsi="宋体" w:eastAsia="宋体" w:cs="宋体"/>
          <w:color w:val="auto"/>
          <w:kern w:val="0"/>
          <w:szCs w:val="21"/>
          <w:highlight w:val="none"/>
        </w:rPr>
        <w:t>。</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70" w:name="_Toc164753454"/>
      <w:bookmarkStart w:id="171" w:name="_Toc38476660"/>
      <w:r>
        <w:rPr>
          <w:rFonts w:hint="eastAsia" w:ascii="宋体" w:hAnsi="宋体" w:eastAsia="宋体" w:cs="宋体"/>
          <w:b/>
          <w:bCs/>
          <w:iCs/>
          <w:color w:val="auto"/>
          <w:szCs w:val="21"/>
          <w:highlight w:val="none"/>
        </w:rPr>
        <w:t>2、实施方案</w:t>
      </w:r>
      <w:bookmarkEnd w:id="170"/>
      <w:bookmarkEnd w:id="17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该项目规模较大，系统需求复杂，涉及部门、环节多，为了保证实施过程顺利有序，投标人必须做出详尽缜密的实施方案，主要内容应包括以下几个方面：</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2" w:name="_Toc164753455"/>
      <w:r>
        <w:rPr>
          <w:rFonts w:hint="eastAsia" w:ascii="宋体" w:hAnsi="宋体" w:eastAsia="宋体" w:cs="宋体"/>
          <w:b/>
          <w:bCs/>
          <w:iCs/>
          <w:color w:val="auto"/>
          <w:szCs w:val="21"/>
          <w:highlight w:val="none"/>
        </w:rPr>
        <w:t>2.1组织架构与职责</w:t>
      </w:r>
      <w:bookmarkEnd w:id="172"/>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描述项目成员的组成，以及成员的职责。</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项目经理一人，负责全程跟踪项目的开发与实施，提供驻场服务，直至该项目验收。该项目经理应具备同类项目（基础平台、门户平台、主数据管理平台、数据分析等）项目成功开发实施经验，并在项目中承担项目经理职务。要求附成功案例的合同材料及该项目甲方对项目经理的证明材料。</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项目组其他实施人员应满足项目开发和实施的需要，项目组成人员应不少于5人，有两个以上同类型数字化校园开发和实施经验，提供2人至少一年驻场服务，要求附参与项目甲方出具的人员证明材料。</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3" w:name="_Toc164753456"/>
      <w:r>
        <w:rPr>
          <w:rFonts w:hint="eastAsia" w:ascii="宋体" w:hAnsi="宋体" w:eastAsia="宋体" w:cs="宋体"/>
          <w:b/>
          <w:bCs/>
          <w:iCs/>
          <w:color w:val="auto"/>
          <w:szCs w:val="21"/>
          <w:highlight w:val="none"/>
        </w:rPr>
        <w:t>2.2实施阶段划分</w:t>
      </w:r>
      <w:bookmarkEnd w:id="173"/>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描述各个实施阶段的工作范围、内容、人力投入、过程、责任、交付成果等。</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4" w:name="_Toc164753457"/>
      <w:r>
        <w:rPr>
          <w:rFonts w:hint="eastAsia" w:ascii="宋体" w:hAnsi="宋体" w:eastAsia="宋体" w:cs="宋体"/>
          <w:b/>
          <w:bCs/>
          <w:iCs/>
          <w:color w:val="auto"/>
          <w:szCs w:val="21"/>
          <w:highlight w:val="none"/>
        </w:rPr>
        <w:t>2.3项目管理要求</w:t>
      </w:r>
      <w:bookmarkEnd w:id="17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投标方必须提出对项目的建设进行科学严格的管理方案与措施，保证项目全面顺利实施。</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5" w:name="_Toc164753458"/>
      <w:r>
        <w:rPr>
          <w:rFonts w:hint="eastAsia" w:ascii="宋体" w:hAnsi="宋体" w:eastAsia="宋体" w:cs="宋体"/>
          <w:b/>
          <w:bCs/>
          <w:iCs/>
          <w:color w:val="auto"/>
          <w:szCs w:val="21"/>
          <w:highlight w:val="none"/>
        </w:rPr>
        <w:t>2.4项目配置管理</w:t>
      </w:r>
      <w:bookmarkEnd w:id="175"/>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6" w:name="_Toc164753459"/>
      <w:r>
        <w:rPr>
          <w:rFonts w:hint="eastAsia" w:ascii="宋体" w:hAnsi="宋体" w:eastAsia="宋体" w:cs="宋体"/>
          <w:b/>
          <w:bCs/>
          <w:iCs/>
          <w:color w:val="auto"/>
          <w:szCs w:val="21"/>
          <w:highlight w:val="none"/>
        </w:rPr>
        <w:t>2.5项目管理规范和手段</w:t>
      </w:r>
      <w:bookmarkEnd w:id="17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7" w:name="_Toc164753460"/>
      <w:r>
        <w:rPr>
          <w:rFonts w:hint="eastAsia" w:ascii="宋体" w:hAnsi="宋体" w:eastAsia="宋体" w:cs="宋体"/>
          <w:b/>
          <w:bCs/>
          <w:iCs/>
          <w:color w:val="auto"/>
          <w:szCs w:val="21"/>
          <w:highlight w:val="none"/>
        </w:rPr>
        <w:t>2.6项目管理控制</w:t>
      </w:r>
      <w:bookmarkEnd w:id="177"/>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项目的管理控制包含多个方面：项目范围、风险、进度、质量、变更管理控制，贯穿项目开发建设的始终，必须做到对项目建设范围准确定义，一旦范围发生变更，要有相应的变更控制和应对措施。</w:t>
      </w:r>
    </w:p>
    <w:p>
      <w:pPr>
        <w:widowControl/>
        <w:adjustRightInd w:val="0"/>
        <w:snapToGrid w:val="0"/>
        <w:spacing w:line="288" w:lineRule="auto"/>
        <w:ind w:firstLine="422" w:firstLineChars="200"/>
        <w:jc w:val="left"/>
        <w:outlineLvl w:val="3"/>
        <w:rPr>
          <w:rFonts w:ascii="宋体" w:hAnsi="宋体" w:eastAsia="宋体" w:cs="宋体"/>
          <w:b/>
          <w:bCs/>
          <w:iCs/>
          <w:color w:val="auto"/>
          <w:szCs w:val="21"/>
          <w:highlight w:val="none"/>
        </w:rPr>
      </w:pPr>
      <w:bookmarkStart w:id="178" w:name="_Toc164753461"/>
      <w:r>
        <w:rPr>
          <w:rFonts w:hint="eastAsia" w:ascii="宋体" w:hAnsi="宋体" w:eastAsia="宋体" w:cs="宋体"/>
          <w:b/>
          <w:bCs/>
          <w:iCs/>
          <w:color w:val="auto"/>
          <w:szCs w:val="21"/>
          <w:highlight w:val="none"/>
        </w:rPr>
        <w:t>2.7风险管理</w:t>
      </w:r>
      <w:bookmarkEnd w:id="178"/>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风险管理是对项目风险从识别到分析到应对措施的一个过程，包括风险识别、风险量化、风险对策、风险对策实施控制四个方面。项目在实施过程中会出现各种各样的风险，必须做到充分、有效识别风险，应对风险和控制风险，在项目实施之初必须制定风险预测和规避风险的对策。</w:t>
      </w:r>
    </w:p>
    <w:bookmarkEnd w:id="156"/>
    <w:bookmarkEnd w:id="157"/>
    <w:bookmarkEnd w:id="158"/>
    <w:bookmarkEnd w:id="159"/>
    <w:bookmarkEnd w:id="160"/>
    <w:bookmarkEnd w:id="161"/>
    <w:bookmarkEnd w:id="162"/>
    <w:bookmarkEnd w:id="163"/>
    <w:bookmarkEnd w:id="164"/>
    <w:bookmarkEnd w:id="165"/>
    <w:bookmarkEnd w:id="166"/>
    <w:bookmarkEnd w:id="167"/>
    <w:bookmarkEnd w:id="168"/>
    <w:p>
      <w:pPr>
        <w:adjustRightInd w:val="0"/>
        <w:snapToGrid w:val="0"/>
        <w:spacing w:line="288" w:lineRule="auto"/>
        <w:outlineLvl w:val="1"/>
        <w:rPr>
          <w:rFonts w:ascii="宋体" w:hAnsi="宋体" w:eastAsia="宋体" w:cs="Times New Roman"/>
          <w:b/>
          <w:bCs/>
          <w:color w:val="auto"/>
          <w:szCs w:val="21"/>
          <w:highlight w:val="none"/>
        </w:rPr>
      </w:pPr>
      <w:bookmarkStart w:id="179" w:name="_Toc353892570"/>
      <w:bookmarkStart w:id="180" w:name="_Toc335741359"/>
      <w:bookmarkStart w:id="181" w:name="_Toc164753462"/>
      <w:bookmarkStart w:id="182" w:name="_Toc346113477"/>
      <w:r>
        <w:rPr>
          <w:rFonts w:hint="eastAsia" w:ascii="宋体" w:hAnsi="宋体" w:eastAsia="宋体" w:cs="Times New Roman"/>
          <w:b/>
          <w:bCs/>
          <w:color w:val="auto"/>
          <w:szCs w:val="21"/>
          <w:highlight w:val="none"/>
        </w:rPr>
        <w:t>九、项目验收</w:t>
      </w:r>
      <w:bookmarkEnd w:id="179"/>
      <w:bookmarkEnd w:id="180"/>
      <w:bookmarkEnd w:id="181"/>
      <w:bookmarkEnd w:id="182"/>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83" w:name="_Toc164753463"/>
      <w:bookmarkStart w:id="184" w:name="_Toc58331126"/>
      <w:r>
        <w:rPr>
          <w:rFonts w:hint="eastAsia" w:ascii="宋体" w:hAnsi="宋体" w:eastAsia="宋体" w:cs="宋体"/>
          <w:b/>
          <w:bCs/>
          <w:iCs/>
          <w:color w:val="auto"/>
          <w:szCs w:val="21"/>
          <w:highlight w:val="none"/>
        </w:rPr>
        <w:t>1、验收内容</w:t>
      </w:r>
      <w:bookmarkEnd w:id="183"/>
      <w:bookmarkEnd w:id="184"/>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（1）可运行的系统。</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（2）技术文档：包括项目开发中的各种技术文档，如开发环境配置说明、数据库设计文档、详细设计文档、测试案例文档、软件工具清单、用户手册、系统培训资料以及有关系统接口的技术说明等等。</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（3）管理文档：包括项目开发中的一些工作文档，如，计划、报告、讨论纲要、会议记录等。</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185" w:name="_Toc58331127"/>
      <w:bookmarkStart w:id="186" w:name="_Toc164753464"/>
      <w:r>
        <w:rPr>
          <w:rFonts w:hint="eastAsia" w:ascii="宋体" w:hAnsi="宋体" w:eastAsia="宋体" w:cs="宋体"/>
          <w:b/>
          <w:bCs/>
          <w:iCs/>
          <w:color w:val="auto"/>
          <w:szCs w:val="21"/>
          <w:highlight w:val="none"/>
        </w:rPr>
        <w:t>2、验收方法与标准</w:t>
      </w:r>
      <w:bookmarkEnd w:id="185"/>
      <w:bookmarkEnd w:id="18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（1）测试准备</w:t>
      </w:r>
    </w:p>
    <w:p>
      <w:pPr>
        <w:widowControl/>
        <w:numPr>
          <w:ilvl w:val="0"/>
          <w:numId w:val="8"/>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用户验收测试文件包括对项目确定的所有软件功能的测试程序。</w:t>
      </w:r>
    </w:p>
    <w:p>
      <w:pPr>
        <w:widowControl/>
        <w:numPr>
          <w:ilvl w:val="0"/>
          <w:numId w:val="8"/>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进行测试之前，用户方必须认可用户验收测试文件。</w:t>
      </w:r>
    </w:p>
    <w:p>
      <w:pPr>
        <w:widowControl/>
        <w:numPr>
          <w:ilvl w:val="0"/>
          <w:numId w:val="8"/>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用户方已经认可测试数据</w:t>
      </w:r>
    </w:p>
    <w:p>
      <w:pPr>
        <w:widowControl/>
        <w:numPr>
          <w:ilvl w:val="0"/>
          <w:numId w:val="8"/>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用户方已经指定和批准用户验收测试文件的测试人员。</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（2）测试执行</w:t>
      </w:r>
    </w:p>
    <w:p>
      <w:pPr>
        <w:widowControl/>
        <w:numPr>
          <w:ilvl w:val="0"/>
          <w:numId w:val="9"/>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测试由指定的测试人员来进行</w:t>
      </w:r>
    </w:p>
    <w:p>
      <w:pPr>
        <w:widowControl/>
        <w:numPr>
          <w:ilvl w:val="0"/>
          <w:numId w:val="9"/>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所有的情况都必须得到测试</w:t>
      </w:r>
    </w:p>
    <w:p>
      <w:pPr>
        <w:widowControl/>
        <w:numPr>
          <w:ilvl w:val="0"/>
          <w:numId w:val="9"/>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在测试过程中，测试人员必须记录所有测试结果</w:t>
      </w:r>
    </w:p>
    <w:p>
      <w:pPr>
        <w:widowControl/>
        <w:numPr>
          <w:ilvl w:val="0"/>
          <w:numId w:val="9"/>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测试结果由指定的测试人员签字</w:t>
      </w:r>
    </w:p>
    <w:p>
      <w:pPr>
        <w:widowControl/>
        <w:numPr>
          <w:ilvl w:val="0"/>
          <w:numId w:val="9"/>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用户方必须接受验收测试报告</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（3）测试结果</w:t>
      </w:r>
    </w:p>
    <w:p>
      <w:pPr>
        <w:widowControl/>
        <w:numPr>
          <w:ilvl w:val="0"/>
          <w:numId w:val="10"/>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测试结果说明软件满足下列要求：</w:t>
      </w:r>
    </w:p>
    <w:p>
      <w:pPr>
        <w:widowControl/>
        <w:numPr>
          <w:ilvl w:val="0"/>
          <w:numId w:val="10"/>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在认可的外部设计文档中表述的功能要求</w:t>
      </w:r>
    </w:p>
    <w:p>
      <w:pPr>
        <w:widowControl/>
        <w:numPr>
          <w:ilvl w:val="0"/>
          <w:numId w:val="10"/>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在认可的系统描述文档中表述的非功能要求</w:t>
      </w:r>
    </w:p>
    <w:p>
      <w:pPr>
        <w:widowControl/>
        <w:numPr>
          <w:ilvl w:val="0"/>
          <w:numId w:val="10"/>
        </w:numPr>
        <w:adjustRightInd w:val="0"/>
        <w:snapToGrid w:val="0"/>
        <w:spacing w:line="288" w:lineRule="auto"/>
        <w:ind w:left="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p>
      <w:pPr>
        <w:adjustRightInd w:val="0"/>
        <w:snapToGrid w:val="0"/>
        <w:spacing w:line="288" w:lineRule="auto"/>
        <w:outlineLvl w:val="1"/>
        <w:rPr>
          <w:rFonts w:ascii="宋体" w:hAnsi="宋体" w:eastAsia="宋体" w:cs="Times New Roman"/>
          <w:b/>
          <w:bCs/>
          <w:color w:val="auto"/>
          <w:szCs w:val="21"/>
          <w:highlight w:val="none"/>
        </w:rPr>
      </w:pPr>
      <w:bookmarkStart w:id="187" w:name="_Toc268204658"/>
      <w:bookmarkStart w:id="188" w:name="_Toc311799771"/>
      <w:bookmarkStart w:id="189" w:name="_Toc346113485"/>
      <w:bookmarkStart w:id="190" w:name="_Toc252044032"/>
      <w:bookmarkStart w:id="191" w:name="_Toc335741367"/>
      <w:bookmarkStart w:id="192" w:name="_Toc164753465"/>
      <w:bookmarkStart w:id="193" w:name="_Toc353892578"/>
      <w:bookmarkStart w:id="194" w:name="_Toc305072962"/>
      <w:bookmarkStart w:id="195" w:name="_Toc306732691"/>
      <w:bookmarkStart w:id="196" w:name="_Toc298085941"/>
      <w:bookmarkStart w:id="197" w:name="_Toc314660449"/>
      <w:bookmarkStart w:id="198" w:name="_Toc283737734"/>
      <w:bookmarkStart w:id="199" w:name="_Toc248165847"/>
      <w:bookmarkStart w:id="200" w:name="_Toc324167877"/>
      <w:bookmarkStart w:id="201" w:name="_Toc282788215"/>
      <w:bookmarkStart w:id="202" w:name="_Toc298085950"/>
      <w:bookmarkStart w:id="203" w:name="_Toc335741368"/>
      <w:bookmarkStart w:id="204" w:name="_Toc270068490"/>
      <w:bookmarkStart w:id="205" w:name="_Toc268204666"/>
      <w:bookmarkStart w:id="206" w:name="_Toc306732699"/>
      <w:bookmarkStart w:id="207" w:name="_Toc305072970"/>
      <w:bookmarkStart w:id="208" w:name="_Toc353892579"/>
      <w:bookmarkStart w:id="209" w:name="_Toc283737742"/>
      <w:bookmarkStart w:id="210" w:name="_Toc324167885"/>
      <w:bookmarkStart w:id="211" w:name="_Toc282788223"/>
      <w:bookmarkStart w:id="212" w:name="_Toc346113486"/>
      <w:bookmarkStart w:id="213" w:name="_Toc311799779"/>
      <w:bookmarkStart w:id="214" w:name="_Toc314660457"/>
      <w:r>
        <w:rPr>
          <w:rFonts w:hint="eastAsia" w:ascii="宋体" w:hAnsi="宋体" w:eastAsia="宋体" w:cs="Times New Roman"/>
          <w:b/>
          <w:bCs/>
          <w:color w:val="auto"/>
          <w:szCs w:val="21"/>
          <w:highlight w:val="none"/>
        </w:rPr>
        <w:t>十、成果移交</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项目验收合格后,应办理交接手续，包括实体移交和技术文件移交。</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15" w:name="_Toc164753466"/>
      <w:r>
        <w:rPr>
          <w:rFonts w:hint="eastAsia" w:ascii="宋体" w:hAnsi="宋体" w:eastAsia="宋体" w:cs="宋体"/>
          <w:b/>
          <w:bCs/>
          <w:iCs/>
          <w:color w:val="auto"/>
          <w:szCs w:val="21"/>
          <w:highlight w:val="none"/>
        </w:rPr>
        <w:t>1、技术转移</w:t>
      </w:r>
      <w:bookmarkEnd w:id="215"/>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通过本期项目的合作开发，从技术实现上，建设厂商需要将先进的开发技术、项目管理模式和经验与浙江交通职业技术学院的需求资源相结合，真正建立学校的信息化支撑平台和专业技术队伍。</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同时，学校的工作人员全面深入地参与开发的全过程，包括需求分析、系统设计、代码生成、测试运行以及使用维护五个阶段，掌握各个环节的主要技术，具有对软硬件系统平台、各个业务系统的技术维护能力以及二次开发能力，实现知识和技术的转移。</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16" w:name="_Toc164753467"/>
      <w:r>
        <w:rPr>
          <w:rFonts w:hint="eastAsia" w:ascii="宋体" w:hAnsi="宋体" w:eastAsia="宋体" w:cs="宋体"/>
          <w:b/>
          <w:bCs/>
          <w:iCs/>
          <w:color w:val="auto"/>
          <w:szCs w:val="21"/>
          <w:highlight w:val="none"/>
        </w:rPr>
        <w:t>2、交付成果和文档资料</w:t>
      </w:r>
      <w:bookmarkEnd w:id="216"/>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在本期项目的开发过程中和交付使用后，将各个阶段产生的全面、规范的成果和文档资料交付给浙江交通职业技术学院，并提供明确的交付清单。同时，成果和文档资料符合软件工程的相关要求。要交付的成果和文档资料主要包括以下部分： </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（1）可运行的系统。</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（2）技术文档：包括项目开发中的各种技术文档，如开发环境配置说明、数据库设计文档、详细设计文档、测试案例文档、软件工具清单、用户手册、系统培训资料以及有关系统接口的技术说明等等。</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（3）管理文档：包括项目开发中的一些工作文档，如，计划、报告、讨论纲要、会议记录等。</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17" w:name="_Toc164753468"/>
      <w:r>
        <w:rPr>
          <w:rFonts w:hint="eastAsia" w:ascii="宋体" w:hAnsi="宋体" w:eastAsia="宋体" w:cs="宋体"/>
          <w:b/>
          <w:bCs/>
          <w:iCs/>
          <w:color w:val="auto"/>
          <w:szCs w:val="21"/>
          <w:highlight w:val="none"/>
        </w:rPr>
        <w:t>3、知识产权说明</w:t>
      </w:r>
      <w:bookmarkEnd w:id="217"/>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浙江交通职业技术学院拥有本项目各系统的完全使用权。</w:t>
      </w:r>
    </w:p>
    <w:p>
      <w:pPr>
        <w:adjustRightInd w:val="0"/>
        <w:snapToGrid w:val="0"/>
        <w:spacing w:line="288" w:lineRule="auto"/>
        <w:outlineLvl w:val="1"/>
        <w:rPr>
          <w:rFonts w:ascii="宋体" w:hAnsi="宋体" w:eastAsia="宋体" w:cs="Times New Roman"/>
          <w:b/>
          <w:bCs/>
          <w:color w:val="auto"/>
          <w:szCs w:val="21"/>
          <w:highlight w:val="none"/>
        </w:rPr>
      </w:pPr>
      <w:bookmarkStart w:id="218" w:name="_Toc164753469"/>
      <w:r>
        <w:rPr>
          <w:rFonts w:hint="eastAsia" w:ascii="宋体" w:hAnsi="宋体" w:eastAsia="宋体" w:cs="Times New Roman"/>
          <w:b/>
          <w:bCs/>
          <w:color w:val="auto"/>
          <w:szCs w:val="21"/>
          <w:highlight w:val="none"/>
        </w:rPr>
        <w:t>十一、服务保障</w:t>
      </w:r>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ascii="宋体" w:hAnsi="宋体" w:eastAsia="宋体" w:cs="Times New Roman"/>
          <w:b/>
          <w:bCs/>
          <w:color w:val="auto"/>
          <w:szCs w:val="21"/>
          <w:highlight w:val="none"/>
        </w:rPr>
        <w:t>与承诺</w:t>
      </w:r>
      <w:bookmarkEnd w:id="218"/>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承诺保证该项目按时正式稳定地运行，并承诺提供免费两年服务时间。投标人应承诺根据对（浙江交通职业技术学院）相关业务运作的规律来有计划地制定服务保障体系。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浙江交通职业技术学院）提供充分考虑使用者利益的技术支持及售后服务模式。 除了上述的有关承诺之外，投标人关于服务保障体系的描述应具体包括如下内容：</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19" w:name="_Toc164753470"/>
      <w:r>
        <w:rPr>
          <w:rFonts w:hint="eastAsia" w:ascii="宋体" w:hAnsi="宋体" w:eastAsia="宋体" w:cs="宋体"/>
          <w:b/>
          <w:bCs/>
          <w:iCs/>
          <w:color w:val="auto"/>
          <w:szCs w:val="21"/>
          <w:highlight w:val="none"/>
        </w:rPr>
        <w:t>1、运行保障机构</w:t>
      </w:r>
      <w:bookmarkEnd w:id="219"/>
      <w:r>
        <w:rPr>
          <w:rFonts w:hint="eastAsia" w:ascii="宋体" w:hAnsi="宋体" w:eastAsia="宋体" w:cs="宋体"/>
          <w:b/>
          <w:bCs/>
          <w:iCs/>
          <w:color w:val="auto"/>
          <w:szCs w:val="21"/>
          <w:highlight w:val="none"/>
        </w:rPr>
        <w:t xml:space="preserve"> </w:t>
      </w:r>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主要描述公司对于（浙江交通职业技术学院）本项目的运行保障能力描述。</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20" w:name="_Toc164753471"/>
      <w:r>
        <w:rPr>
          <w:rFonts w:hint="eastAsia" w:ascii="宋体" w:hAnsi="宋体" w:eastAsia="宋体" w:cs="宋体"/>
          <w:b/>
          <w:bCs/>
          <w:iCs/>
          <w:color w:val="auto"/>
          <w:szCs w:val="21"/>
          <w:highlight w:val="none"/>
        </w:rPr>
        <w:t>2、保期内运行服务内容</w:t>
      </w:r>
      <w:bookmarkEnd w:id="220"/>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维护服务，定期走访或实行远程维护：定期维护的时间区间、周期和详细规划，规划包括：方式、人员和详细的维护内容。重大事项的及时响应：系统出现故障或意外情况导致系统不能正常运行时，投标人响应的情况描述，针对不同响应级别的即时响应包括：人员、时间和内容等。服务请求的方式：在我方需要提供服务（包括即时的和非即时的）时，能够与投标人联系沟通的方式描述，应包括：服务热线电话和联系人、联系单位信息、信函/传真、电子邮件、服务网站。服务请求的流程：投标人对用户的支持或维护请求处理流程的流程图和详细描述。</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21" w:name="_Toc164753472"/>
      <w:r>
        <w:rPr>
          <w:rFonts w:hint="eastAsia" w:ascii="宋体" w:hAnsi="宋体" w:eastAsia="宋体" w:cs="宋体"/>
          <w:b/>
          <w:bCs/>
          <w:iCs/>
          <w:color w:val="auto"/>
          <w:szCs w:val="21"/>
          <w:highlight w:val="none"/>
        </w:rPr>
        <w:t>3、保期后运行服务内容</w:t>
      </w:r>
      <w:bookmarkEnd w:id="221"/>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售后维护服务，定期走访或实行远程维护：收费服务的时间区间、周期、费用和详细规划，规划包括：方式、人员和详细的维护内容。重大事项的即时响应：所需费用由双方协商。</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22" w:name="_Toc164753473"/>
      <w:r>
        <w:rPr>
          <w:rFonts w:hint="eastAsia" w:ascii="宋体" w:hAnsi="宋体" w:eastAsia="宋体" w:cs="宋体"/>
          <w:b/>
          <w:bCs/>
          <w:iCs/>
          <w:color w:val="auto"/>
          <w:szCs w:val="21"/>
          <w:highlight w:val="none"/>
        </w:rPr>
        <w:t>4、运行服务的档案</w:t>
      </w:r>
      <w:bookmarkEnd w:id="222"/>
    </w:p>
    <w:p>
      <w:pPr>
        <w:widowControl/>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运行服务的详细记载，可以用于分析总结。</w:t>
      </w:r>
    </w:p>
    <w:p>
      <w:pPr>
        <w:adjustRightInd w:val="0"/>
        <w:snapToGrid w:val="0"/>
        <w:spacing w:line="288" w:lineRule="auto"/>
        <w:ind w:firstLine="422" w:firstLineChars="200"/>
        <w:outlineLvl w:val="2"/>
        <w:rPr>
          <w:rFonts w:ascii="宋体" w:hAnsi="宋体" w:eastAsia="宋体" w:cs="宋体"/>
          <w:b/>
          <w:bCs/>
          <w:iCs/>
          <w:color w:val="auto"/>
          <w:szCs w:val="21"/>
          <w:highlight w:val="none"/>
        </w:rPr>
      </w:pPr>
      <w:bookmarkStart w:id="223" w:name="_Toc164753474"/>
      <w:r>
        <w:rPr>
          <w:rFonts w:hint="eastAsia" w:ascii="宋体" w:hAnsi="宋体" w:eastAsia="宋体" w:cs="宋体"/>
          <w:b/>
          <w:bCs/>
          <w:iCs/>
          <w:color w:val="auto"/>
          <w:szCs w:val="21"/>
          <w:highlight w:val="none"/>
        </w:rPr>
        <w:t>5、用户投诉</w:t>
      </w:r>
      <w:bookmarkEnd w:id="223"/>
    </w:p>
    <w:p>
      <w:pPr>
        <w:adjustRightInd w:val="0"/>
        <w:snapToGrid w:val="0"/>
        <w:spacing w:line="288" w:lineRule="auto"/>
        <w:ind w:firstLine="420" w:firstLineChars="200"/>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投标人是否设有用户投诉受理电话，对用户的意见做出反应。如果有用户投诉受理电话，请描述以下内容：电话号码（或传真）、投诉中心负责人和受理答复时间</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（四）演示要求（▲未提供演示的投标无效）</w:t>
      </w: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1.1本项目要求演示，演示内容：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b/>
                <w:bCs/>
                <w:color w:val="auto"/>
                <w:szCs w:val="21"/>
                <w:highlight w:val="none"/>
              </w:rPr>
              <w:t>1、数据中台优化升级</w:t>
            </w:r>
            <w:bookmarkStart w:id="246" w:name="_GoBack"/>
            <w:bookmarkEnd w:id="246"/>
          </w:p>
        </w:tc>
        <w:tc>
          <w:tcPr>
            <w:tcW w:w="7579" w:type="dxa"/>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（1）演示数据指标管理能力，需能按需创建、启用、停用、删除原子指标、派生指标和衍生指标。</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演示派生指标可视化配置过程，可通过配置统计周期、过滤条件、聚合粒度、聚合函数设置，并可按设定指标周期查询数据指标计算数据。</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（2）演示质量检测规则管理，支持设置进行质检的表、字段；支持通过正则表达式自定义数据质量检测规则，</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支持对质检方案的执行周期、预警规则、质检报告发送策略和发送人员进行设置，支持按每日、每周、每月、每年进行质检任务调度。</w:t>
            </w:r>
          </w:p>
          <w:p>
            <w:pPr>
              <w:autoSpaceDE w:val="0"/>
              <w:autoSpaceDN w:val="0"/>
              <w:adjustRightInd w:val="0"/>
              <w:snapToGrid/>
              <w:spacing w:line="240"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（3）演示质量问题预警功能，支持通过问题级别、质检分数设置阈值，通过不同阈值将预警级别分为高、中、低三个级别。</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质检报告发送策略需支持每执行多少次发送一次、预警结果高于或等于某预警级别时、质检分数低于多少分时三种方式，也支持三种方式组合。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b/>
                <w:bCs/>
                <w:color w:val="auto"/>
                <w:szCs w:val="21"/>
                <w:highlight w:val="none"/>
              </w:rPr>
              <w:t>2、交院大脑数据展示</w:t>
            </w:r>
          </w:p>
        </w:tc>
        <w:tc>
          <w:tcPr>
            <w:tcW w:w="7579" w:type="dxa"/>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（1）交院大脑主屏展示，内容需包含●师资队伍分屏、●学生培养分屏、●教育教学分屏、●科研技术分屏、●资产管理分屏，并各板块需</w:t>
            </w:r>
            <w:r>
              <w:rPr>
                <w:rFonts w:hint="eastAsia" w:ascii="宋体" w:hAnsi="宋体" w:eastAsia="宋体" w:cs="宋体"/>
                <w:b/>
                <w:bCs/>
                <w:color w:val="auto"/>
                <w:szCs w:val="21"/>
                <w:highlight w:val="none"/>
              </w:rPr>
              <w:t>结合学校实际情况；</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支持指标项下钻展示详细内容，并能返回主屏。</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师资队伍分屏：教职工的队伍结构；</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教职工进修培训综合展示等情况。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学生培养分屏：招生信息；</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在校学习；社会就业等情况。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教育教学分屏：教学资源；</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专业课程建设；</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教育成果等情况。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科研技术分屏：科研项目情况；科研团队建设；</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科研成果等情况。</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资产管理分屏：资产购置情况；</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资产使用分布等情况</w:t>
            </w:r>
          </w:p>
        </w:tc>
      </w:tr>
    </w:tbl>
    <w:p>
      <w:pPr>
        <w:pStyle w:val="11"/>
        <w:rPr>
          <w:rFonts w:ascii="宋体" w:hAnsi="宋体" w:cs="宋体"/>
          <w:color w:val="auto"/>
          <w:sz w:val="21"/>
          <w:szCs w:val="21"/>
          <w:highlight w:val="none"/>
        </w:rPr>
      </w:pP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1.2 未提供演示，投标无效。</w:t>
      </w: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1.3 演示U盘：</w:t>
      </w: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1.3.1 根据“电子交易/不见面开评标”原则，供应商需将以上软件演示及讲解过程录制视频，演示时长不超过15分钟以.mp4格式存储于U盘。</w:t>
      </w: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1.3.2 演示U盘可以EMS或顺丰邮寄形式在响应文件提交截止时间前递交，演示U盘应当密封包装并在包装上标注演示U盘、项目名称、供应商名称并加盖公章。</w:t>
      </w:r>
    </w:p>
    <w:p>
      <w:pP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宋体"/>
          <w:b/>
          <w:color w:val="auto"/>
          <w:szCs w:val="21"/>
          <w:highlight w:val="none"/>
        </w:rPr>
        <w:t>1.3.3未按采购文件要求提供演示U盘造成评审专家无法正常评审的风险由供应商自行承担。</w:t>
      </w:r>
    </w:p>
    <w:p>
      <w:pPr>
        <w:adjustRightInd w:val="0"/>
        <w:snapToGrid w:val="0"/>
        <w:spacing w:line="288" w:lineRule="auto"/>
        <w:rPr>
          <w:rFonts w:ascii="宋体" w:hAnsi="宋体" w:eastAsia="宋体" w:cs="Times New Roman"/>
          <w:b/>
          <w:bCs/>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本招标文件适用于浙江交通职业技术学院校园大脑(一期)项目的招标、评标、定标、验收、合同履约、付款等（法律、法规另有规定的，从其规定）。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w:t>
            </w:r>
            <w:r>
              <w:rPr>
                <w:rFonts w:ascii="宋体" w:hAnsi="宋体" w:eastAsia="宋体"/>
                <w:color w:val="auto"/>
                <w:szCs w:val="21"/>
                <w:highlight w:val="none"/>
              </w:rPr>
              <w:t>（含）以后任意一月）</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1.05（不足3000元按3000元计）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0.56</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outlineLvl w:val="2"/>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可以分包履行的（非主体、非关键性的工作）具体内容、金额或者比例：功能需求中</w:t>
            </w:r>
            <w:r>
              <w:rPr>
                <w:rFonts w:hint="eastAsia" w:ascii="宋体" w:hAnsi="宋体" w:eastAsia="宋体" w:cs="宋体"/>
                <w:b/>
                <w:bCs/>
                <w:iCs/>
                <w:color w:val="auto"/>
                <w:szCs w:val="21"/>
                <w:highlight w:val="none"/>
              </w:rPr>
              <w:t>1、短信及SSL证书采购需求和2、数据中台优化升级，</w:t>
            </w:r>
            <w:r>
              <w:rPr>
                <w:rFonts w:hint="eastAsia" w:ascii="宋体" w:hAnsi="宋体" w:eastAsia="宋体"/>
                <w:color w:val="auto"/>
                <w:szCs w:val="21"/>
                <w:highlight w:val="none"/>
              </w:rPr>
              <w:t>允许占比不超过总额30%</w:t>
            </w:r>
            <w:r>
              <w:rPr>
                <w:rFonts w:ascii="宋体" w:hAnsi="宋体" w:eastAsia="宋体"/>
                <w:color w:val="auto"/>
                <w:szCs w:val="21"/>
                <w:highlight w:val="none"/>
                <w:u w:val="single"/>
              </w:rPr>
              <w:t xml:space="preserve">  。</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224"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224"/>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本招标文件适用于浙江交通职业技术学院校园大脑(一期)项目的招标、评标、定标、验收、合同履约、付款等（法律、法规另有规定的，从其规定）。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225"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225"/>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56"/>
        <w:gridCol w:w="31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1" w:hRule="atLeast"/>
          <w:jc w:val="center"/>
        </w:trPr>
        <w:tc>
          <w:tcPr>
            <w:tcW w:w="2256"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128"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3" w:hRule="atLeast"/>
          <w:jc w:val="center"/>
        </w:trPr>
        <w:tc>
          <w:tcPr>
            <w:tcW w:w="2256"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3128"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1.05（不足3000元按3000元计）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56"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3128"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0.56</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w:t>
      </w:r>
      <w:r>
        <w:rPr>
          <w:rFonts w:ascii="宋体" w:hAnsi="宋体" w:eastAsia="宋体" w:cs="Times New Roman"/>
          <w:color w:val="auto"/>
          <w:spacing w:val="-6"/>
          <w:szCs w:val="21"/>
          <w:highlight w:val="none"/>
        </w:rPr>
        <w:t>（含）以后任意一月）；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可以分包履行的（非主体、非关键性的工作）具体内容、金额或者比例：功能需求中</w:t>
      </w:r>
      <w:r>
        <w:rPr>
          <w:rFonts w:hint="eastAsia" w:ascii="宋体" w:hAnsi="宋体" w:eastAsia="宋体" w:cs="宋体"/>
          <w:b/>
          <w:bCs/>
          <w:iCs/>
          <w:color w:val="auto"/>
          <w:szCs w:val="21"/>
          <w:highlight w:val="none"/>
        </w:rPr>
        <w:t>1、短信及SSL证书采购需求和2、数据中台优化升级，</w:t>
      </w:r>
      <w:r>
        <w:rPr>
          <w:rFonts w:hint="eastAsia" w:ascii="宋体" w:hAnsi="宋体" w:eastAsia="宋体"/>
          <w:color w:val="auto"/>
          <w:szCs w:val="21"/>
          <w:highlight w:val="none"/>
        </w:rPr>
        <w:t>允许占比不超过总额30%</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226"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226"/>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227" w:name="_Hlk92273111"/>
      <w:bookmarkStart w:id="228"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229" w:name="_Hlk106875293"/>
    </w:p>
    <w:bookmarkEnd w:id="229"/>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227"/>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228"/>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230"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230"/>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231" w:name="_Hlk96329183"/>
      <w:r>
        <w:rPr>
          <w:rFonts w:hint="eastAsia" w:ascii="宋体" w:hAnsi="宋体" w:eastAsia="宋体"/>
          <w:color w:val="auto"/>
          <w:spacing w:val="-6"/>
          <w:szCs w:val="21"/>
          <w:highlight w:val="none"/>
        </w:rPr>
        <w:t>加盖公章</w:t>
      </w:r>
      <w:bookmarkEnd w:id="231"/>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232"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232"/>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4"/>
          <w:rFonts w:hint="eastAsia" w:ascii="宋体" w:hAnsi="宋体" w:eastAsia="宋体"/>
          <w:b/>
          <w:bCs/>
          <w:color w:val="auto"/>
          <w:szCs w:val="21"/>
          <w:highlight w:val="none"/>
        </w:rPr>
        <w:t>https://edu.zcygov.cn/luban/e-biding</w:t>
      </w:r>
      <w:r>
        <w:rPr>
          <w:rStyle w:val="34"/>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233"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233"/>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234" w:name="_Hlk94018682"/>
      <w:r>
        <w:rPr>
          <w:rFonts w:hint="eastAsia" w:ascii="宋体" w:hAnsi="宋体" w:eastAsia="宋体" w:cs="宋体"/>
          <w:color w:val="auto"/>
          <w:szCs w:val="21"/>
          <w:highlight w:val="none"/>
        </w:rPr>
        <w:t>未响应招标文件“▲”标记条款要求的，投标无效。</w:t>
      </w:r>
    </w:p>
    <w:bookmarkEnd w:id="234"/>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235"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35"/>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1"/>
        <w:snapToGrid w:val="0"/>
        <w:spacing w:before="0" w:line="288" w:lineRule="auto"/>
        <w:ind w:left="0" w:firstLine="424" w:firstLineChars="201"/>
        <w:rPr>
          <w:rFonts w:ascii="宋体" w:hAnsi="宋体"/>
          <w:color w:val="auto"/>
          <w:szCs w:val="21"/>
          <w:highlight w:val="none"/>
        </w:rPr>
      </w:pPr>
      <w:bookmarkStart w:id="236"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236"/>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237"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237"/>
    <w:p>
      <w:pPr>
        <w:adjustRightInd w:val="0"/>
        <w:snapToGrid w:val="0"/>
        <w:spacing w:line="288" w:lineRule="auto"/>
        <w:ind w:firstLine="426" w:firstLineChars="202"/>
        <w:rPr>
          <w:rFonts w:ascii="宋体" w:hAnsi="宋体" w:eastAsia="宋体" w:cs="Arial"/>
          <w:b/>
          <w:color w:val="auto"/>
          <w:kern w:val="0"/>
          <w:szCs w:val="21"/>
          <w:highlight w:val="none"/>
        </w:rPr>
      </w:pPr>
      <w:bookmarkStart w:id="238"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b/>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238"/>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p>
      <w:pPr>
        <w:adjustRightInd w:val="0"/>
        <w:snapToGrid w:val="0"/>
        <w:spacing w:line="288" w:lineRule="auto"/>
        <w:jc w:val="left"/>
        <w:rPr>
          <w:rFonts w:ascii="宋体" w:hAnsi="宋体" w:eastAsia="宋体" w:cs="Times New Roman"/>
          <w:b/>
          <w:color w:val="auto"/>
          <w:szCs w:val="21"/>
          <w:highlight w:val="none"/>
        </w:rPr>
      </w:pPr>
    </w:p>
    <w:p>
      <w:pPr>
        <w:adjustRightInd w:val="0"/>
        <w:snapToGrid w:val="0"/>
        <w:spacing w:line="288" w:lineRule="auto"/>
        <w:jc w:val="left"/>
        <w:rPr>
          <w:rFonts w:ascii="宋体" w:hAnsi="宋体" w:eastAsia="宋体" w:cs="Times New Roman"/>
          <w:b/>
          <w:color w:val="auto"/>
          <w:szCs w:val="21"/>
          <w:highlight w:val="none"/>
        </w:rPr>
      </w:pPr>
    </w:p>
    <w:tbl>
      <w:tblPr>
        <w:tblStyle w:val="27"/>
        <w:tblW w:w="4995" w:type="pct"/>
        <w:tblInd w:w="0" w:type="dxa"/>
        <w:tblLayout w:type="autofit"/>
        <w:tblCellMar>
          <w:top w:w="0" w:type="dxa"/>
          <w:left w:w="30" w:type="dxa"/>
          <w:bottom w:w="0" w:type="dxa"/>
          <w:right w:w="30" w:type="dxa"/>
        </w:tblCellMar>
      </w:tblPr>
      <w:tblGrid>
        <w:gridCol w:w="1595"/>
        <w:gridCol w:w="572"/>
        <w:gridCol w:w="7296"/>
      </w:tblGrid>
      <w:tr>
        <w:tblPrEx>
          <w:tblCellMar>
            <w:top w:w="0" w:type="dxa"/>
            <w:left w:w="30" w:type="dxa"/>
            <w:bottom w:w="0" w:type="dxa"/>
            <w:right w:w="30" w:type="dxa"/>
          </w:tblCellMar>
        </w:tblPrEx>
        <w:trPr>
          <w:trHeight w:val="250" w:hRule="atLeast"/>
        </w:trPr>
        <w:tc>
          <w:tcPr>
            <w:tcW w:w="84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30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385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tblPrEx>
          <w:tblCellMar>
            <w:top w:w="0" w:type="dxa"/>
            <w:left w:w="30" w:type="dxa"/>
            <w:bottom w:w="0" w:type="dxa"/>
            <w:right w:w="30" w:type="dxa"/>
          </w:tblCellMar>
        </w:tblPrEx>
        <w:trPr>
          <w:trHeight w:val="250" w:hRule="atLeast"/>
        </w:trPr>
        <w:tc>
          <w:tcPr>
            <w:tcW w:w="5000"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价格分（10）</w:t>
            </w:r>
          </w:p>
        </w:tc>
      </w:tr>
      <w:tr>
        <w:tblPrEx>
          <w:tblCellMar>
            <w:top w:w="0" w:type="dxa"/>
            <w:left w:w="30" w:type="dxa"/>
            <w:bottom w:w="0" w:type="dxa"/>
            <w:right w:w="30" w:type="dxa"/>
          </w:tblCellMar>
        </w:tblPrEx>
        <w:trPr>
          <w:trHeight w:val="394" w:hRule="atLeast"/>
        </w:trPr>
        <w:tc>
          <w:tcPr>
            <w:tcW w:w="84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30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385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价格分=（评标基准价/投标报价）×10%×100</w:t>
            </w:r>
          </w:p>
        </w:tc>
      </w:tr>
      <w:tr>
        <w:tblPrEx>
          <w:tblCellMar>
            <w:top w:w="0" w:type="dxa"/>
            <w:left w:w="30" w:type="dxa"/>
            <w:bottom w:w="0" w:type="dxa"/>
            <w:right w:w="30" w:type="dxa"/>
          </w:tblCellMar>
        </w:tblPrEx>
        <w:trPr>
          <w:trHeight w:val="394" w:hRule="atLeast"/>
        </w:trPr>
        <w:tc>
          <w:tcPr>
            <w:tcW w:w="5000"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商务分（4）</w:t>
            </w:r>
          </w:p>
        </w:tc>
      </w:tr>
      <w:tr>
        <w:tblPrEx>
          <w:tblCellMar>
            <w:top w:w="0" w:type="dxa"/>
            <w:left w:w="30" w:type="dxa"/>
            <w:bottom w:w="0" w:type="dxa"/>
            <w:right w:w="30" w:type="dxa"/>
          </w:tblCellMar>
        </w:tblPrEx>
        <w:trPr>
          <w:trHeight w:val="250" w:hRule="atLeast"/>
        </w:trPr>
        <w:tc>
          <w:tcPr>
            <w:tcW w:w="843"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企业资质</w:t>
            </w:r>
          </w:p>
        </w:tc>
        <w:tc>
          <w:tcPr>
            <w:tcW w:w="302"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3855" w:type="pct"/>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1.投标人具备 ISO9001 系列质量管理体系认证证书得1分，不提供不得分。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2.投标人具备ISO20000信息技术服务管理体系认证证书得1分，不提供不得分。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3.投标人具备 ISO27001 (GB/T 22080)信息安全管理体系得1分，不提供不得分。</w:t>
            </w:r>
          </w:p>
        </w:tc>
      </w:tr>
      <w:tr>
        <w:tblPrEx>
          <w:tblCellMar>
            <w:top w:w="0" w:type="dxa"/>
            <w:left w:w="30" w:type="dxa"/>
            <w:bottom w:w="0" w:type="dxa"/>
            <w:right w:w="30" w:type="dxa"/>
          </w:tblCellMar>
        </w:tblPrEx>
        <w:trPr>
          <w:trHeight w:val="250" w:hRule="atLeast"/>
        </w:trPr>
        <w:tc>
          <w:tcPr>
            <w:tcW w:w="843" w:type="pct"/>
            <w:tcBorders>
              <w:top w:val="single" w:color="auto" w:sz="4" w:space="0"/>
              <w:left w:val="single" w:color="auto" w:sz="6" w:space="0"/>
              <w:bottom w:val="single" w:color="auto" w:sz="6"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业绩能力</w:t>
            </w:r>
          </w:p>
        </w:tc>
        <w:tc>
          <w:tcPr>
            <w:tcW w:w="302" w:type="pct"/>
            <w:tcBorders>
              <w:top w:val="single" w:color="auto" w:sz="4" w:space="0"/>
              <w:left w:val="single" w:color="auto" w:sz="4" w:space="0"/>
              <w:bottom w:val="single" w:color="auto" w:sz="6" w:space="0"/>
              <w:right w:val="single" w:color="auto" w:sz="6"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3855" w:type="pct"/>
            <w:tcBorders>
              <w:top w:val="single" w:color="auto" w:sz="4"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投标人2021年1月1日至今同类项目业绩，每提供1个采购合同得1分，最高1分（提供采购合同复印件并加盖公章）</w:t>
            </w:r>
          </w:p>
        </w:tc>
      </w:tr>
      <w:tr>
        <w:tblPrEx>
          <w:tblCellMar>
            <w:top w:w="0" w:type="dxa"/>
            <w:left w:w="30" w:type="dxa"/>
            <w:bottom w:w="0" w:type="dxa"/>
            <w:right w:w="30" w:type="dxa"/>
          </w:tblCellMar>
        </w:tblPrEx>
        <w:trPr>
          <w:trHeight w:val="250" w:hRule="atLeast"/>
        </w:trPr>
        <w:tc>
          <w:tcPr>
            <w:tcW w:w="843" w:type="pct"/>
            <w:tcBorders>
              <w:left w:val="single" w:color="auto" w:sz="6" w:space="0"/>
              <w:bottom w:val="single" w:color="auto" w:sz="6" w:space="0"/>
              <w:right w:val="single" w:color="auto" w:sz="4" w:space="0"/>
            </w:tcBorders>
            <w:shd w:val="clear" w:color="auto" w:fill="auto"/>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技术分（86）</w:t>
            </w:r>
          </w:p>
        </w:tc>
        <w:tc>
          <w:tcPr>
            <w:tcW w:w="4157" w:type="pct"/>
            <w:gridSpan w:val="2"/>
            <w:tcBorders>
              <w:left w:val="single" w:color="auto" w:sz="4" w:space="0"/>
              <w:bottom w:val="single" w:color="auto" w:sz="6" w:space="0"/>
              <w:right w:val="single" w:color="auto" w:sz="6" w:space="0"/>
            </w:tcBorders>
            <w:shd w:val="clear" w:color="auto" w:fill="auto"/>
            <w:vAlign w:val="center"/>
          </w:tcPr>
          <w:p>
            <w:pPr>
              <w:adjustRightInd w:val="0"/>
              <w:snapToGrid w:val="0"/>
              <w:spacing w:line="288" w:lineRule="auto"/>
              <w:rPr>
                <w:rFonts w:ascii="宋体" w:hAnsi="宋体" w:eastAsia="宋体" w:cs="宋体"/>
                <w:b/>
                <w:bCs/>
                <w:color w:val="auto"/>
                <w:szCs w:val="21"/>
                <w:highlight w:val="none"/>
              </w:rPr>
            </w:pPr>
          </w:p>
        </w:tc>
      </w:tr>
      <w:tr>
        <w:tblPrEx>
          <w:tblCellMar>
            <w:top w:w="0" w:type="dxa"/>
            <w:left w:w="30" w:type="dxa"/>
            <w:bottom w:w="0" w:type="dxa"/>
            <w:right w:w="30" w:type="dxa"/>
          </w:tblCellMar>
        </w:tblPrEx>
        <w:trPr>
          <w:trHeight w:val="1037"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技术响应程度</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30</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snapToGrid/>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utoSpaceDE/>
              <w:autoSpaceDN/>
              <w:adjustRightInd/>
              <w:snapToGrid/>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技术要求中标注“★”条款的为核心技术要求，技术条款低于核心技术要求（负偏离）的每项扣2分，其余技术条款低于技术要求（负偏离）的每项扣1分，技术要求负偏离15项及以上的，视为采购人不能接受的附加条件。</w:t>
            </w:r>
          </w:p>
        </w:tc>
      </w:tr>
      <w:tr>
        <w:tblPrEx>
          <w:tblCellMar>
            <w:top w:w="0" w:type="dxa"/>
            <w:left w:w="30" w:type="dxa"/>
            <w:bottom w:w="0" w:type="dxa"/>
            <w:right w:w="30" w:type="dxa"/>
          </w:tblCellMar>
        </w:tblPrEx>
        <w:trPr>
          <w:trHeight w:val="1037" w:hRule="atLeast"/>
        </w:trPr>
        <w:tc>
          <w:tcPr>
            <w:tcW w:w="84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服务团队</w:t>
            </w:r>
          </w:p>
        </w:tc>
        <w:tc>
          <w:tcPr>
            <w:tcW w:w="30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1、项目经理同时具备高级工程师（及以上职称）任职资格证书、高级信息系统项目管理师证书的每项得1分，总分为2分。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2、项目技术负责人同时具备中级工程师（及以上职称）任职资格证书、高级信息系统项目管理师证书的每项得1分，总分为2分。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3、项目组成员中具有高级工程师及以上职称的，每提供一个得1分，最多得4分。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(注：上述各项人员不重复得分，须提供证书复印件和连续近三个月单位社保缴纳证明材料)</w:t>
            </w:r>
          </w:p>
        </w:tc>
      </w:tr>
      <w:tr>
        <w:tblPrEx>
          <w:tblCellMar>
            <w:top w:w="0" w:type="dxa"/>
            <w:left w:w="30" w:type="dxa"/>
            <w:bottom w:w="0" w:type="dxa"/>
            <w:right w:w="30" w:type="dxa"/>
          </w:tblCellMar>
        </w:tblPrEx>
        <w:trPr>
          <w:trHeight w:val="748"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现状了解程度</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对学校现有信息化系统现状的了解程度。本项最高</w:t>
            </w:r>
            <w:r>
              <w:rPr>
                <w:rFonts w:ascii="宋体" w:hAnsi="宋体" w:eastAsia="宋体" w:cs="宋体"/>
                <w:color w:val="auto"/>
                <w:szCs w:val="21"/>
                <w:highlight w:val="none"/>
              </w:rPr>
              <w:t>5分（评分范围：5,4,3,2,1,0）</w:t>
            </w:r>
          </w:p>
        </w:tc>
      </w:tr>
      <w:tr>
        <w:tblPrEx>
          <w:tblCellMar>
            <w:top w:w="0" w:type="dxa"/>
            <w:left w:w="30" w:type="dxa"/>
            <w:bottom w:w="0" w:type="dxa"/>
            <w:right w:w="30" w:type="dxa"/>
          </w:tblCellMar>
        </w:tblPrEx>
        <w:trPr>
          <w:trHeight w:val="1236"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项目建设方案</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ascii="宋体" w:hAnsi="宋体" w:eastAsia="宋体" w:cs="宋体"/>
                <w:b/>
                <w:color w:val="auto"/>
                <w:szCs w:val="21"/>
                <w:highlight w:val="none"/>
              </w:rPr>
              <w:t>10</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提供针对本项目建设方案，依据技术服务方案中①系统重点难点分析、②技术架构、③安全性、④建设内容、⑤建设效果等。本项最高</w:t>
            </w:r>
            <w:r>
              <w:rPr>
                <w:rFonts w:ascii="宋体" w:hAnsi="宋体" w:eastAsia="宋体" w:cs="宋体"/>
                <w:color w:val="auto"/>
                <w:szCs w:val="21"/>
                <w:highlight w:val="none"/>
              </w:rPr>
              <w:t>10分，每项不满足扣2分。（每项评分范围：2,1,0）</w:t>
            </w:r>
          </w:p>
        </w:tc>
      </w:tr>
      <w:tr>
        <w:tblPrEx>
          <w:tblCellMar>
            <w:top w:w="0" w:type="dxa"/>
            <w:left w:w="30" w:type="dxa"/>
            <w:bottom w:w="0" w:type="dxa"/>
            <w:right w:w="30" w:type="dxa"/>
          </w:tblCellMar>
        </w:tblPrEx>
        <w:trPr>
          <w:trHeight w:val="955"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系统部署方案</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现有系统需要部署在学校本地机房，提供详细的系统部署方案。（评分范围：5,4,3,2,1,0）</w:t>
            </w:r>
          </w:p>
        </w:tc>
      </w:tr>
      <w:tr>
        <w:tblPrEx>
          <w:tblCellMar>
            <w:top w:w="0" w:type="dxa"/>
            <w:left w:w="30" w:type="dxa"/>
            <w:bottom w:w="0" w:type="dxa"/>
            <w:right w:w="30" w:type="dxa"/>
          </w:tblCellMar>
        </w:tblPrEx>
        <w:trPr>
          <w:trHeight w:val="930" w:hRule="atLeast"/>
        </w:trPr>
        <w:tc>
          <w:tcPr>
            <w:tcW w:w="843"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实施方案</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针对本项目提供项目总体实施方案、进度保障方案，方案详细，安排情况（评分范围：5,4,3,2,1,0）</w:t>
            </w:r>
          </w:p>
        </w:tc>
      </w:tr>
      <w:tr>
        <w:tblPrEx>
          <w:tblCellMar>
            <w:top w:w="0" w:type="dxa"/>
            <w:left w:w="30" w:type="dxa"/>
            <w:bottom w:w="0" w:type="dxa"/>
            <w:right w:w="30" w:type="dxa"/>
          </w:tblCellMar>
        </w:tblPrEx>
        <w:trPr>
          <w:trHeight w:val="907" w:hRule="atLeast"/>
        </w:trPr>
        <w:tc>
          <w:tcPr>
            <w:tcW w:w="843" w:type="pct"/>
            <w:vMerge w:val="continue"/>
            <w:tcBorders>
              <w:left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针对本项目提供项目系统建设关键节点工作安排合理，有措施完善的项目管理计划与项目进度控制，方案详细，安排情况（评分范围：5,4,3,2,1,0）</w:t>
            </w:r>
          </w:p>
        </w:tc>
      </w:tr>
      <w:tr>
        <w:tblPrEx>
          <w:tblCellMar>
            <w:top w:w="0" w:type="dxa"/>
            <w:left w:w="30" w:type="dxa"/>
            <w:bottom w:w="0" w:type="dxa"/>
            <w:right w:w="30" w:type="dxa"/>
          </w:tblCellMar>
        </w:tblPrEx>
        <w:trPr>
          <w:trHeight w:val="683" w:hRule="atLeast"/>
        </w:trPr>
        <w:tc>
          <w:tcPr>
            <w:tcW w:w="843"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3855" w:type="pct"/>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提供质量保证措施和进度保障措施。（评分范围：3,</w:t>
            </w:r>
            <w:r>
              <w:rPr>
                <w:rFonts w:ascii="宋体" w:hAnsi="宋体" w:eastAsia="宋体" w:cs="宋体"/>
                <w:color w:val="auto"/>
                <w:szCs w:val="21"/>
                <w:highlight w:val="none"/>
              </w:rPr>
              <w:t>2,1,0）</w:t>
            </w:r>
          </w:p>
        </w:tc>
      </w:tr>
      <w:tr>
        <w:tblPrEx>
          <w:tblCellMar>
            <w:top w:w="0" w:type="dxa"/>
            <w:left w:w="30" w:type="dxa"/>
            <w:bottom w:w="0" w:type="dxa"/>
            <w:right w:w="30" w:type="dxa"/>
          </w:tblCellMar>
        </w:tblPrEx>
        <w:trPr>
          <w:trHeight w:val="787"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培训方案</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提供符合本项目的培训计划、培训内容、培训管理等方案，需提供培训课件等，培训次数不少于2次。（评分范围：5,4,3,2,1,0）</w:t>
            </w:r>
          </w:p>
        </w:tc>
      </w:tr>
      <w:tr>
        <w:tblPrEx>
          <w:tblCellMar>
            <w:top w:w="0" w:type="dxa"/>
            <w:left w:w="30" w:type="dxa"/>
            <w:bottom w:w="0" w:type="dxa"/>
            <w:right w:w="30" w:type="dxa"/>
          </w:tblCellMar>
        </w:tblPrEx>
        <w:trPr>
          <w:trHeight w:val="1181"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售后服务</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提供完善的运维服务体系，具体要求如下：</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提供详细的售后服务方案，能够提供的售后运维运营服务流程，含服务受理、服务流转、工程师安排等，具有专门服务管理职能人员进行统一协调管理与推进。（评分范围：5,4,3,2,1,0）</w:t>
            </w:r>
          </w:p>
        </w:tc>
      </w:tr>
      <w:tr>
        <w:tblPrEx>
          <w:tblCellMar>
            <w:top w:w="0" w:type="dxa"/>
            <w:left w:w="30" w:type="dxa"/>
            <w:bottom w:w="0" w:type="dxa"/>
            <w:right w:w="30" w:type="dxa"/>
          </w:tblCellMar>
        </w:tblPrEx>
        <w:trPr>
          <w:trHeight w:val="909" w:hRule="atLeast"/>
        </w:trPr>
        <w:tc>
          <w:tcPr>
            <w:tcW w:w="84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系统演示</w:t>
            </w:r>
          </w:p>
        </w:tc>
        <w:tc>
          <w:tcPr>
            <w:tcW w:w="30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385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投标人将以下演示内容录制成视频，以介质（U盘）存储的数据电文形式提供给评标专家进行评审打分（注：</w:t>
            </w:r>
            <w:r>
              <w:rPr>
                <w:rFonts w:ascii="宋体" w:hAnsi="宋体" w:eastAsia="宋体" w:cs="宋体"/>
                <w:color w:val="auto"/>
                <w:szCs w:val="21"/>
                <w:highlight w:val="none"/>
              </w:rPr>
              <w:t>必须以系统的方式演示，以PPT等方式讲解不得分</w:t>
            </w:r>
            <w:r>
              <w:rPr>
                <w:rFonts w:hint="eastAsia" w:ascii="宋体" w:hAnsi="宋体" w:eastAsia="宋体" w:cs="宋体"/>
                <w:color w:val="auto"/>
                <w:szCs w:val="21"/>
                <w:highlight w:val="none"/>
              </w:rPr>
              <w:t>，视频录制讲解时间为15分钟左右）。</w:t>
            </w:r>
          </w:p>
          <w:p>
            <w:pPr>
              <w:autoSpaceDE w:val="0"/>
              <w:autoSpaceDN w:val="0"/>
              <w:adjustRightInd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1、数据中台优化升级（每项1分，共计3分；注：关键项</w:t>
            </w:r>
            <w:r>
              <w:rPr>
                <w:rFonts w:hint="eastAsia" w:ascii="宋体" w:hAnsi="宋体" w:eastAsia="宋体" w:cs="宋体"/>
                <w:color w:val="auto"/>
                <w:szCs w:val="21"/>
                <w:highlight w:val="none"/>
              </w:rPr>
              <w:sym w:font="Wingdings 2" w:char="F0EA"/>
            </w:r>
            <w:r>
              <w:rPr>
                <w:rFonts w:hint="eastAsia" w:ascii="宋体" w:hAnsi="宋体" w:eastAsia="宋体" w:cs="宋体"/>
                <w:b/>
                <w:bCs/>
                <w:color w:val="auto"/>
                <w:szCs w:val="21"/>
                <w:highlight w:val="none"/>
              </w:rPr>
              <w:t>不能演示或不满足扣1分）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（1）演示数据指标管理能力，需能按需创建、启用、停用、删除原子指标、派生指标和衍生指标。</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演示派生指标可视化配置过程，可通过配置统计周期、过滤条件、聚合粒度、聚合函数设置，并可按设定指标周期查询数据指标计算数据。</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（2）演示质量检测规则管理，支持设置进行质检的表、字段；支持通过正则表达式自定义数据质量检测规则，</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支持对质检方案的执行周期、预警规则、质检报告发送策略和发送人员进行设置，支持按每日、每周、每月、每年进行质检任务调度。</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（3）演示质量问题预警功能，支持通过问题级别、质检分数设置阈值，通过不同阈值将预警级别分为高、中、低三个级别。</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质检报告发送策略需支持每执行多少次发送一次、预警结果高于或等于某预警级别时、质检分数低于多少分时三种方式，也支持三种方式组合。</w:t>
            </w:r>
          </w:p>
          <w:p>
            <w:pPr>
              <w:autoSpaceDE w:val="0"/>
              <w:autoSpaceDN w:val="0"/>
              <w:adjustRightInd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2、交院大脑数据展示（共计2分；注：关键项</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不能演示或不满足扣0.4分；关键项</w:t>
            </w:r>
            <w:r>
              <w:rPr>
                <w:rFonts w:hint="eastAsia" w:ascii="宋体" w:hAnsi="宋体" w:eastAsia="宋体" w:cs="宋体"/>
                <w:b/>
                <w:bCs/>
                <w:color w:val="auto"/>
                <w:szCs w:val="21"/>
                <w:highlight w:val="none"/>
              </w:rPr>
              <w:sym w:font="Wingdings 2" w:char="F0EA"/>
            </w:r>
            <w:r>
              <w:rPr>
                <w:rFonts w:hint="eastAsia" w:ascii="宋体" w:hAnsi="宋体" w:eastAsia="宋体" w:cs="宋体"/>
                <w:b/>
                <w:bCs/>
                <w:color w:val="auto"/>
                <w:szCs w:val="21"/>
                <w:highlight w:val="none"/>
              </w:rPr>
              <w:t>不能演示或不满足扣0.4分）</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（1）交院大脑主屏展示，内容需包含●师资队伍分屏、●学生培养分屏、●教育教学分屏、●科研技术分屏、●资产管理分屏，并各板块需</w:t>
            </w:r>
            <w:r>
              <w:rPr>
                <w:rFonts w:hint="eastAsia" w:ascii="宋体" w:hAnsi="宋体" w:eastAsia="宋体" w:cs="宋体"/>
                <w:b/>
                <w:bCs/>
                <w:color w:val="auto"/>
                <w:szCs w:val="21"/>
                <w:highlight w:val="none"/>
              </w:rPr>
              <w:t>结合学校实际情况；</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支持指标项下钻展示详细内容，并能返回主屏。</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师资队伍分屏：教职工的队伍结构；</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教职工进修培训综合展示等情况。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学生培养分屏：招生信息；</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在校学习；社会就业等情况。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教育教学分屏：教学资源；</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专业课程建设；</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教育成果等情况。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科研技术分屏：科研项目情况；科研团队建设；</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科研成果等情况。</w:t>
            </w:r>
          </w:p>
          <w:p>
            <w:pPr>
              <w:autoSpaceDE w:val="0"/>
              <w:autoSpaceDN w:val="0"/>
              <w:adjustRightInd w:val="0"/>
              <w:rPr>
                <w:rFonts w:ascii="宋体" w:hAnsi="宋体" w:eastAsia="宋体" w:cs="宋体"/>
                <w:color w:val="auto"/>
                <w:szCs w:val="21"/>
                <w:highlight w:val="none"/>
              </w:rPr>
            </w:pPr>
            <w:r>
              <w:rPr>
                <w:rFonts w:hint="eastAsia" w:ascii="宋体" w:hAnsi="宋体" w:eastAsia="宋体" w:cs="宋体"/>
                <w:color w:val="auto"/>
                <w:szCs w:val="21"/>
                <w:highlight w:val="none"/>
              </w:rPr>
              <w:t>资产管理分屏：资产购置情况；</w:t>
            </w:r>
            <w:r>
              <w:rPr>
                <w:rFonts w:hint="eastAsia" w:ascii="宋体" w:hAnsi="宋体" w:eastAsia="宋体" w:cs="宋体"/>
                <w:color w:val="auto"/>
                <w:szCs w:val="21"/>
                <w:highlight w:val="none"/>
              </w:rPr>
              <w:sym w:font="Wingdings 2" w:char="F0EA"/>
            </w:r>
            <w:r>
              <w:rPr>
                <w:rFonts w:hint="eastAsia" w:ascii="宋体" w:hAnsi="宋体" w:eastAsia="宋体" w:cs="宋体"/>
                <w:color w:val="auto"/>
                <w:szCs w:val="21"/>
                <w:highlight w:val="none"/>
              </w:rPr>
              <w:t>资产使用分布等情况</w:t>
            </w:r>
          </w:p>
        </w:tc>
      </w:tr>
    </w:tbl>
    <w:p>
      <w:pPr>
        <w:adjustRightInd w:val="0"/>
        <w:snapToGrid w:val="0"/>
        <w:spacing w:line="288" w:lineRule="auto"/>
        <w:jc w:val="left"/>
        <w:rPr>
          <w:rFonts w:ascii="宋体" w:hAnsi="宋体" w:eastAsia="宋体" w:cs="Times New Roman"/>
          <w:b/>
          <w:color w:val="auto"/>
          <w:szCs w:val="21"/>
          <w:highlight w:val="none"/>
        </w:rPr>
      </w:pP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对符合规定的小微企业报价给予10%的扣除后计算价格得分。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239" w:name="_Hlk81817373"/>
      <w:bookmarkStart w:id="240"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239"/>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240"/>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项目名称：校园大脑(一期)项目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项目编号：QSZB-Z(F)-C24100(GK)</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甲方（需方）：浙江交通职业技术学院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浙江交通职业技术学院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校园大脑(一期)项目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（QSZB-Z(F)-C24100(GK)）</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w:t>
      </w:r>
      <w:r>
        <w:rPr>
          <w:rFonts w:ascii="宋体" w:hAnsi="宋体" w:eastAsia="宋体"/>
          <w:b/>
          <w:color w:val="auto"/>
          <w:szCs w:val="21"/>
          <w:highlight w:val="none"/>
        </w:rPr>
        <w:t>服务内容和要求</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p>
    <w:p>
      <w:pPr>
        <w:snapToGrid w:val="0"/>
        <w:spacing w:line="288" w:lineRule="auto"/>
        <w:ind w:firstLine="420" w:firstLineChars="200"/>
        <w:rPr>
          <w:rFonts w:ascii="宋体" w:hAnsi="宋体" w:eastAsia="宋体" w:cs="宋体"/>
          <w:color w:val="auto"/>
          <w:spacing w:val="-6"/>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p>
    <w:p>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第二条：合同履行时间、履行地点和合同金额</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1.履行时间：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2.履行地点：</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3.本合同金额为（大写）：</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元）人民币。本合同的价款为含税价。</w:t>
      </w:r>
    </w:p>
    <w:p>
      <w:pPr>
        <w:spacing w:line="288" w:lineRule="auto"/>
        <w:ind w:firstLine="398" w:firstLineChars="200"/>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第三条：</w:t>
      </w:r>
      <w:r>
        <w:rPr>
          <w:rFonts w:ascii="宋体" w:hAnsi="宋体" w:eastAsia="宋体"/>
          <w:b/>
          <w:color w:val="auto"/>
          <w:szCs w:val="21"/>
          <w:highlight w:val="none"/>
        </w:rPr>
        <w:t>技术资料</w:t>
      </w:r>
    </w:p>
    <w:p>
      <w:pPr>
        <w:snapToGrid w:val="0"/>
        <w:spacing w:line="288"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w:t>
      </w:r>
      <w:r>
        <w:rPr>
          <w:rFonts w:ascii="宋体" w:hAnsi="宋体" w:eastAsia="宋体"/>
          <w:color w:val="auto"/>
          <w:szCs w:val="21"/>
          <w:highlight w:val="none"/>
        </w:rPr>
        <w:t>乙方应按</w:t>
      </w:r>
      <w:r>
        <w:rPr>
          <w:rFonts w:hint="eastAsia" w:ascii="宋体" w:hAnsi="宋体" w:eastAsia="宋体"/>
          <w:color w:val="auto"/>
          <w:szCs w:val="21"/>
          <w:highlight w:val="none"/>
        </w:rPr>
        <w:t>招标文件</w:t>
      </w:r>
      <w:r>
        <w:rPr>
          <w:rFonts w:ascii="宋体" w:hAnsi="宋体" w:eastAsia="宋体"/>
          <w:color w:val="auto"/>
          <w:szCs w:val="21"/>
          <w:highlight w:val="none"/>
        </w:rPr>
        <w:t>规定的时间向甲方提供有关技术资料。</w:t>
      </w:r>
    </w:p>
    <w:p>
      <w:pPr>
        <w:snapToGrid w:val="0"/>
        <w:spacing w:line="288"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.未经</w:t>
      </w:r>
      <w:r>
        <w:rPr>
          <w:rFonts w:ascii="宋体" w:hAnsi="宋体" w:eastAsia="宋体"/>
          <w:color w:val="auto"/>
          <w:szCs w:val="21"/>
          <w:highlight w:val="none"/>
        </w:rPr>
        <w:t>甲方事先书面同意，乙方不得将</w:t>
      </w:r>
      <w:r>
        <w:rPr>
          <w:rFonts w:hint="eastAsia" w:ascii="宋体" w:hAnsi="宋体" w:eastAsia="宋体"/>
          <w:color w:val="auto"/>
          <w:szCs w:val="21"/>
          <w:highlight w:val="none"/>
        </w:rPr>
        <w:t>与本合同及有关的</w:t>
      </w:r>
      <w:r>
        <w:rPr>
          <w:rFonts w:ascii="宋体" w:hAnsi="宋体" w:eastAsia="宋体"/>
          <w:color w:val="auto"/>
          <w:szCs w:val="21"/>
          <w:highlight w:val="none"/>
        </w:rPr>
        <w:t>任何合同条文、规格、计划、图纸、样品或资料提供给</w:t>
      </w:r>
      <w:r>
        <w:rPr>
          <w:rFonts w:hint="eastAsia" w:ascii="宋体" w:hAnsi="宋体" w:eastAsia="宋体"/>
          <w:color w:val="auto"/>
          <w:szCs w:val="21"/>
          <w:highlight w:val="none"/>
        </w:rPr>
        <w:t>任何第三方</w:t>
      </w:r>
      <w:r>
        <w:rPr>
          <w:rFonts w:ascii="宋体" w:hAnsi="宋体" w:eastAsia="宋体"/>
          <w:color w:val="auto"/>
          <w:szCs w:val="21"/>
          <w:highlight w:val="none"/>
        </w:rPr>
        <w:t>。即使向履行本合同有关的人员提供，也应注意保密并限于履行合同的必需范围。</w:t>
      </w:r>
    </w:p>
    <w:p>
      <w:pPr>
        <w:snapToGrid w:val="0"/>
        <w:spacing w:line="288" w:lineRule="auto"/>
        <w:ind w:firstLine="420" w:firstLineChars="200"/>
        <w:rPr>
          <w:rFonts w:ascii="宋体" w:hAnsi="宋体" w:eastAsia="宋体"/>
          <w:bCs/>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乙方应保证提供服务过程中不会侵犯任何第三方的知识产权</w:t>
      </w:r>
      <w:r>
        <w:rPr>
          <w:rFonts w:hint="eastAsia" w:ascii="宋体" w:hAnsi="宋体" w:eastAsia="宋体"/>
          <w:bCs/>
          <w:color w:val="auto"/>
          <w:szCs w:val="21"/>
          <w:highlight w:val="none"/>
        </w:rPr>
        <w:t>，否则甲方有权解除本合同，拒绝支付合同价款，并要求乙方赔偿所有损失。</w:t>
      </w:r>
    </w:p>
    <w:p>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第四条：</w:t>
      </w:r>
      <w:r>
        <w:rPr>
          <w:rFonts w:hint="eastAsia" w:ascii="宋体" w:hAnsi="宋体" w:eastAsia="宋体"/>
          <w:b/>
          <w:color w:val="auto"/>
          <w:szCs w:val="21"/>
          <w:highlight w:val="none"/>
        </w:rPr>
        <w:t>转包或分包</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1.本合同范围的服务，应由</w:t>
      </w:r>
      <w:r>
        <w:rPr>
          <w:rFonts w:ascii="宋体" w:hAnsi="宋体" w:eastAsia="宋体"/>
          <w:color w:val="auto"/>
          <w:szCs w:val="21"/>
          <w:highlight w:val="none"/>
        </w:rPr>
        <w:t>乙</w:t>
      </w:r>
      <w:r>
        <w:rPr>
          <w:rFonts w:hint="eastAsia" w:ascii="宋体" w:hAnsi="宋体" w:eastAsia="宋体"/>
          <w:color w:val="auto"/>
          <w:szCs w:val="21"/>
          <w:highlight w:val="none"/>
        </w:rPr>
        <w:t>方直接完成，不得转让给任何第三方；</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2.除非得到甲方的书面同意，</w:t>
      </w:r>
      <w:r>
        <w:rPr>
          <w:rFonts w:ascii="宋体" w:hAnsi="宋体" w:eastAsia="宋体"/>
          <w:color w:val="auto"/>
          <w:szCs w:val="21"/>
          <w:highlight w:val="none"/>
        </w:rPr>
        <w:t>乙</w:t>
      </w:r>
      <w:r>
        <w:rPr>
          <w:rFonts w:hint="eastAsia" w:ascii="宋体" w:hAnsi="宋体" w:eastAsia="宋体"/>
          <w:color w:val="auto"/>
          <w:szCs w:val="21"/>
          <w:highlight w:val="none"/>
        </w:rPr>
        <w:t>方不得将本合同范围的服务全部或部分转包分包给任何第三方完成；</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3.乙方转让或转包分包的，甲方有权解除合同和拒付（或要求乙方退还）合同价款，并没收履约保证金和追究乙方的违约责任。</w:t>
      </w:r>
    </w:p>
    <w:p>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第五条：付款支付及履约保证金</w:t>
      </w:r>
    </w:p>
    <w:p>
      <w:pPr>
        <w:spacing w:line="288" w:lineRule="auto"/>
        <w:ind w:firstLine="396" w:firstLineChars="200"/>
        <w:rPr>
          <w:rFonts w:ascii="宋体" w:hAnsi="宋体" w:eastAsia="宋体" w:cs="宋体"/>
          <w:color w:val="auto"/>
          <w:spacing w:val="-6"/>
          <w:szCs w:val="21"/>
          <w:highlight w:val="none"/>
        </w:rPr>
      </w:pPr>
    </w:p>
    <w:p>
      <w:pPr>
        <w:spacing w:line="288" w:lineRule="auto"/>
        <w:ind w:firstLine="396" w:firstLineChars="200"/>
        <w:rPr>
          <w:rFonts w:ascii="宋体" w:hAnsi="宋体" w:eastAsia="宋体" w:cs="宋体"/>
          <w:color w:val="auto"/>
          <w:spacing w:val="-6"/>
          <w:szCs w:val="21"/>
          <w:highlight w:val="none"/>
        </w:rPr>
      </w:pPr>
    </w:p>
    <w:p>
      <w:pPr>
        <w:spacing w:line="288" w:lineRule="auto"/>
        <w:ind w:firstLine="396" w:firstLineChars="200"/>
        <w:rPr>
          <w:rFonts w:ascii="宋体" w:hAnsi="宋体" w:eastAsia="宋体" w:cs="宋体"/>
          <w:color w:val="auto"/>
          <w:spacing w:val="-6"/>
          <w:szCs w:val="21"/>
          <w:highlight w:val="none"/>
        </w:rPr>
      </w:pPr>
    </w:p>
    <w:p>
      <w:pPr>
        <w:spacing w:line="288" w:lineRule="auto"/>
        <w:ind w:firstLine="398" w:firstLineChars="200"/>
        <w:rPr>
          <w:rFonts w:ascii="宋体" w:hAnsi="宋体" w:eastAsia="宋体" w:cs="宋体"/>
          <w:b/>
          <w:color w:val="auto"/>
          <w:spacing w:val="-6"/>
          <w:szCs w:val="21"/>
          <w:highlight w:val="none"/>
        </w:rPr>
      </w:pPr>
    </w:p>
    <w:p>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第六条：</w:t>
      </w:r>
      <w:r>
        <w:rPr>
          <w:rFonts w:ascii="宋体" w:hAnsi="宋体" w:eastAsia="宋体"/>
          <w:b/>
          <w:color w:val="auto"/>
          <w:szCs w:val="21"/>
          <w:highlight w:val="none"/>
        </w:rPr>
        <w:t>质量保证及后续服务</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乙方应按</w:t>
      </w:r>
      <w:r>
        <w:rPr>
          <w:rFonts w:hint="eastAsia" w:ascii="宋体" w:hAnsi="宋体" w:eastAsia="宋体"/>
          <w:color w:val="auto"/>
          <w:szCs w:val="21"/>
          <w:highlight w:val="none"/>
        </w:rPr>
        <w:t>招标文件</w:t>
      </w:r>
      <w:r>
        <w:rPr>
          <w:rFonts w:ascii="宋体" w:hAnsi="宋体" w:eastAsia="宋体"/>
          <w:color w:val="auto"/>
          <w:szCs w:val="21"/>
          <w:highlight w:val="none"/>
        </w:rPr>
        <w:t>规定向甲方提供服务。</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乙方提供的服务成果</w:t>
      </w:r>
      <w:r>
        <w:rPr>
          <w:rFonts w:hint="eastAsia" w:ascii="宋体" w:hAnsi="宋体" w:eastAsia="宋体"/>
          <w:color w:val="auto"/>
          <w:szCs w:val="21"/>
          <w:highlight w:val="none"/>
        </w:rPr>
        <w:t>验收不合格的，或在服务质量保证期内出现问题</w:t>
      </w:r>
      <w:r>
        <w:rPr>
          <w:rFonts w:ascii="宋体" w:hAnsi="宋体" w:eastAsia="宋体"/>
          <w:color w:val="auto"/>
          <w:szCs w:val="21"/>
          <w:highlight w:val="none"/>
        </w:rPr>
        <w:t>，乙方应负责免费提供后续服务。</w:t>
      </w:r>
      <w:r>
        <w:rPr>
          <w:rFonts w:hint="eastAsia" w:ascii="宋体" w:hAnsi="宋体" w:eastAsia="宋体"/>
          <w:color w:val="auto"/>
          <w:szCs w:val="21"/>
          <w:highlight w:val="none"/>
        </w:rPr>
        <w:t>对达不到服务要求的，根据实际情况，甲方有权自行选择以下办法处理：</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重做：由乙方承担所发生的全部费用</w:t>
      </w:r>
      <w:r>
        <w:rPr>
          <w:rFonts w:hint="eastAsia" w:ascii="宋体" w:hAnsi="宋体" w:eastAsia="宋体"/>
          <w:color w:val="auto"/>
          <w:szCs w:val="21"/>
          <w:highlight w:val="none"/>
        </w:rPr>
        <w:t>，并承担所有损失</w:t>
      </w:r>
      <w:r>
        <w:rPr>
          <w:rFonts w:ascii="宋体" w:hAnsi="宋体" w:eastAsia="宋体"/>
          <w:color w:val="auto"/>
          <w:szCs w:val="21"/>
          <w:highlight w:val="none"/>
        </w:rPr>
        <w:t>。</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解除合同</w:t>
      </w:r>
      <w:r>
        <w:rPr>
          <w:rFonts w:hint="eastAsia" w:ascii="宋体" w:hAnsi="宋体" w:eastAsia="宋体"/>
          <w:color w:val="auto"/>
          <w:szCs w:val="21"/>
          <w:highlight w:val="none"/>
        </w:rPr>
        <w:t>：甲方拒付（或要求乙方退还）合同价款</w:t>
      </w:r>
      <w:r>
        <w:rPr>
          <w:rFonts w:ascii="宋体" w:hAnsi="宋体" w:eastAsia="宋体"/>
          <w:color w:val="auto"/>
          <w:szCs w:val="21"/>
          <w:highlight w:val="none"/>
        </w:rPr>
        <w:t>。</w:t>
      </w:r>
    </w:p>
    <w:p>
      <w:pPr>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3.合同履行期限内，</w:t>
      </w:r>
      <w:r>
        <w:rPr>
          <w:rFonts w:ascii="宋体" w:hAnsi="宋体" w:eastAsia="宋体"/>
          <w:color w:val="auto"/>
          <w:szCs w:val="21"/>
          <w:highlight w:val="none"/>
        </w:rPr>
        <w:t>乙方</w:t>
      </w:r>
      <w:r>
        <w:rPr>
          <w:rFonts w:hint="eastAsia" w:ascii="宋体" w:hAnsi="宋体" w:eastAsia="宋体"/>
          <w:color w:val="auto"/>
          <w:szCs w:val="21"/>
          <w:highlight w:val="none"/>
        </w:rPr>
        <w:t>接到</w:t>
      </w:r>
      <w:r>
        <w:rPr>
          <w:rFonts w:ascii="宋体" w:hAnsi="宋体" w:eastAsia="宋体"/>
          <w:color w:val="auto"/>
          <w:szCs w:val="21"/>
          <w:highlight w:val="none"/>
        </w:rPr>
        <w:t>甲方通知后</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小时内到达甲方现场</w:t>
      </w:r>
      <w:r>
        <w:rPr>
          <w:rFonts w:hint="eastAsia" w:ascii="宋体" w:hAnsi="宋体" w:eastAsia="宋体"/>
          <w:color w:val="auto"/>
          <w:szCs w:val="21"/>
          <w:highlight w:val="none"/>
        </w:rPr>
        <w:t>，并在</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小时内</w:t>
      </w:r>
      <w:r>
        <w:rPr>
          <w:rFonts w:hint="eastAsia" w:ascii="宋体" w:hAnsi="宋体" w:eastAsia="宋体"/>
          <w:color w:val="auto"/>
          <w:szCs w:val="21"/>
          <w:highlight w:val="none"/>
        </w:rPr>
        <w:t>排除故障。</w:t>
      </w:r>
    </w:p>
    <w:p>
      <w:pPr>
        <w:spacing w:line="288" w:lineRule="auto"/>
        <w:ind w:firstLine="420" w:firstLineChars="200"/>
        <w:rPr>
          <w:rFonts w:ascii="宋体" w:hAnsi="宋体" w:eastAsia="宋体" w:cs="宋体"/>
          <w:b/>
          <w:color w:val="auto"/>
          <w:spacing w:val="-6"/>
          <w:szCs w:val="21"/>
          <w:highlight w:val="none"/>
        </w:rPr>
      </w:pPr>
      <w:r>
        <w:rPr>
          <w:rFonts w:hint="eastAsia" w:ascii="宋体" w:hAnsi="宋体" w:eastAsia="宋体"/>
          <w:color w:val="auto"/>
          <w:szCs w:val="21"/>
          <w:highlight w:val="none"/>
        </w:rPr>
        <w:t>4.在服务质量保证期内，乙方应对出现的质量及安全问题负责处理解决并承担一切费用。</w:t>
      </w:r>
    </w:p>
    <w:p>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第七条：验收标准</w:t>
      </w:r>
    </w:p>
    <w:p>
      <w:pPr>
        <w:spacing w:line="288" w:lineRule="auto"/>
        <w:ind w:firstLine="396" w:firstLineChars="200"/>
        <w:rPr>
          <w:rFonts w:ascii="宋体" w:hAnsi="宋体" w:eastAsia="宋体" w:cs="宋体"/>
          <w:color w:val="auto"/>
          <w:spacing w:val="-6"/>
          <w:szCs w:val="21"/>
          <w:highlight w:val="none"/>
        </w:rPr>
      </w:pPr>
    </w:p>
    <w:p>
      <w:pPr>
        <w:spacing w:line="288" w:lineRule="auto"/>
        <w:rPr>
          <w:rFonts w:ascii="宋体" w:hAnsi="宋体" w:eastAsia="宋体" w:cs="宋体"/>
          <w:color w:val="auto"/>
          <w:spacing w:val="-6"/>
          <w:szCs w:val="21"/>
          <w:highlight w:val="none"/>
        </w:rPr>
      </w:pPr>
    </w:p>
    <w:p>
      <w:pPr>
        <w:spacing w:line="288" w:lineRule="auto"/>
        <w:rPr>
          <w:rFonts w:ascii="宋体" w:hAnsi="宋体" w:eastAsia="宋体" w:cs="宋体"/>
          <w:color w:val="auto"/>
          <w:spacing w:val="-6"/>
          <w:szCs w:val="21"/>
          <w:highlight w:val="none"/>
        </w:rPr>
      </w:pPr>
    </w:p>
    <w:p>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第八条：违约责任</w:t>
      </w:r>
    </w:p>
    <w:p>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未能在本合同第二条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2.甲方逾期支付合同价款的，应向乙方每日偿付合同总价千分之一的违约金。由于假期等客观原因导致逾期支付合同价款的，双方友好协商解决。</w:t>
      </w:r>
    </w:p>
    <w:p>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3.乙方在合同成果交付验收合格之日起一年内违反本合同有关质量保证及售后服务约定的，乙方已经交付的履约保证金作为违约金支付给甲方。该违约金不足赔偿的损失部分，甲方仍有权要求赔偿该损失。</w:t>
      </w:r>
    </w:p>
    <w:p>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第九条：争议的解决</w:t>
      </w:r>
    </w:p>
    <w:p>
      <w:pPr>
        <w:spacing w:line="288" w:lineRule="auto"/>
        <w:ind w:firstLine="388" w:firstLineChars="1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本合同履行过程中若发生质量、售后服务等问题时，甲方有权直接向乙方索赔。如双方不能就争议解决协商一致的，任何一方有权向杭州市仲裁委员会申请仲裁解决。</w:t>
      </w:r>
    </w:p>
    <w:p>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第十条：合同的生效</w:t>
      </w:r>
    </w:p>
    <w:p>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1.本合同经甲、乙双方单位的法定代表人或者经单位法定代表人授权的委托代理人签字并加盖公章后生效。</w:t>
      </w:r>
    </w:p>
    <w:p>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2.本合同一式五份，甲方执三份，乙方、鉴证方各执一份。</w:t>
      </w:r>
    </w:p>
    <w:p>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3.相关招标文件</w:t>
      </w:r>
      <w:r>
        <w:rPr>
          <w:rFonts w:ascii="宋体" w:hAnsi="宋体" w:eastAsia="宋体" w:cs="宋体"/>
          <w:color w:val="auto"/>
          <w:spacing w:val="-6"/>
          <w:szCs w:val="21"/>
          <w:highlight w:val="none"/>
        </w:rPr>
        <w:t>、</w:t>
      </w:r>
      <w:r>
        <w:rPr>
          <w:rFonts w:hint="eastAsia" w:ascii="宋体" w:hAnsi="宋体" w:eastAsia="宋体" w:cs="宋体"/>
          <w:color w:val="auto"/>
          <w:spacing w:val="-6"/>
          <w:szCs w:val="21"/>
          <w:highlight w:val="none"/>
        </w:rPr>
        <w:t>投标文件、澄清承诺（如有）等与本合同具有同等法律效力。</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w:t>
      </w:r>
      <w:r>
        <w:rPr>
          <w:rFonts w:ascii="宋体" w:hAnsi="宋体" w:eastAsia="宋体" w:cs="Times New Roman"/>
          <w:color w:val="auto"/>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）项目背景的理解与分析</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（6）重点和难点分析及解决措施</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（7）进度控制方案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（8）建设方案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（9）实施方案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（10）质量控制的方法、措施</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（11）运维服务保障</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（12）系统安全保障</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241" w:name="_Hlk81815656"/>
      <w:r>
        <w:rPr>
          <w:rFonts w:hint="eastAsia" w:ascii="宋体" w:hAnsi="宋体" w:eastAsia="宋体" w:cs="Times New Roman"/>
          <w:color w:val="auto"/>
          <w:spacing w:val="-6"/>
          <w:szCs w:val="21"/>
          <w:highlight w:val="none"/>
        </w:rPr>
        <w:t>（若属于中小企业）</w:t>
      </w:r>
      <w:bookmarkEnd w:id="241"/>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242" w:name="_Hlk81815359"/>
      <w:r>
        <w:rPr>
          <w:rFonts w:hint="eastAsia" w:ascii="宋体" w:hAnsi="宋体" w:eastAsia="宋体" w:cs="Times New Roman"/>
          <w:color w:val="auto"/>
          <w:spacing w:val="-6"/>
          <w:szCs w:val="21"/>
          <w:highlight w:val="none"/>
        </w:rPr>
        <w:t>（若属于监狱企业）</w:t>
      </w:r>
      <w:bookmarkEnd w:id="242"/>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243" w:name="OLE_LINK13"/>
      <w:bookmarkStart w:id="244" w:name="OLE_LINK14"/>
      <w:r>
        <w:rPr>
          <w:rFonts w:hint="eastAsia" w:ascii="宋体" w:hAnsi="宋体" w:eastAsia="宋体" w:cs="Times New Roman"/>
          <w:color w:val="auto"/>
          <w:spacing w:val="-6"/>
          <w:szCs w:val="21"/>
          <w:highlight w:val="none"/>
        </w:rPr>
        <w:t>残疾人福利性单位声明函</w:t>
      </w:r>
      <w:bookmarkEnd w:id="243"/>
      <w:bookmarkEnd w:id="244"/>
      <w:bookmarkStart w:id="245" w:name="_Hlk81815372"/>
      <w:r>
        <w:rPr>
          <w:rFonts w:hint="eastAsia" w:ascii="宋体" w:hAnsi="宋体" w:eastAsia="宋体" w:cs="Times New Roman"/>
          <w:color w:val="auto"/>
          <w:spacing w:val="-6"/>
          <w:szCs w:val="21"/>
          <w:highlight w:val="none"/>
        </w:rPr>
        <w:t>（若属于残疾人福利性单位）</w:t>
      </w:r>
      <w:bookmarkEnd w:id="245"/>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浙江交通职业技术学院校园大脑(一期)项目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：QSZB-Z(F)-C24100(GK)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浙江交通职业技术学院校园大脑(一期)项目项目（项目编号：QSZB-Z(F)-C24100(GK)）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项目名称：校园大脑(一期)项目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项目编号：QSZB-Z(F)-C24100(GK)</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br w:type="page"/>
      </w:r>
    </w:p>
    <w:p>
      <w:pPr>
        <w:widowControl/>
        <w:adjustRightInd w:val="0"/>
        <w:snapToGrid w:val="0"/>
        <w:spacing w:line="288" w:lineRule="auto"/>
        <w:jc w:val="center"/>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以下内容根据评分内容格式自拟</w:t>
      </w:r>
    </w:p>
    <w:p>
      <w:pPr>
        <w:widowControl/>
        <w:adjustRightInd w:val="0"/>
        <w:snapToGrid w:val="0"/>
        <w:spacing w:line="288" w:lineRule="auto"/>
        <w:jc w:val="left"/>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（5）项目背景的理解与分析</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（6）重点和难点分析及解决措施</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（7）进度控制方案</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（8）建设方案</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（9）实施方案</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（10）质量控制的方法、措施</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（11）运维服务保障</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（12）系统安全保障</w:t>
      </w: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（13）投标人需要说明的其他文件和材料。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项目名称：校园大脑(一期)项目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项目编号：QSZB-Z(F)-C24100(GK)</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782CA1"/>
    <w:multiLevelType w:val="multilevel"/>
    <w:tmpl w:val="00782CA1"/>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2">
    <w:nsid w:val="029E20D2"/>
    <w:multiLevelType w:val="multilevel"/>
    <w:tmpl w:val="029E20D2"/>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3">
    <w:nsid w:val="0D1A51D7"/>
    <w:multiLevelType w:val="multilevel"/>
    <w:tmpl w:val="0D1A51D7"/>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4">
    <w:nsid w:val="11FC32C2"/>
    <w:multiLevelType w:val="multilevel"/>
    <w:tmpl w:val="11FC32C2"/>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5">
    <w:nsid w:val="2FCC6B9A"/>
    <w:multiLevelType w:val="multilevel"/>
    <w:tmpl w:val="2FCC6B9A"/>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796" w:hanging="81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6">
    <w:nsid w:val="3FA43E00"/>
    <w:multiLevelType w:val="multilevel"/>
    <w:tmpl w:val="3FA43E00"/>
    <w:lvl w:ilvl="0" w:tentative="0">
      <w:start w:val="1"/>
      <w:numFmt w:val="chineseCountingThousand"/>
      <w:suff w:val="nothing"/>
      <w:lvlText w:val="第%1章"/>
      <w:lvlJc w:val="left"/>
      <w:pPr>
        <w:ind w:left="0" w:firstLine="0"/>
      </w:pPr>
    </w:lvl>
    <w:lvl w:ilvl="1" w:tentative="0">
      <w:start w:val="1"/>
      <w:numFmt w:val="decimal"/>
      <w:lvlText w:val="%2."/>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57E36D85"/>
    <w:multiLevelType w:val="multilevel"/>
    <w:tmpl w:val="57E36D8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
    <w:nsid w:val="6F206A93"/>
    <w:multiLevelType w:val="multilevel"/>
    <w:tmpl w:val="6F206A93"/>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9">
    <w:nsid w:val="77816F36"/>
    <w:multiLevelType w:val="multilevel"/>
    <w:tmpl w:val="77816F36"/>
    <w:lvl w:ilvl="0" w:tentative="0">
      <w:start w:val="1"/>
      <w:numFmt w:val="bullet"/>
      <w:lvlText w:val=""/>
      <w:lvlJc w:val="left"/>
      <w:pPr>
        <w:ind w:left="986" w:hanging="420"/>
      </w:pPr>
      <w:rPr>
        <w:rFonts w:hint="default" w:ascii="Wingdings" w:hAnsi="Wingdings"/>
      </w:rPr>
    </w:lvl>
    <w:lvl w:ilvl="1" w:tentative="0">
      <w:start w:val="0"/>
      <w:numFmt w:val="bullet"/>
      <w:lvlText w:val="★"/>
      <w:lvlJc w:val="left"/>
      <w:pPr>
        <w:ind w:left="1796" w:hanging="810"/>
      </w:pPr>
      <w:rPr>
        <w:rFonts w:hint="eastAsia" w:ascii="宋体" w:hAnsi="宋体" w:eastAsia="宋体" w:cs="Times New Roman"/>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num w:numId="1">
    <w:abstractNumId w:val="6"/>
  </w:num>
  <w:num w:numId="2">
    <w:abstractNumId w:val="0"/>
  </w:num>
  <w:num w:numId="3">
    <w:abstractNumId w:val="4"/>
  </w:num>
  <w:num w:numId="4">
    <w:abstractNumId w:val="2"/>
  </w:num>
  <w:num w:numId="5">
    <w:abstractNumId w:val="7"/>
  </w:num>
  <w:num w:numId="6">
    <w:abstractNumId w:val="9"/>
  </w:num>
  <w:num w:numId="7">
    <w:abstractNumId w:val="5"/>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241CD"/>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071"/>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389"/>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8B"/>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07C5"/>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66F3E"/>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182E"/>
    <w:rsid w:val="006A2094"/>
    <w:rsid w:val="006A3042"/>
    <w:rsid w:val="006A43F9"/>
    <w:rsid w:val="006A4806"/>
    <w:rsid w:val="006A4E30"/>
    <w:rsid w:val="006B463C"/>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3BFB"/>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527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3AD0"/>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4E8A"/>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5F52"/>
    <w:rsid w:val="00BE7F67"/>
    <w:rsid w:val="00BF3D5C"/>
    <w:rsid w:val="00BF3F8E"/>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2305"/>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3AD7"/>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D0D"/>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3A1"/>
    <w:rsid w:val="00D279B4"/>
    <w:rsid w:val="00D304E2"/>
    <w:rsid w:val="00D30CFB"/>
    <w:rsid w:val="00D33AD3"/>
    <w:rsid w:val="00D350C0"/>
    <w:rsid w:val="00D370FD"/>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26CC"/>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5E81"/>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269C2"/>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375F"/>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10DD"/>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4CC"/>
    <w:rsid w:val="00FD4A9E"/>
    <w:rsid w:val="00FD4D45"/>
    <w:rsid w:val="00FD55B1"/>
    <w:rsid w:val="00FD6717"/>
    <w:rsid w:val="00FE0D9E"/>
    <w:rsid w:val="00FE1EE7"/>
    <w:rsid w:val="00FE5A7E"/>
    <w:rsid w:val="00FE6E2E"/>
    <w:rsid w:val="00FF3198"/>
    <w:rsid w:val="00FF5A34"/>
    <w:rsid w:val="00FF6F04"/>
    <w:rsid w:val="010033FE"/>
    <w:rsid w:val="01285229"/>
    <w:rsid w:val="01F81427"/>
    <w:rsid w:val="03F93561"/>
    <w:rsid w:val="05D34727"/>
    <w:rsid w:val="063E7F4D"/>
    <w:rsid w:val="08931933"/>
    <w:rsid w:val="0B4A1776"/>
    <w:rsid w:val="0C1345BD"/>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AFA52A8"/>
    <w:rsid w:val="2C921974"/>
    <w:rsid w:val="2DBE14C9"/>
    <w:rsid w:val="2F6A64D8"/>
    <w:rsid w:val="2F7553E7"/>
    <w:rsid w:val="30616EA9"/>
    <w:rsid w:val="31A44D82"/>
    <w:rsid w:val="32BE120D"/>
    <w:rsid w:val="330C0EF9"/>
    <w:rsid w:val="33506DE6"/>
    <w:rsid w:val="35A54CED"/>
    <w:rsid w:val="37534CA7"/>
    <w:rsid w:val="37D824F1"/>
    <w:rsid w:val="3B0C4DFA"/>
    <w:rsid w:val="3B36794F"/>
    <w:rsid w:val="3C3C1F27"/>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EAC01FC"/>
    <w:rsid w:val="4F64249F"/>
    <w:rsid w:val="4F6E1200"/>
    <w:rsid w:val="4FEE189E"/>
    <w:rsid w:val="53F038EA"/>
    <w:rsid w:val="57E46E68"/>
    <w:rsid w:val="59BA69E3"/>
    <w:rsid w:val="5A661DF4"/>
    <w:rsid w:val="5ACF0178"/>
    <w:rsid w:val="5C3E17F9"/>
    <w:rsid w:val="5D3A6920"/>
    <w:rsid w:val="5D8135CC"/>
    <w:rsid w:val="600446EC"/>
    <w:rsid w:val="600D2EE6"/>
    <w:rsid w:val="60845664"/>
    <w:rsid w:val="611E4D99"/>
    <w:rsid w:val="621760F6"/>
    <w:rsid w:val="62246B60"/>
    <w:rsid w:val="644F1ACD"/>
    <w:rsid w:val="67FF1998"/>
    <w:rsid w:val="680D1D99"/>
    <w:rsid w:val="69431270"/>
    <w:rsid w:val="6A7F4F75"/>
    <w:rsid w:val="6ACA16F9"/>
    <w:rsid w:val="6B16774A"/>
    <w:rsid w:val="6ECE2681"/>
    <w:rsid w:val="6EEB4AAE"/>
    <w:rsid w:val="72340F9C"/>
    <w:rsid w:val="766F3147"/>
    <w:rsid w:val="76F344C6"/>
    <w:rsid w:val="774152C9"/>
    <w:rsid w:val="78BC4FCF"/>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2"/>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3"/>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0"/>
    <w:pPr>
      <w:keepNext/>
      <w:numPr>
        <w:ilvl w:val="3"/>
        <w:numId w:val="1"/>
      </w:numPr>
      <w:spacing w:before="240" w:after="60"/>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7"/>
    <w:autoRedefine/>
    <w:unhideWhenUsed/>
    <w:qFormat/>
    <w:uiPriority w:val="99"/>
    <w:rPr>
      <w:rFonts w:ascii="宋体"/>
      <w:sz w:val="18"/>
      <w:szCs w:val="18"/>
    </w:rPr>
  </w:style>
  <w:style w:type="paragraph" w:styleId="10">
    <w:name w:val="annotation text"/>
    <w:basedOn w:val="1"/>
    <w:link w:val="83"/>
    <w:autoRedefine/>
    <w:unhideWhenUsed/>
    <w:qFormat/>
    <w:uiPriority w:val="99"/>
    <w:pPr>
      <w:jc w:val="left"/>
    </w:pPr>
  </w:style>
  <w:style w:type="paragraph" w:styleId="11">
    <w:name w:val="Body Text"/>
    <w:basedOn w:val="1"/>
    <w:next w:val="12"/>
    <w:link w:val="86"/>
    <w:autoRedefine/>
    <w:unhideWhenUsed/>
    <w:qFormat/>
    <w:uiPriority w:val="99"/>
    <w:pPr>
      <w:spacing w:after="120"/>
    </w:pPr>
    <w:rPr>
      <w:rFonts w:ascii="Times New Roman" w:hAnsi="Times New Roman" w:eastAsia="宋体" w:cs="Times New Roman"/>
      <w:sz w:val="28"/>
      <w:szCs w:val="24"/>
    </w:rPr>
  </w:style>
  <w:style w:type="paragraph" w:customStyle="1" w:styleId="12">
    <w:name w:val="Default"/>
    <w:next w:val="1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Body Text Indent"/>
    <w:basedOn w:val="1"/>
    <w:link w:val="74"/>
    <w:autoRedefine/>
    <w:qFormat/>
    <w:uiPriority w:val="0"/>
    <w:pPr>
      <w:spacing w:line="200" w:lineRule="atLeast"/>
      <w:ind w:firstLine="301"/>
    </w:pPr>
    <w:rPr>
      <w:rFonts w:ascii="宋体" w:hAnsi="Courier New"/>
      <w:spacing w:val="-4"/>
      <w:sz w:val="18"/>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autoRedefine/>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autoRedefine/>
    <w:qFormat/>
    <w:uiPriority w:val="0"/>
    <w:rPr>
      <w:rFonts w:ascii="Times New Roman" w:hAnsi="Times New Roman" w:eastAsia="宋体" w:cs="Times New Roman"/>
      <w:sz w:val="18"/>
      <w:szCs w:val="18"/>
    </w:rPr>
  </w:style>
  <w:style w:type="paragraph" w:styleId="19">
    <w:name w:val="footer"/>
    <w:basedOn w:val="1"/>
    <w:link w:val="40"/>
    <w:autoRedefine/>
    <w:unhideWhenUsed/>
    <w:qFormat/>
    <w:uiPriority w:val="99"/>
    <w:pPr>
      <w:tabs>
        <w:tab w:val="center" w:pos="4153"/>
        <w:tab w:val="right" w:pos="8306"/>
      </w:tabs>
      <w:snapToGrid w:val="0"/>
      <w:jc w:val="left"/>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60"/>
    <w:autoRedefine/>
    <w:unhideWhenUsed/>
    <w:qFormat/>
    <w:uiPriority w:val="99"/>
    <w:rPr>
      <w:b/>
      <w:bCs/>
      <w:sz w:val="28"/>
      <w:szCs w:val="24"/>
    </w:rPr>
  </w:style>
  <w:style w:type="paragraph" w:styleId="25">
    <w:name w:val="Body Text First Indent"/>
    <w:basedOn w:val="11"/>
    <w:autoRedefine/>
    <w:qFormat/>
    <w:uiPriority w:val="0"/>
    <w:pPr>
      <w:ind w:firstLine="420" w:firstLineChars="100"/>
    </w:pPr>
  </w:style>
  <w:style w:type="paragraph" w:styleId="26">
    <w:name w:val="Body Text First Indent 2"/>
    <w:basedOn w:val="14"/>
    <w:link w:val="91"/>
    <w:autoRedefine/>
    <w:unhideWhenUsed/>
    <w:qFormat/>
    <w:uiPriority w:val="99"/>
    <w:pPr>
      <w:ind w:firstLine="420"/>
    </w:p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unhideWhenUsed/>
    <w:qFormat/>
    <w:uiPriority w:val="99"/>
    <w:rPr>
      <w:color w:val="5579A7"/>
      <w:u w:val="none"/>
    </w:rPr>
  </w:style>
  <w:style w:type="character" w:styleId="33">
    <w:name w:val="HTML Definition"/>
    <w:autoRedefine/>
    <w:unhideWhenUsed/>
    <w:qFormat/>
    <w:uiPriority w:val="99"/>
    <w:rPr>
      <w:i/>
    </w:rPr>
  </w:style>
  <w:style w:type="character" w:styleId="34">
    <w:name w:val="Hyperlink"/>
    <w:autoRedefine/>
    <w:qFormat/>
    <w:uiPriority w:val="0"/>
    <w:rPr>
      <w:color w:val="5579A7"/>
      <w:u w:val="none"/>
    </w:rPr>
  </w:style>
  <w:style w:type="character" w:styleId="35">
    <w:name w:val="HTML Code"/>
    <w:autoRedefine/>
    <w:unhideWhenUsed/>
    <w:qFormat/>
    <w:uiPriority w:val="99"/>
    <w:rPr>
      <w:rFonts w:ascii="-apple-system" w:hAnsi="-apple-system" w:eastAsia="-apple-system" w:cs="-apple-system"/>
      <w:sz w:val="21"/>
      <w:szCs w:val="21"/>
    </w:rPr>
  </w:style>
  <w:style w:type="character" w:styleId="36">
    <w:name w:val="annotation reference"/>
    <w:autoRedefine/>
    <w:unhideWhenUsed/>
    <w:qFormat/>
    <w:uiPriority w:val="99"/>
    <w:rPr>
      <w:sz w:val="21"/>
      <w:szCs w:val="21"/>
    </w:rPr>
  </w:style>
  <w:style w:type="character" w:styleId="37">
    <w:name w:val="HTML Keyboard"/>
    <w:autoRedefine/>
    <w:unhideWhenUsed/>
    <w:qFormat/>
    <w:uiPriority w:val="99"/>
    <w:rPr>
      <w:rFonts w:hint="default" w:ascii="-apple-system" w:hAnsi="-apple-system" w:eastAsia="-apple-system" w:cs="-apple-system"/>
      <w:sz w:val="21"/>
      <w:szCs w:val="21"/>
    </w:rPr>
  </w:style>
  <w:style w:type="character" w:styleId="38">
    <w:name w:val="HTML Sample"/>
    <w:autoRedefine/>
    <w:unhideWhenUsed/>
    <w:qFormat/>
    <w:uiPriority w:val="99"/>
    <w:rPr>
      <w:rFonts w:hint="default" w:ascii="-apple-system" w:hAnsi="-apple-system" w:eastAsia="-apple-system" w:cs="-apple-system"/>
      <w:sz w:val="21"/>
      <w:szCs w:val="21"/>
    </w:rPr>
  </w:style>
  <w:style w:type="character" w:customStyle="1" w:styleId="39">
    <w:name w:val="页眉 Char"/>
    <w:basedOn w:val="29"/>
    <w:link w:val="20"/>
    <w:autoRedefine/>
    <w:qFormat/>
    <w:uiPriority w:val="99"/>
    <w:rPr>
      <w:sz w:val="18"/>
      <w:szCs w:val="18"/>
    </w:rPr>
  </w:style>
  <w:style w:type="character" w:customStyle="1" w:styleId="40">
    <w:name w:val="页脚 Char"/>
    <w:basedOn w:val="29"/>
    <w:link w:val="19"/>
    <w:autoRedefine/>
    <w:qFormat/>
    <w:uiPriority w:val="99"/>
    <w:rPr>
      <w:sz w:val="18"/>
      <w:szCs w:val="18"/>
    </w:rPr>
  </w:style>
  <w:style w:type="character" w:customStyle="1" w:styleId="41">
    <w:name w:val="标题 1 Char"/>
    <w:basedOn w:val="29"/>
    <w:link w:val="2"/>
    <w:autoRedefine/>
    <w:qFormat/>
    <w:uiPriority w:val="9"/>
    <w:rPr>
      <w:rFonts w:ascii="Times New Roman" w:hAnsi="Times New Roman" w:eastAsia="宋体" w:cs="Times New Roman"/>
      <w:b/>
      <w:bCs/>
      <w:kern w:val="44"/>
      <w:sz w:val="44"/>
      <w:szCs w:val="44"/>
    </w:rPr>
  </w:style>
  <w:style w:type="character" w:customStyle="1" w:styleId="42">
    <w:name w:val="标题 2 Char"/>
    <w:basedOn w:val="29"/>
    <w:link w:val="3"/>
    <w:autoRedefine/>
    <w:qFormat/>
    <w:uiPriority w:val="9"/>
    <w:rPr>
      <w:rFonts w:ascii="Cambria" w:hAnsi="Cambria" w:eastAsia="宋体" w:cs="Times New Roman"/>
      <w:b/>
      <w:bCs/>
      <w:sz w:val="32"/>
      <w:szCs w:val="32"/>
    </w:rPr>
  </w:style>
  <w:style w:type="character" w:customStyle="1" w:styleId="43">
    <w:name w:val="标题 3 Char"/>
    <w:basedOn w:val="29"/>
    <w:link w:val="4"/>
    <w:autoRedefine/>
    <w:qFormat/>
    <w:uiPriority w:val="9"/>
    <w:rPr>
      <w:rFonts w:ascii="Times New Roman" w:hAnsi="Times New Roman" w:eastAsia="宋体" w:cs="Times New Roman"/>
      <w:b/>
      <w:bCs/>
      <w:sz w:val="32"/>
      <w:szCs w:val="32"/>
    </w:rPr>
  </w:style>
  <w:style w:type="character" w:customStyle="1" w:styleId="44">
    <w:name w:val="jbox-icon-none"/>
    <w:autoRedefine/>
    <w:qFormat/>
    <w:uiPriority w:val="0"/>
    <w:rPr>
      <w:vanish/>
    </w:rPr>
  </w:style>
  <w:style w:type="character" w:customStyle="1" w:styleId="45">
    <w:name w:val="z-窗体底端 字符"/>
    <w:link w:val="46"/>
    <w:autoRedefine/>
    <w:qFormat/>
    <w:uiPriority w:val="99"/>
    <w:rPr>
      <w:rFonts w:ascii="Arial" w:hAnsi="Arial"/>
      <w:vanish/>
      <w:sz w:val="16"/>
      <w:szCs w:val="16"/>
    </w:rPr>
  </w:style>
  <w:style w:type="paragraph" w:customStyle="1" w:styleId="46">
    <w:name w:val="z-窗体底端1"/>
    <w:basedOn w:val="1"/>
    <w:next w:val="1"/>
    <w:link w:val="45"/>
    <w:autoRedefine/>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Char"/>
    <w:link w:val="9"/>
    <w:autoRedefine/>
    <w:qFormat/>
    <w:uiPriority w:val="99"/>
    <w:rPr>
      <w:rFonts w:ascii="宋体"/>
      <w:sz w:val="18"/>
      <w:szCs w:val="18"/>
    </w:rPr>
  </w:style>
  <w:style w:type="character" w:customStyle="1" w:styleId="48">
    <w:name w:val="black601"/>
    <w:autoRedefine/>
    <w:qFormat/>
    <w:uiPriority w:val="0"/>
    <w:rPr>
      <w:color w:val="666666"/>
    </w:rPr>
  </w:style>
  <w:style w:type="character" w:customStyle="1" w:styleId="49">
    <w:name w:val="hour_pm"/>
    <w:basedOn w:val="29"/>
    <w:autoRedefine/>
    <w:qFormat/>
    <w:uiPriority w:val="0"/>
  </w:style>
  <w:style w:type="character" w:customStyle="1" w:styleId="50">
    <w:name w:val="正文缩进 Char"/>
    <w:link w:val="7"/>
    <w:autoRedefine/>
    <w:qFormat/>
    <w:uiPriority w:val="0"/>
    <w:rPr>
      <w:rFonts w:eastAsia="宋体"/>
    </w:rPr>
  </w:style>
  <w:style w:type="character" w:customStyle="1" w:styleId="51">
    <w:name w:val="标题 1 Char Char"/>
    <w:autoRedefine/>
    <w:qFormat/>
    <w:uiPriority w:val="0"/>
    <w:rPr>
      <w:rFonts w:eastAsia="宋体"/>
      <w:b/>
      <w:spacing w:val="-2"/>
      <w:sz w:val="24"/>
      <w:lang w:val="en-US" w:eastAsia="zh-CN" w:bidi="ar-SA"/>
    </w:rPr>
  </w:style>
  <w:style w:type="character" w:customStyle="1" w:styleId="52">
    <w:name w:val="jbox-icon-info"/>
    <w:basedOn w:val="29"/>
    <w:autoRedefine/>
    <w:qFormat/>
    <w:uiPriority w:val="0"/>
  </w:style>
  <w:style w:type="character" w:customStyle="1" w:styleId="53">
    <w:name w:val="hover9"/>
    <w:autoRedefine/>
    <w:qFormat/>
    <w:uiPriority w:val="0"/>
    <w:rPr>
      <w:shd w:val="clear" w:color="auto" w:fill="EEEEEE"/>
    </w:rPr>
  </w:style>
  <w:style w:type="character" w:customStyle="1" w:styleId="54">
    <w:name w:val="maywed421"/>
    <w:autoRedefine/>
    <w:qFormat/>
    <w:uiPriority w:val="0"/>
    <w:rPr>
      <w:color w:val="366FB6"/>
      <w:u w:val="none"/>
    </w:rPr>
  </w:style>
  <w:style w:type="character" w:customStyle="1" w:styleId="55">
    <w:name w:val="old"/>
    <w:autoRedefine/>
    <w:qFormat/>
    <w:uiPriority w:val="0"/>
    <w:rPr>
      <w:color w:val="999999"/>
    </w:rPr>
  </w:style>
  <w:style w:type="character" w:customStyle="1" w:styleId="56">
    <w:name w:val="jbox-icon-warning"/>
    <w:basedOn w:val="29"/>
    <w:autoRedefine/>
    <w:qFormat/>
    <w:uiPriority w:val="0"/>
  </w:style>
  <w:style w:type="character" w:customStyle="1" w:styleId="57">
    <w:name w:val="z-窗体顶端 字符"/>
    <w:link w:val="58"/>
    <w:autoRedefine/>
    <w:qFormat/>
    <w:uiPriority w:val="99"/>
    <w:rPr>
      <w:rFonts w:ascii="Arial" w:hAnsi="Arial"/>
      <w:vanish/>
      <w:sz w:val="16"/>
      <w:szCs w:val="16"/>
    </w:rPr>
  </w:style>
  <w:style w:type="paragraph" w:customStyle="1" w:styleId="58">
    <w:name w:val="z-窗体顶端1"/>
    <w:basedOn w:val="1"/>
    <w:next w:val="1"/>
    <w:link w:val="57"/>
    <w:autoRedefine/>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Char2"/>
    <w:link w:val="16"/>
    <w:autoRedefine/>
    <w:qFormat/>
    <w:uiPriority w:val="99"/>
    <w:rPr>
      <w:rFonts w:ascii="宋体" w:hAnsi="Courier New"/>
      <w:sz w:val="24"/>
      <w:szCs w:val="24"/>
    </w:rPr>
  </w:style>
  <w:style w:type="character" w:customStyle="1" w:styleId="60">
    <w:name w:val="批注主题 Char"/>
    <w:link w:val="24"/>
    <w:autoRedefine/>
    <w:qFormat/>
    <w:uiPriority w:val="99"/>
    <w:rPr>
      <w:b/>
      <w:bCs/>
      <w:sz w:val="28"/>
      <w:szCs w:val="24"/>
    </w:rPr>
  </w:style>
  <w:style w:type="character" w:customStyle="1" w:styleId="61">
    <w:name w:val="jbox-icon-loading"/>
    <w:basedOn w:val="29"/>
    <w:autoRedefine/>
    <w:qFormat/>
    <w:uiPriority w:val="0"/>
  </w:style>
  <w:style w:type="character" w:customStyle="1" w:styleId="62">
    <w:name w:val="正文文本缩进 字符"/>
    <w:autoRedefine/>
    <w:qFormat/>
    <w:uiPriority w:val="0"/>
    <w:rPr>
      <w:rFonts w:ascii="宋体" w:hAnsi="Courier New"/>
      <w:spacing w:val="-4"/>
      <w:kern w:val="2"/>
      <w:sz w:val="18"/>
    </w:rPr>
  </w:style>
  <w:style w:type="character" w:customStyle="1" w:styleId="63">
    <w:name w:val="正文文本缩进 字符1"/>
    <w:autoRedefine/>
    <w:qFormat/>
    <w:uiPriority w:val="0"/>
    <w:rPr>
      <w:rFonts w:ascii="宋体" w:hAnsi="Courier New"/>
      <w:spacing w:val="-4"/>
      <w:kern w:val="2"/>
      <w:sz w:val="18"/>
    </w:rPr>
  </w:style>
  <w:style w:type="character" w:customStyle="1" w:styleId="64">
    <w:name w:val="纯文本 字符"/>
    <w:autoRedefine/>
    <w:qFormat/>
    <w:uiPriority w:val="99"/>
    <w:rPr>
      <w:rFonts w:ascii="宋体" w:hAnsi="Courier New"/>
      <w:kern w:val="2"/>
      <w:sz w:val="24"/>
      <w:szCs w:val="24"/>
    </w:rPr>
  </w:style>
  <w:style w:type="character" w:customStyle="1" w:styleId="65">
    <w:name w:val="jbox-icon-question"/>
    <w:basedOn w:val="29"/>
    <w:autoRedefine/>
    <w:qFormat/>
    <w:uiPriority w:val="0"/>
  </w:style>
  <w:style w:type="character" w:customStyle="1" w:styleId="66">
    <w:name w:val="jbox-icon"/>
    <w:basedOn w:val="29"/>
    <w:autoRedefine/>
    <w:qFormat/>
    <w:uiPriority w:val="0"/>
  </w:style>
  <w:style w:type="character" w:customStyle="1" w:styleId="67">
    <w:name w:val="纯文本 字符2"/>
    <w:autoRedefine/>
    <w:qFormat/>
    <w:uiPriority w:val="99"/>
    <w:rPr>
      <w:rFonts w:ascii="宋体" w:hAnsi="Courier New"/>
      <w:kern w:val="2"/>
      <w:sz w:val="24"/>
      <w:szCs w:val="24"/>
    </w:rPr>
  </w:style>
  <w:style w:type="character" w:customStyle="1" w:styleId="68">
    <w:name w:val="hour_am"/>
    <w:basedOn w:val="29"/>
    <w:autoRedefine/>
    <w:qFormat/>
    <w:uiPriority w:val="0"/>
  </w:style>
  <w:style w:type="character" w:customStyle="1" w:styleId="69">
    <w:name w:val="jbox-icon-success"/>
    <w:basedOn w:val="29"/>
    <w:autoRedefine/>
    <w:qFormat/>
    <w:uiPriority w:val="0"/>
  </w:style>
  <w:style w:type="character" w:customStyle="1" w:styleId="70">
    <w:name w:val="批注文字 字符"/>
    <w:autoRedefine/>
    <w:qFormat/>
    <w:uiPriority w:val="99"/>
    <w:rPr>
      <w:kern w:val="2"/>
      <w:sz w:val="28"/>
      <w:szCs w:val="24"/>
    </w:rPr>
  </w:style>
  <w:style w:type="character" w:customStyle="1" w:styleId="71">
    <w:name w:val="纯文本 Char1"/>
    <w:autoRedefine/>
    <w:qFormat/>
    <w:uiPriority w:val="0"/>
    <w:rPr>
      <w:rFonts w:ascii="宋体" w:hAnsi="Courier New"/>
      <w:kern w:val="2"/>
      <w:sz w:val="21"/>
    </w:rPr>
  </w:style>
  <w:style w:type="character" w:customStyle="1" w:styleId="72">
    <w:name w:val="纯文本 Char"/>
    <w:autoRedefine/>
    <w:qFormat/>
    <w:uiPriority w:val="99"/>
    <w:rPr>
      <w:rFonts w:ascii="宋体" w:hAnsi="Courier New"/>
      <w:kern w:val="2"/>
      <w:sz w:val="24"/>
      <w:szCs w:val="24"/>
    </w:rPr>
  </w:style>
  <w:style w:type="character" w:customStyle="1" w:styleId="73">
    <w:name w:val="sub_title s0"/>
    <w:basedOn w:val="29"/>
    <w:autoRedefine/>
    <w:qFormat/>
    <w:uiPriority w:val="0"/>
  </w:style>
  <w:style w:type="character" w:customStyle="1" w:styleId="74">
    <w:name w:val="正文文本缩进 Char"/>
    <w:link w:val="14"/>
    <w:autoRedefine/>
    <w:qFormat/>
    <w:uiPriority w:val="0"/>
    <w:rPr>
      <w:rFonts w:ascii="宋体" w:hAnsi="Courier New"/>
      <w:spacing w:val="-4"/>
      <w:sz w:val="18"/>
    </w:rPr>
  </w:style>
  <w:style w:type="character" w:customStyle="1" w:styleId="75">
    <w:name w:val="jbox-icon-error"/>
    <w:basedOn w:val="29"/>
    <w:autoRedefine/>
    <w:qFormat/>
    <w:uiPriority w:val="0"/>
  </w:style>
  <w:style w:type="character" w:customStyle="1" w:styleId="76">
    <w:name w:val="正文文本 2 Char"/>
    <w:basedOn w:val="29"/>
    <w:link w:val="22"/>
    <w:autoRedefine/>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Char"/>
    <w:basedOn w:val="29"/>
    <w:link w:val="10"/>
    <w:autoRedefine/>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9"/>
    <w:autoRedefine/>
    <w:semiHidden/>
    <w:qFormat/>
    <w:uiPriority w:val="99"/>
    <w:rPr>
      <w:rFonts w:ascii="Microsoft YaHei UI" w:eastAsia="Microsoft YaHei UI"/>
      <w:sz w:val="18"/>
      <w:szCs w:val="18"/>
    </w:rPr>
  </w:style>
  <w:style w:type="character" w:customStyle="1" w:styleId="86">
    <w:name w:val="正文文本 Char"/>
    <w:basedOn w:val="29"/>
    <w:link w:val="11"/>
    <w:autoRedefine/>
    <w:qFormat/>
    <w:uiPriority w:val="99"/>
    <w:rPr>
      <w:rFonts w:ascii="Times New Roman" w:hAnsi="Times New Roman" w:eastAsia="宋体" w:cs="Times New Roman"/>
      <w:sz w:val="28"/>
      <w:szCs w:val="24"/>
    </w:rPr>
  </w:style>
  <w:style w:type="character" w:customStyle="1" w:styleId="87">
    <w:name w:val="批注框文本 Char"/>
    <w:basedOn w:val="29"/>
    <w:link w:val="18"/>
    <w:autoRedefine/>
    <w:qFormat/>
    <w:uiPriority w:val="0"/>
    <w:rPr>
      <w:rFonts w:ascii="Times New Roman" w:hAnsi="Times New Roman" w:eastAsia="宋体" w:cs="Times New Roman"/>
      <w:sz w:val="18"/>
      <w:szCs w:val="18"/>
    </w:rPr>
  </w:style>
  <w:style w:type="character" w:customStyle="1" w:styleId="88">
    <w:name w:val="正文文本缩进 字符3"/>
    <w:basedOn w:val="29"/>
    <w:autoRedefine/>
    <w:semiHidden/>
    <w:qFormat/>
    <w:uiPriority w:val="99"/>
  </w:style>
  <w:style w:type="character" w:customStyle="1" w:styleId="89">
    <w:name w:val="日期 Char"/>
    <w:basedOn w:val="29"/>
    <w:link w:val="17"/>
    <w:autoRedefine/>
    <w:qFormat/>
    <w:uiPriority w:val="0"/>
    <w:rPr>
      <w:rFonts w:ascii="Times New Roman" w:hAnsi="Times New Roman" w:eastAsia="楷体_GB2312" w:cs="Times New Roman"/>
      <w:sz w:val="32"/>
      <w:szCs w:val="20"/>
    </w:rPr>
  </w:style>
  <w:style w:type="character" w:customStyle="1" w:styleId="90">
    <w:name w:val="纯文本 字符3"/>
    <w:basedOn w:val="29"/>
    <w:autoRedefine/>
    <w:semiHidden/>
    <w:qFormat/>
    <w:uiPriority w:val="99"/>
    <w:rPr>
      <w:rFonts w:hAnsi="Courier New" w:cs="Courier New" w:asciiTheme="minorEastAsia"/>
    </w:rPr>
  </w:style>
  <w:style w:type="character" w:customStyle="1" w:styleId="91">
    <w:name w:val="正文首行缩进 2 Char"/>
    <w:basedOn w:val="88"/>
    <w:link w:val="26"/>
    <w:autoRedefine/>
    <w:qFormat/>
    <w:uiPriority w:val="99"/>
    <w:rPr>
      <w:rFonts w:ascii="宋体" w:hAnsi="Courier New"/>
      <w:spacing w:val="-4"/>
      <w:sz w:val="18"/>
    </w:rPr>
  </w:style>
  <w:style w:type="character" w:customStyle="1" w:styleId="92">
    <w:name w:val="z-窗体底端 字符1"/>
    <w:basedOn w:val="29"/>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9"/>
    <w:autoRedefine/>
    <w:semiHidden/>
    <w:unhideWhenUsed/>
    <w:qFormat/>
    <w:uiPriority w:val="99"/>
    <w:rPr>
      <w:color w:val="605E5C"/>
      <w:shd w:val="clear" w:color="auto" w:fill="E1DFDD"/>
    </w:rPr>
  </w:style>
  <w:style w:type="character" w:customStyle="1" w:styleId="108">
    <w:name w:val="Unresolved Mention"/>
    <w:basedOn w:val="29"/>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1">
    <w:name w:val="自定义正文"/>
    <w:basedOn w:val="1"/>
    <w:autoRedefine/>
    <w:qFormat/>
    <w:uiPriority w:val="0"/>
    <w:pPr>
      <w:spacing w:before="120" w:after="60" w:line="400" w:lineRule="exact"/>
      <w:ind w:firstLine="200" w:firstLineChars="200"/>
      <w:jc w:val="left"/>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461DB-1EB7-42D4-836C-6BFE510205D9}">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7104</Words>
  <Characters>40494</Characters>
  <Lines>337</Lines>
  <Paragraphs>95</Paragraphs>
  <TotalTime>4</TotalTime>
  <ScaleCrop>false</ScaleCrop>
  <LinksUpToDate>false</LinksUpToDate>
  <CharactersWithSpaces>47503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A-day</cp:lastModifiedBy>
  <cp:lastPrinted>2022-10-31T00:58:00Z</cp:lastPrinted>
  <dcterms:modified xsi:type="dcterms:W3CDTF">2024-05-13T07:34:34Z</dcterms:modified>
  <cp:revision>1067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B1FAE08BAC1642239C85E58D1126C23C_13</vt:lpwstr>
  </property>
</Properties>
</file>