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文创设计制造业协同创新中心“DIA 十年：北京特展”展览搭建服务项目</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项目名称：文创设计制造业协同创新中心“DIA 十年：北京特展”展览搭建服务项目</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项目编号：QSZB-Z(F)-C24131(CS)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采购计划文号：[2024]26719号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widowControl/>
        <w:jc w:val="left"/>
        <w:rPr>
          <w:color w:val="auto"/>
          <w:highlight w:val="none"/>
        </w:rPr>
      </w:pPr>
    </w:p>
    <w:p>
      <w:pPr>
        <w:widowControl/>
        <w:jc w:val="left"/>
        <w:rPr>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文创设计制造业协同创新中心“DIA 十年：北京特展”展览搭建服务项目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2024年</w:t>
      </w:r>
      <w:r>
        <w:rPr>
          <w:rFonts w:hint="eastAsia"/>
          <w:b/>
          <w:color w:val="auto"/>
          <w:sz w:val="21"/>
          <w:szCs w:val="21"/>
          <w:highlight w:val="none"/>
          <w:u w:val="single"/>
          <w:lang w:val="en-US" w:eastAsia="zh-CN"/>
        </w:rPr>
        <w:t>6</w:t>
      </w:r>
      <w:r>
        <w:rPr>
          <w:rFonts w:hint="eastAsia"/>
          <w:b/>
          <w:color w:val="auto"/>
          <w:sz w:val="21"/>
          <w:szCs w:val="21"/>
          <w:highlight w:val="none"/>
          <w:u w:val="single"/>
        </w:rPr>
        <w:t>月</w:t>
      </w:r>
      <w:r>
        <w:rPr>
          <w:rFonts w:hint="eastAsia"/>
          <w:b/>
          <w:color w:val="auto"/>
          <w:sz w:val="21"/>
          <w:szCs w:val="21"/>
          <w:highlight w:val="none"/>
          <w:u w:val="single"/>
          <w:lang w:val="en-US" w:eastAsia="zh-CN"/>
        </w:rPr>
        <w:t>3</w:t>
      </w:r>
      <w:r>
        <w:rPr>
          <w:rFonts w:hint="eastAsia"/>
          <w:b/>
          <w:color w:val="auto"/>
          <w:sz w:val="21"/>
          <w:szCs w:val="21"/>
          <w:highlight w:val="none"/>
          <w:u w:val="single"/>
        </w:rPr>
        <w:t>日</w:t>
      </w:r>
      <w:r>
        <w:rPr>
          <w:rFonts w:hint="eastAsia"/>
          <w:b/>
          <w:color w:val="auto"/>
          <w:sz w:val="21"/>
          <w:szCs w:val="21"/>
          <w:highlight w:val="none"/>
          <w:u w:val="single"/>
          <w:lang w:val="en-US" w:eastAsia="zh-CN"/>
        </w:rPr>
        <w:t>9</w:t>
      </w:r>
      <w:r>
        <w:rPr>
          <w:rFonts w:hint="eastAsia"/>
          <w:b/>
          <w:color w:val="auto"/>
          <w:sz w:val="21"/>
          <w:szCs w:val="21"/>
          <w:highlight w:val="none"/>
          <w:u w:val="single"/>
        </w:rPr>
        <w:t>:</w:t>
      </w:r>
      <w:r>
        <w:rPr>
          <w:rFonts w:hint="eastAsia"/>
          <w:b/>
          <w:color w:val="auto"/>
          <w:sz w:val="21"/>
          <w:szCs w:val="21"/>
          <w:highlight w:val="none"/>
          <w:u w:val="single"/>
          <w:lang w:val="en-US" w:eastAsia="zh-CN"/>
        </w:rPr>
        <w:t>3</w:t>
      </w:r>
      <w:r>
        <w:rPr>
          <w:rFonts w:hint="eastAsia"/>
          <w:b/>
          <w:color w:val="auto"/>
          <w:sz w:val="21"/>
          <w:szCs w:val="21"/>
          <w:highlight w:val="none"/>
          <w:u w:val="single"/>
        </w:rPr>
        <w:t xml:space="preserve">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35393790"/>
      <w:bookmarkStart w:id="1" w:name="_Toc35393621"/>
      <w:bookmarkStart w:id="2" w:name="_Toc28359002"/>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rPr>
        <w:t xml:space="preserve">QSZB-Z(F)-C24131(CS)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项目名称：文创设计制造业协同创新中心“DIA 十年：北京特展”展览搭建服务项目</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预算金额：997500元</w:t>
      </w:r>
      <w:bookmarkStart w:id="87" w:name="_GoBack"/>
      <w:bookmarkEnd w:id="87"/>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最高限价：997500元</w:t>
      </w:r>
    </w:p>
    <w:p>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w:t>
      </w:r>
      <w:r>
        <w:rPr>
          <w:rFonts w:hint="eastAsia"/>
          <w:color w:val="auto"/>
          <w:spacing w:val="-6"/>
          <w:sz w:val="21"/>
          <w:szCs w:val="21"/>
          <w:highlight w:val="none"/>
        </w:rPr>
        <w:t>2024年06月15日前完成，</w:t>
      </w:r>
      <w:r>
        <w:rPr>
          <w:rFonts w:hint="eastAsia"/>
          <w:color w:val="auto"/>
          <w:sz w:val="21"/>
          <w:szCs w:val="21"/>
          <w:highlight w:val="none"/>
        </w:rPr>
        <w:t>此时间为暂定时间，会根据实际情况进行调整</w:t>
      </w:r>
      <w:r>
        <w:rPr>
          <w:rFonts w:hint="eastAsia"/>
          <w:color w:val="auto"/>
          <w:spacing w:val="-6"/>
          <w:sz w:val="21"/>
          <w:szCs w:val="21"/>
          <w:highlight w:val="none"/>
        </w:rPr>
        <w:t>。</w:t>
      </w:r>
      <w:r>
        <w:rPr>
          <w:color w:val="auto"/>
          <w:spacing w:val="-6"/>
          <w:sz w:val="21"/>
          <w:szCs w:val="21"/>
          <w:highlight w:val="none"/>
        </w:rPr>
        <w:t xml:space="preserve"> </w:t>
      </w:r>
      <w:r>
        <w:rPr>
          <w:rFonts w:hint="eastAsia"/>
          <w:color w:val="auto"/>
          <w:spacing w:val="-6"/>
          <w:sz w:val="21"/>
          <w:szCs w:val="21"/>
          <w:highlight w:val="none"/>
        </w:rPr>
        <w:t>展期1个月。</w:t>
      </w:r>
      <w:r>
        <w:rPr>
          <w:color w:val="auto"/>
          <w:spacing w:val="-6"/>
          <w:sz w:val="21"/>
          <w:szCs w:val="21"/>
          <w:highlight w:val="none"/>
        </w:rPr>
        <w:t xml:space="preserve"> </w:t>
      </w:r>
      <w:r>
        <w:rPr>
          <w:rFonts w:hint="eastAsia"/>
          <w:color w:val="auto"/>
          <w:spacing w:val="-6"/>
          <w:sz w:val="21"/>
          <w:szCs w:val="21"/>
          <w:highlight w:val="none"/>
        </w:rPr>
        <w:t>如遇展览延期，会提前10天通知供货商。合同履约期限直到展览结束。【含延期时间】</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1829"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文创设计制造业协同创新中心“DIA 十年：北京特展”展览搭建服务项目</w:t>
            </w:r>
          </w:p>
        </w:tc>
        <w:tc>
          <w:tcPr>
            <w:tcW w:w="430"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431"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批</w:t>
            </w:r>
          </w:p>
        </w:tc>
        <w:tc>
          <w:tcPr>
            <w:tcW w:w="1898"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详见第二章  采购需求</w:t>
            </w:r>
          </w:p>
        </w:tc>
      </w:tr>
    </w:tbl>
    <w:p>
      <w:pPr>
        <w:adjustRightInd w:val="0"/>
        <w:snapToGrid w:val="0"/>
        <w:spacing w:line="288" w:lineRule="auto"/>
        <w:rPr>
          <w:b/>
          <w:color w:val="auto"/>
          <w:sz w:val="21"/>
          <w:szCs w:val="21"/>
          <w:highlight w:val="none"/>
        </w:rPr>
      </w:pPr>
      <w:bookmarkStart w:id="5" w:name="_Toc35393791"/>
      <w:bookmarkStart w:id="6" w:name="_Toc35393622"/>
      <w:bookmarkStart w:id="7" w:name="_Toc28359003"/>
      <w:bookmarkStart w:id="8" w:name="_Toc28359080"/>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1"/>
          <w:highlight w:val="none"/>
        </w:rPr>
        <w:t>2.落实政府采购政策需满足的资格要求：</w:t>
      </w:r>
      <w:r>
        <w:rPr>
          <w:rFonts w:hint="eastAsia"/>
          <w:color w:val="auto"/>
          <w:sz w:val="21"/>
          <w:szCs w:val="21"/>
          <w:highlight w:val="none"/>
        </w:rPr>
        <w:t>本项目整体专门面向中小企业采购，提供中小企业声明函。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本项目采购标的为：其他未列明行业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793"/>
      <w:bookmarkStart w:id="14" w:name="_Toc35393624"/>
      <w:bookmarkStart w:id="15" w:name="_Toc28359082"/>
      <w:bookmarkStart w:id="16" w:name="_Toc28359005"/>
      <w:r>
        <w:rPr>
          <w:rFonts w:hint="eastAsia"/>
          <w:color w:val="auto"/>
          <w:sz w:val="21"/>
          <w:szCs w:val="21"/>
          <w:highlight w:val="none"/>
        </w:rPr>
        <w:t>时间：</w:t>
      </w:r>
      <w:r>
        <w:rPr>
          <w:rFonts w:hint="eastAsia"/>
          <w:color w:val="auto"/>
          <w:sz w:val="21"/>
          <w:szCs w:val="21"/>
          <w:highlight w:val="none"/>
          <w:lang w:val="en-US" w:eastAsia="zh-CN"/>
        </w:rPr>
        <w:t>/</w:t>
      </w:r>
      <w:r>
        <w:rPr>
          <w:rFonts w:hint="eastAsia"/>
          <w:color w:val="auto"/>
          <w:sz w:val="21"/>
          <w:szCs w:val="21"/>
          <w:highlight w:val="none"/>
        </w:rPr>
        <w:t>至2024年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3</w:t>
      </w:r>
      <w:r>
        <w:rPr>
          <w:rFonts w:hint="eastAsia"/>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截止时间：2024年</w:t>
      </w:r>
      <w:r>
        <w:rPr>
          <w:rFonts w:hint="eastAsia"/>
          <w:bCs/>
          <w:color w:val="auto"/>
          <w:sz w:val="21"/>
          <w:szCs w:val="21"/>
          <w:highlight w:val="none"/>
          <w:lang w:val="en-US" w:eastAsia="zh-CN"/>
        </w:rPr>
        <w:t>6</w:t>
      </w:r>
      <w:r>
        <w:rPr>
          <w:rFonts w:hint="eastAsia"/>
          <w:bCs/>
          <w:color w:val="auto"/>
          <w:sz w:val="21"/>
          <w:szCs w:val="21"/>
          <w:highlight w:val="none"/>
        </w:rPr>
        <w:t>月</w:t>
      </w:r>
      <w:r>
        <w:rPr>
          <w:rFonts w:hint="eastAsia"/>
          <w:bCs/>
          <w:color w:val="auto"/>
          <w:sz w:val="21"/>
          <w:szCs w:val="21"/>
          <w:highlight w:val="none"/>
          <w:lang w:val="en-US" w:eastAsia="zh-CN"/>
        </w:rPr>
        <w:t>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w:t>
      </w:r>
      <w:r>
        <w:rPr>
          <w:rFonts w:hint="eastAsia"/>
          <w:bCs/>
          <w:color w:val="auto"/>
          <w:sz w:val="21"/>
          <w:szCs w:val="21"/>
          <w:highlight w:val="none"/>
          <w:lang w:val="en-US" w:eastAsia="zh-CN"/>
        </w:rPr>
        <w:t>3</w:t>
      </w:r>
      <w:r>
        <w:rPr>
          <w:rFonts w:hint="eastAsia"/>
          <w:bCs/>
          <w:color w:val="auto"/>
          <w:sz w:val="21"/>
          <w:szCs w:val="21"/>
          <w:highlight w:val="none"/>
        </w:rPr>
        <w:t>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pPr>
        <w:adjustRightInd w:val="0"/>
        <w:snapToGrid w:val="0"/>
        <w:spacing w:line="288" w:lineRule="auto"/>
        <w:rPr>
          <w:b/>
          <w:color w:val="auto"/>
          <w:sz w:val="21"/>
          <w:szCs w:val="21"/>
          <w:highlight w:val="none"/>
        </w:rPr>
      </w:pPr>
      <w:bookmarkStart w:id="17" w:name="_Toc28359084"/>
      <w:bookmarkStart w:id="18" w:name="_Toc35393625"/>
      <w:bookmarkStart w:id="19" w:name="_Toc35393794"/>
      <w:bookmarkStart w:id="20" w:name="_Toc28359007"/>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开启时间：2024年</w:t>
      </w:r>
      <w:r>
        <w:rPr>
          <w:rFonts w:hint="eastAsia"/>
          <w:bCs/>
          <w:color w:val="auto"/>
          <w:sz w:val="21"/>
          <w:szCs w:val="21"/>
          <w:highlight w:val="none"/>
          <w:lang w:val="en-US" w:eastAsia="zh-CN"/>
        </w:rPr>
        <w:t>6</w:t>
      </w:r>
      <w:r>
        <w:rPr>
          <w:rFonts w:hint="eastAsia"/>
          <w:bCs/>
          <w:color w:val="auto"/>
          <w:sz w:val="21"/>
          <w:szCs w:val="21"/>
          <w:highlight w:val="none"/>
        </w:rPr>
        <w:t>月</w:t>
      </w:r>
      <w:r>
        <w:rPr>
          <w:rFonts w:hint="eastAsia"/>
          <w:bCs/>
          <w:color w:val="auto"/>
          <w:sz w:val="21"/>
          <w:szCs w:val="21"/>
          <w:highlight w:val="none"/>
          <w:lang w:val="en-US" w:eastAsia="zh-CN"/>
        </w:rPr>
        <w:t>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w:t>
      </w:r>
      <w:r>
        <w:rPr>
          <w:rFonts w:hint="eastAsia"/>
          <w:bCs/>
          <w:color w:val="auto"/>
          <w:sz w:val="21"/>
          <w:szCs w:val="21"/>
          <w:highlight w:val="none"/>
          <w:lang w:val="en-US" w:eastAsia="zh-CN"/>
        </w:rPr>
        <w:t>3</w:t>
      </w:r>
      <w:r>
        <w:rPr>
          <w:rFonts w:hint="eastAsia"/>
          <w:bCs/>
          <w:color w:val="auto"/>
          <w:sz w:val="21"/>
          <w:szCs w:val="21"/>
          <w:highlight w:val="none"/>
        </w:rPr>
        <w:t>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21</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4</w:t>
      </w:r>
      <w:r>
        <w:rPr>
          <w:rFonts w:hint="eastAsia" w:cs="Times New Roman"/>
          <w:color w:val="auto"/>
          <w:sz w:val="21"/>
          <w:szCs w:val="21"/>
          <w:highlight w:val="none"/>
        </w:rPr>
        <w:t>）</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35393627"/>
      <w:bookmarkStart w:id="25" w:name="_Toc35393796"/>
      <w:bookmarkStart w:id="26" w:name="_Toc28359085"/>
      <w:bookmarkStart w:id="27"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项目联系人（询问）：王老师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项目联系方式（询问）：0571-87200192</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质疑联系人：林老师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质疑联系方式：0571-87164774</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项目联系人（询问）：陈培特、王莹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质疑联系人：刘璐</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rFonts w:cs="Times New Roman"/>
          <w:color w:val="auto"/>
          <w:sz w:val="21"/>
          <w:szCs w:val="21"/>
          <w:highlight w:val="none"/>
        </w:rPr>
      </w:pP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若对项目采购电子交易系统操作有疑问，可登录政采云（</w:t>
      </w:r>
      <w:r>
        <w:rPr>
          <w:rFonts w:cs="Times New Roman"/>
          <w:color w:val="auto"/>
          <w:spacing w:val="-6"/>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396" w:firstLineChars="200"/>
        <w:rPr>
          <w:rFonts w:cs="Times New Roman"/>
          <w:color w:val="auto"/>
          <w:sz w:val="21"/>
          <w:szCs w:val="21"/>
          <w:highlight w:val="none"/>
        </w:rPr>
      </w:pPr>
      <w:r>
        <w:rPr>
          <w:rFonts w:cs="Times New Roman"/>
          <w:color w:val="auto"/>
          <w:spacing w:val="-6"/>
          <w:sz w:val="21"/>
          <w:szCs w:val="21"/>
          <w:highlight w:val="none"/>
        </w:rPr>
        <w:t>CA问题联系电话（人工）：汇信CA400-888-4636；天谷CA400-087-8198。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26"/>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本项目属性为：服务</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采购标的对应的中小企业划分标准所属行业：其他未列明行业</w:t>
            </w:r>
          </w:p>
          <w:p>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29"/>
    </w:tbl>
    <w:p>
      <w:pPr>
        <w:adjustRightInd w:val="0"/>
        <w:snapToGrid w:val="0"/>
        <w:spacing w:line="288" w:lineRule="auto"/>
        <w:jc w:val="left"/>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26"/>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1.合同签订后5个工作日内，中标人向采购人提交合同总价</w:t>
            </w:r>
            <w:r>
              <w:rPr>
                <w:color w:val="auto"/>
                <w:spacing w:val="-6"/>
                <w:kern w:val="0"/>
                <w:sz w:val="21"/>
                <w:szCs w:val="21"/>
                <w:highlight w:val="none"/>
              </w:rPr>
              <w:t>1</w:t>
            </w:r>
            <w:r>
              <w:rPr>
                <w:rFonts w:hint="eastAsia"/>
                <w:color w:val="auto"/>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2.履约保证金提交方式：支票、汇票、本票或金融机构、担保机构出具的保函等非现金形式。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合同生效以及具备实施条件后7个工作日内，</w:t>
            </w:r>
            <w:r>
              <w:rPr>
                <w:rFonts w:hint="eastAsia"/>
                <w:color w:val="auto"/>
                <w:sz w:val="21"/>
                <w:szCs w:val="21"/>
                <w:highlight w:val="none"/>
              </w:rPr>
              <w:t>且中标人已向采购人提交履约保证金或履约保函的，</w:t>
            </w:r>
            <w:r>
              <w:rPr>
                <w:rFonts w:hint="eastAsia"/>
                <w:color w:val="auto"/>
                <w:spacing w:val="-6"/>
                <w:kern w:val="0"/>
                <w:sz w:val="21"/>
                <w:szCs w:val="21"/>
                <w:highlight w:val="none"/>
              </w:rPr>
              <w:t>采购人向中标人支付合同总价的40%；项目履约完成，经采购人验收合格</w:t>
            </w:r>
            <w:r>
              <w:rPr>
                <w:rFonts w:hint="eastAsia"/>
                <w:color w:val="auto"/>
                <w:sz w:val="21"/>
                <w:szCs w:val="21"/>
                <w:highlight w:val="none"/>
              </w:rPr>
              <w:t>且工程搭建部分经审计后，</w:t>
            </w:r>
            <w:r>
              <w:rPr>
                <w:rFonts w:hint="eastAsia"/>
                <w:color w:val="auto"/>
                <w:spacing w:val="-6"/>
                <w:kern w:val="0"/>
                <w:sz w:val="21"/>
                <w:szCs w:val="21"/>
                <w:highlight w:val="none"/>
              </w:rPr>
              <w:t>采购人收到发票后7个工作日内，</w:t>
            </w:r>
            <w:r>
              <w:rPr>
                <w:rFonts w:hint="eastAsia"/>
                <w:color w:val="auto"/>
                <w:sz w:val="21"/>
                <w:szCs w:val="21"/>
                <w:highlight w:val="none"/>
              </w:rPr>
              <w:t>支付</w:t>
            </w:r>
            <w:r>
              <w:rPr>
                <w:rFonts w:hint="eastAsia"/>
                <w:color w:val="auto"/>
                <w:spacing w:val="-6"/>
                <w:kern w:val="0"/>
                <w:sz w:val="21"/>
                <w:szCs w:val="21"/>
                <w:highlight w:val="none"/>
              </w:rPr>
              <w:t>剩余款项。</w:t>
            </w:r>
          </w:p>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在签订合同时，中标人明确表示无需预付款或者主动要求降低预付款比例的，可降低预付款比例。</w:t>
            </w:r>
          </w:p>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rFonts w:cs="Times New Roman"/>
          <w:b/>
          <w:color w:val="auto"/>
          <w:szCs w:val="21"/>
          <w:highlight w:val="none"/>
        </w:rPr>
      </w:pPr>
      <w:r>
        <w:rPr>
          <w:rFonts w:hint="eastAsia" w:cs="Times New Roman"/>
          <w:b/>
          <w:color w:val="auto"/>
          <w:szCs w:val="21"/>
          <w:highlight w:val="none"/>
        </w:rPr>
        <w:t>三、服务要求（技术要求里另有注明的以技术要求为准）</w:t>
      </w:r>
    </w:p>
    <w:tbl>
      <w:tblPr>
        <w:tblStyle w:val="26"/>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pPr>
              <w:widowControl/>
              <w:rPr>
                <w:color w:val="auto"/>
                <w:spacing w:val="-6"/>
                <w:sz w:val="21"/>
                <w:szCs w:val="21"/>
                <w:highlight w:val="none"/>
              </w:rPr>
            </w:pPr>
            <w:r>
              <w:rPr>
                <w:color w:val="auto"/>
                <w:spacing w:val="-6"/>
                <w:sz w:val="21"/>
                <w:szCs w:val="21"/>
                <w:highlight w:val="none"/>
              </w:rPr>
              <w:t>1.服务周期：</w:t>
            </w:r>
            <w:r>
              <w:rPr>
                <w:rFonts w:hint="eastAsia"/>
                <w:color w:val="auto"/>
                <w:spacing w:val="-6"/>
                <w:sz w:val="21"/>
                <w:szCs w:val="21"/>
                <w:highlight w:val="none"/>
              </w:rPr>
              <w:t>2024年06月15日前完成，</w:t>
            </w:r>
            <w:r>
              <w:rPr>
                <w:rFonts w:hint="eastAsia"/>
                <w:color w:val="auto"/>
                <w:sz w:val="21"/>
                <w:szCs w:val="21"/>
                <w:highlight w:val="none"/>
              </w:rPr>
              <w:t>此时间为暂定时间，会根据实际情况进行调整</w:t>
            </w:r>
            <w:r>
              <w:rPr>
                <w:rFonts w:hint="eastAsia"/>
                <w:color w:val="auto"/>
                <w:spacing w:val="-6"/>
                <w:sz w:val="21"/>
                <w:szCs w:val="21"/>
                <w:highlight w:val="none"/>
              </w:rPr>
              <w:t>。</w:t>
            </w:r>
            <w:r>
              <w:rPr>
                <w:color w:val="auto"/>
                <w:spacing w:val="-6"/>
                <w:sz w:val="21"/>
                <w:szCs w:val="21"/>
                <w:highlight w:val="none"/>
              </w:rPr>
              <w:t xml:space="preserve"> </w:t>
            </w:r>
            <w:r>
              <w:rPr>
                <w:rFonts w:hint="eastAsia"/>
                <w:color w:val="auto"/>
                <w:spacing w:val="-6"/>
                <w:sz w:val="21"/>
                <w:szCs w:val="21"/>
                <w:highlight w:val="none"/>
              </w:rPr>
              <w:t>展期1个月。</w:t>
            </w:r>
            <w:r>
              <w:rPr>
                <w:color w:val="auto"/>
                <w:spacing w:val="-6"/>
                <w:sz w:val="21"/>
                <w:szCs w:val="21"/>
                <w:highlight w:val="none"/>
              </w:rPr>
              <w:t xml:space="preserve"> </w:t>
            </w:r>
            <w:r>
              <w:rPr>
                <w:rFonts w:hint="eastAsia"/>
                <w:color w:val="auto"/>
                <w:spacing w:val="-6"/>
                <w:sz w:val="21"/>
                <w:szCs w:val="21"/>
                <w:highlight w:val="none"/>
              </w:rPr>
              <w:t>如遇展览延期，会提前10天通知供货商。合同履约期限直到展览结束。【含延期时间】</w:t>
            </w:r>
          </w:p>
          <w:p>
            <w:pPr>
              <w:snapToGrid w:val="0"/>
              <w:rPr>
                <w:color w:val="auto"/>
                <w:spacing w:val="-6"/>
                <w:sz w:val="21"/>
                <w:szCs w:val="21"/>
                <w:highlight w:val="none"/>
              </w:rPr>
            </w:pPr>
            <w:r>
              <w:rPr>
                <w:rFonts w:hint="eastAsia"/>
                <w:color w:val="auto"/>
                <w:spacing w:val="-6"/>
                <w:sz w:val="21"/>
                <w:szCs w:val="21"/>
                <w:highlight w:val="none"/>
              </w:rPr>
              <w:t>2.地点：中国国家博物馆（中国北京东城区东长安街16号）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r>
              <w:rPr>
                <w:rFonts w:hint="eastAsia"/>
                <w:b/>
                <w:bCs/>
                <w:color w:val="auto"/>
                <w:sz w:val="21"/>
                <w:szCs w:val="21"/>
                <w:highlight w:val="none"/>
              </w:rPr>
              <w:t>服务、验收标准：</w:t>
            </w:r>
          </w:p>
          <w:p>
            <w:pPr>
              <w:rPr>
                <w:color w:val="auto"/>
                <w:sz w:val="21"/>
                <w:szCs w:val="21"/>
                <w:highlight w:val="none"/>
              </w:rPr>
            </w:pPr>
            <w:r>
              <w:rPr>
                <w:rFonts w:hint="eastAsia"/>
                <w:color w:val="auto"/>
                <w:sz w:val="21"/>
                <w:szCs w:val="21"/>
                <w:highlight w:val="none"/>
              </w:rPr>
              <w:t>1.国家规定的标准及规范，按最新的标准及规范执行；</w:t>
            </w:r>
          </w:p>
          <w:p>
            <w:pPr>
              <w:rPr>
                <w:color w:val="auto"/>
                <w:sz w:val="21"/>
                <w:szCs w:val="21"/>
                <w:highlight w:val="none"/>
              </w:rPr>
            </w:pPr>
            <w:r>
              <w:rPr>
                <w:rFonts w:hint="eastAsia"/>
                <w:color w:val="auto"/>
                <w:sz w:val="21"/>
                <w:szCs w:val="21"/>
                <w:highlight w:val="none"/>
              </w:rPr>
              <w:t>2.行业标准及规范，按最新的标准及规范执行；</w:t>
            </w:r>
          </w:p>
          <w:p>
            <w:pPr>
              <w:rPr>
                <w:color w:val="auto"/>
                <w:sz w:val="21"/>
                <w:szCs w:val="21"/>
                <w:highlight w:val="none"/>
              </w:rPr>
            </w:pPr>
            <w:r>
              <w:rPr>
                <w:rFonts w:hint="eastAsia"/>
                <w:color w:val="auto"/>
                <w:sz w:val="21"/>
                <w:szCs w:val="21"/>
                <w:highlight w:val="none"/>
              </w:rPr>
              <w:t>3.与服务有关的材料设备质量应符合中华人民共和国及所在国的有关质量标准，上述如有不一致，执行两者中更严格的标准。</w:t>
            </w:r>
          </w:p>
        </w:tc>
      </w:tr>
    </w:tbl>
    <w:p>
      <w:pPr>
        <w:adjustRightInd w:val="0"/>
        <w:snapToGrid w:val="0"/>
        <w:spacing w:line="288" w:lineRule="auto"/>
        <w:rPr>
          <w:rFonts w:cs="Times New Roman"/>
          <w:b/>
          <w:color w:val="auto"/>
          <w:szCs w:val="21"/>
          <w:highlight w:val="none"/>
        </w:rPr>
      </w:pPr>
    </w:p>
    <w:p>
      <w:pPr>
        <w:adjustRightInd w:val="0"/>
        <w:snapToGrid w:val="0"/>
        <w:spacing w:line="288" w:lineRule="auto"/>
        <w:outlineLvl w:val="1"/>
        <w:rPr>
          <w:rFonts w:cs="Times New Roman"/>
          <w:b/>
          <w:color w:val="auto"/>
          <w:szCs w:val="21"/>
          <w:highlight w:val="none"/>
        </w:rPr>
      </w:pPr>
      <w:r>
        <w:rPr>
          <w:rFonts w:hint="eastAsia" w:cs="Times New Roman"/>
          <w:b/>
          <w:color w:val="auto"/>
          <w:szCs w:val="21"/>
          <w:highlight w:val="none"/>
        </w:rPr>
        <w:t>四、技术要求</w:t>
      </w:r>
    </w:p>
    <w:p>
      <w:pPr>
        <w:adjustRightInd w:val="0"/>
        <w:snapToGrid w:val="0"/>
        <w:spacing w:line="288" w:lineRule="auto"/>
        <w:rPr>
          <w:b/>
          <w:bCs/>
          <w:color w:val="auto"/>
          <w:sz w:val="21"/>
          <w:szCs w:val="21"/>
          <w:highlight w:val="none"/>
        </w:rPr>
      </w:pPr>
      <w:bookmarkStart w:id="31" w:name="_Hlk92271413"/>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2" w:name="_Hlk94018176"/>
      <w:r>
        <w:rPr>
          <w:rFonts w:hint="eastAsia"/>
          <w:color w:val="auto"/>
          <w:sz w:val="21"/>
          <w:szCs w:val="21"/>
          <w:highlight w:val="none"/>
        </w:rPr>
        <w:t>如技术要求中未注明需执行的国家相关标准、行业标准、地方标准或者其他标准、规范的，执行最新标准、规范。</w:t>
      </w:r>
      <w:bookmarkEnd w:id="32"/>
    </w:p>
    <w:bookmarkEnd w:id="31"/>
    <w:p>
      <w:pPr>
        <w:adjustRightInd w:val="0"/>
        <w:snapToGrid w:val="0"/>
        <w:spacing w:line="288" w:lineRule="auto"/>
        <w:rPr>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w:t>
      </w:r>
      <w:r>
        <w:rPr>
          <w:rFonts w:hint="eastAsia"/>
          <w:color w:val="auto"/>
          <w:sz w:val="21"/>
          <w:szCs w:val="21"/>
          <w:highlight w:val="none"/>
        </w:rPr>
        <w:t>完成文创设计制造业协同创新中心“DIA 十年：北京特展”展览搭建服务项目目标</w:t>
      </w:r>
    </w:p>
    <w:p>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pPr>
        <w:adjustRightInd w:val="0"/>
        <w:snapToGrid w:val="0"/>
        <w:spacing w:line="288" w:lineRule="auto"/>
        <w:rPr>
          <w:rFonts w:cs="Times New Roman"/>
          <w:b/>
          <w:bCs/>
          <w:color w:val="auto"/>
          <w:spacing w:val="-4"/>
          <w:sz w:val="21"/>
          <w:szCs w:val="21"/>
          <w:highlight w:val="none"/>
        </w:rPr>
      </w:pPr>
      <w:bookmarkStart w:id="33" w:name="_Toc23408"/>
      <w:bookmarkStart w:id="34" w:name="_Toc12471"/>
      <w:bookmarkStart w:id="35" w:name="_Toc194983818"/>
      <w:bookmarkStart w:id="36" w:name="_Toc203558307"/>
      <w:bookmarkStart w:id="37" w:name="_Toc306304665"/>
      <w:r>
        <w:rPr>
          <w:rFonts w:hint="eastAsia" w:cs="Times New Roman"/>
          <w:b/>
          <w:bCs/>
          <w:color w:val="auto"/>
          <w:spacing w:val="-4"/>
          <w:sz w:val="21"/>
          <w:szCs w:val="21"/>
          <w:highlight w:val="none"/>
        </w:rPr>
        <w:t>（</w:t>
      </w:r>
      <w:bookmarkStart w:id="38" w:name="_Toc5161"/>
      <w:bookmarkStart w:id="39" w:name="_Toc30857"/>
      <w:bookmarkStart w:id="40" w:name="_Toc21115"/>
      <w:bookmarkStart w:id="41" w:name="_Toc32037"/>
      <w:bookmarkStart w:id="42" w:name="_Toc12614"/>
      <w:bookmarkStart w:id="43" w:name="_Toc418846105"/>
      <w:r>
        <w:rPr>
          <w:rFonts w:hint="eastAsia" w:cs="Times New Roman"/>
          <w:b/>
          <w:bCs/>
          <w:color w:val="auto"/>
          <w:spacing w:val="-4"/>
          <w:sz w:val="21"/>
          <w:szCs w:val="21"/>
          <w:highlight w:val="none"/>
        </w:rPr>
        <w:t>一</w:t>
      </w:r>
      <w:bookmarkEnd w:id="38"/>
      <w:bookmarkEnd w:id="39"/>
      <w:bookmarkEnd w:id="40"/>
      <w:bookmarkEnd w:id="41"/>
      <w:bookmarkEnd w:id="42"/>
      <w:bookmarkEnd w:id="43"/>
      <w:r>
        <w:rPr>
          <w:rFonts w:hint="eastAsia" w:cs="Times New Roman"/>
          <w:b/>
          <w:bCs/>
          <w:color w:val="auto"/>
          <w:spacing w:val="-4"/>
          <w:sz w:val="21"/>
          <w:szCs w:val="21"/>
          <w:highlight w:val="none"/>
        </w:rPr>
        <w:t>）项目内容</w:t>
      </w:r>
      <w:bookmarkEnd w:id="33"/>
    </w:p>
    <w:p>
      <w:pPr>
        <w:adjustRightInd w:val="0"/>
        <w:snapToGrid w:val="0"/>
        <w:spacing w:line="288" w:lineRule="auto"/>
        <w:ind w:firstLine="396" w:firstLineChars="200"/>
        <w:rPr>
          <w:rFonts w:cs="Times New Roman"/>
          <w:color w:val="auto"/>
          <w:spacing w:val="-6"/>
          <w:sz w:val="21"/>
          <w:szCs w:val="21"/>
          <w:highlight w:val="none"/>
        </w:rPr>
      </w:pPr>
      <w:bookmarkStart w:id="44" w:name="_Toc2166"/>
      <w:bookmarkStart w:id="45" w:name="_Toc87"/>
      <w:r>
        <w:rPr>
          <w:rFonts w:hint="eastAsia" w:cs="Times New Roman"/>
          <w:color w:val="auto"/>
          <w:spacing w:val="-6"/>
          <w:sz w:val="21"/>
          <w:szCs w:val="21"/>
          <w:highlight w:val="none"/>
        </w:rPr>
        <w:t>1、本次展览从中国设计智造大奖的视角，以“设计智造与新质生产力的关系”为总体逻辑，系统展示数智化、科艺融合对中国未来产业及教育研发的深刻性变革作用。这些展品充分展示中国设计与智造的最强实力，突显新时代产业高质量发展和智能化转型方面所取得的巨大成就。展览将为新质生产力及产业发展提供鲜活样本和典型案例，为学术界和产业界提供有益的参考和启示。</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2、供应商负责完成现场墙面粉刷、展具制作与安装、物料定制、弱电、灯光与设备租赁、垃圾清运、24小时全天候展览制作与布置加班等服务。需到达具有前沿科技含量的展陈效果。</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 xml:space="preserve">3、其它要求： </w:t>
      </w:r>
    </w:p>
    <w:bookmarkEnd w:id="44"/>
    <w:bookmarkEnd w:id="45"/>
    <w:p>
      <w:pPr>
        <w:adjustRightInd w:val="0"/>
        <w:snapToGrid w:val="0"/>
        <w:spacing w:line="288" w:lineRule="auto"/>
        <w:ind w:firstLine="396" w:firstLineChars="200"/>
        <w:rPr>
          <w:rFonts w:cs="Times New Roman"/>
          <w:color w:val="auto"/>
          <w:spacing w:val="-6"/>
          <w:sz w:val="21"/>
          <w:szCs w:val="21"/>
          <w:highlight w:val="none"/>
        </w:rPr>
      </w:pPr>
      <w:bookmarkStart w:id="46" w:name="_Toc25355"/>
      <w:bookmarkStart w:id="47" w:name="_Toc9592"/>
      <w:bookmarkStart w:id="48" w:name="_Toc10707"/>
      <w:bookmarkStart w:id="49" w:name="_Toc27438"/>
      <w:bookmarkStart w:id="50" w:name="_Toc12468"/>
      <w:r>
        <w:rPr>
          <w:rFonts w:hint="eastAsia" w:cs="Times New Roman"/>
          <w:color w:val="auto"/>
          <w:spacing w:val="-6"/>
          <w:sz w:val="21"/>
          <w:szCs w:val="21"/>
          <w:highlight w:val="none"/>
        </w:rPr>
        <w:t>国家博物馆为一类博物馆，为确保展览安全顺利进行，严格遵循国家相关防火安全标准，需要选用符合要求的防火材料及和符合采购人展览效果的定制材料，整体项目需要在工厂预制后到国家博物馆进行搭建。需要按照国家博物馆要求提供相应的材料样本。</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4、车辆要求：车辆需为京牌，且能够进入天安门国家博物馆区域装卸货、搭建。只能夜间卸货、安装。</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5、本次搭建为全流程展览搭建服务，包括布景搭建、展览展具定制、装置定制、环境灯光、地毯、刷墙等。</w:t>
      </w:r>
    </w:p>
    <w:p>
      <w:pPr>
        <w:pStyle w:val="2"/>
        <w:rPr>
          <w:color w:val="auto"/>
          <w:highlight w:val="none"/>
        </w:rPr>
      </w:pPr>
      <w:r>
        <w:rPr>
          <w:rFonts w:hint="eastAsia"/>
          <w:color w:val="auto"/>
          <w:highlight w:val="none"/>
        </w:rPr>
        <w:t>6、展览期间的搭建维护工作。</w:t>
      </w:r>
    </w:p>
    <w:bookmarkEnd w:id="46"/>
    <w:bookmarkEnd w:id="47"/>
    <w:bookmarkEnd w:id="48"/>
    <w:p>
      <w:pPr>
        <w:adjustRightInd w:val="0"/>
        <w:snapToGrid w:val="0"/>
        <w:spacing w:line="288" w:lineRule="auto"/>
        <w:rPr>
          <w:rFonts w:cs="Times New Roman"/>
          <w:b/>
          <w:bCs/>
          <w:color w:val="auto"/>
          <w:spacing w:val="-4"/>
          <w:sz w:val="21"/>
          <w:szCs w:val="21"/>
          <w:highlight w:val="none"/>
        </w:rPr>
      </w:pPr>
      <w:r>
        <w:rPr>
          <w:rFonts w:hint="eastAsia" w:cs="Times New Roman"/>
          <w:b/>
          <w:bCs/>
          <w:color w:val="auto"/>
          <w:spacing w:val="-4"/>
          <w:sz w:val="21"/>
          <w:szCs w:val="21"/>
          <w:highlight w:val="none"/>
        </w:rPr>
        <w:t>（二）项目具体要求</w:t>
      </w:r>
      <w:bookmarkEnd w:id="49"/>
      <w:r>
        <w:rPr>
          <w:rFonts w:hint="eastAsia" w:cs="Times New Roman"/>
          <w:b/>
          <w:bCs/>
          <w:color w:val="auto"/>
          <w:spacing w:val="-4"/>
          <w:sz w:val="21"/>
          <w:szCs w:val="21"/>
          <w:highlight w:val="none"/>
        </w:rPr>
        <w:t>（图纸详见附件）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具体制作内容，包括但不仅限以下4条：</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1、制作要求严格按照项目整体的设计，与展陈场地、建筑、空间协调、统一。</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2、展览需要的临时柜罩、展台、展品托架、展壁、展墙及基础制作。</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3、搭建及其他：含隔墙等的搭建、电箱、拆除、清运、卫生等。具体以用户要求为准。</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4、租赁服务。展览相关灯具的租赁服务及安装。</w:t>
      </w:r>
    </w:p>
    <w:bookmarkEnd w:id="50"/>
    <w:p>
      <w:pPr>
        <w:adjustRightInd w:val="0"/>
        <w:snapToGrid w:val="0"/>
        <w:spacing w:line="288" w:lineRule="auto"/>
        <w:rPr>
          <w:rFonts w:cs="Times New Roman"/>
          <w:b/>
          <w:bCs/>
          <w:color w:val="auto"/>
          <w:spacing w:val="-4"/>
          <w:sz w:val="21"/>
          <w:szCs w:val="21"/>
          <w:highlight w:val="none"/>
        </w:rPr>
      </w:pPr>
      <w:bookmarkStart w:id="51" w:name="_Toc31659"/>
      <w:r>
        <w:rPr>
          <w:rFonts w:hint="eastAsia" w:cs="Times New Roman"/>
          <w:b/>
          <w:bCs/>
          <w:color w:val="auto"/>
          <w:spacing w:val="-4"/>
          <w:sz w:val="21"/>
          <w:szCs w:val="21"/>
          <w:highlight w:val="none"/>
        </w:rPr>
        <w:t>（三）材料要求</w:t>
      </w:r>
      <w:bookmarkEnd w:id="51"/>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采购范围内的布展材料均由成交供应商根据本磋商文件、深化（施工）设计图纸和国家有关规定的具体要求进行采购、运输、检验、保管。所有材料须有产品合格证和质量保证书，符合节能、和环保要求和国家规定的技术标准。</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2、由成交供应商采购的主要布展材料，当成交供应商选定产品质量达不到设计要求（或效果要求）和预期质量目标时，采购人保留更换的权利，费用不增加。</w:t>
      </w:r>
    </w:p>
    <w:p>
      <w:pPr>
        <w:adjustRightInd w:val="0"/>
        <w:snapToGrid w:val="0"/>
        <w:spacing w:line="288" w:lineRule="auto"/>
        <w:rPr>
          <w:rFonts w:cs="Times New Roman"/>
          <w:b/>
          <w:bCs/>
          <w:color w:val="auto"/>
          <w:spacing w:val="-4"/>
          <w:sz w:val="21"/>
          <w:szCs w:val="21"/>
          <w:highlight w:val="none"/>
        </w:rPr>
      </w:pPr>
      <w:bookmarkStart w:id="52" w:name="_Toc10895"/>
      <w:r>
        <w:rPr>
          <w:rFonts w:hint="eastAsia" w:cs="Times New Roman"/>
          <w:b/>
          <w:bCs/>
          <w:color w:val="auto"/>
          <w:spacing w:val="-4"/>
          <w:sz w:val="21"/>
          <w:szCs w:val="21"/>
          <w:highlight w:val="none"/>
        </w:rPr>
        <w:t>（四）项目团队要求</w:t>
      </w:r>
      <w:bookmarkEnd w:id="52"/>
    </w:p>
    <w:p>
      <w:pPr>
        <w:adjustRightInd w:val="0"/>
        <w:snapToGrid w:val="0"/>
        <w:spacing w:line="288" w:lineRule="auto"/>
        <w:ind w:firstLine="396" w:firstLineChars="200"/>
        <w:rPr>
          <w:rFonts w:cs="Times New Roman"/>
          <w:color w:val="auto"/>
          <w:spacing w:val="-6"/>
          <w:sz w:val="21"/>
          <w:szCs w:val="21"/>
          <w:highlight w:val="none"/>
        </w:rPr>
      </w:pPr>
      <w:bookmarkStart w:id="53" w:name="_Toc215391204"/>
      <w:bookmarkStart w:id="54" w:name="_Toc14984"/>
      <w:r>
        <w:rPr>
          <w:rFonts w:hint="eastAsia" w:cs="Times New Roman"/>
          <w:color w:val="auto"/>
          <w:spacing w:val="-6"/>
          <w:sz w:val="21"/>
          <w:szCs w:val="21"/>
          <w:highlight w:val="none"/>
        </w:rPr>
        <w:t>1、供应商为本项目配备技术团队。</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2、项目实施过程中，设项目负责人1名，应具有同类工作实践经验。</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除上述人员外，团队成员若干名，应具有相应资质或经验，可以满足项目需求。响应文件中应提供团队成员名单，每个专业人员的情况和数量应该明确表示，明确各阶段投入人数；每个参加项目人员提供履历介绍，主要内容包括学历、工作特长、经验与业绩、资质情况等，该人员参与的时间以及在项目中的责任。</w:t>
      </w:r>
    </w:p>
    <w:bookmarkEnd w:id="34"/>
    <w:bookmarkEnd w:id="35"/>
    <w:bookmarkEnd w:id="36"/>
    <w:bookmarkEnd w:id="37"/>
    <w:bookmarkEnd w:id="53"/>
    <w:bookmarkEnd w:id="54"/>
    <w:p>
      <w:pPr>
        <w:adjustRightInd w:val="0"/>
        <w:snapToGrid w:val="0"/>
        <w:spacing w:line="288" w:lineRule="auto"/>
        <w:rPr>
          <w:rFonts w:cs="Times New Roman"/>
          <w:b/>
          <w:bCs/>
          <w:color w:val="auto"/>
          <w:spacing w:val="-4"/>
          <w:sz w:val="21"/>
          <w:szCs w:val="21"/>
          <w:highlight w:val="none"/>
        </w:rPr>
      </w:pPr>
      <w:bookmarkStart w:id="55" w:name="_Toc1603"/>
      <w:bookmarkStart w:id="56" w:name="_Toc28671"/>
      <w:bookmarkStart w:id="57" w:name="_Toc14343"/>
      <w:bookmarkStart w:id="58" w:name="_Toc20748"/>
      <w:r>
        <w:rPr>
          <w:rFonts w:hint="eastAsia" w:cs="Times New Roman"/>
          <w:b/>
          <w:bCs/>
          <w:color w:val="auto"/>
          <w:spacing w:val="-4"/>
          <w:sz w:val="21"/>
          <w:szCs w:val="21"/>
          <w:highlight w:val="none"/>
        </w:rPr>
        <w:t>（五）验收</w:t>
      </w:r>
      <w:bookmarkEnd w:id="55"/>
      <w:bookmarkEnd w:id="56"/>
      <w:bookmarkEnd w:id="57"/>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1、验收主体：中国美术学院。</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2、采购人在成交供应商提供服务的过程中，有权不定期对服务内容和质量进行考核。成交供应商应当配合进行。</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3、最终验收时间：服务内容执行完毕、服务期截止后。</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4、验收程序：成交供应商向采购人提出申请验收，采购人按验收方案组织履约验收。成交供应商应将项目执行过程及时记录、收集、整理，向采购人递交验收申请资料。</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5、验收内容：成交供应商实际完成的情况是否符合磋商文件要求和成交供应商在磋商响应文件中的商务、技术承诺。</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6、验收标准：成交供应商已经按磋商文件要求和成交供应商在磋商响应文件中的商务、技术承诺完成项目执行。</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7、验收时乙方应在现场，验收完毕后作出验收结果报告；验收产生的费用，属于首次验收不合格，重新验收过程中产生的，由乙方承担。</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8、经验收后，成交供应商服务成果不合格的（或未通过评审的），采购人有权要求成交供应商进行整改，相关费用由成交供应商承担；如整改后仍不合格的，采购人有权解除合同，并可以拒绝支付未支付的款项，成交供应商已经收取的款项应退还给采购人。</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9、具体验收流程、程序以采购人要求为准。</w:t>
      </w:r>
    </w:p>
    <w:bookmarkEnd w:id="58"/>
    <w:p>
      <w:pPr>
        <w:rPr>
          <w:rFonts w:hint="eastAsia" w:cs="Times New Roman"/>
          <w:color w:val="auto"/>
          <w:spacing w:val="-6"/>
          <w:sz w:val="21"/>
          <w:szCs w:val="21"/>
          <w:highlight w:val="none"/>
        </w:rPr>
      </w:pPr>
      <w:r>
        <w:rPr>
          <w:rFonts w:hint="eastAsia" w:cs="Times New Roman"/>
          <w:b/>
          <w:bCs/>
          <w:color w:val="auto"/>
          <w:spacing w:val="-4"/>
          <w:sz w:val="21"/>
          <w:szCs w:val="21"/>
          <w:highlight w:val="none"/>
        </w:rPr>
        <w:t>（六）搭建清单</w:t>
      </w:r>
    </w:p>
    <w:p>
      <w:pPr>
        <w:rPr>
          <w:bCs/>
          <w:color w:val="auto"/>
          <w:highlight w:val="none"/>
        </w:rPr>
      </w:pPr>
    </w:p>
    <w:tbl>
      <w:tblPr>
        <w:tblStyle w:val="26"/>
        <w:tblW w:w="5001"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49"/>
        <w:gridCol w:w="1123"/>
        <w:gridCol w:w="3465"/>
        <w:gridCol w:w="813"/>
        <w:gridCol w:w="1294"/>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序号</w:t>
            </w:r>
          </w:p>
        </w:tc>
        <w:tc>
          <w:tcPr>
            <w:tcW w:w="493" w:type="pct"/>
            <w:shd w:val="clear" w:color="auto" w:fill="FFFFFF"/>
            <w:vAlign w:val="center"/>
          </w:tcPr>
          <w:p>
            <w:pPr>
              <w:rPr>
                <w:color w:val="auto"/>
                <w:sz w:val="21"/>
                <w:szCs w:val="21"/>
                <w:highlight w:val="none"/>
              </w:rPr>
            </w:pPr>
            <w:r>
              <w:rPr>
                <w:rFonts w:hint="eastAsia"/>
                <w:color w:val="auto"/>
                <w:sz w:val="21"/>
                <w:szCs w:val="21"/>
                <w:highlight w:val="none"/>
                <w:lang w:bidi="ar"/>
              </w:rPr>
              <w:t>位置</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品名</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材料及工艺说明</w:t>
            </w:r>
          </w:p>
        </w:tc>
        <w:tc>
          <w:tcPr>
            <w:tcW w:w="422" w:type="pct"/>
            <w:shd w:val="clear" w:color="auto" w:fill="FFFFFF"/>
            <w:vAlign w:val="center"/>
          </w:tcPr>
          <w:p>
            <w:pPr>
              <w:rPr>
                <w:color w:val="auto"/>
                <w:sz w:val="21"/>
                <w:szCs w:val="21"/>
                <w:highlight w:val="none"/>
              </w:rPr>
            </w:pPr>
            <w:r>
              <w:rPr>
                <w:rFonts w:hint="eastAsia"/>
                <w:color w:val="auto"/>
                <w:sz w:val="21"/>
                <w:szCs w:val="21"/>
                <w:highlight w:val="none"/>
                <w:lang w:bidi="ar"/>
              </w:rPr>
              <w:t>单位</w:t>
            </w:r>
          </w:p>
        </w:tc>
        <w:tc>
          <w:tcPr>
            <w:tcW w:w="672" w:type="pct"/>
            <w:shd w:val="clear" w:color="auto" w:fill="FFFFFF"/>
            <w:vAlign w:val="center"/>
          </w:tcPr>
          <w:p>
            <w:pPr>
              <w:rPr>
                <w:color w:val="auto"/>
                <w:sz w:val="21"/>
                <w:szCs w:val="21"/>
                <w:highlight w:val="none"/>
              </w:rPr>
            </w:pPr>
            <w:r>
              <w:rPr>
                <w:rFonts w:hint="eastAsia"/>
                <w:color w:val="auto"/>
                <w:sz w:val="21"/>
                <w:szCs w:val="21"/>
                <w:highlight w:val="none"/>
                <w:lang w:bidi="ar"/>
              </w:rPr>
              <w:t>数量</w:t>
            </w:r>
          </w:p>
        </w:tc>
        <w:tc>
          <w:tcPr>
            <w:tcW w:w="660" w:type="pct"/>
            <w:shd w:val="clear" w:color="auto" w:fill="auto"/>
            <w:noWrap/>
            <w:vAlign w:val="center"/>
          </w:tcPr>
          <w:p>
            <w:pPr>
              <w:rPr>
                <w:color w:val="auto"/>
                <w:sz w:val="21"/>
                <w:szCs w:val="21"/>
                <w:highlight w:val="none"/>
              </w:rPr>
            </w:pPr>
            <w:r>
              <w:rPr>
                <w:rFonts w:hint="eastAsia"/>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地面</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BA级阻燃，烟灰色拉绒地毯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750.0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板块一</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主框架</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圆形地梁、顶梁、铁方通焊接龙骨面封9厘阻燃板预留灯槽，烤漆饰面。</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84</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LED灯带</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150.0</w:t>
            </w:r>
          </w:p>
        </w:tc>
        <w:tc>
          <w:tcPr>
            <w:tcW w:w="660" w:type="pct"/>
            <w:shd w:val="clear" w:color="auto" w:fill="FFFFFF"/>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弧形立柱规格1500X3400MM烤漆饰面6组，</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43</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天花圆形辅助灯架。30*30MM铁方通焊接喷黑色漆</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42.0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50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7</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40.0</w:t>
            </w:r>
          </w:p>
        </w:tc>
        <w:tc>
          <w:tcPr>
            <w:tcW w:w="660" w:type="pct"/>
            <w:shd w:val="clear" w:color="auto" w:fill="FFFFFF"/>
            <w:noWrap/>
            <w:vAlign w:val="center"/>
          </w:tcPr>
          <w:p>
            <w:pPr>
              <w:rPr>
                <w:color w:val="auto"/>
                <w:sz w:val="21"/>
                <w:szCs w:val="21"/>
                <w:highlight w:val="none"/>
              </w:rPr>
            </w:pPr>
            <w:r>
              <w:rPr>
                <w:rFonts w:hint="eastAsia"/>
                <w:bCs/>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8</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外立面材料</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PC炫彩板,BA级阻燃</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81</w:t>
            </w:r>
          </w:p>
        </w:tc>
        <w:tc>
          <w:tcPr>
            <w:tcW w:w="660" w:type="pct"/>
            <w:shd w:val="clear" w:color="auto" w:fill="FFFFFF"/>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9</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1.产业中枢</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30*30MM铁方通焊喷漆3000*3000MM*5个面，中间亚克力盒 组装成鲁班锁</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10</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2.空天智能</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弧形展台烤漆饰面，</w:t>
            </w:r>
            <w:r>
              <w:rPr>
                <w:color w:val="auto"/>
                <w:sz w:val="21"/>
                <w:szCs w:val="21"/>
                <w:highlight w:val="none"/>
                <w:lang w:bidi="ar"/>
              </w:rPr>
              <w:t>12厘阻燃夹板做龙骨，面贴9厘阻燃高密度板</w:t>
            </w:r>
            <w:r>
              <w:rPr>
                <w:rFonts w:hint="eastAsia"/>
                <w:color w:val="auto"/>
                <w:sz w:val="21"/>
                <w:szCs w:val="21"/>
                <w:highlight w:val="none"/>
                <w:lang w:bidi="ar"/>
              </w:rPr>
              <w:t>，截面为150*500MM斜面预留灯槽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16</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11</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3.沉浸智能</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弧形展台烤漆饰面，</w:t>
            </w:r>
            <w:r>
              <w:rPr>
                <w:color w:val="auto"/>
                <w:sz w:val="21"/>
                <w:szCs w:val="21"/>
                <w:highlight w:val="none"/>
                <w:lang w:bidi="ar"/>
              </w:rPr>
              <w:t>12厘阻燃夹板做龙骨，面贴9厘阻燃高密度板</w:t>
            </w:r>
            <w:r>
              <w:rPr>
                <w:rFonts w:hint="eastAsia"/>
                <w:color w:val="auto"/>
                <w:sz w:val="21"/>
                <w:szCs w:val="21"/>
                <w:highlight w:val="none"/>
                <w:lang w:bidi="ar"/>
              </w:rPr>
              <w:t>，截面为150*500MM斜面预留灯槽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12</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场景一</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具身智能</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圆形高低烤漆地台，</w:t>
            </w:r>
            <w:r>
              <w:rPr>
                <w:color w:val="auto"/>
                <w:sz w:val="21"/>
                <w:szCs w:val="21"/>
                <w:highlight w:val="none"/>
                <w:lang w:bidi="ar"/>
              </w:rPr>
              <w:t>12厘阻燃夹板做龙骨，面贴9厘阻燃高密度板</w:t>
            </w:r>
            <w:r>
              <w:rPr>
                <w:rFonts w:hint="eastAsia"/>
                <w:color w:val="auto"/>
                <w:sz w:val="21"/>
                <w:szCs w:val="21"/>
                <w:highlight w:val="none"/>
                <w:lang w:bidi="ar"/>
              </w:rPr>
              <w:t>规格1200*1000MM</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13</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板块二</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主框架</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圆形地梁、顶梁、铁方通焊接龙骨面封9厘阻燃板预留灯槽，烤漆饰面。</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58</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14</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LED灯带</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58</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15</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天花圆形辅助灯架。铁方通焊接喷漆</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29</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16</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25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17</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20</w:t>
            </w:r>
          </w:p>
        </w:tc>
        <w:tc>
          <w:tcPr>
            <w:tcW w:w="660" w:type="pct"/>
            <w:shd w:val="clear" w:color="auto" w:fill="FFFFFF"/>
            <w:noWrap/>
            <w:vAlign w:val="center"/>
          </w:tcPr>
          <w:p>
            <w:pPr>
              <w:rPr>
                <w:color w:val="auto"/>
                <w:sz w:val="21"/>
                <w:szCs w:val="21"/>
                <w:highlight w:val="none"/>
              </w:rPr>
            </w:pPr>
            <w:r>
              <w:rPr>
                <w:rFonts w:hint="eastAsia"/>
                <w:bCs/>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18</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外立面材料</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PC炫彩板,BA级阻燃</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69</w:t>
            </w:r>
          </w:p>
        </w:tc>
        <w:tc>
          <w:tcPr>
            <w:tcW w:w="660" w:type="pct"/>
            <w:shd w:val="clear" w:color="auto" w:fill="FFFFFF"/>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19</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1.机能增强</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弧形展台烤漆饰面，</w:t>
            </w:r>
            <w:r>
              <w:rPr>
                <w:color w:val="auto"/>
                <w:sz w:val="21"/>
                <w:szCs w:val="21"/>
                <w:highlight w:val="none"/>
                <w:lang w:bidi="ar"/>
              </w:rPr>
              <w:t>12厘阻燃夹板做龙骨，面贴9厘阻燃高密度板</w:t>
            </w:r>
            <w:r>
              <w:rPr>
                <w:rFonts w:hint="eastAsia"/>
                <w:color w:val="auto"/>
                <w:sz w:val="21"/>
                <w:szCs w:val="21"/>
                <w:highlight w:val="none"/>
                <w:lang w:bidi="ar"/>
              </w:rPr>
              <w:t>，截面为1000*400斜面预留灯槽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20</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2.生命维护</w:t>
            </w:r>
          </w:p>
        </w:tc>
        <w:tc>
          <w:tcPr>
            <w:tcW w:w="1799" w:type="pct"/>
            <w:shd w:val="clear" w:color="auto" w:fill="FFFFFF"/>
            <w:vAlign w:val="center"/>
          </w:tcPr>
          <w:p>
            <w:pPr>
              <w:jc w:val="left"/>
              <w:rPr>
                <w:color w:val="auto"/>
                <w:sz w:val="21"/>
                <w:szCs w:val="21"/>
                <w:highlight w:val="none"/>
              </w:rPr>
            </w:pPr>
            <w:r>
              <w:rPr>
                <w:rFonts w:hint="eastAsia"/>
                <w:color w:val="auto"/>
                <w:sz w:val="21"/>
                <w:szCs w:val="21"/>
                <w:highlight w:val="none"/>
                <w:lang w:bidi="ar"/>
              </w:rPr>
              <w:t>弧形展台烤漆饰面，</w:t>
            </w:r>
            <w:r>
              <w:rPr>
                <w:color w:val="auto"/>
                <w:sz w:val="21"/>
                <w:szCs w:val="21"/>
                <w:highlight w:val="none"/>
                <w:lang w:bidi="ar"/>
              </w:rPr>
              <w:t>12厘阻燃夹板做龙骨，面贴9厘阻燃高密度板</w:t>
            </w:r>
            <w:r>
              <w:rPr>
                <w:rFonts w:hint="eastAsia"/>
                <w:color w:val="auto"/>
                <w:sz w:val="21"/>
                <w:szCs w:val="21"/>
                <w:highlight w:val="none"/>
                <w:lang w:bidi="ar"/>
              </w:rPr>
              <w:t>，截面为1000*400斜面预留灯槽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371" w:type="pct"/>
            <w:shd w:val="clear" w:color="auto" w:fill="auto"/>
            <w:noWrap/>
            <w:vAlign w:val="center"/>
          </w:tcPr>
          <w:p>
            <w:pPr>
              <w:rPr>
                <w:rFonts w:hint="eastAsia"/>
                <w:color w:val="auto"/>
                <w:sz w:val="21"/>
                <w:szCs w:val="21"/>
                <w:highlight w:val="none"/>
                <w:lang w:bidi="ar"/>
              </w:rPr>
            </w:pPr>
            <w:r>
              <w:rPr>
                <w:rFonts w:hint="eastAsia"/>
                <w:color w:val="auto"/>
                <w:sz w:val="21"/>
                <w:szCs w:val="21"/>
                <w:highlight w:val="none"/>
                <w:lang w:bidi="ar"/>
              </w:rPr>
              <w:t>21</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rFonts w:hint="eastAsia"/>
                <w:color w:val="auto"/>
                <w:sz w:val="21"/>
                <w:szCs w:val="21"/>
                <w:highlight w:val="none"/>
                <w:lang w:bidi="ar"/>
              </w:rPr>
            </w:pPr>
            <w:r>
              <w:rPr>
                <w:rFonts w:hint="eastAsia"/>
                <w:color w:val="auto"/>
                <w:sz w:val="21"/>
                <w:szCs w:val="21"/>
                <w:highlight w:val="none"/>
                <w:lang w:eastAsia="zh-CN" w:bidi="ar"/>
              </w:rPr>
              <w:t>3</w:t>
            </w:r>
            <w:r>
              <w:rPr>
                <w:rFonts w:hint="eastAsia"/>
                <w:color w:val="auto"/>
                <w:sz w:val="21"/>
                <w:szCs w:val="21"/>
                <w:highlight w:val="none"/>
                <w:lang w:bidi="ar"/>
              </w:rPr>
              <w:t>.生命维护 专题展墙</w:t>
            </w:r>
          </w:p>
        </w:tc>
        <w:tc>
          <w:tcPr>
            <w:tcW w:w="1799" w:type="pct"/>
            <w:shd w:val="clear" w:color="auto" w:fill="FFFFFF"/>
            <w:vAlign w:val="center"/>
          </w:tcPr>
          <w:p>
            <w:pPr>
              <w:jc w:val="left"/>
              <w:rPr>
                <w:rFonts w:hint="eastAsia"/>
                <w:color w:val="auto"/>
                <w:sz w:val="21"/>
                <w:szCs w:val="21"/>
                <w:highlight w:val="none"/>
              </w:rPr>
            </w:pPr>
            <w:r>
              <w:rPr>
                <w:rFonts w:hint="eastAsia"/>
                <w:color w:val="auto"/>
                <w:sz w:val="21"/>
                <w:szCs w:val="21"/>
                <w:highlight w:val="none"/>
              </w:rPr>
              <w:t>（1）、专题展墙，规格11000*3000MM，12厘阻燃夹板做龙骨面贴， 9厘阻燃板。</w:t>
            </w:r>
          </w:p>
          <w:p>
            <w:pPr>
              <w:jc w:val="left"/>
              <w:rPr>
                <w:rFonts w:hint="eastAsia"/>
                <w:color w:val="auto"/>
                <w:sz w:val="21"/>
                <w:szCs w:val="21"/>
                <w:highlight w:val="none"/>
              </w:rPr>
            </w:pPr>
            <w:r>
              <w:rPr>
                <w:rFonts w:hint="eastAsia"/>
                <w:color w:val="auto"/>
                <w:sz w:val="21"/>
                <w:szCs w:val="21"/>
                <w:highlight w:val="none"/>
              </w:rPr>
              <w:t>（2）、天花：4000*3000MM，12厘阻燃夹板做龙骨面贴， 9厘阻燃板。</w:t>
            </w:r>
          </w:p>
        </w:tc>
        <w:tc>
          <w:tcPr>
            <w:tcW w:w="422" w:type="pct"/>
            <w:shd w:val="clear" w:color="auto" w:fill="FFFFFF"/>
            <w:noWrap/>
            <w:vAlign w:val="center"/>
          </w:tcPr>
          <w:p>
            <w:pPr>
              <w:rPr>
                <w:rFonts w:hint="eastAsia"/>
                <w:color w:val="auto"/>
                <w:sz w:val="21"/>
                <w:szCs w:val="21"/>
                <w:highlight w:val="none"/>
                <w:lang w:bidi="ar"/>
              </w:rPr>
            </w:pPr>
            <w:r>
              <w:rPr>
                <w:rFonts w:hint="eastAsia"/>
                <w:color w:val="auto"/>
                <w:sz w:val="21"/>
                <w:szCs w:val="21"/>
                <w:highlight w:val="none"/>
                <w:lang w:bidi="ar"/>
              </w:rPr>
              <w:t>米</w:t>
            </w:r>
          </w:p>
        </w:tc>
        <w:tc>
          <w:tcPr>
            <w:tcW w:w="672" w:type="pct"/>
            <w:shd w:val="clear" w:color="auto" w:fill="FFFFFF"/>
            <w:noWrap/>
            <w:vAlign w:val="center"/>
          </w:tcPr>
          <w:p>
            <w:pPr>
              <w:rPr>
                <w:rFonts w:hint="eastAsia"/>
                <w:color w:val="auto"/>
                <w:sz w:val="21"/>
                <w:szCs w:val="21"/>
                <w:highlight w:val="none"/>
                <w:lang w:bidi="ar"/>
              </w:rPr>
            </w:pPr>
            <w:r>
              <w:rPr>
                <w:rFonts w:hint="eastAsia"/>
                <w:color w:val="auto"/>
                <w:sz w:val="21"/>
                <w:szCs w:val="21"/>
                <w:highlight w:val="none"/>
                <w:lang w:bidi="ar"/>
              </w:rPr>
              <w:t>45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22</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val="en-US" w:eastAsia="zh-CN" w:bidi="ar"/>
              </w:rPr>
              <w:t>4</w:t>
            </w:r>
            <w:r>
              <w:rPr>
                <w:rFonts w:hint="eastAsia"/>
                <w:color w:val="auto"/>
                <w:sz w:val="21"/>
                <w:szCs w:val="21"/>
                <w:highlight w:val="none"/>
                <w:lang w:bidi="ar"/>
              </w:rPr>
              <w:t>.健康管理</w:t>
            </w:r>
          </w:p>
        </w:tc>
        <w:tc>
          <w:tcPr>
            <w:tcW w:w="1799" w:type="pct"/>
            <w:shd w:val="clear" w:color="auto" w:fill="FFFFFF"/>
            <w:vAlign w:val="center"/>
          </w:tcPr>
          <w:p>
            <w:pPr>
              <w:pStyle w:val="2"/>
              <w:ind w:firstLine="0"/>
              <w:jc w:val="left"/>
              <w:rPr>
                <w:rFonts w:hint="eastAsia" w:hAnsi="宋体" w:cs="宋体"/>
                <w:color w:val="auto"/>
                <w:sz w:val="21"/>
                <w:szCs w:val="21"/>
                <w:highlight w:val="none"/>
              </w:rPr>
            </w:pPr>
            <w:r>
              <w:rPr>
                <w:rFonts w:hint="eastAsia" w:hAnsi="宋体" w:cs="宋体"/>
                <w:color w:val="auto"/>
                <w:sz w:val="21"/>
                <w:szCs w:val="21"/>
                <w:highlight w:val="none"/>
                <w:lang w:bidi="ar"/>
              </w:rPr>
              <w:t>中间圆形展台，12厘阻燃夹板做龙骨面贴9厘高密度阻燃板烤漆饰面</w:t>
            </w:r>
          </w:p>
        </w:tc>
        <w:tc>
          <w:tcPr>
            <w:tcW w:w="422" w:type="pct"/>
            <w:shd w:val="clear" w:color="auto" w:fill="FFFFFF"/>
            <w:noWrap/>
            <w:vAlign w:val="center"/>
          </w:tcPr>
          <w:p>
            <w:pPr>
              <w:rPr>
                <w:rFonts w:hint="eastAsia"/>
                <w:color w:val="auto"/>
                <w:sz w:val="21"/>
                <w:szCs w:val="21"/>
                <w:highlight w:val="none"/>
              </w:rPr>
            </w:pPr>
            <w:r>
              <w:rPr>
                <w:rFonts w:hint="eastAsia"/>
                <w:color w:val="auto"/>
                <w:sz w:val="21"/>
                <w:szCs w:val="21"/>
                <w:highlight w:val="none"/>
              </w:rPr>
              <w:t>项</w:t>
            </w:r>
          </w:p>
        </w:tc>
        <w:tc>
          <w:tcPr>
            <w:tcW w:w="672" w:type="pct"/>
            <w:shd w:val="clear" w:color="auto" w:fill="FFFFFF"/>
            <w:noWrap/>
            <w:vAlign w:val="center"/>
          </w:tcPr>
          <w:p>
            <w:pPr>
              <w:rPr>
                <w:rFonts w:hint="eastAsia"/>
                <w:color w:val="auto"/>
                <w:sz w:val="21"/>
                <w:szCs w:val="21"/>
                <w:highlight w:val="none"/>
              </w:rPr>
            </w:pPr>
            <w:r>
              <w:rPr>
                <w:rFonts w:hint="eastAsia"/>
                <w:color w:val="auto"/>
                <w:sz w:val="21"/>
                <w:szCs w:val="21"/>
                <w:highlight w:val="none"/>
                <w:lang w:bidi="ar"/>
              </w:rPr>
              <w:t>直径3米圆盘，高度0.6米</w:t>
            </w:r>
          </w:p>
          <w:p>
            <w:pPr>
              <w:rPr>
                <w:color w:val="auto"/>
                <w:sz w:val="21"/>
                <w:szCs w:val="21"/>
                <w:highlight w:val="none"/>
              </w:rPr>
            </w:pP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23</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场景二</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脑空间</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圆形地梁、顶梁、烤漆饰面，</w:t>
            </w:r>
            <w:r>
              <w:rPr>
                <w:color w:val="auto"/>
                <w:sz w:val="21"/>
                <w:szCs w:val="21"/>
                <w:highlight w:val="none"/>
                <w:lang w:bidi="ar"/>
              </w:rPr>
              <w:t>12厘阻燃夹板做龙骨，面贴9厘阻燃高密度板</w:t>
            </w:r>
            <w:r>
              <w:rPr>
                <w:rFonts w:hint="eastAsia"/>
                <w:color w:val="auto"/>
                <w:sz w:val="21"/>
                <w:szCs w:val="21"/>
                <w:highlight w:val="none"/>
                <w:lang w:bidi="ar"/>
              </w:rPr>
              <w:t>，预留灯槽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32</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1" w:type="pct"/>
            <w:shd w:val="clear" w:color="auto" w:fill="auto"/>
            <w:noWrap/>
            <w:vAlign w:val="center"/>
          </w:tcPr>
          <w:p>
            <w:pPr>
              <w:rPr>
                <w:rFonts w:hint="eastAsia"/>
                <w:color w:val="auto"/>
                <w:sz w:val="21"/>
                <w:szCs w:val="21"/>
                <w:highlight w:val="none"/>
                <w:lang w:bidi="ar"/>
              </w:rPr>
            </w:pPr>
            <w:r>
              <w:rPr>
                <w:rFonts w:hint="eastAsia"/>
                <w:color w:val="auto"/>
                <w:sz w:val="21"/>
                <w:szCs w:val="21"/>
                <w:highlight w:val="none"/>
                <w:lang w:bidi="ar"/>
              </w:rPr>
              <w:t>24</w:t>
            </w:r>
          </w:p>
        </w:tc>
        <w:tc>
          <w:tcPr>
            <w:tcW w:w="493" w:type="pct"/>
            <w:shd w:val="clear" w:color="auto" w:fill="FFFFFF"/>
            <w:noWrap/>
            <w:vAlign w:val="center"/>
          </w:tcPr>
          <w:p>
            <w:pPr>
              <w:rPr>
                <w:rFonts w:hint="eastAsia"/>
                <w:color w:val="auto"/>
                <w:sz w:val="21"/>
                <w:szCs w:val="21"/>
                <w:highlight w:val="none"/>
                <w:lang w:bidi="ar"/>
              </w:rPr>
            </w:pPr>
          </w:p>
        </w:tc>
        <w:tc>
          <w:tcPr>
            <w:tcW w:w="583" w:type="pct"/>
            <w:shd w:val="clear" w:color="auto" w:fill="FFFFFF"/>
            <w:vAlign w:val="center"/>
          </w:tcPr>
          <w:p>
            <w:pPr>
              <w:rPr>
                <w:rFonts w:hint="eastAsia"/>
                <w:color w:val="auto"/>
                <w:sz w:val="21"/>
                <w:szCs w:val="21"/>
                <w:highlight w:val="none"/>
                <w:lang w:bidi="ar"/>
              </w:rPr>
            </w:pPr>
          </w:p>
        </w:tc>
        <w:tc>
          <w:tcPr>
            <w:tcW w:w="1799" w:type="pct"/>
            <w:shd w:val="clear" w:color="auto" w:fill="FFFFFF"/>
            <w:vAlign w:val="center"/>
          </w:tcPr>
          <w:p>
            <w:pPr>
              <w:rPr>
                <w:rFonts w:hint="eastAsia"/>
                <w:color w:val="auto"/>
                <w:sz w:val="21"/>
                <w:szCs w:val="21"/>
                <w:highlight w:val="none"/>
                <w:lang w:bidi="ar"/>
              </w:rPr>
            </w:pPr>
            <w:r>
              <w:rPr>
                <w:rFonts w:hint="eastAsia"/>
                <w:color w:val="auto"/>
                <w:sz w:val="21"/>
                <w:szCs w:val="21"/>
                <w:highlight w:val="none"/>
                <w:lang w:bidi="ar"/>
              </w:rPr>
              <w:t>腰线弧形展板，规格13000*850MM，</w:t>
            </w:r>
            <w:r>
              <w:rPr>
                <w:color w:val="auto"/>
                <w:sz w:val="21"/>
                <w:szCs w:val="21"/>
                <w:highlight w:val="none"/>
                <w:lang w:bidi="ar"/>
              </w:rPr>
              <w:t>12厘阻燃夹板做龙骨，面贴9厘阻燃高密度板</w:t>
            </w:r>
            <w:r>
              <w:rPr>
                <w:rFonts w:hint="eastAsia"/>
                <w:color w:val="auto"/>
                <w:sz w:val="21"/>
                <w:szCs w:val="21"/>
                <w:highlight w:val="none"/>
                <w:lang w:bidi="ar"/>
              </w:rPr>
              <w:t>烤漆饰面</w:t>
            </w:r>
          </w:p>
        </w:tc>
        <w:tc>
          <w:tcPr>
            <w:tcW w:w="422" w:type="pct"/>
            <w:shd w:val="clear" w:color="auto" w:fill="FFFFFF"/>
            <w:noWrap/>
            <w:vAlign w:val="center"/>
          </w:tcPr>
          <w:p>
            <w:pPr>
              <w:rPr>
                <w:rFonts w:hint="eastAsia"/>
                <w:color w:val="auto"/>
                <w:sz w:val="21"/>
                <w:szCs w:val="21"/>
                <w:highlight w:val="none"/>
                <w:lang w:bidi="ar"/>
              </w:rPr>
            </w:pPr>
            <w:r>
              <w:rPr>
                <w:rFonts w:hint="eastAsia"/>
                <w:color w:val="auto"/>
                <w:sz w:val="21"/>
                <w:szCs w:val="21"/>
                <w:highlight w:val="none"/>
                <w:lang w:bidi="ar"/>
              </w:rPr>
              <w:t>平方</w:t>
            </w:r>
          </w:p>
        </w:tc>
        <w:tc>
          <w:tcPr>
            <w:tcW w:w="672" w:type="pct"/>
            <w:shd w:val="clear" w:color="auto" w:fill="FFFFFF"/>
            <w:noWrap/>
            <w:vAlign w:val="center"/>
          </w:tcPr>
          <w:p>
            <w:pPr>
              <w:rPr>
                <w:rFonts w:hint="eastAsia"/>
                <w:color w:val="auto"/>
                <w:sz w:val="21"/>
                <w:szCs w:val="21"/>
                <w:highlight w:val="none"/>
                <w:lang w:bidi="ar"/>
              </w:rPr>
            </w:pPr>
            <w:r>
              <w:rPr>
                <w:rFonts w:hint="eastAsia"/>
                <w:color w:val="auto"/>
                <w:sz w:val="21"/>
                <w:szCs w:val="21"/>
                <w:highlight w:val="none"/>
                <w:lang w:bidi="ar"/>
              </w:rPr>
              <w:t>22</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25</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LED灯带</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32</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26</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rPr>
              <w:t>圆形展台天花亚克力灯箱</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直径1200*1200MM*两组</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27</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天花圆形辅助灯架。铁方通焊接喷漆</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17.0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28</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29</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外立面材料</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PC炫彩板,BA级阻燃</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51</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30</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15</w:t>
            </w:r>
          </w:p>
        </w:tc>
        <w:tc>
          <w:tcPr>
            <w:tcW w:w="660" w:type="pct"/>
            <w:shd w:val="clear" w:color="auto" w:fill="FFFFFF"/>
            <w:noWrap/>
            <w:vAlign w:val="center"/>
          </w:tcPr>
          <w:p>
            <w:pPr>
              <w:rPr>
                <w:color w:val="auto"/>
                <w:sz w:val="21"/>
                <w:szCs w:val="21"/>
                <w:highlight w:val="none"/>
              </w:rPr>
            </w:pPr>
            <w:r>
              <w:rPr>
                <w:rFonts w:hint="eastAsia"/>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31</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板块三</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主框架</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圆形地梁、顶梁、烤漆饰面，</w:t>
            </w:r>
            <w:r>
              <w:rPr>
                <w:color w:val="auto"/>
                <w:sz w:val="21"/>
                <w:szCs w:val="21"/>
                <w:highlight w:val="none"/>
                <w:lang w:bidi="ar"/>
              </w:rPr>
              <w:t>12厘阻燃夹板做龙骨，面贴9厘阻燃高密度板</w:t>
            </w:r>
            <w:r>
              <w:rPr>
                <w:rFonts w:hint="eastAsia"/>
                <w:color w:val="auto"/>
                <w:sz w:val="21"/>
                <w:szCs w:val="21"/>
                <w:highlight w:val="none"/>
                <w:lang w:bidi="ar"/>
              </w:rPr>
              <w:t>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52</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32</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LED灯带</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71</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33</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弧形腰线展板</w:t>
            </w:r>
            <w:r>
              <w:rPr>
                <w:color w:val="auto"/>
                <w:sz w:val="21"/>
                <w:szCs w:val="21"/>
                <w:highlight w:val="none"/>
                <w:lang w:bidi="ar"/>
              </w:rPr>
              <w:t>12厘阻燃夹板做龙骨，面贴9厘阻燃高密度板</w:t>
            </w:r>
            <w:r>
              <w:rPr>
                <w:rFonts w:hint="eastAsia"/>
                <w:color w:val="auto"/>
                <w:sz w:val="21"/>
                <w:szCs w:val="21"/>
                <w:highlight w:val="none"/>
                <w:lang w:bidi="ar"/>
              </w:rPr>
              <w:t>烤漆饰面</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17</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34</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天花圆形辅助灯架。铁方通焊接喷漆</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44</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35</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39</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36</w:t>
            </w:r>
          </w:p>
        </w:tc>
        <w:tc>
          <w:tcPr>
            <w:tcW w:w="493" w:type="pct"/>
            <w:shd w:val="clear" w:color="auto" w:fill="FFFFFF"/>
            <w:noWrap/>
            <w:vAlign w:val="center"/>
          </w:tcPr>
          <w:p>
            <w:pPr>
              <w:rPr>
                <w:bCs/>
                <w:color w:val="auto"/>
                <w:sz w:val="21"/>
                <w:szCs w:val="21"/>
                <w:highlight w:val="none"/>
              </w:rPr>
            </w:pPr>
          </w:p>
        </w:tc>
        <w:tc>
          <w:tcPr>
            <w:tcW w:w="583" w:type="pct"/>
            <w:shd w:val="clear" w:color="auto" w:fill="FFFFFF"/>
            <w:vAlign w:val="center"/>
          </w:tcPr>
          <w:p>
            <w:pPr>
              <w:rPr>
                <w:rFonts w:hint="eastAsia"/>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39</w:t>
            </w:r>
          </w:p>
        </w:tc>
        <w:tc>
          <w:tcPr>
            <w:tcW w:w="660" w:type="pct"/>
            <w:shd w:val="clear" w:color="auto" w:fill="FFFFFF"/>
            <w:noWrap/>
            <w:vAlign w:val="center"/>
          </w:tcPr>
          <w:p>
            <w:pPr>
              <w:rPr>
                <w:color w:val="auto"/>
                <w:sz w:val="21"/>
                <w:szCs w:val="21"/>
                <w:highlight w:val="none"/>
              </w:rPr>
            </w:pPr>
            <w:r>
              <w:rPr>
                <w:rFonts w:hint="eastAsia"/>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37</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外立面材料</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PC炫彩板,BA级阻燃</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78</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38</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1.低碳出行</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波浪型双层展台烤漆饰面，</w:t>
            </w:r>
            <w:r>
              <w:rPr>
                <w:color w:val="auto"/>
                <w:sz w:val="21"/>
                <w:szCs w:val="21"/>
                <w:highlight w:val="none"/>
                <w:lang w:bidi="ar"/>
              </w:rPr>
              <w:t>12厘阻燃夹板做龙骨，面贴9厘阻燃高密度板</w:t>
            </w:r>
            <w:r>
              <w:rPr>
                <w:rFonts w:hint="eastAsia"/>
                <w:color w:val="auto"/>
                <w:sz w:val="21"/>
                <w:szCs w:val="21"/>
                <w:highlight w:val="none"/>
                <w:lang w:bidi="ar"/>
              </w:rPr>
              <w:t>，预留灯槽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39</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2.清洁能源</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波浪型双层展台烤漆饰面，</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9</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40</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3.绿色新材</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中间高低烤漆饰面，</w:t>
            </w:r>
            <w:r>
              <w:rPr>
                <w:color w:val="auto"/>
                <w:sz w:val="21"/>
                <w:szCs w:val="21"/>
                <w:highlight w:val="none"/>
                <w:lang w:bidi="ar"/>
              </w:rPr>
              <w:t>12厘阻燃夹板做龙骨，面贴9厘阻燃高密度板</w:t>
            </w:r>
            <w:r>
              <w:rPr>
                <w:rFonts w:hint="eastAsia"/>
                <w:color w:val="auto"/>
                <w:sz w:val="21"/>
                <w:szCs w:val="21"/>
                <w:highlight w:val="none"/>
                <w:lang w:bidi="ar"/>
              </w:rPr>
              <w:t>规格1500*1500*200MM*两组</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6</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41</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场景三</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陆空天</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rPr>
              <w:t>弧形墙体12厘阻燃夹板做龙骨面贴9厘高密度阻燃板规格19000*3000MM，圆形地台5200*60mm18厘阻燃夹板做龙骨面贴15厘阻燃免漆板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83</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42</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板块四</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主框架</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圆形地梁、顶梁、铁方通焊接</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70.0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43</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LED灯带</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70.0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44</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弧形立柱规格1500X3400MM木质烤漆饰面6组，</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20.0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45</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天花圆形辅助灯架。铁方通焊接喷漆</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35.0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46</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35.0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47</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35.0</w:t>
            </w:r>
          </w:p>
        </w:tc>
        <w:tc>
          <w:tcPr>
            <w:tcW w:w="660" w:type="pct"/>
            <w:shd w:val="clear" w:color="auto" w:fill="FFFFFF"/>
            <w:noWrap/>
            <w:vAlign w:val="center"/>
          </w:tcPr>
          <w:p>
            <w:pPr>
              <w:rPr>
                <w:color w:val="auto"/>
                <w:sz w:val="21"/>
                <w:szCs w:val="21"/>
                <w:highlight w:val="none"/>
              </w:rPr>
            </w:pPr>
            <w:r>
              <w:rPr>
                <w:rFonts w:hint="eastAsia"/>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48</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外立面材料</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PC炫彩板,BA级阻燃</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119.0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49</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1.优化日常</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木质弧形展台烤漆饰面，</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16.0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50</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2.厨房革命</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高低圆形地台木质烤漆饰面，</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val="en-US" w:eastAsia="zh-CN" w:bidi="ar"/>
              </w:rPr>
              <w:t>4</w:t>
            </w:r>
            <w:r>
              <w:rPr>
                <w:rFonts w:hint="eastAsia"/>
                <w:color w:val="auto"/>
                <w:sz w:val="21"/>
                <w:szCs w:val="21"/>
                <w:highlight w:val="none"/>
                <w:lang w:bidi="ar"/>
              </w:rPr>
              <w:t>.0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51</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3.未来清洁</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木质弧形展台烤漆饰面，</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15.0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52</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场景四</w:t>
            </w: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未来家</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圆形地梁、顶梁、铁方通焊接龙骨木质烤漆饰面，</w:t>
            </w:r>
            <w:r>
              <w:rPr>
                <w:color w:val="auto"/>
                <w:sz w:val="21"/>
                <w:szCs w:val="21"/>
                <w:highlight w:val="none"/>
                <w:lang w:bidi="ar"/>
              </w:rPr>
              <w:t>12厘阻燃夹板做龙骨，面贴9厘阻燃高密度板</w:t>
            </w:r>
            <w:r>
              <w:rPr>
                <w:rFonts w:hint="eastAsia"/>
                <w:color w:val="auto"/>
                <w:sz w:val="21"/>
                <w:szCs w:val="21"/>
                <w:highlight w:val="none"/>
                <w:lang w:bidi="ar"/>
              </w:rPr>
              <w:t>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97</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53</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LED灯带</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116</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54</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天花圆形辅助灯架。铁方通焊接喷漆</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48</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55</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40.0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56</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r>
              <w:rPr>
                <w:rFonts w:hint="eastAsia"/>
                <w:color w:val="auto"/>
                <w:sz w:val="21"/>
                <w:szCs w:val="21"/>
                <w:highlight w:val="none"/>
                <w:lang w:bidi="ar"/>
              </w:rPr>
              <w:t>外立面材</w:t>
            </w: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PC炫彩板,BA级阻燃</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145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57</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40</w:t>
            </w:r>
          </w:p>
        </w:tc>
        <w:tc>
          <w:tcPr>
            <w:tcW w:w="660" w:type="pct"/>
            <w:shd w:val="clear" w:color="auto" w:fill="FFFFFF"/>
            <w:noWrap/>
            <w:vAlign w:val="center"/>
          </w:tcPr>
          <w:p>
            <w:pPr>
              <w:rPr>
                <w:color w:val="auto"/>
                <w:sz w:val="21"/>
                <w:szCs w:val="21"/>
                <w:highlight w:val="none"/>
              </w:rPr>
            </w:pPr>
            <w:r>
              <w:rPr>
                <w:rFonts w:hint="eastAsia"/>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58</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弧形展台烤漆饰面，</w:t>
            </w:r>
            <w:r>
              <w:rPr>
                <w:color w:val="auto"/>
                <w:sz w:val="21"/>
                <w:szCs w:val="21"/>
                <w:highlight w:val="none"/>
                <w:lang w:bidi="ar"/>
              </w:rPr>
              <w:t>12厘阻燃夹板做龙骨，面贴9厘阻燃高密度板</w:t>
            </w:r>
            <w:r>
              <w:rPr>
                <w:rFonts w:hint="eastAsia"/>
                <w:color w:val="auto"/>
                <w:sz w:val="21"/>
                <w:szCs w:val="21"/>
                <w:highlight w:val="none"/>
                <w:lang w:bidi="ar"/>
              </w:rPr>
              <w:t>预留灯槽</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19</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59</w:t>
            </w:r>
          </w:p>
        </w:tc>
        <w:tc>
          <w:tcPr>
            <w:tcW w:w="493" w:type="pct"/>
            <w:shd w:val="clear" w:color="auto" w:fill="FFFFFF"/>
            <w:noWrap/>
            <w:vAlign w:val="center"/>
          </w:tcPr>
          <w:p>
            <w:pPr>
              <w:rPr>
                <w:color w:val="auto"/>
                <w:sz w:val="21"/>
                <w:szCs w:val="21"/>
                <w:highlight w:val="none"/>
              </w:rPr>
            </w:pP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弧形展墙烤漆饰面，</w:t>
            </w:r>
            <w:r>
              <w:rPr>
                <w:color w:val="auto"/>
                <w:sz w:val="21"/>
                <w:szCs w:val="21"/>
                <w:highlight w:val="none"/>
                <w:lang w:bidi="ar"/>
              </w:rPr>
              <w:t>12厘阻燃夹板做龙骨，面贴9厘阻燃高密度板</w:t>
            </w:r>
            <w:r>
              <w:rPr>
                <w:rFonts w:hint="eastAsia"/>
                <w:color w:val="auto"/>
                <w:sz w:val="21"/>
                <w:szCs w:val="21"/>
                <w:highlight w:val="none"/>
                <w:lang w:bidi="ar"/>
              </w:rPr>
              <w:t>，规格2400*3000MM*5组+场景4墙体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47</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60</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尾厅</w:t>
            </w:r>
          </w:p>
        </w:tc>
        <w:tc>
          <w:tcPr>
            <w:tcW w:w="583" w:type="pct"/>
            <w:shd w:val="clear" w:color="auto" w:fill="FFFFFF"/>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弧形展墙，</w:t>
            </w:r>
            <w:r>
              <w:rPr>
                <w:color w:val="auto"/>
                <w:sz w:val="21"/>
                <w:szCs w:val="21"/>
                <w:highlight w:val="none"/>
                <w:lang w:bidi="ar"/>
              </w:rPr>
              <w:t>12厘阻燃夹板做龙骨，面贴9厘阻燃高密度板</w:t>
            </w:r>
            <w:r>
              <w:rPr>
                <w:rFonts w:hint="eastAsia"/>
                <w:color w:val="auto"/>
                <w:sz w:val="21"/>
                <w:szCs w:val="21"/>
                <w:highlight w:val="none"/>
                <w:lang w:bidi="ar"/>
              </w:rPr>
              <w:t>规格1000*3000MM</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30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61</w:t>
            </w:r>
          </w:p>
        </w:tc>
        <w:tc>
          <w:tcPr>
            <w:tcW w:w="493" w:type="pct"/>
            <w:shd w:val="clear" w:color="auto" w:fill="FFFFFF"/>
            <w:noWrap/>
            <w:vAlign w:val="center"/>
          </w:tcPr>
          <w:p>
            <w:pPr>
              <w:rPr>
                <w:color w:val="auto"/>
                <w:sz w:val="21"/>
                <w:szCs w:val="21"/>
                <w:highlight w:val="none"/>
              </w:rPr>
            </w:pPr>
            <w:r>
              <w:rPr>
                <w:rFonts w:hint="eastAsia"/>
                <w:color w:val="auto"/>
                <w:sz w:val="21"/>
                <w:szCs w:val="21"/>
                <w:highlight w:val="none"/>
              </w:rPr>
              <w:t>规格展台</w:t>
            </w: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rPr>
              <w:t>850*600MM1000*350MM各20组12厘阻燃夹板龙骨面贴9厘高密度阻燃板烤漆面</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组</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rPr>
              <w:t>40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62</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15</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63</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15</w:t>
            </w:r>
          </w:p>
        </w:tc>
        <w:tc>
          <w:tcPr>
            <w:tcW w:w="660" w:type="pct"/>
            <w:shd w:val="clear" w:color="auto" w:fill="FFFFFF"/>
            <w:noWrap/>
            <w:vAlign w:val="center"/>
          </w:tcPr>
          <w:p>
            <w:pPr>
              <w:rPr>
                <w:color w:val="auto"/>
                <w:sz w:val="21"/>
                <w:szCs w:val="21"/>
                <w:highlight w:val="none"/>
              </w:rPr>
            </w:pPr>
            <w:r>
              <w:rPr>
                <w:rFonts w:hint="eastAsia"/>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64</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基膜打底含场景3</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115.0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65</w:t>
            </w:r>
          </w:p>
        </w:tc>
        <w:tc>
          <w:tcPr>
            <w:tcW w:w="493" w:type="pct"/>
            <w:shd w:val="clear" w:color="auto" w:fill="FFFFFF"/>
            <w:noWrap/>
            <w:vAlign w:val="center"/>
          </w:tcPr>
          <w:p>
            <w:pPr>
              <w:rPr>
                <w:bCs/>
                <w:color w:val="auto"/>
                <w:sz w:val="21"/>
                <w:szCs w:val="21"/>
                <w:highlight w:val="none"/>
              </w:rPr>
            </w:pPr>
            <w:r>
              <w:rPr>
                <w:rFonts w:hint="eastAsia"/>
                <w:bCs/>
                <w:color w:val="auto"/>
                <w:sz w:val="21"/>
                <w:szCs w:val="21"/>
                <w:highlight w:val="none"/>
                <w:lang w:bidi="ar"/>
              </w:rPr>
              <w:t>序厅</w:t>
            </w: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弧形展墙，</w:t>
            </w:r>
            <w:r>
              <w:rPr>
                <w:color w:val="auto"/>
                <w:sz w:val="21"/>
                <w:szCs w:val="21"/>
                <w:highlight w:val="none"/>
                <w:lang w:bidi="ar"/>
              </w:rPr>
              <w:t>12厘阻燃夹板做龙骨，面贴9厘阻燃高密度板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57</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66</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天花圆形辅助灯架。</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19</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67</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弧形磁极轨道</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米</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19</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68</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4500K轨道射灯</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个</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18</w:t>
            </w:r>
          </w:p>
        </w:tc>
        <w:tc>
          <w:tcPr>
            <w:tcW w:w="660" w:type="pct"/>
            <w:shd w:val="clear" w:color="auto" w:fill="FFFFFF"/>
            <w:noWrap/>
            <w:vAlign w:val="center"/>
          </w:tcPr>
          <w:p>
            <w:pPr>
              <w:rPr>
                <w:color w:val="auto"/>
                <w:sz w:val="21"/>
                <w:szCs w:val="21"/>
                <w:highlight w:val="none"/>
              </w:rPr>
            </w:pPr>
            <w:r>
              <w:rPr>
                <w:rFonts w:hint="eastAsia"/>
                <w:color w:val="auto"/>
                <w:sz w:val="21"/>
                <w:szCs w:val="21"/>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69</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基膜打底</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70.0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70</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电线，套管，插座，辅料，布线</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平方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700.0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71</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val="en-US" w:eastAsia="zh-CN" w:bidi="ar"/>
              </w:rPr>
              <w:t>运输</w:t>
            </w:r>
            <w:r>
              <w:rPr>
                <w:rFonts w:hint="eastAsia"/>
                <w:color w:val="auto"/>
                <w:sz w:val="21"/>
                <w:szCs w:val="21"/>
                <w:highlight w:val="none"/>
                <w:lang w:bidi="ar"/>
              </w:rPr>
              <w:t>，17.5米大货车两台</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台</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2.0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72</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人工</w:t>
            </w:r>
            <w:r>
              <w:rPr>
                <w:color w:val="auto"/>
                <w:sz w:val="21"/>
                <w:szCs w:val="21"/>
                <w:highlight w:val="none"/>
                <w:lang w:bidi="ar"/>
              </w:rPr>
              <w:t>(</w:t>
            </w:r>
            <w:r>
              <w:rPr>
                <w:rFonts w:hint="eastAsia"/>
                <w:color w:val="auto"/>
                <w:sz w:val="21"/>
                <w:szCs w:val="21"/>
                <w:highlight w:val="none"/>
                <w:lang w:bidi="ar"/>
              </w:rPr>
              <w:t>含撤展、布展等</w:t>
            </w:r>
            <w:r>
              <w:rPr>
                <w:color w:val="auto"/>
                <w:sz w:val="21"/>
                <w:szCs w:val="21"/>
                <w:highlight w:val="none"/>
                <w:lang w:bidi="ar"/>
              </w:rPr>
              <w:t>)</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1" w:type="pct"/>
            <w:shd w:val="clear" w:color="auto" w:fill="auto"/>
            <w:noWrap/>
            <w:vAlign w:val="center"/>
          </w:tcPr>
          <w:p>
            <w:pPr>
              <w:rPr>
                <w:color w:val="auto"/>
                <w:sz w:val="21"/>
                <w:szCs w:val="21"/>
                <w:highlight w:val="none"/>
              </w:rPr>
            </w:pPr>
            <w:r>
              <w:rPr>
                <w:rFonts w:hint="eastAsia"/>
                <w:color w:val="auto"/>
                <w:sz w:val="21"/>
                <w:szCs w:val="21"/>
                <w:highlight w:val="none"/>
                <w:lang w:bidi="ar"/>
              </w:rPr>
              <w:t>73</w:t>
            </w:r>
          </w:p>
        </w:tc>
        <w:tc>
          <w:tcPr>
            <w:tcW w:w="493" w:type="pct"/>
            <w:shd w:val="clear" w:color="auto" w:fill="FFFFFF"/>
            <w:noWrap/>
            <w:vAlign w:val="center"/>
          </w:tcPr>
          <w:p>
            <w:pPr>
              <w:rPr>
                <w:color w:val="auto"/>
                <w:sz w:val="21"/>
                <w:szCs w:val="21"/>
                <w:highlight w:val="none"/>
              </w:rPr>
            </w:pPr>
          </w:p>
        </w:tc>
        <w:tc>
          <w:tcPr>
            <w:tcW w:w="583" w:type="pct"/>
            <w:shd w:val="clear" w:color="auto" w:fill="FFFFFF"/>
            <w:noWrap/>
            <w:vAlign w:val="center"/>
          </w:tcPr>
          <w:p>
            <w:pPr>
              <w:rPr>
                <w:color w:val="auto"/>
                <w:sz w:val="21"/>
                <w:szCs w:val="21"/>
                <w:highlight w:val="none"/>
              </w:rPr>
            </w:pPr>
          </w:p>
        </w:tc>
        <w:tc>
          <w:tcPr>
            <w:tcW w:w="1799" w:type="pct"/>
            <w:shd w:val="clear" w:color="auto" w:fill="FFFFFF"/>
            <w:vAlign w:val="center"/>
          </w:tcPr>
          <w:p>
            <w:pPr>
              <w:rPr>
                <w:color w:val="auto"/>
                <w:sz w:val="21"/>
                <w:szCs w:val="21"/>
                <w:highlight w:val="none"/>
              </w:rPr>
            </w:pPr>
            <w:r>
              <w:rPr>
                <w:rFonts w:hint="eastAsia"/>
                <w:color w:val="auto"/>
                <w:sz w:val="21"/>
                <w:szCs w:val="21"/>
                <w:highlight w:val="none"/>
                <w:lang w:bidi="ar"/>
              </w:rPr>
              <w:t>垃圾清运</w:t>
            </w:r>
          </w:p>
        </w:tc>
        <w:tc>
          <w:tcPr>
            <w:tcW w:w="422" w:type="pct"/>
            <w:shd w:val="clear" w:color="auto" w:fill="FFFFFF"/>
            <w:noWrap/>
            <w:vAlign w:val="center"/>
          </w:tcPr>
          <w:p>
            <w:pPr>
              <w:rPr>
                <w:color w:val="auto"/>
                <w:sz w:val="21"/>
                <w:szCs w:val="21"/>
                <w:highlight w:val="none"/>
              </w:rPr>
            </w:pPr>
            <w:r>
              <w:rPr>
                <w:rFonts w:hint="eastAsia"/>
                <w:color w:val="auto"/>
                <w:sz w:val="21"/>
                <w:szCs w:val="21"/>
                <w:highlight w:val="none"/>
                <w:lang w:bidi="ar"/>
              </w:rPr>
              <w:t>项</w:t>
            </w:r>
          </w:p>
        </w:tc>
        <w:tc>
          <w:tcPr>
            <w:tcW w:w="672" w:type="pct"/>
            <w:shd w:val="clear" w:color="auto" w:fill="FFFFFF"/>
            <w:noWrap/>
            <w:vAlign w:val="center"/>
          </w:tcPr>
          <w:p>
            <w:pPr>
              <w:rPr>
                <w:color w:val="auto"/>
                <w:sz w:val="21"/>
                <w:szCs w:val="21"/>
                <w:highlight w:val="none"/>
              </w:rPr>
            </w:pPr>
            <w:r>
              <w:rPr>
                <w:rFonts w:hint="eastAsia"/>
                <w:color w:val="auto"/>
                <w:sz w:val="21"/>
                <w:szCs w:val="21"/>
                <w:highlight w:val="none"/>
                <w:lang w:bidi="ar"/>
              </w:rPr>
              <w:t>1.0</w:t>
            </w:r>
          </w:p>
        </w:tc>
        <w:tc>
          <w:tcPr>
            <w:tcW w:w="660" w:type="pct"/>
            <w:shd w:val="clear" w:color="auto" w:fill="FFFFFF"/>
            <w:noWrap/>
            <w:vAlign w:val="center"/>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7"/>
            <w:shd w:val="clear" w:color="auto" w:fill="auto"/>
            <w:noWrap/>
            <w:vAlign w:val="center"/>
          </w:tcPr>
          <w:p>
            <w:pPr>
              <w:rPr>
                <w:color w:val="auto"/>
                <w:sz w:val="21"/>
                <w:szCs w:val="21"/>
                <w:highlight w:val="none"/>
              </w:rPr>
            </w:pPr>
            <w:r>
              <w:rPr>
                <w:rFonts w:hint="eastAsia"/>
                <w:bCs/>
                <w:color w:val="auto"/>
                <w:sz w:val="21"/>
                <w:szCs w:val="21"/>
                <w:highlight w:val="none"/>
                <w:lang w:bidi="ar"/>
              </w:rPr>
              <w:t>注；以上材料符合国家B1级阻燃</w:t>
            </w:r>
          </w:p>
        </w:tc>
      </w:tr>
    </w:tbl>
    <w:p>
      <w:pPr>
        <w:rPr>
          <w:color w:val="auto"/>
          <w:highlight w:val="none"/>
        </w:rPr>
      </w:pPr>
    </w:p>
    <w:p>
      <w:pPr>
        <w:adjustRightInd w:val="0"/>
        <w:snapToGrid w:val="0"/>
        <w:spacing w:line="288" w:lineRule="auto"/>
        <w:ind w:firstLine="0" w:firstLineChars="0"/>
        <w:rPr>
          <w:rFonts w:hint="eastAsia" w:cs="Times New Roman"/>
          <w:color w:val="auto"/>
          <w:spacing w:val="-6"/>
          <w:sz w:val="21"/>
          <w:szCs w:val="21"/>
          <w:highlight w:val="none"/>
        </w:rPr>
      </w:pPr>
    </w:p>
    <w:p>
      <w:pPr>
        <w:adjustRightInd/>
        <w:snapToGrid/>
        <w:spacing w:line="240" w:lineRule="auto"/>
        <w:jc w:val="left"/>
        <w:outlineLvl w:val="9"/>
        <w:rPr>
          <w:rFonts w:hint="eastAsia"/>
          <w:b/>
          <w:bCs/>
          <w:color w:val="auto"/>
          <w:sz w:val="32"/>
          <w:szCs w:val="32"/>
          <w:highlight w:val="none"/>
        </w:rPr>
      </w:pPr>
      <w:r>
        <w:rPr>
          <w:rFonts w:hint="eastAsia"/>
          <w:b/>
          <w:bCs/>
          <w:color w:val="auto"/>
          <w:sz w:val="32"/>
          <w:szCs w:val="32"/>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本磋商文件适用于中国美术学院文创设计制造业协同创新中心“DIA 十年：北京特展”展览搭建服务项目的磋商、评审、成交、验收、合同履约、付款等（法律、法规另有规定的，从其规定）。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（格式详见磋商文件第六章）和授权代表社保缴纳证明（2023年12月（含）以后任意一月</w:t>
            </w:r>
            <w:r>
              <w:rPr>
                <w:rFonts w:cstheme="minorBidi"/>
                <w:color w:val="auto"/>
                <w:sz w:val="21"/>
                <w:szCs w:val="21"/>
                <w:highlight w:val="none"/>
              </w:rPr>
              <w:t>）；</w:t>
            </w:r>
          </w:p>
          <w:p>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59"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640"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640"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1.2（不足叁仟按叁仟计取）</w:t>
                  </w:r>
                </w:p>
              </w:tc>
            </w:tr>
            <w:bookmarkEnd w:id="59"/>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cs="Times New Roman"/>
                <w:color w:val="auto"/>
                <w:sz w:val="21"/>
                <w:szCs w:val="21"/>
                <w:highlight w:val="none"/>
              </w:rPr>
              <w:t>2.本项目不允许分包，不适宜分包的理由是：</w:t>
            </w:r>
            <w:r>
              <w:rPr>
                <w:rFonts w:hint="eastAsia"/>
                <w:color w:val="auto"/>
                <w:sz w:val="21"/>
                <w:szCs w:val="21"/>
                <w:highlight w:val="none"/>
                <w:u w:val="single"/>
              </w:rPr>
              <w:t>为保证设计意图和制作呈现的一致性和完整性，保证项目的整体性，不可分包</w:t>
            </w:r>
            <w:r>
              <w:rPr>
                <w:rFonts w:cs="Times New Roman"/>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60"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r>
              <w:rPr>
                <w:rFonts w:hint="eastAsia" w:cs="Times New Roman"/>
                <w:color w:val="auto"/>
                <w:sz w:val="21"/>
                <w:szCs w:val="21"/>
                <w:highlight w:val="none"/>
              </w:rPr>
              <w:t>1）中小企业声明函（若属于中小企业）</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2）属于监狱企业的证明文件（若属于监狱企业）</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3）残疾人福利性单位声明函（若属于残疾人福利性单位）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bookmarkStart w:id="61"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61"/>
    <w:p>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本磋商文件适用于中国美术学院文创设计制造业协同创新中心“DIA 十年：北京特展”展览搭建服务项目的磋商、评审、成交、验收、合同履约、付款等（法律、法规另有规定的，从其规定）。</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bookmarkStart w:id="62"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62"/>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和授权代表社保缴纳证明（2023年12月（含）以后任意一月</w:t>
      </w:r>
      <w:r>
        <w:rPr>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631"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631"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1.2（不足叁仟按叁仟计取）</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pPr>
        <w:spacing w:line="288" w:lineRule="auto"/>
        <w:ind w:firstLine="420" w:firstLineChars="200"/>
        <w:rPr>
          <w:rFonts w:cs="Times New Roman"/>
          <w:color w:val="auto"/>
          <w:sz w:val="21"/>
          <w:szCs w:val="22"/>
          <w:highlight w:val="none"/>
        </w:rPr>
      </w:pPr>
      <w:bookmarkStart w:id="63" w:name="_Hlk104288918"/>
      <w:r>
        <w:rPr>
          <w:rFonts w:hint="eastAsia"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63"/>
    </w:p>
    <w:p>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4" w:firstLineChars="202"/>
        <w:rPr>
          <w:rFonts w:cs="Times New Roman"/>
          <w:color w:val="auto"/>
          <w:sz w:val="21"/>
          <w:szCs w:val="21"/>
          <w:highlight w:val="none"/>
        </w:rPr>
      </w:pPr>
      <w:r>
        <w:rPr>
          <w:rFonts w:cs="Times New Roman"/>
          <w:color w:val="auto"/>
          <w:sz w:val="21"/>
          <w:szCs w:val="21"/>
          <w:highlight w:val="none"/>
        </w:rPr>
        <w:t>2.本项目不允许分包，不适宜分包的理由是：</w:t>
      </w:r>
      <w:r>
        <w:rPr>
          <w:rFonts w:hint="eastAsia"/>
          <w:color w:val="auto"/>
          <w:sz w:val="21"/>
          <w:szCs w:val="21"/>
          <w:highlight w:val="none"/>
          <w:u w:val="single"/>
        </w:rPr>
        <w:t>为保证设计意图和制作呈现的一致性和完整性，保证项目的整体性，不可分包</w:t>
      </w:r>
      <w:r>
        <w:rPr>
          <w:rFonts w:cs="Times New Roman"/>
          <w:color w:val="auto"/>
          <w:spacing w:val="-6"/>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64" w:name="_Hlk92273406"/>
      <w:bookmarkStart w:id="65"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64"/>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65"/>
    <w:p>
      <w:pPr>
        <w:adjustRightInd w:val="0"/>
        <w:snapToGrid w:val="0"/>
        <w:spacing w:line="288" w:lineRule="auto"/>
        <w:outlineLvl w:val="2"/>
        <w:rPr>
          <w:b/>
          <w:color w:val="auto"/>
          <w:spacing w:val="-6"/>
          <w:kern w:val="0"/>
          <w:sz w:val="21"/>
          <w:szCs w:val="21"/>
          <w:highlight w:val="none"/>
        </w:rPr>
      </w:pPr>
      <w:bookmarkStart w:id="66"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67" w:name="_Hlk106875293"/>
    </w:p>
    <w:bookmarkEnd w:id="67"/>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w:t>
      </w:r>
      <w:r>
        <w:rPr>
          <w:rFonts w:hint="eastAsia" w:cs="Times New Roman"/>
          <w:color w:val="auto"/>
          <w:spacing w:val="-6"/>
          <w:sz w:val="21"/>
          <w:szCs w:val="21"/>
          <w:highlight w:val="none"/>
        </w:rPr>
        <w:t>1</w:t>
      </w:r>
      <w:r>
        <w:rPr>
          <w:rFonts w:cs="Times New Roman"/>
          <w:color w:val="auto"/>
          <w:spacing w:val="-6"/>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66"/>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bookmarkStart w:id="68"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68"/>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69" w:name="_Hlk96329193"/>
      <w:r>
        <w:rPr>
          <w:rFonts w:hint="eastAsia"/>
          <w:color w:val="auto"/>
          <w:sz w:val="21"/>
          <w:szCs w:val="21"/>
          <w:highlight w:val="none"/>
        </w:rPr>
        <w:t>，供应商应写全称。</w:t>
      </w:r>
      <w:bookmarkEnd w:id="69"/>
    </w:p>
    <w:p>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bookmarkStart w:id="70" w:name="_Hlk97039899"/>
      <w:r>
        <w:rPr>
          <w:rFonts w:hint="eastAsia"/>
          <w:color w:val="auto"/>
          <w:sz w:val="21"/>
          <w:szCs w:val="21"/>
          <w:highlight w:val="none"/>
        </w:rPr>
        <w:t>未响应磋商文件“▲”标记条款要求的，响应无效。</w:t>
      </w:r>
    </w:p>
    <w:bookmarkEnd w:id="7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pPr>
        <w:adjustRightInd w:val="0"/>
        <w:snapToGrid w:val="0"/>
        <w:spacing w:line="288" w:lineRule="auto"/>
        <w:ind w:firstLine="420" w:firstLineChars="200"/>
        <w:rPr>
          <w:color w:val="auto"/>
          <w:sz w:val="21"/>
          <w:szCs w:val="21"/>
          <w:highlight w:val="none"/>
        </w:rPr>
      </w:pPr>
      <w:bookmarkStart w:id="71" w:name="_Hlk97039841"/>
      <w:r>
        <w:rPr>
          <w:rFonts w:hint="eastAsia"/>
          <w:color w:val="auto"/>
          <w:sz w:val="21"/>
          <w:szCs w:val="21"/>
          <w:highlight w:val="none"/>
        </w:rPr>
        <w:t>（3）资格文件未按要求签署、盖章。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71"/>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72"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72"/>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07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价格分（10）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pStyle w:val="3"/>
              <w:spacing w:line="288" w:lineRule="auto"/>
              <w:ind w:firstLine="0"/>
              <w:jc w:val="center"/>
              <w:rPr>
                <w:rFonts w:hAnsi="宋体" w:cs="宋体"/>
                <w:b/>
                <w:bCs/>
                <w:color w:val="auto"/>
                <w:sz w:val="21"/>
                <w:szCs w:val="21"/>
                <w:highlight w:val="none"/>
              </w:rPr>
            </w:pPr>
            <w:r>
              <w:rPr>
                <w:rFonts w:hint="eastAsia" w:hAnsi="宋体" w:cs="宋体"/>
                <w:b/>
                <w:bCs/>
                <w:color w:val="auto"/>
                <w:spacing w:val="-6"/>
                <w:sz w:val="21"/>
                <w:szCs w:val="21"/>
                <w:highlight w:val="none"/>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pacing w:val="-6"/>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pPr>
              <w:pStyle w:val="3"/>
              <w:ind w:firstLine="0"/>
              <w:rPr>
                <w:rFonts w:hAnsi="宋体" w:cs="宋体"/>
                <w:color w:val="auto"/>
                <w:spacing w:val="-6"/>
                <w:sz w:val="21"/>
                <w:szCs w:val="21"/>
                <w:highlight w:val="none"/>
              </w:rPr>
            </w:pPr>
            <w:r>
              <w:rPr>
                <w:rFonts w:hint="eastAsia" w:hAnsi="宋体" w:cs="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3"/>
              <w:ind w:firstLine="0"/>
              <w:rPr>
                <w:rFonts w:hAnsi="宋体" w:cs="宋体"/>
                <w:color w:val="auto"/>
                <w:sz w:val="21"/>
                <w:szCs w:val="21"/>
                <w:highlight w:val="none"/>
              </w:rPr>
            </w:pPr>
            <w:r>
              <w:rPr>
                <w:rFonts w:hint="eastAsia" w:hAnsi="宋体" w:cs="宋体"/>
                <w:color w:val="auto"/>
                <w:spacing w:val="-6"/>
                <w:sz w:val="21"/>
                <w:szCs w:val="21"/>
                <w:highlight w:val="none"/>
              </w:rPr>
              <w:t>磋商报价得分=（磋商基准价/最后磋商报价）×10%×100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商务分（1）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供应商自2021年1月1日以来（以合同签订时间为准）同类合同业绩（以提供的合同扫描件为准）：每提供1份合同业绩得1分，最高得1分。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技术分（89）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bCs/>
                <w:color w:val="auto"/>
                <w:sz w:val="21"/>
                <w:szCs w:val="21"/>
                <w:highlight w:val="none"/>
              </w:rPr>
            </w:pPr>
            <w:r>
              <w:rPr>
                <w:rFonts w:hint="eastAsia"/>
                <w:color w:val="auto"/>
                <w:sz w:val="21"/>
                <w:szCs w:val="21"/>
                <w:highlight w:val="none"/>
              </w:rPr>
              <w:t>技术条款低于技术要求（负偏离）的每项扣1分，允许偏离的技术条款低于技术要求（负偏离）达到6项及以上的投标无效。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展区展陈规划方案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pStyle w:val="41"/>
              <w:ind w:firstLine="0" w:firstLineChars="0"/>
              <w:rPr>
                <w:bCs/>
                <w:color w:val="auto"/>
                <w:sz w:val="21"/>
                <w:szCs w:val="21"/>
                <w:highlight w:val="none"/>
              </w:rPr>
            </w:pPr>
            <w:r>
              <w:rPr>
                <w:rFonts w:hint="eastAsia"/>
                <w:bCs/>
                <w:color w:val="auto"/>
                <w:sz w:val="21"/>
                <w:szCs w:val="21"/>
                <w:highlight w:val="none"/>
              </w:rPr>
              <w:t>根据项目需求，投标人根据各展区现有条件，规划各展陈分区、展陈内容、展陈路线以及设计展陈方案</w:t>
            </w:r>
          </w:p>
          <w:p>
            <w:pPr>
              <w:pStyle w:val="41"/>
              <w:ind w:firstLine="0" w:firstLineChars="0"/>
              <w:rPr>
                <w:bCs/>
                <w:color w:val="auto"/>
                <w:sz w:val="21"/>
                <w:szCs w:val="21"/>
                <w:highlight w:val="none"/>
              </w:rPr>
            </w:pPr>
            <w:r>
              <w:rPr>
                <w:rFonts w:hint="eastAsia"/>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pStyle w:val="41"/>
              <w:ind w:firstLine="0" w:firstLineChars="0"/>
              <w:rPr>
                <w:bCs/>
                <w:color w:val="auto"/>
                <w:sz w:val="21"/>
                <w:szCs w:val="21"/>
                <w:highlight w:val="none"/>
              </w:rPr>
            </w:pPr>
            <w:r>
              <w:rPr>
                <w:rFonts w:hint="eastAsia"/>
                <w:bCs/>
                <w:color w:val="auto"/>
                <w:sz w:val="21"/>
                <w:szCs w:val="21"/>
                <w:highlight w:val="none"/>
              </w:rPr>
              <w:t>展陈设计的创意性：针对展陈设计的原创性和创意程度</w:t>
            </w:r>
            <w:r>
              <w:rPr>
                <w:rFonts w:hint="eastAsia"/>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pStyle w:val="41"/>
              <w:ind w:firstLine="0" w:firstLineChars="0"/>
              <w:rPr>
                <w:bCs/>
                <w:color w:val="auto"/>
                <w:sz w:val="21"/>
                <w:szCs w:val="21"/>
                <w:highlight w:val="none"/>
              </w:rPr>
            </w:pPr>
            <w:r>
              <w:rPr>
                <w:rFonts w:hint="eastAsia"/>
                <w:bCs/>
                <w:color w:val="auto"/>
                <w:sz w:val="21"/>
                <w:szCs w:val="21"/>
                <w:highlight w:val="none"/>
              </w:rPr>
              <w:t>空间布局合理性：各展陈设计方案与展区现有建筑空间，平面布局的设计方案</w:t>
            </w:r>
            <w:r>
              <w:rPr>
                <w:rFonts w:hint="eastAsia"/>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pStyle w:val="41"/>
              <w:ind w:firstLine="0" w:firstLineChars="0"/>
              <w:rPr>
                <w:bCs/>
                <w:color w:val="auto"/>
                <w:sz w:val="21"/>
                <w:szCs w:val="21"/>
                <w:highlight w:val="none"/>
              </w:rPr>
            </w:pPr>
            <w:r>
              <w:rPr>
                <w:rFonts w:hint="eastAsia"/>
                <w:bCs/>
                <w:color w:val="auto"/>
                <w:sz w:val="21"/>
                <w:szCs w:val="21"/>
                <w:highlight w:val="none"/>
              </w:rPr>
              <w:t>展陈路线设计的合理性：各展区展陈路线设计方案</w:t>
            </w:r>
            <w:r>
              <w:rPr>
                <w:rFonts w:hint="eastAsia"/>
                <w:color w:val="auto"/>
                <w:sz w:val="21"/>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767" w:type="dxa"/>
            <w:vMerge w:val="restart"/>
            <w:tcBorders>
              <w:top w:val="single" w:color="auto" w:sz="4" w:space="0"/>
              <w:left w:val="single" w:color="auto" w:sz="4" w:space="0"/>
              <w:right w:val="single" w:color="auto" w:sz="4" w:space="0"/>
            </w:tcBorders>
            <w:vAlign w:val="center"/>
          </w:tcPr>
          <w:p>
            <w:pPr>
              <w:snapToGrid w:val="0"/>
              <w:jc w:val="center"/>
              <w:rPr>
                <w:b/>
                <w:bCs/>
                <w:color w:val="auto"/>
                <w:sz w:val="21"/>
                <w:szCs w:val="21"/>
                <w:highlight w:val="none"/>
              </w:rPr>
            </w:pPr>
            <w:r>
              <w:rPr>
                <w:rFonts w:hint="eastAsia"/>
                <w:b/>
                <w:bCs/>
                <w:color w:val="auto"/>
                <w:sz w:val="21"/>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20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【主观分】施工服务方案：</w:t>
            </w:r>
          </w:p>
          <w:p>
            <w:pPr>
              <w:adjustRightInd w:val="0"/>
              <w:snapToGrid w:val="0"/>
              <w:spacing w:line="288" w:lineRule="auto"/>
              <w:rPr>
                <w:color w:val="auto"/>
                <w:sz w:val="21"/>
                <w:szCs w:val="21"/>
                <w:highlight w:val="none"/>
              </w:rPr>
            </w:pPr>
            <w:r>
              <w:rPr>
                <w:rFonts w:hint="eastAsia"/>
                <w:color w:val="auto"/>
                <w:sz w:val="21"/>
                <w:szCs w:val="21"/>
                <w:highlight w:val="none"/>
              </w:rPr>
              <w:t>项目概述（0-4分）；</w:t>
            </w:r>
          </w:p>
          <w:p>
            <w:pPr>
              <w:adjustRightInd w:val="0"/>
              <w:snapToGrid w:val="0"/>
              <w:spacing w:line="288" w:lineRule="auto"/>
              <w:rPr>
                <w:color w:val="auto"/>
                <w:sz w:val="21"/>
                <w:szCs w:val="21"/>
                <w:highlight w:val="none"/>
              </w:rPr>
            </w:pPr>
            <w:r>
              <w:rPr>
                <w:rFonts w:hint="eastAsia"/>
                <w:color w:val="auto"/>
                <w:sz w:val="21"/>
                <w:szCs w:val="21"/>
                <w:highlight w:val="none"/>
              </w:rPr>
              <w:t>施工节点划分临时设施布置（0-4分）；</w:t>
            </w:r>
          </w:p>
          <w:p>
            <w:pPr>
              <w:adjustRightInd w:val="0"/>
              <w:snapToGrid w:val="0"/>
              <w:spacing w:line="288" w:lineRule="auto"/>
              <w:rPr>
                <w:color w:val="auto"/>
                <w:sz w:val="21"/>
                <w:szCs w:val="21"/>
                <w:highlight w:val="none"/>
              </w:rPr>
            </w:pPr>
            <w:r>
              <w:rPr>
                <w:rFonts w:hint="eastAsia"/>
                <w:color w:val="auto"/>
                <w:sz w:val="21"/>
                <w:szCs w:val="21"/>
                <w:highlight w:val="none"/>
              </w:rPr>
              <w:t>分部、分项实施细则（0-4分）；</w:t>
            </w:r>
          </w:p>
          <w:p>
            <w:pPr>
              <w:adjustRightInd w:val="0"/>
              <w:snapToGrid w:val="0"/>
              <w:spacing w:line="288" w:lineRule="auto"/>
              <w:rPr>
                <w:color w:val="auto"/>
                <w:sz w:val="21"/>
                <w:szCs w:val="21"/>
                <w:highlight w:val="none"/>
              </w:rPr>
            </w:pPr>
            <w:r>
              <w:rPr>
                <w:rFonts w:hint="eastAsia"/>
                <w:color w:val="auto"/>
                <w:sz w:val="21"/>
                <w:szCs w:val="21"/>
                <w:highlight w:val="none"/>
              </w:rPr>
              <w:t>关键施工技术、工艺（0-4分）；</w:t>
            </w:r>
          </w:p>
          <w:p>
            <w:pPr>
              <w:adjustRightInd w:val="0"/>
              <w:snapToGrid w:val="0"/>
              <w:spacing w:line="288" w:lineRule="auto"/>
              <w:rPr>
                <w:color w:val="auto"/>
                <w:sz w:val="21"/>
                <w:szCs w:val="21"/>
                <w:highlight w:val="none"/>
              </w:rPr>
            </w:pPr>
            <w:r>
              <w:rPr>
                <w:rFonts w:hint="eastAsia"/>
                <w:color w:val="auto"/>
                <w:sz w:val="21"/>
                <w:szCs w:val="21"/>
                <w:highlight w:val="none"/>
              </w:rPr>
              <w:t>项目实施的重点、难点和解决方案（0-4分）</w:t>
            </w:r>
          </w:p>
          <w:p>
            <w:pPr>
              <w:adjustRightInd w:val="0"/>
              <w:snapToGrid w:val="0"/>
              <w:spacing w:line="288" w:lineRule="auto"/>
              <w:rPr>
                <w:color w:val="auto"/>
                <w:sz w:val="21"/>
                <w:szCs w:val="21"/>
                <w:highlight w:val="none"/>
              </w:rPr>
            </w:pPr>
            <w:r>
              <w:rPr>
                <w:rFonts w:hint="eastAsia"/>
                <w:color w:val="auto"/>
                <w:sz w:val="21"/>
                <w:szCs w:val="21"/>
                <w:highlight w:val="none"/>
              </w:rPr>
              <w:t>（每项评分范围：4，3，2，1，0）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67" w:type="dxa"/>
            <w:vMerge w:val="continue"/>
            <w:tcBorders>
              <w:left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【主观分】拟投入资源配备计划：</w:t>
            </w:r>
          </w:p>
          <w:p>
            <w:pPr>
              <w:adjustRightInd w:val="0"/>
              <w:snapToGrid w:val="0"/>
              <w:spacing w:line="288" w:lineRule="auto"/>
              <w:rPr>
                <w:color w:val="auto"/>
                <w:sz w:val="21"/>
                <w:szCs w:val="21"/>
                <w:highlight w:val="none"/>
              </w:rPr>
            </w:pPr>
            <w:r>
              <w:rPr>
                <w:rFonts w:hint="eastAsia"/>
                <w:color w:val="auto"/>
                <w:sz w:val="21"/>
                <w:szCs w:val="21"/>
                <w:highlight w:val="none"/>
              </w:rPr>
              <w:t>拟投入的主要施工设备及劳动力计划（0-4分）；</w:t>
            </w:r>
          </w:p>
          <w:p>
            <w:pPr>
              <w:adjustRightInd w:val="0"/>
              <w:snapToGrid w:val="0"/>
              <w:spacing w:line="288" w:lineRule="auto"/>
              <w:rPr>
                <w:color w:val="auto"/>
                <w:highlight w:val="none"/>
              </w:rPr>
            </w:pPr>
            <w:r>
              <w:rPr>
                <w:rFonts w:hint="eastAsia"/>
                <w:color w:val="auto"/>
                <w:sz w:val="21"/>
                <w:szCs w:val="21"/>
                <w:highlight w:val="none"/>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67" w:type="dxa"/>
            <w:vMerge w:val="continue"/>
            <w:tcBorders>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b/>
                <w:bCs/>
                <w:color w:val="auto"/>
                <w:sz w:val="21"/>
                <w:szCs w:val="21"/>
                <w:highlight w:val="none"/>
              </w:rPr>
              <w:t>8</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【主观分】质量保证方案和措施：</w:t>
            </w:r>
          </w:p>
          <w:p>
            <w:pPr>
              <w:adjustRightInd w:val="0"/>
              <w:snapToGrid w:val="0"/>
              <w:spacing w:line="288" w:lineRule="auto"/>
              <w:rPr>
                <w:color w:val="auto"/>
                <w:sz w:val="21"/>
                <w:szCs w:val="21"/>
                <w:highlight w:val="none"/>
              </w:rPr>
            </w:pPr>
            <w:r>
              <w:rPr>
                <w:rFonts w:hint="eastAsia"/>
                <w:color w:val="auto"/>
                <w:sz w:val="21"/>
                <w:szCs w:val="21"/>
                <w:highlight w:val="none"/>
              </w:rPr>
              <w:t>质量安全保障措施（0-4分）；</w:t>
            </w:r>
          </w:p>
          <w:p>
            <w:pPr>
              <w:adjustRightInd w:val="0"/>
              <w:snapToGrid w:val="0"/>
              <w:spacing w:line="288" w:lineRule="auto"/>
              <w:rPr>
                <w:color w:val="auto"/>
                <w:sz w:val="21"/>
                <w:szCs w:val="21"/>
                <w:highlight w:val="none"/>
              </w:rPr>
            </w:pPr>
            <w:r>
              <w:rPr>
                <w:rFonts w:hint="eastAsia"/>
                <w:color w:val="auto"/>
                <w:sz w:val="21"/>
                <w:szCs w:val="21"/>
                <w:highlight w:val="none"/>
              </w:rPr>
              <w:t>协调管理(包含与采购人、相关职能部门的协调方案和计划)（0-4分）；</w:t>
            </w:r>
          </w:p>
          <w:p>
            <w:pPr>
              <w:adjustRightInd w:val="0"/>
              <w:snapToGrid w:val="0"/>
              <w:spacing w:line="288" w:lineRule="auto"/>
              <w:rPr>
                <w:color w:val="auto"/>
                <w:sz w:val="21"/>
                <w:szCs w:val="21"/>
                <w:highlight w:val="none"/>
              </w:rPr>
            </w:pPr>
            <w:r>
              <w:rPr>
                <w:rFonts w:hint="eastAsia"/>
                <w:color w:val="auto"/>
                <w:sz w:val="21"/>
                <w:szCs w:val="21"/>
                <w:highlight w:val="none"/>
              </w:rPr>
              <w:t>（每项评分范围：4，3，2，1，0）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67" w:type="dxa"/>
            <w:vMerge w:val="continue"/>
            <w:tcBorders>
              <w:left w:val="single" w:color="auto" w:sz="4" w:space="0"/>
              <w:right w:val="single" w:color="auto" w:sz="4" w:space="0"/>
            </w:tcBorders>
            <w:vAlign w:val="center"/>
          </w:tcPr>
          <w:p>
            <w:pPr>
              <w:snapToGrid w:val="0"/>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b/>
                <w:bCs/>
                <w:color w:val="auto"/>
                <w:sz w:val="21"/>
                <w:szCs w:val="21"/>
                <w:highlight w:val="none"/>
              </w:rPr>
            </w:pPr>
            <w:r>
              <w:rPr>
                <w:rFonts w:hint="eastAsia"/>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【主观分】施工进度计划保障措施：</w:t>
            </w:r>
          </w:p>
          <w:p>
            <w:pPr>
              <w:adjustRightInd w:val="0"/>
              <w:snapToGrid w:val="0"/>
              <w:spacing w:line="288" w:lineRule="auto"/>
              <w:rPr>
                <w:color w:val="auto"/>
                <w:sz w:val="21"/>
                <w:szCs w:val="21"/>
                <w:highlight w:val="none"/>
              </w:rPr>
            </w:pPr>
            <w:r>
              <w:rPr>
                <w:rFonts w:hint="eastAsia"/>
                <w:color w:val="auto"/>
                <w:sz w:val="21"/>
                <w:szCs w:val="21"/>
                <w:highlight w:val="none"/>
              </w:rPr>
              <w:t>项目实施进度计划及项目进度保障措施（0-4分）；</w:t>
            </w:r>
          </w:p>
          <w:p>
            <w:pPr>
              <w:adjustRightInd w:val="0"/>
              <w:snapToGrid w:val="0"/>
              <w:spacing w:line="288" w:lineRule="auto"/>
              <w:rPr>
                <w:color w:val="auto"/>
                <w:sz w:val="21"/>
                <w:szCs w:val="21"/>
                <w:highlight w:val="none"/>
              </w:rPr>
            </w:pPr>
            <w:r>
              <w:rPr>
                <w:rFonts w:hint="eastAsia"/>
                <w:color w:val="auto"/>
                <w:sz w:val="21"/>
                <w:szCs w:val="21"/>
                <w:highlight w:val="none"/>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napToGrid w:val="0"/>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b/>
                <w:bCs/>
                <w:color w:val="auto"/>
                <w:sz w:val="21"/>
                <w:szCs w:val="21"/>
                <w:highlight w:val="none"/>
              </w:rPr>
            </w:pPr>
            <w:r>
              <w:rPr>
                <w:b/>
                <w:bCs/>
                <w:color w:val="auto"/>
                <w:sz w:val="21"/>
                <w:szCs w:val="21"/>
                <w:highlight w:val="none"/>
              </w:rPr>
              <w:t>8</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【主观分】安全文明施工、环境保护：</w:t>
            </w:r>
          </w:p>
          <w:p>
            <w:pPr>
              <w:adjustRightInd w:val="0"/>
              <w:snapToGrid w:val="0"/>
              <w:spacing w:line="288" w:lineRule="auto"/>
              <w:rPr>
                <w:color w:val="auto"/>
                <w:sz w:val="21"/>
                <w:szCs w:val="21"/>
                <w:highlight w:val="none"/>
              </w:rPr>
            </w:pPr>
            <w:r>
              <w:rPr>
                <w:rFonts w:hint="eastAsia"/>
                <w:color w:val="auto"/>
                <w:sz w:val="21"/>
                <w:szCs w:val="21"/>
                <w:highlight w:val="none"/>
              </w:rPr>
              <w:t>安全施工保证措施（0-4分）；</w:t>
            </w:r>
          </w:p>
          <w:p>
            <w:pPr>
              <w:adjustRightInd w:val="0"/>
              <w:snapToGrid w:val="0"/>
              <w:spacing w:line="288" w:lineRule="auto"/>
              <w:rPr>
                <w:color w:val="auto"/>
                <w:sz w:val="21"/>
                <w:szCs w:val="21"/>
                <w:highlight w:val="none"/>
              </w:rPr>
            </w:pPr>
            <w:r>
              <w:rPr>
                <w:rFonts w:hint="eastAsia"/>
                <w:color w:val="auto"/>
                <w:sz w:val="21"/>
                <w:szCs w:val="21"/>
                <w:highlight w:val="none"/>
              </w:rPr>
              <w:t>文明施工管理措施（0-4分）；</w:t>
            </w:r>
          </w:p>
          <w:p>
            <w:pPr>
              <w:adjustRightInd w:val="0"/>
              <w:snapToGrid w:val="0"/>
              <w:spacing w:line="288" w:lineRule="auto"/>
              <w:rPr>
                <w:color w:val="auto"/>
                <w:sz w:val="21"/>
                <w:szCs w:val="21"/>
                <w:highlight w:val="none"/>
              </w:rPr>
            </w:pPr>
            <w:r>
              <w:rPr>
                <w:rFonts w:hint="eastAsia"/>
                <w:color w:val="auto"/>
                <w:sz w:val="21"/>
                <w:szCs w:val="21"/>
                <w:highlight w:val="none"/>
              </w:rPr>
              <w:t>（每项评分范围：4，3，2，1，0）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b/>
                <w:bCs/>
                <w:color w:val="auto"/>
                <w:spacing w:val="-6"/>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【主观分】布撤展方案：</w:t>
            </w:r>
          </w:p>
          <w:p>
            <w:pPr>
              <w:adjustRightInd w:val="0"/>
              <w:snapToGrid w:val="0"/>
              <w:spacing w:line="288" w:lineRule="auto"/>
              <w:rPr>
                <w:color w:val="auto"/>
                <w:sz w:val="21"/>
                <w:szCs w:val="21"/>
                <w:highlight w:val="none"/>
              </w:rPr>
            </w:pPr>
            <w:r>
              <w:rPr>
                <w:rFonts w:hint="eastAsia"/>
                <w:color w:val="auto"/>
                <w:sz w:val="21"/>
                <w:szCs w:val="21"/>
                <w:highlight w:val="none"/>
              </w:rPr>
              <w:t>布展撤展实施方案（0-4分）；</w:t>
            </w:r>
          </w:p>
          <w:p>
            <w:pPr>
              <w:adjustRightInd w:val="0"/>
              <w:snapToGrid w:val="0"/>
              <w:spacing w:line="288" w:lineRule="auto"/>
              <w:rPr>
                <w:color w:val="auto"/>
                <w:sz w:val="21"/>
                <w:szCs w:val="21"/>
                <w:highlight w:val="none"/>
              </w:rPr>
            </w:pPr>
            <w:r>
              <w:rPr>
                <w:rFonts w:hint="eastAsia"/>
                <w:color w:val="auto"/>
                <w:sz w:val="21"/>
                <w:szCs w:val="21"/>
                <w:highlight w:val="none"/>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color w:val="auto"/>
                <w:sz w:val="21"/>
                <w:szCs w:val="21"/>
                <w:highlight w:val="none"/>
              </w:rPr>
            </w:pPr>
            <w:r>
              <w:rPr>
                <w:rFonts w:hint="eastAsia"/>
                <w:color w:val="auto"/>
                <w:sz w:val="21"/>
                <w:szCs w:val="21"/>
                <w:highlight w:val="none"/>
              </w:rPr>
              <w:t>项目负责人的经验、资历、资质情况。（评分范围：3，2，1，0）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color w:val="auto"/>
                <w:sz w:val="21"/>
                <w:szCs w:val="21"/>
                <w:highlight w:val="none"/>
              </w:rPr>
            </w:pPr>
            <w:r>
              <w:rPr>
                <w:rFonts w:hint="eastAsia"/>
                <w:color w:val="auto"/>
                <w:sz w:val="21"/>
                <w:szCs w:val="21"/>
                <w:highlight w:val="none"/>
              </w:rPr>
              <w:t>项目组人员的配备是否合理、有无类似经验、资质情况等。（评分范围：3，2，1，0）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67" w:type="dxa"/>
            <w:vMerge w:val="restart"/>
            <w:tcBorders>
              <w:left w:val="single" w:color="auto" w:sz="4" w:space="0"/>
              <w:right w:val="single" w:color="auto" w:sz="4" w:space="0"/>
            </w:tcBorders>
            <w:vAlign w:val="center"/>
          </w:tcPr>
          <w:p>
            <w:pPr>
              <w:jc w:val="center"/>
              <w:rPr>
                <w:b/>
                <w:bCs/>
                <w:color w:val="auto"/>
                <w:sz w:val="21"/>
                <w:szCs w:val="21"/>
                <w:highlight w:val="none"/>
              </w:rPr>
            </w:pPr>
            <w:r>
              <w:rPr>
                <w:rFonts w:hint="eastAsia"/>
                <w:b/>
                <w:bCs/>
                <w:color w:val="auto"/>
                <w:spacing w:val="-6"/>
                <w:sz w:val="21"/>
                <w:szCs w:val="21"/>
                <w:highlight w:val="none"/>
              </w:rPr>
              <w:t>应急及安全保障等</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pacing w:val="-6"/>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【主观分】应急预案：季节性施工服务措施；（评分范围：3，2，1，0）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jc w:val="center"/>
              <w:rPr>
                <w:b/>
                <w:bCs/>
                <w:color w:val="auto"/>
                <w:spacing w:val="-6"/>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【主观分】已有设备、管线加固、保护等特殊情况下施工措施</w:t>
            </w:r>
            <w:r>
              <w:rPr>
                <w:color w:val="auto"/>
                <w:sz w:val="21"/>
                <w:szCs w:val="21"/>
                <w:highlight w:val="none"/>
              </w:rPr>
              <w:t>。</w:t>
            </w:r>
            <w:r>
              <w:rPr>
                <w:rFonts w:hint="eastAsia"/>
                <w:color w:val="auto"/>
                <w:sz w:val="21"/>
                <w:szCs w:val="21"/>
                <w:highlight w:val="none"/>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adjustRightInd w:val="0"/>
              <w:snapToGrid w:val="0"/>
              <w:spacing w:line="288" w:lineRule="auto"/>
              <w:rPr>
                <w:color w:val="auto"/>
                <w:sz w:val="21"/>
                <w:szCs w:val="21"/>
                <w:highlight w:val="none"/>
              </w:rPr>
            </w:pPr>
            <w:r>
              <w:rPr>
                <w:rFonts w:hint="eastAsia"/>
                <w:color w:val="auto"/>
                <w:sz w:val="21"/>
                <w:szCs w:val="21"/>
                <w:highlight w:val="none"/>
              </w:rPr>
              <w:t>根据供应商对本项目的合理化建议和改进措施的合理性，可行性。（评分范围：4，3，2，1，0）</w:t>
            </w:r>
          </w:p>
        </w:tc>
      </w:tr>
    </w:tbl>
    <w:p>
      <w:pPr>
        <w:adjustRightInd w:val="0"/>
        <w:snapToGrid w:val="0"/>
        <w:spacing w:line="288" w:lineRule="auto"/>
        <w:rPr>
          <w:color w:val="auto"/>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w:t>
      </w:r>
      <w:r>
        <w:rPr>
          <w:rFonts w:hint="eastAsia" w:cs="Times New Roman"/>
          <w:b/>
          <w:bCs/>
          <w:color w:val="auto"/>
          <w:spacing w:val="-6"/>
          <w:sz w:val="21"/>
          <w:szCs w:val="21"/>
          <w:highlight w:val="none"/>
        </w:rPr>
        <w:t>文创设计制造业协同创新中心“DIA 十年：北京特展”展览搭建服务项目</w:t>
      </w:r>
      <w:r>
        <w:rPr>
          <w:rFonts w:hint="eastAsia"/>
          <w:b/>
          <w:color w:val="auto"/>
          <w:spacing w:val="-6"/>
          <w:sz w:val="21"/>
          <w:szCs w:val="21"/>
          <w:highlight w:val="none"/>
        </w:rPr>
        <w:t>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项目名称：文创设计制造业协同创新中心“DIA 十年：北京特展”展览搭建服务项目</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 xml:space="preserve">项目编号：QSZB-Z(F)-C24131(CS)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adjustRightInd w:val="0"/>
        <w:snapToGrid w:val="0"/>
        <w:spacing w:line="288" w:lineRule="auto"/>
        <w:rPr>
          <w:rFonts w:cs="Times New Roman"/>
          <w:color w:val="auto"/>
          <w:spacing w:val="-6"/>
          <w:sz w:val="21"/>
          <w:szCs w:val="21"/>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根据《中华人民共和国民法典》、《中华人民共和国政府采购法》等有关法律法规规定，</w:t>
      </w:r>
      <w:r>
        <w:rPr>
          <w:rFonts w:hint="eastAsia"/>
          <w:color w:val="auto"/>
          <w:sz w:val="21"/>
          <w:szCs w:val="21"/>
          <w:highlight w:val="none"/>
          <w:u w:val="single"/>
        </w:rPr>
        <w:t>浙江求是招标代理有限公司</w:t>
      </w:r>
      <w:r>
        <w:rPr>
          <w:rFonts w:hint="eastAsia"/>
          <w:color w:val="auto"/>
          <w:sz w:val="21"/>
          <w:szCs w:val="21"/>
          <w:highlight w:val="none"/>
        </w:rPr>
        <w:t>受中国美术学院委托，对</w:t>
      </w:r>
      <w:r>
        <w:rPr>
          <w:rFonts w:hint="eastAsia"/>
          <w:color w:val="auto"/>
          <w:sz w:val="21"/>
          <w:szCs w:val="21"/>
          <w:highlight w:val="none"/>
          <w:u w:val="single"/>
        </w:rPr>
        <w:t>文创设计制造业协同创新中心“DIA 十年：北京特展”展览搭建服务项目</w:t>
      </w:r>
      <w:r>
        <w:rPr>
          <w:rFonts w:hint="eastAsia"/>
          <w:color w:val="auto"/>
          <w:sz w:val="21"/>
          <w:szCs w:val="21"/>
          <w:highlight w:val="none"/>
        </w:rPr>
        <w:t>项目通过</w:t>
      </w:r>
      <w:r>
        <w:rPr>
          <w:rFonts w:hint="eastAsia"/>
          <w:color w:val="auto"/>
          <w:sz w:val="21"/>
          <w:szCs w:val="21"/>
          <w:highlight w:val="none"/>
          <w:u w:val="single"/>
        </w:rPr>
        <w:t>竞争性磋商</w:t>
      </w:r>
      <w:r>
        <w:rPr>
          <w:rFonts w:hint="eastAsia"/>
          <w:color w:val="auto"/>
          <w:sz w:val="21"/>
          <w:szCs w:val="21"/>
          <w:highlight w:val="none"/>
        </w:rPr>
        <w:t>方式采购，确定＿＿＿＿＿＿＿＿＿＿为成交单位，甲、乙双方友好协商，达成以下条款：</w:t>
      </w:r>
    </w:p>
    <w:p>
      <w:pPr>
        <w:pStyle w:val="15"/>
        <w:snapToGrid w:val="0"/>
        <w:spacing w:line="360" w:lineRule="auto"/>
        <w:ind w:firstLine="422" w:firstLineChars="200"/>
        <w:rPr>
          <w:rFonts w:ascii="宋体" w:hAnsi="宋体" w:eastAsia="宋体" w:cs="宋体"/>
          <w:b/>
          <w:color w:val="auto"/>
          <w:sz w:val="21"/>
          <w:szCs w:val="21"/>
          <w:highlight w:val="none"/>
        </w:rPr>
      </w:pP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一、服务内容和要求</w:t>
      </w:r>
    </w:p>
    <w:p>
      <w:pPr>
        <w:snapToGrid w:val="0"/>
        <w:spacing w:line="360" w:lineRule="auto"/>
        <w:ind w:firstLine="420" w:firstLineChars="200"/>
        <w:rPr>
          <w:color w:val="auto"/>
          <w:sz w:val="21"/>
          <w:szCs w:val="21"/>
          <w:highlight w:val="none"/>
        </w:rPr>
      </w:pPr>
      <w:r>
        <w:rPr>
          <w:rFonts w:hint="eastAsia"/>
          <w:color w:val="auto"/>
          <w:sz w:val="21"/>
          <w:szCs w:val="21"/>
          <w:highlight w:val="none"/>
        </w:rPr>
        <w:t xml:space="preserve">1. </w:t>
      </w:r>
    </w:p>
    <w:p>
      <w:pPr>
        <w:snapToGrid w:val="0"/>
        <w:spacing w:line="360" w:lineRule="auto"/>
        <w:ind w:firstLine="420" w:firstLineChars="200"/>
        <w:rPr>
          <w:color w:val="auto"/>
          <w:sz w:val="21"/>
          <w:szCs w:val="21"/>
          <w:highlight w:val="none"/>
        </w:rPr>
      </w:pPr>
      <w:r>
        <w:rPr>
          <w:rFonts w:hint="eastAsia"/>
          <w:color w:val="auto"/>
          <w:sz w:val="21"/>
          <w:szCs w:val="21"/>
          <w:highlight w:val="none"/>
        </w:rPr>
        <w:t>2.</w:t>
      </w:r>
    </w:p>
    <w:p>
      <w:pPr>
        <w:snapToGrid w:val="0"/>
        <w:spacing w:line="360" w:lineRule="auto"/>
        <w:ind w:firstLine="420" w:firstLineChars="200"/>
        <w:rPr>
          <w:color w:val="auto"/>
          <w:sz w:val="21"/>
          <w:szCs w:val="21"/>
          <w:highlight w:val="none"/>
        </w:rPr>
      </w:pPr>
      <w:r>
        <w:rPr>
          <w:rFonts w:hint="eastAsia"/>
          <w:color w:val="auto"/>
          <w:sz w:val="21"/>
          <w:szCs w:val="21"/>
          <w:highlight w:val="none"/>
        </w:rPr>
        <w:t>3.……</w:t>
      </w:r>
    </w:p>
    <w:p>
      <w:pPr>
        <w:pStyle w:val="13"/>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（乙方承诺的其他服务内容，如有，请填写；服务内容报价清单可另附页）</w:t>
      </w:r>
    </w:p>
    <w:p>
      <w:pPr>
        <w:pStyle w:val="13"/>
        <w:spacing w:line="360" w:lineRule="auto"/>
        <w:ind w:left="0" w:leftChars="0" w:firstLine="420" w:firstLineChars="200"/>
        <w:rPr>
          <w:rFonts w:ascii="宋体" w:hAnsi="宋体" w:cs="宋体"/>
          <w:color w:val="auto"/>
          <w:sz w:val="21"/>
          <w:szCs w:val="21"/>
          <w:highlight w:val="none"/>
        </w:rPr>
      </w:pP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二、合同履行时间、履行地点和合同金额</w:t>
      </w:r>
    </w:p>
    <w:p>
      <w:pPr>
        <w:snapToGrid w:val="0"/>
        <w:spacing w:line="360" w:lineRule="auto"/>
        <w:ind w:firstLine="420" w:firstLineChars="200"/>
        <w:rPr>
          <w:color w:val="auto"/>
          <w:sz w:val="21"/>
          <w:szCs w:val="21"/>
          <w:highlight w:val="none"/>
        </w:rPr>
      </w:pPr>
      <w:r>
        <w:rPr>
          <w:rFonts w:hint="eastAsia"/>
          <w:color w:val="auto"/>
          <w:sz w:val="21"/>
          <w:szCs w:val="21"/>
          <w:highlight w:val="none"/>
        </w:rPr>
        <w:t xml:space="preserve">1.履行时间：＿＿＿＿＿＿＿＿＿＿＿＿＿＿＿＿； </w:t>
      </w:r>
    </w:p>
    <w:p>
      <w:pPr>
        <w:snapToGrid w:val="0"/>
        <w:spacing w:line="360" w:lineRule="auto"/>
        <w:ind w:firstLine="420" w:firstLineChars="200"/>
        <w:rPr>
          <w:color w:val="auto"/>
          <w:sz w:val="21"/>
          <w:szCs w:val="21"/>
          <w:highlight w:val="none"/>
        </w:rPr>
      </w:pPr>
      <w:r>
        <w:rPr>
          <w:rFonts w:hint="eastAsia"/>
          <w:color w:val="auto"/>
          <w:sz w:val="21"/>
          <w:szCs w:val="21"/>
          <w:highlight w:val="none"/>
        </w:rPr>
        <w:t>2.履行地点：＿＿＿＿＿＿＿＿＿＿＿＿＿＿＿＿；</w:t>
      </w:r>
    </w:p>
    <w:p>
      <w:pPr>
        <w:snapToGrid w:val="0"/>
        <w:spacing w:line="360" w:lineRule="auto"/>
        <w:ind w:firstLine="420" w:firstLineChars="200"/>
        <w:rPr>
          <w:color w:val="auto"/>
          <w:sz w:val="21"/>
          <w:szCs w:val="21"/>
          <w:highlight w:val="none"/>
        </w:rPr>
      </w:pPr>
      <w:r>
        <w:rPr>
          <w:rFonts w:hint="eastAsia"/>
          <w:color w:val="auto"/>
          <w:sz w:val="21"/>
          <w:szCs w:val="21"/>
          <w:highlight w:val="none"/>
        </w:rPr>
        <w:t>3.本合同金额为（大写）：＿＿＿＿＿＿＿元（￥元）人民币。本合同的价款为含税价，已包含乙方为履行本合同义务所需的全部费用，除甲、乙双方重新达成书面一致外，甲方不再向乙方支付其它任何费用。</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三、履约保证金和款项支付</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1.合同签订后5个工作日内，乙方向甲方提交合同总价1%的履约保证金，履约保证金在合同履约期间无违约情形的，项目验收合格后，于一周内退还（不计息）；</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2.履约保证金提交方式：支票、汇票、本票或金融机构、担保机构出具的保函等非现金形式。</w:t>
      </w:r>
    </w:p>
    <w:p>
      <w:pPr>
        <w:spacing w:line="360" w:lineRule="auto"/>
        <w:ind w:firstLine="420" w:firstLineChars="200"/>
        <w:rPr>
          <w:color w:val="auto"/>
          <w:sz w:val="21"/>
          <w:szCs w:val="21"/>
          <w:highlight w:val="none"/>
        </w:rPr>
      </w:pPr>
      <w:r>
        <w:rPr>
          <w:rFonts w:hint="eastAsia"/>
          <w:color w:val="auto"/>
          <w:sz w:val="21"/>
          <w:szCs w:val="21"/>
          <w:highlight w:val="none"/>
        </w:rPr>
        <w:t>3.合同生效以及具备实施条件后7个工作日内，且乙方已向甲方提交履约保证金或履约保函的，甲方向乙方支付合同总价的40%；</w:t>
      </w:r>
      <w:r>
        <w:rPr>
          <w:rFonts w:hint="eastAsia"/>
          <w:color w:val="auto"/>
          <w:spacing w:val="-6"/>
          <w:kern w:val="0"/>
          <w:sz w:val="21"/>
          <w:szCs w:val="21"/>
          <w:highlight w:val="none"/>
        </w:rPr>
        <w:t>项目履约完成，经甲方验收合格</w:t>
      </w:r>
      <w:r>
        <w:rPr>
          <w:rFonts w:hint="eastAsia"/>
          <w:color w:val="auto"/>
          <w:sz w:val="21"/>
          <w:szCs w:val="21"/>
          <w:highlight w:val="none"/>
        </w:rPr>
        <w:t>且工程搭建部分经审计后，</w:t>
      </w:r>
      <w:r>
        <w:rPr>
          <w:rFonts w:hint="eastAsia"/>
          <w:color w:val="auto"/>
          <w:spacing w:val="-6"/>
          <w:kern w:val="0"/>
          <w:sz w:val="21"/>
          <w:szCs w:val="21"/>
          <w:highlight w:val="none"/>
        </w:rPr>
        <w:t>甲方收到发票后7个工作日内，</w:t>
      </w:r>
      <w:r>
        <w:rPr>
          <w:rFonts w:hint="eastAsia"/>
          <w:color w:val="auto"/>
          <w:sz w:val="21"/>
          <w:szCs w:val="21"/>
          <w:highlight w:val="none"/>
        </w:rPr>
        <w:t>支付</w:t>
      </w:r>
      <w:r>
        <w:rPr>
          <w:rFonts w:hint="eastAsia"/>
          <w:color w:val="auto"/>
          <w:spacing w:val="-6"/>
          <w:kern w:val="0"/>
          <w:sz w:val="21"/>
          <w:szCs w:val="21"/>
          <w:highlight w:val="none"/>
        </w:rPr>
        <w:t>剩余款项。</w:t>
      </w:r>
    </w:p>
    <w:p>
      <w:pPr>
        <w:pStyle w:val="13"/>
        <w:snapToGrid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乙方应在甲方付款前提供符合甲方要求的等额合法有效的发票，如乙方未提供符合甲方要求的等额合法有效发票的，甲方有权暂缓付款而不视为违约。</w:t>
      </w:r>
    </w:p>
    <w:p>
      <w:pPr>
        <w:spacing w:line="360" w:lineRule="auto"/>
        <w:ind w:firstLine="420" w:firstLineChars="200"/>
        <w:rPr>
          <w:color w:val="auto"/>
          <w:sz w:val="21"/>
          <w:szCs w:val="21"/>
          <w:highlight w:val="none"/>
        </w:rPr>
      </w:pPr>
      <w:r>
        <w:rPr>
          <w:rFonts w:hint="eastAsia"/>
          <w:color w:val="auto"/>
          <w:sz w:val="21"/>
          <w:szCs w:val="21"/>
          <w:highlight w:val="none"/>
        </w:rPr>
        <w:t>4.在签订合同时，乙方明确表示无需预付款或者主动要求降低预付款比例的，可降低预付款比例。</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1.乙方应按采购文件规定的时间向甲方提供有关技术资料。</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，否则甲方有权解除本合同，拒绝支付合同价款（或要求乙方退还已收款），并要求乙方赔偿所有损失。</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五、质量保证及后续服务</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1.乙方应按采购文件及本合同规定向甲方提供服务。</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3.合同履行期限内，乙方接到甲方通知后＿＿小时内到达甲方现场，并在＿＿小时内排除故障。若乙方缺陷修复不及时，甲方有权自行或指定第三方修理，费用由乙方承担。</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六、转包或分包</w:t>
      </w:r>
    </w:p>
    <w:p>
      <w:pPr>
        <w:snapToGrid w:val="0"/>
        <w:spacing w:line="360" w:lineRule="auto"/>
        <w:ind w:firstLine="420" w:firstLineChars="200"/>
        <w:rPr>
          <w:color w:val="auto"/>
          <w:sz w:val="21"/>
          <w:szCs w:val="21"/>
          <w:highlight w:val="none"/>
        </w:rPr>
      </w:pPr>
      <w:r>
        <w:rPr>
          <w:rFonts w:hint="eastAsia"/>
          <w:color w:val="auto"/>
          <w:sz w:val="21"/>
          <w:szCs w:val="21"/>
          <w:highlight w:val="none"/>
        </w:rPr>
        <w:t>1.本合同范围的服务，应由乙方直接完成，不得转让给任何第三方；</w:t>
      </w:r>
    </w:p>
    <w:p>
      <w:pPr>
        <w:snapToGrid w:val="0"/>
        <w:spacing w:line="360" w:lineRule="auto"/>
        <w:ind w:firstLine="420" w:firstLineChars="200"/>
        <w:rPr>
          <w:color w:val="auto"/>
          <w:sz w:val="21"/>
          <w:szCs w:val="21"/>
          <w:highlight w:val="none"/>
        </w:rPr>
      </w:pPr>
      <w:r>
        <w:rPr>
          <w:rFonts w:hint="eastAsia"/>
          <w:color w:val="auto"/>
          <w:sz w:val="21"/>
          <w:szCs w:val="21"/>
          <w:highlight w:val="none"/>
        </w:rPr>
        <w:t>2.除非得到甲方的书面同意，乙方不得将本合同范围的服务全部或部分转包分包给任何第三方完成；</w:t>
      </w:r>
    </w:p>
    <w:p>
      <w:pPr>
        <w:snapToGrid w:val="0"/>
        <w:spacing w:line="360" w:lineRule="auto"/>
        <w:ind w:firstLine="420" w:firstLineChars="200"/>
        <w:rPr>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七、验收标准</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乙方完成本合同服务内容后，乙方按采购文件、响应（投标）文件及合同中的服务内容和要求提供相应材料并申请验收，由甲方对履约情况进行验收。</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八、违约责任</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5.乙方保障具备履行本合同所需的一切资质，否则甲方有权立即解除本合同，并拒付（或要求乙方退还）合同价款。如因此给甲方造成损失或被行政处罚的，一切责任由乙方承担。</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6.合同履行期内，任何一方因不可抗力事件不能履行合同的，合同履行期限可相应顺延。不可抗力事件发生后，应立即通知对方，并邮寄或送达有关权威机构出具的证明。</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7.甲方有权从应支付给乙方的款项中扣除乙方应承担的费用（包括但不限于违约金，损害赔偿等），且不视为甲方违约。</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8.乙方违约的，除应承担违约损害赔偿外，还应承担甲方为实现权利而支出的合理费用，包括但不限于诉讼费、保全费、鉴定费、律师代理费、执行费、差旅费等。</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九、不可抗力事件处理</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1.在合同有效期内，任何一方因不可抗力事件导致不能履行合同，则合同履行期可延长，其延长期与不可抗力影响期相同。</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2.不可抗力事件发生后，应立即通知对方，并寄送有关权威机构出具的证明。</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3.不可抗力事件延续120天以上，双方应通过友好协商，确定是否继续履行合同。</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十、争议的解决</w:t>
      </w:r>
    </w:p>
    <w:p>
      <w:pPr>
        <w:spacing w:line="360" w:lineRule="auto"/>
        <w:ind w:firstLine="420" w:firstLineChars="200"/>
        <w:rPr>
          <w:color w:val="auto"/>
          <w:sz w:val="21"/>
          <w:szCs w:val="21"/>
          <w:highlight w:val="none"/>
        </w:rPr>
      </w:pPr>
      <w:r>
        <w:rPr>
          <w:rFonts w:hint="eastAsia"/>
          <w:color w:val="auto"/>
          <w:sz w:val="21"/>
          <w:szCs w:val="21"/>
          <w:highlight w:val="none"/>
        </w:rPr>
        <w:t>本合同未尽事宜由甲、乙双方协商解决。因本合同发生纠纷，甲乙双方应当及时协商解决，如协商不成，任何一方可向甲方所在地人民法院起诉。</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十一、通知与送达</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十二、合同生效及其它</w:t>
      </w:r>
    </w:p>
    <w:p>
      <w:pPr>
        <w:spacing w:line="360" w:lineRule="auto"/>
        <w:ind w:firstLine="420" w:firstLineChars="200"/>
        <w:rPr>
          <w:color w:val="auto"/>
          <w:sz w:val="21"/>
          <w:szCs w:val="21"/>
          <w:highlight w:val="none"/>
        </w:rPr>
      </w:pPr>
      <w:r>
        <w:rPr>
          <w:rFonts w:hint="eastAsia"/>
          <w:color w:val="auto"/>
          <w:sz w:val="21"/>
          <w:szCs w:val="21"/>
          <w:highlight w:val="none"/>
        </w:rPr>
        <w:t>1.本合同经甲、乙、采购代理机构三方法定代表人或其授权代表签字并加盖公章/合同专用章后生效。</w:t>
      </w:r>
    </w:p>
    <w:p>
      <w:pPr>
        <w:spacing w:line="360" w:lineRule="auto"/>
        <w:ind w:firstLine="420" w:firstLineChars="200"/>
        <w:rPr>
          <w:color w:val="auto"/>
          <w:sz w:val="21"/>
          <w:szCs w:val="21"/>
          <w:highlight w:val="none"/>
        </w:rPr>
      </w:pPr>
      <w:r>
        <w:rPr>
          <w:rFonts w:hint="eastAsia"/>
          <w:color w:val="auto"/>
          <w:sz w:val="21"/>
          <w:szCs w:val="21"/>
          <w:highlight w:val="none"/>
        </w:rPr>
        <w:t>2.本合同未尽事宜，遵照《民法典》有关条文执行。</w:t>
      </w:r>
    </w:p>
    <w:p>
      <w:pPr>
        <w:spacing w:line="360" w:lineRule="auto"/>
        <w:ind w:firstLine="420" w:firstLineChars="200"/>
        <w:rPr>
          <w:color w:val="auto"/>
          <w:sz w:val="21"/>
          <w:szCs w:val="21"/>
          <w:highlight w:val="none"/>
        </w:rPr>
      </w:pPr>
      <w:r>
        <w:rPr>
          <w:rFonts w:hint="eastAsia"/>
          <w:color w:val="auto"/>
          <w:sz w:val="21"/>
          <w:szCs w:val="21"/>
          <w:highlight w:val="none"/>
        </w:rPr>
        <w:t>3.本合同一式陆份，甲方执叁份，乙方执贰份，采购代理机构执壹份，具有同等法律效力。</w:t>
      </w:r>
    </w:p>
    <w:p>
      <w:pPr>
        <w:adjustRightInd w:val="0"/>
        <w:snapToGrid w:val="0"/>
        <w:spacing w:line="360" w:lineRule="auto"/>
        <w:ind w:firstLine="420" w:firstLineChars="200"/>
        <w:rPr>
          <w:color w:val="auto"/>
          <w:sz w:val="21"/>
          <w:szCs w:val="21"/>
          <w:highlight w:val="none"/>
        </w:rPr>
      </w:pPr>
      <w:r>
        <w:rPr>
          <w:rFonts w:hint="eastAsia"/>
          <w:bCs/>
          <w:color w:val="auto"/>
          <w:sz w:val="21"/>
          <w:szCs w:val="21"/>
          <w:highlight w:val="none"/>
        </w:rPr>
        <w:t>4.与</w:t>
      </w:r>
      <w:r>
        <w:rPr>
          <w:rFonts w:hint="eastAsia"/>
          <w:color w:val="auto"/>
          <w:sz w:val="21"/>
          <w:szCs w:val="21"/>
          <w:highlight w:val="none"/>
        </w:rPr>
        <w:t>本合同有关的采购文件、响应（投标）文件、记录等，与本合同具有同等法律效力。</w:t>
      </w:r>
    </w:p>
    <w:p>
      <w:pPr>
        <w:pStyle w:val="13"/>
        <w:spacing w:line="360" w:lineRule="auto"/>
        <w:ind w:left="876" w:hanging="396"/>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（以下无正文）</w:t>
      </w:r>
    </w:p>
    <w:p>
      <w:pPr>
        <w:pStyle w:val="13"/>
        <w:spacing w:line="360" w:lineRule="auto"/>
        <w:ind w:left="876" w:hanging="396"/>
        <w:rPr>
          <w:rFonts w:ascii="宋体" w:hAnsi="宋体" w:cs="宋体"/>
          <w:color w:val="auto"/>
          <w:spacing w:val="-6"/>
          <w:sz w:val="21"/>
          <w:szCs w:val="21"/>
          <w:highlight w:val="none"/>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甲方（需方）：       （公章/合同专用章）</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法定代表人或授权代表：</w:t>
            </w:r>
          </w:p>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法定代表人或授权代表：</w:t>
            </w:r>
          </w:p>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地址：</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电话：</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开户银行：</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账号：</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签名日期：      年    月    日</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合同鉴证方：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color w:val="auto"/>
                <w:spacing w:val="-6"/>
                <w:sz w:val="21"/>
                <w:szCs w:val="21"/>
                <w:highlight w:val="none"/>
              </w:rPr>
            </w:pPr>
            <w:r>
              <w:rPr>
                <w:rFonts w:hint="eastAsia"/>
                <w:color w:val="auto"/>
                <w:spacing w:val="-6"/>
                <w:sz w:val="21"/>
                <w:szCs w:val="21"/>
                <w:highlight w:val="none"/>
              </w:rPr>
              <w:t>采购代理机构法定代表人或授权代表：</w:t>
            </w:r>
          </w:p>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color w:val="auto"/>
                <w:spacing w:val="-6"/>
                <w:sz w:val="21"/>
                <w:szCs w:val="21"/>
                <w:highlight w:val="none"/>
              </w:rPr>
            </w:pPr>
            <w:r>
              <w:rPr>
                <w:rFonts w:hint="eastAsia"/>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color w:val="auto"/>
                <w:spacing w:val="-6"/>
                <w:sz w:val="21"/>
                <w:szCs w:val="21"/>
                <w:highlight w:val="none"/>
              </w:rPr>
            </w:pPr>
            <w:r>
              <w:rPr>
                <w:rFonts w:hint="eastAsia"/>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鉴证日期：      年    月    日</w:t>
            </w:r>
          </w:p>
        </w:tc>
      </w:tr>
    </w:tbl>
    <w:p>
      <w:pPr>
        <w:pStyle w:val="13"/>
        <w:ind w:left="121" w:leftChars="20" w:hanging="73" w:hangingChars="35"/>
        <w:rPr>
          <w:rFonts w:ascii="宋体" w:hAnsi="宋体" w:cs="宋体"/>
          <w:color w:val="auto"/>
          <w:sz w:val="21"/>
          <w:szCs w:val="21"/>
          <w:highlight w:val="none"/>
        </w:rPr>
      </w:pPr>
    </w:p>
    <w:p>
      <w:pPr>
        <w:pStyle w:val="13"/>
        <w:ind w:left="900" w:hanging="420"/>
        <w:rPr>
          <w:rFonts w:ascii="宋体" w:hAnsi="宋体" w:cs="宋体"/>
          <w:color w:val="auto"/>
          <w:sz w:val="21"/>
          <w:szCs w:val="21"/>
          <w:highlight w:val="none"/>
        </w:rPr>
      </w:pPr>
      <w:r>
        <w:rPr>
          <w:rFonts w:hint="eastAsia" w:ascii="宋体" w:hAnsi="宋体" w:cs="宋体"/>
          <w:color w:val="auto"/>
          <w:sz w:val="21"/>
          <w:szCs w:val="21"/>
          <w:highlight w:val="none"/>
        </w:rPr>
        <w:t>附件：报价清单</w:t>
      </w:r>
    </w:p>
    <w:p>
      <w:pPr>
        <w:jc w:val="left"/>
        <w:rPr>
          <w:b/>
          <w:bCs/>
          <w:color w:val="auto"/>
          <w:sz w:val="32"/>
          <w:szCs w:val="32"/>
          <w:highlight w:val="none"/>
        </w:rPr>
      </w:pPr>
      <w:r>
        <w:rPr>
          <w:rFonts w:hint="eastAsia"/>
          <w:b/>
          <w:bCs/>
          <w:color w:val="auto"/>
          <w:sz w:val="32"/>
          <w:szCs w:val="32"/>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73"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73"/>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74"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75" w:name="OLE_LINK14"/>
      <w:bookmarkStart w:id="76" w:name="OLE_LINK13"/>
      <w:r>
        <w:rPr>
          <w:rFonts w:hint="eastAsia"/>
          <w:color w:val="auto"/>
          <w:sz w:val="21"/>
          <w:szCs w:val="21"/>
          <w:highlight w:val="none"/>
        </w:rPr>
        <w:t>3）残疾人福利性单位声明函</w:t>
      </w:r>
      <w:bookmarkEnd w:id="75"/>
      <w:bookmarkEnd w:id="76"/>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p>
      <w:pPr>
        <w:adjustRightInd w:val="0"/>
        <w:snapToGrid w:val="0"/>
        <w:spacing w:line="288" w:lineRule="auto"/>
        <w:ind w:firstLine="398" w:firstLineChars="200"/>
        <w:rPr>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材料</w:t>
      </w:r>
      <w:r>
        <w:rPr>
          <w:b/>
          <w:color w:val="auto"/>
          <w:spacing w:val="-6"/>
          <w:sz w:val="21"/>
          <w:szCs w:val="21"/>
          <w:highlight w:val="none"/>
        </w:rPr>
        <w:t>。</w:t>
      </w:r>
    </w:p>
    <w:p>
      <w:pPr>
        <w:adjustRightInd w:val="0"/>
        <w:snapToGrid w:val="0"/>
        <w:spacing w:line="288" w:lineRule="auto"/>
        <w:ind w:firstLine="422" w:firstLineChars="200"/>
        <w:rPr>
          <w:b/>
          <w:bCs/>
          <w:color w:val="auto"/>
          <w:sz w:val="21"/>
          <w:szCs w:val="21"/>
          <w:highlight w:val="none"/>
        </w:rPr>
      </w:pPr>
    </w:p>
    <w:bookmarkEnd w:id="74"/>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附：授权代表社保缴纳证明（2023年12月（含）以后任意一月</w:t>
      </w:r>
      <w:r>
        <w:rPr>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bookmarkStart w:id="77" w:name="_Hlk71884196"/>
      <w:r>
        <w:rPr>
          <w:color w:val="auto"/>
          <w:sz w:val="21"/>
          <w:szCs w:val="21"/>
          <w:highlight w:val="none"/>
        </w:rPr>
        <w:t>技术方案</w:t>
      </w: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（6）</w:t>
      </w:r>
      <w:r>
        <w:rPr>
          <w:rFonts w:hint="eastAsia"/>
          <w:color w:val="auto"/>
          <w:sz w:val="21"/>
          <w:szCs w:val="21"/>
          <w:highlight w:val="none"/>
        </w:rPr>
        <w:t>供应商</w:t>
      </w:r>
      <w:r>
        <w:rPr>
          <w:color w:val="auto"/>
          <w:sz w:val="21"/>
          <w:szCs w:val="21"/>
          <w:highlight w:val="none"/>
        </w:rPr>
        <w:t>需要说明的其他文件和材料</w:t>
      </w:r>
      <w:bookmarkEnd w:id="77"/>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78" w:name="_Hlk94097338"/>
      <w:r>
        <w:rPr>
          <w:rFonts w:hint="eastAsia"/>
          <w:b/>
          <w:bCs/>
          <w:color w:val="auto"/>
          <w:sz w:val="21"/>
          <w:szCs w:val="21"/>
          <w:highlight w:val="none"/>
        </w:rPr>
        <w:t>资格审查要求的资格证明材料(均需加盖公章)</w:t>
      </w:r>
    </w:p>
    <w:bookmarkEnd w:id="78"/>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t>说明：</w:t>
      </w:r>
    </w:p>
    <w:p>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bookmarkStart w:id="79"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79"/>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jc w:val="center"/>
        <w:outlineLvl w:val="2"/>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rPr>
        <w:t>服务</w:t>
      </w:r>
      <w:r>
        <w:rPr>
          <w:b/>
          <w:bCs/>
          <w:color w:val="auto"/>
          <w:sz w:val="21"/>
          <w:szCs w:val="21"/>
          <w:highlight w:val="none"/>
        </w:rPr>
        <w:t>）</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.（标的名称），属于（采购文件中明确的所属行业）；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2.</w:t>
      </w:r>
      <w:r>
        <w:rPr>
          <w:rFonts w:hint="eastAsia" w:cs="Times New Roman"/>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.本项目仅以《中小企业声明函》作为评判供应商是否属于中小企业的唯一依据。</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4</w:t>
      </w:r>
      <w:r>
        <w:rPr>
          <w:rFonts w:hint="eastAsia" w:cs="Times New Roman"/>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heme="minorBidi"/>
          <w:color w:val="auto"/>
          <w:sz w:val="21"/>
          <w:szCs w:val="22"/>
          <w:highlight w:val="none"/>
          <w:u w:val="single"/>
        </w:rPr>
      </w:pPr>
      <w:r>
        <w:rPr>
          <w:rFonts w:cs="Times New Roman"/>
          <w:color w:val="auto"/>
          <w:sz w:val="21"/>
          <w:szCs w:val="21"/>
          <w:highlight w:val="none"/>
          <w:u w:val="single"/>
        </w:rPr>
        <w:t>5.</w:t>
      </w:r>
      <w:r>
        <w:rPr>
          <w:rFonts w:hint="eastAsia"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pPr>
        <w:widowControl/>
        <w:adjustRightInd w:val="0"/>
        <w:snapToGrid w:val="0"/>
        <w:spacing w:line="288" w:lineRule="auto"/>
        <w:ind w:firstLine="495" w:firstLineChars="236"/>
        <w:jc w:val="left"/>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cs="Times New Roman"/>
          <w:color w:val="auto"/>
          <w:sz w:val="21"/>
          <w:szCs w:val="21"/>
          <w:highlight w:val="none"/>
          <w:u w:val="single"/>
        </w:rPr>
      </w:pPr>
    </w:p>
    <w:p>
      <w:pPr>
        <w:widowControl/>
        <w:adjustRightInd w:val="0"/>
        <w:snapToGrid w:val="0"/>
        <w:spacing w:line="288" w:lineRule="auto"/>
        <w:ind w:firstLine="495" w:firstLineChars="236"/>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项目名称：文创设计制造业协同创新中心“DIA 十年：北京特展”展览搭建服务项目</w:t>
      </w:r>
    </w:p>
    <w:p>
      <w:pPr>
        <w:adjustRightInd w:val="0"/>
        <w:snapToGrid w:val="0"/>
        <w:spacing w:line="288" w:lineRule="auto"/>
        <w:rPr>
          <w:color w:val="auto"/>
          <w:sz w:val="21"/>
          <w:szCs w:val="21"/>
          <w:highlight w:val="none"/>
        </w:rPr>
      </w:pPr>
      <w:r>
        <w:rPr>
          <w:rFonts w:hint="eastAsia"/>
          <w:color w:val="auto"/>
          <w:sz w:val="21"/>
          <w:szCs w:val="21"/>
          <w:highlight w:val="none"/>
        </w:rPr>
        <w:t xml:space="preserve">项目编号：QSZB-Z(F)-C24131(CS) </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bookmarkStart w:id="80" w:name="_Hlk97040054"/>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bookmarkEnd w:id="80"/>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bookmarkStart w:id="81" w:name="_Hlk97040072"/>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81"/>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bookmarkStart w:id="8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中国美术学院文创设计制造业协同创新中心“DIA 十年：北京特展”展览搭建服务项目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 xml:space="preserve">：QSZB-Z(F)-C24131(CS)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82"/>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bookmarkStart w:id="83" w:name="_Hlk97040154"/>
            <w:r>
              <w:rPr>
                <w:rFonts w:hint="eastAsia" w:cs="Times New Roman"/>
                <w:color w:val="auto"/>
                <w:spacing w:val="-6"/>
                <w:kern w:val="0"/>
                <w:sz w:val="21"/>
                <w:szCs w:val="21"/>
                <w:highlight w:val="none"/>
              </w:rPr>
              <w:t>联系人：</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pPr>
              <w:adjustRightInd w:val="0"/>
              <w:snapToGrid w:val="0"/>
              <w:spacing w:line="288" w:lineRule="auto"/>
              <w:rPr>
                <w:rFonts w:cs="Times New Roman"/>
                <w:color w:val="auto"/>
                <w:spacing w:val="-6"/>
                <w:kern w:val="0"/>
                <w:sz w:val="21"/>
                <w:szCs w:val="21"/>
                <w:highlight w:val="none"/>
              </w:rPr>
            </w:pPr>
          </w:p>
        </w:tc>
      </w:tr>
      <w:bookmarkEnd w:id="83"/>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bookmarkStart w:id="8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84"/>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pPr>
        <w:adjustRightInd w:val="0"/>
        <w:snapToGrid w:val="0"/>
        <w:spacing w:line="288" w:lineRule="auto"/>
        <w:rPr>
          <w:rFonts w:cs="Times New Roman"/>
          <w:b/>
          <w:bCs/>
          <w:color w:val="auto"/>
          <w:spacing w:val="-6"/>
          <w:sz w:val="21"/>
          <w:szCs w:val="21"/>
          <w:highlight w:val="none"/>
        </w:rPr>
      </w:pP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致：中国美术学院、浙江求是招标代理有限公司</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中国美术学院文创设计制造业协同创新中心“DIA 十年：北京特展”展览搭建服务项目项目（项目编号：QSZB-Z(F)-C24131(CS) ）</w:t>
      </w:r>
      <w:r>
        <w:rPr>
          <w:rFonts w:hint="eastAsia" w:cs="Times New Roman"/>
          <w:color w:val="auto"/>
          <w:spacing w:val="-6"/>
          <w:sz w:val="21"/>
          <w:szCs w:val="21"/>
          <w:highlight w:val="none"/>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▲提供授权代表社保缴纳证明（2023年12月（含）以后任意一月）。</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pPr>
        <w:adjustRightInd w:val="0"/>
        <w:snapToGrid w:val="0"/>
        <w:spacing w:line="288" w:lineRule="auto"/>
        <w:rPr>
          <w:rFonts w:cs="Times New Roman"/>
          <w:color w:val="auto"/>
          <w:sz w:val="21"/>
          <w:szCs w:val="21"/>
          <w:highlight w:val="none"/>
        </w:rPr>
      </w:pP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附：授权代表社保缴纳证明（2023年12月（含）以后任意一月）</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项目名称：文创设计制造业协同创新中心“DIA 十年：北京特展”展览搭建服务项目</w:t>
      </w:r>
    </w:p>
    <w:p>
      <w:pPr>
        <w:adjustRightInd w:val="0"/>
        <w:snapToGrid w:val="0"/>
        <w:spacing w:line="288" w:lineRule="auto"/>
        <w:rPr>
          <w:color w:val="auto"/>
          <w:sz w:val="21"/>
          <w:szCs w:val="21"/>
          <w:highlight w:val="none"/>
        </w:rPr>
      </w:pPr>
      <w:r>
        <w:rPr>
          <w:rFonts w:hint="eastAsia"/>
          <w:color w:val="auto"/>
          <w:sz w:val="21"/>
          <w:szCs w:val="21"/>
          <w:highlight w:val="none"/>
        </w:rPr>
        <w:t xml:space="preserve">项目编号：QSZB-Z(F)-C24131(CS)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kern w:val="0"/>
                <w:sz w:val="21"/>
                <w:szCs w:val="21"/>
                <w:highlight w:val="none"/>
              </w:rPr>
            </w:pPr>
            <w:bookmarkStart w:id="85" w:name="_Hlk97040421"/>
            <w:r>
              <w:rPr>
                <w:rFonts w:hint="eastAsia"/>
                <w:b/>
                <w:bCs/>
                <w:color w:val="auto"/>
                <w:kern w:val="0"/>
                <w:sz w:val="21"/>
                <w:szCs w:val="21"/>
                <w:highlight w:val="none"/>
              </w:rPr>
              <w:t>序号</w:t>
            </w:r>
          </w:p>
        </w:tc>
        <w:tc>
          <w:tcPr>
            <w:tcW w:w="3286"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bookmarkEnd w:id="85"/>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bookmarkStart w:id="86" w:name="_Hlk71885757"/>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（6）供应商需要说明的其他文件和材料。</w:t>
      </w:r>
      <w:bookmarkEnd w:id="86"/>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Times New Roman"/>
          <w:b/>
          <w:bCs/>
          <w:color w:val="auto"/>
          <w:sz w:val="21"/>
          <w:szCs w:val="21"/>
          <w:highlight w:val="none"/>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rPr>
          <w:color w:val="auto"/>
          <w:highlight w:val="none"/>
        </w:rPr>
      </w:pPr>
    </w:p>
    <w:p>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script"/>
    <w:pitch w:val="default"/>
    <w:sig w:usb0="A00002BF" w:usb1="38CF7CFA" w:usb2="00000016" w:usb3="00000000" w:csb0="0004000F" w:csb1="00000000"/>
  </w:font>
  <w:font w:name="等线">
    <w:panose1 w:val="02010600030101010101"/>
    <w:charset w:val="86"/>
    <w:family w:val="script"/>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AB66E"/>
    <w:multiLevelType w:val="singleLevel"/>
    <w:tmpl w:val="E5AAB66E"/>
    <w:lvl w:ilvl="0" w:tentative="0">
      <w:start w:val="1"/>
      <w:numFmt w:val="decimal"/>
      <w:pStyle w:val="7"/>
      <w:lvlText w:val="%1."/>
      <w:lvlJc w:val="left"/>
      <w:pPr>
        <w:tabs>
          <w:tab w:val="left" w:pos="360"/>
        </w:tabs>
        <w:ind w:left="360" w:hanging="360"/>
      </w:pPr>
    </w:lvl>
  </w:abstractNum>
  <w:abstractNum w:abstractNumId="1">
    <w:nsid w:val="00000010"/>
    <w:multiLevelType w:val="multilevel"/>
    <w:tmpl w:val="00000010"/>
    <w:lvl w:ilvl="0" w:tentative="0">
      <w:start w:val="9"/>
      <w:numFmt w:val="decimal"/>
      <w:isLgl/>
      <w:suff w:val="nothing"/>
      <w:lvlText w:val="%100 章 "/>
      <w:lvlJc w:val="left"/>
      <w:pPr>
        <w:ind w:left="0" w:firstLine="0"/>
      </w:pPr>
      <w:rPr>
        <w:rFonts w:hint="eastAsia"/>
      </w:rPr>
    </w:lvl>
    <w:lvl w:ilvl="1" w:tentative="0">
      <w:start w:val="1"/>
      <w:numFmt w:val="decimalZero"/>
      <w:isLgl/>
      <w:suff w:val="nothing"/>
      <w:lvlText w:val="%1%2 节 "/>
      <w:lvlJc w:val="left"/>
      <w:pPr>
        <w:ind w:left="0" w:firstLine="0"/>
      </w:pPr>
      <w:rPr>
        <w:rFonts w:hint="eastAsia"/>
      </w:rPr>
    </w:lvl>
    <w:lvl w:ilvl="2" w:tentative="0">
      <w:start w:val="1"/>
      <w:numFmt w:val="decimalZero"/>
      <w:pStyle w:val="6"/>
      <w:isLgl/>
      <w:suff w:val="nothing"/>
      <w:lvlText w:val="%1%2.%3 "/>
      <w:lvlJc w:val="left"/>
      <w:pPr>
        <w:ind w:left="0" w:firstLine="0"/>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296"/>
        </w:tabs>
        <w:ind w:left="1008" w:hanging="432"/>
      </w:pPr>
      <w:rPr>
        <w:rFonts w:hint="eastAsia"/>
      </w:rPr>
    </w:lvl>
    <w:lvl w:ilvl="5" w:tentative="0">
      <w:start w:val="1"/>
      <w:numFmt w:val="lowerLetter"/>
      <w:lvlText w:val="%6)"/>
      <w:lvlJc w:val="left"/>
      <w:pPr>
        <w:tabs>
          <w:tab w:val="left" w:pos="1440"/>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728"/>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275B5"/>
    <w:rsid w:val="000378B4"/>
    <w:rsid w:val="0004655A"/>
    <w:rsid w:val="00087AFB"/>
    <w:rsid w:val="000A696F"/>
    <w:rsid w:val="000B7189"/>
    <w:rsid w:val="001101B8"/>
    <w:rsid w:val="00120B93"/>
    <w:rsid w:val="001344C6"/>
    <w:rsid w:val="00135905"/>
    <w:rsid w:val="00150CCA"/>
    <w:rsid w:val="00155438"/>
    <w:rsid w:val="001619EB"/>
    <w:rsid w:val="00165980"/>
    <w:rsid w:val="0017776E"/>
    <w:rsid w:val="0018140E"/>
    <w:rsid w:val="001842AA"/>
    <w:rsid w:val="001A02BC"/>
    <w:rsid w:val="001A7446"/>
    <w:rsid w:val="001C39B6"/>
    <w:rsid w:val="001E34FE"/>
    <w:rsid w:val="00215143"/>
    <w:rsid w:val="00216C31"/>
    <w:rsid w:val="00232E27"/>
    <w:rsid w:val="00252BBD"/>
    <w:rsid w:val="00256B2D"/>
    <w:rsid w:val="0026429E"/>
    <w:rsid w:val="002E3481"/>
    <w:rsid w:val="002E3867"/>
    <w:rsid w:val="002F0514"/>
    <w:rsid w:val="002F7386"/>
    <w:rsid w:val="00325E65"/>
    <w:rsid w:val="0035197B"/>
    <w:rsid w:val="004025C3"/>
    <w:rsid w:val="00425942"/>
    <w:rsid w:val="00491993"/>
    <w:rsid w:val="00494ECD"/>
    <w:rsid w:val="004C7C81"/>
    <w:rsid w:val="00505CF1"/>
    <w:rsid w:val="00511E9E"/>
    <w:rsid w:val="0055045F"/>
    <w:rsid w:val="005A718F"/>
    <w:rsid w:val="005D064A"/>
    <w:rsid w:val="00605C23"/>
    <w:rsid w:val="00626278"/>
    <w:rsid w:val="00631B4E"/>
    <w:rsid w:val="00647EE6"/>
    <w:rsid w:val="00655693"/>
    <w:rsid w:val="00656208"/>
    <w:rsid w:val="006722BD"/>
    <w:rsid w:val="00693BC8"/>
    <w:rsid w:val="006B188F"/>
    <w:rsid w:val="006E2717"/>
    <w:rsid w:val="006E6002"/>
    <w:rsid w:val="00707323"/>
    <w:rsid w:val="007212FD"/>
    <w:rsid w:val="007215EA"/>
    <w:rsid w:val="00723439"/>
    <w:rsid w:val="00742B14"/>
    <w:rsid w:val="0076422D"/>
    <w:rsid w:val="00792093"/>
    <w:rsid w:val="007D5140"/>
    <w:rsid w:val="007E4685"/>
    <w:rsid w:val="007E55F1"/>
    <w:rsid w:val="008006D5"/>
    <w:rsid w:val="00812A1E"/>
    <w:rsid w:val="00813E3D"/>
    <w:rsid w:val="008143B3"/>
    <w:rsid w:val="00834B9A"/>
    <w:rsid w:val="008543A5"/>
    <w:rsid w:val="00855401"/>
    <w:rsid w:val="00856638"/>
    <w:rsid w:val="00870DF6"/>
    <w:rsid w:val="00872576"/>
    <w:rsid w:val="008772E5"/>
    <w:rsid w:val="00904497"/>
    <w:rsid w:val="00913E41"/>
    <w:rsid w:val="00916B4C"/>
    <w:rsid w:val="009429A3"/>
    <w:rsid w:val="00952FF7"/>
    <w:rsid w:val="009631E3"/>
    <w:rsid w:val="0096732E"/>
    <w:rsid w:val="009675F7"/>
    <w:rsid w:val="00975E89"/>
    <w:rsid w:val="00982682"/>
    <w:rsid w:val="009B3D16"/>
    <w:rsid w:val="009D6F21"/>
    <w:rsid w:val="009D739A"/>
    <w:rsid w:val="00A353D5"/>
    <w:rsid w:val="00A56D5E"/>
    <w:rsid w:val="00A60FF3"/>
    <w:rsid w:val="00A72A4C"/>
    <w:rsid w:val="00A81109"/>
    <w:rsid w:val="00A86BED"/>
    <w:rsid w:val="00AB06C1"/>
    <w:rsid w:val="00AB1B6E"/>
    <w:rsid w:val="00AE5F71"/>
    <w:rsid w:val="00AE7589"/>
    <w:rsid w:val="00B004AC"/>
    <w:rsid w:val="00B81BFC"/>
    <w:rsid w:val="00B84B5A"/>
    <w:rsid w:val="00BB31A4"/>
    <w:rsid w:val="00BD5E66"/>
    <w:rsid w:val="00BE24EB"/>
    <w:rsid w:val="00BE2867"/>
    <w:rsid w:val="00BE2C76"/>
    <w:rsid w:val="00BE3132"/>
    <w:rsid w:val="00BF2AEA"/>
    <w:rsid w:val="00C44792"/>
    <w:rsid w:val="00C62292"/>
    <w:rsid w:val="00C766F5"/>
    <w:rsid w:val="00C97794"/>
    <w:rsid w:val="00D0356A"/>
    <w:rsid w:val="00D16917"/>
    <w:rsid w:val="00D317F8"/>
    <w:rsid w:val="00D4609C"/>
    <w:rsid w:val="00D525EE"/>
    <w:rsid w:val="00D52A86"/>
    <w:rsid w:val="00D9733D"/>
    <w:rsid w:val="00DB217E"/>
    <w:rsid w:val="00DB5D1B"/>
    <w:rsid w:val="00DB7C4C"/>
    <w:rsid w:val="00DE0C5F"/>
    <w:rsid w:val="00DF38CD"/>
    <w:rsid w:val="00E32777"/>
    <w:rsid w:val="00E37150"/>
    <w:rsid w:val="00E4559E"/>
    <w:rsid w:val="00E52B31"/>
    <w:rsid w:val="00E70D67"/>
    <w:rsid w:val="00E8510B"/>
    <w:rsid w:val="00EB1C8D"/>
    <w:rsid w:val="00EC091A"/>
    <w:rsid w:val="00ED1230"/>
    <w:rsid w:val="00F156DB"/>
    <w:rsid w:val="00F253AC"/>
    <w:rsid w:val="00F31DC5"/>
    <w:rsid w:val="00F61206"/>
    <w:rsid w:val="00FC2099"/>
    <w:rsid w:val="00FC6056"/>
    <w:rsid w:val="01C20BC1"/>
    <w:rsid w:val="02885E67"/>
    <w:rsid w:val="08C9055F"/>
    <w:rsid w:val="10AC6995"/>
    <w:rsid w:val="125737C1"/>
    <w:rsid w:val="14F631C8"/>
    <w:rsid w:val="17472691"/>
    <w:rsid w:val="1A1E0D32"/>
    <w:rsid w:val="1B2E5704"/>
    <w:rsid w:val="1DA92F98"/>
    <w:rsid w:val="1F691481"/>
    <w:rsid w:val="21E27646"/>
    <w:rsid w:val="247F5090"/>
    <w:rsid w:val="250E1CEC"/>
    <w:rsid w:val="27233292"/>
    <w:rsid w:val="274039F1"/>
    <w:rsid w:val="28296FA1"/>
    <w:rsid w:val="286A6D7C"/>
    <w:rsid w:val="2A0B351B"/>
    <w:rsid w:val="2AFC2825"/>
    <w:rsid w:val="2C705EBF"/>
    <w:rsid w:val="2DFF0E6B"/>
    <w:rsid w:val="35930DC7"/>
    <w:rsid w:val="371C0674"/>
    <w:rsid w:val="372C2F6E"/>
    <w:rsid w:val="3A346250"/>
    <w:rsid w:val="3C0D2C6A"/>
    <w:rsid w:val="3D54230E"/>
    <w:rsid w:val="3EB10871"/>
    <w:rsid w:val="44F63F32"/>
    <w:rsid w:val="450E4525"/>
    <w:rsid w:val="46823DA2"/>
    <w:rsid w:val="47586CBD"/>
    <w:rsid w:val="485D2A6F"/>
    <w:rsid w:val="4A677596"/>
    <w:rsid w:val="4F7D0636"/>
    <w:rsid w:val="533D70CD"/>
    <w:rsid w:val="55444370"/>
    <w:rsid w:val="55607300"/>
    <w:rsid w:val="5752592D"/>
    <w:rsid w:val="580F555A"/>
    <w:rsid w:val="58732F31"/>
    <w:rsid w:val="595343D5"/>
    <w:rsid w:val="5B171C1E"/>
    <w:rsid w:val="5C5862D4"/>
    <w:rsid w:val="5C9A18B5"/>
    <w:rsid w:val="5CC8357B"/>
    <w:rsid w:val="5D9546B3"/>
    <w:rsid w:val="5E4A0D0D"/>
    <w:rsid w:val="5E681E61"/>
    <w:rsid w:val="5E6A299D"/>
    <w:rsid w:val="5EB9161C"/>
    <w:rsid w:val="643A6EEF"/>
    <w:rsid w:val="69BB9E4A"/>
    <w:rsid w:val="6B953269"/>
    <w:rsid w:val="70FC044F"/>
    <w:rsid w:val="74410D4B"/>
    <w:rsid w:val="758578D0"/>
    <w:rsid w:val="76D034BC"/>
    <w:rsid w:val="77403795"/>
    <w:rsid w:val="79D64771"/>
    <w:rsid w:val="7C3C313E"/>
    <w:rsid w:val="7DFB7D55"/>
    <w:rsid w:val="7F2968D0"/>
    <w:rsid w:val="7F816685"/>
    <w:rsid w:val="7FF7CAB1"/>
    <w:rsid w:val="BDDCE42A"/>
    <w:rsid w:val="DF6B111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link w:val="62"/>
    <w:autoRedefine/>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53"/>
    <w:autoRedefine/>
    <w:unhideWhenUsed/>
    <w:qFormat/>
    <w:uiPriority w:val="0"/>
    <w:pPr>
      <w:keepNext/>
      <w:keepLines/>
      <w:numPr>
        <w:ilvl w:val="2"/>
        <w:numId w:val="1"/>
      </w:numPr>
      <w:autoSpaceDE w:val="0"/>
      <w:autoSpaceDN w:val="0"/>
      <w:adjustRightInd w:val="0"/>
      <w:spacing w:before="160" w:after="160" w:line="360" w:lineRule="auto"/>
      <w:jc w:val="left"/>
      <w:textAlignment w:val="baseline"/>
      <w:outlineLvl w:val="2"/>
    </w:pPr>
    <w:rPr>
      <w:b/>
      <w:kern w:val="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pPr>
  </w:style>
  <w:style w:type="paragraph" w:styleId="3">
    <w:name w:val="Body Text Indent"/>
    <w:basedOn w:val="1"/>
    <w:next w:val="1"/>
    <w:link w:val="38"/>
    <w:autoRedefine/>
    <w:qFormat/>
    <w:uiPriority w:val="0"/>
    <w:pPr>
      <w:spacing w:line="200" w:lineRule="atLeast"/>
      <w:ind w:firstLine="301"/>
    </w:pPr>
    <w:rPr>
      <w:rFonts w:hAnsi="Courier New" w:cs="Times New Roman"/>
      <w:spacing w:val="-4"/>
      <w:sz w:val="18"/>
      <w:szCs w:val="20"/>
    </w:rPr>
  </w:style>
  <w:style w:type="paragraph" w:styleId="7">
    <w:name w:val="List Number"/>
    <w:basedOn w:val="1"/>
    <w:autoRedefine/>
    <w:semiHidden/>
    <w:unhideWhenUsed/>
    <w:qFormat/>
    <w:uiPriority w:val="99"/>
    <w:pPr>
      <w:numPr>
        <w:ilvl w:val="0"/>
        <w:numId w:val="2"/>
      </w:numPr>
    </w:pPr>
  </w:style>
  <w:style w:type="paragraph" w:styleId="8">
    <w:name w:val="Normal Indent"/>
    <w:basedOn w:val="1"/>
    <w:next w:val="9"/>
    <w:autoRedefine/>
    <w:qFormat/>
    <w:uiPriority w:val="0"/>
    <w:pPr>
      <w:spacing w:line="360" w:lineRule="auto"/>
      <w:ind w:firstLine="420"/>
    </w:pPr>
  </w:style>
  <w:style w:type="paragraph" w:styleId="9">
    <w:name w:val="toc 4"/>
    <w:basedOn w:val="1"/>
    <w:next w:val="1"/>
    <w:autoRedefine/>
    <w:unhideWhenUsed/>
    <w:qFormat/>
    <w:uiPriority w:val="39"/>
    <w:pPr>
      <w:ind w:left="1260" w:leftChars="600"/>
    </w:pPr>
  </w:style>
  <w:style w:type="paragraph" w:styleId="10">
    <w:name w:val="annotation text"/>
    <w:basedOn w:val="1"/>
    <w:link w:val="35"/>
    <w:autoRedefine/>
    <w:unhideWhenUsed/>
    <w:qFormat/>
    <w:uiPriority w:val="99"/>
    <w:pPr>
      <w:jc w:val="left"/>
    </w:pPr>
    <w:rPr>
      <w:rFonts w:ascii="Times New Roman" w:hAnsi="Times New Roman" w:cs="Times New Roman"/>
      <w:sz w:val="28"/>
    </w:rPr>
  </w:style>
  <w:style w:type="paragraph" w:styleId="11">
    <w:name w:val="Body Text"/>
    <w:basedOn w:val="1"/>
    <w:next w:val="12"/>
    <w:link w:val="47"/>
    <w:autoRedefine/>
    <w:qFormat/>
    <w:uiPriority w:val="0"/>
    <w:pPr>
      <w:spacing w:after="120"/>
    </w:pPr>
  </w:style>
  <w:style w:type="paragraph" w:styleId="12">
    <w:name w:val="Body Text First Indent"/>
    <w:basedOn w:val="11"/>
    <w:next w:val="1"/>
    <w:autoRedefine/>
    <w:qFormat/>
    <w:uiPriority w:val="0"/>
    <w:pPr>
      <w:ind w:firstLine="420" w:firstLineChars="100"/>
    </w:pPr>
  </w:style>
  <w:style w:type="paragraph" w:styleId="13">
    <w:name w:val="List 2"/>
    <w:basedOn w:val="1"/>
    <w:autoRedefine/>
    <w:unhideWhenUsed/>
    <w:qFormat/>
    <w:uiPriority w:val="99"/>
    <w:pPr>
      <w:ind w:left="100" w:leftChars="200" w:hanging="200" w:hangingChars="200"/>
      <w:contextualSpacing/>
    </w:pPr>
    <w:rPr>
      <w:rFonts w:ascii="Times New Roman" w:hAnsi="Times New Roman" w:cs="Times New Roman"/>
      <w:sz w:val="28"/>
    </w:rPr>
  </w:style>
  <w:style w:type="paragraph" w:styleId="14">
    <w:name w:val="Block Text"/>
    <w:basedOn w:val="1"/>
    <w:autoRedefine/>
    <w:unhideWhenUsed/>
    <w:qFormat/>
    <w:uiPriority w:val="99"/>
    <w:pPr>
      <w:spacing w:after="120"/>
      <w:ind w:left="1440" w:leftChars="700" w:right="1440" w:rightChars="700"/>
    </w:pPr>
  </w:style>
  <w:style w:type="paragraph" w:styleId="15">
    <w:name w:val="Plain Text"/>
    <w:basedOn w:val="1"/>
    <w:link w:val="48"/>
    <w:autoRedefine/>
    <w:semiHidden/>
    <w:unhideWhenUsed/>
    <w:qFormat/>
    <w:uiPriority w:val="99"/>
    <w:rPr>
      <w:rFonts w:hAnsi="Courier New" w:cs="Courier New" w:asciiTheme="minorEastAsia" w:eastAsiaTheme="minorEastAsia"/>
    </w:rPr>
  </w:style>
  <w:style w:type="paragraph" w:styleId="16">
    <w:name w:val="Balloon Text"/>
    <w:basedOn w:val="1"/>
    <w:link w:val="37"/>
    <w:autoRedefine/>
    <w:qFormat/>
    <w:uiPriority w:val="0"/>
    <w:rPr>
      <w:sz w:val="18"/>
      <w:szCs w:val="18"/>
    </w:rPr>
  </w:style>
  <w:style w:type="paragraph" w:styleId="17">
    <w:name w:val="footer"/>
    <w:basedOn w:val="1"/>
    <w:link w:val="34"/>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rPr>
  </w:style>
  <w:style w:type="paragraph" w:styleId="19">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9320"/>
      </w:tabs>
    </w:pPr>
    <w:rPr>
      <w:rFonts w:ascii="楷体" w:hAnsi="楷体" w:eastAsia="楷体"/>
      <w:b/>
      <w:bCs/>
    </w:rPr>
  </w:style>
  <w:style w:type="paragraph" w:styleId="21">
    <w:name w:val="toc 6"/>
    <w:basedOn w:val="1"/>
    <w:next w:val="1"/>
    <w:autoRedefine/>
    <w:qFormat/>
    <w:uiPriority w:val="0"/>
    <w:pPr>
      <w:autoSpaceDE w:val="0"/>
      <w:autoSpaceDN w:val="0"/>
      <w:adjustRightInd w:val="0"/>
      <w:ind w:left="2100" w:leftChars="1000"/>
      <w:jc w:val="left"/>
    </w:pPr>
    <w:rPr>
      <w:rFonts w:ascii="Calibri" w:hAnsi="Calibri"/>
      <w:kern w:val="0"/>
      <w:sz w:val="20"/>
      <w:szCs w:val="20"/>
    </w:rPr>
  </w:style>
  <w:style w:type="paragraph" w:styleId="22">
    <w:name w:val="toc 2"/>
    <w:basedOn w:val="1"/>
    <w:next w:val="1"/>
    <w:autoRedefine/>
    <w:unhideWhenUsed/>
    <w:qFormat/>
    <w:uiPriority w:val="39"/>
    <w:pPr>
      <w:ind w:left="420" w:leftChars="200"/>
    </w:pPr>
  </w:style>
  <w:style w:type="paragraph" w:styleId="23">
    <w:name w:val="Body Text 2"/>
    <w:basedOn w:val="1"/>
    <w:autoRedefine/>
    <w:qFormat/>
    <w:uiPriority w:val="0"/>
    <w:pPr>
      <w:widowControl/>
      <w:snapToGrid w:val="0"/>
      <w:spacing w:before="50" w:after="156" w:afterLines="50" w:line="400" w:lineRule="atLeast"/>
      <w:jc w:val="left"/>
    </w:pPr>
    <w:rPr>
      <w:rFonts w:hint="eastAsia" w:cs="Times New Roman"/>
      <w:color w:val="000000"/>
    </w:rPr>
  </w:style>
  <w:style w:type="paragraph" w:styleId="24">
    <w:name w:val="Normal (Web)"/>
    <w:basedOn w:val="1"/>
    <w:autoRedefine/>
    <w:unhideWhenUsed/>
    <w:qFormat/>
    <w:uiPriority w:val="99"/>
    <w:pPr>
      <w:widowControl/>
      <w:spacing w:before="100" w:beforeAutospacing="1" w:after="100" w:afterAutospacing="1"/>
      <w:jc w:val="left"/>
    </w:pPr>
    <w:rPr>
      <w:kern w:val="0"/>
    </w:rPr>
  </w:style>
  <w:style w:type="paragraph" w:styleId="25">
    <w:name w:val="annotation subject"/>
    <w:basedOn w:val="10"/>
    <w:next w:val="10"/>
    <w:link w:val="45"/>
    <w:autoRedefine/>
    <w:semiHidden/>
    <w:unhideWhenUsed/>
    <w:qFormat/>
    <w:uiPriority w:val="0"/>
    <w:rPr>
      <w:rFonts w:ascii="宋体" w:hAnsi="宋体" w:cs="宋体"/>
      <w:b/>
      <w:bCs/>
      <w:sz w:val="24"/>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basedOn w:val="28"/>
    <w:autoRedefine/>
    <w:unhideWhenUsed/>
    <w:qFormat/>
    <w:uiPriority w:val="99"/>
    <w:rPr>
      <w:color w:val="0000FF"/>
      <w:u w:val="single"/>
    </w:rPr>
  </w:style>
  <w:style w:type="character" w:styleId="30">
    <w:name w:val="annotation reference"/>
    <w:autoRedefine/>
    <w:unhideWhenUsed/>
    <w:qFormat/>
    <w:uiPriority w:val="99"/>
    <w:rPr>
      <w:sz w:val="21"/>
      <w:szCs w:val="21"/>
    </w:rPr>
  </w:style>
  <w:style w:type="paragraph" w:customStyle="1" w:styleId="31">
    <w:name w:val="Default"/>
    <w:next w:val="3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3">
    <w:name w:val="页眉字符"/>
    <w:basedOn w:val="28"/>
    <w:link w:val="19"/>
    <w:autoRedefine/>
    <w:qFormat/>
    <w:uiPriority w:val="99"/>
    <w:rPr>
      <w:sz w:val="18"/>
      <w:szCs w:val="18"/>
    </w:rPr>
  </w:style>
  <w:style w:type="character" w:customStyle="1" w:styleId="34">
    <w:name w:val="页脚字符"/>
    <w:basedOn w:val="28"/>
    <w:link w:val="17"/>
    <w:autoRedefine/>
    <w:qFormat/>
    <w:uiPriority w:val="99"/>
    <w:rPr>
      <w:sz w:val="18"/>
      <w:szCs w:val="18"/>
    </w:rPr>
  </w:style>
  <w:style w:type="character" w:customStyle="1" w:styleId="35">
    <w:name w:val="批注文字字符"/>
    <w:basedOn w:val="28"/>
    <w:link w:val="10"/>
    <w:autoRedefine/>
    <w:qFormat/>
    <w:uiPriority w:val="99"/>
    <w:rPr>
      <w:rFonts w:ascii="Times New Roman" w:hAnsi="Times New Roman" w:eastAsia="宋体" w:cs="Times New Roman"/>
      <w:sz w:val="28"/>
      <w:szCs w:val="24"/>
    </w:rPr>
  </w:style>
  <w:style w:type="character" w:customStyle="1" w:styleId="36">
    <w:name w:val="正文文本缩进 字符"/>
    <w:basedOn w:val="28"/>
    <w:autoRedefine/>
    <w:qFormat/>
    <w:uiPriority w:val="0"/>
    <w:rPr>
      <w:rFonts w:ascii="宋体" w:hAnsi="宋体" w:eastAsia="宋体" w:cs="宋体"/>
      <w:sz w:val="24"/>
      <w:szCs w:val="24"/>
    </w:rPr>
  </w:style>
  <w:style w:type="character" w:customStyle="1" w:styleId="37">
    <w:name w:val="批注框文本字符"/>
    <w:basedOn w:val="28"/>
    <w:link w:val="16"/>
    <w:autoRedefine/>
    <w:qFormat/>
    <w:uiPriority w:val="0"/>
    <w:rPr>
      <w:rFonts w:ascii="宋体" w:hAnsi="宋体" w:eastAsia="宋体" w:cs="宋体"/>
      <w:sz w:val="18"/>
      <w:szCs w:val="18"/>
    </w:rPr>
  </w:style>
  <w:style w:type="character" w:customStyle="1" w:styleId="38">
    <w:name w:val="正文文本缩进字符"/>
    <w:link w:val="3"/>
    <w:autoRedefine/>
    <w:qFormat/>
    <w:uiPriority w:val="0"/>
    <w:rPr>
      <w:rFonts w:ascii="宋体" w:hAnsi="Courier New" w:eastAsia="宋体" w:cs="Times New Roman"/>
      <w:spacing w:val="-4"/>
      <w:sz w:val="18"/>
      <w:szCs w:val="20"/>
    </w:rPr>
  </w:style>
  <w:style w:type="character" w:customStyle="1" w:styleId="39">
    <w:name w:val="正文文本缩进 字符2"/>
    <w:autoRedefine/>
    <w:qFormat/>
    <w:uiPriority w:val="0"/>
    <w:rPr>
      <w:rFonts w:ascii="宋体" w:hAnsi="Courier New"/>
      <w:spacing w:val="-4"/>
      <w:kern w:val="2"/>
      <w:sz w:val="18"/>
    </w:rPr>
  </w:style>
  <w:style w:type="character" w:customStyle="1" w:styleId="40">
    <w:name w:val="未处理的提及1"/>
    <w:basedOn w:val="28"/>
    <w:autoRedefine/>
    <w:semiHidden/>
    <w:unhideWhenUsed/>
    <w:qFormat/>
    <w:uiPriority w:val="99"/>
    <w:rPr>
      <w:color w:val="605E5C"/>
      <w:shd w:val="clear" w:color="auto" w:fill="E1DFDD"/>
    </w:rPr>
  </w:style>
  <w:style w:type="paragraph" w:styleId="41">
    <w:name w:val="List Paragraph"/>
    <w:basedOn w:val="1"/>
    <w:autoRedefine/>
    <w:qFormat/>
    <w:uiPriority w:val="99"/>
    <w:pPr>
      <w:ind w:firstLine="420" w:firstLineChars="200"/>
    </w:pPr>
  </w:style>
  <w:style w:type="paragraph" w:customStyle="1" w:styleId="42">
    <w:name w:val="纯文本1"/>
    <w:basedOn w:val="1"/>
    <w:next w:val="15"/>
    <w:link w:val="44"/>
    <w:autoRedefine/>
    <w:qFormat/>
    <w:uiPriority w:val="99"/>
    <w:pPr>
      <w:spacing w:before="156" w:beforeLines="50" w:after="156" w:afterLines="50" w:line="400" w:lineRule="atLeast"/>
    </w:pPr>
    <w:rPr>
      <w:rFonts w:hAnsi="Courier New" w:cs="Times New Roman"/>
    </w:rPr>
  </w:style>
  <w:style w:type="character" w:customStyle="1" w:styleId="43">
    <w:name w:val="纯文本 字符"/>
    <w:basedOn w:val="28"/>
    <w:autoRedefine/>
    <w:qFormat/>
    <w:uiPriority w:val="0"/>
    <w:rPr>
      <w:rFonts w:ascii="宋体" w:hAnsi="Courier New" w:eastAsia="宋体" w:cs="Courier New"/>
      <w:kern w:val="2"/>
      <w:sz w:val="24"/>
      <w:szCs w:val="24"/>
    </w:rPr>
  </w:style>
  <w:style w:type="character" w:customStyle="1" w:styleId="44">
    <w:name w:val="纯文本 字符1"/>
    <w:link w:val="42"/>
    <w:autoRedefine/>
    <w:qFormat/>
    <w:uiPriority w:val="99"/>
    <w:rPr>
      <w:rFonts w:ascii="宋体" w:hAnsi="Courier New" w:eastAsia="宋体" w:cs="Times New Roman"/>
      <w:kern w:val="2"/>
      <w:sz w:val="24"/>
      <w:szCs w:val="24"/>
    </w:rPr>
  </w:style>
  <w:style w:type="character" w:customStyle="1" w:styleId="45">
    <w:name w:val="批注主题字符"/>
    <w:basedOn w:val="35"/>
    <w:link w:val="25"/>
    <w:autoRedefine/>
    <w:semiHidden/>
    <w:qFormat/>
    <w:uiPriority w:val="0"/>
    <w:rPr>
      <w:rFonts w:ascii="宋体" w:hAnsi="宋体" w:eastAsia="宋体" w:cs="宋体"/>
      <w:b/>
      <w:bCs/>
      <w:sz w:val="24"/>
      <w:szCs w:val="24"/>
    </w:rPr>
  </w:style>
  <w:style w:type="character" w:customStyle="1" w:styleId="46">
    <w:name w:val="未处理的提及2"/>
    <w:basedOn w:val="28"/>
    <w:autoRedefine/>
    <w:semiHidden/>
    <w:unhideWhenUsed/>
    <w:qFormat/>
    <w:uiPriority w:val="99"/>
    <w:rPr>
      <w:color w:val="605E5C"/>
      <w:shd w:val="clear" w:color="auto" w:fill="E1DFDD"/>
    </w:rPr>
  </w:style>
  <w:style w:type="character" w:customStyle="1" w:styleId="47">
    <w:name w:val="正文文本字符"/>
    <w:basedOn w:val="28"/>
    <w:link w:val="11"/>
    <w:autoRedefine/>
    <w:qFormat/>
    <w:uiPriority w:val="0"/>
    <w:rPr>
      <w:rFonts w:ascii="宋体" w:hAnsi="宋体" w:eastAsia="宋体" w:cs="宋体"/>
      <w:sz w:val="24"/>
      <w:szCs w:val="24"/>
    </w:rPr>
  </w:style>
  <w:style w:type="character" w:customStyle="1" w:styleId="48">
    <w:name w:val="纯文本字符"/>
    <w:basedOn w:val="28"/>
    <w:link w:val="15"/>
    <w:autoRedefine/>
    <w:semiHidden/>
    <w:qFormat/>
    <w:uiPriority w:val="99"/>
    <w:rPr>
      <w:rFonts w:hAnsi="Courier New" w:cs="Courier New" w:asciiTheme="minorEastAsia"/>
      <w:sz w:val="24"/>
      <w:szCs w:val="24"/>
    </w:rPr>
  </w:style>
  <w:style w:type="table" w:customStyle="1" w:styleId="49">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5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表内文字"/>
    <w:basedOn w:val="1"/>
    <w:autoRedefine/>
    <w:qFormat/>
    <w:uiPriority w:val="0"/>
    <w:pPr>
      <w:tabs>
        <w:tab w:val="left" w:pos="1418"/>
      </w:tabs>
      <w:spacing w:line="360" w:lineRule="auto"/>
      <w:jc w:val="center"/>
    </w:pPr>
    <w:rPr>
      <w:rFonts w:hint="eastAsia" w:ascii="仿宋_GB2312" w:eastAsia="仿宋_GB2312"/>
      <w:spacing w:val="-20"/>
      <w:kern w:val="0"/>
    </w:rPr>
  </w:style>
  <w:style w:type="character" w:customStyle="1" w:styleId="53">
    <w:name w:val="标题 3字符"/>
    <w:link w:val="6"/>
    <w:autoRedefine/>
    <w:qFormat/>
    <w:uiPriority w:val="9"/>
    <w:rPr>
      <w:rFonts w:ascii="宋体"/>
      <w:b/>
      <w:kern w:val="0"/>
      <w:sz w:val="24"/>
    </w:rPr>
  </w:style>
  <w:style w:type="paragraph" w:customStyle="1" w:styleId="54">
    <w:name w:val="正文 A"/>
    <w:autoRedefine/>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55">
    <w:name w:val="修订1"/>
    <w:autoRedefine/>
    <w:hidden/>
    <w:unhideWhenUsed/>
    <w:qFormat/>
    <w:uiPriority w:val="99"/>
    <w:rPr>
      <w:rFonts w:ascii="宋体" w:hAnsi="宋体" w:eastAsia="宋体" w:cs="宋体"/>
      <w:kern w:val="2"/>
      <w:sz w:val="24"/>
      <w:szCs w:val="24"/>
      <w:lang w:val="en-US" w:eastAsia="zh-CN" w:bidi="ar-SA"/>
    </w:rPr>
  </w:style>
  <w:style w:type="character" w:customStyle="1" w:styleId="56">
    <w:name w:val="font11"/>
    <w:basedOn w:val="28"/>
    <w:autoRedefine/>
    <w:qFormat/>
    <w:uiPriority w:val="0"/>
    <w:rPr>
      <w:rFonts w:hint="eastAsia" w:ascii="宋体" w:hAnsi="宋体" w:eastAsia="宋体" w:cs="宋体"/>
      <w:b/>
      <w:bCs/>
      <w:color w:val="FFFFFF"/>
      <w:sz w:val="36"/>
      <w:szCs w:val="36"/>
      <w:u w:val="none"/>
    </w:rPr>
  </w:style>
  <w:style w:type="character" w:customStyle="1" w:styleId="57">
    <w:name w:val="font41"/>
    <w:basedOn w:val="28"/>
    <w:autoRedefine/>
    <w:qFormat/>
    <w:uiPriority w:val="0"/>
    <w:rPr>
      <w:rFonts w:hint="eastAsia" w:ascii="宋体" w:hAnsi="宋体" w:eastAsia="宋体" w:cs="宋体"/>
      <w:color w:val="000000"/>
      <w:sz w:val="18"/>
      <w:szCs w:val="18"/>
      <w:u w:val="none"/>
    </w:rPr>
  </w:style>
  <w:style w:type="character" w:customStyle="1" w:styleId="58">
    <w:name w:val="font21"/>
    <w:basedOn w:val="28"/>
    <w:autoRedefine/>
    <w:qFormat/>
    <w:uiPriority w:val="0"/>
    <w:rPr>
      <w:rFonts w:hint="eastAsia" w:ascii="宋体" w:hAnsi="宋体" w:eastAsia="宋体" w:cs="宋体"/>
      <w:b/>
      <w:bCs/>
      <w:color w:val="FFFFFF"/>
      <w:sz w:val="20"/>
      <w:szCs w:val="20"/>
      <w:u w:val="none"/>
    </w:rPr>
  </w:style>
  <w:style w:type="character" w:customStyle="1" w:styleId="59">
    <w:name w:val="font51"/>
    <w:basedOn w:val="28"/>
    <w:autoRedefine/>
    <w:qFormat/>
    <w:uiPriority w:val="0"/>
    <w:rPr>
      <w:rFonts w:hint="eastAsia" w:ascii="宋体" w:hAnsi="宋体" w:eastAsia="宋体" w:cs="宋体"/>
      <w:color w:val="000000"/>
      <w:sz w:val="18"/>
      <w:szCs w:val="18"/>
      <w:u w:val="none"/>
    </w:rPr>
  </w:style>
  <w:style w:type="character" w:customStyle="1" w:styleId="60">
    <w:name w:val="font31"/>
    <w:basedOn w:val="28"/>
    <w:autoRedefine/>
    <w:qFormat/>
    <w:uiPriority w:val="0"/>
    <w:rPr>
      <w:rFonts w:hint="eastAsia" w:ascii="宋体" w:hAnsi="宋体" w:eastAsia="宋体" w:cs="宋体"/>
      <w:b/>
      <w:bCs/>
      <w:color w:val="FFFFFF"/>
      <w:sz w:val="20"/>
      <w:szCs w:val="20"/>
      <w:u w:val="none"/>
    </w:rPr>
  </w:style>
  <w:style w:type="paragraph" w:customStyle="1" w:styleId="61">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62">
    <w:name w:val="标题 1字符"/>
    <w:link w:val="4"/>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29287</Words>
  <Characters>31040</Characters>
  <Lines>255</Lines>
  <Paragraphs>72</Paragraphs>
  <TotalTime>39</TotalTime>
  <ScaleCrop>false</ScaleCrop>
  <LinksUpToDate>false</LinksUpToDate>
  <CharactersWithSpaces>31863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2024-05-06T07:16:00Z</dcterms:created>
  <dc:creator>j hj</dc:creator>
  <cp:lastModifiedBy>A-day</cp:lastModifiedBy>
  <dcterms:modified xsi:type="dcterms:W3CDTF">2024-05-23T11:22:09Z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6753642E4CBC4941A8F95DE465A74AA2_13</vt:lpwstr>
  </property>
</Properties>
</file>