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浙江金融职业学院</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2024年金融管理学院微课、动画等项目</w:t>
      </w:r>
    </w:p>
    <w:p>
      <w:pPr>
        <w:pStyle w:val="3"/>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2024年金融管理学院微课、动画等项目</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QSZB-Z(F)-B24169(CS)</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浙江金融职业学院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楷体"/>
          <w:b/>
          <w:bCs/>
          <w:sz w:val="30"/>
          <w:szCs w:val="30"/>
          <w:highlight w:val="none"/>
          <w:lang w:eastAsia="zh-CN"/>
        </w:rPr>
        <w:t>[2024]26717号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2024年金融管理学院微课、动画等项目</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w:t>
      </w:r>
      <w:r>
        <w:rPr>
          <w:rFonts w:hint="eastAsia"/>
          <w:b/>
          <w:sz w:val="21"/>
          <w:szCs w:val="21"/>
          <w:highlight w:val="none"/>
        </w:rPr>
        <w:t>于</w:t>
      </w:r>
      <w:r>
        <w:rPr>
          <w:rFonts w:hint="eastAsia"/>
          <w:b/>
          <w:sz w:val="21"/>
          <w:szCs w:val="21"/>
          <w:highlight w:val="none"/>
          <w:u w:val="single"/>
        </w:rPr>
        <w:t xml:space="preserve"> 202</w:t>
      </w:r>
      <w:r>
        <w:rPr>
          <w:rFonts w:hint="eastAsia"/>
          <w:b/>
          <w:sz w:val="21"/>
          <w:szCs w:val="21"/>
          <w:highlight w:val="none"/>
          <w:u w:val="single"/>
          <w:lang w:val="en-US" w:eastAsia="zh-CN"/>
        </w:rPr>
        <w:t>4</w:t>
      </w:r>
      <w:r>
        <w:rPr>
          <w:rFonts w:hint="eastAsia"/>
          <w:b/>
          <w:sz w:val="21"/>
          <w:szCs w:val="21"/>
          <w:highlight w:val="none"/>
          <w:u w:val="single"/>
        </w:rPr>
        <w:t xml:space="preserve">年06月03日13:30:00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28359002"/>
      <w:bookmarkStart w:id="1" w:name="_Toc35393621"/>
      <w:bookmarkStart w:id="2" w:name="_Toc35393790"/>
      <w:bookmarkStart w:id="3" w:name="_Toc28359079"/>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QSZB-Z(F)-B24169(CS)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2024年金融管理学院微课、动画等项目</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预算金额：2</w:t>
      </w:r>
      <w:r>
        <w:rPr>
          <w:rFonts w:hint="eastAsia"/>
          <w:sz w:val="21"/>
          <w:szCs w:val="21"/>
          <w:highlight w:val="none"/>
          <w:lang w:val="en-US" w:eastAsia="zh-CN"/>
        </w:rPr>
        <w:t>312</w:t>
      </w:r>
      <w:r>
        <w:rPr>
          <w:rFonts w:hint="eastAsia"/>
          <w:sz w:val="21"/>
          <w:szCs w:val="21"/>
          <w:highlight w:val="none"/>
        </w:rPr>
        <w:t>00</w:t>
      </w:r>
      <w:r>
        <w:rPr>
          <w:rFonts w:hint="eastAsia"/>
          <w:sz w:val="21"/>
          <w:szCs w:val="21"/>
          <w:highlight w:val="none"/>
          <w:lang w:val="en-US" w:eastAsia="zh-CN"/>
        </w:rPr>
        <w:t>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最高限价：2</w:t>
      </w:r>
      <w:r>
        <w:rPr>
          <w:rFonts w:hint="eastAsia"/>
          <w:sz w:val="21"/>
          <w:szCs w:val="21"/>
          <w:highlight w:val="none"/>
          <w:lang w:val="en-US" w:eastAsia="zh-CN"/>
        </w:rPr>
        <w:t>312</w:t>
      </w:r>
      <w:r>
        <w:rPr>
          <w:rFonts w:hint="eastAsia"/>
          <w:sz w:val="21"/>
          <w:szCs w:val="21"/>
          <w:highlight w:val="none"/>
        </w:rPr>
        <w:t>00</w:t>
      </w:r>
      <w:r>
        <w:rPr>
          <w:rFonts w:hint="eastAsia"/>
          <w:sz w:val="21"/>
          <w:szCs w:val="21"/>
          <w:highlight w:val="none"/>
          <w:lang w:val="en-US" w:eastAsia="zh-CN"/>
        </w:rPr>
        <w:t>元</w:t>
      </w:r>
    </w:p>
    <w:p>
      <w:pPr>
        <w:adjustRightInd w:val="0"/>
        <w:snapToGrid w:val="0"/>
        <w:spacing w:line="288" w:lineRule="auto"/>
        <w:ind w:firstLine="420" w:firstLineChars="200"/>
        <w:rPr>
          <w:rFonts w:hint="default" w:eastAsia="宋体"/>
          <w:spacing w:val="-6"/>
          <w:sz w:val="21"/>
          <w:szCs w:val="21"/>
          <w:highlight w:val="none"/>
          <w:lang w:val="en-US" w:eastAsia="zh-CN"/>
        </w:rPr>
      </w:pPr>
      <w:r>
        <w:rPr>
          <w:sz w:val="21"/>
          <w:szCs w:val="21"/>
          <w:highlight w:val="none"/>
        </w:rPr>
        <w:t>6.</w:t>
      </w:r>
      <w:r>
        <w:rPr>
          <w:rFonts w:hint="eastAsia"/>
          <w:sz w:val="21"/>
          <w:szCs w:val="21"/>
          <w:highlight w:val="none"/>
        </w:rPr>
        <w:t>合</w:t>
      </w:r>
      <w:r>
        <w:rPr>
          <w:rFonts w:hint="eastAsia"/>
          <w:sz w:val="21"/>
          <w:szCs w:val="21"/>
          <w:highlight w:val="none"/>
          <w:lang w:val="en-US" w:eastAsia="zh-CN"/>
        </w:rPr>
        <w:t>同履约期限：合同签订后至2024年10月31日前完成交付。</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30"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31"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lang w:eastAsia="zh-CN"/>
              </w:rPr>
              <w:t>2024年金融管理学院微课、动画等项目</w:t>
            </w:r>
          </w:p>
        </w:tc>
        <w:tc>
          <w:tcPr>
            <w:tcW w:w="430"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r>
    </w:tbl>
    <w:p>
      <w:pPr>
        <w:adjustRightInd w:val="0"/>
        <w:snapToGrid w:val="0"/>
        <w:spacing w:line="288" w:lineRule="auto"/>
        <w:rPr>
          <w:b/>
          <w:sz w:val="21"/>
          <w:szCs w:val="21"/>
          <w:highlight w:val="none"/>
        </w:rPr>
      </w:pPr>
      <w:bookmarkStart w:id="5" w:name="_Toc35393791"/>
      <w:bookmarkStart w:id="6" w:name="_Toc35393622"/>
      <w:bookmarkStart w:id="7" w:name="_Toc28359080"/>
      <w:bookmarkStart w:id="8" w:name="_Toc28359003"/>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cs="Times New Roman"/>
          <w:sz w:val="21"/>
          <w:szCs w:val="21"/>
          <w:highlight w:val="none"/>
        </w:rPr>
        <w:t>2.落实政府采购政策需满足的资格要求：</w:t>
      </w:r>
      <w:r>
        <w:rPr>
          <w:rFonts w:hint="eastAsia" w:ascii="宋体" w:hAnsi="宋体" w:eastAsia="宋体" w:cs="Times New Roman"/>
          <w:sz w:val="21"/>
          <w:szCs w:val="21"/>
          <w:highlight w:val="none"/>
        </w:rPr>
        <w:t>本项目专门面向中小企业采购，需按要求提交《中小企业声明函》。</w:t>
      </w:r>
    </w:p>
    <w:p>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本项目属性为：</w:t>
      </w:r>
      <w:r>
        <w:rPr>
          <w:rFonts w:hint="eastAsia" w:cs="Times New Roman"/>
          <w:sz w:val="21"/>
          <w:szCs w:val="21"/>
          <w:highlight w:val="none"/>
          <w:lang w:val="en-US" w:eastAsia="zh-CN"/>
        </w:rPr>
        <w:t>服务</w:t>
      </w:r>
    </w:p>
    <w:p>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采购标的对应的中小企业划分标准所属行业：软件和信息技术服务业</w:t>
      </w:r>
    </w:p>
    <w:p>
      <w:pPr>
        <w:adjustRightInd w:val="0"/>
        <w:snapToGrid w:val="0"/>
        <w:spacing w:line="288" w:lineRule="auto"/>
        <w:ind w:firstLine="420" w:firstLineChars="200"/>
        <w:rPr>
          <w:rFonts w:cs="Times New Roman"/>
          <w:sz w:val="21"/>
          <w:szCs w:val="21"/>
          <w:highlight w:val="none"/>
        </w:rPr>
      </w:pPr>
      <w:r>
        <w:rPr>
          <w:rFonts w:hint="eastAsia" w:ascii="宋体" w:hAnsi="宋体" w:eastAsia="宋体"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82"/>
      <w:bookmarkStart w:id="14" w:name="_Toc35393624"/>
      <w:bookmarkStart w:id="15" w:name="_Toc28359005"/>
      <w:bookmarkStart w:id="16" w:name="_Toc35393793"/>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至202</w:t>
      </w:r>
      <w:r>
        <w:rPr>
          <w:rFonts w:hint="eastAsia"/>
          <w:sz w:val="21"/>
          <w:szCs w:val="21"/>
          <w:highlight w:val="none"/>
          <w:lang w:val="en-US" w:eastAsia="zh-CN"/>
        </w:rPr>
        <w:t>4</w:t>
      </w:r>
      <w:r>
        <w:rPr>
          <w:rFonts w:hint="eastAsia"/>
          <w:sz w:val="21"/>
          <w:szCs w:val="21"/>
          <w:highlight w:val="none"/>
        </w:rPr>
        <w:t>年</w:t>
      </w:r>
      <w:r>
        <w:rPr>
          <w:rFonts w:hint="eastAsia"/>
          <w:bCs/>
          <w:sz w:val="21"/>
          <w:szCs w:val="21"/>
          <w:highlight w:val="none"/>
          <w:lang w:val="en-US" w:eastAsia="zh-CN"/>
        </w:rPr>
        <w:t>06</w:t>
      </w:r>
      <w:r>
        <w:rPr>
          <w:rFonts w:hint="eastAsia"/>
          <w:bCs/>
          <w:sz w:val="21"/>
          <w:szCs w:val="21"/>
          <w:highlight w:val="none"/>
        </w:rPr>
        <w:t>月</w:t>
      </w:r>
      <w:r>
        <w:rPr>
          <w:rFonts w:hint="eastAsia"/>
          <w:bCs/>
          <w:sz w:val="21"/>
          <w:szCs w:val="21"/>
          <w:highlight w:val="none"/>
          <w:lang w:val="en-US" w:eastAsia="zh-CN"/>
        </w:rPr>
        <w:t>03</w:t>
      </w:r>
      <w:r>
        <w:rPr>
          <w:rFonts w:hint="eastAsia"/>
          <w:bCs/>
          <w:sz w:val="21"/>
          <w:szCs w:val="21"/>
          <w:highlight w:val="none"/>
        </w:rPr>
        <w:t>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val="en-US" w:eastAsia="zh-CN"/>
        </w:rPr>
        <w:t>06</w:t>
      </w:r>
      <w:r>
        <w:rPr>
          <w:rFonts w:hint="eastAsia"/>
          <w:bCs/>
          <w:sz w:val="21"/>
          <w:szCs w:val="21"/>
          <w:highlight w:val="none"/>
        </w:rPr>
        <w:t>月</w:t>
      </w:r>
      <w:r>
        <w:rPr>
          <w:rFonts w:hint="eastAsia"/>
          <w:bCs/>
          <w:sz w:val="21"/>
          <w:szCs w:val="21"/>
          <w:highlight w:val="none"/>
          <w:lang w:val="en-US" w:eastAsia="zh-CN"/>
        </w:rPr>
        <w:t>03</w:t>
      </w:r>
      <w:r>
        <w:rPr>
          <w:rFonts w:hint="eastAsia"/>
          <w:bCs/>
          <w:sz w:val="21"/>
          <w:szCs w:val="21"/>
          <w:highlight w:val="none"/>
        </w:rPr>
        <w:t>日</w:t>
      </w:r>
      <w:r>
        <w:rPr>
          <w:rFonts w:hint="eastAsia"/>
          <w:bCs/>
          <w:sz w:val="21"/>
          <w:szCs w:val="21"/>
          <w:highlight w:val="none"/>
          <w:lang w:val="en-US" w:eastAsia="zh-CN"/>
        </w:rPr>
        <w:t>13</w:t>
      </w:r>
      <w:r>
        <w:rPr>
          <w:rFonts w:hint="eastAsia"/>
          <w:bCs/>
          <w:sz w:val="21"/>
          <w:szCs w:val="21"/>
          <w:highlight w:val="none"/>
        </w:rPr>
        <w:t>:30:00（北京时间）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28359084"/>
      <w:bookmarkStart w:id="18" w:name="_Toc35393625"/>
      <w:bookmarkStart w:id="19" w:name="_Toc35393794"/>
      <w:bookmarkStart w:id="20" w:name="_Toc28359007"/>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val="en-US" w:eastAsia="zh-CN"/>
        </w:rPr>
        <w:t>06</w:t>
      </w:r>
      <w:r>
        <w:rPr>
          <w:rFonts w:hint="eastAsia"/>
          <w:bCs/>
          <w:sz w:val="21"/>
          <w:szCs w:val="21"/>
          <w:highlight w:val="none"/>
        </w:rPr>
        <w:t>月</w:t>
      </w:r>
      <w:r>
        <w:rPr>
          <w:rFonts w:hint="eastAsia"/>
          <w:bCs/>
          <w:sz w:val="21"/>
          <w:szCs w:val="21"/>
          <w:highlight w:val="none"/>
          <w:lang w:val="en-US" w:eastAsia="zh-CN"/>
        </w:rPr>
        <w:t>03</w:t>
      </w:r>
      <w:r>
        <w:rPr>
          <w:rFonts w:hint="eastAsia"/>
          <w:bCs/>
          <w:sz w:val="21"/>
          <w:szCs w:val="21"/>
          <w:highlight w:val="none"/>
        </w:rPr>
        <w:t>日</w:t>
      </w:r>
      <w:r>
        <w:rPr>
          <w:rFonts w:hint="eastAsia"/>
          <w:bCs/>
          <w:sz w:val="21"/>
          <w:szCs w:val="21"/>
          <w:highlight w:val="none"/>
          <w:lang w:val="en-US" w:eastAsia="zh-CN"/>
        </w:rPr>
        <w:t>13</w:t>
      </w:r>
      <w:r>
        <w:rPr>
          <w:rFonts w:hint="eastAsia"/>
          <w:bCs/>
          <w:sz w:val="21"/>
          <w:szCs w:val="21"/>
          <w:highlight w:val="none"/>
        </w:rPr>
        <w:t>:30:00（北京时间）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/杭州市西湖区玉古路173号中田大厦21楼（求是招标会议室1）</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85"/>
      <w:bookmarkStart w:id="25" w:name="_Toc35393796"/>
      <w:bookmarkStart w:id="26" w:name="_Toc35393627"/>
      <w:bookmarkStart w:id="27" w:name="_Toc28359008"/>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highlight w:val="none"/>
        </w:rPr>
      </w:pPr>
      <w:r>
        <w:rPr>
          <w:sz w:val="21"/>
          <w:szCs w:val="21"/>
          <w:highlight w:val="none"/>
        </w:rPr>
        <w:t>1.采购人信息</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浙江金融职业学院</w:t>
      </w:r>
    </w:p>
    <w:p>
      <w:pPr>
        <w:adjustRightInd w:val="0"/>
        <w:snapToGrid w:val="0"/>
        <w:spacing w:line="288" w:lineRule="auto"/>
        <w:ind w:firstLine="424" w:firstLineChars="202"/>
        <w:rPr>
          <w:sz w:val="21"/>
          <w:szCs w:val="21"/>
          <w:highlight w:val="none"/>
        </w:rPr>
      </w:pPr>
      <w:r>
        <w:rPr>
          <w:rFonts w:hint="eastAsia"/>
          <w:sz w:val="21"/>
          <w:szCs w:val="21"/>
          <w:highlight w:val="none"/>
        </w:rPr>
        <w:t>地址：</w:t>
      </w:r>
      <w:r>
        <w:rPr>
          <w:rFonts w:hint="eastAsia" w:ascii="宋体" w:hAnsi="宋体"/>
          <w:sz w:val="21"/>
          <w:szCs w:val="21"/>
          <w:highlight w:val="none"/>
        </w:rPr>
        <w:t>杭州市下沙高教园区学源118号</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钱老师、黄老师</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项目联系方式（询问）：0571-86739102</w:t>
      </w:r>
      <w:r>
        <w:rPr>
          <w:rFonts w:hint="eastAsia"/>
          <w:sz w:val="21"/>
          <w:szCs w:val="21"/>
          <w:highlight w:val="none"/>
          <w:lang w:eastAsia="zh-CN"/>
        </w:rPr>
        <w:t>、0571-8673910</w:t>
      </w:r>
      <w:r>
        <w:rPr>
          <w:rFonts w:hint="eastAsia"/>
          <w:sz w:val="21"/>
          <w:szCs w:val="21"/>
          <w:highlight w:val="none"/>
          <w:lang w:val="en-US" w:eastAsia="zh-CN"/>
        </w:rPr>
        <w:t>3</w:t>
      </w:r>
    </w:p>
    <w:p>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王老师</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rFonts w:hint="eastAsia" w:ascii="宋体" w:hAnsi="宋体"/>
          <w:sz w:val="21"/>
          <w:szCs w:val="21"/>
          <w:highlight w:val="none"/>
        </w:rPr>
        <w:t>0571-86739163</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highlight w:val="none"/>
        </w:rPr>
      </w:pPr>
      <w:r>
        <w:rPr>
          <w:rFonts w:hint="eastAsia"/>
          <w:sz w:val="21"/>
          <w:szCs w:val="21"/>
        </w:rPr>
        <w:t>传真：</w:t>
      </w:r>
      <w:r>
        <w:rPr>
          <w:sz w:val="21"/>
          <w:szCs w:val="21"/>
        </w:rPr>
        <w:t>/</w:t>
      </w:r>
    </w:p>
    <w:p>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陈应俭</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项目联系方式（询问）：0571-87</w:t>
      </w:r>
      <w:r>
        <w:rPr>
          <w:rFonts w:hint="eastAsia"/>
          <w:sz w:val="21"/>
          <w:szCs w:val="21"/>
          <w:highlight w:val="none"/>
          <w:lang w:eastAsia="zh-CN"/>
        </w:rPr>
        <w:t>670301</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质疑联系人：</w:t>
      </w:r>
      <w:r>
        <w:rPr>
          <w:rFonts w:hint="eastAsia"/>
          <w:sz w:val="21"/>
          <w:szCs w:val="21"/>
          <w:highlight w:val="none"/>
          <w:lang w:val="en-US" w:eastAsia="zh-CN"/>
        </w:rPr>
        <w:t>刘璐</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424" w:firstLineChars="202"/>
        <w:rPr>
          <w:rFonts w:cs="Times New Roman"/>
          <w:sz w:val="21"/>
          <w:szCs w:val="21"/>
          <w:highlight w:val="none"/>
        </w:rPr>
      </w:pP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cs="Times New Roman"/>
          <w:spacing w:val="-6"/>
          <w:sz w:val="21"/>
          <w:szCs w:val="21"/>
          <w:highlight w:val="none"/>
          <w:lang w:val="en-US" w:eastAsia="zh-CN"/>
        </w:rPr>
        <w:t>3.</w:t>
      </w:r>
      <w:r>
        <w:rPr>
          <w:rFonts w:hint="eastAsia" w:ascii="宋体" w:hAnsi="宋体" w:eastAsia="宋体" w:cs="Times New Roman"/>
          <w:spacing w:val="-6"/>
          <w:sz w:val="21"/>
          <w:szCs w:val="21"/>
          <w:highlight w:val="none"/>
          <w:lang w:val="en-US" w:eastAsia="zh-CN"/>
        </w:rPr>
        <w:t>投诉处理部门信息</w:t>
      </w:r>
    </w:p>
    <w:p>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监督投诉电话：0571-86739163</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预算金额未达100万元的采购项目，由采购人处理采购争议</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6"/>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sz w:val="21"/>
                <w:szCs w:val="18"/>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sz w:val="21"/>
                <w:szCs w:val="21"/>
                <w:highlight w:val="none"/>
              </w:rPr>
              <w:t>提供材料详见磋</w:t>
            </w:r>
            <w:r>
              <w:rPr>
                <w:rFonts w:hint="eastAsia"/>
                <w:color w:val="auto"/>
                <w:sz w:val="21"/>
                <w:szCs w:val="21"/>
                <w:highlight w:val="none"/>
              </w:rPr>
              <w:t>商文件第六章“</w:t>
            </w:r>
            <w:r>
              <w:rPr>
                <w:rFonts w:hint="eastAsia"/>
                <w:color w:val="auto"/>
                <w:sz w:val="21"/>
                <w:szCs w:val="21"/>
                <w:highlight w:val="none"/>
                <w:lang w:val="en-US" w:eastAsia="zh-CN"/>
              </w:rPr>
              <w:t>资格</w:t>
            </w:r>
            <w:r>
              <w:rPr>
                <w:rFonts w:hint="eastAsia"/>
                <w:color w:val="auto"/>
                <w:sz w:val="21"/>
                <w:szCs w:val="21"/>
                <w:highlight w:val="none"/>
              </w:rPr>
              <w:t>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pPr>
              <w:adjustRightInd w:val="0"/>
              <w:snapToGrid w:val="0"/>
              <w:spacing w:line="288" w:lineRule="auto"/>
              <w:jc w:val="left"/>
              <w:rPr>
                <w:rFonts w:cs="Times New Roman"/>
                <w:b/>
                <w:bCs/>
                <w:sz w:val="21"/>
                <w:szCs w:val="21"/>
                <w:highlight w:val="none"/>
              </w:rPr>
            </w:pPr>
            <w:r>
              <w:rPr>
                <w:rFonts w:hint="eastAsia" w:cs="Times New Roman"/>
                <w:b/>
                <w:bCs/>
                <w:sz w:val="21"/>
                <w:szCs w:val="21"/>
                <w:highlight w:val="none"/>
              </w:rPr>
              <w:t>采购标的对应的中小企业划分标准所属行业：</w:t>
            </w:r>
            <w:r>
              <w:rPr>
                <w:rFonts w:hint="eastAsia" w:cs="Times New Roman"/>
                <w:b w:val="0"/>
                <w:bCs w:val="0"/>
                <w:sz w:val="21"/>
                <w:szCs w:val="21"/>
                <w:highlight w:val="none"/>
              </w:rPr>
              <w:t>软件和信息技术服务业</w:t>
            </w:r>
          </w:p>
          <w:p>
            <w:pPr>
              <w:adjustRightInd w:val="0"/>
              <w:snapToGrid w:val="0"/>
              <w:spacing w:line="288" w:lineRule="auto"/>
              <w:jc w:val="left"/>
              <w:rPr>
                <w:b/>
                <w:bCs/>
                <w:sz w:val="21"/>
                <w:szCs w:val="21"/>
                <w:highlight w:val="none"/>
              </w:rPr>
            </w:pPr>
            <w:r>
              <w:rPr>
                <w:rFonts w:hint="eastAsia" w:cs="Times New Roman"/>
                <w:b/>
                <w:bCs/>
                <w:sz w:val="21"/>
                <w:szCs w:val="21"/>
                <w:highlight w:val="none"/>
              </w:rPr>
              <w:t>中小企业划型标准：</w:t>
            </w:r>
            <w:r>
              <w:rPr>
                <w:rFonts w:hint="eastAsia" w:cs="Times New Roman"/>
                <w:b w:val="0"/>
                <w:bCs w:val="0"/>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6"/>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1.合同签订后一周内，成交供应商向采购人提交合同总价</w:t>
            </w:r>
            <w:r>
              <w:rPr>
                <w:spacing w:val="-6"/>
                <w:kern w:val="0"/>
                <w:sz w:val="21"/>
                <w:szCs w:val="21"/>
                <w:highlight w:val="none"/>
              </w:rPr>
              <w:t>1</w:t>
            </w:r>
            <w:r>
              <w:rPr>
                <w:rFonts w:hint="eastAsia"/>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1.预付款：</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1.1.支付条件：供应商提交银行、保险公司等金融机构出具的预付款保函的；</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1.2.支付时间、数额：合同生效且供应商出具预付款保函后七个工作日内，采购人向中标供应商支付合同金额</w:t>
            </w:r>
            <w:r>
              <w:rPr>
                <w:rFonts w:hint="eastAsia"/>
                <w:spacing w:val="-6"/>
                <w:kern w:val="0"/>
                <w:sz w:val="21"/>
                <w:szCs w:val="21"/>
                <w:highlight w:val="none"/>
                <w:lang w:val="en-US" w:eastAsia="zh-CN"/>
              </w:rPr>
              <w:t>20%</w:t>
            </w:r>
            <w:r>
              <w:rPr>
                <w:rFonts w:hint="eastAsia"/>
                <w:spacing w:val="-6"/>
                <w:kern w:val="0"/>
                <w:sz w:val="21"/>
                <w:szCs w:val="21"/>
                <w:highlight w:val="none"/>
              </w:rPr>
              <w:t>的预付款。</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备注：签订合同时，供应商明确表示无需预付款或者主动要求降低预付款比例的，采购单位可不适用前述规定。</w:t>
            </w:r>
          </w:p>
          <w:p>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rPr>
              <w:t>2.</w:t>
            </w:r>
            <w:r>
              <w:rPr>
                <w:rFonts w:hint="eastAsia" w:ascii="宋体" w:hAnsi="宋体" w:eastAsia="宋体" w:cs="宋体"/>
                <w:spacing w:val="-6"/>
                <w:sz w:val="21"/>
                <w:szCs w:val="21"/>
                <w:highlight w:val="none"/>
              </w:rPr>
              <w:t>本项目合同签订后至202</w:t>
            </w:r>
            <w:r>
              <w:rPr>
                <w:rFonts w:hint="eastAsia" w:ascii="宋体" w:hAnsi="宋体" w:eastAsia="宋体" w:cs="宋体"/>
                <w:spacing w:val="-6"/>
                <w:sz w:val="21"/>
                <w:szCs w:val="21"/>
                <w:highlight w:val="none"/>
                <w:lang w:val="en-US" w:eastAsia="zh-CN"/>
              </w:rPr>
              <w:t>4</w:t>
            </w:r>
            <w:r>
              <w:rPr>
                <w:rFonts w:hint="eastAsia" w:ascii="宋体" w:hAnsi="宋体" w:eastAsia="宋体" w:cs="宋体"/>
                <w:spacing w:val="-6"/>
                <w:sz w:val="21"/>
                <w:szCs w:val="21"/>
                <w:highlight w:val="none"/>
              </w:rPr>
              <w:t>年1</w:t>
            </w:r>
            <w:r>
              <w:rPr>
                <w:rFonts w:hint="eastAsia" w:ascii="宋体" w:hAnsi="宋体" w:eastAsia="宋体" w:cs="宋体"/>
                <w:spacing w:val="-6"/>
                <w:sz w:val="21"/>
                <w:szCs w:val="21"/>
                <w:highlight w:val="none"/>
                <w:lang w:val="en-US" w:eastAsia="zh-CN"/>
              </w:rPr>
              <w:t>0</w:t>
            </w:r>
            <w:r>
              <w:rPr>
                <w:rFonts w:hint="eastAsia" w:ascii="宋体" w:hAnsi="宋体" w:eastAsia="宋体" w:cs="宋体"/>
                <w:spacing w:val="-6"/>
                <w:sz w:val="21"/>
                <w:szCs w:val="21"/>
                <w:highlight w:val="none"/>
              </w:rPr>
              <w:t>月31日，需完成采购清单项目列表中的建设内容，完成后进行验收，</w:t>
            </w:r>
            <w:r>
              <w:rPr>
                <w:rFonts w:hint="eastAsia"/>
                <w:spacing w:val="-6"/>
                <w:kern w:val="0"/>
                <w:sz w:val="21"/>
                <w:szCs w:val="21"/>
                <w:lang w:val="en-US" w:eastAsia="zh-CN"/>
              </w:rPr>
              <w:t>采购人</w:t>
            </w:r>
            <w:r>
              <w:rPr>
                <w:rFonts w:hint="eastAsia"/>
                <w:spacing w:val="-6"/>
                <w:kern w:val="0"/>
                <w:sz w:val="21"/>
                <w:szCs w:val="21"/>
              </w:rPr>
              <w:t>自收到发票后7个工作日内，</w:t>
            </w:r>
            <w:r>
              <w:rPr>
                <w:rFonts w:hint="eastAsia" w:ascii="宋体" w:hAnsi="宋体" w:eastAsia="宋体" w:cs="宋体"/>
                <w:spacing w:val="-6"/>
                <w:sz w:val="21"/>
                <w:szCs w:val="21"/>
                <w:highlight w:val="none"/>
              </w:rPr>
              <w:t>支付</w:t>
            </w:r>
            <w:r>
              <w:rPr>
                <w:rFonts w:hint="eastAsia" w:ascii="宋体" w:hAnsi="宋体" w:eastAsia="宋体" w:cs="宋体"/>
                <w:spacing w:val="-6"/>
                <w:sz w:val="21"/>
                <w:szCs w:val="21"/>
                <w:highlight w:val="none"/>
                <w:lang w:val="en-US" w:eastAsia="zh-CN"/>
              </w:rPr>
              <w:t>剩余</w:t>
            </w:r>
            <w:r>
              <w:rPr>
                <w:rFonts w:hint="eastAsia" w:ascii="宋体" w:hAnsi="宋体" w:eastAsia="宋体" w:cs="宋体"/>
                <w:spacing w:val="-6"/>
                <w:sz w:val="21"/>
                <w:szCs w:val="21"/>
                <w:highlight w:val="none"/>
              </w:rPr>
              <w:t>合同额款项</w:t>
            </w:r>
            <w:r>
              <w:rPr>
                <w:rFonts w:hint="eastAsia"/>
                <w:spacing w:val="-6"/>
                <w:kern w:val="0"/>
                <w:sz w:val="21"/>
                <w:szCs w:val="21"/>
                <w:highlight w:val="none"/>
              </w:rPr>
              <w:t>。</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w:t>
      </w:r>
    </w:p>
    <w:p>
      <w:pPr>
        <w:adjustRightInd w:val="0"/>
        <w:snapToGrid w:val="0"/>
        <w:spacing w:line="288" w:lineRule="auto"/>
        <w:outlineLvl w:val="9"/>
        <w:rPr>
          <w:b/>
          <w:bCs/>
          <w:sz w:val="21"/>
          <w:szCs w:val="21"/>
          <w:highlight w:val="none"/>
        </w:rPr>
      </w:pPr>
      <w:r>
        <w:rPr>
          <w:rFonts w:hint="eastAsia"/>
          <w:b/>
          <w:bCs/>
          <w:sz w:val="21"/>
          <w:szCs w:val="21"/>
          <w:lang w:val="en-US" w:eastAsia="zh-CN"/>
        </w:rPr>
        <w:t>注：</w:t>
      </w:r>
      <w:r>
        <w:rPr>
          <w:rFonts w:hint="eastAsia"/>
          <w:b/>
          <w:bCs/>
          <w:sz w:val="21"/>
          <w:szCs w:val="21"/>
          <w:highlight w:val="none"/>
        </w:rPr>
        <w:t>需执行的国家相关标准、行业标准、地方标准或者其他标准、规范：</w:t>
      </w:r>
      <w:bookmarkStart w:id="31" w:name="_Hlk97039652"/>
      <w:r>
        <w:rPr>
          <w:rFonts w:hint="eastAsia"/>
          <w:sz w:val="21"/>
          <w:szCs w:val="21"/>
          <w:highlight w:val="none"/>
        </w:rPr>
        <w:t>如技术要求中未注明需执行的国家相关标准、行业标准、地方标准或者其他标准、规范的，执行最新标准、规范。</w:t>
      </w:r>
      <w:bookmarkEnd w:id="31"/>
    </w:p>
    <w:p>
      <w:pPr>
        <w:pageBreakBefore w:val="0"/>
        <w:kinsoku/>
        <w:wordWrap/>
        <w:overflowPunct/>
        <w:topLinePunct w:val="0"/>
        <w:autoSpaceDE/>
        <w:autoSpaceDN/>
        <w:bidi w:val="0"/>
        <w:adjustRightInd w:val="0"/>
        <w:snapToGrid w:val="0"/>
        <w:spacing w:before="0" w:after="0" w:line="288" w:lineRule="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项目概况</w:t>
      </w:r>
    </w:p>
    <w:p>
      <w:pPr>
        <w:pageBreakBefore w:val="0"/>
        <w:kinsoku/>
        <w:wordWrap/>
        <w:overflowPunct/>
        <w:topLinePunct w:val="0"/>
        <w:autoSpaceDE/>
        <w:autoSpaceDN/>
        <w:bidi w:val="0"/>
        <w:adjustRightInd w:val="0"/>
        <w:snapToGrid w:val="0"/>
        <w:spacing w:line="288" w:lineRule="auto"/>
        <w:ind w:firstLine="420" w:firstLineChars="200"/>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本采购项目</w:t>
      </w:r>
      <w:r>
        <w:rPr>
          <w:rFonts w:hint="eastAsia" w:cs="宋体"/>
          <w:color w:val="auto"/>
          <w:sz w:val="21"/>
          <w:szCs w:val="21"/>
          <w:lang w:val="en-US" w:eastAsia="zh-CN" w:bidi="ar"/>
        </w:rPr>
        <w:t>为</w:t>
      </w:r>
      <w:r>
        <w:rPr>
          <w:rFonts w:hint="eastAsia" w:ascii="宋体" w:hAnsi="宋体" w:eastAsia="宋体" w:cs="宋体"/>
          <w:color w:val="auto"/>
          <w:sz w:val="21"/>
          <w:szCs w:val="21"/>
          <w:lang w:bidi="ar"/>
        </w:rPr>
        <w:t>金融管理学院2024年需要进行拍摄和制作的项目，含：精品微课制作、MG动画、教学能力比赛制作等内容。</w:t>
      </w:r>
    </w:p>
    <w:p>
      <w:pPr>
        <w:pageBreakBefore w:val="0"/>
        <w:kinsoku/>
        <w:wordWrap/>
        <w:overflowPunct/>
        <w:topLinePunct w:val="0"/>
        <w:autoSpaceDE/>
        <w:autoSpaceDN/>
        <w:bidi w:val="0"/>
        <w:adjustRightInd w:val="0"/>
        <w:snapToGrid w:val="0"/>
        <w:spacing w:before="0" w:after="0" w:line="288" w:lineRule="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采购清单</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4261"/>
        <w:gridCol w:w="1376"/>
        <w:gridCol w:w="137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35" w:type="pct"/>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214" w:type="pct"/>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采购内容</w:t>
            </w:r>
          </w:p>
        </w:tc>
        <w:tc>
          <w:tcPr>
            <w:tcW w:w="715" w:type="pct"/>
            <w:vAlign w:val="center"/>
          </w:tcPr>
          <w:p>
            <w:pPr>
              <w:widowControl/>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时长</w:t>
            </w:r>
          </w:p>
        </w:tc>
        <w:tc>
          <w:tcPr>
            <w:tcW w:w="716"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数量</w:t>
            </w:r>
          </w:p>
        </w:tc>
        <w:tc>
          <w:tcPr>
            <w:tcW w:w="71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5" w:type="pct"/>
            <w:noWrap/>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214" w:type="pct"/>
            <w:noWrap/>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微课资源</w:t>
            </w:r>
          </w:p>
        </w:tc>
        <w:tc>
          <w:tcPr>
            <w:tcW w:w="715" w:type="pct"/>
            <w:vAlign w:val="bottom"/>
          </w:tcPr>
          <w:p>
            <w:pPr>
              <w:widowControl/>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5-15分钟</w:t>
            </w:r>
          </w:p>
        </w:tc>
        <w:tc>
          <w:tcPr>
            <w:tcW w:w="716" w:type="pct"/>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147</w:t>
            </w:r>
          </w:p>
        </w:tc>
        <w:tc>
          <w:tcPr>
            <w:tcW w:w="717" w:type="pct"/>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5" w:type="pct"/>
            <w:noWrap/>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214" w:type="pct"/>
            <w:noWrap/>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MG</w:t>
            </w:r>
            <w:r>
              <w:rPr>
                <w:rFonts w:hint="eastAsia" w:ascii="宋体" w:hAnsi="宋体" w:eastAsia="宋体" w:cs="宋体"/>
                <w:kern w:val="0"/>
                <w:sz w:val="21"/>
                <w:szCs w:val="21"/>
              </w:rPr>
              <w:t>动画资源</w:t>
            </w:r>
          </w:p>
        </w:tc>
        <w:tc>
          <w:tcPr>
            <w:tcW w:w="715" w:type="pct"/>
            <w:vAlign w:val="bottom"/>
          </w:tcPr>
          <w:p>
            <w:pPr>
              <w:widowControl/>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1-5分钟</w:t>
            </w:r>
          </w:p>
        </w:tc>
        <w:tc>
          <w:tcPr>
            <w:tcW w:w="716" w:type="pct"/>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34</w:t>
            </w:r>
          </w:p>
        </w:tc>
        <w:tc>
          <w:tcPr>
            <w:tcW w:w="717" w:type="pct"/>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5" w:type="pct"/>
            <w:noWrap/>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214" w:type="pct"/>
            <w:noWrap/>
            <w:vAlign w:val="bottom"/>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教学能力比赛项目</w:t>
            </w:r>
          </w:p>
        </w:tc>
        <w:tc>
          <w:tcPr>
            <w:tcW w:w="715" w:type="pct"/>
            <w:vAlign w:val="bottom"/>
          </w:tcPr>
          <w:p>
            <w:pPr>
              <w:widowControl/>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38-42分钟</w:t>
            </w:r>
          </w:p>
        </w:tc>
        <w:tc>
          <w:tcPr>
            <w:tcW w:w="716" w:type="pct"/>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717" w:type="pct"/>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个</w:t>
            </w:r>
          </w:p>
        </w:tc>
      </w:tr>
    </w:tbl>
    <w:p>
      <w:pPr>
        <w:pageBreakBefore w:val="0"/>
        <w:kinsoku/>
        <w:wordWrap/>
        <w:overflowPunct/>
        <w:topLinePunct w:val="0"/>
        <w:autoSpaceDE/>
        <w:autoSpaceDN/>
        <w:bidi w:val="0"/>
        <w:adjustRightInd w:val="0"/>
        <w:snapToGrid w:val="0"/>
        <w:spacing w:before="0" w:after="0" w:line="288" w:lineRule="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技术需求</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.1微课视频制作要求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3.1.1</w:t>
      </w:r>
      <w:r>
        <w:rPr>
          <w:rFonts w:hint="eastAsia" w:ascii="宋体" w:hAnsi="宋体" w:eastAsia="宋体" w:cs="宋体"/>
          <w:sz w:val="21"/>
          <w:szCs w:val="21"/>
        </w:rPr>
        <w:t xml:space="preserve">视频内容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1.屏幕图像的构图合理，画面主体突出。人像及肢体动作以及配合讲授选用的板书、画板、教具实物、模型和实验设备等均不能超出镜头所及范围。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2.演播室使用的背景采用彩色喷绘或电脑虚拟、实景等背景。建议采用彩色喷绘背景。背景的颜色、图案不易过多，应保持静态，画面应简洁、明快，有利于营造课堂气氛。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3.摄像镜头应保持与主讲教师目光平视的角度。主讲教师不应较长时间仰视或俯视。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4.使用资料、图片、外景实拍、实验和表演等形象化教学手段，应符合教学内容要求，与讲授内容联系紧密，手段选用恰当。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5.选用影视作品或自拍素材，应注明素材来源。影视作品或自拍素材中涉及人物访谈内容时，除应加注人物介绍外，还应采用滚动式同声字幕。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6.选用的资料、图片等素材画面应清楚，对于历史资料、图片应进行再加工。选用的资料、图片等素材应注明素材来源及原始信息(如字画的作品、生卒年月，影视片断的作品名称、创作年代等信息)。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7.动画的设计与使用，要与课程内容相贴切，能够发挥良好的教学效果。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8.动画的实现须流畅、合理、图像清晰，具有较强的可视性。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3.1.2</w:t>
      </w:r>
      <w:r>
        <w:rPr>
          <w:rFonts w:hint="eastAsia" w:ascii="宋体" w:hAnsi="宋体" w:eastAsia="宋体" w:cs="宋体"/>
          <w:sz w:val="21"/>
          <w:szCs w:val="21"/>
        </w:rPr>
        <w:t>视频技术规格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1.视频信号源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(1)稳定性</w:t>
      </w:r>
      <w:r>
        <w:rPr>
          <w:rFonts w:hint="eastAsia" w:ascii="宋体" w:hAnsi="宋体" w:eastAsia="宋体" w:cs="宋体"/>
          <w:sz w:val="21"/>
          <w:szCs w:val="21"/>
          <w:lang w:eastAsia="zh-CN"/>
        </w:rPr>
        <w:t>：</w:t>
      </w:r>
      <w:r>
        <w:rPr>
          <w:rFonts w:hint="eastAsia" w:ascii="宋体" w:hAnsi="宋体" w:eastAsia="宋体" w:cs="宋体"/>
          <w:sz w:val="21"/>
          <w:szCs w:val="21"/>
        </w:rPr>
        <w:t xml:space="preserve">全片图像同步性能稳定，无失步现象，CTL同步控制信号必须连续:图像无抖动跳跃，色彩无突变，编辑点 处图像稳定。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(2)信噪比</w:t>
      </w:r>
      <w:r>
        <w:rPr>
          <w:rFonts w:hint="eastAsia" w:ascii="宋体" w:hAnsi="宋体" w:eastAsia="宋体" w:cs="宋体"/>
          <w:sz w:val="21"/>
          <w:szCs w:val="21"/>
          <w:lang w:eastAsia="zh-CN"/>
        </w:rPr>
        <w:t>：</w:t>
      </w:r>
      <w:r>
        <w:rPr>
          <w:rFonts w:hint="eastAsia" w:ascii="宋体" w:hAnsi="宋体" w:eastAsia="宋体" w:cs="宋体"/>
          <w:sz w:val="21"/>
          <w:szCs w:val="21"/>
        </w:rPr>
        <w:t xml:space="preserve">图像信噪比不低于 55dB，无明显杂波。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(3)色调</w:t>
      </w:r>
      <w:r>
        <w:rPr>
          <w:rFonts w:hint="eastAsia" w:ascii="宋体" w:hAnsi="宋体" w:eastAsia="宋体" w:cs="宋体"/>
          <w:sz w:val="21"/>
          <w:szCs w:val="21"/>
          <w:lang w:eastAsia="zh-CN"/>
        </w:rPr>
        <w:t>：</w:t>
      </w:r>
      <w:r>
        <w:rPr>
          <w:rFonts w:hint="eastAsia" w:ascii="宋体" w:hAnsi="宋体" w:eastAsia="宋体" w:cs="宋体"/>
          <w:sz w:val="21"/>
          <w:szCs w:val="21"/>
        </w:rPr>
        <w:t xml:space="preserve">白平衡正确，无明显偏色，多机拍摄的镜头衔接处无明显色差。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(4)视频电平</w:t>
      </w:r>
      <w:r>
        <w:rPr>
          <w:rFonts w:hint="eastAsia" w:ascii="宋体" w:hAnsi="宋体" w:eastAsia="宋体" w:cs="宋体"/>
          <w:sz w:val="21"/>
          <w:szCs w:val="21"/>
          <w:lang w:eastAsia="zh-CN"/>
        </w:rPr>
        <w:t>：</w:t>
      </w:r>
      <w:r>
        <w:rPr>
          <w:rFonts w:hint="eastAsia" w:ascii="宋体" w:hAnsi="宋体" w:eastAsia="宋体" w:cs="宋体"/>
          <w:sz w:val="21"/>
          <w:szCs w:val="21"/>
        </w:rPr>
        <w:t xml:space="preserve">视频全讯号幅度为 1Vp-p，最大不超过 1.1 V p-p。其中，消隐电平为 0V 时，白电平幅度 0.7Vp-p，同步信号-0.3V，色同步信号幅度 0.3V p-p (以消隐线上下对称)，全片一致。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2.音频信号源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(1)声道</w:t>
      </w:r>
      <w:r>
        <w:rPr>
          <w:rFonts w:hint="eastAsia" w:ascii="宋体" w:hAnsi="宋体" w:eastAsia="宋体" w:cs="宋体"/>
          <w:sz w:val="21"/>
          <w:szCs w:val="21"/>
          <w:lang w:eastAsia="zh-CN"/>
        </w:rPr>
        <w:t>：</w:t>
      </w:r>
      <w:r>
        <w:rPr>
          <w:rFonts w:hint="eastAsia" w:ascii="宋体" w:hAnsi="宋体" w:eastAsia="宋体" w:cs="宋体"/>
          <w:sz w:val="21"/>
          <w:szCs w:val="21"/>
        </w:rPr>
        <w:t xml:space="preserve">中文内容音频信号记录于第 1 声道，音乐、音 效、同期声记录于第 2 声道，若有其他文字解说记录于第 3 声道 (如录音设备无第 3 声道,则录于第 2 声道)。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(2)电平指标</w:t>
      </w:r>
      <w:r>
        <w:rPr>
          <w:rFonts w:hint="eastAsia" w:ascii="宋体" w:hAnsi="宋体" w:eastAsia="宋体" w:cs="宋体"/>
          <w:sz w:val="21"/>
          <w:szCs w:val="21"/>
          <w:lang w:eastAsia="zh-CN"/>
        </w:rPr>
        <w:t>：</w:t>
      </w:r>
      <w:r>
        <w:rPr>
          <w:rFonts w:hint="eastAsia" w:ascii="宋体" w:hAnsi="宋体" w:eastAsia="宋体" w:cs="宋体"/>
          <w:sz w:val="21"/>
          <w:szCs w:val="21"/>
        </w:rPr>
        <w:t xml:space="preserve">-2db —— -8db 声音应无明显失真、放音 过冲、过弱。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(3)音频信噪比不低于 48db。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(4)声音和画面要求同步，无交流声或其他杂音等缺陷。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(5)伴音清晰、饱满、圆润，无失真、噪声杂音干扰、音量忽大忽小现象。解说声与现场声无明显比例失调，解说声与背景音乐无明显比例失调。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3.视频压缩格式及技术参数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(1)视频压缩采用 H.264/AVC (MPEG-4 Part10)编码、使用二次编码、不包含字幕的 MP4 格式。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(2)视频码流率</w:t>
      </w:r>
      <w:r>
        <w:rPr>
          <w:rFonts w:hint="eastAsia" w:ascii="宋体" w:hAnsi="宋体" w:eastAsia="宋体" w:cs="宋体"/>
          <w:sz w:val="21"/>
          <w:szCs w:val="21"/>
          <w:lang w:eastAsia="zh-CN"/>
        </w:rPr>
        <w:t>：</w:t>
      </w:r>
      <w:r>
        <w:rPr>
          <w:rFonts w:hint="eastAsia" w:ascii="宋体" w:hAnsi="宋体" w:eastAsia="宋体" w:cs="宋体"/>
          <w:sz w:val="21"/>
          <w:szCs w:val="21"/>
        </w:rPr>
        <w:t>动态码流的最低码率不得低于1024Kb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(3)视频分辨率</w:t>
      </w:r>
      <w:r>
        <w:rPr>
          <w:rFonts w:hint="eastAsia" w:ascii="宋体" w:hAnsi="宋体" w:eastAsia="宋体" w:cs="宋体"/>
          <w:sz w:val="21"/>
          <w:szCs w:val="21"/>
          <w:lang w:eastAsia="zh-CN"/>
        </w:rPr>
        <w:t>：</w:t>
      </w:r>
      <w:r>
        <w:rPr>
          <w:rFonts w:hint="eastAsia" w:ascii="宋体" w:hAnsi="宋体" w:eastAsia="宋体" w:cs="宋体"/>
          <w:sz w:val="21"/>
          <w:szCs w:val="21"/>
        </w:rPr>
        <w:t>前期采用标清4:3拍摄时，请设定为 720×576</w:t>
      </w:r>
      <w:r>
        <w:rPr>
          <w:rFonts w:hint="eastAsia" w:ascii="宋体" w:hAnsi="宋体" w:eastAsia="宋体" w:cs="宋体"/>
          <w:sz w:val="21"/>
          <w:szCs w:val="21"/>
          <w:lang w:eastAsia="zh-CN"/>
        </w:rPr>
        <w:t>。</w:t>
      </w:r>
      <w:r>
        <w:rPr>
          <w:rFonts w:hint="eastAsia" w:ascii="宋体" w:hAnsi="宋体" w:eastAsia="宋体" w:cs="宋体"/>
          <w:sz w:val="21"/>
          <w:szCs w:val="21"/>
        </w:rPr>
        <w:t>前期采用高清16:9拍摄时，请设定为 1280×720 或 1920 ×1080。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(5)视频帧率为 25 帧/秒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(6)扫描方式采用逐行扫描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4.音频压缩格式及技术参数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(1)音频压缩采用 AAC(MPEG4 Part3)格式(2)采样率 48KHz(3)音频码流率 128Kbps (恒定) (4)必须是双声道，必须做混音处理。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5.封装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采用MP4封装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字幕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需添加同步字幕。</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2 </w:t>
      </w:r>
      <w:r>
        <w:rPr>
          <w:rFonts w:hint="eastAsia" w:ascii="宋体" w:hAnsi="宋体" w:eastAsia="宋体" w:cs="宋体"/>
          <w:b/>
          <w:sz w:val="21"/>
          <w:szCs w:val="21"/>
        </w:rPr>
        <w:t>MG动画制作要求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3.2.1</w:t>
      </w:r>
      <w:r>
        <w:rPr>
          <w:rFonts w:hint="eastAsia" w:ascii="宋体" w:hAnsi="宋体" w:eastAsia="宋体" w:cs="宋体"/>
          <w:bCs/>
          <w:color w:val="000000"/>
          <w:sz w:val="21"/>
          <w:szCs w:val="21"/>
        </w:rPr>
        <w:t>动画制作类型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动画制作方式为原创二维动画，需达到广播电视媒体播出的要求。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角色形象需饱满、生动、个性鲜明、特点突出，符合主题风格，角色要有结构阴影和地面投影。人物眨眼，口型等动作按照提供的主要人物设眨眼，口型模版中的节奏和形式制作，可增加口型，但要做到颜色、风格统一。主要角色要完全按照人设规范绘制。根据相应剧本文字描述来进行设计，形象既要符合整片风格，又要符合人物性格，年龄层次等，观众能容易接受和喜爱。其余出场人物的造型和数量可根据分镜自行发挥创作，但风格要与主角保持统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场景设计应与人物风格定位一致，细节展示丰富，色彩明快，清晰美观。景深感要强，透视正确、美观，色调和人物融合、一致，多角度制作，画面饱满，充实。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保证角色人物形象和场景为设计师原创素材，不得产生产权纠纷，一旦产生版权纠纷，由</w:t>
      </w:r>
      <w:r>
        <w:rPr>
          <w:rFonts w:hint="eastAsia" w:ascii="宋体" w:hAnsi="宋体" w:eastAsia="宋体" w:cs="宋体"/>
          <w:bCs/>
          <w:color w:val="000000"/>
          <w:sz w:val="21"/>
          <w:szCs w:val="21"/>
          <w:lang w:val="en-US" w:eastAsia="zh-CN"/>
        </w:rPr>
        <w:t>成交供应商</w:t>
      </w:r>
      <w:r>
        <w:rPr>
          <w:rFonts w:hint="eastAsia" w:ascii="宋体" w:hAnsi="宋体" w:eastAsia="宋体" w:cs="宋体"/>
          <w:bCs/>
          <w:color w:val="000000"/>
          <w:sz w:val="21"/>
          <w:szCs w:val="21"/>
        </w:rPr>
        <w:t>承担全部法律责任。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5</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制作完成的动画作品版权归采购人所有。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3.2.2.</w:t>
      </w:r>
      <w:r>
        <w:rPr>
          <w:rFonts w:hint="eastAsia" w:ascii="宋体" w:hAnsi="宋体" w:eastAsia="宋体" w:cs="宋体"/>
          <w:bCs/>
          <w:color w:val="000000"/>
          <w:sz w:val="21"/>
          <w:szCs w:val="21"/>
        </w:rPr>
        <w:t>文件格式尺寸要求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动画内容原始文件输出设置：M</w:t>
      </w:r>
      <w:r>
        <w:rPr>
          <w:rFonts w:hint="eastAsia" w:ascii="宋体" w:hAnsi="宋体" w:eastAsia="宋体" w:cs="宋体"/>
          <w:bCs/>
          <w:color w:val="000000"/>
          <w:sz w:val="21"/>
          <w:szCs w:val="21"/>
          <w:lang w:val="en-US" w:eastAsia="zh-CN"/>
        </w:rPr>
        <w:t>P</w:t>
      </w:r>
      <w:r>
        <w:rPr>
          <w:rFonts w:hint="eastAsia" w:ascii="宋体" w:hAnsi="宋体" w:eastAsia="宋体" w:cs="宋体"/>
          <w:bCs/>
          <w:color w:val="000000"/>
          <w:sz w:val="21"/>
          <w:szCs w:val="21"/>
        </w:rPr>
        <w:t>4格式，</w:t>
      </w:r>
      <w:r>
        <w:rPr>
          <w:rFonts w:hint="eastAsia" w:ascii="宋体" w:hAnsi="宋体" w:eastAsia="宋体" w:cs="宋体"/>
          <w:bCs/>
          <w:color w:val="000000"/>
          <w:sz w:val="21"/>
          <w:szCs w:val="21"/>
          <w:lang w:val="en-US" w:eastAsia="zh-CN"/>
        </w:rPr>
        <w:t>H</w:t>
      </w:r>
      <w:r>
        <w:rPr>
          <w:rFonts w:hint="eastAsia" w:ascii="宋体" w:hAnsi="宋体" w:eastAsia="宋体" w:cs="宋体"/>
          <w:bCs/>
          <w:color w:val="000000"/>
          <w:sz w:val="21"/>
          <w:szCs w:val="21"/>
        </w:rPr>
        <w:t>264编码。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动画内容制作时帧速设置范围：25帧/秒。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输出成片分辨率不低于1920*1080。图像比16:9。整体制作质量达到B+级以上。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原画设计、中间画、动画环节应通过二维无纸动画流程完成。要求角色无变形、符合透视；动作流畅、符合运动规律；表情生动、到位。所有动画制作，需按照动态分镜进行制作，不得大面积更改动态分镜的时间和任务动作。动画内容中用到的位图，必须画面清晰，不能有图像过于模糊等现象出现（特效除外）。画面不能出边框、错位、组件缺损、跳帧、少帧，该动的组件不动，不该动的组件出现位移、缺少等明显漏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5动画内容播放过程中纯静态画面停留时间不得超过3秒。避免采用简单重复方式以保持动画播放时间。（如说话特写中，同一抬手放手动作不断重复。）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3.2.3</w:t>
      </w:r>
      <w:r>
        <w:rPr>
          <w:rFonts w:hint="eastAsia" w:ascii="宋体" w:hAnsi="宋体" w:eastAsia="宋体" w:cs="宋体"/>
          <w:bCs/>
          <w:color w:val="000000"/>
          <w:sz w:val="21"/>
          <w:szCs w:val="21"/>
        </w:rPr>
        <w:t>文字要求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动画内容中出现的文字，要求文字清晰，不能出现多字、少字、错字、别字、实心字、乱码等情况。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3.2.4</w:t>
      </w:r>
      <w:r>
        <w:rPr>
          <w:rFonts w:hint="eastAsia" w:ascii="宋体" w:hAnsi="宋体" w:eastAsia="宋体" w:cs="宋体"/>
          <w:bCs/>
          <w:color w:val="000000"/>
          <w:sz w:val="21"/>
          <w:szCs w:val="21"/>
        </w:rPr>
        <w:t xml:space="preserve">声音要求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配音要富有表演性，使用标准普通话进行角色配音，语调语速应与角色口型相一致，符合人物要求。并配有简体中文字幕。背景、环境音效符合动画场景、故事内容。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3.2.5</w:t>
      </w:r>
      <w:r>
        <w:rPr>
          <w:rFonts w:hint="eastAsia" w:ascii="宋体" w:hAnsi="宋体" w:eastAsia="宋体" w:cs="宋体"/>
          <w:bCs/>
          <w:color w:val="000000"/>
          <w:sz w:val="21"/>
          <w:szCs w:val="21"/>
        </w:rPr>
        <w:t>后期制作要求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用后期软件来加人物和场景的阴影及画面所需的特效，音效，背景音乐等视听效果，使画面体感强，视觉冲击力强，动画更饱满。特效与剪辑：要求镜头衔接连贯、富有节奏感；无跳景、不连景现象；特效运用丰富、得当，能较好的融入情景。</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3 </w:t>
      </w:r>
      <w:r>
        <w:rPr>
          <w:rFonts w:hint="eastAsia" w:ascii="宋体" w:hAnsi="宋体" w:eastAsia="宋体" w:cs="宋体"/>
          <w:b/>
          <w:sz w:val="21"/>
          <w:szCs w:val="21"/>
        </w:rPr>
        <w:t>教学能力比赛</w:t>
      </w:r>
      <w:r>
        <w:rPr>
          <w:rFonts w:hint="eastAsia" w:ascii="宋体" w:hAnsi="宋体" w:eastAsia="宋体" w:cs="宋体"/>
          <w:b/>
          <w:sz w:val="21"/>
          <w:szCs w:val="21"/>
          <w:lang w:val="en-US" w:eastAsia="zh-CN"/>
        </w:rPr>
        <w:t>作品</w:t>
      </w:r>
      <w:r>
        <w:rPr>
          <w:rFonts w:hint="eastAsia" w:ascii="宋体" w:hAnsi="宋体" w:eastAsia="宋体" w:cs="宋体"/>
          <w:b/>
          <w:sz w:val="21"/>
          <w:szCs w:val="21"/>
        </w:rPr>
        <w:t>制作要求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作品按照202</w:t>
      </w:r>
      <w:r>
        <w:rPr>
          <w:rFonts w:hint="eastAsia" w:ascii="宋体" w:hAnsi="宋体" w:eastAsia="宋体" w:cs="宋体"/>
          <w:bCs/>
          <w:sz w:val="21"/>
          <w:szCs w:val="21"/>
          <w:lang w:val="en-US" w:eastAsia="zh-CN"/>
        </w:rPr>
        <w:t>3</w:t>
      </w:r>
      <w:r>
        <w:rPr>
          <w:rFonts w:hint="eastAsia" w:ascii="宋体" w:hAnsi="宋体" w:eastAsia="宋体" w:cs="宋体"/>
          <w:bCs/>
          <w:sz w:val="21"/>
          <w:szCs w:val="21"/>
        </w:rPr>
        <w:t>年全国职业院校技能大赛教学能力比赛技术规格制作。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教学团队按照教学设计实施课堂教学（或专周实习实训、岗位实习教学），每人录制 1 学时（具体时长与教案中的学时安排保持一致）的课堂教学视频。课堂教学应在实际教学场所，班级全体学生参加（实施分班教学需有说明）。课堂教学视频应呈现课程属性特质、反映团队成员教学风格。专业课程二组至少有2个视频呈现教师实操演示与教学指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课堂实录视频须采用 3 机位全程连续录制，镜头固定，其中一个机位对准黑板和屏幕，另两个机位根据教学实际固定镜头位置，须覆盖教室全景（1 学时教学需要两个教学场所的，每个教学场所均须安放固定镜头，机位总数为3 个）。3 机位须同步录制，保证音视频准确同步。录课过程中拍摄及其他人员不在场，提交的视频从拍摄人员离场开始到拍摄人员停机为止（1学时之外的录制时长不超过 2 分钟）。所有机位拍摄的视频须保证音轨连续，不另行剪辑及配音，不加片头片尾、字幕注解。视频采用MP4 格式封装，单个视频文件大小不超过500M。每段视频文件以“教案序号+第几学时+教案页码+教学环节名称”来命名（其中教案页码以教案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-实操结束时间n'm" ”来命名（实操起止时间可以多段，用“+”连接）。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rPr>
        <w:t>视频录制采用 H.264/AVC 编码格式压缩，动态比特率（码流）不低于 1024Kbps，分辨率设定为1280*720，采用逐行扫描，帧速率为 25 帧/秒。音频采用 AAC 格式压缩，采样率48KHz，比特率（码流）128Kbps(恒定)。</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
          <w:sz w:val="21"/>
          <w:szCs w:val="21"/>
          <w:lang w:val="en-US"/>
        </w:rPr>
      </w:pPr>
      <w:r>
        <w:rPr>
          <w:rFonts w:hint="eastAsia" w:ascii="宋体" w:hAnsi="宋体" w:eastAsia="宋体" w:cs="宋体"/>
          <w:b/>
          <w:sz w:val="21"/>
          <w:szCs w:val="21"/>
          <w:lang w:val="en-US" w:eastAsia="zh-CN"/>
        </w:rPr>
        <w:t>3</w:t>
      </w:r>
      <w:r>
        <w:rPr>
          <w:rFonts w:hint="eastAsia" w:ascii="宋体" w:hAnsi="宋体" w:eastAsia="宋体" w:cs="宋体"/>
          <w:b/>
          <w:sz w:val="21"/>
          <w:szCs w:val="21"/>
        </w:rPr>
        <w:t>.</w:t>
      </w:r>
      <w:r>
        <w:rPr>
          <w:rFonts w:hint="eastAsia" w:ascii="宋体" w:hAnsi="宋体" w:eastAsia="宋体" w:cs="宋体"/>
          <w:b/>
          <w:sz w:val="21"/>
          <w:szCs w:val="21"/>
          <w:lang w:val="en-US" w:eastAsia="zh-CN"/>
        </w:rPr>
        <w:t>4 其他要求</w:t>
      </w:r>
    </w:p>
    <w:p>
      <w:pPr>
        <w:pStyle w:val="8"/>
        <w:keepNext w:val="0"/>
        <w:keepLines w:val="0"/>
        <w:pageBreakBefore w:val="0"/>
        <w:widowControl w:val="0"/>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（1）响应方须具有固定的拍摄制作团队，包括：项目经理、编导、摄像、后期等相关制作人员。拍摄前须提供详细的拍摄计划，并保证与主讲教师有效沟通，后期须尊重主讲教师的修改意见。</w:t>
      </w:r>
    </w:p>
    <w:p>
      <w:pPr>
        <w:pStyle w:val="8"/>
        <w:keepNext w:val="0"/>
        <w:keepLines w:val="0"/>
        <w:pageBreakBefore w:val="0"/>
        <w:widowControl w:val="0"/>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（2）响应方须7*24小时响应。</w:t>
      </w:r>
    </w:p>
    <w:p>
      <w:pPr>
        <w:pStyle w:val="8"/>
        <w:keepNext w:val="0"/>
        <w:keepLines w:val="0"/>
        <w:pageBreakBefore w:val="0"/>
        <w:widowControl w:val="0"/>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（3）响应方须支持3组以上摄像同时进行双机位拍摄。</w:t>
      </w:r>
    </w:p>
    <w:p>
      <w:pPr>
        <w:pStyle w:val="8"/>
        <w:keepNext w:val="0"/>
        <w:keepLines w:val="0"/>
        <w:pageBreakBefore w:val="0"/>
        <w:widowControl w:val="0"/>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4）响应方需提供至少40平米的专用录制场所，至少满足虚拟、实景拍摄等需求，以确保微课制作质量。录制场所内需用专业隔音材料装修，设备需有：专业摄像机至少2台、三基色灯至少8盏、专业提词器1台、辅助光源若干、监视器1台、讲课桌一台、道具若干。</w:t>
      </w:r>
    </w:p>
    <w:p>
      <w:pPr>
        <w:pStyle w:val="8"/>
        <w:keepNext w:val="0"/>
        <w:keepLines w:val="0"/>
        <w:pageBreakBefore w:val="0"/>
        <w:widowControl w:val="0"/>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（5）为了录制效果，响应方需提供专业的化妆服务，化妆师需全程跟拍，及时为拍摄老师补妆。</w:t>
      </w:r>
    </w:p>
    <w:p>
      <w:pPr>
        <w:pStyle w:val="8"/>
        <w:keepNext w:val="0"/>
        <w:keepLines w:val="0"/>
        <w:pageBreakBefore w:val="0"/>
        <w:widowControl w:val="0"/>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（6）根据课程需要需要搭设场景的，响应方应按照专业置景标准进行场景搭设。</w:t>
      </w:r>
    </w:p>
    <w:p>
      <w:pPr>
        <w:pStyle w:val="8"/>
        <w:keepNext w:val="0"/>
        <w:keepLines w:val="0"/>
        <w:pageBreakBefore w:val="0"/>
        <w:widowControl w:val="0"/>
        <w:kinsoku/>
        <w:wordWrap/>
        <w:overflowPunct/>
        <w:topLinePunct w:val="0"/>
        <w:autoSpaceDE/>
        <w:autoSpaceDN/>
        <w:bidi w:val="0"/>
        <w:adjustRightInd/>
        <w:snapToGrid/>
        <w:spacing w:line="288" w:lineRule="auto"/>
        <w:ind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（7）在项目建设期间，响应方需派专业技术人员（编导、摄像、后期）不少于3人提供驻校服务，长期驻校直至项目结束。食宿自理。如未能派遣或者提前撤出，采购</w:t>
      </w:r>
      <w:r>
        <w:rPr>
          <w:rFonts w:hint="eastAsia" w:ascii="宋体" w:hAnsi="宋体" w:eastAsia="宋体" w:cs="宋体"/>
          <w:sz w:val="21"/>
          <w:szCs w:val="21"/>
          <w:lang w:val="en-US" w:eastAsia="zh-CN"/>
        </w:rPr>
        <w:t>人</w:t>
      </w:r>
      <w:r>
        <w:rPr>
          <w:rFonts w:hint="eastAsia" w:ascii="宋体" w:hAnsi="宋体" w:eastAsia="宋体" w:cs="宋体"/>
          <w:sz w:val="21"/>
          <w:szCs w:val="21"/>
        </w:rPr>
        <w:t>有权单方面解除合同。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Cs/>
          <w:sz w:val="21"/>
          <w:szCs w:val="21"/>
        </w:rPr>
        <w:t>响应方在项目执行过程中必须严格按照有关操作规程进行操作，做好安全防范工作，防止一切事故的发生；服务期间，出现人身伤亡等事故，一切后果均由响应方自行承担。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bCs/>
          <w:sz w:val="21"/>
          <w:szCs w:val="21"/>
        </w:rPr>
        <w:t>（9）应上级主管部门和学校疫情防控管控动态要求，响应方需自行配备防疫物资，做好服务人员健康信息审查，配合学校落实各项防控管控措施。</w:t>
      </w:r>
    </w:p>
    <w:p>
      <w:pPr>
        <w:keepNext w:val="0"/>
        <w:keepLines w:val="0"/>
        <w:pageBreakBefore w:val="0"/>
        <w:widowControl w:val="0"/>
        <w:kinsoku/>
        <w:wordWrap/>
        <w:overflowPunct/>
        <w:topLinePunct w:val="0"/>
        <w:autoSpaceDE/>
        <w:autoSpaceDN/>
        <w:bidi w:val="0"/>
        <w:adjustRightInd/>
        <w:snapToGrid/>
        <w:spacing w:line="288" w:lineRule="auto"/>
        <w:ind w:firstLine="315" w:firstLineChars="15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（10）应上级主管部门和学校疫情防控管控动态要求，响应方所提供的设备及所有辅材须产自非疫情区域，且确保配送安全。</w:t>
      </w:r>
    </w:p>
    <w:p>
      <w:pPr>
        <w:pageBreakBefore w:val="0"/>
        <w:kinsoku/>
        <w:wordWrap/>
        <w:overflowPunct/>
        <w:topLinePunct w:val="0"/>
        <w:autoSpaceDE/>
        <w:autoSpaceDN/>
        <w:bidi w:val="0"/>
        <w:adjustRightInd w:val="0"/>
        <w:snapToGrid w:val="0"/>
        <w:spacing w:line="288" w:lineRule="auto"/>
        <w:ind w:firstLine="315" w:firstLineChars="150"/>
        <w:outlineLvl w:val="9"/>
        <w:rPr>
          <w:rFonts w:hint="eastAsia" w:ascii="宋体" w:hAnsi="宋体" w:eastAsia="宋体" w:cs="宋体"/>
          <w:color w:val="auto"/>
          <w:sz w:val="21"/>
          <w:szCs w:val="21"/>
          <w:lang w:eastAsia="zh-CN"/>
        </w:rPr>
      </w:pPr>
    </w:p>
    <w:p>
      <w:pPr>
        <w:snapToGrid w:val="0"/>
        <w:spacing w:line="288" w:lineRule="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（四）演示要求</w:t>
      </w:r>
    </w:p>
    <w:p>
      <w:pPr>
        <w:spacing w:line="288" w:lineRule="auto"/>
        <w:ind w:firstLine="420"/>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lang w:val="en-US" w:eastAsia="zh-CN"/>
        </w:rPr>
        <w:t>1.供应商需</w:t>
      </w:r>
      <w:r>
        <w:rPr>
          <w:rFonts w:hint="eastAsia" w:cs="宋体"/>
          <w:kern w:val="0"/>
          <w:sz w:val="21"/>
          <w:szCs w:val="21"/>
          <w:lang w:val="en-US" w:eastAsia="zh-CN"/>
        </w:rPr>
        <w:t>提供</w:t>
      </w:r>
      <w:r>
        <w:rPr>
          <w:rFonts w:hint="eastAsia"/>
          <w:bCs/>
          <w:color w:val="auto"/>
          <w:spacing w:val="-6"/>
          <w:sz w:val="21"/>
          <w:szCs w:val="21"/>
          <w:highlight w:val="none"/>
        </w:rPr>
        <w:t>以往同类微课视频拍摄项目</w:t>
      </w:r>
      <w:r>
        <w:rPr>
          <w:rFonts w:hint="eastAsia"/>
          <w:bCs/>
          <w:color w:val="auto"/>
          <w:spacing w:val="-6"/>
          <w:sz w:val="21"/>
          <w:szCs w:val="21"/>
          <w:highlight w:val="none"/>
          <w:lang w:val="en-US" w:eastAsia="zh-CN"/>
        </w:rPr>
        <w:t>样片演示。</w:t>
      </w:r>
    </w:p>
    <w:p>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▲2.未提供任何演示材料的，</w:t>
      </w:r>
      <w:r>
        <w:rPr>
          <w:rFonts w:hint="eastAsia" w:ascii="宋体" w:hAnsi="宋体" w:eastAsia="宋体" w:cs="宋体"/>
          <w:bCs/>
          <w:sz w:val="21"/>
          <w:szCs w:val="21"/>
          <w:highlight w:val="none"/>
          <w:lang w:val="en-US" w:eastAsia="zh-CN"/>
        </w:rPr>
        <w:t>响应无效</w:t>
      </w:r>
      <w:r>
        <w:rPr>
          <w:rFonts w:hint="default" w:ascii="宋体" w:hAnsi="宋体" w:eastAsia="宋体" w:cs="宋体"/>
          <w:bCs/>
          <w:sz w:val="21"/>
          <w:szCs w:val="21"/>
          <w:highlight w:val="none"/>
          <w:lang w:val="en-US" w:eastAsia="zh-CN"/>
        </w:rPr>
        <w:t>；</w:t>
      </w:r>
    </w:p>
    <w:p>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3.演示</w:t>
      </w:r>
      <w:r>
        <w:rPr>
          <w:rFonts w:hint="eastAsia" w:ascii="宋体" w:hAnsi="宋体" w:eastAsia="宋体" w:cs="宋体"/>
          <w:bCs/>
          <w:sz w:val="21"/>
          <w:szCs w:val="21"/>
          <w:highlight w:val="none"/>
          <w:lang w:val="en-US" w:eastAsia="zh-CN"/>
        </w:rPr>
        <w:t>总时长</w:t>
      </w:r>
      <w:r>
        <w:rPr>
          <w:rFonts w:hint="default" w:ascii="宋体" w:hAnsi="宋体" w:eastAsia="宋体" w:cs="宋体"/>
          <w:bCs/>
          <w:sz w:val="21"/>
          <w:szCs w:val="21"/>
          <w:highlight w:val="none"/>
          <w:lang w:val="en-US" w:eastAsia="zh-CN"/>
        </w:rPr>
        <w:t>不超过</w:t>
      </w:r>
      <w:r>
        <w:rPr>
          <w:rFonts w:hint="eastAsia" w:ascii="宋体" w:hAnsi="宋体" w:eastAsia="宋体" w:cs="宋体"/>
          <w:bCs/>
          <w:sz w:val="21"/>
          <w:szCs w:val="21"/>
          <w:highlight w:val="none"/>
          <w:lang w:val="en-US" w:eastAsia="zh-CN"/>
        </w:rPr>
        <w:t>5</w:t>
      </w:r>
      <w:r>
        <w:rPr>
          <w:rFonts w:hint="default" w:ascii="宋体" w:hAnsi="宋体" w:eastAsia="宋体" w:cs="宋体"/>
          <w:bCs/>
          <w:sz w:val="21"/>
          <w:szCs w:val="21"/>
          <w:highlight w:val="none"/>
          <w:lang w:val="en-US" w:eastAsia="zh-CN"/>
        </w:rPr>
        <w:t>分钟，演示以录制视频的形式提供，</w:t>
      </w:r>
      <w:r>
        <w:rPr>
          <w:rFonts w:hint="eastAsia" w:ascii="宋体" w:hAnsi="宋体" w:eastAsia="宋体" w:cs="宋体"/>
          <w:bCs/>
          <w:sz w:val="21"/>
          <w:szCs w:val="21"/>
          <w:highlight w:val="none"/>
          <w:lang w:val="en-US" w:eastAsia="zh-CN"/>
        </w:rPr>
        <w:t>供应商</w:t>
      </w:r>
      <w:r>
        <w:rPr>
          <w:rFonts w:hint="default" w:ascii="宋体" w:hAnsi="宋体" w:eastAsia="宋体" w:cs="宋体"/>
          <w:bCs/>
          <w:sz w:val="21"/>
          <w:szCs w:val="21"/>
          <w:highlight w:val="none"/>
          <w:lang w:val="en-US" w:eastAsia="zh-CN"/>
        </w:rPr>
        <w:t>将演示过程录制成视频存储在U盘中，可与备份文件一并递交。</w:t>
      </w:r>
      <w:r>
        <w:rPr>
          <w:rFonts w:hint="eastAsia" w:ascii="宋体" w:hAnsi="宋体" w:eastAsia="宋体" w:cs="宋体"/>
          <w:bCs/>
          <w:sz w:val="21"/>
          <w:szCs w:val="21"/>
          <w:highlight w:val="none"/>
          <w:lang w:val="en-US" w:eastAsia="zh-CN"/>
        </w:rPr>
        <w:t>供应商</w:t>
      </w:r>
      <w:r>
        <w:rPr>
          <w:rFonts w:hint="default" w:ascii="宋体" w:hAnsi="宋体" w:eastAsia="宋体" w:cs="宋体"/>
          <w:bCs/>
          <w:sz w:val="21"/>
          <w:szCs w:val="21"/>
          <w:highlight w:val="none"/>
          <w:lang w:val="en-US" w:eastAsia="zh-CN"/>
        </w:rPr>
        <w:t>须自行核验U盘中的视频能正常播放，保证视频无需转码即可直接用主流播放器打开播放。</w:t>
      </w:r>
    </w:p>
    <w:p>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highlight w:val="none"/>
          <w:lang w:val="en-US" w:eastAsia="zh-CN"/>
        </w:rPr>
      </w:pPr>
    </w:p>
    <w:p>
      <w:pPr>
        <w:pageBreakBefore w:val="0"/>
        <w:kinsoku/>
        <w:wordWrap/>
        <w:overflowPunct/>
        <w:topLinePunct w:val="0"/>
        <w:autoSpaceDE/>
        <w:autoSpaceDN/>
        <w:bidi w:val="0"/>
        <w:spacing w:line="288" w:lineRule="auto"/>
        <w:ind w:firstLine="420" w:firstLineChars="200"/>
        <w:rPr>
          <w:rFonts w:hint="default" w:ascii="宋体" w:hAnsi="宋体" w:eastAsia="宋体" w:cs="宋体"/>
          <w:bCs/>
          <w:sz w:val="21"/>
          <w:szCs w:val="21"/>
          <w:lang w:val="en-US" w:eastAsia="zh-CN"/>
        </w:rPr>
      </w:pPr>
      <w:r>
        <w:rPr>
          <w:rFonts w:hint="default" w:ascii="宋体" w:hAnsi="宋体" w:eastAsia="宋体" w:cs="宋体"/>
          <w:bCs/>
          <w:sz w:val="21"/>
          <w:szCs w:val="21"/>
          <w:lang w:val="en-US" w:eastAsia="zh-CN"/>
        </w:rPr>
        <w:t>注：因投标人自身原因导致无法演示或者演示效果不理想的，责任自负。</w:t>
      </w: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bookmarkStart w:id="63" w:name="_GoBack"/>
      <w:bookmarkEnd w:id="63"/>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浙江金融职业学院2024年金融管理学院微课、动画等项目</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highlight w:val="none"/>
              </w:rPr>
            </w:pPr>
            <w:r>
              <w:rPr>
                <w:rFonts w:hint="eastAsia" w:cstheme="minorBidi"/>
                <w:sz w:val="21"/>
                <w:szCs w:val="21"/>
                <w:highlight w:val="none"/>
              </w:rPr>
              <w:t>▲1</w:t>
            </w:r>
            <w:r>
              <w:rPr>
                <w:rFonts w:cstheme="minorBidi"/>
                <w:sz w:val="21"/>
                <w:szCs w:val="21"/>
                <w:highlight w:val="none"/>
              </w:rPr>
              <w:t>.供应商代表是法定代表人</w:t>
            </w:r>
            <w:r>
              <w:rPr>
                <w:rFonts w:hint="eastAsia" w:cstheme="minorBidi"/>
                <w:sz w:val="21"/>
                <w:szCs w:val="21"/>
                <w:highlight w:val="none"/>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highlight w:val="none"/>
              </w:rPr>
              <w:t>▲</w:t>
            </w:r>
            <w:r>
              <w:rPr>
                <w:rFonts w:cstheme="minorBidi"/>
                <w:sz w:val="21"/>
                <w:szCs w:val="21"/>
                <w:highlight w:val="none"/>
              </w:rPr>
              <w:t>2</w:t>
            </w:r>
            <w:r>
              <w:rPr>
                <w:rFonts w:hint="eastAsia" w:cstheme="minorBidi"/>
                <w:sz w:val="21"/>
                <w:szCs w:val="21"/>
                <w:highlight w:val="none"/>
              </w:rPr>
              <w:t>.</w:t>
            </w:r>
            <w:r>
              <w:rPr>
                <w:rFonts w:cstheme="minorBidi"/>
                <w:sz w:val="21"/>
                <w:szCs w:val="21"/>
                <w:highlight w:val="none"/>
              </w:rPr>
              <w:t>供应商代表不是法定代表人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2024年01月</w:t>
            </w:r>
            <w:r>
              <w:rPr>
                <w:rFonts w:cstheme="minorBidi"/>
                <w:sz w:val="21"/>
                <w:szCs w:val="21"/>
                <w:highlight w:val="none"/>
              </w:rPr>
              <w:t>（含）以后任意一月）；</w:t>
            </w:r>
          </w:p>
          <w:p>
            <w:pPr>
              <w:adjustRightInd w:val="0"/>
              <w:snapToGrid w:val="0"/>
              <w:spacing w:line="288" w:lineRule="auto"/>
              <w:rPr>
                <w:sz w:val="21"/>
                <w:szCs w:val="21"/>
                <w:highlight w:val="none"/>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32"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bookmarkEnd w:id="32"/>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val="en-US" w:eastAsia="zh-CN"/>
                    </w:rPr>
                    <w:t>成交</w:t>
                  </w:r>
                  <w:r>
                    <w:rPr>
                      <w:rFonts w:hint="eastAsia" w:ascii="宋体" w:hAnsi="宋体" w:cs="宋体"/>
                      <w:b/>
                      <w:bCs/>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none"/>
                    </w:rPr>
                  </w:pPr>
                  <w:r>
                    <w:rPr>
                      <w:rFonts w:hint="eastAsia" w:ascii="宋体" w:hAnsi="宋体"/>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0</w:t>
                  </w:r>
                  <w:r>
                    <w:rPr>
                      <w:rFonts w:hint="eastAsia" w:ascii="宋体" w:hAnsi="宋体"/>
                      <w:sz w:val="21"/>
                      <w:szCs w:val="21"/>
                      <w:highlight w:val="none"/>
                    </w:rPr>
                    <w:t>5</w:t>
                  </w:r>
                </w:p>
              </w:tc>
            </w:tr>
          </w:tbl>
          <w:p>
            <w:pPr>
              <w:adjustRightInd w:val="0"/>
              <w:snapToGrid w:val="0"/>
              <w:spacing w:line="288" w:lineRule="auto"/>
              <w:rPr>
                <w:sz w:val="21"/>
                <w:szCs w:val="21"/>
                <w:highlight w:val="none"/>
              </w:rPr>
            </w:pPr>
            <w:r>
              <w:rPr>
                <w:rFonts w:hint="eastAsia" w:ascii="宋体" w:hAnsi="宋体" w:eastAsia="宋体" w:cs="宋体"/>
                <w:sz w:val="21"/>
                <w:szCs w:val="21"/>
                <w:highlight w:val="none"/>
                <w:lang w:val="en-US" w:eastAsia="zh-CN"/>
              </w:rPr>
              <w:t>不足3000元按3000元收取。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lang w:val="en-US" w:eastAsia="zh-CN"/>
              </w:rPr>
              <w:t>本项目以人工投入为主，</w:t>
            </w:r>
            <w:r>
              <w:rPr>
                <w:rFonts w:hint="eastAsia"/>
                <w:color w:val="auto"/>
                <w:sz w:val="21"/>
                <w:szCs w:val="21"/>
                <w:highlight w:val="none"/>
                <w:u w:val="single"/>
              </w:rPr>
              <w:t>保证项目成品风格统一并高质量完成，本项目内容不适宜拆分</w:t>
            </w:r>
            <w:r>
              <w:rPr>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33"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hint="eastAsia"/>
                <w:sz w:val="21"/>
                <w:szCs w:val="21"/>
                <w:highlight w:val="none"/>
              </w:rPr>
            </w:pPr>
            <w:r>
              <w:rPr>
                <w:rFonts w:hint="eastAsia"/>
                <w:sz w:val="21"/>
                <w:szCs w:val="21"/>
                <w:highlight w:val="none"/>
              </w:rPr>
              <w:t>1）中小企业声明函（若属于中小企业）</w:t>
            </w:r>
          </w:p>
          <w:p>
            <w:pPr>
              <w:adjustRightInd w:val="0"/>
              <w:snapToGrid w:val="0"/>
              <w:spacing w:line="288" w:lineRule="auto"/>
              <w:rPr>
                <w:rFonts w:hint="eastAsia"/>
                <w:sz w:val="21"/>
                <w:szCs w:val="21"/>
                <w:highlight w:val="none"/>
              </w:rPr>
            </w:pPr>
            <w:r>
              <w:rPr>
                <w:rFonts w:hint="eastAsia"/>
                <w:sz w:val="21"/>
                <w:szCs w:val="21"/>
                <w:highlight w:val="none"/>
              </w:rPr>
              <w:t>2）属于监狱企业的证明文件（若属于监狱企业）</w:t>
            </w:r>
          </w:p>
          <w:p>
            <w:pPr>
              <w:adjustRightInd w:val="0"/>
              <w:snapToGrid w:val="0"/>
              <w:spacing w:line="288" w:lineRule="auto"/>
              <w:rPr>
                <w:rFonts w:hint="eastAsia"/>
                <w:sz w:val="21"/>
                <w:szCs w:val="21"/>
                <w:highlight w:val="none"/>
              </w:rPr>
            </w:pPr>
            <w:r>
              <w:rPr>
                <w:rFonts w:hint="eastAsia"/>
                <w:sz w:val="21"/>
                <w:szCs w:val="21"/>
                <w:highlight w:val="none"/>
              </w:rPr>
              <w:t>3）残疾人福利性单位声明函（若属于残疾人福利性单位）</w:t>
            </w:r>
          </w:p>
          <w:p>
            <w:pPr>
              <w:adjustRightInd w:val="0"/>
              <w:snapToGrid w:val="0"/>
              <w:spacing w:line="288" w:lineRule="auto"/>
              <w:rPr>
                <w:rFonts w:cs="Times New Roman"/>
                <w:sz w:val="21"/>
                <w:szCs w:val="21"/>
                <w:highlight w:val="none"/>
              </w:rPr>
            </w:pPr>
            <w:r>
              <w:rPr>
                <w:rFonts w:hint="eastAsia"/>
                <w:sz w:val="21"/>
                <w:szCs w:val="21"/>
                <w:highlight w:val="none"/>
              </w:rPr>
              <w:t>4）联合协议、分包意向协议（如有）</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）收，电话：0571-87</w:t>
            </w:r>
            <w:r>
              <w:rPr>
                <w:rFonts w:hint="eastAsia"/>
                <w:b/>
                <w:bCs/>
                <w:sz w:val="21"/>
                <w:szCs w:val="21"/>
                <w:highlight w:val="none"/>
                <w:lang w:eastAsia="zh-CN"/>
              </w:rPr>
              <w:t>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浙江金融职业学院2024年金融管理学院微课、动画等项目</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浙江金融职业学院</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color w:val="auto"/>
          <w:sz w:val="21"/>
          <w:szCs w:val="21"/>
          <w:highlight w:val="none"/>
        </w:rPr>
      </w:pPr>
      <w:r>
        <w:rPr>
          <w:rFonts w:hint="eastAsia"/>
          <w:sz w:val="21"/>
          <w:szCs w:val="21"/>
        </w:rPr>
        <w:t>▲</w:t>
      </w:r>
      <w:r>
        <w:rPr>
          <w:sz w:val="21"/>
          <w:szCs w:val="21"/>
        </w:rPr>
        <w:t>1.供应商代表是法定代表人（单</w:t>
      </w:r>
      <w:r>
        <w:rPr>
          <w:color w:val="auto"/>
          <w:sz w:val="21"/>
          <w:szCs w:val="21"/>
          <w:highlight w:val="none"/>
        </w:rPr>
        <w:t>位负责人、自然人本人）的，须提供本人身份证明。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2024年01月</w:t>
      </w:r>
      <w:r>
        <w:rPr>
          <w:color w:val="auto"/>
          <w:sz w:val="21"/>
          <w:szCs w:val="21"/>
          <w:highlight w:val="none"/>
        </w:rPr>
        <w:t>（含）以后任意一月）；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olor w:val="auto"/>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5</w:t>
            </w:r>
          </w:p>
        </w:tc>
      </w:tr>
    </w:tbl>
    <w:p>
      <w:pPr>
        <w:adjustRightInd w:val="0"/>
        <w:snapToGrid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不足3000元按3000元收取。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pPr>
        <w:spacing w:line="288" w:lineRule="auto"/>
        <w:ind w:firstLine="420" w:firstLineChars="200"/>
        <w:rPr>
          <w:rFonts w:cs="Times New Roman"/>
          <w:color w:val="auto"/>
          <w:sz w:val="21"/>
          <w:szCs w:val="22"/>
          <w:highlight w:val="none"/>
        </w:rPr>
      </w:pPr>
      <w:bookmarkStart w:id="36" w:name="_Hlk104288918"/>
      <w:r>
        <w:rPr>
          <w:rFonts w:hint="eastAsia"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lang w:val="en-US" w:eastAsia="zh-CN"/>
        </w:rPr>
        <w:t>本项目以人工投入为主，</w:t>
      </w:r>
      <w:r>
        <w:rPr>
          <w:rFonts w:hint="eastAsia"/>
          <w:color w:val="auto"/>
          <w:sz w:val="21"/>
          <w:szCs w:val="21"/>
          <w:highlight w:val="none"/>
          <w:u w:val="single"/>
        </w:rPr>
        <w:t>保证项目成品风格统一并高质量完成，本项目内容不适宜拆分</w:t>
      </w:r>
      <w:r>
        <w:rPr>
          <w:color w:val="auto"/>
          <w:sz w:val="21"/>
          <w:szCs w:val="21"/>
          <w:highlight w:val="none"/>
          <w:u w:val="single"/>
        </w:rPr>
        <w:t xml:space="preserve"> 。</w:t>
      </w:r>
    </w:p>
    <w:p>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7" w:name="_Hlk92273406"/>
      <w:bookmarkStart w:id="38"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7"/>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pPr>
        <w:adjustRightInd w:val="0"/>
        <w:snapToGrid w:val="0"/>
        <w:spacing w:line="288" w:lineRule="auto"/>
        <w:outlineLvl w:val="9"/>
        <w:rPr>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w:t>
      </w:r>
      <w:r>
        <w:rPr>
          <w:rFonts w:cs="Times New Roman"/>
          <w:spacing w:val="-6"/>
          <w:sz w:val="21"/>
          <w:szCs w:val="21"/>
          <w:highlight w:val="none"/>
        </w:rPr>
        <w:t>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highlight w:val="none"/>
          <w:u w:val="single"/>
        </w:rPr>
        <w:t>符合《关于政府采购支持监狱企业发展有关问题的通知》（财库[2014]68号）规</w:t>
      </w:r>
      <w:r>
        <w:rPr>
          <w:rFonts w:cs="Times New Roman"/>
          <w:spacing w:val="-6"/>
          <w:sz w:val="21"/>
          <w:szCs w:val="21"/>
          <w:u w:val="single"/>
        </w:rPr>
        <w:t>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w:t>
      </w:r>
      <w:r>
        <w:rPr>
          <w:rFonts w:hint="eastAsia" w:cs="Times New Roman"/>
          <w:bCs/>
          <w:spacing w:val="-6"/>
          <w:sz w:val="21"/>
          <w:szCs w:val="21"/>
          <w:highlight w:val="none"/>
        </w:rPr>
        <w:t>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2" w:name="_Hlk96329193"/>
      <w:r>
        <w:rPr>
          <w:rFonts w:hint="eastAsia"/>
          <w:sz w:val="21"/>
          <w:szCs w:val="21"/>
          <w:highlight w:val="none"/>
        </w:rPr>
        <w:t>，供应商应写全称。</w:t>
      </w:r>
      <w:bookmarkEnd w:id="42"/>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）收，电话：0571-87</w:t>
      </w:r>
      <w:r>
        <w:rPr>
          <w:rFonts w:hint="eastAsia"/>
          <w:b/>
          <w:bCs/>
          <w:sz w:val="21"/>
          <w:szCs w:val="21"/>
          <w:highlight w:val="none"/>
          <w:lang w:eastAsia="zh-CN"/>
        </w:rPr>
        <w:t>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rPr>
        <w:t>（1）资格证明材料不全的，或者不</w:t>
      </w:r>
      <w:r>
        <w:rPr>
          <w:rFonts w:hint="eastAsia"/>
          <w:sz w:val="21"/>
          <w:szCs w:val="21"/>
          <w:highlight w:val="none"/>
        </w:rPr>
        <w:t>符合磋商文件要求；</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pPr>
        <w:adjustRightInd w:val="0"/>
        <w:snapToGrid w:val="0"/>
        <w:spacing w:line="288" w:lineRule="auto"/>
        <w:ind w:firstLine="420" w:firstLineChars="200"/>
        <w:rPr>
          <w:sz w:val="21"/>
          <w:szCs w:val="21"/>
          <w:highlight w:val="none"/>
        </w:rPr>
      </w:pPr>
      <w:bookmarkStart w:id="44" w:name="_Hlk97039841"/>
      <w:r>
        <w:rPr>
          <w:rFonts w:hint="eastAsia"/>
          <w:sz w:val="21"/>
          <w:szCs w:val="21"/>
          <w:highlight w:val="none"/>
        </w:rPr>
        <w:t>（3）资格文件未按要求签署、盖章。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4"/>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w:t>
      </w:r>
      <w:r>
        <w:rPr>
          <w:rFonts w:hint="eastAsia" w:cs="Times New Roman"/>
          <w:spacing w:val="-6"/>
          <w:sz w:val="21"/>
          <w:szCs w:val="21"/>
        </w:rPr>
        <w:t>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供应商应当按照磋商文件的变动</w:t>
      </w:r>
      <w:r>
        <w:rPr>
          <w:rFonts w:hint="eastAsia" w:cs="Arial"/>
          <w:color w:val="auto"/>
          <w:kern w:val="0"/>
          <w:sz w:val="21"/>
          <w:szCs w:val="21"/>
          <w:highlight w:val="none"/>
        </w:rPr>
        <w:t>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kern w:val="0"/>
          <w:sz w:val="21"/>
          <w:szCs w:val="21"/>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w:t>
      </w:r>
      <w:r>
        <w:rPr>
          <w:rFonts w:hint="eastAsia" w:cs="Arial"/>
          <w:kern w:val="0"/>
          <w:sz w:val="21"/>
          <w:szCs w:val="21"/>
        </w:rPr>
        <w:t>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kern w:val="0"/>
          <w:sz w:val="21"/>
          <w:szCs w:val="21"/>
        </w:rPr>
        <w:t>现场监督员如发现分值汇总计算错误、分项评分超出评分标准范围、客观评分不一致以及存在评分</w:t>
      </w:r>
      <w:r>
        <w:rPr>
          <w:rFonts w:hint="eastAsia" w:cs="Arial"/>
          <w:color w:val="auto"/>
          <w:kern w:val="0"/>
          <w:sz w:val="21"/>
          <w:szCs w:val="21"/>
          <w:highlight w:val="none"/>
        </w:rPr>
        <w:t>畸高、畸低情形的，应由相关人员当场改正或作出说明；拒不改正又不作说明的，由现场监督员如实记载后存入项目档案资料。</w:t>
      </w:r>
    </w:p>
    <w:bookmarkEnd w:id="45"/>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bookmarkStart w:id="46"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6"/>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7"/>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43"/>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743"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157"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743"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10</w:t>
            </w:r>
          </w:p>
        </w:tc>
        <w:tc>
          <w:tcPr>
            <w:tcW w:w="7157"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1</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w:t>
            </w:r>
            <w:r>
              <w:rPr>
                <w:rFonts w:hint="eastAsia"/>
                <w:b/>
                <w:bCs/>
                <w:color w:val="auto"/>
                <w:kern w:val="0"/>
                <w:sz w:val="21"/>
                <w:szCs w:val="21"/>
                <w:highlight w:val="none"/>
                <w:lang w:val="en-US" w:eastAsia="zh-CN"/>
              </w:rPr>
              <w:t>1</w:t>
            </w:r>
            <w:r>
              <w:rPr>
                <w:rFonts w:hint="eastAsia"/>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业绩</w:t>
            </w:r>
          </w:p>
        </w:tc>
        <w:tc>
          <w:tcPr>
            <w:tcW w:w="743"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1</w:t>
            </w:r>
          </w:p>
        </w:tc>
        <w:tc>
          <w:tcPr>
            <w:tcW w:w="7157"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供应商自202</w:t>
            </w:r>
            <w:r>
              <w:rPr>
                <w:rFonts w:hint="eastAsia"/>
                <w:color w:val="auto"/>
                <w:kern w:val="0"/>
                <w:sz w:val="21"/>
                <w:szCs w:val="21"/>
                <w:highlight w:val="none"/>
                <w:lang w:val="en-US" w:eastAsia="zh-CN"/>
              </w:rPr>
              <w:t>1</w:t>
            </w:r>
            <w:r>
              <w:rPr>
                <w:rFonts w:hint="eastAsia"/>
                <w:color w:val="auto"/>
                <w:kern w:val="0"/>
                <w:sz w:val="21"/>
                <w:szCs w:val="21"/>
                <w:highlight w:val="none"/>
              </w:rPr>
              <w:t>年1月1日以来（以合同签订时间为准）同类合同业绩（以提供的合同扫描件为准）：每提供1份合同业绩得0.5分，最高得1分。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技术分（8</w:t>
            </w:r>
            <w:r>
              <w:rPr>
                <w:rFonts w:hint="eastAsia"/>
                <w:b/>
                <w:bCs/>
                <w:color w:val="auto"/>
                <w:kern w:val="0"/>
                <w:sz w:val="21"/>
                <w:szCs w:val="21"/>
                <w:highlight w:val="none"/>
                <w:lang w:val="en-US" w:eastAsia="zh-CN"/>
              </w:rPr>
              <w:t>9</w:t>
            </w:r>
            <w:r>
              <w:rPr>
                <w:rFonts w:hint="eastAsia"/>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pacing w:val="-6"/>
                <w:sz w:val="21"/>
                <w:szCs w:val="21"/>
                <w:highlight w:val="none"/>
              </w:rPr>
            </w:pPr>
            <w:r>
              <w:rPr>
                <w:rFonts w:hint="eastAsia"/>
                <w:b/>
                <w:bCs/>
                <w:color w:val="auto"/>
                <w:sz w:val="21"/>
                <w:szCs w:val="21"/>
                <w:highlight w:val="none"/>
              </w:rPr>
              <w:t>产品响应程度</w:t>
            </w:r>
          </w:p>
        </w:tc>
        <w:tc>
          <w:tcPr>
            <w:tcW w:w="743" w:type="dxa"/>
            <w:vAlign w:val="center"/>
          </w:tcPr>
          <w:p>
            <w:pPr>
              <w:adjustRightInd w:val="0"/>
              <w:snapToGrid w:val="0"/>
              <w:spacing w:line="288" w:lineRule="auto"/>
              <w:jc w:val="center"/>
              <w:rPr>
                <w:rFonts w:hint="default" w:eastAsia="宋体" w:cs="Times New Roman"/>
                <w:b/>
                <w:bCs/>
                <w:color w:val="auto"/>
                <w:spacing w:val="-6"/>
                <w:sz w:val="21"/>
                <w:szCs w:val="21"/>
                <w:highlight w:val="none"/>
                <w:lang w:val="en-US" w:eastAsia="zh-CN"/>
              </w:rPr>
            </w:pPr>
            <w:r>
              <w:rPr>
                <w:rFonts w:hint="eastAsia"/>
                <w:b/>
                <w:bCs/>
                <w:color w:val="auto"/>
                <w:sz w:val="21"/>
                <w:szCs w:val="21"/>
                <w:highlight w:val="none"/>
                <w:lang w:val="en-US" w:eastAsia="zh-CN"/>
              </w:rPr>
              <w:t>20</w:t>
            </w:r>
          </w:p>
        </w:tc>
        <w:tc>
          <w:tcPr>
            <w:tcW w:w="7157"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不符合（负偏离）</w:t>
            </w:r>
            <w:r>
              <w:rPr>
                <w:rFonts w:hint="eastAsia"/>
                <w:color w:val="auto"/>
                <w:sz w:val="21"/>
                <w:szCs w:val="21"/>
                <w:highlight w:val="none"/>
                <w:lang w:val="en-US" w:eastAsia="zh-CN"/>
              </w:rPr>
              <w:t>服务</w:t>
            </w:r>
            <w:r>
              <w:rPr>
                <w:rFonts w:hint="eastAsia"/>
                <w:color w:val="auto"/>
                <w:sz w:val="21"/>
                <w:szCs w:val="21"/>
                <w:highlight w:val="none"/>
              </w:rPr>
              <w:t>要求中标注“▲”条款（不可偏离）的响应文件无效，满足或明显优于磋商文件明确的全部</w:t>
            </w:r>
            <w:r>
              <w:rPr>
                <w:rFonts w:hint="eastAsia"/>
                <w:color w:val="auto"/>
                <w:sz w:val="21"/>
                <w:szCs w:val="21"/>
                <w:highlight w:val="none"/>
                <w:lang w:val="en-US" w:eastAsia="zh-CN"/>
              </w:rPr>
              <w:t>服务</w:t>
            </w:r>
            <w:r>
              <w:rPr>
                <w:rFonts w:hint="eastAsia"/>
                <w:color w:val="auto"/>
                <w:sz w:val="21"/>
                <w:szCs w:val="21"/>
                <w:highlight w:val="none"/>
              </w:rPr>
              <w:t>条款要求的该项得满分；</w:t>
            </w:r>
          </w:p>
          <w:p>
            <w:pPr>
              <w:adjustRightInd w:val="0"/>
              <w:snapToGrid w:val="0"/>
              <w:spacing w:line="288" w:lineRule="auto"/>
              <w:rPr>
                <w:color w:val="auto"/>
                <w:sz w:val="21"/>
                <w:szCs w:val="21"/>
                <w:highlight w:val="none"/>
              </w:rPr>
            </w:pPr>
            <w:r>
              <w:rPr>
                <w:rFonts w:hint="eastAsia"/>
                <w:color w:val="auto"/>
                <w:sz w:val="21"/>
                <w:szCs w:val="21"/>
                <w:highlight w:val="none"/>
                <w:lang w:val="en-US" w:eastAsia="zh-CN"/>
              </w:rPr>
              <w:t>服务</w:t>
            </w:r>
            <w:r>
              <w:rPr>
                <w:rFonts w:hint="eastAsia"/>
                <w:color w:val="auto"/>
                <w:sz w:val="21"/>
                <w:szCs w:val="21"/>
                <w:highlight w:val="none"/>
              </w:rPr>
              <w:t>条款低于</w:t>
            </w:r>
            <w:r>
              <w:rPr>
                <w:rFonts w:hint="eastAsia"/>
                <w:color w:val="auto"/>
                <w:sz w:val="21"/>
                <w:szCs w:val="21"/>
                <w:highlight w:val="none"/>
                <w:lang w:val="en-US" w:eastAsia="zh-CN"/>
              </w:rPr>
              <w:t>服务</w:t>
            </w:r>
            <w:r>
              <w:rPr>
                <w:rFonts w:hint="eastAsia"/>
                <w:color w:val="auto"/>
                <w:sz w:val="21"/>
                <w:szCs w:val="21"/>
                <w:highlight w:val="none"/>
              </w:rPr>
              <w:t>要求（负偏离）的每项扣</w:t>
            </w:r>
            <w:r>
              <w:rPr>
                <w:rFonts w:hint="eastAsia"/>
                <w:color w:val="auto"/>
                <w:sz w:val="21"/>
                <w:szCs w:val="21"/>
                <w:highlight w:val="none"/>
                <w:lang w:val="en-US" w:eastAsia="zh-CN"/>
              </w:rPr>
              <w:t>2</w:t>
            </w:r>
            <w:r>
              <w:rPr>
                <w:rFonts w:hint="eastAsia"/>
                <w:color w:val="auto"/>
                <w:sz w:val="21"/>
                <w:szCs w:val="21"/>
                <w:highlight w:val="none"/>
              </w:rPr>
              <w:t>分；</w:t>
            </w:r>
          </w:p>
          <w:p>
            <w:pPr>
              <w:adjustRightInd w:val="0"/>
              <w:snapToGrid w:val="0"/>
              <w:spacing w:line="288" w:lineRule="auto"/>
              <w:rPr>
                <w:rFonts w:cs="Times New Roman"/>
                <w:color w:val="auto"/>
                <w:sz w:val="21"/>
                <w:szCs w:val="21"/>
                <w:highlight w:val="none"/>
              </w:rPr>
            </w:pPr>
            <w:r>
              <w:rPr>
                <w:rFonts w:hint="eastAsia"/>
                <w:color w:val="auto"/>
                <w:sz w:val="21"/>
                <w:szCs w:val="21"/>
                <w:highlight w:val="none"/>
              </w:rPr>
              <w:t>负偏离</w:t>
            </w:r>
            <w:r>
              <w:rPr>
                <w:rFonts w:hint="eastAsia"/>
                <w:color w:val="auto"/>
                <w:sz w:val="21"/>
                <w:szCs w:val="21"/>
                <w:highlight w:val="none"/>
                <w:lang w:val="en-US" w:eastAsia="zh-CN"/>
              </w:rPr>
              <w:t>10</w:t>
            </w:r>
            <w:r>
              <w:rPr>
                <w:rFonts w:hint="eastAsia"/>
                <w:color w:val="auto"/>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Merge w:val="restart"/>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摄制及制作方案</w:t>
            </w: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adjustRightInd w:val="0"/>
              <w:snapToGrid w:val="0"/>
              <w:spacing w:line="288" w:lineRule="auto"/>
              <w:rPr>
                <w:rFonts w:hint="default" w:eastAsia="宋体" w:cs="Times New Roman"/>
                <w:color w:val="auto"/>
                <w:sz w:val="21"/>
                <w:szCs w:val="21"/>
                <w:highlight w:val="none"/>
                <w:lang w:val="en-US" w:eastAsia="zh-CN"/>
              </w:rPr>
            </w:pPr>
            <w:r>
              <w:rPr>
                <w:rFonts w:hint="eastAsia" w:cs="Times New Roman"/>
                <w:color w:val="auto"/>
                <w:sz w:val="21"/>
                <w:szCs w:val="21"/>
                <w:highlight w:val="none"/>
              </w:rPr>
              <w:t>【主观分】根据</w:t>
            </w:r>
            <w:r>
              <w:rPr>
                <w:rFonts w:hint="eastAsia" w:cs="Times New Roman"/>
                <w:color w:val="auto"/>
                <w:sz w:val="21"/>
                <w:szCs w:val="21"/>
                <w:highlight w:val="none"/>
                <w:lang w:val="en-US" w:eastAsia="zh-CN"/>
              </w:rPr>
              <w:t>供应商</w:t>
            </w:r>
            <w:r>
              <w:rPr>
                <w:rFonts w:hint="eastAsia" w:cs="Times New Roman"/>
                <w:color w:val="auto"/>
                <w:sz w:val="21"/>
                <w:szCs w:val="21"/>
                <w:highlight w:val="none"/>
              </w:rPr>
              <w:t>拟定</w:t>
            </w:r>
            <w:r>
              <w:rPr>
                <w:rFonts w:hint="eastAsia" w:cs="Times New Roman"/>
                <w:color w:val="auto"/>
                <w:sz w:val="21"/>
                <w:szCs w:val="21"/>
                <w:highlight w:val="none"/>
                <w:lang w:val="en-US" w:eastAsia="zh-CN"/>
              </w:rPr>
              <w:t>拍摄</w:t>
            </w:r>
            <w:r>
              <w:rPr>
                <w:rFonts w:hint="eastAsia" w:cs="Times New Roman"/>
                <w:color w:val="auto"/>
                <w:sz w:val="21"/>
                <w:szCs w:val="21"/>
                <w:highlight w:val="none"/>
              </w:rPr>
              <w:t>整体方案的完整度详细情况。</w:t>
            </w:r>
            <w:r>
              <w:rPr>
                <w:rFonts w:hint="eastAsia" w:cs="Times New Roman"/>
                <w:color w:val="auto"/>
                <w:sz w:val="21"/>
                <w:szCs w:val="21"/>
                <w:highlight w:val="none"/>
                <w:lang w:val="en-US" w:eastAsia="zh-CN"/>
              </w:rPr>
              <w:t>包括拍摄流程、制作方案等，内容完整详细、流程清晰合理。（评分范围：5,4,3,2,1,0）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Merge w:val="continue"/>
            <w:vAlign w:val="center"/>
          </w:tcPr>
          <w:p>
            <w:pPr>
              <w:adjustRightInd w:val="0"/>
              <w:snapToGrid w:val="0"/>
              <w:spacing w:line="288" w:lineRule="auto"/>
              <w:jc w:val="center"/>
              <w:rPr>
                <w:b/>
                <w:bCs/>
                <w:color w:val="auto"/>
                <w:kern w:val="0"/>
                <w:sz w:val="21"/>
                <w:szCs w:val="21"/>
                <w:highlight w:val="none"/>
              </w:rPr>
            </w:pP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adjustRightInd w:val="0"/>
              <w:snapToGrid w:val="0"/>
              <w:spacing w:line="288" w:lineRule="auto"/>
              <w:rPr>
                <w:rFonts w:hint="default" w:eastAsia="宋体" w:cs="Times New Roman"/>
                <w:color w:val="auto"/>
                <w:sz w:val="21"/>
                <w:szCs w:val="21"/>
                <w:highlight w:val="none"/>
                <w:lang w:val="en-US" w:eastAsia="zh-CN"/>
              </w:rPr>
            </w:pPr>
            <w:r>
              <w:rPr>
                <w:rFonts w:hint="eastAsia" w:cs="Times New Roman"/>
                <w:color w:val="auto"/>
                <w:sz w:val="21"/>
                <w:szCs w:val="21"/>
                <w:highlight w:val="none"/>
              </w:rPr>
              <w:t>【主观分】拟投入拍摄以及后期制作的硬件设备情况。</w:t>
            </w:r>
            <w:r>
              <w:rPr>
                <w:rFonts w:hint="eastAsia" w:cs="Times New Roman"/>
                <w:color w:val="auto"/>
                <w:sz w:val="21"/>
                <w:szCs w:val="21"/>
                <w:highlight w:val="none"/>
                <w:lang w:val="en-US" w:eastAsia="zh-CN"/>
              </w:rPr>
              <w:t>要求设备拍摄清晰、经久耐用，后期制作设备完整齐全。（评分范围：5,4,3,2,1,0）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配合方案</w:t>
            </w: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b/>
                <w:bCs/>
                <w:color w:val="auto"/>
                <w:sz w:val="21"/>
                <w:szCs w:val="21"/>
                <w:highlight w:val="none"/>
              </w:rPr>
              <w:t>5</w:t>
            </w:r>
          </w:p>
        </w:tc>
        <w:tc>
          <w:tcPr>
            <w:tcW w:w="7157" w:type="dxa"/>
            <w:vAlign w:val="center"/>
          </w:tcPr>
          <w:p>
            <w:pPr>
              <w:adjustRightInd w:val="0"/>
              <w:snapToGrid w:val="0"/>
              <w:spacing w:line="288" w:lineRule="auto"/>
              <w:rPr>
                <w:rFonts w:hint="default" w:eastAsia="宋体"/>
                <w:bCs/>
                <w:color w:val="auto"/>
                <w:kern w:val="0"/>
                <w:sz w:val="21"/>
                <w:szCs w:val="21"/>
                <w:highlight w:val="none"/>
                <w:lang w:val="en-US" w:eastAsia="zh-CN"/>
              </w:rPr>
            </w:pPr>
            <w:r>
              <w:rPr>
                <w:rFonts w:hint="eastAsia"/>
                <w:bCs/>
                <w:color w:val="auto"/>
                <w:kern w:val="0"/>
                <w:sz w:val="21"/>
                <w:szCs w:val="21"/>
                <w:highlight w:val="none"/>
              </w:rPr>
              <w:t>【主观分】根据供应商针对本项目与采购</w:t>
            </w:r>
            <w:r>
              <w:rPr>
                <w:rFonts w:hint="eastAsia"/>
                <w:bCs/>
                <w:color w:val="auto"/>
                <w:kern w:val="0"/>
                <w:sz w:val="21"/>
                <w:szCs w:val="21"/>
                <w:highlight w:val="none"/>
                <w:lang w:val="en-US" w:eastAsia="zh-CN"/>
              </w:rPr>
              <w:t>人</w:t>
            </w:r>
            <w:r>
              <w:rPr>
                <w:rFonts w:hint="eastAsia"/>
                <w:bCs/>
                <w:color w:val="auto"/>
                <w:kern w:val="0"/>
                <w:sz w:val="21"/>
                <w:szCs w:val="21"/>
                <w:highlight w:val="none"/>
              </w:rPr>
              <w:t>配合方案的完整性、科学合理性、有效性情况。</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Merge w:val="restart"/>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服务要求</w:t>
            </w: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【主观分】工作流程及组织管理情况。</w:t>
            </w:r>
            <w:r>
              <w:rPr>
                <w:rFonts w:hint="eastAsia" w:cs="Times New Roman"/>
                <w:color w:val="auto"/>
                <w:sz w:val="21"/>
                <w:szCs w:val="21"/>
                <w:highlight w:val="none"/>
                <w:lang w:val="en-US" w:eastAsia="zh-CN"/>
              </w:rPr>
              <w:t>要求提供完整详细的工作方案，各事项工作流程完整清晰、组织管理方案完整详细，能有效提高工作效率。（评分范围：5,4,3,2,1,0）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Merge w:val="continue"/>
            <w:vAlign w:val="center"/>
          </w:tcPr>
          <w:p>
            <w:pPr>
              <w:adjustRightInd w:val="0"/>
              <w:snapToGrid w:val="0"/>
              <w:spacing w:line="288" w:lineRule="auto"/>
              <w:jc w:val="center"/>
              <w:rPr>
                <w:b/>
                <w:bCs/>
                <w:color w:val="auto"/>
                <w:kern w:val="0"/>
                <w:sz w:val="21"/>
                <w:szCs w:val="21"/>
                <w:highlight w:val="none"/>
              </w:rPr>
            </w:pP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adjustRightInd w:val="0"/>
              <w:snapToGrid w:val="0"/>
              <w:spacing w:line="288" w:lineRule="auto"/>
              <w:rPr>
                <w:rFonts w:hint="default" w:eastAsia="宋体" w:cs="Times New Roman"/>
                <w:color w:val="auto"/>
                <w:sz w:val="21"/>
                <w:szCs w:val="21"/>
                <w:highlight w:val="none"/>
                <w:lang w:val="en-US" w:eastAsia="zh-CN"/>
              </w:rPr>
            </w:pPr>
            <w:r>
              <w:rPr>
                <w:rFonts w:hint="eastAsia" w:cs="Times New Roman"/>
                <w:color w:val="auto"/>
                <w:sz w:val="21"/>
                <w:szCs w:val="21"/>
                <w:highlight w:val="none"/>
              </w:rPr>
              <w:t>【主观分】前期拍摄、后期制作服务方案及质量保障情况。</w:t>
            </w:r>
            <w:r>
              <w:rPr>
                <w:rFonts w:hint="eastAsia" w:cs="Times New Roman"/>
                <w:color w:val="auto"/>
                <w:sz w:val="21"/>
                <w:szCs w:val="21"/>
                <w:highlight w:val="none"/>
                <w:lang w:val="en-US" w:eastAsia="zh-CN"/>
              </w:rPr>
              <w:t>要求服务方案详细完整，有效保障拍摄及后期制作质量。（评分范围：5,4,3,2,1,0）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Merge w:val="restart"/>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项目实施</w:t>
            </w: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rPr>
                <w:rFonts w:cs="Times New Roman"/>
                <w:color w:val="auto"/>
                <w:sz w:val="21"/>
                <w:szCs w:val="21"/>
                <w:highlight w:val="none"/>
              </w:rPr>
            </w:pPr>
            <w:r>
              <w:rPr>
                <w:rFonts w:hint="eastAsia"/>
                <w:color w:val="auto"/>
                <w:sz w:val="21"/>
                <w:szCs w:val="21"/>
                <w:highlight w:val="none"/>
              </w:rPr>
              <w:t>【主观分】项目进度安排的合理性与可行性。</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Merge w:val="continue"/>
            <w:vAlign w:val="center"/>
          </w:tcPr>
          <w:p>
            <w:pPr>
              <w:adjustRightInd w:val="0"/>
              <w:snapToGrid w:val="0"/>
              <w:spacing w:line="288" w:lineRule="auto"/>
              <w:jc w:val="center"/>
              <w:rPr>
                <w:b/>
                <w:bCs/>
                <w:color w:val="auto"/>
                <w:kern w:val="0"/>
                <w:sz w:val="21"/>
                <w:szCs w:val="21"/>
                <w:highlight w:val="none"/>
              </w:rPr>
            </w:pP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rPr>
                <w:rFonts w:cs="Times New Roman"/>
                <w:color w:val="auto"/>
                <w:sz w:val="21"/>
                <w:szCs w:val="21"/>
                <w:highlight w:val="none"/>
              </w:rPr>
            </w:pPr>
            <w:r>
              <w:rPr>
                <w:rFonts w:hint="eastAsia"/>
                <w:color w:val="auto"/>
                <w:sz w:val="21"/>
                <w:szCs w:val="21"/>
                <w:highlight w:val="none"/>
              </w:rPr>
              <w:t>【主观分】及时根据采购人要求进行灵活调整及迅速反应并修改完善作品的承诺及方案。</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拟投入的人力资源</w:t>
            </w:r>
          </w:p>
        </w:tc>
        <w:tc>
          <w:tcPr>
            <w:tcW w:w="743" w:type="dxa"/>
            <w:vAlign w:val="center"/>
          </w:tcPr>
          <w:p>
            <w:pPr>
              <w:adjustRightInd w:val="0"/>
              <w:snapToGrid w:val="0"/>
              <w:spacing w:line="288" w:lineRule="auto"/>
              <w:jc w:val="center"/>
              <w:rPr>
                <w:rFonts w:hint="eastAsia" w:eastAsia="宋体" w:cs="Times New Roman"/>
                <w:b/>
                <w:bCs/>
                <w:color w:val="auto"/>
                <w:sz w:val="21"/>
                <w:szCs w:val="21"/>
                <w:highlight w:val="none"/>
                <w:lang w:eastAsia="zh-CN"/>
              </w:rPr>
            </w:pPr>
            <w:r>
              <w:rPr>
                <w:rFonts w:hint="eastAsia" w:cs="Times New Roman"/>
                <w:b/>
                <w:bCs/>
                <w:color w:val="auto"/>
                <w:sz w:val="21"/>
                <w:szCs w:val="21"/>
                <w:highlight w:val="none"/>
                <w:lang w:val="en-US" w:eastAsia="zh-CN"/>
              </w:rPr>
              <w:t>5</w:t>
            </w:r>
          </w:p>
        </w:tc>
        <w:tc>
          <w:tcPr>
            <w:tcW w:w="7157"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【主观分】根据供应商组建的项目团队人员配备情况。要求项目团队人员配备合理、工作经验丰富，专业性强</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版权解决方案</w:t>
            </w:r>
          </w:p>
        </w:tc>
        <w:tc>
          <w:tcPr>
            <w:tcW w:w="743" w:type="dxa"/>
            <w:vAlign w:val="center"/>
          </w:tcPr>
          <w:p>
            <w:pPr>
              <w:adjustRightInd w:val="0"/>
              <w:snapToGrid w:val="0"/>
              <w:spacing w:line="288" w:lineRule="auto"/>
              <w:jc w:val="center"/>
              <w:rPr>
                <w:rFonts w:hint="eastAsia" w:eastAsia="宋体" w:cs="Times New Roman"/>
                <w:b/>
                <w:bCs/>
                <w:color w:val="auto"/>
                <w:sz w:val="21"/>
                <w:szCs w:val="21"/>
                <w:highlight w:val="none"/>
                <w:lang w:eastAsia="zh-CN"/>
              </w:rPr>
            </w:pPr>
            <w:r>
              <w:rPr>
                <w:rFonts w:hint="eastAsia" w:cs="Times New Roman"/>
                <w:b/>
                <w:bCs/>
                <w:color w:val="auto"/>
                <w:sz w:val="21"/>
                <w:szCs w:val="21"/>
                <w:highlight w:val="none"/>
                <w:lang w:val="en-US" w:eastAsia="zh-CN"/>
              </w:rPr>
              <w:t>5</w:t>
            </w:r>
          </w:p>
        </w:tc>
        <w:tc>
          <w:tcPr>
            <w:tcW w:w="7157"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【主观分】供应商须保证课程制作全过程中无版权问题，提供承诺及解决方案</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要求版权问题了解透彻，提出的解决方案具备针对性与可行性</w:t>
            </w:r>
            <w:r>
              <w:rPr>
                <w:rFonts w:hint="eastAsia" w:cs="Times New Roman"/>
                <w:color w:val="auto"/>
                <w:sz w:val="21"/>
                <w:szCs w:val="21"/>
                <w:highlight w:val="none"/>
              </w:rPr>
              <w:t>。</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培训计划</w:t>
            </w: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【主观分】能够在课程拍摄期间为授课老师提供课程拍摄技巧方面的培训，且能够提供课程制作技巧相关线上课程给授课老师进行培训等方案。</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服务响应效率</w:t>
            </w: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adjustRightInd w:val="0"/>
              <w:snapToGrid w:val="0"/>
              <w:spacing w:line="288" w:lineRule="auto"/>
              <w:rPr>
                <w:rFonts w:hint="default" w:eastAsia="宋体" w:cs="Times New Roman"/>
                <w:color w:val="auto"/>
                <w:sz w:val="21"/>
                <w:szCs w:val="21"/>
                <w:highlight w:val="none"/>
                <w:lang w:val="en-US" w:eastAsia="zh-CN"/>
              </w:rPr>
            </w:pPr>
            <w:r>
              <w:rPr>
                <w:rFonts w:hint="eastAsia" w:cs="Times New Roman"/>
                <w:color w:val="auto"/>
                <w:sz w:val="21"/>
                <w:szCs w:val="21"/>
                <w:highlight w:val="none"/>
              </w:rPr>
              <w:t>【主观分】服务响应效率情况，能够及时响应采购人的上门服务的要求。</w:t>
            </w:r>
            <w:r>
              <w:rPr>
                <w:rFonts w:hint="eastAsia" w:cs="Times New Roman"/>
                <w:color w:val="auto"/>
                <w:sz w:val="21"/>
                <w:szCs w:val="21"/>
                <w:highlight w:val="none"/>
                <w:lang w:val="en-US" w:eastAsia="zh-CN"/>
              </w:rPr>
              <w:t>要求提供响应方式，包括在线联系反应时效及线下上门服务方案。（评分范围：5,4,3,2,1,0）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售后服务</w:t>
            </w:r>
          </w:p>
        </w:tc>
        <w:tc>
          <w:tcPr>
            <w:tcW w:w="743" w:type="dxa"/>
            <w:vAlign w:val="center"/>
          </w:tcPr>
          <w:p>
            <w:pPr>
              <w:adjustRightInd w:val="0"/>
              <w:snapToGrid w:val="0"/>
              <w:spacing w:line="288" w:lineRule="auto"/>
              <w:jc w:val="center"/>
              <w:rPr>
                <w:rFonts w:hint="eastAsia" w:eastAsia="宋体" w:cs="Times New Roman"/>
                <w:b/>
                <w:bCs/>
                <w:color w:val="auto"/>
                <w:sz w:val="21"/>
                <w:szCs w:val="21"/>
                <w:highlight w:val="none"/>
                <w:lang w:eastAsia="zh-CN"/>
              </w:rPr>
            </w:pPr>
            <w:r>
              <w:rPr>
                <w:rFonts w:hint="eastAsia" w:cs="Times New Roman"/>
                <w:b/>
                <w:bCs/>
                <w:color w:val="auto"/>
                <w:sz w:val="21"/>
                <w:szCs w:val="21"/>
                <w:highlight w:val="none"/>
                <w:lang w:val="en-US" w:eastAsia="zh-CN"/>
              </w:rPr>
              <w:t>5</w:t>
            </w:r>
          </w:p>
        </w:tc>
        <w:tc>
          <w:tcPr>
            <w:tcW w:w="7157"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【主观分】供应商针对本项目的售后服务方案、售后服务承诺的可行性及服务承诺落实的保障措施。</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应急预案</w:t>
            </w:r>
          </w:p>
        </w:tc>
        <w:tc>
          <w:tcPr>
            <w:tcW w:w="743" w:type="dxa"/>
            <w:vAlign w:val="center"/>
          </w:tcPr>
          <w:p>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4</w:t>
            </w:r>
          </w:p>
        </w:tc>
        <w:tc>
          <w:tcPr>
            <w:tcW w:w="7157" w:type="dxa"/>
            <w:vAlign w:val="center"/>
          </w:tcPr>
          <w:p>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cs="Times New Roman"/>
                <w:color w:val="auto"/>
                <w:sz w:val="21"/>
                <w:szCs w:val="21"/>
                <w:highlight w:val="none"/>
              </w:rPr>
              <w:t>【主观分】</w:t>
            </w:r>
            <w:r>
              <w:rPr>
                <w:rFonts w:hint="eastAsia" w:cs="Times New Roman"/>
                <w:color w:val="auto"/>
                <w:sz w:val="21"/>
                <w:szCs w:val="21"/>
                <w:highlight w:val="none"/>
                <w:lang w:val="en-US" w:eastAsia="zh-CN"/>
              </w:rPr>
              <w:t>供应商针对本项目实施过程可能存在的突发事件进行罗列，提供解决措施，要求应急预案贴合实际、解决措施具备针对性且合理可靠</w:t>
            </w:r>
            <w:r>
              <w:rPr>
                <w:rFonts w:hint="eastAsia" w:cs="Times New Roman"/>
                <w:color w:val="auto"/>
                <w:sz w:val="21"/>
                <w:szCs w:val="21"/>
                <w:highlight w:val="none"/>
              </w:rPr>
              <w:t>。</w:t>
            </w:r>
            <w:r>
              <w:rPr>
                <w:rFonts w:hint="eastAsia" w:cs="Times New Roman"/>
                <w:color w:val="auto"/>
                <w:sz w:val="21"/>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98"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lang w:val="en-US" w:eastAsia="zh-CN"/>
              </w:rPr>
              <w:t>样片</w:t>
            </w:r>
            <w:r>
              <w:rPr>
                <w:rFonts w:hint="eastAsia" w:cs="Times New Roman"/>
                <w:b/>
                <w:bCs/>
                <w:color w:val="auto"/>
                <w:sz w:val="21"/>
                <w:szCs w:val="21"/>
                <w:highlight w:val="none"/>
              </w:rPr>
              <w:t>演示</w:t>
            </w:r>
          </w:p>
        </w:tc>
        <w:tc>
          <w:tcPr>
            <w:tcW w:w="743"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5</w:t>
            </w:r>
          </w:p>
        </w:tc>
        <w:tc>
          <w:tcPr>
            <w:tcW w:w="7157" w:type="dxa"/>
            <w:vAlign w:val="center"/>
          </w:tcPr>
          <w:p>
            <w:pPr>
              <w:adjustRightInd w:val="0"/>
              <w:snapToGrid w:val="0"/>
              <w:spacing w:line="288" w:lineRule="auto"/>
              <w:rPr>
                <w:rFonts w:hint="default" w:cs="Times New Roman"/>
                <w:color w:val="auto"/>
                <w:sz w:val="21"/>
                <w:szCs w:val="21"/>
                <w:highlight w:val="none"/>
                <w:lang w:val="en-US"/>
              </w:rPr>
            </w:pPr>
            <w:r>
              <w:rPr>
                <w:rFonts w:hint="eastAsia"/>
                <w:bCs/>
                <w:color w:val="auto"/>
                <w:spacing w:val="-6"/>
                <w:sz w:val="21"/>
                <w:szCs w:val="21"/>
                <w:highlight w:val="none"/>
              </w:rPr>
              <w:t>【主观分】根据供应商提供的以往同类微课视频拍摄项目内容</w:t>
            </w:r>
            <w:r>
              <w:rPr>
                <w:rFonts w:hint="eastAsia"/>
                <w:bCs/>
                <w:color w:val="auto"/>
                <w:spacing w:val="-6"/>
                <w:sz w:val="21"/>
                <w:szCs w:val="21"/>
                <w:highlight w:val="none"/>
                <w:lang w:val="en-US" w:eastAsia="zh-CN"/>
              </w:rPr>
              <w:t>的整体质量、制作水平情况。视频整体制作水平优秀，充分体现课程特色和课程元素，传播力及感染力强。</w:t>
            </w:r>
            <w:r>
              <w:rPr>
                <w:rFonts w:hint="eastAsia" w:cs="Times New Roman"/>
                <w:color w:val="auto"/>
                <w:sz w:val="21"/>
                <w:szCs w:val="21"/>
                <w:highlight w:val="none"/>
                <w:lang w:val="en-US" w:eastAsia="zh-CN"/>
              </w:rPr>
              <w:t>（评分范围：5,4,3,2,1,0）</w:t>
            </w:r>
          </w:p>
        </w:tc>
      </w:tr>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lang w:eastAsia="zh-CN"/>
        </w:rPr>
        <w:t>浙江金融职业学院</w:t>
      </w:r>
      <w:r>
        <w:rPr>
          <w:rFonts w:hint="eastAsia"/>
          <w:b/>
          <w:spacing w:val="-6"/>
          <w:sz w:val="21"/>
          <w:szCs w:val="21"/>
        </w:rPr>
        <w:t xml:space="preserve"> 政府采购合同</w:t>
      </w:r>
    </w:p>
    <w:p>
      <w:pPr>
        <w:adjustRightInd w:val="0"/>
        <w:snapToGrid w:val="0"/>
        <w:spacing w:line="288" w:lineRule="auto"/>
        <w:rPr>
          <w:sz w:val="21"/>
          <w:szCs w:val="21"/>
        </w:rPr>
      </w:pP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2024年金融管理学院微课、动画等项目</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QSZB-Z(F)-B24169(CS)</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采购计划文号：[2024]26717号</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浙江金融职业学院</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浙江金融职业学院</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2024年金融管理学院微课、动画等项目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QSZB-Z(F)-B24169(CS)</w:t>
      </w:r>
      <w:r>
        <w:rPr>
          <w:rFonts w:hint="eastAsia"/>
          <w:spacing w:val="-6"/>
          <w:sz w:val="21"/>
          <w:szCs w:val="21"/>
          <w:u w:val="single"/>
        </w:rPr>
        <w:t>）</w:t>
      </w:r>
      <w:r>
        <w:rPr>
          <w:rFonts w:hint="eastAsia"/>
          <w:spacing w:val="-6"/>
          <w:sz w:val="21"/>
          <w:szCs w:val="21"/>
        </w:rPr>
        <w:t>的成交供应商。根据《中华人民共和国民法典》规定，签署本合同。</w:t>
      </w:r>
    </w:p>
    <w:p>
      <w:pPr>
        <w:adjustRightInd w:val="0"/>
        <w:snapToGrid w:val="0"/>
        <w:spacing w:line="288" w:lineRule="auto"/>
        <w:rPr>
          <w:b/>
          <w:spacing w:val="-6"/>
          <w:sz w:val="21"/>
          <w:szCs w:val="21"/>
        </w:rPr>
      </w:pPr>
    </w:p>
    <w:p>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6"/>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pPr>
              <w:adjustRightInd w:val="0"/>
              <w:snapToGrid w:val="0"/>
              <w:spacing w:line="288" w:lineRule="auto"/>
              <w:jc w:val="center"/>
              <w:rPr>
                <w:rFonts w:hint="default" w:eastAsia="宋体"/>
                <w:spacing w:val="-6"/>
                <w:sz w:val="21"/>
                <w:szCs w:val="21"/>
                <w:lang w:val="en-US" w:eastAsia="zh-CN"/>
              </w:rPr>
            </w:pPr>
            <w:r>
              <w:rPr>
                <w:rFonts w:hint="eastAsia"/>
                <w:spacing w:val="-6"/>
                <w:sz w:val="21"/>
                <w:szCs w:val="21"/>
                <w:lang w:val="en-US" w:eastAsia="zh-CN"/>
              </w:rPr>
              <w:t>服务内容</w:t>
            </w:r>
          </w:p>
        </w:tc>
        <w:tc>
          <w:tcPr>
            <w:tcW w:w="709" w:type="dxa"/>
            <w:vAlign w:val="center"/>
          </w:tcPr>
          <w:p>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pPr>
              <w:adjustRightInd w:val="0"/>
              <w:snapToGrid w:val="0"/>
              <w:spacing w:line="288" w:lineRule="auto"/>
              <w:jc w:val="center"/>
              <w:rPr>
                <w:spacing w:val="-6"/>
                <w:sz w:val="21"/>
                <w:szCs w:val="21"/>
              </w:rPr>
            </w:pPr>
            <w:r>
              <w:rPr>
                <w:rFonts w:hint="eastAsia"/>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pPr>
              <w:adjustRightInd w:val="0"/>
              <w:snapToGrid w:val="0"/>
              <w:spacing w:line="288" w:lineRule="auto"/>
              <w:ind w:firstLine="396" w:firstLineChars="200"/>
              <w:jc w:val="center"/>
              <w:rPr>
                <w:spacing w:val="-6"/>
                <w:sz w:val="21"/>
                <w:szCs w:val="21"/>
              </w:rPr>
            </w:pPr>
          </w:p>
        </w:tc>
        <w:tc>
          <w:tcPr>
            <w:tcW w:w="2532" w:type="dxa"/>
            <w:vAlign w:val="center"/>
          </w:tcPr>
          <w:p>
            <w:pPr>
              <w:adjustRightInd w:val="0"/>
              <w:snapToGrid w:val="0"/>
              <w:spacing w:line="288" w:lineRule="auto"/>
              <w:ind w:firstLine="396" w:firstLineChars="200"/>
              <w:jc w:val="center"/>
              <w:rPr>
                <w:spacing w:val="-6"/>
                <w:sz w:val="21"/>
                <w:szCs w:val="21"/>
              </w:rPr>
            </w:pPr>
          </w:p>
        </w:tc>
        <w:tc>
          <w:tcPr>
            <w:tcW w:w="709" w:type="dxa"/>
            <w:vAlign w:val="center"/>
          </w:tcPr>
          <w:p>
            <w:pPr>
              <w:adjustRightInd w:val="0"/>
              <w:snapToGrid w:val="0"/>
              <w:spacing w:line="288" w:lineRule="auto"/>
              <w:ind w:firstLine="396" w:firstLineChars="200"/>
              <w:jc w:val="center"/>
              <w:rPr>
                <w:spacing w:val="-6"/>
                <w:sz w:val="21"/>
                <w:szCs w:val="21"/>
              </w:rPr>
            </w:pPr>
          </w:p>
        </w:tc>
        <w:tc>
          <w:tcPr>
            <w:tcW w:w="708" w:type="dxa"/>
            <w:vAlign w:val="center"/>
          </w:tcPr>
          <w:p>
            <w:pPr>
              <w:adjustRightInd w:val="0"/>
              <w:snapToGrid w:val="0"/>
              <w:spacing w:line="288" w:lineRule="auto"/>
              <w:ind w:firstLine="396" w:firstLineChars="200"/>
              <w:jc w:val="center"/>
              <w:rPr>
                <w:spacing w:val="-6"/>
                <w:sz w:val="21"/>
                <w:szCs w:val="21"/>
              </w:rPr>
            </w:pPr>
          </w:p>
        </w:tc>
        <w:tc>
          <w:tcPr>
            <w:tcW w:w="1418" w:type="dxa"/>
            <w:vAlign w:val="center"/>
          </w:tcPr>
          <w:p>
            <w:pPr>
              <w:adjustRightInd w:val="0"/>
              <w:snapToGrid w:val="0"/>
              <w:spacing w:line="288" w:lineRule="auto"/>
              <w:ind w:firstLine="396" w:firstLineChars="200"/>
              <w:jc w:val="center"/>
              <w:rPr>
                <w:spacing w:val="-6"/>
                <w:sz w:val="21"/>
                <w:szCs w:val="21"/>
              </w:rPr>
            </w:pPr>
          </w:p>
        </w:tc>
        <w:tc>
          <w:tcPr>
            <w:tcW w:w="1300" w:type="dxa"/>
            <w:vAlign w:val="center"/>
          </w:tcPr>
          <w:p>
            <w:pPr>
              <w:adjustRightInd w:val="0"/>
              <w:snapToGrid w:val="0"/>
              <w:spacing w:line="288" w:lineRule="auto"/>
              <w:ind w:firstLine="396" w:firstLineChars="200"/>
              <w:jc w:val="center"/>
              <w:rPr>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rPr>
            </w:pPr>
            <w:r>
              <w:rPr>
                <w:rFonts w:hint="eastAsia"/>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lang w:val="zh-CN"/>
              </w:rPr>
            </w:pPr>
          </w:p>
          <w:p>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jc w:val="left"/>
              <w:rPr>
                <w:spacing w:val="-6"/>
                <w:sz w:val="21"/>
                <w:szCs w:val="21"/>
              </w:rPr>
            </w:pPr>
            <w:r>
              <w:rPr>
                <w:rFonts w:hint="eastAsia"/>
                <w:spacing w:val="-6"/>
                <w:sz w:val="21"/>
                <w:szCs w:val="21"/>
              </w:rPr>
              <w:t>注：以上合同总价包含</w:t>
            </w:r>
            <w:r>
              <w:rPr>
                <w:rFonts w:cs="Times New Roman"/>
                <w:bCs/>
                <w:spacing w:val="-6"/>
                <w:sz w:val="21"/>
                <w:szCs w:val="21"/>
              </w:rPr>
              <w:t>有关本项目实施所涉及的一切费用</w:t>
            </w:r>
            <w:r>
              <w:rPr>
                <w:rFonts w:hint="eastAsia"/>
                <w:spacing w:val="-6"/>
                <w:sz w:val="21"/>
                <w:szCs w:val="21"/>
              </w:rPr>
              <w:t>。</w:t>
            </w:r>
          </w:p>
        </w:tc>
      </w:tr>
    </w:tbl>
    <w:p>
      <w:pPr>
        <w:adjustRightInd w:val="0"/>
        <w:snapToGrid w:val="0"/>
        <w:spacing w:line="288" w:lineRule="auto"/>
        <w:ind w:firstLine="396" w:firstLineChars="200"/>
        <w:rPr>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第二条：履约保证金和付款方式</w:t>
      </w:r>
    </w:p>
    <w:p>
      <w:pPr>
        <w:adjustRightInd w:val="0"/>
        <w:snapToGrid w:val="0"/>
        <w:spacing w:line="288" w:lineRule="auto"/>
        <w:rPr>
          <w:rFonts w:hint="eastAsia"/>
          <w:spacing w:val="-6"/>
          <w:kern w:val="0"/>
          <w:sz w:val="21"/>
          <w:szCs w:val="21"/>
          <w:lang w:eastAsia="zh-CN"/>
        </w:rPr>
      </w:pPr>
      <w:r>
        <w:rPr>
          <w:rFonts w:hint="eastAsia"/>
          <w:spacing w:val="-6"/>
          <w:kern w:val="0"/>
          <w:sz w:val="21"/>
          <w:szCs w:val="21"/>
          <w:lang w:val="en-US" w:eastAsia="zh-CN"/>
        </w:rPr>
        <w:t>1.</w:t>
      </w:r>
      <w:r>
        <w:rPr>
          <w:rFonts w:hint="eastAsia"/>
          <w:spacing w:val="-6"/>
          <w:kern w:val="0"/>
          <w:sz w:val="21"/>
          <w:szCs w:val="21"/>
        </w:rPr>
        <w:t>履约保证金</w:t>
      </w:r>
      <w:r>
        <w:rPr>
          <w:rFonts w:hint="eastAsia"/>
          <w:spacing w:val="-6"/>
          <w:kern w:val="0"/>
          <w:sz w:val="21"/>
          <w:szCs w:val="21"/>
          <w:lang w:eastAsia="zh-CN"/>
        </w:rPr>
        <w:t>：</w:t>
      </w:r>
    </w:p>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lang w:eastAsia="zh-CN"/>
        </w:rPr>
        <w:t>（</w:t>
      </w:r>
      <w:r>
        <w:rPr>
          <w:rFonts w:hint="eastAsia"/>
          <w:spacing w:val="-6"/>
          <w:kern w:val="0"/>
          <w:sz w:val="21"/>
          <w:szCs w:val="21"/>
          <w:lang w:val="en-US" w:eastAsia="zh-CN"/>
        </w:rPr>
        <w:t>1</w:t>
      </w:r>
      <w:r>
        <w:rPr>
          <w:rFonts w:hint="eastAsia"/>
          <w:spacing w:val="-6"/>
          <w:kern w:val="0"/>
          <w:sz w:val="21"/>
          <w:szCs w:val="21"/>
          <w:lang w:eastAsia="zh-CN"/>
        </w:rPr>
        <w:t>）</w:t>
      </w:r>
      <w:r>
        <w:rPr>
          <w:rFonts w:hint="eastAsia"/>
          <w:spacing w:val="-6"/>
          <w:kern w:val="0"/>
          <w:sz w:val="21"/>
          <w:szCs w:val="21"/>
        </w:rPr>
        <w:t>合同签订后一周内，</w:t>
      </w:r>
      <w:r>
        <w:rPr>
          <w:rFonts w:hint="eastAsia"/>
          <w:spacing w:val="-6"/>
          <w:kern w:val="0"/>
          <w:sz w:val="21"/>
          <w:szCs w:val="21"/>
          <w:lang w:val="en-US" w:eastAsia="zh-CN"/>
        </w:rPr>
        <w:t>乙方</w:t>
      </w:r>
      <w:r>
        <w:rPr>
          <w:rFonts w:hint="eastAsia"/>
          <w:spacing w:val="-6"/>
          <w:kern w:val="0"/>
          <w:sz w:val="21"/>
          <w:szCs w:val="21"/>
        </w:rPr>
        <w:t>向</w:t>
      </w:r>
      <w:r>
        <w:rPr>
          <w:rFonts w:hint="eastAsia"/>
          <w:spacing w:val="-6"/>
          <w:kern w:val="0"/>
          <w:sz w:val="21"/>
          <w:szCs w:val="21"/>
          <w:lang w:val="en-US" w:eastAsia="zh-CN"/>
        </w:rPr>
        <w:t>甲方</w:t>
      </w:r>
      <w:r>
        <w:rPr>
          <w:rFonts w:hint="eastAsia"/>
          <w:spacing w:val="-6"/>
          <w:kern w:val="0"/>
          <w:sz w:val="21"/>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lang w:eastAsia="zh-CN"/>
        </w:rPr>
        <w:t>（</w:t>
      </w:r>
      <w:r>
        <w:rPr>
          <w:rFonts w:hint="eastAsia"/>
          <w:spacing w:val="-6"/>
          <w:kern w:val="0"/>
          <w:sz w:val="21"/>
          <w:szCs w:val="21"/>
          <w:lang w:val="en-US" w:eastAsia="zh-CN"/>
        </w:rPr>
        <w:t>2</w:t>
      </w:r>
      <w:r>
        <w:rPr>
          <w:rFonts w:hint="eastAsia"/>
          <w:spacing w:val="-6"/>
          <w:kern w:val="0"/>
          <w:sz w:val="21"/>
          <w:szCs w:val="21"/>
          <w:lang w:eastAsia="zh-CN"/>
        </w:rPr>
        <w:t>）</w:t>
      </w:r>
      <w:r>
        <w:rPr>
          <w:rFonts w:hint="eastAsia"/>
          <w:spacing w:val="-6"/>
          <w:kern w:val="0"/>
          <w:sz w:val="21"/>
          <w:szCs w:val="21"/>
        </w:rPr>
        <w:t>提交方式：支票、汇票、本票或金融机构、担保机构出具的保函等非现金形式。</w:t>
      </w:r>
    </w:p>
    <w:p>
      <w:pPr>
        <w:adjustRightInd w:val="0"/>
        <w:snapToGrid w:val="0"/>
        <w:spacing w:line="288" w:lineRule="auto"/>
        <w:rPr>
          <w:rFonts w:hint="eastAsia"/>
          <w:spacing w:val="-6"/>
          <w:kern w:val="0"/>
          <w:sz w:val="21"/>
          <w:szCs w:val="21"/>
        </w:rPr>
      </w:pPr>
      <w:r>
        <w:rPr>
          <w:rFonts w:hint="eastAsia"/>
          <w:spacing w:val="-6"/>
          <w:kern w:val="0"/>
          <w:sz w:val="21"/>
          <w:szCs w:val="21"/>
          <w:lang w:val="en-US" w:eastAsia="zh-CN"/>
        </w:rPr>
        <w:t>2.</w:t>
      </w:r>
      <w:r>
        <w:rPr>
          <w:rFonts w:hint="eastAsia"/>
          <w:spacing w:val="-6"/>
          <w:kern w:val="0"/>
          <w:sz w:val="21"/>
          <w:szCs w:val="21"/>
        </w:rPr>
        <w:t>付款方式</w:t>
      </w:r>
    </w:p>
    <w:p>
      <w:pPr>
        <w:adjustRightInd w:val="0"/>
        <w:snapToGrid w:val="0"/>
        <w:spacing w:line="288" w:lineRule="auto"/>
        <w:rPr>
          <w:rFonts w:hint="eastAsia"/>
          <w:spacing w:val="-6"/>
          <w:kern w:val="0"/>
          <w:sz w:val="21"/>
          <w:szCs w:val="21"/>
        </w:rPr>
      </w:pPr>
      <w:r>
        <w:rPr>
          <w:rFonts w:hint="eastAsia"/>
          <w:spacing w:val="-6"/>
          <w:kern w:val="0"/>
          <w:sz w:val="21"/>
          <w:szCs w:val="21"/>
          <w:lang w:val="en-US" w:eastAsia="zh-CN"/>
        </w:rPr>
        <w:t>（1）</w:t>
      </w:r>
      <w:r>
        <w:rPr>
          <w:rFonts w:hint="eastAsia"/>
          <w:spacing w:val="-6"/>
          <w:kern w:val="0"/>
          <w:sz w:val="21"/>
          <w:szCs w:val="21"/>
        </w:rPr>
        <w:t>预付款：</w:t>
      </w:r>
    </w:p>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lang w:val="en-US" w:eastAsia="zh-CN"/>
        </w:rPr>
        <w:t>1）</w:t>
      </w:r>
      <w:r>
        <w:rPr>
          <w:rFonts w:hint="eastAsia"/>
          <w:spacing w:val="-6"/>
          <w:kern w:val="0"/>
          <w:sz w:val="21"/>
          <w:szCs w:val="21"/>
        </w:rPr>
        <w:t>支付条件：</w:t>
      </w:r>
      <w:r>
        <w:rPr>
          <w:rFonts w:hint="eastAsia"/>
          <w:spacing w:val="-6"/>
          <w:kern w:val="0"/>
          <w:sz w:val="21"/>
          <w:szCs w:val="21"/>
          <w:lang w:val="en-US" w:eastAsia="zh-CN"/>
        </w:rPr>
        <w:t>乙方</w:t>
      </w:r>
      <w:r>
        <w:rPr>
          <w:rFonts w:hint="eastAsia"/>
          <w:spacing w:val="-6"/>
          <w:kern w:val="0"/>
          <w:sz w:val="21"/>
          <w:szCs w:val="21"/>
        </w:rPr>
        <w:t>提交银行、保险公司等金融机构出具的预付款保函的；</w:t>
      </w:r>
    </w:p>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lang w:val="en-US" w:eastAsia="zh-CN"/>
        </w:rPr>
        <w:t>2）</w:t>
      </w:r>
      <w:r>
        <w:rPr>
          <w:rFonts w:hint="eastAsia"/>
          <w:spacing w:val="-6"/>
          <w:kern w:val="0"/>
          <w:sz w:val="21"/>
          <w:szCs w:val="21"/>
        </w:rPr>
        <w:t>支付时间、数额：合同生效且</w:t>
      </w:r>
      <w:r>
        <w:rPr>
          <w:rFonts w:hint="eastAsia"/>
          <w:spacing w:val="-6"/>
          <w:kern w:val="0"/>
          <w:sz w:val="21"/>
          <w:szCs w:val="21"/>
          <w:lang w:val="en-US" w:eastAsia="zh-CN"/>
        </w:rPr>
        <w:t>乙方</w:t>
      </w:r>
      <w:r>
        <w:rPr>
          <w:rFonts w:hint="eastAsia"/>
          <w:spacing w:val="-6"/>
          <w:kern w:val="0"/>
          <w:sz w:val="21"/>
          <w:szCs w:val="21"/>
        </w:rPr>
        <w:t>出具预付款保函后七个工作日内，</w:t>
      </w:r>
      <w:r>
        <w:rPr>
          <w:rFonts w:hint="eastAsia"/>
          <w:spacing w:val="-6"/>
          <w:kern w:val="0"/>
          <w:sz w:val="21"/>
          <w:szCs w:val="21"/>
          <w:lang w:val="en-US" w:eastAsia="zh-CN"/>
        </w:rPr>
        <w:t>甲方</w:t>
      </w:r>
      <w:r>
        <w:rPr>
          <w:rFonts w:hint="eastAsia"/>
          <w:spacing w:val="-6"/>
          <w:kern w:val="0"/>
          <w:sz w:val="21"/>
          <w:szCs w:val="21"/>
        </w:rPr>
        <w:t>向</w:t>
      </w:r>
      <w:r>
        <w:rPr>
          <w:rFonts w:hint="eastAsia"/>
          <w:spacing w:val="-6"/>
          <w:kern w:val="0"/>
          <w:sz w:val="21"/>
          <w:szCs w:val="21"/>
          <w:lang w:val="en-US" w:eastAsia="zh-CN"/>
        </w:rPr>
        <w:t>乙方</w:t>
      </w:r>
      <w:r>
        <w:rPr>
          <w:rFonts w:hint="eastAsia"/>
          <w:spacing w:val="-6"/>
          <w:kern w:val="0"/>
          <w:sz w:val="21"/>
          <w:szCs w:val="21"/>
        </w:rPr>
        <w:t>支付合同金额</w:t>
      </w:r>
      <w:r>
        <w:rPr>
          <w:rFonts w:hint="eastAsia"/>
          <w:spacing w:val="-6"/>
          <w:kern w:val="0"/>
          <w:sz w:val="21"/>
          <w:szCs w:val="21"/>
          <w:lang w:val="en-US" w:eastAsia="zh-CN"/>
        </w:rPr>
        <w:t>2</w:t>
      </w:r>
      <w:r>
        <w:rPr>
          <w:rFonts w:hint="eastAsia"/>
          <w:spacing w:val="-6"/>
          <w:kern w:val="0"/>
          <w:sz w:val="21"/>
          <w:szCs w:val="21"/>
        </w:rPr>
        <w:t>0%的预付款。</w:t>
      </w:r>
    </w:p>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rPr>
        <w:t>备注：签订合同时，</w:t>
      </w:r>
      <w:r>
        <w:rPr>
          <w:rFonts w:hint="eastAsia"/>
          <w:spacing w:val="-6"/>
          <w:kern w:val="0"/>
          <w:sz w:val="21"/>
          <w:szCs w:val="21"/>
          <w:lang w:val="en-US" w:eastAsia="zh-CN"/>
        </w:rPr>
        <w:t>乙方</w:t>
      </w:r>
      <w:r>
        <w:rPr>
          <w:rFonts w:hint="eastAsia"/>
          <w:spacing w:val="-6"/>
          <w:kern w:val="0"/>
          <w:sz w:val="21"/>
          <w:szCs w:val="21"/>
        </w:rPr>
        <w:t>明确表示无需预付款或者主动要求降低预付款比例的，</w:t>
      </w:r>
      <w:r>
        <w:rPr>
          <w:rFonts w:hint="eastAsia"/>
          <w:spacing w:val="-6"/>
          <w:kern w:val="0"/>
          <w:sz w:val="21"/>
          <w:szCs w:val="21"/>
          <w:lang w:val="en-US" w:eastAsia="zh-CN"/>
        </w:rPr>
        <w:t>甲方</w:t>
      </w:r>
      <w:r>
        <w:rPr>
          <w:rFonts w:hint="eastAsia"/>
          <w:spacing w:val="-6"/>
          <w:kern w:val="0"/>
          <w:sz w:val="21"/>
          <w:szCs w:val="21"/>
        </w:rPr>
        <w:t>可不适用前述规定。</w:t>
      </w:r>
    </w:p>
    <w:p>
      <w:pPr>
        <w:adjustRightInd w:val="0"/>
        <w:snapToGrid w:val="0"/>
        <w:spacing w:line="288" w:lineRule="auto"/>
        <w:rPr>
          <w:spacing w:val="-6"/>
          <w:kern w:val="0"/>
          <w:sz w:val="21"/>
          <w:szCs w:val="21"/>
        </w:rPr>
      </w:pPr>
      <w:r>
        <w:rPr>
          <w:rFonts w:hint="eastAsia"/>
          <w:spacing w:val="-6"/>
          <w:kern w:val="0"/>
          <w:sz w:val="21"/>
          <w:szCs w:val="21"/>
          <w:lang w:eastAsia="zh-CN"/>
        </w:rPr>
        <w:t>（</w:t>
      </w:r>
      <w:r>
        <w:rPr>
          <w:rFonts w:hint="eastAsia"/>
          <w:spacing w:val="-6"/>
          <w:kern w:val="0"/>
          <w:sz w:val="21"/>
          <w:szCs w:val="21"/>
          <w:lang w:val="en-US" w:eastAsia="zh-CN"/>
        </w:rPr>
        <w:t>2</w:t>
      </w:r>
      <w:r>
        <w:rPr>
          <w:rFonts w:hint="eastAsia"/>
          <w:spacing w:val="-6"/>
          <w:kern w:val="0"/>
          <w:sz w:val="21"/>
          <w:szCs w:val="21"/>
          <w:lang w:eastAsia="zh-CN"/>
        </w:rPr>
        <w:t>）</w:t>
      </w:r>
      <w:r>
        <w:rPr>
          <w:rFonts w:hint="eastAsia" w:ascii="宋体" w:hAnsi="宋体" w:eastAsia="宋体" w:cs="宋体"/>
          <w:spacing w:val="-6"/>
          <w:sz w:val="21"/>
          <w:szCs w:val="21"/>
          <w:highlight w:val="none"/>
        </w:rPr>
        <w:t>本项目合同签订后至202</w:t>
      </w:r>
      <w:r>
        <w:rPr>
          <w:rFonts w:hint="eastAsia" w:ascii="宋体" w:hAnsi="宋体" w:eastAsia="宋体" w:cs="宋体"/>
          <w:spacing w:val="-6"/>
          <w:sz w:val="21"/>
          <w:szCs w:val="21"/>
          <w:highlight w:val="none"/>
          <w:lang w:val="en-US" w:eastAsia="zh-CN"/>
        </w:rPr>
        <w:t>4</w:t>
      </w:r>
      <w:r>
        <w:rPr>
          <w:rFonts w:hint="eastAsia" w:ascii="宋体" w:hAnsi="宋体" w:eastAsia="宋体" w:cs="宋体"/>
          <w:spacing w:val="-6"/>
          <w:sz w:val="21"/>
          <w:szCs w:val="21"/>
          <w:highlight w:val="none"/>
        </w:rPr>
        <w:t>年1</w:t>
      </w:r>
      <w:r>
        <w:rPr>
          <w:rFonts w:hint="eastAsia" w:ascii="宋体" w:hAnsi="宋体" w:eastAsia="宋体" w:cs="宋体"/>
          <w:spacing w:val="-6"/>
          <w:sz w:val="21"/>
          <w:szCs w:val="21"/>
          <w:highlight w:val="none"/>
          <w:lang w:val="en-US" w:eastAsia="zh-CN"/>
        </w:rPr>
        <w:t>0</w:t>
      </w:r>
      <w:r>
        <w:rPr>
          <w:rFonts w:hint="eastAsia" w:ascii="宋体" w:hAnsi="宋体" w:eastAsia="宋体" w:cs="宋体"/>
          <w:spacing w:val="-6"/>
          <w:sz w:val="21"/>
          <w:szCs w:val="21"/>
          <w:highlight w:val="none"/>
        </w:rPr>
        <w:t>月31日，需完成采购清单项目列表中的建设内容，完成后进行验收，</w:t>
      </w:r>
      <w:r>
        <w:rPr>
          <w:rFonts w:hint="eastAsia"/>
          <w:spacing w:val="-6"/>
          <w:kern w:val="0"/>
          <w:sz w:val="21"/>
          <w:szCs w:val="21"/>
          <w:lang w:val="en-US" w:eastAsia="zh-CN"/>
        </w:rPr>
        <w:t>甲方</w:t>
      </w:r>
      <w:r>
        <w:rPr>
          <w:rFonts w:hint="eastAsia"/>
          <w:spacing w:val="-6"/>
          <w:kern w:val="0"/>
          <w:sz w:val="21"/>
          <w:szCs w:val="21"/>
        </w:rPr>
        <w:t>自收到发票后7个工作日内，</w:t>
      </w:r>
      <w:r>
        <w:rPr>
          <w:rFonts w:hint="eastAsia" w:ascii="宋体" w:hAnsi="宋体" w:eastAsia="宋体" w:cs="宋体"/>
          <w:spacing w:val="-6"/>
          <w:sz w:val="21"/>
          <w:szCs w:val="21"/>
          <w:highlight w:val="none"/>
        </w:rPr>
        <w:t>支付</w:t>
      </w:r>
      <w:r>
        <w:rPr>
          <w:rFonts w:hint="eastAsia" w:ascii="宋体" w:hAnsi="宋体" w:eastAsia="宋体" w:cs="宋体"/>
          <w:spacing w:val="-6"/>
          <w:sz w:val="21"/>
          <w:szCs w:val="21"/>
          <w:highlight w:val="none"/>
          <w:lang w:val="en-US" w:eastAsia="zh-CN"/>
        </w:rPr>
        <w:t>剩余</w:t>
      </w:r>
      <w:r>
        <w:rPr>
          <w:rFonts w:hint="eastAsia" w:ascii="宋体" w:hAnsi="宋体" w:eastAsia="宋体" w:cs="宋体"/>
          <w:spacing w:val="-6"/>
          <w:sz w:val="21"/>
          <w:szCs w:val="21"/>
          <w:highlight w:val="none"/>
        </w:rPr>
        <w:t>合同额款项</w:t>
      </w:r>
      <w:r>
        <w:rPr>
          <w:rFonts w:hint="eastAsia"/>
          <w:spacing w:val="-6"/>
          <w:kern w:val="0"/>
          <w:sz w:val="21"/>
          <w:szCs w:val="21"/>
        </w:rPr>
        <w:t>。</w:t>
      </w:r>
    </w:p>
    <w:p>
      <w:pPr>
        <w:adjustRightInd w:val="0"/>
        <w:snapToGrid w:val="0"/>
        <w:spacing w:line="288" w:lineRule="auto"/>
        <w:rPr>
          <w:rFonts w:cs="Times New Roman"/>
          <w:b/>
          <w:spacing w:val="-6"/>
          <w:sz w:val="21"/>
          <w:szCs w:val="21"/>
        </w:rPr>
      </w:pPr>
      <w:r>
        <w:rPr>
          <w:rFonts w:hint="eastAsia" w:cs="Times New Roman"/>
          <w:b/>
          <w:spacing w:val="-6"/>
          <w:sz w:val="21"/>
          <w:szCs w:val="21"/>
        </w:rPr>
        <w:t>第三条：</w:t>
      </w:r>
      <w:r>
        <w:rPr>
          <w:rFonts w:hint="eastAsia" w:cs="Times New Roman"/>
          <w:b/>
          <w:spacing w:val="-6"/>
          <w:sz w:val="21"/>
          <w:szCs w:val="21"/>
          <w:lang w:val="en-US" w:eastAsia="zh-CN"/>
        </w:rPr>
        <w:t>服务</w:t>
      </w:r>
      <w:r>
        <w:rPr>
          <w:rFonts w:hint="eastAsia" w:cs="Times New Roman"/>
          <w:b/>
          <w:spacing w:val="-6"/>
          <w:sz w:val="21"/>
          <w:szCs w:val="21"/>
        </w:rPr>
        <w:t>时间、地点</w:t>
      </w:r>
    </w:p>
    <w:p>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lang w:val="en-US" w:eastAsia="zh-CN"/>
        </w:rPr>
        <w:t>服务</w:t>
      </w:r>
      <w:r>
        <w:rPr>
          <w:rFonts w:hint="eastAsia" w:cs="Times New Roman"/>
          <w:spacing w:val="-6"/>
          <w:sz w:val="21"/>
          <w:szCs w:val="21"/>
        </w:rPr>
        <w:t>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pPr>
        <w:adjustRightInd w:val="0"/>
        <w:snapToGrid w:val="0"/>
        <w:spacing w:line="288" w:lineRule="auto"/>
        <w:ind w:right="-588" w:rightChars="-245" w:firstLine="396" w:firstLineChars="200"/>
        <w:rPr>
          <w:rFonts w:hint="eastAsia" w:eastAsia="宋体" w:cs="Times New Roman"/>
          <w:spacing w:val="-6"/>
          <w:sz w:val="21"/>
          <w:szCs w:val="21"/>
          <w:lang w:eastAsia="zh-CN"/>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lang w:eastAsia="zh-CN"/>
        </w:rPr>
        <w:t>。</w:t>
      </w:r>
    </w:p>
    <w:p>
      <w:pPr>
        <w:adjustRightInd w:val="0"/>
        <w:snapToGrid w:val="0"/>
        <w:spacing w:line="288" w:lineRule="auto"/>
        <w:rPr>
          <w:rFonts w:hint="default" w:eastAsia="宋体" w:cs="Times New Roman"/>
          <w:b/>
          <w:spacing w:val="-6"/>
          <w:sz w:val="21"/>
          <w:szCs w:val="21"/>
          <w:lang w:val="en-US" w:eastAsia="zh-CN"/>
        </w:rPr>
      </w:pPr>
      <w:r>
        <w:rPr>
          <w:rFonts w:hint="eastAsia" w:cs="Times New Roman"/>
          <w:b/>
          <w:spacing w:val="-6"/>
          <w:sz w:val="21"/>
          <w:szCs w:val="21"/>
        </w:rPr>
        <w:t>第四条：</w:t>
      </w:r>
      <w:r>
        <w:rPr>
          <w:rFonts w:hint="eastAsia" w:cs="Times New Roman"/>
          <w:b/>
          <w:spacing w:val="-6"/>
          <w:sz w:val="21"/>
          <w:szCs w:val="21"/>
          <w:lang w:val="en-US" w:eastAsia="zh-CN"/>
        </w:rPr>
        <w:t>具体服务内容</w:t>
      </w:r>
    </w:p>
    <w:p>
      <w:pPr>
        <w:adjustRightInd w:val="0"/>
        <w:snapToGrid w:val="0"/>
        <w:spacing w:line="288" w:lineRule="auto"/>
        <w:rPr>
          <w:rFonts w:hint="eastAsia" w:cs="Times New Roman"/>
          <w:spacing w:val="-6"/>
          <w:sz w:val="21"/>
          <w:szCs w:val="21"/>
          <w:lang w:eastAsia="zh-CN"/>
        </w:rPr>
      </w:pPr>
      <w:r>
        <w:rPr>
          <w:rFonts w:hint="eastAsia" w:cs="Times New Roman"/>
          <w:spacing w:val="-6"/>
          <w:sz w:val="21"/>
          <w:szCs w:val="21"/>
          <w:lang w:eastAsia="zh-CN"/>
        </w:rPr>
        <w:t>（</w:t>
      </w:r>
      <w:r>
        <w:rPr>
          <w:rFonts w:hint="eastAsia" w:cs="Times New Roman"/>
          <w:spacing w:val="-6"/>
          <w:sz w:val="21"/>
          <w:szCs w:val="21"/>
          <w:lang w:val="en-US" w:eastAsia="zh-CN"/>
        </w:rPr>
        <w:t>根据采购文件、响应文件、磋商记录等填写</w:t>
      </w:r>
      <w:r>
        <w:rPr>
          <w:rFonts w:hint="eastAsia" w:cs="Times New Roman"/>
          <w:spacing w:val="-6"/>
          <w:sz w:val="21"/>
          <w:szCs w:val="21"/>
          <w:lang w:eastAsia="zh-CN"/>
        </w:rPr>
        <w:t>）</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五</w:t>
      </w:r>
      <w:r>
        <w:rPr>
          <w:rFonts w:hint="eastAsia" w:ascii="宋体" w:hAnsi="宋体" w:eastAsia="宋体" w:cs="宋体"/>
          <w:b/>
          <w:spacing w:val="-6"/>
          <w:sz w:val="21"/>
          <w:szCs w:val="21"/>
          <w:highlight w:val="none"/>
        </w:rPr>
        <w:t>条</w:t>
      </w:r>
      <w:r>
        <w:rPr>
          <w:rFonts w:hint="eastAsia" w:ascii="宋体" w:hAnsi="宋体" w:eastAsia="宋体" w:cs="宋体"/>
          <w:b/>
          <w:spacing w:val="-6"/>
          <w:sz w:val="21"/>
          <w:szCs w:val="21"/>
          <w:highlight w:val="none"/>
          <w:lang w:eastAsia="zh-CN"/>
        </w:rPr>
        <w:t>：</w:t>
      </w:r>
      <w:r>
        <w:rPr>
          <w:rFonts w:hint="eastAsia" w:ascii="宋体" w:hAnsi="宋体" w:eastAsia="宋体" w:cs="宋体"/>
          <w:b/>
          <w:spacing w:val="-6"/>
          <w:sz w:val="21"/>
          <w:szCs w:val="21"/>
          <w:highlight w:val="none"/>
          <w:lang w:val="zh-CN"/>
        </w:rPr>
        <w:t>知识产权</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六</w:t>
      </w:r>
      <w:r>
        <w:rPr>
          <w:rFonts w:hint="eastAsia" w:ascii="宋体" w:hAnsi="宋体" w:eastAsia="宋体" w:cs="宋体"/>
          <w:b/>
          <w:spacing w:val="-6"/>
          <w:sz w:val="21"/>
          <w:szCs w:val="21"/>
          <w:highlight w:val="none"/>
        </w:rPr>
        <w:t>条</w:t>
      </w:r>
      <w:r>
        <w:rPr>
          <w:rFonts w:hint="eastAsia" w:ascii="宋体" w:hAnsi="宋体" w:eastAsia="宋体" w:cs="宋体"/>
          <w:b/>
          <w:spacing w:val="-6"/>
          <w:sz w:val="21"/>
          <w:szCs w:val="21"/>
          <w:highlight w:val="none"/>
          <w:lang w:eastAsia="zh-CN"/>
        </w:rPr>
        <w:t>：</w:t>
      </w:r>
      <w:r>
        <w:rPr>
          <w:rFonts w:hint="eastAsia" w:ascii="宋体" w:hAnsi="宋体" w:eastAsia="宋体" w:cs="宋体"/>
          <w:b/>
          <w:spacing w:val="-6"/>
          <w:sz w:val="21"/>
          <w:szCs w:val="21"/>
          <w:highlight w:val="none"/>
          <w:lang w:val="zh-CN"/>
        </w:rPr>
        <w:t>转包或分包</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七</w:t>
      </w:r>
      <w:r>
        <w:rPr>
          <w:rFonts w:hint="eastAsia" w:ascii="宋体" w:hAnsi="宋体" w:eastAsia="宋体" w:cs="宋体"/>
          <w:b/>
          <w:spacing w:val="-6"/>
          <w:sz w:val="21"/>
          <w:szCs w:val="21"/>
          <w:highlight w:val="none"/>
        </w:rPr>
        <w:t>条</w:t>
      </w:r>
      <w:r>
        <w:rPr>
          <w:rFonts w:hint="eastAsia" w:ascii="宋体" w:hAnsi="宋体" w:eastAsia="宋体" w:cs="宋体"/>
          <w:b/>
          <w:spacing w:val="-6"/>
          <w:sz w:val="21"/>
          <w:szCs w:val="21"/>
          <w:highlight w:val="none"/>
          <w:lang w:eastAsia="zh-CN"/>
        </w:rPr>
        <w:t>：</w:t>
      </w:r>
      <w:r>
        <w:rPr>
          <w:rFonts w:hint="eastAsia" w:ascii="宋体" w:hAnsi="宋体" w:eastAsia="宋体" w:cs="宋体"/>
          <w:b/>
          <w:spacing w:val="-6"/>
          <w:sz w:val="21"/>
          <w:szCs w:val="21"/>
          <w:highlight w:val="none"/>
          <w:lang w:val="zh-CN"/>
        </w:rPr>
        <w:t>质量保证及后续服务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八</w:t>
      </w:r>
      <w:r>
        <w:rPr>
          <w:rFonts w:hint="eastAsia" w:ascii="宋体" w:hAnsi="宋体" w:eastAsia="宋体" w:cs="宋体"/>
          <w:b/>
          <w:spacing w:val="-6"/>
          <w:sz w:val="21"/>
          <w:szCs w:val="21"/>
          <w:highlight w:val="none"/>
        </w:rPr>
        <w:t>条</w:t>
      </w:r>
      <w:r>
        <w:rPr>
          <w:rFonts w:hint="eastAsia" w:ascii="宋体" w:hAnsi="宋体" w:eastAsia="宋体" w:cs="宋体"/>
          <w:b/>
          <w:spacing w:val="-6"/>
          <w:sz w:val="21"/>
          <w:szCs w:val="21"/>
          <w:highlight w:val="none"/>
          <w:lang w:eastAsia="zh-CN"/>
        </w:rPr>
        <w:t>：</w:t>
      </w:r>
      <w:r>
        <w:rPr>
          <w:rFonts w:hint="eastAsia" w:ascii="宋体" w:hAnsi="宋体" w:eastAsia="宋体" w:cs="宋体"/>
          <w:b/>
          <w:spacing w:val="-6"/>
          <w:sz w:val="21"/>
          <w:szCs w:val="21"/>
          <w:highlight w:val="none"/>
          <w:lang w:val="zh-CN"/>
        </w:rPr>
        <w:t>违约责任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1.甲方无正当理由拒收接受服务的，甲方向乙方偿付合同款项百分之五作为违约金。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2.甲方无故逾期验收和办理款项支付手续的，甲方应按逾期付款总额每日万分之五向乙方支付违约金。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lang w:val="en-US" w:eastAsia="zh-CN"/>
        </w:rPr>
        <w:t>九</w:t>
      </w:r>
      <w:r>
        <w:rPr>
          <w:rFonts w:cs="Times New Roman"/>
          <w:b/>
          <w:spacing w:val="-6"/>
          <w:sz w:val="21"/>
          <w:szCs w:val="21"/>
        </w:rPr>
        <w:t>条：不可抗力事件处理</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w:t>
      </w:r>
      <w:r>
        <w:rPr>
          <w:rFonts w:hint="eastAsia" w:cs="Times New Roman"/>
          <w:b/>
          <w:spacing w:val="-6"/>
          <w:sz w:val="21"/>
          <w:szCs w:val="21"/>
          <w:lang w:val="en-US" w:eastAsia="zh-CN"/>
        </w:rPr>
        <w:t>十</w:t>
      </w:r>
      <w:r>
        <w:rPr>
          <w:rFonts w:hint="eastAsia" w:cs="Times New Roman"/>
          <w:b/>
          <w:spacing w:val="-6"/>
          <w:sz w:val="21"/>
          <w:szCs w:val="21"/>
        </w:rPr>
        <w:t>条：争议解决</w:t>
      </w:r>
    </w:p>
    <w:p>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w:t>
      </w:r>
      <w:r>
        <w:rPr>
          <w:rFonts w:hint="eastAsia" w:cs="Times New Roman"/>
          <w:b/>
          <w:spacing w:val="-6"/>
          <w:sz w:val="21"/>
          <w:szCs w:val="21"/>
          <w:lang w:val="en-US" w:eastAsia="zh-CN"/>
        </w:rPr>
        <w:t>一</w:t>
      </w:r>
      <w:r>
        <w:rPr>
          <w:rFonts w:hint="eastAsia" w:cs="Times New Roman"/>
          <w:b/>
          <w:spacing w:val="-6"/>
          <w:sz w:val="21"/>
          <w:szCs w:val="21"/>
        </w:rPr>
        <w:t>条：合同生效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pPr>
        <w:adjustRightInd w:val="0"/>
        <w:snapToGrid w:val="0"/>
        <w:spacing w:line="288" w:lineRule="auto"/>
        <w:rPr>
          <w:rFonts w:cs="Times New Roman"/>
          <w:b/>
          <w:spacing w:val="-6"/>
          <w:sz w:val="21"/>
          <w:szCs w:val="21"/>
        </w:rPr>
      </w:pPr>
      <w:r>
        <w:rPr>
          <w:rFonts w:hint="eastAsia" w:cs="Times New Roman"/>
          <w:b/>
          <w:spacing w:val="-6"/>
          <w:sz w:val="21"/>
          <w:szCs w:val="21"/>
        </w:rPr>
        <w:t>第十</w:t>
      </w:r>
      <w:r>
        <w:rPr>
          <w:rFonts w:hint="eastAsia" w:cs="Times New Roman"/>
          <w:b/>
          <w:spacing w:val="-6"/>
          <w:sz w:val="21"/>
          <w:szCs w:val="21"/>
          <w:lang w:val="en-US" w:eastAsia="zh-CN"/>
        </w:rPr>
        <w:t>二</w:t>
      </w:r>
      <w:r>
        <w:rPr>
          <w:rFonts w:hint="eastAsia" w:cs="Times New Roman"/>
          <w:b/>
          <w:spacing w:val="-6"/>
          <w:sz w:val="21"/>
          <w:szCs w:val="21"/>
        </w:rPr>
        <w:t>条：合同份数</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账号：</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eastAsia="宋体" w:cs="Times New Roman"/>
                <w:spacing w:val="-6"/>
                <w:sz w:val="21"/>
                <w:szCs w:val="21"/>
                <w:lang w:eastAsia="zh-CN"/>
              </w:rPr>
            </w:pPr>
            <w:r>
              <w:rPr>
                <w:rFonts w:hint="eastAsia"/>
                <w:sz w:val="21"/>
                <w:szCs w:val="21"/>
              </w:rPr>
              <w:t>电话：0571-87</w:t>
            </w:r>
            <w:r>
              <w:rPr>
                <w:rFonts w:hint="eastAsia"/>
                <w:sz w:val="21"/>
                <w:szCs w:val="21"/>
                <w:lang w:eastAsia="zh-CN"/>
              </w:rPr>
              <w:t>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7" w:name="_Hlk71884160"/>
      <w:r>
        <w:rPr>
          <w:rFonts w:hint="eastAsia"/>
          <w:b/>
          <w:bCs/>
          <w:sz w:val="21"/>
          <w:szCs w:val="21"/>
        </w:rPr>
        <w:t>▲1.资格文件（单独上传）。资格审查要求的资格证明材料（均需加盖公章）</w:t>
      </w:r>
    </w:p>
    <w:bookmarkEnd w:id="47"/>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48"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3）落实政府采购政策需</w:t>
      </w:r>
      <w:r>
        <w:rPr>
          <w:sz w:val="21"/>
          <w:szCs w:val="21"/>
          <w:highlight w:val="none"/>
        </w:rPr>
        <w:t>满足的资格要求：</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pPr>
        <w:adjustRightInd w:val="0"/>
        <w:snapToGrid w:val="0"/>
        <w:spacing w:line="288" w:lineRule="auto"/>
        <w:ind w:firstLine="420" w:firstLineChars="200"/>
        <w:rPr>
          <w:sz w:val="21"/>
          <w:szCs w:val="21"/>
          <w:highlight w:val="none"/>
        </w:rPr>
      </w:pPr>
      <w:r>
        <w:rPr>
          <w:rFonts w:hint="eastAsia"/>
          <w:sz w:val="21"/>
          <w:szCs w:val="21"/>
          <w:highlight w:val="none"/>
        </w:rPr>
        <w:t>4）联合协议、分包意向协议（如有）</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highlight w:val="none"/>
        </w:rPr>
      </w:pPr>
    </w:p>
    <w:bookmarkEnd w:id="48"/>
    <w:p>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rFonts w:hint="eastAsia"/>
          <w:sz w:val="21"/>
          <w:szCs w:val="21"/>
          <w:highlight w:val="none"/>
        </w:rPr>
      </w:pPr>
      <w:bookmarkStart w:id="49" w:name="_Hlk71884196"/>
      <w:r>
        <w:rPr>
          <w:rFonts w:hint="eastAsia"/>
          <w:sz w:val="21"/>
          <w:szCs w:val="21"/>
          <w:highlight w:val="none"/>
        </w:rPr>
        <w:t>（5）摄制及制作方案</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（6）配合方案</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（7）服务要求</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（8）项目实施</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（9）拟投入的人力资源</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（10）版权解决方案</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（11）培训计划</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（12）服务响应效率</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（13）售后服务</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（14）应急预案</w:t>
      </w:r>
    </w:p>
    <w:p>
      <w:pPr>
        <w:adjustRightInd w:val="0"/>
        <w:snapToGrid w:val="0"/>
        <w:spacing w:line="288" w:lineRule="auto"/>
        <w:ind w:firstLine="420" w:firstLineChars="200"/>
        <w:rPr>
          <w:sz w:val="21"/>
          <w:szCs w:val="21"/>
          <w:highlight w:val="none"/>
        </w:rPr>
      </w:pPr>
      <w:r>
        <w:rPr>
          <w:rFonts w:hint="eastAsia"/>
          <w:sz w:val="21"/>
          <w:szCs w:val="21"/>
          <w:highlight w:val="none"/>
        </w:rPr>
        <w:t>（15）供应商</w:t>
      </w:r>
      <w:r>
        <w:rPr>
          <w:sz w:val="21"/>
          <w:szCs w:val="21"/>
          <w:highlight w:val="none"/>
        </w:rPr>
        <w:t>需要说明的其他文件和材料</w:t>
      </w:r>
      <w:bookmarkEnd w:id="49"/>
    </w:p>
    <w:p>
      <w:pPr>
        <w:adjustRightInd w:val="0"/>
        <w:snapToGrid w:val="0"/>
        <w:spacing w:line="288" w:lineRule="auto"/>
        <w:ind w:firstLine="420" w:firstLineChars="200"/>
        <w:rPr>
          <w:sz w:val="21"/>
          <w:szCs w:val="21"/>
          <w:highlight w:val="none"/>
        </w:rPr>
      </w:pPr>
    </w:p>
    <w:p>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widowControl/>
        <w:jc w:val="left"/>
        <w:rPr>
          <w:sz w:val="21"/>
          <w:szCs w:val="21"/>
          <w:highlight w:val="none"/>
        </w:rPr>
      </w:pPr>
      <w:r>
        <w:rPr>
          <w:sz w:val="21"/>
          <w:szCs w:val="21"/>
          <w:highlight w:val="none"/>
        </w:rPr>
        <w:br w:type="page"/>
      </w:r>
    </w:p>
    <w:p>
      <w:pPr>
        <w:tabs>
          <w:tab w:val="center" w:pos="4706"/>
        </w:tabs>
        <w:adjustRightInd w:val="0"/>
        <w:snapToGrid w:val="0"/>
        <w:spacing w:line="288" w:lineRule="auto"/>
        <w:jc w:val="center"/>
        <w:outlineLvl w:val="2"/>
        <w:rPr>
          <w:rFonts w:cs="Times New Roman"/>
          <w:b/>
          <w:spacing w:val="-6"/>
          <w:sz w:val="21"/>
          <w:szCs w:val="21"/>
          <w:highlight w:val="none"/>
        </w:rPr>
      </w:pPr>
      <w:bookmarkStart w:id="50" w:name="_Hlk140130228"/>
      <w:r>
        <w:rPr>
          <w:rFonts w:hint="eastAsia" w:cs="Times New Roman"/>
          <w:b/>
          <w:spacing w:val="-6"/>
          <w:sz w:val="21"/>
          <w:szCs w:val="21"/>
          <w:highlight w:val="none"/>
        </w:rPr>
        <w:t>评分索引表</w:t>
      </w:r>
    </w:p>
    <w:tbl>
      <w:tblPr>
        <w:tblStyle w:val="1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序号</w:t>
            </w:r>
          </w:p>
        </w:tc>
        <w:tc>
          <w:tcPr>
            <w:tcW w:w="2091" w:type="dxa"/>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评审因素</w:t>
            </w:r>
          </w:p>
        </w:tc>
        <w:tc>
          <w:tcPr>
            <w:tcW w:w="709" w:type="dxa"/>
            <w:vAlign w:val="center"/>
          </w:tcPr>
          <w:p>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highlight w:val="none"/>
              </w:rPr>
            </w:pPr>
            <w:r>
              <w:rPr>
                <w:rFonts w:cs="Times New Roman"/>
                <w:b/>
                <w:spacing w:val="-6"/>
                <w:kern w:val="0"/>
                <w:sz w:val="21"/>
                <w:szCs w:val="21"/>
                <w:highlight w:val="none"/>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highlight w:val="none"/>
              </w:rPr>
            </w:pPr>
          </w:p>
        </w:tc>
        <w:tc>
          <w:tcPr>
            <w:tcW w:w="2091" w:type="dxa"/>
            <w:vAlign w:val="center"/>
          </w:tcPr>
          <w:p>
            <w:pPr>
              <w:adjustRightInd w:val="0"/>
              <w:snapToGrid w:val="0"/>
              <w:spacing w:line="288" w:lineRule="auto"/>
              <w:jc w:val="center"/>
              <w:rPr>
                <w:rFonts w:cs="Times New Roman"/>
                <w:spacing w:val="-6"/>
                <w:sz w:val="21"/>
                <w:szCs w:val="21"/>
                <w:highlight w:val="none"/>
              </w:rPr>
            </w:pPr>
          </w:p>
        </w:tc>
        <w:tc>
          <w:tcPr>
            <w:tcW w:w="709" w:type="dxa"/>
            <w:vAlign w:val="center"/>
          </w:tcPr>
          <w:p>
            <w:pPr>
              <w:adjustRightInd w:val="0"/>
              <w:snapToGrid w:val="0"/>
              <w:spacing w:line="288" w:lineRule="auto"/>
              <w:jc w:val="center"/>
              <w:rPr>
                <w:rFonts w:cs="Times New Roman"/>
                <w:spacing w:val="-6"/>
                <w:sz w:val="21"/>
                <w:szCs w:val="21"/>
                <w:highlight w:val="none"/>
              </w:rPr>
            </w:pPr>
          </w:p>
        </w:tc>
        <w:tc>
          <w:tcPr>
            <w:tcW w:w="3040" w:type="dxa"/>
            <w:vAlign w:val="center"/>
          </w:tcPr>
          <w:p>
            <w:pPr>
              <w:adjustRightInd w:val="0"/>
              <w:snapToGrid w:val="0"/>
              <w:spacing w:line="288" w:lineRule="auto"/>
              <w:rPr>
                <w:rFonts w:cs="Times New Roman"/>
                <w:spacing w:val="-6"/>
                <w:sz w:val="21"/>
                <w:szCs w:val="21"/>
                <w:highlight w:val="none"/>
              </w:rPr>
            </w:pPr>
          </w:p>
        </w:tc>
        <w:tc>
          <w:tcPr>
            <w:tcW w:w="967" w:type="dxa"/>
            <w:vAlign w:val="center"/>
          </w:tcPr>
          <w:p>
            <w:pPr>
              <w:adjustRightInd w:val="0"/>
              <w:snapToGrid w:val="0"/>
              <w:spacing w:line="288" w:lineRule="auto"/>
              <w:jc w:val="center"/>
              <w:rPr>
                <w:rFonts w:cs="Times New Roman"/>
                <w:spacing w:val="-6"/>
                <w:sz w:val="21"/>
                <w:szCs w:val="21"/>
                <w:highlight w:val="none"/>
              </w:rPr>
            </w:pPr>
          </w:p>
        </w:tc>
        <w:tc>
          <w:tcPr>
            <w:tcW w:w="1053" w:type="dxa"/>
            <w:vAlign w:val="center"/>
          </w:tcPr>
          <w:p>
            <w:pPr>
              <w:adjustRightInd w:val="0"/>
              <w:snapToGrid w:val="0"/>
              <w:spacing w:line="288" w:lineRule="auto"/>
              <w:jc w:val="center"/>
              <w:rPr>
                <w:rFonts w:cs="Times New Roman"/>
                <w:spacing w:val="-6"/>
                <w:sz w:val="21"/>
                <w:szCs w:val="21"/>
                <w:highlight w:val="none"/>
              </w:rPr>
            </w:pPr>
          </w:p>
        </w:tc>
        <w:tc>
          <w:tcPr>
            <w:tcW w:w="881" w:type="dxa"/>
          </w:tcPr>
          <w:p>
            <w:pPr>
              <w:adjustRightInd w:val="0"/>
              <w:snapToGrid w:val="0"/>
              <w:spacing w:line="288" w:lineRule="auto"/>
              <w:jc w:val="center"/>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highlight w:val="none"/>
              </w:rPr>
            </w:pPr>
          </w:p>
        </w:tc>
        <w:tc>
          <w:tcPr>
            <w:tcW w:w="2091" w:type="dxa"/>
            <w:vAlign w:val="center"/>
          </w:tcPr>
          <w:p>
            <w:pPr>
              <w:adjustRightInd w:val="0"/>
              <w:snapToGrid w:val="0"/>
              <w:spacing w:line="288" w:lineRule="auto"/>
              <w:jc w:val="center"/>
              <w:rPr>
                <w:rFonts w:cs="Times New Roman"/>
                <w:spacing w:val="-6"/>
                <w:sz w:val="21"/>
                <w:szCs w:val="21"/>
                <w:highlight w:val="none"/>
              </w:rPr>
            </w:pPr>
          </w:p>
        </w:tc>
        <w:tc>
          <w:tcPr>
            <w:tcW w:w="709" w:type="dxa"/>
            <w:vAlign w:val="center"/>
          </w:tcPr>
          <w:p>
            <w:pPr>
              <w:adjustRightInd w:val="0"/>
              <w:snapToGrid w:val="0"/>
              <w:spacing w:line="288" w:lineRule="auto"/>
              <w:jc w:val="center"/>
              <w:rPr>
                <w:rFonts w:cs="Times New Roman"/>
                <w:spacing w:val="-6"/>
                <w:sz w:val="21"/>
                <w:szCs w:val="21"/>
                <w:highlight w:val="none"/>
              </w:rPr>
            </w:pPr>
          </w:p>
        </w:tc>
        <w:tc>
          <w:tcPr>
            <w:tcW w:w="3040" w:type="dxa"/>
            <w:vAlign w:val="center"/>
          </w:tcPr>
          <w:p>
            <w:pPr>
              <w:adjustRightInd w:val="0"/>
              <w:snapToGrid w:val="0"/>
              <w:spacing w:line="288" w:lineRule="auto"/>
              <w:rPr>
                <w:rFonts w:cs="Times New Roman"/>
                <w:spacing w:val="-6"/>
                <w:sz w:val="21"/>
                <w:szCs w:val="21"/>
                <w:highlight w:val="none"/>
              </w:rPr>
            </w:pPr>
          </w:p>
        </w:tc>
        <w:tc>
          <w:tcPr>
            <w:tcW w:w="967" w:type="dxa"/>
            <w:vAlign w:val="center"/>
          </w:tcPr>
          <w:p>
            <w:pPr>
              <w:adjustRightInd w:val="0"/>
              <w:snapToGrid w:val="0"/>
              <w:spacing w:line="288" w:lineRule="auto"/>
              <w:jc w:val="center"/>
              <w:rPr>
                <w:rFonts w:cs="Times New Roman"/>
                <w:spacing w:val="-6"/>
                <w:sz w:val="21"/>
                <w:szCs w:val="21"/>
                <w:highlight w:val="none"/>
              </w:rPr>
            </w:pPr>
          </w:p>
        </w:tc>
        <w:tc>
          <w:tcPr>
            <w:tcW w:w="1053" w:type="dxa"/>
            <w:vAlign w:val="center"/>
          </w:tcPr>
          <w:p>
            <w:pPr>
              <w:adjustRightInd w:val="0"/>
              <w:snapToGrid w:val="0"/>
              <w:spacing w:line="288" w:lineRule="auto"/>
              <w:jc w:val="center"/>
              <w:rPr>
                <w:rFonts w:cs="Times New Roman"/>
                <w:spacing w:val="-6"/>
                <w:sz w:val="21"/>
                <w:szCs w:val="21"/>
                <w:highlight w:val="none"/>
              </w:rPr>
            </w:pPr>
          </w:p>
        </w:tc>
        <w:tc>
          <w:tcPr>
            <w:tcW w:w="881" w:type="dxa"/>
          </w:tcPr>
          <w:p>
            <w:pPr>
              <w:adjustRightInd w:val="0"/>
              <w:snapToGrid w:val="0"/>
              <w:spacing w:line="288" w:lineRule="auto"/>
              <w:jc w:val="center"/>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highlight w:val="none"/>
              </w:rPr>
            </w:pPr>
          </w:p>
        </w:tc>
        <w:tc>
          <w:tcPr>
            <w:tcW w:w="2091" w:type="dxa"/>
            <w:vAlign w:val="center"/>
          </w:tcPr>
          <w:p>
            <w:pPr>
              <w:adjustRightInd w:val="0"/>
              <w:snapToGrid w:val="0"/>
              <w:spacing w:line="288" w:lineRule="auto"/>
              <w:jc w:val="center"/>
              <w:rPr>
                <w:rFonts w:cs="Times New Roman"/>
                <w:kern w:val="0"/>
                <w:sz w:val="21"/>
                <w:szCs w:val="21"/>
                <w:highlight w:val="none"/>
              </w:rPr>
            </w:pPr>
          </w:p>
        </w:tc>
        <w:tc>
          <w:tcPr>
            <w:tcW w:w="709" w:type="dxa"/>
            <w:vAlign w:val="center"/>
          </w:tcPr>
          <w:p>
            <w:pPr>
              <w:adjustRightInd w:val="0"/>
              <w:snapToGrid w:val="0"/>
              <w:spacing w:line="288" w:lineRule="auto"/>
              <w:jc w:val="center"/>
              <w:rPr>
                <w:rFonts w:cs="Times New Roman"/>
                <w:kern w:val="0"/>
                <w:sz w:val="21"/>
                <w:szCs w:val="21"/>
                <w:highlight w:val="none"/>
              </w:rPr>
            </w:pPr>
          </w:p>
        </w:tc>
        <w:tc>
          <w:tcPr>
            <w:tcW w:w="3040" w:type="dxa"/>
            <w:vAlign w:val="center"/>
          </w:tcPr>
          <w:p>
            <w:pPr>
              <w:adjustRightInd w:val="0"/>
              <w:snapToGrid w:val="0"/>
              <w:spacing w:line="288" w:lineRule="auto"/>
              <w:rPr>
                <w:rFonts w:cs="Times New Roman"/>
                <w:kern w:val="0"/>
                <w:sz w:val="21"/>
                <w:szCs w:val="21"/>
                <w:highlight w:val="none"/>
              </w:rPr>
            </w:pPr>
          </w:p>
        </w:tc>
        <w:tc>
          <w:tcPr>
            <w:tcW w:w="967" w:type="dxa"/>
            <w:vAlign w:val="center"/>
          </w:tcPr>
          <w:p>
            <w:pPr>
              <w:adjustRightInd w:val="0"/>
              <w:snapToGrid w:val="0"/>
              <w:spacing w:line="288" w:lineRule="auto"/>
              <w:jc w:val="center"/>
              <w:rPr>
                <w:rFonts w:cs="Times New Roman"/>
                <w:sz w:val="21"/>
                <w:szCs w:val="21"/>
                <w:highlight w:val="none"/>
              </w:rPr>
            </w:pPr>
          </w:p>
        </w:tc>
        <w:tc>
          <w:tcPr>
            <w:tcW w:w="1053" w:type="dxa"/>
            <w:vAlign w:val="center"/>
          </w:tcPr>
          <w:p>
            <w:pPr>
              <w:adjustRightInd w:val="0"/>
              <w:snapToGrid w:val="0"/>
              <w:spacing w:line="288" w:lineRule="auto"/>
              <w:jc w:val="center"/>
              <w:rPr>
                <w:rFonts w:cs="Times New Roman"/>
                <w:sz w:val="21"/>
                <w:szCs w:val="21"/>
                <w:highlight w:val="none"/>
              </w:rPr>
            </w:pPr>
          </w:p>
        </w:tc>
        <w:tc>
          <w:tcPr>
            <w:tcW w:w="881" w:type="dxa"/>
          </w:tcPr>
          <w:p>
            <w:pPr>
              <w:adjustRightInd w:val="0"/>
              <w:snapToGrid w:val="0"/>
              <w:spacing w:line="288" w:lineRule="auto"/>
              <w:jc w:val="center"/>
              <w:rPr>
                <w:rFonts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0"/>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浙江金融职业学院</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2"/>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中小企业声明函（服务）</w:t>
      </w:r>
      <w:r>
        <w:rPr>
          <w:rFonts w:hint="eastAsia"/>
          <w:b/>
          <w:bCs/>
          <w:sz w:val="21"/>
          <w:szCs w:val="21"/>
        </w:rPr>
        <w:t>（若属于中小企业）</w:t>
      </w:r>
    </w:p>
    <w:p>
      <w:pPr>
        <w:adjustRightInd w:val="0"/>
        <w:snapToGrid w:val="0"/>
        <w:spacing w:line="288" w:lineRule="auto"/>
        <w:ind w:firstLine="498" w:firstLineChars="236"/>
        <w:outlineLvl w:val="9"/>
        <w:rPr>
          <w:b/>
          <w:sz w:val="21"/>
          <w:szCs w:val="21"/>
        </w:rPr>
      </w:pPr>
    </w:p>
    <w:p>
      <w:pPr>
        <w:adjustRightInd w:val="0"/>
        <w:snapToGrid w:val="0"/>
        <w:spacing w:line="288" w:lineRule="auto"/>
        <w:ind w:firstLine="495" w:firstLineChars="236"/>
        <w:outlineLvl w:val="9"/>
        <w:rPr>
          <w:sz w:val="21"/>
          <w:szCs w:val="21"/>
          <w:highlight w:val="none"/>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ascii="宋体" w:hAnsi="宋体" w:eastAsia="宋体" w:cs="宋体"/>
          <w:i w:val="0"/>
          <w:iCs/>
          <w:sz w:val="21"/>
          <w:szCs w:val="21"/>
          <w:u w:val="single"/>
          <w:lang w:val="en-US" w:eastAsia="zh-CN"/>
        </w:rPr>
        <w:t>浙江金融职业学院</w:t>
      </w:r>
      <w:r>
        <w:rPr>
          <w:sz w:val="21"/>
          <w:szCs w:val="21"/>
        </w:rPr>
        <w:t>的</w:t>
      </w:r>
      <w:r>
        <w:rPr>
          <w:rFonts w:hint="eastAsia"/>
          <w:i w:val="0"/>
          <w:iCs/>
          <w:sz w:val="21"/>
          <w:szCs w:val="21"/>
          <w:u w:val="single"/>
          <w:lang w:eastAsia="zh-CN"/>
        </w:rPr>
        <w:t>2024年金融管理学院微课、动画等项目</w:t>
      </w:r>
      <w:r>
        <w:rPr>
          <w:sz w:val="21"/>
          <w:szCs w:val="21"/>
        </w:rPr>
        <w:t>采购活动，</w:t>
      </w:r>
      <w:r>
        <w:rPr>
          <w:sz w:val="21"/>
          <w:szCs w:val="21"/>
          <w:highlight w:val="none"/>
        </w:rPr>
        <w:t>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outlineLvl w:val="9"/>
        <w:rPr>
          <w:i/>
          <w:sz w:val="21"/>
          <w:szCs w:val="21"/>
          <w:highlight w:val="none"/>
          <w:u w:val="single"/>
        </w:rPr>
      </w:pPr>
      <w:r>
        <w:rPr>
          <w:rFonts w:hint="eastAsia"/>
          <w:i/>
          <w:sz w:val="21"/>
          <w:szCs w:val="21"/>
          <w:highlight w:val="none"/>
          <w:u w:val="single"/>
        </w:rPr>
        <w:t>1</w:t>
      </w:r>
      <w:r>
        <w:rPr>
          <w:i/>
          <w:sz w:val="21"/>
          <w:szCs w:val="21"/>
          <w:highlight w:val="none"/>
          <w:u w:val="single"/>
        </w:rPr>
        <w:t>.</w:t>
      </w:r>
      <w:r>
        <w:rPr>
          <w:rFonts w:hint="eastAsia"/>
          <w:i w:val="0"/>
          <w:iCs/>
          <w:sz w:val="21"/>
          <w:szCs w:val="21"/>
          <w:u w:val="single"/>
          <w:lang w:eastAsia="zh-CN"/>
        </w:rPr>
        <w:t>2024年金融管理学院微课、动画等项目</w:t>
      </w:r>
      <w:r>
        <w:rPr>
          <w:i/>
          <w:sz w:val="21"/>
          <w:szCs w:val="21"/>
          <w:highlight w:val="none"/>
          <w:u w:val="single"/>
        </w:rPr>
        <w:t>，属于</w:t>
      </w:r>
      <w:r>
        <w:rPr>
          <w:rFonts w:hint="eastAsia"/>
          <w:i w:val="0"/>
          <w:iCs/>
          <w:sz w:val="21"/>
          <w:szCs w:val="21"/>
          <w:highlight w:val="none"/>
          <w:u w:val="single"/>
        </w:rPr>
        <w:t>软件和信息技术服务业</w:t>
      </w:r>
      <w:r>
        <w:rPr>
          <w:i/>
          <w:sz w:val="21"/>
          <w:szCs w:val="21"/>
          <w:highlight w:val="none"/>
          <w:u w:val="single"/>
        </w:rPr>
        <w:t>；</w:t>
      </w:r>
      <w:r>
        <w:rPr>
          <w:sz w:val="21"/>
          <w:szCs w:val="21"/>
          <w:highlight w:val="none"/>
        </w:rPr>
        <w:t>承接企业为</w:t>
      </w:r>
      <w:r>
        <w:rPr>
          <w:rFonts w:hint="eastAsia"/>
          <w:sz w:val="21"/>
          <w:szCs w:val="21"/>
          <w:highlight w:val="none"/>
          <w:u w:val="single"/>
          <w:lang w:val="en-US" w:eastAsia="zh-CN"/>
        </w:rPr>
        <w:t xml:space="preserve">         </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rFonts w:hint="eastAsia"/>
          <w:sz w:val="21"/>
          <w:szCs w:val="21"/>
          <w:highlight w:val="none"/>
          <w:u w:val="single"/>
          <w:lang w:val="en-US" w:eastAsia="zh-CN"/>
        </w:rPr>
        <w:t xml:space="preserve">           </w:t>
      </w:r>
      <w:r>
        <w:rPr>
          <w:i/>
          <w:sz w:val="21"/>
          <w:szCs w:val="21"/>
          <w:highlight w:val="none"/>
          <w:u w:val="single"/>
        </w:rPr>
        <w:t>（中型企业、小型企业、微型企业）</w:t>
      </w:r>
      <w:r>
        <w:rPr>
          <w:sz w:val="21"/>
          <w:szCs w:val="21"/>
          <w:highlight w:val="none"/>
        </w:rPr>
        <w:t>；</w:t>
      </w:r>
    </w:p>
    <w:p>
      <w:pPr>
        <w:adjustRightInd w:val="0"/>
        <w:snapToGrid w:val="0"/>
        <w:spacing w:line="288" w:lineRule="auto"/>
        <w:ind w:firstLine="495" w:firstLineChars="236"/>
        <w:outlineLvl w:val="9"/>
        <w:rPr>
          <w:sz w:val="21"/>
          <w:szCs w:val="21"/>
          <w:highlight w:val="none"/>
        </w:rPr>
      </w:pPr>
      <w:r>
        <w:rPr>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outlineLvl w:val="9"/>
        <w:rPr>
          <w:sz w:val="21"/>
          <w:szCs w:val="21"/>
          <w:highlight w:val="none"/>
        </w:rPr>
      </w:pPr>
      <w:r>
        <w:rPr>
          <w:sz w:val="21"/>
          <w:szCs w:val="21"/>
          <w:highlight w:val="none"/>
        </w:rPr>
        <w:t>本企业对上述声明内容的真实性负责。如有虚假，将依法承担相应责任。</w:t>
      </w:r>
    </w:p>
    <w:p>
      <w:pPr>
        <w:adjustRightInd w:val="0"/>
        <w:snapToGrid w:val="0"/>
        <w:spacing w:line="288" w:lineRule="auto"/>
        <w:ind w:firstLine="495" w:firstLineChars="236"/>
        <w:outlineLvl w:val="9"/>
        <w:rPr>
          <w:sz w:val="21"/>
          <w:szCs w:val="21"/>
          <w:highlight w:val="none"/>
        </w:rPr>
      </w:pPr>
      <w:r>
        <w:rPr>
          <w:sz w:val="21"/>
          <w:szCs w:val="21"/>
          <w:highlight w:val="none"/>
        </w:rPr>
        <w:t>企业名称（盖章）：</w:t>
      </w:r>
    </w:p>
    <w:p>
      <w:pPr>
        <w:adjustRightInd w:val="0"/>
        <w:snapToGrid w:val="0"/>
        <w:spacing w:line="288" w:lineRule="auto"/>
        <w:ind w:firstLine="495" w:firstLineChars="236"/>
        <w:outlineLvl w:val="9"/>
        <w:rPr>
          <w:sz w:val="21"/>
          <w:szCs w:val="21"/>
          <w:highlight w:val="none"/>
        </w:rPr>
      </w:pPr>
      <w:r>
        <w:rPr>
          <w:sz w:val="21"/>
          <w:szCs w:val="21"/>
          <w:highlight w:val="none"/>
        </w:rPr>
        <w:t>日期：</w:t>
      </w:r>
    </w:p>
    <w:p>
      <w:pPr>
        <w:adjustRightInd w:val="0"/>
        <w:snapToGrid w:val="0"/>
        <w:spacing w:line="288" w:lineRule="auto"/>
        <w:ind w:firstLine="495" w:firstLineChars="236"/>
        <w:outlineLvl w:val="9"/>
        <w:rPr>
          <w:sz w:val="21"/>
          <w:szCs w:val="21"/>
          <w:highlight w:val="none"/>
        </w:rPr>
      </w:pPr>
    </w:p>
    <w:p>
      <w:pPr>
        <w:adjustRightInd w:val="0"/>
        <w:snapToGrid w:val="0"/>
        <w:spacing w:line="288" w:lineRule="auto"/>
        <w:ind w:firstLine="495" w:firstLineChars="236"/>
        <w:outlineLvl w:val="9"/>
        <w:rPr>
          <w:sz w:val="21"/>
          <w:szCs w:val="21"/>
          <w:highlight w:val="none"/>
        </w:rPr>
      </w:pPr>
      <w:r>
        <w:rPr>
          <w:rFonts w:hint="eastAsia"/>
          <w:sz w:val="21"/>
          <w:szCs w:val="21"/>
          <w:highlight w:val="none"/>
        </w:rPr>
        <w:t>注：</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outlineLvl w:val="9"/>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pPr>
        <w:adjustRightInd w:val="0"/>
        <w:snapToGrid w:val="0"/>
        <w:spacing w:line="288" w:lineRule="auto"/>
        <w:ind w:firstLine="495" w:firstLineChars="236"/>
        <w:outlineLvl w:val="9"/>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pPr>
        <w:adjustRightInd w:val="0"/>
        <w:snapToGrid w:val="0"/>
        <w:spacing w:line="288" w:lineRule="auto"/>
        <w:ind w:firstLine="495" w:firstLineChars="236"/>
        <w:outlineLvl w:val="9"/>
        <w:rPr>
          <w:sz w:val="21"/>
          <w:szCs w:val="21"/>
          <w:highlight w:val="none"/>
        </w:rPr>
      </w:pPr>
      <w:r>
        <w:rPr>
          <w:rFonts w:hint="eastAsia"/>
          <w:sz w:val="21"/>
          <w:szCs w:val="21"/>
          <w:highlight w:val="none"/>
        </w:rPr>
        <w:br w:type="page"/>
      </w:r>
    </w:p>
    <w:p>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pPr>
        <w:adjustRightInd w:val="0"/>
        <w:snapToGrid w:val="0"/>
        <w:spacing w:line="288" w:lineRule="auto"/>
        <w:outlineLvl w:val="9"/>
        <w:rPr>
          <w:color w:val="000000"/>
          <w:kern w:val="0"/>
          <w:sz w:val="21"/>
          <w:szCs w:val="21"/>
        </w:rPr>
      </w:pPr>
    </w:p>
    <w:p>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outlineLvl w:val="9"/>
        <w:rPr>
          <w:sz w:val="21"/>
          <w:szCs w:val="21"/>
        </w:rPr>
      </w:pPr>
    </w:p>
    <w:p>
      <w:pPr>
        <w:adjustRightInd w:val="0"/>
        <w:snapToGrid w:val="0"/>
        <w:spacing w:line="288" w:lineRule="auto"/>
        <w:outlineLvl w:val="9"/>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outlineLvl w:val="9"/>
        <w:rPr>
          <w:b/>
          <w:spacing w:val="-6"/>
          <w:sz w:val="21"/>
          <w:szCs w:val="21"/>
        </w:rPr>
      </w:pPr>
      <w:r>
        <w:rPr>
          <w:b/>
          <w:spacing w:val="-6"/>
          <w:sz w:val="21"/>
          <w:szCs w:val="21"/>
        </w:rPr>
        <w:br w:type="page"/>
      </w:r>
    </w:p>
    <w:p>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pPr>
        <w:adjustRightInd w:val="0"/>
        <w:snapToGrid w:val="0"/>
        <w:spacing w:line="288" w:lineRule="auto"/>
        <w:outlineLvl w:val="9"/>
        <w:rPr>
          <w:rFonts w:cs="Times New Roman"/>
          <w:b/>
          <w:spacing w:val="6"/>
          <w:sz w:val="21"/>
          <w:szCs w:val="21"/>
        </w:rPr>
      </w:pPr>
    </w:p>
    <w:p>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w:t>
      </w:r>
      <w:r>
        <w:rPr>
          <w:rFonts w:hint="eastAsia" w:cs="Times New Roman"/>
          <w:b/>
          <w:bCs/>
          <w:spacing w:val="6"/>
          <w:sz w:val="21"/>
          <w:szCs w:val="21"/>
          <w:highlight w:val="none"/>
        </w:rPr>
        <w:t>合条件的残疾人福利性单位</w:t>
      </w:r>
      <w:r>
        <w:rPr>
          <w:rFonts w:hint="eastAsia" w:cs="Times New Roman"/>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日  期：</w:t>
      </w:r>
    </w:p>
    <w:p>
      <w:pPr>
        <w:adjustRightInd w:val="0"/>
        <w:snapToGrid w:val="0"/>
        <w:spacing w:line="288" w:lineRule="auto"/>
        <w:outlineLvl w:val="9"/>
        <w:rPr>
          <w:sz w:val="21"/>
          <w:szCs w:val="21"/>
        </w:rPr>
      </w:pPr>
    </w:p>
    <w:p>
      <w:pPr>
        <w:adjustRightInd w:val="0"/>
        <w:snapToGrid w:val="0"/>
        <w:spacing w:line="288" w:lineRule="auto"/>
        <w:outlineLvl w:val="9"/>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pPr>
        <w:rPr>
          <w:rFonts w:hint="eastAsia"/>
          <w:b/>
          <w:spacing w:val="-6"/>
          <w:sz w:val="21"/>
          <w:szCs w:val="21"/>
        </w:rPr>
      </w:pPr>
      <w:r>
        <w:rPr>
          <w:rFonts w:hint="eastAsia"/>
          <w:b/>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浙江金融职业学院</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3" w:name="_Hlk97040115"/>
      <w:r>
        <w:rPr>
          <w:rFonts w:hint="eastAsia" w:cs="Times New Roman"/>
          <w:spacing w:val="-6"/>
          <w:sz w:val="21"/>
          <w:szCs w:val="21"/>
        </w:rPr>
        <w:t>我方参加</w:t>
      </w:r>
      <w:r>
        <w:rPr>
          <w:rFonts w:hint="eastAsia" w:cs="Times New Roman"/>
          <w:bCs/>
          <w:spacing w:val="-6"/>
          <w:sz w:val="21"/>
          <w:szCs w:val="21"/>
          <w:u w:val="single"/>
          <w:lang w:eastAsia="zh-CN"/>
        </w:rPr>
        <w:t>浙江金融职业学院2024年金融管理学院微课、动画等项目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QSZB-Z(F)-B24169(CS)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3"/>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cs="Times New Roman"/>
                <w:spacing w:val="-6"/>
                <w:kern w:val="0"/>
                <w:sz w:val="21"/>
                <w:szCs w:val="21"/>
              </w:rPr>
            </w:pPr>
            <w:bookmarkStart w:id="54"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4"/>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5"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5"/>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浙江金融职业学院</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浙江金融职业学院2024年金融管理学院微课、动画等项目</w:t>
      </w:r>
      <w:r>
        <w:rPr>
          <w:rFonts w:hint="eastAsia" w:cs="Times New Roman"/>
          <w:bCs/>
          <w:spacing w:val="-6"/>
          <w:sz w:val="21"/>
          <w:szCs w:val="21"/>
        </w:rPr>
        <w:t>项目（项目编号：</w:t>
      </w:r>
      <w:r>
        <w:rPr>
          <w:rFonts w:hint="eastAsia" w:cs="Times New Roman"/>
          <w:bCs/>
          <w:spacing w:val="-6"/>
          <w:sz w:val="21"/>
          <w:szCs w:val="21"/>
          <w:lang w:eastAsia="zh-CN"/>
        </w:rPr>
        <w:t>QSZB-Z(F)-B24169(CS)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2024年01月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2024年01月</w:t>
      </w:r>
      <w:r>
        <w:rPr>
          <w:rFonts w:hint="eastAsia" w:cs="Times New Roman"/>
          <w:b/>
          <w:bCs/>
          <w:sz w:val="21"/>
          <w:szCs w:val="21"/>
        </w:rPr>
        <w:t>（含）以后任意一月）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浙江金融职业学院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2024年金融管理学院微课、动画等项目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QSZB-Z(F)-B24169(CS)</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b/>
                <w:bCs/>
                <w:kern w:val="0"/>
                <w:sz w:val="21"/>
                <w:szCs w:val="21"/>
              </w:rPr>
            </w:pPr>
            <w:bookmarkStart w:id="56"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56"/>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rPr>
          <w:rFonts w:hint="eastAsia"/>
          <w:b/>
          <w:spacing w:val="-6"/>
          <w:sz w:val="21"/>
          <w:szCs w:val="21"/>
        </w:rPr>
      </w:pPr>
      <w:bookmarkStart w:id="57" w:name="_Hlk71885757"/>
      <w:r>
        <w:rPr>
          <w:rFonts w:hint="eastAsia"/>
          <w:b/>
          <w:spacing w:val="-6"/>
          <w:sz w:val="21"/>
          <w:szCs w:val="21"/>
        </w:rPr>
        <w:br w:type="page"/>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（5）摄制及制作方案</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（6）配合方案</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（7）服务要求</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（8）项目实施</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（9）拟投入的人力资源</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（10）版权解决方案</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（11）培训计划</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（12）服务响应效率</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（13）售后服务</w:t>
      </w:r>
    </w:p>
    <w:p>
      <w:pPr>
        <w:adjustRightInd w:val="0"/>
        <w:snapToGrid w:val="0"/>
        <w:spacing w:line="288" w:lineRule="auto"/>
        <w:outlineLvl w:val="2"/>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（14）应急预案</w:t>
      </w:r>
    </w:p>
    <w:p>
      <w:pPr>
        <w:adjustRightInd w:val="0"/>
        <w:snapToGrid w:val="0"/>
        <w:spacing w:line="288" w:lineRule="auto"/>
        <w:outlineLvl w:val="2"/>
        <w:rPr>
          <w:b/>
          <w:spacing w:val="-6"/>
          <w:sz w:val="21"/>
          <w:szCs w:val="21"/>
        </w:rPr>
      </w:pPr>
      <w:r>
        <w:rPr>
          <w:rFonts w:hint="eastAsia" w:cs="Times New Roman"/>
          <w:b/>
          <w:bCs/>
          <w:color w:val="auto"/>
          <w:sz w:val="21"/>
          <w:szCs w:val="21"/>
          <w:highlight w:val="none"/>
          <w:lang w:val="en-US" w:eastAsia="zh-CN"/>
        </w:rPr>
        <w:t>（15）</w:t>
      </w:r>
      <w:r>
        <w:rPr>
          <w:rFonts w:hint="eastAsia"/>
          <w:b/>
          <w:spacing w:val="-6"/>
          <w:sz w:val="21"/>
          <w:szCs w:val="21"/>
        </w:rPr>
        <w:t>供应商需要说明的其他文件和材料。</w:t>
      </w:r>
      <w:bookmarkEnd w:id="57"/>
    </w:p>
    <w:p>
      <w:pPr>
        <w:widowControl/>
        <w:jc w:val="left"/>
        <w:rPr>
          <w:b/>
          <w:spacing w:val="-6"/>
          <w:sz w:val="21"/>
          <w:szCs w:val="21"/>
        </w:rPr>
      </w:pPr>
      <w:r>
        <w:rPr>
          <w:b/>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浙江金融职业学院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2024年金融管理学院微课、动画等项目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QSZB-Z(F)-B24169(CS)</w:t>
      </w:r>
    </w:p>
    <w:tbl>
      <w:tblPr>
        <w:tblStyle w:val="1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58"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58"/>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59"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3.以上表格要求细分项目及报价，在“具体服务”一栏中，服务类项目填写具体服务。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pPr>
        <w:adjustRightInd w:val="0"/>
        <w:snapToGrid w:val="0"/>
        <w:spacing w:line="288" w:lineRule="auto"/>
        <w:rPr>
          <w:rFonts w:cs="Times New Roman"/>
          <w:b/>
          <w:bCs/>
          <w:spacing w:val="-6"/>
          <w:sz w:val="21"/>
          <w:szCs w:val="21"/>
        </w:rPr>
      </w:pPr>
      <w:r>
        <w:rPr>
          <w:rFonts w:cs="Times New Roman"/>
          <w:b/>
          <w:bCs/>
          <w:spacing w:val="-6"/>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内容而对采购人、采购代理机构所作的任何合法承诺，包括书面澄清及相应等均对联合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60"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60"/>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61"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61"/>
      <w:r>
        <w:rPr>
          <w:rFonts w:hint="eastAsia" w:ascii="宋体" w:hAnsi="宋体" w:eastAsia="宋体" w:cs="宋体"/>
          <w:b/>
          <w:kern w:val="0"/>
          <w:sz w:val="21"/>
          <w:szCs w:val="21"/>
          <w:lang w:val="zh-CN"/>
        </w:rPr>
        <w:t>）</w:t>
      </w:r>
    </w:p>
    <w:p>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62"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62"/>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eastAsia="宋体" w:cs="宋体"/>
          <w:kern w:val="0"/>
          <w:sz w:val="21"/>
          <w:szCs w:val="21"/>
          <w:lang w:val="zh-CN"/>
        </w:rPr>
      </w:pP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pPr>
        <w:snapToGrid w:val="0"/>
        <w:spacing w:line="288" w:lineRule="auto"/>
        <w:ind w:right="420" w:firstLine="424" w:firstLineChars="202"/>
        <w:rPr>
          <w:rFonts w:ascii="宋体" w:hAnsi="宋体" w:eastAsia="宋体" w:cs="宋体"/>
          <w:sz w:val="21"/>
          <w:szCs w:val="21"/>
        </w:rPr>
      </w:pPr>
    </w:p>
    <w:p>
      <w:pPr>
        <w:widowControl/>
        <w:ind w:firstLine="420" w:firstLineChars="200"/>
        <w:jc w:val="left"/>
        <w:rPr>
          <w:rFonts w:cs="仿宋_GB2312"/>
          <w:b/>
          <w:kern w:val="0"/>
          <w:sz w:val="21"/>
          <w:szCs w:val="21"/>
        </w:rPr>
      </w:pPr>
      <w:r>
        <w:rPr>
          <w:rFonts w:hint="eastAsia" w:ascii="宋体" w:hAnsi="宋体" w:eastAsia="宋体" w:cs="宋体"/>
          <w:sz w:val="21"/>
          <w:szCs w:val="21"/>
        </w:rPr>
        <w:t>注：按本格式和要求提供。</w:t>
      </w: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pPr>
        <w:snapToGrid w:val="0"/>
        <w:spacing w:line="288" w:lineRule="auto"/>
        <w:ind w:firstLine="424" w:firstLineChars="202"/>
        <w:rPr>
          <w:rFonts w:ascii="宋体" w:hAnsi="宋体" w:eastAsia="宋体"/>
          <w:sz w:val="21"/>
          <w:szCs w:val="21"/>
        </w:rPr>
      </w:pP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pPr>
        <w:snapToGrid w:val="0"/>
        <w:spacing w:line="288" w:lineRule="auto"/>
        <w:ind w:firstLine="424" w:firstLineChars="202"/>
        <w:rPr>
          <w:rFonts w:ascii="宋体" w:hAnsi="宋体" w:eastAsia="宋体" w:cs="宋体"/>
          <w:kern w:val="0"/>
          <w:sz w:val="21"/>
          <w:szCs w:val="21"/>
          <w:lang w:val="zh-CN"/>
        </w:rPr>
      </w:pPr>
    </w:p>
    <w:p>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pPr>
        <w:snapToGrid w:val="0"/>
        <w:spacing w:line="288" w:lineRule="auto"/>
        <w:ind w:right="420" w:firstLine="424" w:firstLineChars="202"/>
        <w:rPr>
          <w:rFonts w:ascii="宋体" w:hAnsi="宋体" w:eastAsia="宋体" w:cs="宋体"/>
          <w:sz w:val="21"/>
          <w:szCs w:val="21"/>
        </w:rPr>
      </w:pPr>
    </w:p>
    <w:p>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ZmE3OGE5MWQxNjBkYjc5MWY2YzAyOTM1YmJhMTE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57D10EA"/>
    <w:rsid w:val="0DA11B3D"/>
    <w:rsid w:val="110A6E68"/>
    <w:rsid w:val="35EF206F"/>
    <w:rsid w:val="3FB20145"/>
    <w:rsid w:val="41A96B80"/>
    <w:rsid w:val="44FC6944"/>
    <w:rsid w:val="46F14DB0"/>
    <w:rsid w:val="470500AF"/>
    <w:rsid w:val="4AC6602F"/>
    <w:rsid w:val="4F466CFF"/>
    <w:rsid w:val="50387B97"/>
    <w:rsid w:val="54062CE5"/>
    <w:rsid w:val="5DAD3F64"/>
    <w:rsid w:val="5E087E6A"/>
    <w:rsid w:val="60D47CE0"/>
    <w:rsid w:val="6EF54E4F"/>
    <w:rsid w:val="787E01B9"/>
    <w:rsid w:val="7F18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6">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unhideWhenUsed/>
    <w:qFormat/>
    <w:uiPriority w:val="0"/>
    <w:pPr>
      <w:keepNext/>
      <w:keepLines/>
      <w:spacing w:before="120" w:line="360"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widowControl w:val="0"/>
      <w:spacing w:line="200" w:lineRule="atLeast"/>
      <w:ind w:firstLine="420"/>
      <w:jc w:val="both"/>
    </w:pPr>
    <w:rPr>
      <w:rFonts w:ascii="宋体" w:hAnsi="Courier New"/>
      <w:spacing w:val="-4"/>
      <w:kern w:val="2"/>
      <w:sz w:val="18"/>
      <w:lang w:val="en-US" w:eastAsia="zh-CN" w:bidi="ar-SA"/>
    </w:rPr>
  </w:style>
  <w:style w:type="paragraph" w:styleId="3">
    <w:name w:val="Body Text Indent"/>
    <w:basedOn w:val="1"/>
    <w:next w:val="2"/>
    <w:link w:val="27"/>
    <w:qFormat/>
    <w:uiPriority w:val="0"/>
    <w:pPr>
      <w:spacing w:line="200" w:lineRule="atLeast"/>
      <w:ind w:firstLine="301"/>
    </w:pPr>
    <w:rPr>
      <w:rFonts w:hAnsi="Courier New" w:cs="Times New Roman"/>
      <w:spacing w:val="-4"/>
      <w:sz w:val="18"/>
      <w:szCs w:val="20"/>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36"/>
    <w:qFormat/>
    <w:uiPriority w:val="0"/>
    <w:pPr>
      <w:spacing w:after="120"/>
    </w:pPr>
  </w:style>
  <w:style w:type="paragraph" w:styleId="8">
    <w:name w:val="Normal Indent"/>
    <w:basedOn w:val="1"/>
    <w:qFormat/>
    <w:uiPriority w:val="0"/>
    <w:pPr>
      <w:ind w:firstLine="420" w:firstLineChars="200"/>
    </w:pPr>
    <w:rPr>
      <w:rFonts w:ascii="Calibri" w:hAnsi="Calibri" w:cs="Times New Roman"/>
    </w:rPr>
  </w:style>
  <w:style w:type="paragraph" w:styleId="9">
    <w:name w:val="annotation text"/>
    <w:basedOn w:val="1"/>
    <w:link w:val="24"/>
    <w:unhideWhenUsed/>
    <w:qFormat/>
    <w:uiPriority w:val="99"/>
    <w:pPr>
      <w:jc w:val="left"/>
    </w:pPr>
    <w:rPr>
      <w:rFonts w:ascii="Times New Roman" w:hAnsi="Times New Roman" w:cs="Times New Roman"/>
      <w:sz w:val="28"/>
    </w:rPr>
  </w:style>
  <w:style w:type="paragraph" w:styleId="10">
    <w:name w:val="Plain Text"/>
    <w:basedOn w:val="1"/>
    <w:link w:val="37"/>
    <w:semiHidden/>
    <w:unhideWhenUsed/>
    <w:qFormat/>
    <w:uiPriority w:val="99"/>
    <w:rPr>
      <w:rFonts w:hAnsi="Courier New" w:cs="Courier New" w:asciiTheme="minorEastAsia" w:eastAsiaTheme="minorEastAsia"/>
    </w:rPr>
  </w:style>
  <w:style w:type="paragraph" w:styleId="11">
    <w:name w:val="Balloon Text"/>
    <w:basedOn w:val="1"/>
    <w:link w:val="26"/>
    <w:qFormat/>
    <w:uiPriority w:val="0"/>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paragraph" w:styleId="15">
    <w:name w:val="annotation subject"/>
    <w:basedOn w:val="9"/>
    <w:next w:val="9"/>
    <w:link w:val="34"/>
    <w:semiHidden/>
    <w:unhideWhenUsed/>
    <w:qFormat/>
    <w:uiPriority w:val="0"/>
    <w:rPr>
      <w:rFonts w:ascii="宋体" w:hAnsi="宋体" w:cs="宋体"/>
      <w:b/>
      <w:bCs/>
      <w:sz w:val="24"/>
    </w:rPr>
  </w:style>
  <w:style w:type="table" w:styleId="17">
    <w:name w:val="Table Grid"/>
    <w:basedOn w:val="1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u w:val="single"/>
    </w:rPr>
  </w:style>
  <w:style w:type="character" w:styleId="20">
    <w:name w:val="annotation reference"/>
    <w:unhideWhenUsed/>
    <w:qFormat/>
    <w:uiPriority w:val="99"/>
    <w:rPr>
      <w:sz w:val="21"/>
      <w:szCs w:val="21"/>
    </w:rPr>
  </w:style>
  <w:style w:type="paragraph" w:customStyle="1" w:styleId="21">
    <w:name w:val="PlainText"/>
    <w:basedOn w:val="1"/>
    <w:qFormat/>
    <w:uiPriority w:val="0"/>
    <w:pPr>
      <w:jc w:val="left"/>
    </w:pPr>
    <w:rPr>
      <w:rFonts w:hAnsi="Courier New"/>
      <w:kern w:val="0"/>
      <w:szCs w:val="20"/>
    </w:rPr>
  </w:style>
  <w:style w:type="character" w:customStyle="1" w:styleId="22">
    <w:name w:val="页眉 字符"/>
    <w:basedOn w:val="18"/>
    <w:link w:val="13"/>
    <w:qFormat/>
    <w:uiPriority w:val="99"/>
    <w:rPr>
      <w:sz w:val="18"/>
      <w:szCs w:val="18"/>
    </w:rPr>
  </w:style>
  <w:style w:type="character" w:customStyle="1" w:styleId="23">
    <w:name w:val="页脚 字符"/>
    <w:basedOn w:val="18"/>
    <w:link w:val="12"/>
    <w:qFormat/>
    <w:uiPriority w:val="99"/>
    <w:rPr>
      <w:sz w:val="18"/>
      <w:szCs w:val="18"/>
    </w:rPr>
  </w:style>
  <w:style w:type="character" w:customStyle="1" w:styleId="24">
    <w:name w:val="批注文字 字符"/>
    <w:basedOn w:val="18"/>
    <w:link w:val="9"/>
    <w:qFormat/>
    <w:uiPriority w:val="99"/>
    <w:rPr>
      <w:rFonts w:ascii="Times New Roman" w:hAnsi="Times New Roman" w:eastAsia="宋体" w:cs="Times New Roman"/>
      <w:sz w:val="28"/>
      <w:szCs w:val="24"/>
    </w:rPr>
  </w:style>
  <w:style w:type="character" w:customStyle="1" w:styleId="25">
    <w:name w:val="正文文本缩进 字符"/>
    <w:basedOn w:val="18"/>
    <w:qFormat/>
    <w:uiPriority w:val="0"/>
    <w:rPr>
      <w:rFonts w:ascii="宋体" w:hAnsi="宋体" w:eastAsia="宋体" w:cs="宋体"/>
      <w:sz w:val="24"/>
      <w:szCs w:val="24"/>
    </w:rPr>
  </w:style>
  <w:style w:type="character" w:customStyle="1" w:styleId="26">
    <w:name w:val="批注框文本 字符"/>
    <w:basedOn w:val="18"/>
    <w:link w:val="11"/>
    <w:qFormat/>
    <w:uiPriority w:val="0"/>
    <w:rPr>
      <w:rFonts w:ascii="宋体" w:hAnsi="宋体" w:eastAsia="宋体" w:cs="宋体"/>
      <w:sz w:val="18"/>
      <w:szCs w:val="18"/>
    </w:rPr>
  </w:style>
  <w:style w:type="character" w:customStyle="1" w:styleId="27">
    <w:name w:val="正文文本缩进 字符1"/>
    <w:link w:val="3"/>
    <w:qFormat/>
    <w:uiPriority w:val="0"/>
    <w:rPr>
      <w:rFonts w:ascii="宋体" w:hAnsi="Courier New" w:eastAsia="宋体" w:cs="Times New Roman"/>
      <w:spacing w:val="-4"/>
      <w:sz w:val="18"/>
      <w:szCs w:val="20"/>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18"/>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paragraph" w:customStyle="1" w:styleId="31">
    <w:name w:val="纯文本1"/>
    <w:basedOn w:val="1"/>
    <w:next w:val="10"/>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8"/>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4"/>
    <w:link w:val="15"/>
    <w:semiHidden/>
    <w:qFormat/>
    <w:uiPriority w:val="0"/>
    <w:rPr>
      <w:rFonts w:ascii="宋体" w:hAnsi="宋体" w:eastAsia="宋体" w:cs="宋体"/>
      <w:b/>
      <w:bCs/>
      <w:sz w:val="24"/>
      <w:szCs w:val="24"/>
    </w:rPr>
  </w:style>
  <w:style w:type="character" w:customStyle="1" w:styleId="35">
    <w:name w:val="Unresolved Mention"/>
    <w:basedOn w:val="18"/>
    <w:semiHidden/>
    <w:unhideWhenUsed/>
    <w:qFormat/>
    <w:uiPriority w:val="99"/>
    <w:rPr>
      <w:color w:val="605E5C"/>
      <w:shd w:val="clear" w:color="auto" w:fill="E1DFDD"/>
    </w:rPr>
  </w:style>
  <w:style w:type="character" w:customStyle="1" w:styleId="36">
    <w:name w:val="正文文本 字符"/>
    <w:basedOn w:val="18"/>
    <w:link w:val="5"/>
    <w:qFormat/>
    <w:uiPriority w:val="0"/>
    <w:rPr>
      <w:rFonts w:ascii="宋体" w:hAnsi="宋体" w:eastAsia="宋体" w:cs="宋体"/>
      <w:sz w:val="24"/>
      <w:szCs w:val="24"/>
    </w:rPr>
  </w:style>
  <w:style w:type="character" w:customStyle="1" w:styleId="37">
    <w:name w:val="纯文本 字符2"/>
    <w:basedOn w:val="18"/>
    <w:link w:val="10"/>
    <w:semiHidden/>
    <w:qFormat/>
    <w:uiPriority w:val="99"/>
    <w:rPr>
      <w:rFonts w:hAnsi="Courier New" w:cs="Courier New" w:asciiTheme="minorEastAsia"/>
      <w:sz w:val="24"/>
      <w:szCs w:val="24"/>
    </w:rPr>
  </w:style>
  <w:style w:type="table" w:customStyle="1" w:styleId="38">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49</Pages>
  <Words>28786</Words>
  <Characters>30559</Characters>
  <Lines>223</Lines>
  <Paragraphs>62</Paragraphs>
  <TotalTime>7</TotalTime>
  <ScaleCrop>false</ScaleCrop>
  <LinksUpToDate>false</LinksUpToDate>
  <CharactersWithSpaces>31539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hp</cp:lastModifiedBy>
  <dcterms:modified xsi:type="dcterms:W3CDTF">2024-05-22T01:41:20Z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813AA32E2D894814AE16B95675302B48_12</vt:lpwstr>
  </property>
</Properties>
</file>