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88" w:lineRule="auto"/>
        <w:jc w:val="center"/>
        <w:rPr>
          <w:rFonts w:ascii="宋体" w:hAnsi="宋体" w:cs="宋体"/>
          <w:b/>
          <w:color w:val="auto"/>
          <w:sz w:val="36"/>
          <w:szCs w:val="36"/>
          <w:highlight w:val="none"/>
        </w:rPr>
      </w:pPr>
    </w:p>
    <w:p>
      <w:pPr>
        <w:snapToGrid w:val="0"/>
        <w:spacing w:line="288" w:lineRule="auto"/>
        <w:jc w:val="center"/>
        <w:rPr>
          <w:rFonts w:ascii="宋体" w:hAnsi="宋体" w:cs="宋体"/>
          <w:b/>
          <w:color w:val="auto"/>
          <w:sz w:val="36"/>
          <w:szCs w:val="36"/>
          <w:highlight w:val="none"/>
        </w:rPr>
      </w:pPr>
    </w:p>
    <w:p>
      <w:pPr>
        <w:snapToGrid w:val="0"/>
        <w:spacing w:line="288" w:lineRule="auto"/>
        <w:jc w:val="center"/>
        <w:rPr>
          <w:rFonts w:ascii="宋体" w:hAnsi="宋体" w:cs="宋体"/>
          <w:b/>
          <w:color w:val="auto"/>
          <w:sz w:val="36"/>
          <w:szCs w:val="36"/>
          <w:highlight w:val="none"/>
        </w:rPr>
      </w:pPr>
    </w:p>
    <w:p>
      <w:pPr>
        <w:snapToGrid w:val="0"/>
        <w:spacing w:line="288" w:lineRule="auto"/>
        <w:jc w:val="center"/>
        <w:rPr>
          <w:rFonts w:ascii="宋体" w:hAnsi="宋体" w:cs="宋体"/>
          <w:b/>
          <w:color w:val="auto"/>
          <w:sz w:val="36"/>
          <w:szCs w:val="36"/>
          <w:highlight w:val="none"/>
        </w:rPr>
      </w:pPr>
    </w:p>
    <w:p>
      <w:pPr>
        <w:snapToGrid w:val="0"/>
        <w:spacing w:line="288" w:lineRule="auto"/>
        <w:jc w:val="center"/>
        <w:rPr>
          <w:rFonts w:ascii="宋体" w:hAnsi="宋体" w:cs="宋体"/>
          <w:b/>
          <w:color w:val="auto"/>
          <w:sz w:val="36"/>
          <w:szCs w:val="36"/>
          <w:highlight w:val="none"/>
        </w:rPr>
      </w:pPr>
    </w:p>
    <w:p>
      <w:pPr>
        <w:snapToGrid w:val="0"/>
        <w:spacing w:line="288"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2024年杭州市拱墅区教育系统部分学校厨房设备采购项目</w:t>
      </w:r>
    </w:p>
    <w:p>
      <w:pPr>
        <w:snapToGrid w:val="0"/>
        <w:spacing w:line="288"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招标文件</w:t>
      </w:r>
    </w:p>
    <w:p>
      <w:pPr>
        <w:snapToGrid w:val="0"/>
        <w:spacing w:line="288"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（电子招投标）</w:t>
      </w:r>
    </w:p>
    <w:p>
      <w:pPr>
        <w:snapToGrid w:val="0"/>
        <w:spacing w:line="288"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编号:QSZB-Z(H)-B24115(GK)</w:t>
      </w:r>
    </w:p>
    <w:p>
      <w:pPr>
        <w:snapToGrid w:val="0"/>
        <w:spacing w:line="288" w:lineRule="auto"/>
        <w:jc w:val="center"/>
        <w:rPr>
          <w:rFonts w:ascii="宋体" w:hAnsi="宋体" w:cs="宋体"/>
          <w:color w:val="auto"/>
          <w:sz w:val="36"/>
          <w:szCs w:val="36"/>
          <w:highlight w:val="none"/>
        </w:rPr>
      </w:pPr>
    </w:p>
    <w:p>
      <w:pPr>
        <w:snapToGrid w:val="0"/>
        <w:spacing w:line="288" w:lineRule="auto"/>
        <w:jc w:val="center"/>
        <w:rPr>
          <w:rFonts w:ascii="宋体" w:hAnsi="宋体" w:cs="宋体"/>
          <w:b/>
          <w:color w:val="auto"/>
          <w:sz w:val="36"/>
          <w:szCs w:val="36"/>
          <w:highlight w:val="none"/>
        </w:rPr>
      </w:pPr>
    </w:p>
    <w:p>
      <w:pPr>
        <w:snapToGrid w:val="0"/>
        <w:spacing w:line="288" w:lineRule="auto"/>
        <w:jc w:val="center"/>
        <w:rPr>
          <w:rFonts w:ascii="宋体" w:hAnsi="宋体" w:cs="宋体"/>
          <w:b/>
          <w:color w:val="auto"/>
          <w:sz w:val="36"/>
          <w:szCs w:val="36"/>
          <w:highlight w:val="none"/>
        </w:rPr>
      </w:pPr>
    </w:p>
    <w:p>
      <w:pPr>
        <w:snapToGrid w:val="0"/>
        <w:spacing w:line="288" w:lineRule="auto"/>
        <w:jc w:val="center"/>
        <w:rPr>
          <w:rFonts w:ascii="宋体" w:hAnsi="宋体" w:cs="宋体"/>
          <w:color w:val="auto"/>
          <w:sz w:val="36"/>
          <w:szCs w:val="36"/>
          <w:highlight w:val="none"/>
        </w:rPr>
      </w:pPr>
    </w:p>
    <w:p>
      <w:pPr>
        <w:snapToGrid w:val="0"/>
        <w:spacing w:line="288" w:lineRule="auto"/>
        <w:jc w:val="center"/>
        <w:rPr>
          <w:rFonts w:ascii="宋体" w:hAnsi="宋体" w:cs="宋体"/>
          <w:color w:val="auto"/>
          <w:sz w:val="36"/>
          <w:szCs w:val="36"/>
          <w:highlight w:val="none"/>
        </w:rPr>
      </w:pPr>
    </w:p>
    <w:p>
      <w:pPr>
        <w:snapToGrid w:val="0"/>
        <w:spacing w:line="288" w:lineRule="auto"/>
        <w:jc w:val="center"/>
        <w:rPr>
          <w:rFonts w:ascii="宋体" w:hAnsi="宋体" w:cs="宋体"/>
          <w:color w:val="auto"/>
          <w:sz w:val="36"/>
          <w:szCs w:val="36"/>
          <w:highlight w:val="none"/>
        </w:rPr>
      </w:pPr>
    </w:p>
    <w:p>
      <w:pPr>
        <w:snapToGrid w:val="0"/>
        <w:spacing w:line="288"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杭州市拱墅区教育发展服务中心</w:t>
      </w:r>
    </w:p>
    <w:p>
      <w:pPr>
        <w:snapToGrid w:val="0"/>
        <w:spacing w:line="288" w:lineRule="auto"/>
        <w:jc w:val="center"/>
        <w:rPr>
          <w:rFonts w:ascii="宋体" w:hAnsi="宋体" w:cs="宋体"/>
          <w:bCs/>
          <w:color w:val="auto"/>
          <w:sz w:val="36"/>
          <w:szCs w:val="36"/>
          <w:highlight w:val="none"/>
        </w:rPr>
      </w:pPr>
      <w:r>
        <w:rPr>
          <w:rFonts w:hint="eastAsia" w:ascii="宋体" w:hAnsi="宋体" w:cs="宋体"/>
          <w:bCs/>
          <w:color w:val="auto"/>
          <w:sz w:val="36"/>
          <w:szCs w:val="36"/>
          <w:highlight w:val="none"/>
        </w:rPr>
        <w:t>浙江求是招标代理有限公司</w:t>
      </w:r>
    </w:p>
    <w:p>
      <w:pPr>
        <w:snapToGrid w:val="0"/>
        <w:spacing w:line="288" w:lineRule="auto"/>
        <w:jc w:val="center"/>
        <w:rPr>
          <w:rFonts w:hint="eastAsia" w:ascii="宋体" w:hAnsi="宋体" w:eastAsia="宋体" w:cs="宋体"/>
          <w:bCs/>
          <w:color w:val="auto"/>
          <w:sz w:val="36"/>
          <w:szCs w:val="36"/>
          <w:highlight w:val="none"/>
          <w:lang w:eastAsia="zh-CN"/>
        </w:rPr>
      </w:pPr>
      <w:r>
        <w:rPr>
          <w:rFonts w:hint="eastAsia" w:ascii="宋体" w:hAnsi="宋体" w:cs="宋体"/>
          <w:bCs/>
          <w:color w:val="auto"/>
          <w:sz w:val="36"/>
          <w:szCs w:val="36"/>
          <w:highlight w:val="none"/>
          <w:lang w:eastAsia="zh-CN"/>
        </w:rPr>
        <w:t>二〇二四年四月三十日</w:t>
      </w:r>
    </w:p>
    <w:p>
      <w:pPr>
        <w:snapToGrid w:val="0"/>
        <w:spacing w:line="288" w:lineRule="auto"/>
        <w:jc w:val="center"/>
        <w:rPr>
          <w:rFonts w:ascii="宋体" w:hAnsi="宋体" w:cs="宋体"/>
          <w:color w:val="auto"/>
          <w:sz w:val="32"/>
          <w:szCs w:val="32"/>
          <w:highlight w:val="none"/>
        </w:rPr>
      </w:pPr>
      <w:r>
        <w:rPr>
          <w:rFonts w:hint="eastAsia" w:ascii="宋体" w:hAnsi="宋体" w:cs="宋体"/>
          <w:color w:val="auto"/>
          <w:sz w:val="36"/>
          <w:szCs w:val="36"/>
          <w:highlight w:val="none"/>
        </w:rPr>
        <w:br w:type="page"/>
      </w:r>
      <w:bookmarkStart w:id="0" w:name="_Hlt67893495"/>
      <w:bookmarkEnd w:id="0"/>
    </w:p>
    <w:p>
      <w:pPr>
        <w:snapToGrid w:val="0"/>
        <w:spacing w:line="288" w:lineRule="auto"/>
        <w:jc w:val="center"/>
        <w:rPr>
          <w:rFonts w:ascii="宋体" w:hAnsi="宋体" w:cs="宋体"/>
          <w:color w:val="auto"/>
          <w:sz w:val="32"/>
          <w:szCs w:val="32"/>
          <w:highlight w:val="none"/>
        </w:rPr>
      </w:pPr>
    </w:p>
    <w:p>
      <w:pPr>
        <w:snapToGrid w:val="0"/>
        <w:spacing w:line="288"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目  录</w:t>
      </w:r>
    </w:p>
    <w:p>
      <w:pPr>
        <w:snapToGrid w:val="0"/>
        <w:spacing w:line="288" w:lineRule="auto"/>
        <w:rPr>
          <w:rFonts w:ascii="宋体" w:hAnsi="宋体" w:cs="宋体"/>
          <w:color w:val="auto"/>
          <w:sz w:val="32"/>
          <w:szCs w:val="32"/>
          <w:highlight w:val="none"/>
        </w:rPr>
      </w:pPr>
    </w:p>
    <w:p>
      <w:pPr>
        <w:snapToGrid w:val="0"/>
        <w:spacing w:line="288" w:lineRule="auto"/>
        <w:rPr>
          <w:rFonts w:ascii="宋体" w:hAnsi="宋体" w:cs="宋体"/>
          <w:color w:val="auto"/>
          <w:sz w:val="32"/>
          <w:szCs w:val="32"/>
          <w:highlight w:val="none"/>
        </w:rPr>
      </w:pPr>
    </w:p>
    <w:p>
      <w:pPr>
        <w:snapToGrid w:val="0"/>
        <w:spacing w:line="288" w:lineRule="auto"/>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napToGrid w:val="0"/>
        <w:spacing w:line="288" w:lineRule="auto"/>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napToGrid w:val="0"/>
        <w:spacing w:line="288" w:lineRule="auto"/>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napToGrid w:val="0"/>
        <w:spacing w:line="288" w:lineRule="auto"/>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napToGrid w:val="0"/>
        <w:spacing w:line="288" w:lineRule="auto"/>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napToGrid w:val="0"/>
        <w:spacing w:line="288" w:lineRule="auto"/>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napToGrid w:val="0"/>
        <w:spacing w:line="288" w:lineRule="auto"/>
        <w:rPr>
          <w:rFonts w:ascii="宋体" w:hAnsi="宋体" w:cs="宋体"/>
          <w:color w:val="auto"/>
          <w:sz w:val="32"/>
          <w:szCs w:val="32"/>
          <w:highlight w:val="none"/>
        </w:rPr>
      </w:pPr>
      <w:bookmarkStart w:id="1" w:name="_Hlt91233176"/>
      <w:bookmarkEnd w:id="1"/>
      <w:bookmarkStart w:id="2" w:name="_Toc91899869"/>
    </w:p>
    <w:bookmarkEnd w:id="2"/>
    <w:p>
      <w:pPr>
        <w:snapToGrid w:val="0"/>
        <w:spacing w:line="288" w:lineRule="auto"/>
        <w:jc w:val="center"/>
        <w:outlineLvl w:val="0"/>
        <w:rPr>
          <w:rFonts w:ascii="宋体" w:hAnsi="宋体" w:cs="宋体"/>
          <w:b/>
          <w:color w:val="auto"/>
          <w:szCs w:val="21"/>
          <w:highlight w:val="none"/>
        </w:rPr>
        <w:sectPr>
          <w:pgSz w:w="11907" w:h="16840"/>
          <w:pgMar w:top="1474" w:right="1814" w:bottom="1474" w:left="1814" w:header="851" w:footer="851" w:gutter="0"/>
          <w:cols w:space="720" w:num="1"/>
        </w:sectPr>
      </w:pPr>
      <w:bookmarkStart w:id="3" w:name="_Hlt74729822"/>
      <w:bookmarkEnd w:id="3"/>
      <w:bookmarkStart w:id="4" w:name="_Hlt74649545"/>
      <w:bookmarkEnd w:id="4"/>
      <w:bookmarkStart w:id="5" w:name="_Hlt74707423"/>
      <w:bookmarkEnd w:id="5"/>
      <w:bookmarkStart w:id="6" w:name="_Hlt74728647"/>
      <w:bookmarkEnd w:id="6"/>
      <w:bookmarkStart w:id="7" w:name="第二部分"/>
      <w:bookmarkStart w:id="8" w:name="_Toc91899870"/>
      <w:bookmarkStart w:id="9" w:name="_Toc91899871"/>
    </w:p>
    <w:p>
      <w:pPr>
        <w:snapToGrid w:val="0"/>
        <w:spacing w:line="288" w:lineRule="auto"/>
        <w:jc w:val="center"/>
        <w:outlineLvl w:val="0"/>
        <w:rPr>
          <w:rFonts w:ascii="宋体" w:hAnsi="宋体" w:cs="宋体"/>
          <w:b/>
          <w:color w:val="auto"/>
          <w:szCs w:val="21"/>
          <w:highlight w:val="none"/>
        </w:rPr>
      </w:pPr>
      <w:r>
        <w:rPr>
          <w:rFonts w:hint="eastAsia" w:ascii="宋体" w:hAnsi="宋体" w:cs="宋体"/>
          <w:b/>
          <w:color w:val="auto"/>
          <w:szCs w:val="21"/>
          <w:highlight w:val="none"/>
        </w:rPr>
        <w:t>第一部分 招标公告</w:t>
      </w:r>
    </w:p>
    <w:p>
      <w:pPr>
        <w:pBdr>
          <w:top w:val="single" w:color="auto" w:sz="4" w:space="1"/>
          <w:left w:val="single" w:color="auto" w:sz="4" w:space="4"/>
          <w:bottom w:val="single" w:color="auto" w:sz="4" w:space="2"/>
          <w:right w:val="single" w:color="auto" w:sz="4" w:space="4"/>
        </w:pBdr>
        <w:snapToGrid w:val="0"/>
        <w:spacing w:line="288" w:lineRule="auto"/>
        <w:rPr>
          <w:rFonts w:ascii="宋体" w:hAnsi="宋体"/>
          <w:b/>
          <w:bCs/>
          <w:color w:val="auto"/>
          <w:szCs w:val="21"/>
          <w:highlight w:val="none"/>
        </w:rPr>
      </w:pPr>
      <w:r>
        <w:rPr>
          <w:rFonts w:hint="eastAsia" w:ascii="宋体" w:hAnsi="宋体"/>
          <w:b/>
          <w:bCs/>
          <w:color w:val="auto"/>
          <w:szCs w:val="21"/>
          <w:highlight w:val="none"/>
        </w:rPr>
        <w:t>项目概况</w:t>
      </w:r>
    </w:p>
    <w:p>
      <w:pPr>
        <w:pBdr>
          <w:top w:val="single" w:color="auto" w:sz="4" w:space="1"/>
          <w:left w:val="single" w:color="auto" w:sz="4" w:space="4"/>
          <w:bottom w:val="single" w:color="auto" w:sz="4" w:space="2"/>
          <w:right w:val="single" w:color="auto" w:sz="4" w:space="4"/>
        </w:pBdr>
        <w:snapToGrid w:val="0"/>
        <w:spacing w:line="288" w:lineRule="auto"/>
        <w:ind w:firstLine="424" w:firstLineChars="202"/>
        <w:rPr>
          <w:rFonts w:ascii="宋体" w:hAnsi="宋体"/>
          <w:color w:val="auto"/>
          <w:szCs w:val="21"/>
          <w:highlight w:val="none"/>
          <w:u w:val="single"/>
        </w:rPr>
      </w:pPr>
      <w:r>
        <w:rPr>
          <w:rFonts w:hint="eastAsia" w:ascii="宋体" w:hAnsi="宋体"/>
          <w:color w:val="auto"/>
          <w:szCs w:val="21"/>
          <w:highlight w:val="none"/>
        </w:rPr>
        <w:t>2024年杭州市拱墅区教育系统部分学校厨房设备采购项目招标项目的潜在投标人应在政采云平台（</w:t>
      </w:r>
      <w:r>
        <w:rPr>
          <w:color w:val="auto"/>
          <w:highlight w:val="none"/>
        </w:rPr>
        <w:fldChar w:fldCharType="begin"/>
      </w:r>
      <w:r>
        <w:rPr>
          <w:color w:val="auto"/>
          <w:highlight w:val="none"/>
        </w:rPr>
        <w:instrText xml:space="preserve"> HYPERLINK "https://www.zcygov.cn/）获取（下载）招标文件，并于2023年6月16日9点30分00秒" </w:instrText>
      </w:r>
      <w:r>
        <w:rPr>
          <w:color w:val="auto"/>
          <w:highlight w:val="none"/>
        </w:rPr>
        <w:fldChar w:fldCharType="separate"/>
      </w:r>
      <w:r>
        <w:rPr>
          <w:rStyle w:val="76"/>
          <w:rFonts w:ascii="宋体" w:hAnsi="宋体" w:eastAsia="宋体" w:cs="Times New Roman"/>
          <w:snapToGrid/>
          <w:color w:val="auto"/>
          <w:kern w:val="2"/>
          <w:sz w:val="21"/>
          <w:szCs w:val="21"/>
          <w:highlight w:val="none"/>
        </w:rPr>
        <w:t>https://www.zcygov.cn/）获取（下载）招标文件，并于</w:t>
      </w:r>
      <w:r>
        <w:rPr>
          <w:rStyle w:val="76"/>
          <w:rFonts w:hint="eastAsia" w:ascii="宋体" w:hAnsi="宋体" w:cs="Times New Roman"/>
          <w:snapToGrid/>
          <w:color w:val="auto"/>
          <w:kern w:val="2"/>
          <w:sz w:val="21"/>
          <w:szCs w:val="21"/>
          <w:highlight w:val="none"/>
        </w:rPr>
        <w:t>2024年</w:t>
      </w:r>
      <w:r>
        <w:rPr>
          <w:rStyle w:val="76"/>
          <w:rFonts w:hint="eastAsia" w:ascii="宋体" w:hAnsi="宋体" w:eastAsia="黑体" w:cs="Times New Roman"/>
          <w:snapToGrid/>
          <w:color w:val="auto"/>
          <w:kern w:val="2"/>
          <w:sz w:val="21"/>
          <w:szCs w:val="21"/>
          <w:highlight w:val="none"/>
          <w:lang w:eastAsia="zh-CN"/>
        </w:rPr>
        <w:t>5月23日</w:t>
      </w:r>
      <w:r>
        <w:rPr>
          <w:rStyle w:val="76"/>
          <w:rFonts w:hint="eastAsia" w:ascii="宋体" w:hAnsi="宋体" w:eastAsia="黑体" w:cs="Times New Roman"/>
          <w:snapToGrid/>
          <w:color w:val="auto"/>
          <w:kern w:val="2"/>
          <w:sz w:val="21"/>
          <w:szCs w:val="21"/>
          <w:highlight w:val="none"/>
          <w:lang w:eastAsia="zh-CN"/>
        </w:rPr>
        <w:t>10点00分00秒</w:t>
      </w:r>
      <w:r>
        <w:rPr>
          <w:rStyle w:val="76"/>
          <w:rFonts w:hint="eastAsia" w:ascii="宋体" w:hAnsi="宋体" w:cs="Times New Roman"/>
          <w:snapToGrid/>
          <w:color w:val="auto"/>
          <w:kern w:val="2"/>
          <w:sz w:val="21"/>
          <w:szCs w:val="21"/>
          <w:highlight w:val="none"/>
        </w:rPr>
        <w:fldChar w:fldCharType="end"/>
      </w:r>
      <w:r>
        <w:rPr>
          <w:rFonts w:hint="eastAsia" w:ascii="宋体" w:hAnsi="宋体"/>
          <w:bCs/>
          <w:color w:val="auto"/>
          <w:szCs w:val="21"/>
          <w:highlight w:val="none"/>
        </w:rPr>
        <w:t>（北京时间）前</w:t>
      </w:r>
      <w:r>
        <w:rPr>
          <w:rFonts w:hint="eastAsia" w:ascii="宋体" w:hAnsi="宋体"/>
          <w:color w:val="auto"/>
          <w:szCs w:val="21"/>
          <w:highlight w:val="none"/>
        </w:rPr>
        <w:t>递交（上传）投标文件。</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 xml:space="preserve">一、项目基本情况 </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项目编号：</w:t>
      </w:r>
      <w:r>
        <w:rPr>
          <w:rFonts w:hint="eastAsia" w:ascii="宋体" w:hAnsi="宋体" w:cs="宋体"/>
          <w:color w:val="auto"/>
          <w:szCs w:val="21"/>
          <w:highlight w:val="none"/>
        </w:rPr>
        <w:t>QSZB-Z(H)-B24115(GK)</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项目名称：</w:t>
      </w:r>
      <w:r>
        <w:rPr>
          <w:rFonts w:hint="eastAsia" w:ascii="宋体" w:hAnsi="宋体"/>
          <w:color w:val="auto"/>
          <w:szCs w:val="21"/>
          <w:highlight w:val="none"/>
        </w:rPr>
        <w:t>2024年杭州市拱墅区教育系统部分学校厨房设备采购项目</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预算金额（元）：</w:t>
      </w:r>
      <w:r>
        <w:rPr>
          <w:rFonts w:ascii="宋体" w:hAnsi="宋体" w:cs="宋体"/>
          <w:b/>
          <w:color w:val="auto"/>
          <w:szCs w:val="21"/>
          <w:highlight w:val="none"/>
        </w:rPr>
        <w:t>1870000</w:t>
      </w:r>
      <w:r>
        <w:rPr>
          <w:rFonts w:hint="eastAsia" w:ascii="宋体" w:hAnsi="宋体" w:cs="宋体"/>
          <w:b/>
          <w:color w:val="auto"/>
          <w:szCs w:val="21"/>
          <w:highlight w:val="none"/>
        </w:rPr>
        <w:t>元</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最高限价（元）：</w:t>
      </w:r>
      <w:r>
        <w:rPr>
          <w:rFonts w:ascii="宋体" w:hAnsi="宋体" w:cs="宋体"/>
          <w:b/>
          <w:color w:val="auto"/>
          <w:szCs w:val="21"/>
          <w:highlight w:val="none"/>
        </w:rPr>
        <w:t>1870000</w:t>
      </w:r>
      <w:r>
        <w:rPr>
          <w:rFonts w:hint="eastAsia" w:ascii="宋体" w:hAnsi="宋体" w:cs="宋体"/>
          <w:b/>
          <w:color w:val="auto"/>
          <w:szCs w:val="21"/>
          <w:highlight w:val="none"/>
        </w:rPr>
        <w:t>元</w:t>
      </w:r>
    </w:p>
    <w:p>
      <w:pPr>
        <w:pStyle w:val="17"/>
        <w:widowControl w:val="0"/>
        <w:spacing w:line="288" w:lineRule="auto"/>
        <w:ind w:firstLine="426" w:firstLineChars="202"/>
        <w:rPr>
          <w:rFonts w:hAnsi="宋体" w:cs="宋体"/>
          <w:bCs/>
          <w:snapToGrid/>
          <w:color w:val="auto"/>
          <w:kern w:val="2"/>
          <w:sz w:val="21"/>
          <w:szCs w:val="21"/>
          <w:highlight w:val="none"/>
        </w:rPr>
      </w:pPr>
      <w:r>
        <w:rPr>
          <w:rFonts w:hint="eastAsia" w:hAnsi="宋体" w:cs="宋体"/>
          <w:b/>
          <w:color w:val="auto"/>
          <w:sz w:val="21"/>
          <w:szCs w:val="21"/>
          <w:highlight w:val="none"/>
        </w:rPr>
        <w:t>采购需求：</w:t>
      </w:r>
      <w:r>
        <w:rPr>
          <w:rFonts w:hint="eastAsia" w:hAnsi="宋体"/>
          <w:snapToGrid/>
          <w:color w:val="auto"/>
          <w:kern w:val="2"/>
          <w:sz w:val="21"/>
          <w:szCs w:val="21"/>
          <w:highlight w:val="none"/>
        </w:rPr>
        <w:t>2024年杭州市拱墅区教育系统部分学校厨房设备采购项目</w:t>
      </w:r>
      <w:r>
        <w:rPr>
          <w:rFonts w:hint="eastAsia" w:hAnsi="宋体" w:cs="宋体"/>
          <w:bCs/>
          <w:snapToGrid/>
          <w:color w:val="auto"/>
          <w:kern w:val="2"/>
          <w:sz w:val="21"/>
          <w:szCs w:val="21"/>
          <w:highlight w:val="none"/>
        </w:rPr>
        <w:t>主要内容：杭州市胜蓝中学、杭州市安吉路实验学校（武林校区）、杭州市仙林实验幼儿园（新建和平园区）、杭州市现代实验小学（现代校区）、杭州市风华中学、杭州市朝晖幼儿园（朝七一部）、杭州市春蕾中学（王马校区）、杭州市春蕾中学（仙林校区）、珠碧二弄学校共9所学校的厨房设备采购。</w:t>
      </w:r>
      <w:r>
        <w:rPr>
          <w:rFonts w:hint="eastAsia" w:hAnsi="宋体"/>
          <w:snapToGrid/>
          <w:color w:val="auto"/>
          <w:kern w:val="2"/>
          <w:sz w:val="21"/>
          <w:szCs w:val="21"/>
          <w:highlight w:val="none"/>
        </w:rPr>
        <w:t>具体以招标文件第三部分采购需求为准，供应商可点击本公告下方“浏览采购文件”查看采购需求。</w:t>
      </w:r>
    </w:p>
    <w:p>
      <w:pPr>
        <w:pStyle w:val="134"/>
        <w:snapToGrid w:val="0"/>
        <w:spacing w:before="0" w:line="288" w:lineRule="auto"/>
        <w:ind w:firstLine="426" w:firstLineChars="202"/>
        <w:rPr>
          <w:rFonts w:ascii="宋体" w:hAnsi="宋体" w:cs="宋体"/>
          <w:color w:val="auto"/>
          <w:sz w:val="21"/>
          <w:szCs w:val="21"/>
          <w:highlight w:val="none"/>
        </w:rPr>
      </w:pPr>
      <w:r>
        <w:rPr>
          <w:rFonts w:hint="eastAsia" w:ascii="宋体" w:hAnsi="宋体" w:cs="宋体"/>
          <w:b/>
          <w:color w:val="auto"/>
          <w:sz w:val="21"/>
          <w:szCs w:val="21"/>
          <w:highlight w:val="none"/>
        </w:rPr>
        <w:t>合同履约期限：</w:t>
      </w:r>
      <w:r>
        <w:rPr>
          <w:rFonts w:hint="eastAsia" w:ascii="宋体" w:hAnsi="宋体"/>
          <w:color w:val="auto"/>
          <w:sz w:val="21"/>
          <w:szCs w:val="21"/>
          <w:highlight w:val="none"/>
        </w:rPr>
        <w:t>自合同签订之日起60日内交付。</w:t>
      </w:r>
    </w:p>
    <w:p>
      <w:pPr>
        <w:pStyle w:val="17"/>
        <w:widowControl w:val="0"/>
        <w:spacing w:line="288" w:lineRule="auto"/>
        <w:ind w:firstLine="426" w:firstLineChars="202"/>
        <w:rPr>
          <w:rFonts w:hAnsi="宋体" w:cs="宋体"/>
          <w:color w:val="auto"/>
          <w:kern w:val="0"/>
          <w:sz w:val="21"/>
          <w:szCs w:val="21"/>
          <w:highlight w:val="none"/>
        </w:rPr>
      </w:pPr>
      <w:r>
        <w:rPr>
          <w:rFonts w:hint="eastAsia" w:hAnsi="宋体" w:cs="宋体"/>
          <w:b/>
          <w:color w:val="auto"/>
          <w:sz w:val="21"/>
          <w:szCs w:val="21"/>
          <w:highlight w:val="none"/>
        </w:rPr>
        <w:t>本项目接受联合体投标：</w:t>
      </w:r>
      <w:sdt>
        <w:sdtPr>
          <w:rPr>
            <w:rFonts w:hint="eastAsia" w:hAnsi="宋体" w:cs="宋体"/>
            <w:color w:val="auto"/>
            <w:kern w:val="0"/>
            <w:sz w:val="21"/>
            <w:szCs w:val="21"/>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1"/>
            <w:szCs w:val="21"/>
            <w:highlight w:val="none"/>
          </w:rPr>
        </w:sdtEndPr>
        <w:sdtContent>
          <w:r>
            <w:rPr>
              <w:rFonts w:hint="eastAsia" w:hAnsi="宋体" w:cs="宋体"/>
              <w:color w:val="auto"/>
              <w:kern w:val="0"/>
              <w:sz w:val="21"/>
              <w:szCs w:val="21"/>
              <w:highlight w:val="none"/>
            </w:rPr>
            <w:sym w:font="Wingdings" w:char="F0FE"/>
          </w:r>
        </w:sdtContent>
      </w:sdt>
      <w:r>
        <w:rPr>
          <w:rFonts w:hint="eastAsia" w:hAnsi="宋体" w:cs="宋体"/>
          <w:b/>
          <w:color w:val="auto"/>
          <w:sz w:val="21"/>
          <w:szCs w:val="21"/>
          <w:highlight w:val="none"/>
        </w:rPr>
        <w:t>是</w:t>
      </w:r>
      <w:r>
        <w:rPr>
          <w:rFonts w:hint="eastAsia" w:hAnsi="宋体" w:cs="宋体"/>
          <w:b/>
          <w:snapToGrid/>
          <w:color w:val="auto"/>
          <w:kern w:val="2"/>
          <w:sz w:val="21"/>
          <w:szCs w:val="21"/>
          <w:highlight w:val="none"/>
        </w:rPr>
        <w:t>；</w:t>
      </w:r>
      <w:sdt>
        <w:sdtPr>
          <w:rPr>
            <w:rFonts w:hint="eastAsia" w:hAnsi="宋体" w:cs="宋体"/>
            <w:color w:val="auto"/>
            <w:kern w:val="0"/>
            <w:sz w:val="21"/>
            <w:szCs w:val="21"/>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1"/>
            <w:szCs w:val="21"/>
            <w:highlight w:val="none"/>
          </w:rPr>
        </w:sdtEndPr>
        <w:sdtContent>
          <w:r>
            <w:rPr>
              <w:rFonts w:hint="eastAsia" w:ascii="MS Gothic" w:hAnsi="MS Gothic" w:eastAsia="MS Gothic" w:cs="宋体"/>
              <w:color w:val="auto"/>
              <w:kern w:val="0"/>
              <w:sz w:val="21"/>
              <w:szCs w:val="21"/>
              <w:highlight w:val="none"/>
            </w:rPr>
            <w:t>☐</w:t>
          </w:r>
        </w:sdtContent>
      </w:sdt>
      <w:r>
        <w:rPr>
          <w:rFonts w:hint="eastAsia" w:hAnsi="宋体" w:cs="宋体"/>
          <w:b/>
          <w:color w:val="auto"/>
          <w:sz w:val="21"/>
          <w:szCs w:val="21"/>
          <w:highlight w:val="none"/>
        </w:rPr>
        <w:t>否</w:t>
      </w:r>
      <w:r>
        <w:rPr>
          <w:rFonts w:hint="eastAsia" w:hAnsi="宋体" w:cs="宋体"/>
          <w:color w:val="auto"/>
          <w:kern w:val="0"/>
          <w:sz w:val="21"/>
          <w:szCs w:val="21"/>
          <w:highlight w:val="none"/>
        </w:rPr>
        <w:t>。</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二、</w:t>
      </w:r>
      <w:bookmarkStart w:id="10" w:name="_Hlk101132948"/>
      <w:r>
        <w:rPr>
          <w:rFonts w:hint="eastAsia" w:ascii="宋体" w:hAnsi="宋体" w:cs="宋体"/>
          <w:b/>
          <w:color w:val="auto"/>
          <w:szCs w:val="21"/>
          <w:highlight w:val="none"/>
        </w:rPr>
        <w:t>申请人的资格要求</w:t>
      </w:r>
      <w:bookmarkEnd w:id="10"/>
      <w:r>
        <w:rPr>
          <w:rFonts w:hint="eastAsia" w:ascii="宋体" w:hAnsi="宋体" w:cs="宋体"/>
          <w:b/>
          <w:color w:val="auto"/>
          <w:szCs w:val="21"/>
          <w:highlight w:val="none"/>
        </w:rPr>
        <w:t>：</w:t>
      </w:r>
    </w:p>
    <w:p>
      <w:pPr>
        <w:snapToGrid w:val="0"/>
        <w:spacing w:line="288" w:lineRule="auto"/>
        <w:ind w:firstLine="424" w:firstLineChars="202"/>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napToGrid w:val="0"/>
        <w:spacing w:line="288" w:lineRule="auto"/>
        <w:ind w:firstLine="424" w:firstLineChars="202"/>
        <w:rPr>
          <w:rFonts w:ascii="宋体" w:hAnsi="宋体" w:cs="宋体"/>
          <w:snapToGrid w:val="0"/>
          <w:color w:val="auto"/>
          <w:kern w:val="28"/>
          <w:szCs w:val="21"/>
          <w:highlight w:val="none"/>
        </w:rPr>
      </w:pPr>
      <w:r>
        <w:rPr>
          <w:rFonts w:ascii="宋体" w:hAnsi="宋体" w:cs="宋体"/>
          <w:snapToGrid w:val="0"/>
          <w:color w:val="auto"/>
          <w:kern w:val="28"/>
          <w:szCs w:val="21"/>
          <w:highlight w:val="none"/>
        </w:rPr>
        <w:t>2</w:t>
      </w:r>
      <w:r>
        <w:rPr>
          <w:rFonts w:hint="eastAsia" w:ascii="宋体" w:hAnsi="宋体" w:cs="宋体"/>
          <w:snapToGrid w:val="0"/>
          <w:color w:val="auto"/>
          <w:kern w:val="28"/>
          <w:szCs w:val="21"/>
          <w:highlight w:val="none"/>
        </w:rPr>
        <w:t>.以联合体形式投标的，提供联合协议(本项目不接受联合体投标或者投标人不以联合体形式投标的，则不需要提供) ；</w:t>
      </w:r>
    </w:p>
    <w:p>
      <w:pPr>
        <w:snapToGrid w:val="0"/>
        <w:spacing w:line="288" w:lineRule="auto"/>
        <w:ind w:firstLine="424" w:firstLineChars="202"/>
        <w:rPr>
          <w:rFonts w:ascii="宋体" w:hAnsi="宋体" w:cs="宋体"/>
          <w:snapToGrid w:val="0"/>
          <w:color w:val="auto"/>
          <w:kern w:val="28"/>
          <w:szCs w:val="21"/>
          <w:highlight w:val="none"/>
        </w:rPr>
      </w:pPr>
      <w:r>
        <w:rPr>
          <w:rFonts w:ascii="宋体" w:hAnsi="宋体" w:cs="宋体"/>
          <w:snapToGrid w:val="0"/>
          <w:color w:val="auto"/>
          <w:kern w:val="28"/>
          <w:szCs w:val="21"/>
          <w:highlight w:val="none"/>
        </w:rPr>
        <w:t>3</w:t>
      </w:r>
      <w:r>
        <w:rPr>
          <w:rFonts w:hint="eastAsia" w:ascii="宋体" w:hAnsi="宋体" w:cs="宋体"/>
          <w:snapToGrid w:val="0"/>
          <w:color w:val="auto"/>
          <w:kern w:val="28"/>
          <w:szCs w:val="21"/>
          <w:highlight w:val="none"/>
        </w:rPr>
        <w:t>.落实政府采购政策需满足的资格要求：本项目专门面向中小企业采购，需按要求提交《中小企业声明函》。提供货物全部由中小企业制造，即货物由中小企业生产且使用该中小企业商号或者注册商标；供应商提供的货物既有中小企业制造货物，也有大型企业制造货物的，不符合本项目资格要求。监狱企业、残疾人福利性单位视同小型、微型企业；</w:t>
      </w:r>
    </w:p>
    <w:p>
      <w:pPr>
        <w:snapToGrid w:val="0"/>
        <w:spacing w:line="288" w:lineRule="auto"/>
        <w:ind w:firstLine="424" w:firstLineChars="202"/>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.本项目的特定资格要求：无；</w:t>
      </w:r>
    </w:p>
    <w:p>
      <w:pPr>
        <w:snapToGrid w:val="0"/>
        <w:spacing w:line="288" w:lineRule="auto"/>
        <w:ind w:firstLine="424" w:firstLineChars="202"/>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 xml:space="preserve">三、获取招标文件 </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时间：</w:t>
      </w:r>
      <w:r>
        <w:rPr>
          <w:rFonts w:hint="eastAsia" w:ascii="宋体" w:hAnsi="宋体" w:cs="宋体"/>
          <w:color w:val="auto"/>
          <w:szCs w:val="21"/>
          <w:highlight w:val="none"/>
        </w:rPr>
        <w:t>/至</w:t>
      </w:r>
      <w:r>
        <w:rPr>
          <w:rFonts w:hint="eastAsia" w:ascii="宋体" w:hAnsi="宋体" w:cs="宋体"/>
          <w:color w:val="auto"/>
          <w:szCs w:val="21"/>
          <w:highlight w:val="none"/>
          <w:u w:val="single"/>
        </w:rPr>
        <w:t>2024年</w:t>
      </w:r>
      <w:r>
        <w:rPr>
          <w:rFonts w:hint="eastAsia" w:ascii="宋体" w:hAnsi="宋体" w:cs="宋体"/>
          <w:color w:val="auto"/>
          <w:szCs w:val="21"/>
          <w:highlight w:val="none"/>
          <w:u w:val="single"/>
          <w:lang w:eastAsia="zh-CN"/>
        </w:rPr>
        <w:t>5月23日</w:t>
      </w:r>
      <w:r>
        <w:rPr>
          <w:rFonts w:hint="eastAsia" w:ascii="宋体" w:hAnsi="宋体" w:cs="宋体"/>
          <w:color w:val="auto"/>
          <w:szCs w:val="21"/>
          <w:highlight w:val="none"/>
        </w:rPr>
        <w:t>，每天上午00:00至12:00 ，下午12:00至23:59（北京时间，线上获取法定节假日均可，线下获取文件法定节假日除外）</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地点（网址）：</w:t>
      </w:r>
      <w:r>
        <w:rPr>
          <w:rFonts w:hint="eastAsia" w:ascii="宋体" w:hAnsi="宋体" w:cs="宋体"/>
          <w:color w:val="auto"/>
          <w:szCs w:val="21"/>
          <w:highlight w:val="none"/>
        </w:rPr>
        <w:t xml:space="preserve">政采云平台（https://www.zcygov.cn/） </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方式：</w:t>
      </w:r>
      <w:r>
        <w:rPr>
          <w:rFonts w:hint="eastAsia" w:ascii="宋体" w:hAnsi="宋体" w:cs="宋体"/>
          <w:color w:val="auto"/>
          <w:szCs w:val="21"/>
          <w:highlight w:val="none"/>
        </w:rPr>
        <w:t xml:space="preserve">供应商登录政采云平台https://www.zcygov.cn/在线申请获取采购文件（进入“项目采购”应用，在获取采购文件菜单中选择项目，申请获取采购文件）。 </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售价（元）：</w:t>
      </w:r>
      <w:r>
        <w:rPr>
          <w:rFonts w:hint="eastAsia" w:ascii="宋体" w:hAnsi="宋体" w:cs="宋体"/>
          <w:color w:val="auto"/>
          <w:szCs w:val="21"/>
          <w:highlight w:val="none"/>
        </w:rPr>
        <w:t xml:space="preserve">0 </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四、提交投标文件截止时间、开标时间和地点</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提交投标文件截止时间：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2024年</w:t>
      </w:r>
      <w:r>
        <w:rPr>
          <w:rFonts w:hint="eastAsia" w:ascii="宋体" w:hAnsi="宋体" w:cs="宋体"/>
          <w:color w:val="auto"/>
          <w:szCs w:val="21"/>
          <w:highlight w:val="none"/>
          <w:u w:val="single"/>
          <w:lang w:eastAsia="zh-CN"/>
        </w:rPr>
        <w:t>5月23日</w:t>
      </w:r>
      <w:r>
        <w:rPr>
          <w:rFonts w:hint="eastAsia" w:ascii="宋体" w:hAnsi="宋体" w:cs="宋体"/>
          <w:color w:val="auto"/>
          <w:szCs w:val="21"/>
          <w:highlight w:val="none"/>
          <w:u w:val="single"/>
          <w:lang w:eastAsia="zh-CN"/>
        </w:rPr>
        <w:t>10点00分00秒</w:t>
      </w:r>
      <w:r>
        <w:rPr>
          <w:rFonts w:hint="eastAsia" w:ascii="宋体" w:hAnsi="宋体" w:cs="宋体"/>
          <w:color w:val="auto"/>
          <w:szCs w:val="21"/>
          <w:highlight w:val="none"/>
        </w:rPr>
        <w:t>（北京时间）</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投标地点（网址）：</w:t>
      </w:r>
      <w:r>
        <w:rPr>
          <w:rFonts w:hint="eastAsia" w:ascii="宋体" w:hAnsi="宋体" w:cs="宋体"/>
          <w:color w:val="auto"/>
          <w:szCs w:val="21"/>
          <w:highlight w:val="none"/>
        </w:rPr>
        <w:t>政采云平台（https://www.zcygov.cn/）</w:t>
      </w:r>
    </w:p>
    <w:p>
      <w:pPr>
        <w:snapToGrid w:val="0"/>
        <w:spacing w:line="288" w:lineRule="auto"/>
        <w:ind w:firstLine="426" w:firstLineChars="202"/>
        <w:rPr>
          <w:rFonts w:hint="eastAsia" w:ascii="宋体" w:hAnsi="宋体" w:eastAsia="宋体" w:cs="宋体"/>
          <w:bCs/>
          <w:color w:val="auto"/>
          <w:szCs w:val="21"/>
          <w:highlight w:val="none"/>
          <w:u w:val="single"/>
          <w:lang w:eastAsia="zh-CN"/>
        </w:rPr>
      </w:pPr>
      <w:r>
        <w:rPr>
          <w:rFonts w:hint="eastAsia" w:ascii="宋体" w:hAnsi="宋体" w:cs="宋体"/>
          <w:b/>
          <w:color w:val="auto"/>
          <w:szCs w:val="21"/>
          <w:highlight w:val="none"/>
        </w:rPr>
        <w:t>开标时间：</w:t>
      </w:r>
      <w:r>
        <w:rPr>
          <w:rFonts w:hint="eastAsia" w:ascii="宋体" w:hAnsi="宋体" w:cs="宋体"/>
          <w:color w:val="auto"/>
          <w:szCs w:val="21"/>
          <w:highlight w:val="none"/>
          <w:u w:val="single"/>
        </w:rPr>
        <w:t>2024年</w:t>
      </w:r>
      <w:r>
        <w:rPr>
          <w:rFonts w:hint="eastAsia" w:ascii="宋体" w:hAnsi="宋体" w:cs="宋体"/>
          <w:color w:val="auto"/>
          <w:szCs w:val="21"/>
          <w:highlight w:val="none"/>
          <w:u w:val="single"/>
          <w:lang w:eastAsia="zh-CN"/>
        </w:rPr>
        <w:t>5月23日</w:t>
      </w:r>
      <w:r>
        <w:rPr>
          <w:rFonts w:hint="eastAsia" w:ascii="宋体" w:hAnsi="宋体" w:cs="宋体"/>
          <w:color w:val="auto"/>
          <w:szCs w:val="21"/>
          <w:highlight w:val="none"/>
          <w:u w:val="single"/>
          <w:lang w:eastAsia="zh-CN"/>
        </w:rPr>
        <w:t>10点00分00秒</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开标地点（网址）：</w:t>
      </w:r>
      <w:r>
        <w:rPr>
          <w:rFonts w:hint="eastAsia" w:ascii="宋体" w:hAnsi="宋体" w:cs="宋体"/>
          <w:color w:val="auto"/>
          <w:szCs w:val="21"/>
          <w:highlight w:val="none"/>
        </w:rPr>
        <w:t>政采云平台（https://www.zcygov.cn/）</w:t>
      </w:r>
    </w:p>
    <w:p>
      <w:pPr>
        <w:snapToGrid w:val="0"/>
        <w:spacing w:line="288" w:lineRule="auto"/>
        <w:ind w:firstLine="426" w:firstLineChars="202"/>
        <w:rPr>
          <w:rFonts w:ascii="宋体" w:hAnsi="宋体" w:cs="宋体"/>
          <w:color w:val="auto"/>
          <w:szCs w:val="21"/>
          <w:highlight w:val="none"/>
        </w:rPr>
      </w:pPr>
      <w:r>
        <w:rPr>
          <w:rFonts w:hint="eastAsia" w:ascii="宋体" w:hAnsi="宋体" w:cs="宋体"/>
          <w:b/>
          <w:color w:val="auto"/>
          <w:szCs w:val="21"/>
          <w:highlight w:val="none"/>
        </w:rPr>
        <w:t xml:space="preserve">五、公告期限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自本公告发布之日起5个工作日。</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六、其他补充事宜</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Cs w:val="21"/>
          <w:highlight w:val="none"/>
        </w:rPr>
        <w:t>。</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七、对本次采购提出询问、质疑、投诉，请按以下方式联系</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1.采购人信息</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名    称：杭州市拱墅区教育发展服务中心</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地    址：</w:t>
      </w:r>
      <w:r>
        <w:rPr>
          <w:rFonts w:hint="eastAsia"/>
          <w:color w:val="auto"/>
          <w:highlight w:val="none"/>
        </w:rPr>
        <w:t>拱墅区上塘路201号</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传    真：/</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项目联系人（询问）：朱老师</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项目联系方式（询问）：0571-88259339</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质疑联系人：韩老师</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质疑联系方式：0571-85336077</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2.采购代理机构信息</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名    称：浙江求是招标代理有限公司</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olor w:val="auto"/>
          <w:szCs w:val="21"/>
          <w:highlight w:val="none"/>
        </w:rPr>
        <w:t>杭州市西湖区玉古路173号中田大厦21楼</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传    真：/</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项目联系人（询问）：</w:t>
      </w:r>
      <w:r>
        <w:rPr>
          <w:rFonts w:hint="eastAsia" w:ascii="宋体" w:hAnsi="宋体"/>
          <w:color w:val="auto"/>
          <w:szCs w:val="21"/>
          <w:highlight w:val="none"/>
        </w:rPr>
        <w:t>陈应俭、俞炳</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项目联系方式（询问）：</w:t>
      </w:r>
      <w:r>
        <w:rPr>
          <w:rFonts w:hint="eastAsia" w:ascii="宋体" w:hAnsi="宋体"/>
          <w:color w:val="auto"/>
          <w:szCs w:val="21"/>
          <w:highlight w:val="none"/>
        </w:rPr>
        <w:t>0571-87670302</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质疑联系人：</w:t>
      </w:r>
      <w:r>
        <w:rPr>
          <w:rFonts w:hint="eastAsia" w:ascii="宋体" w:hAnsi="宋体"/>
          <w:color w:val="auto"/>
          <w:szCs w:val="21"/>
          <w:highlight w:val="none"/>
        </w:rPr>
        <w:t>刘璐</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质疑联系方式：</w:t>
      </w:r>
      <w:r>
        <w:rPr>
          <w:rFonts w:hint="eastAsia" w:ascii="宋体" w:hAnsi="宋体"/>
          <w:color w:val="auto"/>
          <w:szCs w:val="21"/>
          <w:highlight w:val="none"/>
        </w:rPr>
        <w:t>0571-81110356</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olor w:val="auto"/>
          <w:szCs w:val="21"/>
          <w:highlight w:val="none"/>
        </w:rPr>
        <w:t xml:space="preserve"> </w:t>
      </w:r>
      <w:r>
        <w:rPr>
          <w:rFonts w:hint="eastAsia" w:ascii="宋体" w:hAnsi="宋体" w:cs="宋体"/>
          <w:color w:val="auto"/>
          <w:szCs w:val="21"/>
          <w:highlight w:val="none"/>
        </w:rPr>
        <w:t xml:space="preserve">同级政府采购监督管理部门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名    称：杭州市拱墅区财政局/浙江省政府采购行政裁决服务中心（杭州）</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地    址：杭州市上城区四季青街道新业路市民之家G03办公室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传    真：/</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联系人 ：朱女士、王女士</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监督投诉电话：电话：0571-85252453</w:t>
      </w:r>
    </w:p>
    <w:p>
      <w:pPr>
        <w:snapToGrid w:val="0"/>
        <w:spacing w:line="288" w:lineRule="auto"/>
        <w:ind w:firstLine="424" w:firstLineChars="202"/>
        <w:rPr>
          <w:rFonts w:ascii="宋体" w:hAnsi="宋体" w:cs="宋体"/>
          <w:color w:val="auto"/>
          <w:szCs w:val="21"/>
          <w:highlight w:val="none"/>
        </w:rPr>
      </w:pP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若对项目采购电子交易系统操作有疑问，可登录政采云（https://www.zcygov.cn/），点击右侧咨询小采，获取采小蜜智能服务管家帮助，或拨打政采云服务热线95763获取热线服务帮助。</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CA问题联系电话（人工）：汇信CA 400-888-4636；天谷CA 400-087-8198。</w:t>
      </w:r>
    </w:p>
    <w:p>
      <w:pPr>
        <w:pStyle w:val="5"/>
        <w:keepNext w:val="0"/>
        <w:keepLines w:val="0"/>
        <w:adjustRightInd w:val="0"/>
        <w:snapToGrid w:val="0"/>
        <w:spacing w:line="288" w:lineRule="auto"/>
        <w:ind w:left="0" w:firstLine="0"/>
        <w:rPr>
          <w:rFonts w:ascii="宋体" w:hAnsi="宋体" w:eastAsia="宋体"/>
          <w:snapToGrid w:val="0"/>
          <w:color w:val="auto"/>
          <w:sz w:val="21"/>
          <w:szCs w:val="21"/>
          <w:highlight w:val="none"/>
        </w:rPr>
      </w:pPr>
      <w:r>
        <w:rPr>
          <w:rFonts w:ascii="宋体" w:hAnsi="宋体" w:eastAsia="宋体"/>
          <w:color w:val="auto"/>
          <w:sz w:val="21"/>
          <w:szCs w:val="21"/>
          <w:highlight w:val="none"/>
        </w:rPr>
        <w:br w:type="page"/>
      </w:r>
    </w:p>
    <w:p>
      <w:pPr>
        <w:snapToGrid w:val="0"/>
        <w:spacing w:line="288" w:lineRule="auto"/>
        <w:jc w:val="center"/>
        <w:outlineLvl w:val="0"/>
        <w:rPr>
          <w:rFonts w:ascii="宋体" w:hAnsi="宋体" w:cs="宋体"/>
          <w:b/>
          <w:color w:val="auto"/>
          <w:szCs w:val="21"/>
          <w:highlight w:val="none"/>
        </w:rPr>
      </w:pPr>
      <w:r>
        <w:rPr>
          <w:rFonts w:hint="eastAsia" w:ascii="宋体" w:hAnsi="宋体" w:cs="宋体"/>
          <w:b/>
          <w:color w:val="auto"/>
          <w:szCs w:val="21"/>
          <w:highlight w:val="none"/>
        </w:rPr>
        <w:t>第二部分</w:t>
      </w:r>
      <w:bookmarkEnd w:id="7"/>
      <w:r>
        <w:rPr>
          <w:rFonts w:hint="eastAsia" w:ascii="宋体" w:hAnsi="宋体" w:cs="宋体"/>
          <w:b/>
          <w:color w:val="auto"/>
          <w:szCs w:val="21"/>
          <w:highlight w:val="none"/>
        </w:rPr>
        <w:t xml:space="preserve"> 投标人须知</w:t>
      </w:r>
      <w:bookmarkEnd w:id="8"/>
    </w:p>
    <w:p>
      <w:pPr>
        <w:snapToGrid w:val="0"/>
        <w:spacing w:line="288" w:lineRule="auto"/>
        <w:jc w:val="center"/>
        <w:outlineLvl w:val="1"/>
        <w:rPr>
          <w:rFonts w:ascii="宋体" w:hAnsi="宋体" w:cs="宋体"/>
          <w:b/>
          <w:color w:val="auto"/>
          <w:szCs w:val="21"/>
          <w:highlight w:val="none"/>
        </w:rPr>
      </w:pPr>
      <w:r>
        <w:rPr>
          <w:rFonts w:hint="eastAsia" w:ascii="宋体" w:hAnsi="宋体" w:cs="宋体"/>
          <w:b/>
          <w:color w:val="auto"/>
          <w:szCs w:val="21"/>
          <w:highlight w:val="none"/>
        </w:rPr>
        <w:t>前附表</w:t>
      </w:r>
    </w:p>
    <w:tbl>
      <w:tblPr>
        <w:tblStyle w:val="62"/>
        <w:tblW w:w="8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0"/>
        <w:gridCol w:w="2092"/>
        <w:gridCol w:w="5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事项</w:t>
            </w:r>
          </w:p>
        </w:tc>
        <w:tc>
          <w:tcPr>
            <w:tcW w:w="5683"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项目属性与核心产品</w:t>
            </w:r>
          </w:p>
        </w:tc>
        <w:tc>
          <w:tcPr>
            <w:tcW w:w="5683" w:type="dxa"/>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货物类，单一产品或</w:t>
            </w:r>
            <w:r>
              <w:rPr>
                <w:rFonts w:hint="eastAsia" w:ascii="宋体" w:hAnsi="宋体" w:cs="宋体"/>
                <w:color w:val="auto"/>
                <w:kern w:val="0"/>
                <w:szCs w:val="21"/>
                <w:highlight w:val="none"/>
              </w:rPr>
              <w:t>核心产品为：</w:t>
            </w:r>
            <w:r>
              <w:rPr>
                <w:rFonts w:hint="eastAsia" w:ascii="宋体" w:hAnsi="宋体" w:cs="宋体"/>
                <w:color w:val="auto"/>
                <w:kern w:val="0"/>
                <w:szCs w:val="21"/>
                <w:highlight w:val="none"/>
                <w:u w:val="single"/>
              </w:rPr>
              <w:t>长龙式全自动洗碗机</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采购标的及其对应的中小企业划分标准所属行业</w:t>
            </w:r>
          </w:p>
        </w:tc>
        <w:tc>
          <w:tcPr>
            <w:tcW w:w="5683" w:type="dxa"/>
            <w:vAlign w:val="center"/>
          </w:tcPr>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（1）标的：</w:t>
            </w:r>
            <w:r>
              <w:rPr>
                <w:rFonts w:hint="eastAsia" w:ascii="宋体" w:hAnsi="宋体" w:cs="宋体"/>
                <w:color w:val="auto"/>
                <w:kern w:val="0"/>
                <w:szCs w:val="21"/>
                <w:highlight w:val="none"/>
                <w:u w:val="single"/>
              </w:rPr>
              <w:t>不锈钢防火阀</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（2）标的：</w:t>
            </w:r>
            <w:r>
              <w:rPr>
                <w:rFonts w:hint="eastAsia" w:ascii="宋体" w:hAnsi="宋体" w:cs="宋体"/>
                <w:color w:val="auto"/>
                <w:kern w:val="0"/>
                <w:szCs w:val="21"/>
                <w:highlight w:val="none"/>
                <w:u w:val="single"/>
              </w:rPr>
              <w:t>大米架1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（3）标的：</w:t>
            </w:r>
            <w:r>
              <w:rPr>
                <w:rFonts w:hint="eastAsia" w:ascii="宋体" w:hAnsi="宋体" w:cs="宋体"/>
                <w:color w:val="auto"/>
                <w:kern w:val="0"/>
                <w:szCs w:val="21"/>
                <w:highlight w:val="none"/>
                <w:u w:val="single"/>
              </w:rPr>
              <w:t>电开水器（连底座）</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（4）标的：</w:t>
            </w:r>
            <w:r>
              <w:rPr>
                <w:rFonts w:hint="eastAsia" w:ascii="宋体" w:hAnsi="宋体" w:cs="宋体"/>
                <w:color w:val="auto"/>
                <w:kern w:val="0"/>
                <w:szCs w:val="21"/>
                <w:highlight w:val="none"/>
                <w:u w:val="single"/>
              </w:rPr>
              <w:t>风机、净化器槽钢支架</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（5）标的：</w:t>
            </w:r>
            <w:r>
              <w:rPr>
                <w:rFonts w:hint="eastAsia" w:ascii="宋体" w:hAnsi="宋体" w:cs="宋体"/>
                <w:color w:val="auto"/>
                <w:kern w:val="0"/>
                <w:szCs w:val="21"/>
                <w:highlight w:val="none"/>
                <w:u w:val="single"/>
              </w:rPr>
              <w:t>紫外线消毒灯</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（6）标的：</w:t>
            </w:r>
            <w:r>
              <w:rPr>
                <w:rFonts w:hint="eastAsia" w:ascii="宋体" w:hAnsi="宋体" w:cs="宋体"/>
                <w:color w:val="auto"/>
                <w:kern w:val="0"/>
                <w:szCs w:val="21"/>
                <w:highlight w:val="none"/>
                <w:u w:val="single"/>
              </w:rPr>
              <w:t>不锈钢风管2</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（7）标的：</w:t>
            </w:r>
            <w:r>
              <w:rPr>
                <w:rFonts w:hint="eastAsia" w:ascii="宋体" w:hAnsi="宋体" w:cs="宋体"/>
                <w:color w:val="auto"/>
                <w:kern w:val="0"/>
                <w:szCs w:val="21"/>
                <w:highlight w:val="none"/>
                <w:u w:val="single"/>
              </w:rPr>
              <w:t>单冷水龙头2</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（8）标的：</w:t>
            </w:r>
            <w:r>
              <w:rPr>
                <w:rFonts w:hint="eastAsia" w:ascii="宋体" w:hAnsi="宋体" w:cs="宋体"/>
                <w:color w:val="auto"/>
                <w:kern w:val="0"/>
                <w:szCs w:val="21"/>
                <w:highlight w:val="none"/>
                <w:u w:val="single"/>
              </w:rPr>
              <w:t>弹簧减震器1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（9）标的：</w:t>
            </w:r>
            <w:r>
              <w:rPr>
                <w:rFonts w:hint="eastAsia" w:ascii="宋体" w:hAnsi="宋体" w:cs="宋体"/>
                <w:color w:val="auto"/>
                <w:kern w:val="0"/>
                <w:szCs w:val="21"/>
                <w:highlight w:val="none"/>
                <w:u w:val="single"/>
              </w:rPr>
              <w:t>风机变频启动箱1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（10）标的：</w:t>
            </w:r>
            <w:r>
              <w:rPr>
                <w:rFonts w:hint="eastAsia" w:ascii="宋体" w:hAnsi="宋体" w:cs="宋体"/>
                <w:color w:val="auto"/>
                <w:kern w:val="0"/>
                <w:szCs w:val="21"/>
                <w:highlight w:val="none"/>
                <w:u w:val="single"/>
              </w:rPr>
              <w:t>风机变频启动箱2</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（11）标的：</w:t>
            </w:r>
            <w:r>
              <w:rPr>
                <w:rFonts w:hint="eastAsia" w:ascii="宋体" w:hAnsi="宋体" w:cs="宋体"/>
                <w:color w:val="auto"/>
                <w:kern w:val="0"/>
                <w:szCs w:val="21"/>
                <w:highlight w:val="none"/>
                <w:u w:val="single"/>
              </w:rPr>
              <w:t>风机变频启动箱3</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（12）标的：</w:t>
            </w:r>
            <w:r>
              <w:rPr>
                <w:rFonts w:hint="eastAsia" w:ascii="宋体" w:hAnsi="宋体" w:cs="宋体"/>
                <w:color w:val="auto"/>
                <w:kern w:val="0"/>
                <w:szCs w:val="21"/>
                <w:highlight w:val="none"/>
                <w:u w:val="single"/>
              </w:rPr>
              <w:t>风机软连接</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（13）标的：</w:t>
            </w:r>
            <w:r>
              <w:rPr>
                <w:rFonts w:hint="eastAsia" w:ascii="宋体" w:hAnsi="宋体" w:cs="宋体"/>
                <w:color w:val="auto"/>
                <w:kern w:val="0"/>
                <w:szCs w:val="21"/>
                <w:highlight w:val="none"/>
                <w:u w:val="single"/>
              </w:rPr>
              <w:t>风幕机1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（14）标的：</w:t>
            </w:r>
            <w:r>
              <w:rPr>
                <w:rFonts w:hint="eastAsia" w:ascii="宋体" w:hAnsi="宋体" w:cs="宋体"/>
                <w:color w:val="auto"/>
                <w:kern w:val="0"/>
                <w:szCs w:val="21"/>
                <w:highlight w:val="none"/>
                <w:u w:val="single"/>
              </w:rPr>
              <w:t>感应龙头1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（15）标的：</w:t>
            </w:r>
            <w:r>
              <w:rPr>
                <w:rFonts w:hint="eastAsia" w:ascii="宋体" w:hAnsi="宋体" w:cs="宋体"/>
                <w:color w:val="auto"/>
                <w:kern w:val="0"/>
                <w:szCs w:val="21"/>
                <w:highlight w:val="none"/>
                <w:u w:val="single"/>
              </w:rPr>
              <w:t>工作台加档1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（16）标的：</w:t>
            </w:r>
            <w:r>
              <w:rPr>
                <w:rFonts w:hint="eastAsia" w:ascii="宋体" w:hAnsi="宋体" w:cs="宋体"/>
                <w:color w:val="auto"/>
                <w:kern w:val="0"/>
                <w:szCs w:val="21"/>
                <w:highlight w:val="none"/>
                <w:u w:val="single"/>
              </w:rPr>
              <w:t>工作台加档2</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（17）标的：</w:t>
            </w:r>
            <w:r>
              <w:rPr>
                <w:rFonts w:hint="eastAsia" w:ascii="宋体" w:hAnsi="宋体" w:cs="宋体"/>
                <w:color w:val="auto"/>
                <w:kern w:val="0"/>
                <w:szCs w:val="21"/>
                <w:highlight w:val="none"/>
                <w:u w:val="single"/>
              </w:rPr>
              <w:t>红外感应干手机</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（18）标的：</w:t>
            </w:r>
            <w:r>
              <w:rPr>
                <w:rFonts w:hint="eastAsia" w:ascii="宋体" w:hAnsi="宋体" w:cs="宋体"/>
                <w:color w:val="auto"/>
                <w:kern w:val="0"/>
                <w:szCs w:val="21"/>
                <w:highlight w:val="none"/>
                <w:u w:val="single"/>
              </w:rPr>
              <w:t>冷热混水龙头</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（19）标的：</w:t>
            </w:r>
            <w:r>
              <w:rPr>
                <w:rFonts w:hint="eastAsia" w:ascii="宋体" w:hAnsi="宋体" w:cs="宋体"/>
                <w:color w:val="auto"/>
                <w:kern w:val="0"/>
                <w:szCs w:val="21"/>
                <w:highlight w:val="none"/>
                <w:u w:val="single"/>
              </w:rPr>
              <w:t>平板推车</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（20）标的：</w:t>
            </w:r>
            <w:r>
              <w:rPr>
                <w:rFonts w:hint="eastAsia" w:ascii="宋体" w:hAnsi="宋体" w:cs="宋体"/>
                <w:color w:val="auto"/>
                <w:kern w:val="0"/>
                <w:szCs w:val="21"/>
                <w:highlight w:val="none"/>
                <w:u w:val="single"/>
              </w:rPr>
              <w:t>双门电蒸饭柜1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（21）标的：</w:t>
            </w:r>
            <w:r>
              <w:rPr>
                <w:rFonts w:hint="eastAsia" w:ascii="宋体" w:hAnsi="宋体" w:cs="宋体"/>
                <w:color w:val="auto"/>
                <w:kern w:val="0"/>
                <w:szCs w:val="21"/>
                <w:highlight w:val="none"/>
                <w:u w:val="single"/>
                <w:lang w:bidi="ar"/>
              </w:rPr>
              <w:t>双星盆台1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（22）标的：</w:t>
            </w:r>
            <w:r>
              <w:rPr>
                <w:rFonts w:hint="eastAsia" w:ascii="宋体" w:hAnsi="宋体" w:cs="宋体"/>
                <w:color w:val="auto"/>
                <w:kern w:val="0"/>
                <w:szCs w:val="21"/>
                <w:highlight w:val="none"/>
                <w:u w:val="single"/>
              </w:rPr>
              <w:t>洗手长槽</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（23）标的：</w:t>
            </w:r>
            <w:r>
              <w:rPr>
                <w:rFonts w:hint="eastAsia" w:ascii="宋体" w:hAnsi="宋体" w:cs="宋体"/>
                <w:color w:val="auto"/>
                <w:kern w:val="0"/>
                <w:szCs w:val="21"/>
                <w:highlight w:val="none"/>
                <w:u w:val="single"/>
              </w:rPr>
              <w:t>燃气双眼大锅灶1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（24）标的：</w:t>
            </w:r>
            <w:r>
              <w:rPr>
                <w:rFonts w:hint="eastAsia" w:ascii="宋体" w:hAnsi="宋体" w:cs="宋体"/>
                <w:color w:val="auto"/>
                <w:kern w:val="0"/>
                <w:szCs w:val="21"/>
                <w:highlight w:val="none"/>
                <w:u w:val="single"/>
              </w:rPr>
              <w:t>燃气一大一小灶</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（25）标的：</w:t>
            </w:r>
            <w:r>
              <w:rPr>
                <w:rFonts w:hint="eastAsia" w:ascii="宋体" w:hAnsi="宋体" w:cs="宋体"/>
                <w:color w:val="auto"/>
                <w:kern w:val="0"/>
                <w:szCs w:val="21"/>
                <w:highlight w:val="none"/>
                <w:u w:val="single"/>
              </w:rPr>
              <w:t>上翻门万能组合消毒柜</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（26）标的：</w:t>
            </w:r>
            <w:r>
              <w:rPr>
                <w:rFonts w:hint="eastAsia" w:ascii="宋体" w:hAnsi="宋体" w:cs="宋体"/>
                <w:color w:val="auto"/>
                <w:kern w:val="0"/>
                <w:szCs w:val="21"/>
                <w:highlight w:val="none"/>
                <w:u w:val="single"/>
              </w:rPr>
              <w:t>电热双门蒸饭车</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（27）标的：</w:t>
            </w:r>
            <w:r>
              <w:rPr>
                <w:rFonts w:hint="eastAsia" w:ascii="宋体" w:hAnsi="宋体" w:cs="宋体"/>
                <w:color w:val="auto"/>
                <w:kern w:val="0"/>
                <w:szCs w:val="21"/>
                <w:highlight w:val="none"/>
                <w:u w:val="single"/>
              </w:rPr>
              <w:t>多功能切菜机1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（28）标的：</w:t>
            </w:r>
            <w:r>
              <w:rPr>
                <w:rFonts w:hint="eastAsia" w:ascii="宋体" w:hAnsi="宋体" w:cs="宋体"/>
                <w:color w:val="auto"/>
                <w:kern w:val="0"/>
                <w:szCs w:val="21"/>
                <w:highlight w:val="none"/>
                <w:u w:val="single"/>
              </w:rPr>
              <w:t>三格保温台</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（29）标的：</w:t>
            </w:r>
            <w:r>
              <w:rPr>
                <w:rFonts w:hint="eastAsia" w:ascii="宋体" w:hAnsi="宋体" w:cs="宋体"/>
                <w:color w:val="auto"/>
                <w:kern w:val="0"/>
                <w:szCs w:val="21"/>
                <w:highlight w:val="none"/>
                <w:u w:val="single"/>
              </w:rPr>
              <w:t>工作台</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（30）标的：</w:t>
            </w:r>
            <w:r>
              <w:rPr>
                <w:rFonts w:hint="eastAsia" w:ascii="宋体" w:hAnsi="宋体" w:cs="宋体"/>
                <w:color w:val="auto"/>
                <w:kern w:val="0"/>
                <w:szCs w:val="21"/>
                <w:highlight w:val="none"/>
                <w:u w:val="single"/>
              </w:rPr>
              <w:t>调料台1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（31）标的：</w:t>
            </w:r>
            <w:r>
              <w:rPr>
                <w:rFonts w:hint="eastAsia" w:ascii="宋体" w:hAnsi="宋体" w:cs="宋体"/>
                <w:color w:val="auto"/>
                <w:kern w:val="0"/>
                <w:szCs w:val="21"/>
                <w:highlight w:val="none"/>
                <w:u w:val="single"/>
              </w:rPr>
              <w:t>留样冰箱1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（32）标的：</w:t>
            </w:r>
            <w:r>
              <w:rPr>
                <w:rFonts w:hint="eastAsia" w:ascii="宋体" w:hAnsi="宋体" w:cs="宋体"/>
                <w:color w:val="auto"/>
                <w:kern w:val="0"/>
                <w:szCs w:val="21"/>
                <w:highlight w:val="none"/>
                <w:u w:val="single"/>
              </w:rPr>
              <w:t>长龙式全自动洗碗机</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（33）标的：</w:t>
            </w:r>
            <w:r>
              <w:rPr>
                <w:rFonts w:hint="eastAsia" w:ascii="宋体" w:hAnsi="宋体" w:cs="宋体"/>
                <w:color w:val="auto"/>
                <w:kern w:val="0"/>
                <w:szCs w:val="21"/>
                <w:highlight w:val="none"/>
                <w:u w:val="single"/>
              </w:rPr>
              <w:t>粘捕式灭蝇灯</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（34）标的：</w:t>
            </w:r>
            <w:r>
              <w:rPr>
                <w:rFonts w:hint="eastAsia" w:ascii="宋体" w:hAnsi="宋体" w:cs="宋体"/>
                <w:color w:val="auto"/>
                <w:kern w:val="0"/>
                <w:szCs w:val="21"/>
                <w:highlight w:val="none"/>
                <w:u w:val="single"/>
              </w:rPr>
              <w:t>粘板刀具消毒柜</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（35）标的：</w:t>
            </w:r>
            <w:r>
              <w:rPr>
                <w:rFonts w:hint="eastAsia" w:ascii="宋体" w:hAnsi="宋体" w:cs="宋体"/>
                <w:color w:val="auto"/>
                <w:kern w:val="0"/>
                <w:szCs w:val="21"/>
                <w:highlight w:val="none"/>
                <w:u w:val="single"/>
              </w:rPr>
              <w:t>员工茶水吊柜</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（36）标的：</w:t>
            </w:r>
            <w:r>
              <w:rPr>
                <w:rFonts w:hint="eastAsia" w:ascii="宋体" w:hAnsi="宋体" w:cs="宋体"/>
                <w:color w:val="auto"/>
                <w:kern w:val="0"/>
                <w:szCs w:val="21"/>
                <w:highlight w:val="none"/>
                <w:u w:val="single"/>
              </w:rPr>
              <w:t>洗碗机浸泡池（无背）</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（37）标的：</w:t>
            </w:r>
            <w:r>
              <w:rPr>
                <w:rFonts w:hint="eastAsia" w:ascii="宋体" w:hAnsi="宋体" w:cs="宋体"/>
                <w:color w:val="auto"/>
                <w:kern w:val="0"/>
                <w:szCs w:val="21"/>
                <w:highlight w:val="none"/>
                <w:u w:val="single"/>
              </w:rPr>
              <w:t>洗手星盆1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（38）标的：</w:t>
            </w:r>
            <w:r>
              <w:rPr>
                <w:rFonts w:hint="eastAsia" w:ascii="宋体" w:hAnsi="宋体" w:cs="宋体"/>
                <w:color w:val="auto"/>
                <w:kern w:val="0"/>
                <w:szCs w:val="21"/>
                <w:highlight w:val="none"/>
                <w:u w:val="single"/>
              </w:rPr>
              <w:t>拖把池（连挂架）</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（39）标的：</w:t>
            </w:r>
            <w:r>
              <w:rPr>
                <w:rFonts w:hint="eastAsia" w:ascii="宋体" w:hAnsi="宋体" w:cs="宋体"/>
                <w:color w:val="auto"/>
                <w:kern w:val="0"/>
                <w:szCs w:val="21"/>
                <w:highlight w:val="none"/>
                <w:u w:val="single"/>
              </w:rPr>
              <w:t>四门全冷冻冰箱（风冷）</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（40）标的：</w:t>
            </w:r>
            <w:r>
              <w:rPr>
                <w:rFonts w:hint="eastAsia" w:ascii="宋体" w:hAnsi="宋体" w:cs="宋体"/>
                <w:color w:val="auto"/>
                <w:kern w:val="0"/>
                <w:szCs w:val="21"/>
                <w:highlight w:val="none"/>
                <w:u w:val="single"/>
              </w:rPr>
              <w:t>四层货架1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（41）标的：</w:t>
            </w:r>
            <w:r>
              <w:rPr>
                <w:rFonts w:hint="eastAsia" w:ascii="宋体" w:hAnsi="宋体" w:cs="宋体"/>
                <w:color w:val="auto"/>
                <w:kern w:val="0"/>
                <w:szCs w:val="21"/>
                <w:highlight w:val="none"/>
                <w:u w:val="single"/>
              </w:rPr>
              <w:t>四层板架</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（42）标的：</w:t>
            </w:r>
            <w:r>
              <w:rPr>
                <w:rFonts w:hint="eastAsia" w:ascii="宋体" w:hAnsi="宋体" w:cs="宋体"/>
                <w:color w:val="auto"/>
                <w:kern w:val="0"/>
                <w:szCs w:val="21"/>
                <w:highlight w:val="none"/>
                <w:u w:val="single"/>
              </w:rPr>
              <w:t>水池拼板</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（43）标的：</w:t>
            </w:r>
            <w:r>
              <w:rPr>
                <w:rFonts w:hint="eastAsia" w:ascii="宋体" w:hAnsi="宋体" w:cs="宋体"/>
                <w:color w:val="auto"/>
                <w:kern w:val="0"/>
                <w:szCs w:val="21"/>
                <w:highlight w:val="none"/>
                <w:u w:val="single"/>
              </w:rPr>
              <w:t>双星盆台2</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（44）标的：</w:t>
            </w:r>
            <w:r>
              <w:rPr>
                <w:rFonts w:hint="eastAsia" w:ascii="宋体" w:hAnsi="宋体" w:cs="宋体"/>
                <w:color w:val="auto"/>
                <w:kern w:val="0"/>
                <w:szCs w:val="21"/>
                <w:highlight w:val="none"/>
                <w:u w:val="single"/>
                <w:lang w:bidi="ar"/>
              </w:rPr>
              <w:t>剖鱼星盆台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（45）标的：</w:t>
            </w:r>
            <w:r>
              <w:rPr>
                <w:rFonts w:hint="eastAsia" w:ascii="宋体" w:hAnsi="宋体" w:cs="宋体"/>
                <w:color w:val="auto"/>
                <w:kern w:val="0"/>
                <w:szCs w:val="21"/>
                <w:highlight w:val="none"/>
                <w:u w:val="single"/>
              </w:rPr>
              <w:t>解冻星盆台</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（46）标的：</w:t>
            </w:r>
            <w:r>
              <w:rPr>
                <w:rFonts w:hint="eastAsia" w:ascii="宋体" w:hAnsi="宋体" w:cs="宋体"/>
                <w:color w:val="auto"/>
                <w:kern w:val="0"/>
                <w:szCs w:val="21"/>
                <w:highlight w:val="none"/>
                <w:u w:val="single"/>
              </w:rPr>
              <w:t>双门热风循环消毒柜1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（47）标的：</w:t>
            </w:r>
            <w:r>
              <w:rPr>
                <w:rFonts w:hint="eastAsia" w:ascii="宋体" w:hAnsi="宋体" w:cs="宋体"/>
                <w:color w:val="auto"/>
                <w:kern w:val="0"/>
                <w:szCs w:val="21"/>
                <w:highlight w:val="none"/>
                <w:u w:val="single"/>
              </w:rPr>
              <w:t>双眼燃气大锅灶1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（48）标的：</w:t>
            </w:r>
            <w:r>
              <w:rPr>
                <w:rFonts w:hint="eastAsia" w:ascii="宋体" w:hAnsi="宋体" w:cs="宋体"/>
                <w:color w:val="auto"/>
                <w:kern w:val="0"/>
                <w:szCs w:val="21"/>
                <w:highlight w:val="none"/>
                <w:u w:val="single"/>
              </w:rPr>
              <w:t>一广一汤燃气炒灶</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（49）标的：</w:t>
            </w:r>
            <w:r>
              <w:rPr>
                <w:rFonts w:hint="eastAsia" w:ascii="宋体" w:hAnsi="宋体" w:cs="宋体"/>
                <w:color w:val="auto"/>
                <w:kern w:val="0"/>
                <w:szCs w:val="21"/>
                <w:highlight w:val="none"/>
                <w:u w:val="single"/>
              </w:rPr>
              <w:t>双门燃气蒸饭柜1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（50）标的：</w:t>
            </w:r>
            <w:r>
              <w:rPr>
                <w:rFonts w:hint="eastAsia" w:ascii="宋体" w:hAnsi="宋体" w:cs="宋体"/>
                <w:color w:val="auto"/>
                <w:kern w:val="0"/>
                <w:szCs w:val="21"/>
                <w:highlight w:val="none"/>
                <w:u w:val="single"/>
              </w:rPr>
              <w:t>三门更衣柜1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（51）标的：</w:t>
            </w:r>
            <w:r>
              <w:rPr>
                <w:rFonts w:hint="eastAsia" w:ascii="宋体" w:hAnsi="宋体" w:cs="宋体"/>
                <w:color w:val="auto"/>
                <w:kern w:val="0"/>
                <w:szCs w:val="21"/>
                <w:highlight w:val="none"/>
                <w:u w:val="single"/>
              </w:rPr>
              <w:t>软连接1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（52）标的：</w:t>
            </w:r>
            <w:r>
              <w:rPr>
                <w:rFonts w:hint="eastAsia" w:ascii="宋体" w:hAnsi="宋体" w:cs="宋体"/>
                <w:color w:val="auto"/>
                <w:kern w:val="0"/>
                <w:szCs w:val="21"/>
                <w:highlight w:val="none"/>
                <w:u w:val="single"/>
              </w:rPr>
              <w:t>调料台2</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（53）标的：</w:t>
            </w:r>
            <w:r>
              <w:rPr>
                <w:rFonts w:hint="eastAsia" w:ascii="宋体" w:hAnsi="宋体" w:cs="宋体"/>
                <w:color w:val="auto"/>
                <w:kern w:val="0"/>
                <w:szCs w:val="21"/>
                <w:highlight w:val="none"/>
                <w:u w:val="single"/>
              </w:rPr>
              <w:t>调料台3</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（54）标的：</w:t>
            </w:r>
            <w:r>
              <w:rPr>
                <w:rFonts w:hint="eastAsia" w:ascii="宋体" w:hAnsi="宋体" w:cs="宋体"/>
                <w:color w:val="auto"/>
                <w:kern w:val="0"/>
                <w:szCs w:val="21"/>
                <w:highlight w:val="none"/>
                <w:u w:val="single"/>
              </w:rPr>
              <w:t>集气罩1</w:t>
            </w:r>
            <w:r>
              <w:rPr>
                <w:rFonts w:hint="eastAsia" w:ascii="宋体" w:hAnsi="宋体" w:cs="宋体"/>
                <w:color w:val="auto"/>
                <w:kern w:val="0"/>
                <w:szCs w:val="21"/>
                <w:highlight w:val="none"/>
              </w:rPr>
              <w:t>，属于</w:t>
            </w:r>
            <w:r>
              <w:rPr>
                <w:rFonts w:hint="eastAsia" w:ascii="宋体" w:hAnsi="宋体" w:cs="宋体"/>
                <w:color w:val="auto"/>
                <w:kern w:val="0"/>
                <w:szCs w:val="21"/>
                <w:highlight w:val="none"/>
                <w:u w:val="single"/>
              </w:rPr>
              <w:t>工业</w:t>
            </w:r>
            <w:r>
              <w:rPr>
                <w:rFonts w:hint="eastAsia" w:ascii="宋体" w:hAnsi="宋体" w:cs="宋体"/>
                <w:color w:val="auto"/>
                <w:kern w:val="0"/>
                <w:szCs w:val="21"/>
                <w:highlight w:val="none"/>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（55）标的：</w:t>
            </w:r>
            <w:r>
              <w:rPr>
                <w:rFonts w:hint="eastAsia" w:ascii="宋体" w:hAnsi="宋体" w:cs="宋体"/>
                <w:color w:val="auto"/>
                <w:kern w:val="0"/>
                <w:szCs w:val="21"/>
                <w:highlight w:val="none"/>
                <w:u w:val="single"/>
                <w:lang w:bidi="ar"/>
              </w:rPr>
              <w:t>集气罩2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（56）标的：</w:t>
            </w:r>
            <w:r>
              <w:rPr>
                <w:rFonts w:hint="eastAsia" w:ascii="宋体" w:hAnsi="宋体" w:cs="宋体"/>
                <w:color w:val="auto"/>
                <w:kern w:val="0"/>
                <w:szCs w:val="21"/>
                <w:highlight w:val="none"/>
                <w:u w:val="single"/>
                <w:lang w:bidi="ar"/>
              </w:rPr>
              <w:t>活动双层洁碟台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（57）标的：</w:t>
            </w:r>
            <w:r>
              <w:rPr>
                <w:rFonts w:hint="eastAsia" w:ascii="宋体" w:hAnsi="宋体" w:cs="宋体"/>
                <w:color w:val="auto"/>
                <w:kern w:val="0"/>
                <w:szCs w:val="21"/>
                <w:highlight w:val="none"/>
                <w:u w:val="single"/>
                <w:lang w:bidi="ar"/>
              </w:rPr>
              <w:t>红外感应水龙头</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（58）标的：</w:t>
            </w:r>
            <w:r>
              <w:rPr>
                <w:rFonts w:hint="eastAsia" w:ascii="宋体" w:hAnsi="宋体" w:cs="宋体"/>
                <w:color w:val="auto"/>
                <w:kern w:val="0"/>
                <w:szCs w:val="21"/>
                <w:highlight w:val="none"/>
                <w:u w:val="single"/>
                <w:lang w:bidi="ar"/>
              </w:rPr>
              <w:t>工作台加档3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（59）标的：</w:t>
            </w:r>
            <w:r>
              <w:rPr>
                <w:rFonts w:hint="eastAsia" w:ascii="宋体" w:hAnsi="宋体" w:cs="宋体"/>
                <w:color w:val="auto"/>
                <w:kern w:val="0"/>
                <w:szCs w:val="21"/>
                <w:highlight w:val="none"/>
                <w:u w:val="single"/>
                <w:lang w:bidi="ar"/>
              </w:rPr>
              <w:t>高低组合柜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（60）标的：</w:t>
            </w:r>
            <w:r>
              <w:rPr>
                <w:rFonts w:hint="eastAsia" w:ascii="宋体" w:hAnsi="宋体" w:cs="宋体"/>
                <w:color w:val="auto"/>
                <w:kern w:val="0"/>
                <w:szCs w:val="21"/>
                <w:highlight w:val="none"/>
                <w:u w:val="single"/>
                <w:lang w:bidi="ar"/>
              </w:rPr>
              <w:t>多功能切菜机2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（61）标的：</w:t>
            </w:r>
            <w:r>
              <w:rPr>
                <w:rFonts w:hint="eastAsia" w:ascii="宋体" w:hAnsi="宋体" w:cs="宋体"/>
                <w:color w:val="auto"/>
                <w:kern w:val="0"/>
                <w:szCs w:val="21"/>
                <w:highlight w:val="none"/>
                <w:u w:val="single"/>
                <w:lang w:bidi="ar"/>
              </w:rPr>
              <w:t>单星盆台1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（62）标的：</w:t>
            </w:r>
            <w:r>
              <w:rPr>
                <w:rFonts w:hint="eastAsia" w:ascii="宋体" w:hAnsi="宋体" w:cs="宋体"/>
                <w:color w:val="auto"/>
                <w:kern w:val="0"/>
                <w:szCs w:val="21"/>
                <w:highlight w:val="none"/>
                <w:u w:val="single"/>
                <w:lang w:bidi="ar"/>
              </w:rPr>
              <w:t>单向移门打荷台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（63）标的：</w:t>
            </w:r>
            <w:r>
              <w:rPr>
                <w:rFonts w:hint="eastAsia" w:ascii="宋体" w:hAnsi="宋体" w:cs="宋体"/>
                <w:color w:val="auto"/>
                <w:kern w:val="0"/>
                <w:szCs w:val="21"/>
                <w:highlight w:val="none"/>
                <w:u w:val="single"/>
                <w:lang w:bidi="ar"/>
              </w:rPr>
              <w:t>单冷水龙头1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（64）标的：</w:t>
            </w:r>
            <w:r>
              <w:rPr>
                <w:rFonts w:hint="eastAsia" w:ascii="宋体" w:hAnsi="宋体" w:cs="宋体"/>
                <w:color w:val="auto"/>
                <w:kern w:val="0"/>
                <w:szCs w:val="21"/>
                <w:highlight w:val="none"/>
                <w:u w:val="single"/>
                <w:lang w:bidi="ar"/>
              </w:rPr>
              <w:t>单孔孔残食台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（65）标的：</w:t>
            </w:r>
            <w:r>
              <w:rPr>
                <w:rFonts w:hint="eastAsia" w:ascii="宋体" w:hAnsi="宋体" w:cs="宋体"/>
                <w:color w:val="auto"/>
                <w:kern w:val="0"/>
                <w:szCs w:val="21"/>
                <w:highlight w:val="none"/>
                <w:u w:val="single"/>
                <w:lang w:bidi="ar"/>
              </w:rPr>
              <w:t>大六格快餐盘</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（66）标的：</w:t>
            </w:r>
            <w:r>
              <w:rPr>
                <w:rFonts w:hint="eastAsia" w:ascii="宋体" w:hAnsi="宋体" w:cs="宋体"/>
                <w:color w:val="auto"/>
                <w:kern w:val="0"/>
                <w:szCs w:val="21"/>
                <w:highlight w:val="none"/>
                <w:u w:val="single"/>
                <w:lang w:bidi="ar"/>
              </w:rPr>
              <w:t>厨房灭火装置（双瓶组）</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（67）标的：</w:t>
            </w:r>
            <w:r>
              <w:rPr>
                <w:rFonts w:hint="eastAsia" w:ascii="宋体" w:hAnsi="宋体" w:cs="宋体"/>
                <w:color w:val="auto"/>
                <w:kern w:val="0"/>
                <w:szCs w:val="21"/>
                <w:highlight w:val="none"/>
                <w:u w:val="single"/>
                <w:lang w:bidi="ar"/>
              </w:rPr>
              <w:t>洗碗机厢式排气罩</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（68）标的：</w:t>
            </w:r>
            <w:r>
              <w:rPr>
                <w:rFonts w:hint="eastAsia" w:ascii="宋体" w:hAnsi="宋体" w:cs="宋体"/>
                <w:color w:val="auto"/>
                <w:kern w:val="0"/>
                <w:szCs w:val="21"/>
                <w:highlight w:val="none"/>
                <w:u w:val="single"/>
                <w:lang w:bidi="ar"/>
              </w:rPr>
              <w:t>油烟网罩</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（69）标的：</w:t>
            </w:r>
            <w:r>
              <w:rPr>
                <w:rFonts w:hint="eastAsia" w:ascii="宋体" w:hAnsi="宋体" w:cs="宋体"/>
                <w:color w:val="auto"/>
                <w:kern w:val="0"/>
                <w:szCs w:val="21"/>
                <w:highlight w:val="none"/>
                <w:u w:val="single"/>
                <w:lang w:bidi="ar"/>
              </w:rPr>
              <w:t>不锈钢风管1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（70）标的：</w:t>
            </w:r>
            <w:r>
              <w:rPr>
                <w:rFonts w:hint="eastAsia" w:ascii="宋体" w:hAnsi="宋体" w:cs="宋体"/>
                <w:color w:val="auto"/>
                <w:kern w:val="0"/>
                <w:szCs w:val="21"/>
                <w:highlight w:val="none"/>
                <w:u w:val="single"/>
                <w:lang w:bidi="ar"/>
              </w:rPr>
              <w:t>轴流风机1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（71）标的：</w:t>
            </w:r>
            <w:r>
              <w:rPr>
                <w:rFonts w:hint="eastAsia" w:ascii="宋体" w:hAnsi="宋体" w:cs="宋体"/>
                <w:color w:val="auto"/>
                <w:kern w:val="0"/>
                <w:szCs w:val="21"/>
                <w:highlight w:val="none"/>
                <w:u w:val="single"/>
                <w:lang w:bidi="ar"/>
              </w:rPr>
              <w:t>厢式离心风机(排蒸汽)</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（72）标的：</w:t>
            </w:r>
            <w:r>
              <w:rPr>
                <w:rFonts w:hint="eastAsia" w:ascii="宋体" w:hAnsi="宋体" w:cs="宋体"/>
                <w:color w:val="auto"/>
                <w:kern w:val="0"/>
                <w:szCs w:val="21"/>
                <w:highlight w:val="none"/>
                <w:u w:val="single"/>
                <w:lang w:bidi="ar"/>
              </w:rPr>
              <w:t>风机槽钢支架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（73）标的：</w:t>
            </w:r>
            <w:r>
              <w:rPr>
                <w:rFonts w:hint="eastAsia" w:ascii="宋体" w:hAnsi="宋体" w:cs="宋体"/>
                <w:color w:val="auto"/>
                <w:kern w:val="0"/>
                <w:szCs w:val="21"/>
                <w:highlight w:val="none"/>
                <w:u w:val="single"/>
                <w:lang w:bidi="ar"/>
              </w:rPr>
              <w:t>风机变频器</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（74）标的：</w:t>
            </w:r>
            <w:r>
              <w:rPr>
                <w:rFonts w:hint="eastAsia" w:ascii="宋体" w:hAnsi="宋体" w:cs="宋体"/>
                <w:color w:val="auto"/>
                <w:kern w:val="0"/>
                <w:szCs w:val="21"/>
                <w:highlight w:val="none"/>
                <w:u w:val="single"/>
                <w:lang w:bidi="ar"/>
              </w:rPr>
              <w:t>风幕机2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（75）标的：</w:t>
            </w:r>
            <w:r>
              <w:rPr>
                <w:rFonts w:hint="eastAsia" w:ascii="宋体" w:hAnsi="宋体" w:cs="宋体"/>
                <w:color w:val="auto"/>
                <w:kern w:val="0"/>
                <w:szCs w:val="21"/>
                <w:highlight w:val="none"/>
                <w:u w:val="single"/>
                <w:lang w:bidi="ar"/>
              </w:rPr>
              <w:t>灭蝇灯</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（76）标的：</w:t>
            </w:r>
            <w:r>
              <w:rPr>
                <w:rFonts w:hint="eastAsia" w:ascii="宋体" w:hAnsi="宋体" w:cs="宋体"/>
                <w:color w:val="auto"/>
                <w:kern w:val="0"/>
                <w:szCs w:val="21"/>
                <w:highlight w:val="none"/>
                <w:u w:val="single"/>
                <w:lang w:bidi="ar"/>
              </w:rPr>
              <w:t>挡鼠板1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（77）标的：</w:t>
            </w:r>
            <w:r>
              <w:rPr>
                <w:rFonts w:hint="eastAsia" w:ascii="宋体" w:hAnsi="宋体" w:cs="宋体"/>
                <w:color w:val="auto"/>
                <w:kern w:val="0"/>
                <w:szCs w:val="21"/>
                <w:highlight w:val="none"/>
                <w:u w:val="single"/>
                <w:lang w:bidi="ar"/>
              </w:rPr>
              <w:t>挡鼠板2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（78）标的：</w:t>
            </w:r>
            <w:r>
              <w:rPr>
                <w:rFonts w:hint="eastAsia" w:ascii="宋体" w:hAnsi="宋体" w:cs="宋体"/>
                <w:color w:val="auto"/>
                <w:kern w:val="0"/>
                <w:szCs w:val="21"/>
                <w:highlight w:val="none"/>
                <w:u w:val="single"/>
                <w:lang w:bidi="ar"/>
              </w:rPr>
              <w:t>挡鼠板3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（79）标的：</w:t>
            </w:r>
            <w:r>
              <w:rPr>
                <w:rFonts w:hint="eastAsia" w:ascii="宋体" w:hAnsi="宋体" w:cs="宋体"/>
                <w:color w:val="auto"/>
                <w:kern w:val="0"/>
                <w:szCs w:val="21"/>
                <w:highlight w:val="none"/>
                <w:u w:val="single"/>
                <w:lang w:bidi="ar"/>
              </w:rPr>
              <w:t>封闭式残菜回收柜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（80）标的：</w:t>
            </w:r>
            <w:r>
              <w:rPr>
                <w:rFonts w:hint="eastAsia" w:ascii="宋体" w:hAnsi="宋体" w:cs="宋体"/>
                <w:color w:val="auto"/>
                <w:kern w:val="0"/>
                <w:szCs w:val="21"/>
                <w:highlight w:val="none"/>
                <w:u w:val="single"/>
                <w:lang w:bidi="ar"/>
              </w:rPr>
              <w:t>吹地机</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（81）标的：</w:t>
            </w:r>
            <w:r>
              <w:rPr>
                <w:rFonts w:hint="eastAsia" w:ascii="宋体" w:hAnsi="宋体" w:cs="宋体"/>
                <w:color w:val="auto"/>
                <w:kern w:val="0"/>
                <w:szCs w:val="21"/>
                <w:highlight w:val="none"/>
                <w:u w:val="single"/>
                <w:lang w:bidi="ar"/>
              </w:rPr>
              <w:t>三门更衣柜2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（82）标的：</w:t>
            </w:r>
            <w:r>
              <w:rPr>
                <w:rFonts w:hint="eastAsia" w:ascii="宋体" w:hAnsi="宋体" w:cs="宋体"/>
                <w:color w:val="auto"/>
                <w:kern w:val="0"/>
                <w:szCs w:val="21"/>
                <w:highlight w:val="none"/>
                <w:u w:val="single"/>
                <w:lang w:bidi="ar"/>
              </w:rPr>
              <w:t>拖把水池（连挂架）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（83）标的：</w:t>
            </w:r>
            <w:r>
              <w:rPr>
                <w:rFonts w:hint="eastAsia" w:ascii="宋体" w:hAnsi="宋体" w:cs="宋体"/>
                <w:color w:val="auto"/>
                <w:kern w:val="0"/>
                <w:szCs w:val="21"/>
                <w:highlight w:val="none"/>
                <w:u w:val="single"/>
                <w:lang w:bidi="ar"/>
              </w:rPr>
              <w:t>开门存放柜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（84）标的：</w:t>
            </w:r>
            <w:r>
              <w:rPr>
                <w:rFonts w:hint="eastAsia" w:ascii="宋体" w:hAnsi="宋体" w:cs="宋体"/>
                <w:color w:val="auto"/>
                <w:kern w:val="0"/>
                <w:szCs w:val="21"/>
                <w:highlight w:val="none"/>
                <w:u w:val="single"/>
                <w:lang w:bidi="ar"/>
              </w:rPr>
              <w:t>四门不锈钢纱网柜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（8</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四门双温风冷冰箱</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（8</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双星盆台3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（8</w:t>
            </w: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单星盆台2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88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单水池连平台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89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码墙架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（9</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工作台下一层1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（9</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四层货架2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（9</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菜墩刀具消毒柜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（9</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单星盆台3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工作台加档4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（9</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双眼燃气大锅灶2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（9</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单眼一汤燃气广锅灶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（9</w:t>
            </w: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调料台4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98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调料台5</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99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双门燃气蒸饭柜2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（10</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油网烟罩</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（10</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双向移门打荷柜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（10</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淘米水池（无背）</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（10</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工作台下一层2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（10</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工作台下一层3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（10</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四斗保温台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（10</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工作台下一层4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（10</w:t>
            </w: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单星盆台4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pacing w:line="288" w:lineRule="auto"/>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08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双门热风循环消毒柜2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09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三翻门碗柜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（11</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挂墙洗手星连平台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（11</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留样冰箱2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（11</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单星盆台5</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（11</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单向移门操作台1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（11</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班级送餐车</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（11</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不锈钢绞肉机</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（11</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三层餐车</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（11</w:t>
            </w: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不锈钢变径管1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18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离心风机（内置消音装置）</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19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不锈钢油烟净化器</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（12</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不锈钢消音器2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（12</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电动机传动部降噪箱</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（12</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软连接2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（12</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四层货架3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（12</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风幕机3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（12</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不锈钢台上式绞肉机</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（12</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双星盆台4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（12</w:t>
            </w: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单水池1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28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刀具砧板组合消毒柜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29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四层货架4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（13</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调料台6</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（13</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单眼燃气大锅灶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（13</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挂墙洗手星盆</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（13</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双层板工作台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（13</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单水池2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（13</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拖把沥干水池</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（13</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暖饭暖汤台柜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（13</w:t>
            </w: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单向移门操作台2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38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残食工作台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39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双门热风循环消毒柜3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（14</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三层点心架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（14</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洗手星盆2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（14</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旧集气罩拆改及安装</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（14</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旧水池上下水、开孔不锈钢水斗安装</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（14</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调料台7</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（14</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双眼燃气大锅灶3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（14</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双门电蒸饭柜2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（14</w:t>
            </w: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四门风冷全冷冻冰箱</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48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不锈钢静电式油烟净化器1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49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不锈钢变径管2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（15</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双层工作台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（15</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单眼大锅灶（燃气）</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（15</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单门燃气蒸饭箱</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（15</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四层格栅货架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（15</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留样冰箱3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（15</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双门热风循环消毒柜4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（15</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轴流风机2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（15</w:t>
            </w: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油烟净化器</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58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排烟风管</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59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箱式离心风机（内置消音装置）1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60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不锈钢静电式油烟净化器2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（16</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不锈钢消音器1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（16</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弹簧减震器2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（16</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箱式离心风机（内置消音装置）2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（16</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不锈钢静电式油烟净化器3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（16</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双门热风循环消毒柜5</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（16</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eastAsia="zh-CN" w:bidi="ar"/>
              </w:rPr>
              <w:t>小工作台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（16</w:t>
            </w:r>
            <w:r>
              <w:rPr>
                <w:rFonts w:hint="eastAsia" w:ascii="宋体" w:hAnsi="宋体" w:cs="宋体"/>
                <w:color w:val="auto"/>
                <w:kern w:val="0"/>
                <w:szCs w:val="21"/>
                <w:highlight w:val="none"/>
                <w:lang w:val="en-US" w:eastAsia="zh-CN" w:bidi="ar"/>
              </w:rPr>
              <w:t>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四门双温冰箱（直冷）</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68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更衣柜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69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大米架2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（17</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四层平板架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（17</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挡鼠板4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（17</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四门双机双温冰箱</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（17</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残菜回收台1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（17</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单星大水池1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（17</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冷热水双温龙头</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（17</w:t>
            </w:r>
            <w:r>
              <w:rPr>
                <w:rFonts w:hint="eastAsia" w:ascii="宋体" w:hAnsi="宋体" w:cs="宋体"/>
                <w:color w:val="auto"/>
                <w:kern w:val="0"/>
                <w:szCs w:val="21"/>
                <w:highlight w:val="none"/>
                <w:lang w:val="en-US" w:eastAsia="zh-CN" w:bidi="ar"/>
              </w:rPr>
              <w:t>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eastAsia="zh-CN" w:bidi="ar"/>
              </w:rPr>
              <w:t>工作台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77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双星水池1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78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单星剖鱼台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79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挂墙双层架1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（18</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挂墙式开水器</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（18</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双层工作台1</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（18</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挂墙刀具消毒柜</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（18</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调料平台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（18</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燃气双眼大锅灶2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（18</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中餐燃气炒菜灶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86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双门双控智能电蒸饭箱</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87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单星大水池2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88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商用平冷冰箱(冷藏型）</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89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移门调理台</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（19</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双层工作台2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（19</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单星洗手水池</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（19</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干手机</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（19</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挂衣架</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（19</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杀菌灯</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（19</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双层工作台3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196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双层工作台4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197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单星水池</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198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留样冰箱4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199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双星水池2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（20</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残菜回收台2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（20</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开水器（连底座）</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（20</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挂墙双层架2</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（20</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双层工作台5</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（20</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双门热风循环消毒柜6</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（20</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三角阀</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w:t>
            </w:r>
            <w:r>
              <w:rPr>
                <w:rFonts w:hint="eastAsia" w:ascii="宋体" w:hAnsi="宋体" w:cs="宋体"/>
                <w:color w:val="auto"/>
                <w:kern w:val="0"/>
                <w:szCs w:val="21"/>
                <w:highlight w:val="none"/>
                <w:lang w:val="en-US" w:eastAsia="zh-CN" w:bidi="ar"/>
              </w:rPr>
              <w:t>06</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进水软管</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w:t>
            </w:r>
            <w:r>
              <w:rPr>
                <w:rFonts w:hint="eastAsia" w:ascii="宋体" w:hAnsi="宋体" w:cs="宋体"/>
                <w:color w:val="auto"/>
                <w:kern w:val="0"/>
                <w:szCs w:val="21"/>
                <w:highlight w:val="none"/>
                <w:lang w:val="en-US" w:eastAsia="zh-CN" w:bidi="ar"/>
              </w:rPr>
              <w:t>07</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诱捕式灭蝇灯</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w:t>
            </w:r>
            <w:r>
              <w:rPr>
                <w:rFonts w:hint="eastAsia" w:ascii="宋体" w:hAnsi="宋体" w:cs="宋体"/>
                <w:color w:val="auto"/>
                <w:kern w:val="0"/>
                <w:szCs w:val="21"/>
                <w:highlight w:val="none"/>
                <w:lang w:val="en-US" w:eastAsia="zh-CN" w:bidi="ar"/>
              </w:rPr>
              <w:t>08</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风幕机4</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w:t>
            </w:r>
            <w:r>
              <w:rPr>
                <w:rFonts w:hint="eastAsia" w:ascii="宋体" w:hAnsi="宋体" w:cs="宋体"/>
                <w:color w:val="auto"/>
                <w:kern w:val="0"/>
                <w:szCs w:val="21"/>
                <w:highlight w:val="none"/>
                <w:lang w:val="en-US" w:eastAsia="zh-CN" w:bidi="ar"/>
              </w:rPr>
              <w:t>09</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油烟一体机</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（21</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不锈钢排油烟罩连罩上封板</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（21</w:t>
            </w:r>
            <w:r>
              <w:rPr>
                <w:rFonts w:hint="eastAsia" w:ascii="宋体" w:hAnsi="宋体" w:cs="宋体"/>
                <w:color w:val="auto"/>
                <w:kern w:val="0"/>
                <w:szCs w:val="21"/>
                <w:highlight w:val="none"/>
                <w:lang w:val="en-US" w:eastAsia="zh-CN" w:bidi="ar"/>
              </w:rPr>
              <w:t>1</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轴流风机3</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（21</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不锈钢排烟风管</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lang w:bidi="ar"/>
              </w:rPr>
              <w:t>（21</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铝合金风口</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rPr>
                <w:color w:val="auto"/>
                <w:highlight w:val="none"/>
              </w:rPr>
            </w:pPr>
            <w:r>
              <w:rPr>
                <w:rFonts w:hint="eastAsia" w:ascii="宋体" w:hAnsi="宋体" w:cs="宋体"/>
                <w:color w:val="auto"/>
                <w:kern w:val="0"/>
                <w:szCs w:val="21"/>
                <w:highlight w:val="none"/>
                <w:lang w:bidi="ar"/>
              </w:rPr>
              <w:t>（21</w:t>
            </w:r>
            <w:r>
              <w:rPr>
                <w:rFonts w:hint="eastAsia" w:ascii="宋体" w:hAnsi="宋体" w:cs="宋体"/>
                <w:color w:val="auto"/>
                <w:kern w:val="0"/>
                <w:szCs w:val="21"/>
                <w:highlight w:val="none"/>
                <w:lang w:val="en-US" w:eastAsia="zh-CN" w:bidi="ar"/>
              </w:rPr>
              <w:t>4</w:t>
            </w:r>
            <w:r>
              <w:rPr>
                <w:rFonts w:hint="eastAsia" w:ascii="宋体" w:hAnsi="宋体" w:cs="宋体"/>
                <w:color w:val="auto"/>
                <w:kern w:val="0"/>
                <w:szCs w:val="21"/>
                <w:highlight w:val="none"/>
                <w:lang w:bidi="ar"/>
              </w:rPr>
              <w:t>）标的：</w:t>
            </w:r>
            <w:r>
              <w:rPr>
                <w:rFonts w:hint="eastAsia" w:ascii="宋体" w:hAnsi="宋体" w:cs="宋体"/>
                <w:color w:val="auto"/>
                <w:kern w:val="0"/>
                <w:szCs w:val="21"/>
                <w:highlight w:val="none"/>
                <w:u w:val="single"/>
                <w:lang w:bidi="ar"/>
              </w:rPr>
              <w:t>灭火系统</w:t>
            </w:r>
            <w:r>
              <w:rPr>
                <w:rFonts w:hint="eastAsia" w:ascii="宋体" w:hAnsi="宋体" w:cs="宋体"/>
                <w:color w:val="auto"/>
                <w:kern w:val="0"/>
                <w:szCs w:val="21"/>
                <w:highlight w:val="none"/>
                <w:lang w:bidi="ar"/>
              </w:rPr>
              <w:t>，属于</w:t>
            </w:r>
            <w:r>
              <w:rPr>
                <w:rFonts w:hint="eastAsia" w:ascii="宋体" w:hAnsi="宋体" w:cs="宋体"/>
                <w:color w:val="auto"/>
                <w:kern w:val="0"/>
                <w:szCs w:val="21"/>
                <w:highlight w:val="none"/>
                <w:u w:val="single"/>
                <w:lang w:bidi="ar"/>
              </w:rPr>
              <w:t>工业</w:t>
            </w:r>
            <w:r>
              <w:rPr>
                <w:rFonts w:hint="eastAsia" w:ascii="宋体" w:hAnsi="宋体" w:cs="宋体"/>
                <w:color w:val="auto"/>
                <w:kern w:val="0"/>
                <w:szCs w:val="21"/>
                <w:highlight w:val="none"/>
                <w:lang w:bidi="ar"/>
              </w:rPr>
              <w:t>行业。</w:t>
            </w:r>
          </w:p>
          <w:p>
            <w:pPr>
              <w:pStyle w:val="5"/>
              <w:keepNext w:val="0"/>
              <w:keepLines w:val="0"/>
              <w:adjustRightInd w:val="0"/>
              <w:snapToGrid w:val="0"/>
              <w:spacing w:line="288" w:lineRule="auto"/>
              <w:ind w:left="0" w:firstLine="0"/>
              <w:jc w:val="both"/>
              <w:rPr>
                <w:rFonts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是否允许采购进口产品</w:t>
            </w:r>
          </w:p>
        </w:tc>
        <w:tc>
          <w:tcPr>
            <w:tcW w:w="5683" w:type="dxa"/>
            <w:vAlign w:val="center"/>
          </w:tcPr>
          <w:p>
            <w:pPr>
              <w:snapToGrid w:val="0"/>
              <w:spacing w:line="288" w:lineRule="auto"/>
              <w:rPr>
                <w:rFonts w:ascii="宋体" w:hAnsi="宋体" w:cs="宋体"/>
                <w:color w:val="auto"/>
                <w:kern w:val="0"/>
                <w:szCs w:val="21"/>
                <w:highlight w:val="none"/>
              </w:rPr>
            </w:pPr>
            <w:sdt>
              <w:sdtPr>
                <w:rPr>
                  <w:rFonts w:hint="eastAsia" w:ascii="宋体" w:hAnsi="宋体" w:cs="宋体"/>
                  <w:color w:val="auto"/>
                  <w:kern w:val="0"/>
                  <w:szCs w:val="21"/>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Wingdings" w:hAnsi="Wingdings" w:cs="宋体"/>
                    <w:color w:val="auto"/>
                    <w:kern w:val="0"/>
                    <w:szCs w:val="21"/>
                    <w:highlight w:val="none"/>
                  </w:rPr>
                  <w:t></w:t>
                </w:r>
              </w:sdtContent>
            </w:sdt>
            <w:r>
              <w:rPr>
                <w:rFonts w:hint="eastAsia" w:ascii="宋体" w:hAnsi="宋体" w:cs="宋体"/>
                <w:color w:val="auto"/>
                <w:kern w:val="0"/>
                <w:szCs w:val="21"/>
                <w:highlight w:val="none"/>
              </w:rPr>
              <w:t>本项目不允许采购进口产品。</w:t>
            </w:r>
          </w:p>
          <w:p>
            <w:pPr>
              <w:snapToGrid w:val="0"/>
              <w:spacing w:line="288" w:lineRule="auto"/>
              <w:rPr>
                <w:rFonts w:ascii="宋体" w:hAnsi="宋体" w:cs="宋体"/>
                <w:color w:val="auto"/>
                <w:szCs w:val="21"/>
                <w:highlight w:val="none"/>
              </w:rPr>
            </w:pPr>
            <w:sdt>
              <w:sdtPr>
                <w:rPr>
                  <w:rFonts w:hint="eastAsia" w:ascii="宋体" w:hAnsi="宋体" w:cs="宋体"/>
                  <w:color w:val="auto"/>
                  <w:kern w:val="0"/>
                  <w:szCs w:val="21"/>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Segoe UI Symbol" w:hAnsi="Segoe UI Symbol" w:cs="Segoe UI Symbol"/>
                    <w:color w:val="auto"/>
                    <w:kern w:val="0"/>
                    <w:szCs w:val="21"/>
                    <w:highlight w:val="none"/>
                  </w:rPr>
                  <w:t>☐</w:t>
                </w:r>
              </w:sdtContent>
            </w:sdt>
            <w:r>
              <w:rPr>
                <w:rFonts w:hint="eastAsia" w:ascii="宋体" w:hAnsi="宋体" w:cs="宋体"/>
                <w:color w:val="auto"/>
                <w:kern w:val="0"/>
                <w:szCs w:val="21"/>
                <w:highlight w:val="none"/>
              </w:rPr>
              <w:t>可以就</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分包</w:t>
            </w:r>
          </w:p>
        </w:tc>
        <w:tc>
          <w:tcPr>
            <w:tcW w:w="5683" w:type="dxa"/>
            <w:vAlign w:val="center"/>
          </w:tcPr>
          <w:p>
            <w:pPr>
              <w:snapToGrid w:val="0"/>
              <w:spacing w:line="288" w:lineRule="auto"/>
              <w:rPr>
                <w:rFonts w:ascii="宋体" w:hAnsi="宋体" w:cs="宋体"/>
                <w:color w:val="auto"/>
                <w:szCs w:val="21"/>
                <w:highlight w:val="none"/>
              </w:rPr>
            </w:pPr>
            <w:r>
              <w:rPr>
                <w:rFonts w:ascii="Wingdings" w:hAnsi="Wingdings" w:cs="宋体"/>
                <w:color w:val="auto"/>
                <w:kern w:val="0"/>
                <w:szCs w:val="21"/>
                <w:highlight w:val="none"/>
                <w:lang w:bidi="ar"/>
              </w:rPr>
              <w:t></w:t>
            </w:r>
            <w:r>
              <w:rPr>
                <w:rFonts w:hint="eastAsia" w:ascii="宋体" w:hAnsi="宋体" w:cs="宋体"/>
                <w:color w:val="auto"/>
                <w:kern w:val="0"/>
                <w:szCs w:val="21"/>
                <w:highlight w:val="none"/>
                <w:lang w:bidi="ar"/>
              </w:rPr>
              <w:t xml:space="preserve"> </w:t>
            </w:r>
            <w:r>
              <w:rPr>
                <w:rFonts w:hint="eastAsia" w:ascii="宋体" w:hAnsi="宋体" w:cs="宋体"/>
                <w:color w:val="auto"/>
                <w:szCs w:val="21"/>
                <w:highlight w:val="none"/>
              </w:rPr>
              <w:t>A同意将非主体、非关键性的</w:t>
            </w:r>
            <w:r>
              <w:rPr>
                <w:rFonts w:hint="eastAsia" w:ascii="宋体" w:hAnsi="宋体" w:cs="宋体"/>
                <w:color w:val="auto"/>
                <w:szCs w:val="21"/>
                <w:highlight w:val="none"/>
                <w:u w:val="single"/>
              </w:rPr>
              <w:t xml:space="preserve"> 运输、安装 </w:t>
            </w:r>
            <w:r>
              <w:rPr>
                <w:rFonts w:hint="eastAsia" w:ascii="宋体" w:hAnsi="宋体" w:cs="宋体"/>
                <w:color w:val="auto"/>
                <w:szCs w:val="21"/>
                <w:highlight w:val="none"/>
              </w:rPr>
              <w:t>工作分包。</w:t>
            </w:r>
          </w:p>
          <w:p>
            <w:pPr>
              <w:snapToGrid w:val="0"/>
              <w:spacing w:line="288" w:lineRule="auto"/>
              <w:rPr>
                <w:rFonts w:ascii="宋体" w:hAnsi="宋体" w:cs="宋体"/>
                <w:color w:val="auto"/>
                <w:szCs w:val="21"/>
                <w:highlight w:val="none"/>
              </w:rPr>
            </w:pPr>
            <w:sdt>
              <w:sdtPr>
                <w:rPr>
                  <w:rFonts w:hint="eastAsia" w:ascii="宋体" w:hAnsi="宋体" w:cs="宋体"/>
                  <w:color w:val="auto"/>
                  <w:kern w:val="0"/>
                  <w:szCs w:val="21"/>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Segoe UI Symbol" w:hAnsi="Segoe UI Symbol" w:cs="Segoe UI Symbol"/>
                    <w:color w:val="auto"/>
                    <w:kern w:val="0"/>
                    <w:szCs w:val="21"/>
                    <w:highlight w:val="none"/>
                  </w:rPr>
                  <w:t>☐</w:t>
                </w:r>
              </w:sdtContent>
            </w:sdt>
            <w:r>
              <w:rPr>
                <w:rFonts w:hint="eastAsia" w:ascii="宋体" w:hAnsi="宋体" w:cs="宋体"/>
                <w:color w:val="auto"/>
                <w:kern w:val="0"/>
                <w:szCs w:val="21"/>
                <w:highlight w:val="none"/>
              </w:rPr>
              <w:t xml:space="preserve"> B</w:t>
            </w:r>
            <w:r>
              <w:rPr>
                <w:rFonts w:hint="eastAsia" w:ascii="宋体" w:hAnsi="宋体" w:cs="宋体"/>
                <w:color w:val="auto"/>
                <w:szCs w:val="21"/>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开标前答疑会或现场考察</w:t>
            </w:r>
          </w:p>
        </w:tc>
        <w:tc>
          <w:tcPr>
            <w:tcW w:w="5683" w:type="dxa"/>
            <w:vAlign w:val="center"/>
          </w:tcPr>
          <w:p>
            <w:pPr>
              <w:snapToGrid w:val="0"/>
              <w:spacing w:line="288" w:lineRule="auto"/>
              <w:rPr>
                <w:rFonts w:ascii="宋体" w:hAnsi="宋体" w:cs="宋体"/>
                <w:color w:val="auto"/>
                <w:szCs w:val="21"/>
                <w:highlight w:val="none"/>
              </w:rPr>
            </w:pPr>
            <w:sdt>
              <w:sdtPr>
                <w:rPr>
                  <w:rFonts w:hint="eastAsia" w:ascii="宋体" w:hAnsi="宋体" w:cs="宋体"/>
                  <w:color w:val="auto"/>
                  <w:kern w:val="0"/>
                  <w:szCs w:val="21"/>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hint="eastAsia" w:ascii="宋体" w:hAnsi="宋体" w:cs="宋体"/>
                    <w:color w:val="auto"/>
                    <w:kern w:val="0"/>
                    <w:szCs w:val="21"/>
                    <w:highlight w:val="none"/>
                  </w:rPr>
                  <w:sym w:font="Wingdings" w:char="F0FE"/>
                </w:r>
              </w:sdtContent>
            </w:sdt>
            <w:r>
              <w:rPr>
                <w:rFonts w:hint="eastAsia" w:ascii="宋体" w:hAnsi="宋体" w:cs="宋体"/>
                <w:color w:val="auto"/>
                <w:kern w:val="0"/>
                <w:szCs w:val="21"/>
                <w:highlight w:val="none"/>
              </w:rPr>
              <w:t>A</w:t>
            </w:r>
            <w:r>
              <w:rPr>
                <w:rFonts w:hint="eastAsia" w:ascii="宋体" w:hAnsi="宋体" w:cs="宋体"/>
                <w:color w:val="auto"/>
                <w:szCs w:val="21"/>
                <w:highlight w:val="none"/>
              </w:rPr>
              <w:t>不组织。</w:t>
            </w:r>
          </w:p>
          <w:p>
            <w:pPr>
              <w:snapToGrid w:val="0"/>
              <w:spacing w:line="288" w:lineRule="auto"/>
              <w:rPr>
                <w:rFonts w:ascii="宋体" w:hAnsi="宋体" w:cs="宋体"/>
                <w:color w:val="auto"/>
                <w:szCs w:val="21"/>
                <w:highlight w:val="none"/>
              </w:rPr>
            </w:pPr>
            <w:sdt>
              <w:sdtPr>
                <w:rPr>
                  <w:rFonts w:hint="eastAsia" w:ascii="宋体" w:hAnsi="宋体" w:cs="宋体"/>
                  <w:color w:val="auto"/>
                  <w:kern w:val="0"/>
                  <w:szCs w:val="21"/>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Segoe UI Symbol" w:hAnsi="Segoe UI Symbol" w:cs="Segoe UI Symbol"/>
                    <w:color w:val="auto"/>
                    <w:kern w:val="0"/>
                    <w:szCs w:val="21"/>
                    <w:highlight w:val="none"/>
                  </w:rPr>
                  <w:t>☐</w:t>
                </w:r>
              </w:sdtContent>
            </w:sdt>
            <w:r>
              <w:rPr>
                <w:rFonts w:hint="eastAsia" w:ascii="宋体" w:hAnsi="宋体" w:cs="宋体"/>
                <w:color w:val="auto"/>
                <w:kern w:val="0"/>
                <w:szCs w:val="21"/>
                <w:highlight w:val="none"/>
              </w:rPr>
              <w:t>B组织，</w:t>
            </w:r>
            <w:r>
              <w:rPr>
                <w:rFonts w:hint="eastAsia" w:ascii="宋体" w:hAnsi="宋体" w:cs="宋体"/>
                <w:color w:val="auto"/>
                <w:szCs w:val="21"/>
                <w:highlight w:val="none"/>
              </w:rPr>
              <w:t>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样品提供</w:t>
            </w:r>
          </w:p>
        </w:tc>
        <w:tc>
          <w:tcPr>
            <w:tcW w:w="5683" w:type="dxa"/>
            <w:vAlign w:val="center"/>
          </w:tcPr>
          <w:p>
            <w:pPr>
              <w:snapToGrid w:val="0"/>
              <w:spacing w:line="288" w:lineRule="auto"/>
              <w:rPr>
                <w:rFonts w:ascii="宋体" w:hAnsi="宋体" w:cs="宋体"/>
                <w:color w:val="auto"/>
                <w:szCs w:val="21"/>
                <w:highlight w:val="none"/>
              </w:rPr>
            </w:pPr>
            <w:sdt>
              <w:sdtPr>
                <w:rPr>
                  <w:rFonts w:hint="eastAsia" w:ascii="宋体" w:hAnsi="宋体" w:cs="宋体"/>
                  <w:color w:val="auto"/>
                  <w:kern w:val="0"/>
                  <w:szCs w:val="21"/>
                  <w:highlight w:val="none"/>
                </w:rPr>
                <w:id w:val="-1639946486"/>
                <w14:checkbox>
                  <w14:checked w14:val="0"/>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hint="eastAsia" w:ascii="MS Gothic" w:hAnsi="MS Gothic" w:cs="宋体"/>
                    <w:color w:val="auto"/>
                    <w:kern w:val="0"/>
                    <w:szCs w:val="21"/>
                    <w:highlight w:val="none"/>
                  </w:rPr>
                  <w:t>☐</w:t>
                </w:r>
              </w:sdtContent>
            </w:sdt>
            <w:r>
              <w:rPr>
                <w:rFonts w:hint="eastAsia" w:ascii="宋体" w:hAnsi="宋体" w:cs="宋体"/>
                <w:color w:val="auto"/>
                <w:kern w:val="0"/>
                <w:szCs w:val="21"/>
                <w:highlight w:val="none"/>
              </w:rPr>
              <w:t>A</w:t>
            </w:r>
            <w:r>
              <w:rPr>
                <w:rFonts w:hint="eastAsia" w:ascii="宋体" w:hAnsi="宋体" w:cs="宋体"/>
                <w:color w:val="auto"/>
                <w:szCs w:val="21"/>
                <w:highlight w:val="none"/>
              </w:rPr>
              <w:t>不要求提供。</w:t>
            </w:r>
          </w:p>
          <w:p>
            <w:pPr>
              <w:snapToGrid w:val="0"/>
              <w:spacing w:line="288" w:lineRule="auto"/>
              <w:rPr>
                <w:rFonts w:ascii="宋体" w:hAnsi="宋体" w:cs="宋体"/>
                <w:color w:val="auto"/>
                <w:kern w:val="0"/>
                <w:szCs w:val="21"/>
                <w:highlight w:val="none"/>
              </w:rPr>
            </w:pPr>
            <w:sdt>
              <w:sdtPr>
                <w:rPr>
                  <w:rFonts w:hint="eastAsia" w:ascii="宋体" w:hAnsi="宋体" w:cs="宋体"/>
                  <w:color w:val="auto"/>
                  <w:kern w:val="0"/>
                  <w:szCs w:val="21"/>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Wingdings" w:hAnsi="Wingdings" w:cs="Segoe UI Symbol"/>
                    <w:color w:val="auto"/>
                    <w:kern w:val="0"/>
                    <w:szCs w:val="21"/>
                    <w:highlight w:val="none"/>
                  </w:rPr>
                  <w:t></w:t>
                </w:r>
              </w:sdtContent>
            </w:sdt>
            <w:r>
              <w:rPr>
                <w:rFonts w:hint="eastAsia" w:ascii="宋体" w:hAnsi="宋体" w:cs="宋体"/>
                <w:color w:val="auto"/>
                <w:kern w:val="0"/>
                <w:szCs w:val="21"/>
                <w:highlight w:val="none"/>
              </w:rPr>
              <w:t>B要求提供，</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snapToGrid w:val="0"/>
                <w:color w:val="auto"/>
                <w:kern w:val="28"/>
                <w:szCs w:val="21"/>
                <w:highlight w:val="none"/>
              </w:rPr>
              <w:t>样品：</w:t>
            </w:r>
            <w:r>
              <w:rPr>
                <w:rFonts w:hint="eastAsia" w:ascii="宋体" w:hAnsi="宋体" w:cs="宋体"/>
                <w:color w:val="auto"/>
                <w:szCs w:val="21"/>
                <w:highlight w:val="none"/>
                <w:u w:val="single"/>
              </w:rPr>
              <w:t>第三部分</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采购需求</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三、技术要求</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中</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四、杭州市现代实验小学（现代校区）</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序号1</w:t>
            </w:r>
            <w:r>
              <w:rPr>
                <w:rFonts w:ascii="宋体" w:hAnsi="宋体" w:cs="宋体"/>
                <w:color w:val="auto"/>
                <w:szCs w:val="21"/>
                <w:highlight w:val="none"/>
                <w:u w:val="single"/>
              </w:rPr>
              <w:t>2</w:t>
            </w:r>
            <w:r>
              <w:rPr>
                <w:rFonts w:hint="eastAsia" w:ascii="宋体" w:hAnsi="宋体" w:cs="宋体"/>
                <w:color w:val="auto"/>
                <w:szCs w:val="21"/>
                <w:highlight w:val="none"/>
                <w:u w:val="single"/>
              </w:rPr>
              <w:t>的</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单眼燃气大锅灶</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1台</w:t>
            </w:r>
            <w:r>
              <w:rPr>
                <w:rFonts w:hint="eastAsia" w:ascii="宋体" w:hAnsi="宋体" w:cs="宋体"/>
                <w:color w:val="auto"/>
                <w:szCs w:val="21"/>
                <w:highlight w:val="none"/>
                <w:u w:val="single"/>
              </w:rPr>
              <w:t>；</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snapToGrid w:val="0"/>
                <w:color w:val="auto"/>
                <w:kern w:val="28"/>
                <w:szCs w:val="21"/>
                <w:highlight w:val="none"/>
              </w:rPr>
              <w:t>样品制作的标准和要求：</w:t>
            </w:r>
            <w:r>
              <w:rPr>
                <w:rFonts w:hint="eastAsia" w:ascii="宋体" w:hAnsi="宋体" w:cs="宋体"/>
                <w:color w:val="auto"/>
                <w:szCs w:val="21"/>
                <w:highlight w:val="none"/>
                <w:u w:val="single"/>
              </w:rPr>
              <w:t>同采购需求</w:t>
            </w:r>
            <w:r>
              <w:rPr>
                <w:rFonts w:hint="eastAsia" w:ascii="宋体" w:hAnsi="宋体" w:cs="宋体"/>
                <w:color w:val="auto"/>
                <w:kern w:val="0"/>
                <w:szCs w:val="21"/>
                <w:highlight w:val="none"/>
              </w:rPr>
              <w:t>；</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（3）样品的评审方法以及评审标准</w:t>
            </w:r>
            <w:r>
              <w:rPr>
                <w:rFonts w:hint="eastAsia" w:ascii="宋体" w:hAnsi="宋体" w:cs="宋体"/>
                <w:snapToGrid w:val="0"/>
                <w:color w:val="auto"/>
                <w:kern w:val="28"/>
                <w:szCs w:val="21"/>
                <w:highlight w:val="none"/>
              </w:rPr>
              <w:t>：详见</w:t>
            </w:r>
            <w:r>
              <w:rPr>
                <w:rFonts w:hint="eastAsia" w:ascii="宋体" w:hAnsi="宋体" w:cs="宋体"/>
                <w:color w:val="auto"/>
                <w:szCs w:val="21"/>
                <w:highlight w:val="none"/>
                <w:u w:val="single"/>
              </w:rPr>
              <w:t>评标办法</w:t>
            </w:r>
            <w:r>
              <w:rPr>
                <w:rFonts w:hint="eastAsia" w:ascii="宋体" w:hAnsi="宋体" w:cs="宋体"/>
                <w:color w:val="auto"/>
                <w:kern w:val="0"/>
                <w:szCs w:val="21"/>
                <w:highlight w:val="none"/>
              </w:rPr>
              <w:t>；</w:t>
            </w:r>
          </w:p>
          <w:p>
            <w:pPr>
              <w:snapToGrid w:val="0"/>
              <w:spacing w:line="288" w:lineRule="auto"/>
              <w:rPr>
                <w:rFonts w:ascii="宋体" w:hAnsi="宋体" w:cs="宋体"/>
                <w:color w:val="auto"/>
                <w:kern w:val="0"/>
                <w:szCs w:val="21"/>
                <w:highlight w:val="none"/>
              </w:rPr>
            </w:pPr>
            <w:r>
              <w:rPr>
                <w:rFonts w:hint="eastAsia" w:ascii="宋体" w:hAnsi="宋体" w:cs="宋体"/>
                <w:color w:val="auto"/>
                <w:kern w:val="0"/>
                <w:szCs w:val="21"/>
                <w:highlight w:val="none"/>
              </w:rPr>
              <w:t>（4）是否需要随样品提交检测报告：</w:t>
            </w:r>
            <w:sdt>
              <w:sdtPr>
                <w:rPr>
                  <w:rFonts w:hint="eastAsia" w:ascii="宋体" w:hAnsi="宋体" w:cs="宋体"/>
                  <w:color w:val="auto"/>
                  <w:kern w:val="0"/>
                  <w:szCs w:val="21"/>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hint="eastAsia" w:ascii="宋体" w:hAnsi="宋体" w:cs="宋体"/>
                    <w:color w:val="auto"/>
                    <w:kern w:val="0"/>
                    <w:szCs w:val="21"/>
                    <w:highlight w:val="none"/>
                  </w:rPr>
                  <w:sym w:font="Wingdings" w:char="F0FE"/>
                </w:r>
              </w:sdtContent>
            </w:sdt>
            <w:r>
              <w:rPr>
                <w:rFonts w:hint="eastAsia" w:ascii="宋体" w:hAnsi="宋体" w:cs="宋体"/>
                <w:color w:val="auto"/>
                <w:kern w:val="0"/>
                <w:szCs w:val="21"/>
                <w:highlight w:val="none"/>
              </w:rPr>
              <w:t>否</w:t>
            </w:r>
            <w:r>
              <w:rPr>
                <w:rFonts w:hint="eastAsia" w:ascii="宋体" w:hAnsi="宋体" w:cs="宋体"/>
                <w:color w:val="auto"/>
                <w:kern w:val="0"/>
                <w:szCs w:val="21"/>
                <w:highlight w:val="none"/>
              </w:rPr>
              <w:t>；</w:t>
            </w:r>
            <w:sdt>
              <w:sdtPr>
                <w:rPr>
                  <w:rFonts w:hint="eastAsia" w:ascii="宋体" w:hAnsi="宋体" w:cs="宋体"/>
                  <w:color w:val="auto"/>
                  <w:kern w:val="0"/>
                  <w:szCs w:val="21"/>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MS Gothic" w:hAnsi="MS Gothic" w:cs="Segoe UI Symbol"/>
                    <w:color w:val="auto"/>
                    <w:kern w:val="0"/>
                    <w:szCs w:val="21"/>
                    <w:highlight w:val="none"/>
                  </w:rPr>
                  <w:t>☐</w:t>
                </w:r>
              </w:sdtContent>
            </w:sdt>
            <w:r>
              <w:rPr>
                <w:rFonts w:hint="eastAsia" w:ascii="宋体" w:hAnsi="宋体" w:cs="宋体"/>
                <w:color w:val="auto"/>
                <w:kern w:val="0"/>
                <w:szCs w:val="21"/>
                <w:highlight w:val="none"/>
              </w:rPr>
              <w:t>是，检测机构的要求</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；检测内容</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（5）提供样品的时间：</w:t>
            </w:r>
            <w:r>
              <w:rPr>
                <w:rFonts w:hint="eastAsia" w:ascii="宋体" w:hAnsi="宋体" w:cs="宋体"/>
                <w:color w:val="auto"/>
                <w:szCs w:val="21"/>
                <w:highlight w:val="none"/>
                <w:u w:val="single"/>
              </w:rPr>
              <w:t>2024年5月23日</w:t>
            </w:r>
            <w:r>
              <w:rPr>
                <w:rFonts w:hint="eastAsia" w:ascii="宋体" w:hAnsi="宋体" w:cs="宋体"/>
                <w:color w:val="auto"/>
                <w:szCs w:val="21"/>
                <w:highlight w:val="none"/>
                <w:u w:val="single"/>
                <w:lang w:val="en-US" w:eastAsia="zh-CN"/>
              </w:rPr>
              <w:t>8:</w:t>
            </w:r>
            <w:r>
              <w:rPr>
                <w:rFonts w:hint="eastAsia" w:ascii="宋体" w:hAnsi="宋体" w:cs="宋体"/>
                <w:color w:val="auto"/>
                <w:szCs w:val="21"/>
                <w:highlight w:val="none"/>
                <w:u w:val="single"/>
              </w:rPr>
              <w:t>00</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00</w:t>
            </w:r>
            <w:r>
              <w:rPr>
                <w:rFonts w:hint="eastAsia" w:ascii="宋体" w:hAnsi="宋体" w:cs="宋体"/>
                <w:color w:val="auto"/>
                <w:szCs w:val="21"/>
                <w:highlight w:val="none"/>
                <w:u w:val="single"/>
                <w:lang w:val="en-US" w:eastAsia="zh-CN"/>
              </w:rPr>
              <w:t>-10:00:00</w:t>
            </w:r>
            <w:r>
              <w:rPr>
                <w:rFonts w:hint="eastAsia" w:ascii="宋体" w:hAnsi="宋体" w:cs="宋体"/>
                <w:color w:val="auto"/>
                <w:kern w:val="0"/>
                <w:szCs w:val="21"/>
                <w:highlight w:val="none"/>
              </w:rPr>
              <w:t>；地点：</w:t>
            </w:r>
            <w:r>
              <w:rPr>
                <w:rFonts w:hint="eastAsia" w:ascii="宋体" w:hAnsi="宋体" w:cs="宋体"/>
                <w:color w:val="auto"/>
                <w:szCs w:val="21"/>
                <w:highlight w:val="none"/>
                <w:u w:val="single"/>
              </w:rPr>
              <w:t>杭州市文澜实验学校文源楼一楼广场（通益路风景街222号）</w:t>
            </w:r>
            <w:r>
              <w:rPr>
                <w:rFonts w:hint="eastAsia" w:ascii="宋体" w:hAnsi="宋体" w:cs="宋体"/>
                <w:color w:val="auto"/>
                <w:kern w:val="0"/>
                <w:szCs w:val="21"/>
                <w:highlight w:val="none"/>
              </w:rPr>
              <w:t>；</w:t>
            </w:r>
            <w:r>
              <w:rPr>
                <w:rFonts w:hint="eastAsia" w:ascii="宋体" w:hAnsi="宋体" w:cs="宋体"/>
                <w:color w:val="auto"/>
                <w:kern w:val="0"/>
                <w:szCs w:val="21"/>
                <w:highlight w:val="none"/>
              </w:rPr>
              <w:t>联系人</w:t>
            </w:r>
            <w:r>
              <w:rPr>
                <w:rFonts w:hint="eastAsia" w:ascii="宋体" w:hAnsi="宋体" w:cs="宋体"/>
                <w:color w:val="auto"/>
                <w:szCs w:val="21"/>
                <w:highlight w:val="none"/>
              </w:rPr>
              <w:t>：</w:t>
            </w:r>
            <w:r>
              <w:rPr>
                <w:rFonts w:hint="eastAsia" w:ascii="宋体" w:hAnsi="宋体" w:cs="宋体"/>
                <w:color w:val="auto"/>
                <w:szCs w:val="21"/>
                <w:highlight w:val="none"/>
                <w:u w:val="single"/>
              </w:rPr>
              <w:t>俞炳</w:t>
            </w:r>
            <w:r>
              <w:rPr>
                <w:rFonts w:hint="eastAsia" w:ascii="宋体" w:hAnsi="宋体" w:cs="宋体"/>
                <w:color w:val="auto"/>
                <w:szCs w:val="21"/>
                <w:highlight w:val="none"/>
              </w:rPr>
              <w:t>，</w:t>
            </w:r>
            <w:r>
              <w:rPr>
                <w:rFonts w:hint="eastAsia" w:ascii="宋体" w:hAnsi="宋体" w:cs="宋体"/>
                <w:color w:val="auto"/>
                <w:kern w:val="28"/>
                <w:szCs w:val="21"/>
                <w:highlight w:val="none"/>
              </w:rPr>
              <w:t>联系电话：</w:t>
            </w:r>
            <w:r>
              <w:rPr>
                <w:rFonts w:hint="eastAsia" w:ascii="宋体" w:hAnsi="宋体" w:cs="宋体"/>
                <w:color w:val="auto"/>
                <w:szCs w:val="21"/>
                <w:highlight w:val="none"/>
                <w:u w:val="single"/>
              </w:rPr>
              <w:t>13252390857</w:t>
            </w:r>
            <w:r>
              <w:rPr>
                <w:rFonts w:hint="eastAsia" w:ascii="宋体" w:hAnsi="宋体" w:cs="宋体"/>
                <w:color w:val="auto"/>
                <w:szCs w:val="21"/>
                <w:highlight w:val="none"/>
              </w:rPr>
              <w:t>。请投标人在上述时间内提供样品并按规定位置安装完毕。超过截止时间的，采购人或采购代理机构将不予接收，并将清场并封闭样品现场。</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napToGrid w:val="0"/>
              <w:spacing w:line="288" w:lineRule="auto"/>
              <w:rPr>
                <w:rFonts w:ascii="宋体" w:hAnsi="宋体" w:cs="宋体"/>
                <w:b/>
                <w:color w:val="auto"/>
                <w:szCs w:val="21"/>
                <w:highlight w:val="none"/>
              </w:rPr>
            </w:pPr>
            <w:r>
              <w:rPr>
                <w:rFonts w:hint="eastAsia" w:ascii="宋体" w:hAnsi="宋体" w:cs="宋体"/>
                <w:color w:val="auto"/>
                <w:szCs w:val="21"/>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2092" w:type="dxa"/>
            <w:vAlign w:val="center"/>
          </w:tcPr>
          <w:p>
            <w:pPr>
              <w:snapToGrid w:val="0"/>
              <w:spacing w:line="288" w:lineRule="auto"/>
              <w:jc w:val="center"/>
              <w:rPr>
                <w:rFonts w:ascii="宋体" w:hAnsi="宋体" w:cs="宋体"/>
                <w:bCs/>
                <w:color w:val="auto"/>
                <w:szCs w:val="21"/>
                <w:highlight w:val="none"/>
              </w:rPr>
            </w:pPr>
            <w:r>
              <w:rPr>
                <w:rFonts w:hint="eastAsia" w:ascii="宋体" w:hAnsi="宋体" w:cs="宋体"/>
                <w:b/>
                <w:color w:val="auto"/>
                <w:szCs w:val="21"/>
                <w:highlight w:val="none"/>
              </w:rPr>
              <w:t>演示</w:t>
            </w:r>
          </w:p>
        </w:tc>
        <w:tc>
          <w:tcPr>
            <w:tcW w:w="5683" w:type="dxa"/>
            <w:vAlign w:val="center"/>
          </w:tcPr>
          <w:p>
            <w:pPr>
              <w:snapToGrid w:val="0"/>
              <w:spacing w:line="288" w:lineRule="auto"/>
              <w:rPr>
                <w:rFonts w:ascii="宋体" w:hAnsi="宋体" w:cs="宋体"/>
                <w:color w:val="auto"/>
                <w:szCs w:val="21"/>
                <w:highlight w:val="none"/>
              </w:rPr>
            </w:pPr>
            <w:sdt>
              <w:sdtPr>
                <w:rPr>
                  <w:rFonts w:hint="eastAsia" w:ascii="宋体" w:hAnsi="宋体" w:cs="宋体"/>
                  <w:color w:val="auto"/>
                  <w:kern w:val="0"/>
                  <w:szCs w:val="21"/>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ascii="Wingdings" w:hAnsi="Wingdings" w:eastAsia="MS Gothic" w:cs="宋体"/>
                    <w:color w:val="auto"/>
                    <w:kern w:val="0"/>
                    <w:szCs w:val="21"/>
                    <w:highlight w:val="none"/>
                  </w:rPr>
                  <w:t></w:t>
                </w:r>
              </w:sdtContent>
            </w:sdt>
            <w:r>
              <w:rPr>
                <w:rFonts w:hint="eastAsia" w:ascii="宋体" w:hAnsi="宋体" w:cs="宋体"/>
                <w:color w:val="auto"/>
                <w:kern w:val="0"/>
                <w:szCs w:val="21"/>
                <w:highlight w:val="none"/>
              </w:rPr>
              <w:t>A</w:t>
            </w:r>
            <w:r>
              <w:rPr>
                <w:rFonts w:hint="eastAsia" w:ascii="宋体" w:hAnsi="宋体" w:cs="宋体"/>
                <w:color w:val="auto"/>
                <w:szCs w:val="21"/>
                <w:highlight w:val="none"/>
              </w:rPr>
              <w:t>不组织。</w:t>
            </w:r>
          </w:p>
          <w:p>
            <w:pPr>
              <w:snapToGrid w:val="0"/>
              <w:spacing w:line="288" w:lineRule="auto"/>
              <w:rPr>
                <w:rFonts w:asciiTheme="minorEastAsia" w:hAnsiTheme="minorEastAsia"/>
                <w:b/>
                <w:color w:val="auto"/>
                <w:szCs w:val="21"/>
                <w:highlight w:val="none"/>
              </w:rPr>
            </w:pPr>
            <w:sdt>
              <w:sdtPr>
                <w:rPr>
                  <w:rFonts w:hint="eastAsia" w:ascii="宋体" w:hAnsi="宋体" w:cs="宋体"/>
                  <w:color w:val="auto"/>
                  <w:kern w:val="0"/>
                  <w:szCs w:val="21"/>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Cs w:val="21"/>
                  <w:highlight w:val="none"/>
                </w:rPr>
              </w:sdtEndPr>
              <w:sdtContent>
                <w:r>
                  <w:rPr>
                    <w:rFonts w:hint="eastAsia" w:ascii="MS Gothic" w:hAnsi="MS Gothic" w:cs="宋体"/>
                    <w:color w:val="auto"/>
                    <w:kern w:val="0"/>
                    <w:szCs w:val="21"/>
                    <w:highlight w:val="none"/>
                  </w:rPr>
                  <w:t>☐</w:t>
                </w:r>
              </w:sdtContent>
            </w:sdt>
            <w:r>
              <w:rPr>
                <w:rFonts w:hint="eastAsia" w:ascii="宋体" w:hAnsi="宋体" w:cs="宋体"/>
                <w:color w:val="auto"/>
                <w:kern w:val="0"/>
                <w:szCs w:val="21"/>
                <w:highlight w:val="none"/>
              </w:rPr>
              <w:t>B组织。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Merge w:val="restart"/>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8</w:t>
            </w:r>
          </w:p>
        </w:tc>
        <w:tc>
          <w:tcPr>
            <w:tcW w:w="2092" w:type="dxa"/>
            <w:vMerge w:val="restart"/>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投标人应当提供的资格、资信证明文件</w:t>
            </w:r>
          </w:p>
        </w:tc>
        <w:tc>
          <w:tcPr>
            <w:tcW w:w="5683" w:type="dxa"/>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（1）资格证明文件：见招标文件第二部分11.1。</w:t>
            </w:r>
          </w:p>
          <w:p>
            <w:pPr>
              <w:snapToGrid w:val="0"/>
              <w:spacing w:line="288" w:lineRule="auto"/>
              <w:rPr>
                <w:rFonts w:ascii="宋体" w:hAnsi="宋体" w:cs="宋体"/>
                <w:snapToGrid w:val="0"/>
                <w:color w:val="auto"/>
                <w:kern w:val="0"/>
                <w:szCs w:val="21"/>
                <w:highlight w:val="none"/>
              </w:rPr>
            </w:pPr>
            <w:r>
              <w:rPr>
                <w:rFonts w:hint="eastAsia" w:ascii="宋体" w:hAnsi="宋体" w:cs="宋体"/>
                <w:color w:val="auto"/>
                <w:kern w:val="0"/>
                <w:szCs w:val="21"/>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Merge w:val="continue"/>
            <w:vAlign w:val="center"/>
          </w:tcPr>
          <w:p>
            <w:pPr>
              <w:snapToGrid w:val="0"/>
              <w:spacing w:line="288" w:lineRule="auto"/>
              <w:jc w:val="center"/>
              <w:rPr>
                <w:rFonts w:ascii="宋体" w:hAnsi="宋体" w:cs="宋体"/>
                <w:color w:val="auto"/>
                <w:szCs w:val="21"/>
                <w:highlight w:val="none"/>
              </w:rPr>
            </w:pPr>
          </w:p>
        </w:tc>
        <w:tc>
          <w:tcPr>
            <w:tcW w:w="2092" w:type="dxa"/>
            <w:vMerge w:val="continue"/>
            <w:vAlign w:val="center"/>
          </w:tcPr>
          <w:p>
            <w:pPr>
              <w:snapToGrid w:val="0"/>
              <w:spacing w:line="288" w:lineRule="auto"/>
              <w:jc w:val="center"/>
              <w:rPr>
                <w:rFonts w:ascii="宋体" w:hAnsi="宋体" w:cs="宋体"/>
                <w:b/>
                <w:color w:val="auto"/>
                <w:szCs w:val="21"/>
                <w:highlight w:val="none"/>
              </w:rPr>
            </w:pPr>
          </w:p>
        </w:tc>
        <w:tc>
          <w:tcPr>
            <w:tcW w:w="5683" w:type="dxa"/>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9</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节能产品、环境标志产品</w:t>
            </w:r>
          </w:p>
        </w:tc>
        <w:tc>
          <w:tcPr>
            <w:tcW w:w="5683" w:type="dxa"/>
            <w:vAlign w:val="center"/>
          </w:tcPr>
          <w:p>
            <w:pPr>
              <w:snapToGrid w:val="0"/>
              <w:spacing w:line="288" w:lineRule="auto"/>
              <w:rPr>
                <w:rFonts w:ascii="宋体" w:hAnsi="宋体" w:cs="宋体"/>
                <w:color w:val="auto"/>
                <w:szCs w:val="21"/>
                <w:highlight w:val="none"/>
              </w:rPr>
            </w:pPr>
            <w:r>
              <w:rPr>
                <w:rFonts w:hint="eastAsia" w:ascii="宋体" w:hAnsi="宋体" w:cs="宋体"/>
                <w:color w:val="auto"/>
                <w:kern w:val="0"/>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10</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报价要求</w:t>
            </w:r>
          </w:p>
        </w:tc>
        <w:tc>
          <w:tcPr>
            <w:tcW w:w="5683" w:type="dxa"/>
            <w:vAlign w:val="center"/>
          </w:tcPr>
          <w:p>
            <w:pPr>
              <w:snapToGrid w:val="0"/>
              <w:spacing w:line="288" w:lineRule="auto"/>
              <w:rPr>
                <w:rFonts w:ascii="宋体" w:hAnsi="宋体" w:cs="宋体"/>
                <w:b/>
                <w:color w:val="auto"/>
                <w:kern w:val="0"/>
                <w:szCs w:val="21"/>
                <w:highlight w:val="none"/>
                <w:lang w:val="zh-CN"/>
              </w:rPr>
            </w:pPr>
            <w:r>
              <w:rPr>
                <w:rFonts w:hint="eastAsia" w:ascii="宋体" w:hAnsi="宋体" w:cs="宋体"/>
                <w:color w:val="auto"/>
                <w:kern w:val="0"/>
                <w:szCs w:val="21"/>
                <w:highlight w:val="none"/>
                <w:lang w:val="zh-CN"/>
              </w:rPr>
              <w:t>有关本项目实施所需的所有费用（含税费）均计入报价。</w:t>
            </w:r>
            <w:r>
              <w:rPr>
                <w:rFonts w:hint="eastAsia" w:ascii="宋体" w:hAnsi="宋体" w:cs="宋体"/>
                <w:b/>
                <w:bCs/>
                <w:color w:val="auto"/>
                <w:kern w:val="0"/>
                <w:szCs w:val="21"/>
                <w:highlight w:val="none"/>
                <w:lang w:val="zh-CN"/>
              </w:rPr>
              <w:t>投标文件</w:t>
            </w:r>
            <w:r>
              <w:rPr>
                <w:rFonts w:hint="eastAsia" w:ascii="宋体" w:hAnsi="宋体" w:cs="宋体"/>
                <w:b/>
                <w:bCs/>
                <w:color w:val="auto"/>
                <w:szCs w:val="21"/>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Cs w:val="21"/>
                <w:highlight w:val="none"/>
                <w:lang w:val="zh-CN"/>
              </w:rPr>
              <w:t>投标文件中价格全部采用人民币报价。招标文件未列明，而投标人认为必需的费用也需列入报价。</w:t>
            </w:r>
            <w:r>
              <w:rPr>
                <w:rFonts w:hint="eastAsia" w:ascii="宋体" w:hAnsi="宋体" w:cs="宋体"/>
                <w:b/>
                <w:color w:val="auto"/>
                <w:kern w:val="0"/>
                <w:szCs w:val="21"/>
                <w:highlight w:val="none"/>
                <w:lang w:val="zh-CN"/>
              </w:rPr>
              <w:t>提醒：验收时检测费用由采购人承担，不包含在投标总价中。</w:t>
            </w:r>
          </w:p>
          <w:p>
            <w:pPr>
              <w:snapToGrid w:val="0"/>
              <w:spacing w:line="288" w:lineRule="auto"/>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投标报价出现下列情形的，投标无效：</w:t>
            </w:r>
          </w:p>
          <w:p>
            <w:pPr>
              <w:snapToGrid w:val="0"/>
              <w:spacing w:line="288" w:lineRule="auto"/>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投标文件出现不是唯一的、有选择性投标报价的；</w:t>
            </w:r>
          </w:p>
          <w:p>
            <w:pPr>
              <w:snapToGrid w:val="0"/>
              <w:spacing w:line="288" w:lineRule="auto"/>
              <w:rPr>
                <w:rFonts w:ascii="宋体" w:hAnsi="宋体" w:cs="宋体"/>
                <w:color w:val="auto"/>
                <w:kern w:val="0"/>
                <w:szCs w:val="21"/>
                <w:highlight w:val="none"/>
                <w:lang w:val="zh-CN"/>
              </w:rPr>
            </w:pPr>
            <w:r>
              <w:rPr>
                <w:rFonts w:hint="eastAsia" w:ascii="宋体" w:hAnsi="宋体" w:cs="宋体"/>
                <w:b/>
                <w:color w:val="auto"/>
                <w:kern w:val="0"/>
                <w:szCs w:val="21"/>
                <w:highlight w:val="none"/>
                <w:lang w:val="zh-CN"/>
              </w:rPr>
              <w:t>投标报价超过招标文件中规定的预算金额或者最高限价的；</w:t>
            </w:r>
          </w:p>
          <w:p>
            <w:pPr>
              <w:snapToGrid w:val="0"/>
              <w:spacing w:line="288" w:lineRule="auto"/>
              <w:rPr>
                <w:rFonts w:ascii="宋体" w:hAnsi="宋体" w:cs="宋体"/>
                <w:b/>
                <w:color w:val="auto"/>
                <w:szCs w:val="21"/>
                <w:highlight w:val="none"/>
              </w:rPr>
            </w:pPr>
            <w:r>
              <w:rPr>
                <w:rFonts w:hint="eastAsia" w:ascii="宋体" w:hAnsi="宋体" w:cs="宋体"/>
                <w:b/>
                <w:color w:val="auto"/>
                <w:kern w:val="0"/>
                <w:szCs w:val="21"/>
                <w:highlight w:val="none"/>
              </w:rPr>
              <w:t>报价明显低于其他通过符合性审查投标人的报价，有可能影响产品质量或者不能诚信履约的，未能按要求提供书面说明或者提交相关证明材料证明其报价合理性的；</w:t>
            </w:r>
          </w:p>
          <w:p>
            <w:pPr>
              <w:snapToGrid w:val="0"/>
              <w:spacing w:line="288" w:lineRule="auto"/>
              <w:rPr>
                <w:rFonts w:ascii="宋体" w:hAnsi="宋体" w:cs="宋体"/>
                <w:color w:val="auto"/>
                <w:szCs w:val="21"/>
                <w:highlight w:val="none"/>
              </w:rPr>
            </w:pPr>
            <w:r>
              <w:rPr>
                <w:rFonts w:hint="eastAsia" w:ascii="宋体" w:hAnsi="宋体" w:cs="宋体"/>
                <w:b/>
                <w:color w:val="auto"/>
                <w:kern w:val="0"/>
                <w:szCs w:val="21"/>
                <w:highlight w:val="none"/>
              </w:rPr>
              <w:t>投标人对根据修正原则修正后的报价不确认的</w:t>
            </w:r>
            <w:r>
              <w:rPr>
                <w:rFonts w:hint="eastAsia" w:ascii="宋体" w:hAnsi="宋体" w:cs="宋体"/>
                <w:b/>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11</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中小企业信用融资</w:t>
            </w:r>
          </w:p>
        </w:tc>
        <w:tc>
          <w:tcPr>
            <w:tcW w:w="5683" w:type="dxa"/>
            <w:vAlign w:val="center"/>
          </w:tcPr>
          <w:p>
            <w:pPr>
              <w:snapToGrid w:val="0"/>
              <w:spacing w:line="288" w:lineRule="auto"/>
              <w:rPr>
                <w:rFonts w:ascii="宋体" w:hAnsi="宋体" w:cs="宋体"/>
                <w:color w:val="auto"/>
                <w:szCs w:val="21"/>
                <w:highlight w:val="none"/>
              </w:rPr>
            </w:pPr>
            <w:r>
              <w:rPr>
                <w:rFonts w:hint="eastAsia" w:ascii="宋体" w:hAnsi="宋体" w:cs="宋体"/>
                <w:snapToGrid w:val="0"/>
                <w:color w:val="auto"/>
                <w:kern w:val="28"/>
                <w:szCs w:val="21"/>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12</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备份投标文件送达地点和签收人员</w:t>
            </w:r>
          </w:p>
        </w:tc>
        <w:tc>
          <w:tcPr>
            <w:tcW w:w="5683" w:type="dxa"/>
            <w:vAlign w:val="center"/>
          </w:tcPr>
          <w:p>
            <w:pPr>
              <w:pStyle w:val="34"/>
              <w:snapToGrid w:val="0"/>
              <w:spacing w:line="288" w:lineRule="auto"/>
              <w:rPr>
                <w:rFonts w:hAnsi="宋体" w:cs="宋体"/>
                <w:color w:val="auto"/>
                <w:kern w:val="28"/>
                <w:highlight w:val="none"/>
              </w:rPr>
            </w:pPr>
            <w:r>
              <w:rPr>
                <w:rFonts w:hint="eastAsia" w:hAnsi="宋体" w:cs="宋体"/>
                <w:color w:val="auto"/>
                <w:kern w:val="28"/>
                <w:highlight w:val="none"/>
              </w:rPr>
              <w:t>备份投标文件送达地点：</w:t>
            </w:r>
            <w:r>
              <w:rPr>
                <w:rFonts w:hint="eastAsia" w:hAnsi="宋体" w:cs="宋体"/>
                <w:color w:val="auto"/>
                <w:highlight w:val="none"/>
                <w:u w:val="single"/>
              </w:rPr>
              <w:t xml:space="preserve"> 西湖区玉古路1</w:t>
            </w:r>
            <w:r>
              <w:rPr>
                <w:rFonts w:hAnsi="宋体" w:cs="宋体"/>
                <w:color w:val="auto"/>
                <w:highlight w:val="none"/>
                <w:u w:val="single"/>
              </w:rPr>
              <w:t>73</w:t>
            </w:r>
            <w:r>
              <w:rPr>
                <w:rFonts w:hint="eastAsia" w:hAnsi="宋体" w:cs="宋体"/>
                <w:color w:val="auto"/>
                <w:highlight w:val="none"/>
                <w:u w:val="single"/>
              </w:rPr>
              <w:t>号中田大厦2</w:t>
            </w:r>
            <w:r>
              <w:rPr>
                <w:rFonts w:hAnsi="宋体" w:cs="宋体"/>
                <w:color w:val="auto"/>
                <w:highlight w:val="none"/>
                <w:u w:val="single"/>
              </w:rPr>
              <w:t>1</w:t>
            </w:r>
            <w:r>
              <w:rPr>
                <w:rFonts w:hint="eastAsia" w:hAnsi="宋体" w:cs="宋体"/>
                <w:color w:val="auto"/>
                <w:highlight w:val="none"/>
                <w:u w:val="single"/>
              </w:rPr>
              <w:t>楼求是招标</w:t>
            </w:r>
            <w:r>
              <w:rPr>
                <w:rFonts w:hint="eastAsia" w:hAnsi="宋体" w:cs="宋体"/>
                <w:color w:val="auto"/>
                <w:highlight w:val="none"/>
                <w:u w:val="single"/>
                <w:lang w:eastAsia="zh-CN"/>
              </w:rPr>
              <w:t>（</w:t>
            </w:r>
            <w:r>
              <w:rPr>
                <w:rFonts w:hint="eastAsia" w:hAnsi="宋体" w:cs="宋体"/>
                <w:color w:val="auto"/>
                <w:highlight w:val="none"/>
                <w:u w:val="single"/>
                <w:lang w:val="en-US" w:eastAsia="zh-CN"/>
              </w:rPr>
              <w:t>或随样品一同递交</w:t>
            </w:r>
            <w:r>
              <w:rPr>
                <w:rFonts w:hint="eastAsia" w:hAnsi="宋体" w:cs="宋体"/>
                <w:color w:val="auto"/>
                <w:highlight w:val="none"/>
                <w:u w:val="single"/>
                <w:lang w:eastAsia="zh-CN"/>
              </w:rPr>
              <w:t>）</w:t>
            </w:r>
            <w:r>
              <w:rPr>
                <w:rFonts w:hint="eastAsia" w:hAnsi="宋体" w:cs="宋体"/>
                <w:color w:val="auto"/>
                <w:highlight w:val="none"/>
                <w:u w:val="single"/>
              </w:rPr>
              <w:t xml:space="preserve"> </w:t>
            </w:r>
            <w:r>
              <w:rPr>
                <w:rFonts w:hint="eastAsia" w:hAnsi="宋体" w:cs="宋体"/>
                <w:color w:val="auto"/>
                <w:kern w:val="28"/>
                <w:highlight w:val="none"/>
              </w:rPr>
              <w:t>；备份投标文件签收人员联系电话：</w:t>
            </w:r>
            <w:r>
              <w:rPr>
                <w:rFonts w:hint="eastAsia" w:hAnsi="宋体" w:cs="宋体"/>
                <w:color w:val="auto"/>
                <w:highlight w:val="none"/>
                <w:u w:val="single"/>
              </w:rPr>
              <w:t xml:space="preserve"> 俞炳 0571-87670302 </w:t>
            </w:r>
            <w:r>
              <w:rPr>
                <w:rFonts w:hint="eastAsia" w:hAnsi="宋体" w:cs="宋体"/>
                <w:color w:val="auto"/>
                <w:highlight w:val="none"/>
              </w:rPr>
              <w:t>。</w:t>
            </w:r>
            <w:r>
              <w:rPr>
                <w:rFonts w:hint="eastAsia" w:hAnsi="宋体" w:cs="宋体"/>
                <w:b/>
                <w:color w:val="auto"/>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Merge w:val="restart"/>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13</w:t>
            </w:r>
          </w:p>
        </w:tc>
        <w:tc>
          <w:tcPr>
            <w:tcW w:w="2092" w:type="dxa"/>
            <w:vMerge w:val="restart"/>
            <w:vAlign w:val="center"/>
          </w:tcPr>
          <w:p>
            <w:pPr>
              <w:snapToGrid w:val="0"/>
              <w:spacing w:line="288" w:lineRule="auto"/>
              <w:jc w:val="center"/>
              <w:rPr>
                <w:rFonts w:ascii="宋体" w:hAnsi="宋体" w:cs="宋体"/>
                <w:b/>
                <w:color w:val="auto"/>
                <w:szCs w:val="21"/>
                <w:highlight w:val="none"/>
              </w:rPr>
            </w:pPr>
            <w:r>
              <w:rPr>
                <w:rFonts w:hint="eastAsia" w:ascii="宋体" w:hAnsi="宋体" w:cs="仿宋_GB2312"/>
                <w:b/>
                <w:color w:val="auto"/>
                <w:szCs w:val="21"/>
                <w:highlight w:val="none"/>
              </w:rPr>
              <w:t>特别说明</w:t>
            </w:r>
          </w:p>
        </w:tc>
        <w:tc>
          <w:tcPr>
            <w:tcW w:w="5683" w:type="dxa"/>
            <w:vAlign w:val="center"/>
          </w:tcPr>
          <w:p>
            <w:pPr>
              <w:snapToGrid w:val="0"/>
              <w:spacing w:line="288" w:lineRule="auto"/>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Merge w:val="continue"/>
            <w:vAlign w:val="center"/>
          </w:tcPr>
          <w:p>
            <w:pPr>
              <w:snapToGrid w:val="0"/>
              <w:spacing w:line="288" w:lineRule="auto"/>
              <w:jc w:val="center"/>
              <w:rPr>
                <w:rFonts w:ascii="宋体" w:hAnsi="宋体" w:cs="宋体"/>
                <w:color w:val="auto"/>
                <w:szCs w:val="21"/>
                <w:highlight w:val="none"/>
              </w:rPr>
            </w:pPr>
          </w:p>
        </w:tc>
        <w:tc>
          <w:tcPr>
            <w:tcW w:w="2092" w:type="dxa"/>
            <w:vMerge w:val="continue"/>
            <w:vAlign w:val="center"/>
          </w:tcPr>
          <w:p>
            <w:pPr>
              <w:snapToGrid w:val="0"/>
              <w:spacing w:line="288" w:lineRule="auto"/>
              <w:jc w:val="center"/>
              <w:rPr>
                <w:rFonts w:ascii="宋体" w:hAnsi="宋体" w:cs="宋体"/>
                <w:b/>
                <w:color w:val="auto"/>
                <w:szCs w:val="21"/>
                <w:highlight w:val="none"/>
              </w:rPr>
            </w:pPr>
          </w:p>
        </w:tc>
        <w:tc>
          <w:tcPr>
            <w:tcW w:w="5683" w:type="dxa"/>
            <w:vAlign w:val="center"/>
          </w:tcPr>
          <w:p>
            <w:pPr>
              <w:snapToGrid w:val="0"/>
              <w:spacing w:line="288" w:lineRule="auto"/>
              <w:rPr>
                <w:rFonts w:ascii="宋体" w:hAnsi="宋体" w:cs="宋体"/>
                <w:snapToGrid w:val="0"/>
                <w:color w:val="auto"/>
                <w:kern w:val="28"/>
                <w:szCs w:val="21"/>
                <w:highlight w:val="none"/>
              </w:rPr>
            </w:pPr>
            <w:sdt>
              <w:sdtPr>
                <w:rPr>
                  <w:rFonts w:hint="eastAsia" w:ascii="宋体" w:hAnsi="宋体" w:cs="Arial"/>
                  <w:color w:val="auto"/>
                  <w:kern w:val="0"/>
                  <w:szCs w:val="21"/>
                  <w:highlight w:val="none"/>
                </w:rPr>
                <w:id w:val="-369766551"/>
                <w14:checkbox>
                  <w14:checked w14:val="0"/>
                  <w14:checkedState w14:val="00FE" w14:font="Wingdings"/>
                  <w14:uncheckedState w14:val="2610" w14:font="MS Gothic"/>
                </w14:checkbox>
              </w:sdtPr>
              <w:sdtEndPr>
                <w:rPr>
                  <w:rFonts w:hint="eastAsia" w:ascii="宋体" w:hAnsi="宋体" w:cs="Arial"/>
                  <w:color w:val="auto"/>
                  <w:kern w:val="0"/>
                  <w:szCs w:val="21"/>
                  <w:highlight w:val="none"/>
                </w:rPr>
              </w:sdtEndPr>
              <w:sdtContent>
                <w:r>
                  <w:rPr>
                    <w:rFonts w:ascii="MS Gothic" w:hAnsi="MS Gothic" w:cs="Segoe UI Symbol"/>
                    <w:color w:val="auto"/>
                    <w:kern w:val="0"/>
                    <w:szCs w:val="21"/>
                    <w:highlight w:val="none"/>
                  </w:rPr>
                  <w:t>☐</w:t>
                </w:r>
              </w:sdtContent>
            </w:sdt>
            <w:r>
              <w:rPr>
                <w:rFonts w:hint="eastAsia" w:ascii="宋体" w:hAnsi="宋体" w:cs="宋体"/>
                <w:snapToGrid w:val="0"/>
                <w:color w:val="auto"/>
                <w:kern w:val="28"/>
                <w:szCs w:val="21"/>
                <w:highlight w:val="none"/>
              </w:rPr>
              <w:t>联合体投标的，联合体各方均需按招标文件第四部分评标标准要求提供资信证明文件，否则视为不符合相关要求。</w:t>
            </w:r>
          </w:p>
          <w:p>
            <w:pPr>
              <w:snapToGrid w:val="0"/>
              <w:spacing w:line="288" w:lineRule="auto"/>
              <w:rPr>
                <w:rFonts w:ascii="宋体" w:hAnsi="宋体" w:cs="宋体"/>
                <w:snapToGrid w:val="0"/>
                <w:color w:val="auto"/>
                <w:kern w:val="28"/>
                <w:szCs w:val="21"/>
                <w:highlight w:val="none"/>
              </w:rPr>
            </w:pPr>
            <w:sdt>
              <w:sdtPr>
                <w:rPr>
                  <w:rFonts w:hint="eastAsia" w:ascii="宋体" w:hAnsi="宋体" w:cs="Arial"/>
                  <w:color w:val="auto"/>
                  <w:kern w:val="0"/>
                  <w:szCs w:val="21"/>
                  <w:highlight w:val="none"/>
                </w:rPr>
                <w:id w:val="1052570136"/>
                <w14:checkbox>
                  <w14:checked w14:val="1"/>
                  <w14:checkedState w14:val="00FE" w14:font="Wingdings"/>
                  <w14:uncheckedState w14:val="2610" w14:font="MS Gothic"/>
                </w14:checkbox>
              </w:sdtPr>
              <w:sdtEndPr>
                <w:rPr>
                  <w:rFonts w:hint="eastAsia" w:ascii="宋体" w:hAnsi="宋体" w:cs="Arial"/>
                  <w:color w:val="auto"/>
                  <w:kern w:val="0"/>
                  <w:szCs w:val="21"/>
                  <w:highlight w:val="none"/>
                </w:rPr>
              </w:sdtEndPr>
              <w:sdtContent>
                <w:r>
                  <w:rPr>
                    <w:rFonts w:ascii="Wingdings" w:hAnsi="Wingdings" w:cs="Arial"/>
                    <w:color w:val="auto"/>
                    <w:kern w:val="0"/>
                    <w:szCs w:val="21"/>
                    <w:highlight w:val="none"/>
                  </w:rPr>
                  <w:t></w:t>
                </w:r>
              </w:sdtContent>
            </w:sdt>
            <w:r>
              <w:rPr>
                <w:rFonts w:hint="eastAsia" w:ascii="宋体" w:hAnsi="宋体" w:cs="宋体"/>
                <w:snapToGrid w:val="0"/>
                <w:color w:val="auto"/>
                <w:kern w:val="28"/>
                <w:szCs w:val="21"/>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56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4</w:t>
            </w:r>
          </w:p>
        </w:tc>
        <w:tc>
          <w:tcPr>
            <w:tcW w:w="209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招标代理服务费</w:t>
            </w:r>
          </w:p>
        </w:tc>
        <w:tc>
          <w:tcPr>
            <w:tcW w:w="5683" w:type="dxa"/>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1.不论投标结果如何，投标人均应自行承担所有与投标有关的全部费用；</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2.中标人在中标通知书发出之日起七个工作日内，向采购代理机构交纳代理服务费；</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pPr>
              <w:snapToGrid w:val="0"/>
              <w:spacing w:line="288" w:lineRule="auto"/>
              <w:jc w:val="left"/>
              <w:rPr>
                <w:rFonts w:ascii="宋体" w:hAnsi="宋体"/>
                <w:color w:val="auto"/>
                <w:spacing w:val="-6"/>
                <w:szCs w:val="21"/>
                <w:highlight w:val="none"/>
              </w:rPr>
            </w:pPr>
            <w:r>
              <w:rPr>
                <w:rFonts w:hint="eastAsia" w:ascii="宋体" w:hAnsi="宋体"/>
                <w:color w:val="auto"/>
                <w:szCs w:val="21"/>
                <w:highlight w:val="none"/>
              </w:rPr>
              <w:t>4.</w:t>
            </w:r>
            <w:r>
              <w:rPr>
                <w:rFonts w:hint="eastAsia" w:ascii="宋体" w:hAnsi="宋体"/>
                <w:color w:val="auto"/>
                <w:spacing w:val="-6"/>
                <w:szCs w:val="21"/>
                <w:highlight w:val="none"/>
              </w:rPr>
              <w:t>收费标准（差额累进）：</w:t>
            </w:r>
          </w:p>
          <w:tbl>
            <w:tblPr>
              <w:tblStyle w:val="62"/>
              <w:tblW w:w="5623"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631"/>
              <w:gridCol w:w="29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631"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中标金额（万元）</w:t>
                  </w:r>
                </w:p>
              </w:tc>
              <w:tc>
                <w:tcPr>
                  <w:tcW w:w="2992"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631"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pPr>
                    <w:snapToGrid w:val="0"/>
                    <w:spacing w:line="288" w:lineRule="auto"/>
                    <w:jc w:val="center"/>
                    <w:rPr>
                      <w:rFonts w:ascii="宋体" w:hAnsi="宋体" w:cs="宋体"/>
                      <w:color w:val="auto"/>
                      <w:szCs w:val="21"/>
                      <w:highlight w:val="none"/>
                    </w:rPr>
                  </w:pPr>
                  <w:r>
                    <w:rPr>
                      <w:rFonts w:hint="eastAsia" w:ascii="宋体" w:hAnsi="宋体"/>
                      <w:color w:val="auto"/>
                      <w:szCs w:val="21"/>
                      <w:highlight w:val="none"/>
                    </w:rPr>
                    <w:t>100以下</w:t>
                  </w:r>
                </w:p>
              </w:tc>
              <w:tc>
                <w:tcPr>
                  <w:tcW w:w="2992"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pPr>
                    <w:snapToGrid w:val="0"/>
                    <w:spacing w:line="288" w:lineRule="auto"/>
                    <w:jc w:val="center"/>
                    <w:rPr>
                      <w:rFonts w:ascii="宋体" w:hAnsi="宋体" w:cs="宋体"/>
                      <w:color w:val="auto"/>
                      <w:szCs w:val="21"/>
                      <w:highlight w:val="none"/>
                    </w:rPr>
                  </w:pPr>
                  <w:r>
                    <w:rPr>
                      <w:rFonts w:hint="eastAsia" w:ascii="宋体" w:hAnsi="宋体"/>
                      <w:color w:val="auto"/>
                      <w:szCs w:val="21"/>
                      <w:highlight w:val="none"/>
                    </w:rPr>
                    <w:t>1.5（不足3000元按3000元计）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631"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pPr>
                    <w:snapToGrid w:val="0"/>
                    <w:spacing w:line="288" w:lineRule="auto"/>
                    <w:jc w:val="center"/>
                    <w:rPr>
                      <w:rFonts w:ascii="宋体" w:hAnsi="宋体"/>
                      <w:color w:val="auto"/>
                      <w:szCs w:val="21"/>
                      <w:highlight w:val="none"/>
                    </w:rPr>
                  </w:pPr>
                  <w:r>
                    <w:rPr>
                      <w:rFonts w:hint="eastAsia" w:ascii="宋体" w:hAnsi="宋体"/>
                      <w:color w:val="auto"/>
                      <w:szCs w:val="21"/>
                      <w:highlight w:val="none"/>
                    </w:rPr>
                    <w:t>100-500</w:t>
                  </w:r>
                </w:p>
              </w:tc>
              <w:tc>
                <w:tcPr>
                  <w:tcW w:w="2992"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pPr>
                    <w:snapToGrid w:val="0"/>
                    <w:spacing w:line="288" w:lineRule="auto"/>
                    <w:jc w:val="center"/>
                    <w:rPr>
                      <w:rFonts w:ascii="宋体" w:hAnsi="宋体"/>
                      <w:color w:val="auto"/>
                      <w:szCs w:val="21"/>
                      <w:highlight w:val="none"/>
                    </w:rPr>
                  </w:pPr>
                  <w:r>
                    <w:rPr>
                      <w:rFonts w:hint="eastAsia" w:ascii="宋体" w:hAnsi="宋体"/>
                      <w:color w:val="auto"/>
                      <w:szCs w:val="21"/>
                      <w:highlight w:val="none"/>
                    </w:rPr>
                    <w:t>1.1</w:t>
                  </w:r>
                </w:p>
              </w:tc>
            </w:tr>
          </w:tbl>
          <w:p>
            <w:pPr>
              <w:snapToGrid w:val="0"/>
              <w:spacing w:line="288" w:lineRule="auto"/>
              <w:rPr>
                <w:rFonts w:ascii="宋体" w:hAnsi="宋体" w:cs="Arial"/>
                <w:color w:val="auto"/>
                <w:kern w:val="0"/>
                <w:szCs w:val="21"/>
                <w:highlight w:val="none"/>
              </w:rPr>
            </w:pPr>
          </w:p>
        </w:tc>
      </w:tr>
      <w:bookmarkEnd w:id="9"/>
    </w:tbl>
    <w:p>
      <w:pPr>
        <w:widowControl/>
        <w:adjustRightInd/>
        <w:jc w:val="left"/>
        <w:rPr>
          <w:rFonts w:ascii="宋体" w:hAnsi="宋体" w:cs="宋体"/>
          <w:b/>
          <w:color w:val="auto"/>
          <w:szCs w:val="21"/>
          <w:highlight w:val="none"/>
        </w:rPr>
      </w:pPr>
      <w:bookmarkStart w:id="11" w:name="第三部分"/>
      <w:bookmarkStart w:id="12" w:name="_Toc164416483"/>
      <w:r>
        <w:rPr>
          <w:rFonts w:ascii="宋体" w:hAnsi="宋体" w:cs="宋体"/>
          <w:b/>
          <w:color w:val="auto"/>
          <w:szCs w:val="21"/>
          <w:highlight w:val="none"/>
        </w:rPr>
        <w:br w:type="page"/>
      </w:r>
    </w:p>
    <w:p>
      <w:pPr>
        <w:snapToGrid w:val="0"/>
        <w:spacing w:line="288" w:lineRule="auto"/>
        <w:ind w:firstLine="424" w:firstLineChars="201"/>
        <w:jc w:val="center"/>
        <w:outlineLvl w:val="1"/>
        <w:rPr>
          <w:rFonts w:ascii="宋体" w:hAnsi="宋体" w:cs="宋体"/>
          <w:b/>
          <w:color w:val="auto"/>
          <w:szCs w:val="21"/>
          <w:highlight w:val="none"/>
        </w:rPr>
      </w:pPr>
      <w:r>
        <w:rPr>
          <w:rFonts w:hint="eastAsia" w:ascii="宋体" w:hAnsi="宋体" w:cs="宋体"/>
          <w:b/>
          <w:color w:val="auto"/>
          <w:szCs w:val="21"/>
          <w:highlight w:val="none"/>
        </w:rPr>
        <w:t>一、总则</w:t>
      </w:r>
    </w:p>
    <w:p>
      <w:pPr>
        <w:snapToGrid w:val="0"/>
        <w:spacing w:line="288" w:lineRule="auto"/>
        <w:ind w:firstLine="424" w:firstLineChars="201"/>
        <w:jc w:val="left"/>
        <w:rPr>
          <w:rFonts w:ascii="宋体" w:hAnsi="宋体" w:cs="宋体"/>
          <w:b/>
          <w:color w:val="auto"/>
          <w:szCs w:val="21"/>
          <w:highlight w:val="none"/>
        </w:rPr>
      </w:pPr>
      <w:r>
        <w:rPr>
          <w:rFonts w:hint="eastAsia" w:ascii="宋体" w:hAnsi="宋体" w:cs="宋体"/>
          <w:b/>
          <w:color w:val="auto"/>
          <w:szCs w:val="21"/>
          <w:highlight w:val="none"/>
        </w:rPr>
        <w:t>1. 适用范围</w:t>
      </w:r>
    </w:p>
    <w:p>
      <w:pPr>
        <w:snapToGrid w:val="0"/>
        <w:spacing w:line="288" w:lineRule="auto"/>
        <w:ind w:firstLine="422" w:firstLineChars="201"/>
        <w:jc w:val="left"/>
        <w:rPr>
          <w:rFonts w:ascii="宋体" w:hAnsi="宋体" w:cs="宋体"/>
          <w:color w:val="auto"/>
          <w:szCs w:val="21"/>
          <w:highlight w:val="none"/>
        </w:rPr>
      </w:pPr>
      <w:r>
        <w:rPr>
          <w:rFonts w:hint="eastAsia" w:ascii="宋体" w:hAnsi="宋体" w:cs="宋体"/>
          <w:color w:val="auto"/>
          <w:szCs w:val="21"/>
          <w:highlight w:val="none"/>
        </w:rPr>
        <w:t>本招标文件适用于该项目的招标、投标、开标、资格审查及信用信息查询、评标、定标、合同、验收等行为（法律、法规另有规定的，从其规定）。</w:t>
      </w:r>
    </w:p>
    <w:p>
      <w:pPr>
        <w:snapToGrid w:val="0"/>
        <w:spacing w:line="288"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2.定义</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2.1 “采购人”系指招标公告中载明的本项目的采购人。</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2.2 “采购代理机构”系指招标公告中载明的本项目的采购代理机构。</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2.3 “投标人”系指是指响应招标、参加投标竞争的法人、其他组织或者自然人。</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2.4 “负责人”系指法人企业的法定负责人，或其他组织为法律、行政法规规定代表单位行使职权的主要负责人，或自然人本人。</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2.6“电子交易平台”系指本项目政府采购活动所依托的政府采购云平台（https://www.zcygov.cn/）。</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2.7 “▲” 系指实质性要求条款，“</w:t>
      </w:r>
      <w:r>
        <w:rPr>
          <w:rFonts w:hint="eastAsia" w:ascii="宋体" w:hAnsi="宋体" w:cs="宋体"/>
          <w:color w:val="auto"/>
          <w:kern w:val="0"/>
          <w:szCs w:val="21"/>
          <w:highlight w:val="none"/>
        </w:rPr>
        <w:sym w:font="Wingdings 2" w:char="F052"/>
      </w:r>
      <w:r>
        <w:rPr>
          <w:rFonts w:hint="eastAsia" w:ascii="宋体" w:hAnsi="宋体" w:cs="宋体"/>
          <w:color w:val="auto"/>
          <w:szCs w:val="21"/>
          <w:highlight w:val="none"/>
        </w:rPr>
        <w:t>” 系指适用本项目的要求，“</w:t>
      </w:r>
      <w:r>
        <w:rPr>
          <w:rFonts w:hint="eastAsia" w:ascii="宋体" w:hAnsi="宋体" w:cs="宋体"/>
          <w:color w:val="auto"/>
          <w:szCs w:val="21"/>
          <w:highlight w:val="none"/>
        </w:rPr>
        <w:sym w:font="Wingdings 2" w:char="F0A3"/>
      </w:r>
      <w:r>
        <w:rPr>
          <w:rFonts w:hint="eastAsia" w:ascii="宋体" w:hAnsi="宋体" w:cs="宋体"/>
          <w:color w:val="auto"/>
          <w:szCs w:val="21"/>
          <w:highlight w:val="none"/>
        </w:rPr>
        <w:t>” 系指不适用本项目的要求。</w:t>
      </w:r>
    </w:p>
    <w:p>
      <w:pPr>
        <w:snapToGrid w:val="0"/>
        <w:spacing w:line="288"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3.</w:t>
      </w:r>
      <w:r>
        <w:rPr>
          <w:rFonts w:hint="eastAsia" w:ascii="宋体" w:hAnsi="宋体" w:cs="宋体"/>
          <w:color w:val="auto"/>
          <w:szCs w:val="21"/>
          <w:highlight w:val="none"/>
        </w:rPr>
        <w:t xml:space="preserve"> </w:t>
      </w:r>
      <w:r>
        <w:rPr>
          <w:rFonts w:hint="eastAsia" w:ascii="宋体" w:hAnsi="宋体" w:cs="宋体"/>
          <w:b/>
          <w:color w:val="auto"/>
          <w:szCs w:val="21"/>
          <w:highlight w:val="none"/>
        </w:rPr>
        <w:t>采购项目需要落实的政府采购政策</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Cs w:val="21"/>
          <w:highlight w:val="none"/>
        </w:rPr>
        <w:t>优先采购向我国企业转让技术、与我国企业签订消化吸收再创新方案的供应商的进口产品</w:t>
      </w:r>
      <w:r>
        <w:rPr>
          <w:rFonts w:hint="eastAsia" w:ascii="宋体" w:hAnsi="宋体" w:cs="宋体"/>
          <w:color w:val="auto"/>
          <w:szCs w:val="21"/>
          <w:highlight w:val="none"/>
        </w:rPr>
        <w:t>。</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3.2 支持绿色发展</w:t>
      </w:r>
    </w:p>
    <w:p>
      <w:pPr>
        <w:snapToGrid w:val="0"/>
        <w:spacing w:line="288" w:lineRule="auto"/>
        <w:ind w:firstLine="422" w:firstLineChars="201"/>
        <w:rPr>
          <w:rFonts w:ascii="宋体" w:hAnsi="宋体" w:cs="宋体"/>
          <w:b/>
          <w:color w:val="auto"/>
          <w:szCs w:val="21"/>
          <w:highlight w:val="none"/>
        </w:rPr>
      </w:pPr>
      <w:r>
        <w:rPr>
          <w:rFonts w:hint="eastAsia" w:ascii="宋体" w:hAnsi="宋体" w:cs="宋体"/>
          <w:color w:val="auto"/>
          <w:szCs w:val="21"/>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Cs w:val="21"/>
          <w:highlight w:val="none"/>
        </w:rPr>
        <w:t>▲采购人拟采购的产品属于政府强制采购的节能产品品目清单范围的，投标人相应的投标产品未获得国家确定的认证机构出具的、处于有效期之内的节能产品认证证书的，投标无效。</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3" w:name="_Hlk107568539"/>
      <w:r>
        <w:rPr>
          <w:rFonts w:hint="eastAsia" w:ascii="宋体" w:hAnsi="宋体" w:cs="宋体"/>
          <w:color w:val="auto"/>
          <w:szCs w:val="21"/>
          <w:highlight w:val="none"/>
        </w:rPr>
        <w:t>鼓励采购单位优先采购秸秆环保板材等资源综合利用产品。鼓励采购单位优先采购绿色物流配送服务、提供新能源交通工具的租赁服务。</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3"/>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3.3支持中小企业发展</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符合中小企业划分标准的个体工商户，在政府采购活动中视同中小企业。</w:t>
      </w:r>
    </w:p>
    <w:p>
      <w:pPr>
        <w:snapToGrid w:val="0"/>
        <w:spacing w:line="288" w:lineRule="auto"/>
        <w:ind w:firstLine="422" w:firstLineChars="201"/>
        <w:jc w:val="left"/>
        <w:rPr>
          <w:rFonts w:ascii="宋体" w:hAnsi="宋体" w:cs="宋体"/>
          <w:color w:val="auto"/>
          <w:kern w:val="0"/>
          <w:szCs w:val="21"/>
          <w:highlight w:val="none"/>
        </w:rPr>
      </w:pPr>
      <w:r>
        <w:rPr>
          <w:rFonts w:ascii="宋体" w:hAnsi="宋体" w:cs="宋体"/>
          <w:bCs/>
          <w:color w:val="auto"/>
          <w:szCs w:val="21"/>
          <w:highlight w:val="none"/>
        </w:rPr>
        <w:t>3.3.2</w:t>
      </w:r>
      <w:r>
        <w:rPr>
          <w:rFonts w:hint="eastAsia" w:ascii="宋体" w:hAnsi="宋体" w:cs="宋体"/>
          <w:color w:val="auto"/>
          <w:kern w:val="0"/>
          <w:szCs w:val="21"/>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snapToGrid w:val="0"/>
        <w:spacing w:line="288" w:lineRule="auto"/>
        <w:ind w:firstLine="422" w:firstLineChars="201"/>
        <w:jc w:val="left"/>
        <w:rPr>
          <w:rFonts w:ascii="宋体" w:hAnsi="宋体" w:cs="宋体"/>
          <w:color w:val="auto"/>
          <w:kern w:val="0"/>
          <w:szCs w:val="21"/>
          <w:highlight w:val="none"/>
        </w:rPr>
      </w:pPr>
      <w:r>
        <w:rPr>
          <w:rFonts w:hint="eastAsia" w:ascii="宋体" w:hAnsi="宋体" w:cs="宋体"/>
          <w:color w:val="auto"/>
          <w:kern w:val="0"/>
          <w:szCs w:val="21"/>
          <w:highlight w:val="none"/>
        </w:rPr>
        <w:t>以联合体形式参加政府采购活动，联合体各方均为中小企业的，联合体视同中小企业。其中，联合体各方均为小微企业的，联合体视同小微企业。</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4" w:name="_Hlk101132181"/>
      <w:r>
        <w:rPr>
          <w:rFonts w:hint="eastAsia" w:ascii="宋体" w:hAnsi="宋体" w:cs="宋体"/>
          <w:color w:val="auto"/>
          <w:szCs w:val="21"/>
          <w:highlight w:val="none"/>
        </w:rPr>
        <w:t>联合协议或者分包意向协议约定小微企业的合同份额占到合同总金额30%以上的</w:t>
      </w:r>
      <w:bookmarkEnd w:id="14"/>
      <w:r>
        <w:rPr>
          <w:rFonts w:hint="eastAsia" w:ascii="宋体" w:hAnsi="宋体" w:cs="宋体"/>
          <w:color w:val="auto"/>
          <w:szCs w:val="21"/>
          <w:highlight w:val="none"/>
        </w:rPr>
        <w:t>，对联合体或者大中型企业的报价给予3%的扣除，用扣除后的价格参加评审。组成联合体或者接受分包的小微企业与联合体内其他企业、分包企业之间存在直接控股、管理关系的，不享受价格扣除优惠政策。</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3.3.4符合《关于促进残疾人就业政府采购政策的通知》（财库〔2017〕141号）规定的条件并提供《残疾人福利性单位声明函》（附件1）的残疾人福利性单位视同小型、微型企业；</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3.3.7中小企业享受扶持政策获得政府采购合同的，小微企业不得将合同分包给大中型企业，中型企业不得将合同分包给大型企业。</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3.4</w:t>
      </w:r>
      <w:r>
        <w:rPr>
          <w:rFonts w:hint="eastAsia" w:ascii="宋体" w:hAnsi="宋体" w:cs="宋体"/>
          <w:bCs/>
          <w:color w:val="auto"/>
          <w:szCs w:val="21"/>
          <w:highlight w:val="none"/>
        </w:rPr>
        <w:t>支持创新发展</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3.4.1 采购人优先采购被认定为首台套产品和“制造精品”的自主创新产品。</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3.4.2首台套产品被纳入《首台套产品推广应用指导目录》之日起</w:t>
      </w:r>
      <w:r>
        <w:rPr>
          <w:rFonts w:ascii="宋体" w:hAnsi="宋体" w:cs="宋体"/>
          <w:color w:val="auto"/>
          <w:szCs w:val="21"/>
          <w:highlight w:val="none"/>
        </w:rPr>
        <w:t>3</w:t>
      </w:r>
      <w:r>
        <w:rPr>
          <w:rFonts w:hint="eastAsia" w:ascii="宋体" w:hAnsi="宋体" w:cs="宋体"/>
          <w:color w:val="auto"/>
          <w:szCs w:val="21"/>
          <w:highlight w:val="none"/>
        </w:rPr>
        <w:t>年内，以及产品核心技术高于国内领先水平，并具有明晰自主知识产权的“制造精品”产品，自认定之日起2年内视同已具备相应销售业绩，参加政府采购活动时业绩分值为满分。</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3.5平等对待内外资企业和符合条件的破产重整企业</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平等对待内外资企业和符合条件的破产重整企业，切实保障企业公平竞争，平等维护企业的合法利益。</w:t>
      </w:r>
    </w:p>
    <w:p>
      <w:pPr>
        <w:snapToGrid w:val="0"/>
        <w:spacing w:line="288" w:lineRule="auto"/>
        <w:ind w:firstLine="424" w:firstLineChars="201"/>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4.询问、质疑、投诉</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lang w:val="zh-CN"/>
        </w:rPr>
      </w:pPr>
      <w:r>
        <w:rPr>
          <w:rFonts w:hint="eastAsia"/>
          <w:color w:val="auto"/>
          <w:sz w:val="21"/>
          <w:szCs w:val="21"/>
          <w:highlight w:val="none"/>
          <w:lang w:val="zh-CN"/>
        </w:rPr>
        <w:t>4.1在线询问、质疑、投诉</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lang w:val="zh-CN"/>
        </w:rPr>
      </w:pPr>
      <w:r>
        <w:rPr>
          <w:rFonts w:hint="eastAsia"/>
          <w:color w:val="auto"/>
          <w:sz w:val="21"/>
          <w:szCs w:val="21"/>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napToGrid w:val="0"/>
        <w:spacing w:line="288" w:lineRule="auto"/>
        <w:ind w:firstLine="422" w:firstLineChars="201"/>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4.2供应商询问</w:t>
      </w:r>
    </w:p>
    <w:p>
      <w:pPr>
        <w:autoSpaceDE w:val="0"/>
        <w:autoSpaceDN w:val="0"/>
        <w:snapToGrid w:val="0"/>
        <w:spacing w:line="288" w:lineRule="auto"/>
        <w:ind w:firstLine="422" w:firstLineChars="201"/>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napToGrid w:val="0"/>
        <w:spacing w:line="288" w:lineRule="auto"/>
        <w:ind w:firstLine="422" w:firstLineChars="201"/>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4.3供应商质疑</w:t>
      </w:r>
    </w:p>
    <w:p>
      <w:pPr>
        <w:pStyle w:val="34"/>
        <w:snapToGrid w:val="0"/>
        <w:spacing w:line="288" w:lineRule="auto"/>
        <w:ind w:firstLine="422" w:firstLineChars="201"/>
        <w:rPr>
          <w:rFonts w:hAnsi="宋体" w:cs="宋体"/>
          <w:color w:val="auto"/>
          <w:highlight w:val="none"/>
        </w:rPr>
      </w:pPr>
      <w:r>
        <w:rPr>
          <w:rFonts w:hint="eastAsia" w:hAnsi="宋体" w:cs="宋体"/>
          <w:color w:val="auto"/>
          <w:kern w:val="0"/>
          <w:highlight w:val="none"/>
          <w:lang w:val="zh-CN"/>
        </w:rPr>
        <w:t>4.3</w:t>
      </w:r>
      <w:r>
        <w:rPr>
          <w:rFonts w:hint="eastAsia" w:hAnsi="宋体" w:cs="宋体"/>
          <w:color w:val="auto"/>
          <w:highlight w:val="none"/>
        </w:rPr>
        <w:t>.1提出质疑的供应商应当是参与所质疑项目采购活动的供应商。潜在供应商已依法获取其可质疑的招标文件的，可以对该文件提出质疑。</w:t>
      </w:r>
    </w:p>
    <w:p>
      <w:pPr>
        <w:pStyle w:val="34"/>
        <w:snapToGrid w:val="0"/>
        <w:spacing w:line="288" w:lineRule="auto"/>
        <w:ind w:firstLine="422" w:firstLineChars="201"/>
        <w:rPr>
          <w:rFonts w:hAnsi="宋体" w:cs="宋体"/>
          <w:color w:val="auto"/>
          <w:highlight w:val="none"/>
        </w:rPr>
      </w:pPr>
      <w:r>
        <w:rPr>
          <w:rFonts w:hint="eastAsia" w:hAnsi="宋体" w:cs="宋体"/>
          <w:color w:val="auto"/>
          <w:kern w:val="0"/>
          <w:highlight w:val="none"/>
          <w:lang w:val="zh-CN"/>
        </w:rPr>
        <w:t>4.3</w:t>
      </w:r>
      <w:r>
        <w:rPr>
          <w:rFonts w:hint="eastAsia" w:hAnsi="宋体" w:cs="宋体"/>
          <w:color w:val="auto"/>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7"/>
        <w:widowControl w:val="0"/>
        <w:spacing w:line="288" w:lineRule="auto"/>
        <w:ind w:firstLine="422" w:firstLineChars="201"/>
        <w:rPr>
          <w:rFonts w:hAnsi="宋体" w:cs="宋体"/>
          <w:snapToGrid/>
          <w:color w:val="auto"/>
          <w:kern w:val="2"/>
          <w:sz w:val="21"/>
          <w:szCs w:val="21"/>
          <w:highlight w:val="none"/>
        </w:rPr>
      </w:pPr>
      <w:r>
        <w:rPr>
          <w:rFonts w:hint="eastAsia" w:hAnsi="宋体" w:cs="宋体"/>
          <w:snapToGrid/>
          <w:color w:val="auto"/>
          <w:kern w:val="2"/>
          <w:sz w:val="21"/>
          <w:szCs w:val="21"/>
          <w:highlight w:val="none"/>
        </w:rPr>
        <w:t>4.3.2.1对招标文件提出质疑的，质疑期限为供应商获得招标文件之日或者招标文件公告期限届满之日起计算。</w:t>
      </w:r>
    </w:p>
    <w:p>
      <w:pPr>
        <w:pStyle w:val="34"/>
        <w:snapToGrid w:val="0"/>
        <w:spacing w:line="288" w:lineRule="auto"/>
        <w:ind w:firstLine="422" w:firstLineChars="201"/>
        <w:rPr>
          <w:rFonts w:hAnsi="宋体" w:cs="宋体"/>
          <w:color w:val="auto"/>
          <w:highlight w:val="none"/>
        </w:rPr>
      </w:pPr>
      <w:r>
        <w:rPr>
          <w:rFonts w:hint="eastAsia" w:hAnsi="宋体" w:cs="宋体"/>
          <w:color w:val="auto"/>
          <w:highlight w:val="none"/>
        </w:rPr>
        <w:t>4.3.2.2对采购过程提出质疑的，质疑期限为各采购程序环节结束之日起计算。4.3.2.3对采购结果提出质疑的，质疑期限自采购结果公告期限届满之日起计算。</w:t>
      </w:r>
    </w:p>
    <w:p>
      <w:pPr>
        <w:pStyle w:val="34"/>
        <w:snapToGrid w:val="0"/>
        <w:spacing w:line="288" w:lineRule="auto"/>
        <w:ind w:firstLine="422" w:firstLineChars="201"/>
        <w:rPr>
          <w:rFonts w:hAnsi="宋体" w:cs="宋体"/>
          <w:color w:val="auto"/>
          <w:kern w:val="0"/>
          <w:highlight w:val="none"/>
          <w:lang w:val="zh-CN"/>
        </w:rPr>
      </w:pPr>
      <w:r>
        <w:rPr>
          <w:rFonts w:hint="eastAsia" w:hAnsi="宋体" w:cs="宋体"/>
          <w:color w:val="auto"/>
          <w:kern w:val="0"/>
          <w:highlight w:val="none"/>
          <w:lang w:val="zh-CN"/>
        </w:rPr>
        <w:t>4.3.3</w:t>
      </w:r>
      <w:r>
        <w:rPr>
          <w:rFonts w:hint="eastAsia" w:hAnsi="宋体" w:cs="宋体"/>
          <w:color w:val="auto"/>
          <w:highlight w:val="none"/>
        </w:rPr>
        <w:t>供应商提出质疑应当提交质疑函和必要的证明材料。质疑函应当包括下列内容：</w:t>
      </w:r>
    </w:p>
    <w:p>
      <w:pPr>
        <w:pStyle w:val="34"/>
        <w:snapToGrid w:val="0"/>
        <w:spacing w:line="288" w:lineRule="auto"/>
        <w:ind w:firstLine="422" w:firstLineChars="201"/>
        <w:rPr>
          <w:rFonts w:hAnsi="宋体" w:cs="宋体"/>
          <w:color w:val="auto"/>
          <w:kern w:val="0"/>
          <w:highlight w:val="none"/>
          <w:lang w:val="zh-CN"/>
        </w:rPr>
      </w:pPr>
      <w:r>
        <w:rPr>
          <w:rFonts w:hint="eastAsia" w:hAnsi="宋体" w:cs="宋体"/>
          <w:color w:val="auto"/>
          <w:kern w:val="0"/>
          <w:highlight w:val="none"/>
          <w:lang w:val="zh-CN"/>
        </w:rPr>
        <w:t>4.3.3.1供应商的姓名或者名称、地址、邮编、联系人及联系电话；</w:t>
      </w:r>
    </w:p>
    <w:p>
      <w:pPr>
        <w:pStyle w:val="34"/>
        <w:snapToGrid w:val="0"/>
        <w:spacing w:line="288" w:lineRule="auto"/>
        <w:ind w:firstLine="422" w:firstLineChars="201"/>
        <w:rPr>
          <w:rFonts w:hAnsi="宋体" w:cs="宋体"/>
          <w:color w:val="auto"/>
          <w:kern w:val="0"/>
          <w:highlight w:val="none"/>
          <w:lang w:val="zh-CN"/>
        </w:rPr>
      </w:pPr>
      <w:r>
        <w:rPr>
          <w:rFonts w:hint="eastAsia" w:hAnsi="宋体" w:cs="宋体"/>
          <w:color w:val="auto"/>
          <w:kern w:val="0"/>
          <w:highlight w:val="none"/>
          <w:lang w:val="zh-CN"/>
        </w:rPr>
        <w:t>4.3.3.2质疑项目的名称、编号；</w:t>
      </w:r>
    </w:p>
    <w:p>
      <w:pPr>
        <w:pStyle w:val="34"/>
        <w:snapToGrid w:val="0"/>
        <w:spacing w:line="288" w:lineRule="auto"/>
        <w:ind w:firstLine="422" w:firstLineChars="201"/>
        <w:rPr>
          <w:rFonts w:hAnsi="宋体" w:cs="宋体"/>
          <w:color w:val="auto"/>
          <w:kern w:val="0"/>
          <w:highlight w:val="none"/>
          <w:lang w:val="zh-CN"/>
        </w:rPr>
      </w:pPr>
      <w:r>
        <w:rPr>
          <w:rFonts w:hint="eastAsia" w:hAnsi="宋体" w:cs="宋体"/>
          <w:color w:val="auto"/>
          <w:kern w:val="0"/>
          <w:highlight w:val="none"/>
          <w:lang w:val="zh-CN"/>
        </w:rPr>
        <w:t>4.3.3.3具体、明确的质疑事项和与质疑事项相关的请求；</w:t>
      </w:r>
    </w:p>
    <w:p>
      <w:pPr>
        <w:pStyle w:val="34"/>
        <w:snapToGrid w:val="0"/>
        <w:spacing w:line="288" w:lineRule="auto"/>
        <w:ind w:firstLine="422" w:firstLineChars="201"/>
        <w:rPr>
          <w:rFonts w:hAnsi="宋体" w:cs="宋体"/>
          <w:color w:val="auto"/>
          <w:kern w:val="0"/>
          <w:highlight w:val="none"/>
          <w:lang w:val="zh-CN"/>
        </w:rPr>
      </w:pPr>
      <w:r>
        <w:rPr>
          <w:rFonts w:hint="eastAsia" w:hAnsi="宋体" w:cs="宋体"/>
          <w:color w:val="auto"/>
          <w:kern w:val="0"/>
          <w:highlight w:val="none"/>
          <w:lang w:val="zh-CN"/>
        </w:rPr>
        <w:t>4.3.3.4事实依据；</w:t>
      </w:r>
    </w:p>
    <w:p>
      <w:pPr>
        <w:pStyle w:val="34"/>
        <w:snapToGrid w:val="0"/>
        <w:spacing w:line="288" w:lineRule="auto"/>
        <w:ind w:firstLine="422" w:firstLineChars="201"/>
        <w:rPr>
          <w:rFonts w:hAnsi="宋体" w:cs="宋体"/>
          <w:color w:val="auto"/>
          <w:kern w:val="0"/>
          <w:highlight w:val="none"/>
          <w:lang w:val="zh-CN"/>
        </w:rPr>
      </w:pPr>
      <w:r>
        <w:rPr>
          <w:rFonts w:hint="eastAsia" w:hAnsi="宋体" w:cs="宋体"/>
          <w:color w:val="auto"/>
          <w:kern w:val="0"/>
          <w:highlight w:val="none"/>
          <w:lang w:val="zh-CN"/>
        </w:rPr>
        <w:t>4.3.3.5必要的法律依据；</w:t>
      </w:r>
    </w:p>
    <w:p>
      <w:pPr>
        <w:pStyle w:val="34"/>
        <w:snapToGrid w:val="0"/>
        <w:spacing w:line="288" w:lineRule="auto"/>
        <w:ind w:firstLine="422" w:firstLineChars="201"/>
        <w:rPr>
          <w:rFonts w:hAnsi="宋体" w:cs="宋体"/>
          <w:color w:val="auto"/>
          <w:kern w:val="0"/>
          <w:highlight w:val="none"/>
          <w:lang w:val="zh-CN"/>
        </w:rPr>
      </w:pPr>
      <w:r>
        <w:rPr>
          <w:rFonts w:hint="eastAsia" w:hAnsi="宋体" w:cs="宋体"/>
          <w:color w:val="auto"/>
          <w:kern w:val="0"/>
          <w:highlight w:val="none"/>
          <w:lang w:val="zh-CN"/>
        </w:rPr>
        <w:t>4.3.3.6提出质疑的日期。</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rPr>
        <w:t>供应商提交的质疑函需一式三份。供应商为自然人的，应当由本人签字；供应商为法人或者其他组织的，应当由法定代表人、主要负责人，或者其授权代表签字或者盖章，并加盖公章。</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rPr>
        <w:t>质疑函范本及制作说明详见附件2。</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rPr>
        <w:t>4.3.4对同一采购程序环节的质疑，供应商须在法定质疑期内一次性提出。</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lang w:val="zh-CN"/>
        </w:rPr>
        <w:t>4.3</w:t>
      </w:r>
      <w:r>
        <w:rPr>
          <w:rFonts w:hint="eastAsia"/>
          <w:color w:val="auto"/>
          <w:sz w:val="21"/>
          <w:szCs w:val="21"/>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lang w:val="zh-CN"/>
        </w:rPr>
        <w:t>4.3</w:t>
      </w:r>
      <w:r>
        <w:rPr>
          <w:rFonts w:hint="eastAsia"/>
          <w:color w:val="auto"/>
          <w:sz w:val="21"/>
          <w:szCs w:val="21"/>
          <w:highlight w:val="none"/>
        </w:rPr>
        <w:t>.6询问或者质疑事项可能影响采购结果的，采购人应当暂停签订合同，已经签订合同的，应当中止履行合同。</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lang w:val="zh-CN"/>
        </w:rPr>
      </w:pPr>
      <w:r>
        <w:rPr>
          <w:rFonts w:hint="eastAsia"/>
          <w:color w:val="auto"/>
          <w:sz w:val="21"/>
          <w:szCs w:val="21"/>
          <w:highlight w:val="none"/>
          <w:lang w:val="zh-CN"/>
        </w:rPr>
        <w:t>4.4供应商投诉</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rPr>
        <w:t>4.4.1质疑供应商对采购人、采购代理机构的答复不满意或者采购人、采购代理机构未在规定的时间内作出答复的，可以在答复期满后十五个工作日内向同级政府采购监督管理部门提出投诉。</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rPr>
        <w:t>4.4.</w:t>
      </w:r>
      <w:r>
        <w:rPr>
          <w:rFonts w:hint="eastAsia"/>
          <w:color w:val="auto"/>
          <w:sz w:val="21"/>
          <w:szCs w:val="21"/>
          <w:highlight w:val="none"/>
          <w:lang w:val="zh-CN"/>
        </w:rPr>
        <w:t>2</w:t>
      </w:r>
      <w:r>
        <w:rPr>
          <w:rFonts w:hint="eastAsia"/>
          <w:color w:val="auto"/>
          <w:sz w:val="21"/>
          <w:szCs w:val="21"/>
          <w:highlight w:val="none"/>
        </w:rPr>
        <w:t>供应商投诉的事项不得超出已质疑事项的范围，基于质疑答复内容提出的投诉事项除外。</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rPr>
        <w:t>4.4.3供应商投诉应当有明确的请求和必要的证明材料。</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rPr>
        <w:t>4.4.4 以联合体形式参加政府采购活动的，其投诉应当由组成联合体的所有供应商共同提出。</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7"/>
        <w:widowControl w:val="0"/>
        <w:shd w:val="clear" w:color="auto" w:fill="FFFFFF"/>
        <w:adjustRightInd w:val="0"/>
        <w:snapToGrid w:val="0"/>
        <w:spacing w:before="0" w:beforeAutospacing="0" w:after="0" w:afterAutospacing="0" w:line="288" w:lineRule="auto"/>
        <w:ind w:firstLine="422" w:firstLineChars="201"/>
        <w:rPr>
          <w:color w:val="auto"/>
          <w:sz w:val="21"/>
          <w:szCs w:val="21"/>
          <w:highlight w:val="none"/>
        </w:rPr>
      </w:pPr>
      <w:r>
        <w:rPr>
          <w:rFonts w:hint="eastAsia"/>
          <w:color w:val="auto"/>
          <w:sz w:val="21"/>
          <w:szCs w:val="21"/>
          <w:highlight w:val="none"/>
        </w:rPr>
        <w:t>投诉书范本及制作说明详见附件3。</w:t>
      </w:r>
    </w:p>
    <w:p>
      <w:pPr>
        <w:pStyle w:val="134"/>
        <w:snapToGrid w:val="0"/>
        <w:spacing w:before="0" w:line="288" w:lineRule="auto"/>
        <w:ind w:firstLine="422" w:firstLineChars="201"/>
        <w:rPr>
          <w:rFonts w:ascii="宋体" w:hAnsi="宋体" w:cs="宋体"/>
          <w:color w:val="auto"/>
          <w:sz w:val="21"/>
          <w:szCs w:val="21"/>
          <w:highlight w:val="none"/>
        </w:rPr>
      </w:pPr>
    </w:p>
    <w:p>
      <w:pPr>
        <w:snapToGrid w:val="0"/>
        <w:spacing w:line="288" w:lineRule="auto"/>
        <w:ind w:firstLine="424" w:firstLineChars="201"/>
        <w:jc w:val="center"/>
        <w:outlineLvl w:val="1"/>
        <w:rPr>
          <w:rFonts w:ascii="宋体" w:hAnsi="宋体" w:cs="宋体"/>
          <w:b/>
          <w:color w:val="auto"/>
          <w:szCs w:val="21"/>
          <w:highlight w:val="none"/>
        </w:rPr>
      </w:pPr>
      <w:r>
        <w:rPr>
          <w:rFonts w:hint="eastAsia" w:ascii="宋体" w:hAnsi="宋体" w:cs="宋体"/>
          <w:b/>
          <w:color w:val="auto"/>
          <w:szCs w:val="21"/>
          <w:highlight w:val="none"/>
        </w:rPr>
        <w:t>二、招标文件的构成、澄清、修改</w:t>
      </w:r>
    </w:p>
    <w:p>
      <w:pPr>
        <w:pStyle w:val="34"/>
        <w:snapToGrid w:val="0"/>
        <w:spacing w:line="288" w:lineRule="auto"/>
        <w:ind w:firstLine="424" w:firstLineChars="201"/>
        <w:rPr>
          <w:rFonts w:hAnsi="宋体" w:cs="宋体"/>
          <w:b/>
          <w:color w:val="auto"/>
          <w:highlight w:val="none"/>
        </w:rPr>
      </w:pPr>
      <w:r>
        <w:rPr>
          <w:rFonts w:hint="eastAsia" w:hAnsi="宋体" w:cs="宋体"/>
          <w:b/>
          <w:color w:val="auto"/>
          <w:highlight w:val="none"/>
        </w:rPr>
        <w:t>5．招标文件的构成</w:t>
      </w:r>
    </w:p>
    <w:p>
      <w:pPr>
        <w:pStyle w:val="34"/>
        <w:snapToGrid w:val="0"/>
        <w:spacing w:line="288" w:lineRule="auto"/>
        <w:ind w:firstLine="422" w:firstLineChars="201"/>
        <w:rPr>
          <w:rFonts w:hAnsi="宋体" w:cs="宋体"/>
          <w:color w:val="auto"/>
          <w:highlight w:val="none"/>
        </w:rPr>
      </w:pPr>
      <w:r>
        <w:rPr>
          <w:rFonts w:hint="eastAsia" w:hAnsi="宋体" w:cs="宋体"/>
          <w:color w:val="auto"/>
          <w:highlight w:val="none"/>
        </w:rPr>
        <w:t>5.1 招标文件包括下列文件及附件：</w:t>
      </w:r>
    </w:p>
    <w:p>
      <w:pPr>
        <w:pStyle w:val="34"/>
        <w:tabs>
          <w:tab w:val="left" w:pos="840"/>
        </w:tabs>
        <w:snapToGrid w:val="0"/>
        <w:spacing w:line="288" w:lineRule="auto"/>
        <w:ind w:firstLine="422" w:firstLineChars="201"/>
        <w:rPr>
          <w:rFonts w:hAnsi="宋体" w:cs="宋体"/>
          <w:color w:val="auto"/>
          <w:highlight w:val="none"/>
        </w:rPr>
      </w:pPr>
      <w:r>
        <w:rPr>
          <w:rFonts w:hint="eastAsia" w:hAnsi="宋体" w:cs="宋体"/>
          <w:color w:val="auto"/>
          <w:highlight w:val="none"/>
        </w:rPr>
        <w:t>5.1.1招标公告；</w:t>
      </w:r>
    </w:p>
    <w:p>
      <w:pPr>
        <w:pStyle w:val="34"/>
        <w:tabs>
          <w:tab w:val="left" w:pos="840"/>
        </w:tabs>
        <w:snapToGrid w:val="0"/>
        <w:spacing w:line="288" w:lineRule="auto"/>
        <w:ind w:firstLine="422" w:firstLineChars="201"/>
        <w:rPr>
          <w:rFonts w:hAnsi="宋体" w:cs="宋体"/>
          <w:color w:val="auto"/>
          <w:highlight w:val="none"/>
        </w:rPr>
      </w:pPr>
      <w:r>
        <w:rPr>
          <w:rFonts w:hint="eastAsia" w:hAnsi="宋体" w:cs="宋体"/>
          <w:color w:val="auto"/>
          <w:highlight w:val="none"/>
        </w:rPr>
        <w:t>5.1.2投标人须知；</w:t>
      </w:r>
    </w:p>
    <w:p>
      <w:pPr>
        <w:pStyle w:val="34"/>
        <w:tabs>
          <w:tab w:val="left" w:pos="840"/>
        </w:tabs>
        <w:snapToGrid w:val="0"/>
        <w:spacing w:line="288" w:lineRule="auto"/>
        <w:ind w:firstLine="422" w:firstLineChars="201"/>
        <w:rPr>
          <w:rFonts w:hAnsi="宋体" w:cs="宋体"/>
          <w:color w:val="auto"/>
          <w:highlight w:val="none"/>
        </w:rPr>
      </w:pPr>
      <w:r>
        <w:rPr>
          <w:rFonts w:hint="eastAsia" w:hAnsi="宋体" w:cs="宋体"/>
          <w:color w:val="auto"/>
          <w:highlight w:val="none"/>
        </w:rPr>
        <w:t>5.1.3采购需求；</w:t>
      </w:r>
    </w:p>
    <w:p>
      <w:pPr>
        <w:pStyle w:val="34"/>
        <w:tabs>
          <w:tab w:val="left" w:pos="840"/>
        </w:tabs>
        <w:snapToGrid w:val="0"/>
        <w:spacing w:line="288" w:lineRule="auto"/>
        <w:ind w:firstLine="422" w:firstLineChars="201"/>
        <w:rPr>
          <w:rFonts w:hAnsi="宋体" w:cs="宋体"/>
          <w:color w:val="auto"/>
          <w:highlight w:val="none"/>
        </w:rPr>
      </w:pPr>
      <w:r>
        <w:rPr>
          <w:rFonts w:hint="eastAsia" w:hAnsi="宋体" w:cs="宋体"/>
          <w:color w:val="auto"/>
          <w:highlight w:val="none"/>
        </w:rPr>
        <w:t>5.1.4评标办法；</w:t>
      </w:r>
    </w:p>
    <w:p>
      <w:pPr>
        <w:pStyle w:val="34"/>
        <w:tabs>
          <w:tab w:val="left" w:pos="840"/>
        </w:tabs>
        <w:snapToGrid w:val="0"/>
        <w:spacing w:line="288" w:lineRule="auto"/>
        <w:ind w:firstLine="422" w:firstLineChars="201"/>
        <w:rPr>
          <w:rFonts w:hAnsi="宋体" w:cs="宋体"/>
          <w:color w:val="auto"/>
          <w:highlight w:val="none"/>
        </w:rPr>
      </w:pPr>
      <w:r>
        <w:rPr>
          <w:rFonts w:hint="eastAsia" w:hAnsi="宋体" w:cs="宋体"/>
          <w:color w:val="auto"/>
          <w:highlight w:val="none"/>
        </w:rPr>
        <w:t>5.1.5拟签订的合同文本；</w:t>
      </w:r>
    </w:p>
    <w:p>
      <w:pPr>
        <w:pStyle w:val="34"/>
        <w:tabs>
          <w:tab w:val="left" w:pos="840"/>
        </w:tabs>
        <w:snapToGrid w:val="0"/>
        <w:spacing w:line="288" w:lineRule="auto"/>
        <w:ind w:firstLine="422" w:firstLineChars="201"/>
        <w:rPr>
          <w:rFonts w:hAnsi="宋体" w:cs="宋体"/>
          <w:color w:val="auto"/>
          <w:highlight w:val="none"/>
        </w:rPr>
      </w:pPr>
      <w:r>
        <w:rPr>
          <w:rFonts w:hint="eastAsia" w:hAnsi="宋体" w:cs="宋体"/>
          <w:color w:val="auto"/>
          <w:highlight w:val="none"/>
        </w:rPr>
        <w:t>5.1.6应提交的有关格式范例。</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5.2与本项目有关的</w:t>
      </w:r>
      <w:r>
        <w:rPr>
          <w:rFonts w:hint="eastAsia" w:ascii="宋体" w:hAnsi="宋体" w:cs="宋体"/>
          <w:bCs/>
          <w:color w:val="auto"/>
          <w:szCs w:val="21"/>
          <w:highlight w:val="none"/>
        </w:rPr>
        <w:t>澄清或者修改的内容为招标文件的组成部分</w:t>
      </w:r>
      <w:r>
        <w:rPr>
          <w:rFonts w:hint="eastAsia" w:ascii="宋体" w:hAnsi="宋体" w:cs="宋体"/>
          <w:color w:val="auto"/>
          <w:szCs w:val="21"/>
          <w:highlight w:val="none"/>
        </w:rPr>
        <w:t>。</w:t>
      </w:r>
    </w:p>
    <w:p>
      <w:pPr>
        <w:pStyle w:val="34"/>
        <w:snapToGrid w:val="0"/>
        <w:spacing w:line="288" w:lineRule="auto"/>
        <w:ind w:firstLine="424" w:firstLineChars="201"/>
        <w:rPr>
          <w:rFonts w:hAnsi="宋体" w:cs="宋体"/>
          <w:b/>
          <w:color w:val="auto"/>
          <w:highlight w:val="none"/>
        </w:rPr>
      </w:pPr>
      <w:r>
        <w:rPr>
          <w:rFonts w:hint="eastAsia" w:hAnsi="宋体" w:cs="宋体"/>
          <w:b/>
          <w:color w:val="auto"/>
          <w:highlight w:val="none"/>
        </w:rPr>
        <w:t>6. 招标文件的澄清、修改</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6.1已获取招标文件的潜在投标人，若有问题需要澄清，应于投标截止时间前，以书面形式向采购代理机构提出。</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snapToGrid w:val="0"/>
        <w:spacing w:line="288" w:lineRule="auto"/>
        <w:ind w:firstLine="422" w:firstLineChars="201"/>
        <w:rPr>
          <w:rFonts w:hAnsi="宋体" w:cs="宋体"/>
          <w:color w:val="auto"/>
          <w:sz w:val="21"/>
          <w:highlight w:val="none"/>
          <w:lang w:val="en-US"/>
        </w:rPr>
      </w:pPr>
    </w:p>
    <w:p>
      <w:pPr>
        <w:snapToGrid w:val="0"/>
        <w:spacing w:line="288" w:lineRule="auto"/>
        <w:ind w:firstLine="424" w:firstLineChars="201"/>
        <w:jc w:val="center"/>
        <w:outlineLvl w:val="1"/>
        <w:rPr>
          <w:rFonts w:ascii="宋体" w:hAnsi="宋体" w:cs="宋体"/>
          <w:b/>
          <w:color w:val="auto"/>
          <w:szCs w:val="21"/>
          <w:highlight w:val="none"/>
        </w:rPr>
      </w:pPr>
      <w:r>
        <w:rPr>
          <w:rFonts w:hint="eastAsia" w:ascii="宋体" w:hAnsi="宋体" w:cs="宋体"/>
          <w:b/>
          <w:color w:val="auto"/>
          <w:szCs w:val="21"/>
          <w:highlight w:val="none"/>
        </w:rPr>
        <w:t>三、投标</w:t>
      </w:r>
    </w:p>
    <w:p>
      <w:pPr>
        <w:pStyle w:val="34"/>
        <w:snapToGrid w:val="0"/>
        <w:spacing w:line="288" w:lineRule="auto"/>
        <w:ind w:firstLine="424" w:firstLineChars="201"/>
        <w:rPr>
          <w:rFonts w:hAnsi="宋体" w:cs="宋体"/>
          <w:b/>
          <w:color w:val="auto"/>
          <w:highlight w:val="none"/>
        </w:rPr>
      </w:pPr>
      <w:r>
        <w:rPr>
          <w:rFonts w:hint="eastAsia" w:hAnsi="宋体" w:cs="宋体"/>
          <w:b/>
          <w:color w:val="auto"/>
          <w:highlight w:val="none"/>
        </w:rPr>
        <w:t>7. 招标文件的获取</w:t>
      </w:r>
    </w:p>
    <w:p>
      <w:pPr>
        <w:snapToGrid w:val="0"/>
        <w:spacing w:line="288" w:lineRule="auto"/>
        <w:ind w:firstLine="422" w:firstLineChars="201"/>
        <w:rPr>
          <w:rFonts w:ascii="宋体" w:hAnsi="宋体" w:cs="宋体"/>
          <w:snapToGrid w:val="0"/>
          <w:color w:val="auto"/>
          <w:kern w:val="28"/>
          <w:szCs w:val="21"/>
          <w:highlight w:val="none"/>
        </w:rPr>
      </w:pPr>
      <w:r>
        <w:rPr>
          <w:rFonts w:hint="eastAsia" w:ascii="宋体" w:hAnsi="宋体" w:cs="宋体"/>
          <w:snapToGrid w:val="0"/>
          <w:color w:val="auto"/>
          <w:kern w:val="28"/>
          <w:szCs w:val="21"/>
          <w:highlight w:val="none"/>
        </w:rPr>
        <w:t>详见招标公告中获取招标文件的时间期限、地点、方式及招标文件售价。</w:t>
      </w:r>
    </w:p>
    <w:p>
      <w:pPr>
        <w:pStyle w:val="34"/>
        <w:snapToGrid w:val="0"/>
        <w:spacing w:line="288" w:lineRule="auto"/>
        <w:ind w:firstLine="424" w:firstLineChars="201"/>
        <w:rPr>
          <w:rFonts w:hAnsi="宋体" w:cs="宋体"/>
          <w:b/>
          <w:color w:val="auto"/>
          <w:highlight w:val="none"/>
        </w:rPr>
      </w:pPr>
      <w:r>
        <w:rPr>
          <w:rFonts w:hint="eastAsia" w:hAnsi="宋体" w:cs="宋体"/>
          <w:b/>
          <w:color w:val="auto"/>
          <w:highlight w:val="none"/>
        </w:rPr>
        <w:t>8.开标前答疑会或现场考察</w:t>
      </w:r>
    </w:p>
    <w:p>
      <w:pPr>
        <w:pStyle w:val="34"/>
        <w:snapToGrid w:val="0"/>
        <w:spacing w:line="288" w:lineRule="auto"/>
        <w:ind w:firstLine="422" w:firstLineChars="201"/>
        <w:rPr>
          <w:rFonts w:hAnsi="宋体" w:cs="宋体"/>
          <w:color w:val="auto"/>
          <w:highlight w:val="none"/>
        </w:rPr>
      </w:pPr>
      <w:r>
        <w:rPr>
          <w:rFonts w:hint="eastAsia" w:hAnsi="宋体" w:cs="宋体"/>
          <w:color w:val="auto"/>
          <w:highlight w:val="none"/>
        </w:rPr>
        <w:t>采购人组织潜在投标人现场考察或者召开开标前答疑会的，潜在投标人按第二部分投标人须知前附表的规定参加现场考察或者开标前答疑会。</w:t>
      </w:r>
    </w:p>
    <w:p>
      <w:pPr>
        <w:pStyle w:val="34"/>
        <w:snapToGrid w:val="0"/>
        <w:spacing w:line="288" w:lineRule="auto"/>
        <w:ind w:firstLine="424" w:firstLineChars="201"/>
        <w:rPr>
          <w:rFonts w:hAnsi="宋体" w:cs="宋体"/>
          <w:b/>
          <w:color w:val="auto"/>
          <w:highlight w:val="none"/>
        </w:rPr>
      </w:pPr>
      <w:r>
        <w:rPr>
          <w:rFonts w:hint="eastAsia" w:hAnsi="宋体" w:cs="宋体"/>
          <w:b/>
          <w:color w:val="auto"/>
          <w:kern w:val="28"/>
          <w:highlight w:val="none"/>
        </w:rPr>
        <w:t>9.投标保证金</w:t>
      </w:r>
    </w:p>
    <w:p>
      <w:pPr>
        <w:pStyle w:val="17"/>
        <w:widowControl w:val="0"/>
        <w:spacing w:line="288" w:lineRule="auto"/>
        <w:ind w:firstLine="422" w:firstLineChars="201"/>
        <w:rPr>
          <w:rFonts w:hAnsi="宋体" w:cs="宋体"/>
          <w:color w:val="auto"/>
          <w:sz w:val="21"/>
          <w:szCs w:val="21"/>
          <w:highlight w:val="none"/>
        </w:rPr>
      </w:pPr>
      <w:r>
        <w:rPr>
          <w:rFonts w:hint="eastAsia" w:hAnsi="宋体" w:cs="宋体"/>
          <w:color w:val="auto"/>
          <w:sz w:val="21"/>
          <w:szCs w:val="21"/>
          <w:highlight w:val="none"/>
        </w:rPr>
        <w:t>本项目不需缴纳投标保证金。</w:t>
      </w:r>
    </w:p>
    <w:p>
      <w:pPr>
        <w:pStyle w:val="34"/>
        <w:snapToGrid w:val="0"/>
        <w:spacing w:line="288" w:lineRule="auto"/>
        <w:ind w:firstLine="424" w:firstLineChars="201"/>
        <w:rPr>
          <w:rFonts w:hAnsi="宋体" w:cs="宋体"/>
          <w:b/>
          <w:color w:val="auto"/>
          <w:highlight w:val="none"/>
        </w:rPr>
      </w:pPr>
      <w:r>
        <w:rPr>
          <w:rFonts w:hint="eastAsia" w:hAnsi="宋体" w:cs="宋体"/>
          <w:b/>
          <w:color w:val="auto"/>
          <w:highlight w:val="none"/>
        </w:rPr>
        <w:t>10. 投标文件的语言</w:t>
      </w:r>
    </w:p>
    <w:p>
      <w:pPr>
        <w:autoSpaceDE w:val="0"/>
        <w:autoSpaceDN w:val="0"/>
        <w:snapToGrid w:val="0"/>
        <w:spacing w:line="288" w:lineRule="auto"/>
        <w:ind w:firstLine="422" w:firstLineChars="201"/>
        <w:rPr>
          <w:rFonts w:ascii="宋体" w:hAnsi="宋体" w:cs="宋体"/>
          <w:color w:val="auto"/>
          <w:szCs w:val="21"/>
          <w:highlight w:val="none"/>
          <w:lang w:val="zh-CN"/>
        </w:rPr>
      </w:pPr>
      <w:r>
        <w:rPr>
          <w:rFonts w:hint="eastAsia" w:ascii="宋体" w:hAnsi="宋体" w:cs="宋体"/>
          <w:color w:val="auto"/>
          <w:szCs w:val="21"/>
          <w:highlight w:val="none"/>
        </w:rPr>
        <w:t>投标文件及投标人与采购有关的来往通知、函件和文件均应使用中文。</w:t>
      </w:r>
    </w:p>
    <w:p>
      <w:pPr>
        <w:pStyle w:val="34"/>
        <w:snapToGrid w:val="0"/>
        <w:spacing w:line="288" w:lineRule="auto"/>
        <w:ind w:firstLine="424" w:firstLineChars="201"/>
        <w:rPr>
          <w:rFonts w:hAnsi="宋体" w:cs="宋体"/>
          <w:b/>
          <w:color w:val="auto"/>
          <w:highlight w:val="none"/>
        </w:rPr>
      </w:pPr>
      <w:r>
        <w:rPr>
          <w:rFonts w:hint="eastAsia" w:hAnsi="宋体" w:cs="宋体"/>
          <w:b/>
          <w:color w:val="auto"/>
          <w:highlight w:val="none"/>
        </w:rPr>
        <w:t>11. 投标文件的组成</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11.1</w:t>
      </w:r>
      <w:r>
        <w:rPr>
          <w:rFonts w:hint="eastAsia" w:ascii="宋体" w:hAnsi="宋体" w:cs="宋体"/>
          <w:b/>
          <w:color w:val="auto"/>
          <w:szCs w:val="21"/>
          <w:highlight w:val="none"/>
        </w:rPr>
        <w:t>资格文件</w:t>
      </w:r>
      <w:r>
        <w:rPr>
          <w:rFonts w:hint="eastAsia" w:ascii="宋体" w:hAnsi="宋体" w:cs="宋体"/>
          <w:color w:val="auto"/>
          <w:szCs w:val="21"/>
          <w:highlight w:val="none"/>
        </w:rPr>
        <w:t>：</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11.1.1符合参加政府采购活动应当具备的一般条件的承诺函；</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1.1.2</w:t>
      </w:r>
      <w:bookmarkStart w:id="15" w:name="_Hlk101259339"/>
      <w:r>
        <w:rPr>
          <w:rFonts w:hint="eastAsia" w:ascii="宋体" w:hAnsi="宋体" w:cs="宋体"/>
          <w:snapToGrid w:val="0"/>
          <w:color w:val="auto"/>
          <w:kern w:val="28"/>
          <w:szCs w:val="21"/>
          <w:highlight w:val="none"/>
        </w:rPr>
        <w:t>联合协议</w:t>
      </w:r>
      <w:bookmarkEnd w:id="15"/>
      <w:r>
        <w:rPr>
          <w:rFonts w:hint="eastAsia" w:ascii="宋体" w:hAnsi="宋体" w:cs="宋体"/>
          <w:snapToGrid w:val="0"/>
          <w:color w:val="auto"/>
          <w:kern w:val="28"/>
          <w:szCs w:val="21"/>
          <w:highlight w:val="none"/>
        </w:rPr>
        <w:t>（如果有)；</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11.1.</w:t>
      </w:r>
      <w:r>
        <w:rPr>
          <w:rFonts w:ascii="宋体" w:hAnsi="宋体" w:cs="宋体"/>
          <w:color w:val="auto"/>
          <w:szCs w:val="21"/>
          <w:highlight w:val="none"/>
        </w:rPr>
        <w:t>3</w:t>
      </w:r>
      <w:r>
        <w:rPr>
          <w:rFonts w:hint="eastAsia" w:ascii="宋体" w:hAnsi="宋体" w:cs="宋体"/>
          <w:color w:val="auto"/>
          <w:szCs w:val="21"/>
          <w:highlight w:val="none"/>
        </w:rPr>
        <w:t>落实政府采购政策需满足的资格要求；</w:t>
      </w:r>
    </w:p>
    <w:p>
      <w:pPr>
        <w:snapToGrid w:val="0"/>
        <w:spacing w:line="288" w:lineRule="auto"/>
        <w:ind w:firstLine="422" w:firstLineChars="201"/>
        <w:rPr>
          <w:rFonts w:ascii="宋体" w:hAnsi="宋体" w:cs="宋体"/>
          <w:color w:val="auto"/>
          <w:szCs w:val="21"/>
          <w:highlight w:val="none"/>
          <w:lang w:val="zh-CN"/>
        </w:rPr>
      </w:pPr>
      <w:r>
        <w:rPr>
          <w:rFonts w:hint="eastAsia" w:ascii="宋体" w:hAnsi="宋体" w:cs="宋体"/>
          <w:color w:val="auto"/>
          <w:szCs w:val="21"/>
          <w:highlight w:val="none"/>
          <w:lang w:val="zh-CN"/>
        </w:rPr>
        <w:t>11.</w:t>
      </w:r>
      <w:r>
        <w:rPr>
          <w:rFonts w:hint="eastAsia" w:ascii="宋体" w:hAnsi="宋体" w:cs="宋体"/>
          <w:color w:val="auto"/>
          <w:szCs w:val="21"/>
          <w:highlight w:val="none"/>
        </w:rPr>
        <w:t>2</w:t>
      </w:r>
      <w:r>
        <w:rPr>
          <w:rFonts w:hint="eastAsia" w:ascii="宋体" w:hAnsi="宋体" w:cs="宋体"/>
          <w:color w:val="auto"/>
          <w:szCs w:val="21"/>
          <w:highlight w:val="none"/>
          <w:lang w:val="zh-CN"/>
        </w:rPr>
        <w:t xml:space="preserve">  </w:t>
      </w:r>
      <w:r>
        <w:rPr>
          <w:rFonts w:hint="eastAsia" w:ascii="宋体" w:hAnsi="宋体" w:cs="宋体"/>
          <w:color w:val="auto"/>
          <w:szCs w:val="21"/>
          <w:highlight w:val="none"/>
        </w:rPr>
        <w:t>商务技术</w:t>
      </w:r>
      <w:r>
        <w:rPr>
          <w:rFonts w:hint="eastAsia" w:ascii="宋体" w:hAnsi="宋体" w:cs="宋体"/>
          <w:color w:val="auto"/>
          <w:szCs w:val="21"/>
          <w:highlight w:val="none"/>
          <w:lang w:val="zh-CN"/>
        </w:rPr>
        <w:t>文件：</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11.2.1投标函；</w:t>
      </w:r>
      <w:r>
        <w:rPr>
          <w:rFonts w:hint="eastAsia" w:ascii="宋体" w:hAnsi="宋体" w:cs="宋体"/>
          <w:color w:val="auto"/>
          <w:szCs w:val="21"/>
          <w:highlight w:val="none"/>
          <w:lang w:val="zh-CN"/>
        </w:rPr>
        <w:t xml:space="preserve"> </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11.2.2授权委托书或法定代表人（单位负责人、自然人本人）身份证明；</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11.2.</w:t>
      </w:r>
      <w:r>
        <w:rPr>
          <w:rFonts w:ascii="宋体" w:hAnsi="宋体" w:cs="宋体"/>
          <w:color w:val="auto"/>
          <w:szCs w:val="21"/>
          <w:highlight w:val="none"/>
        </w:rPr>
        <w:t>3</w:t>
      </w:r>
      <w:r>
        <w:rPr>
          <w:rFonts w:hint="eastAsia" w:ascii="宋体" w:hAnsi="宋体" w:cs="宋体"/>
          <w:color w:val="auto"/>
          <w:szCs w:val="21"/>
          <w:highlight w:val="none"/>
        </w:rPr>
        <w:t>分包意向协议</w:t>
      </w:r>
      <w:r>
        <w:rPr>
          <w:rFonts w:hint="eastAsia" w:ascii="宋体" w:hAnsi="宋体" w:cs="宋体"/>
          <w:snapToGrid w:val="0"/>
          <w:color w:val="auto"/>
          <w:kern w:val="28"/>
          <w:szCs w:val="21"/>
          <w:highlight w:val="none"/>
        </w:rPr>
        <w:t>（如果有)</w:t>
      </w:r>
      <w:r>
        <w:rPr>
          <w:rFonts w:hint="eastAsia" w:ascii="宋体" w:hAnsi="宋体" w:cs="宋体"/>
          <w:color w:val="auto"/>
          <w:szCs w:val="21"/>
          <w:highlight w:val="none"/>
        </w:rPr>
        <w:t>；</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11.2.</w:t>
      </w:r>
      <w:r>
        <w:rPr>
          <w:rFonts w:ascii="宋体" w:hAnsi="宋体" w:cs="宋体"/>
          <w:color w:val="auto"/>
          <w:szCs w:val="21"/>
          <w:highlight w:val="none"/>
        </w:rPr>
        <w:t>4</w:t>
      </w:r>
      <w:r>
        <w:rPr>
          <w:rFonts w:hint="eastAsia" w:ascii="宋体" w:hAnsi="宋体" w:cs="宋体"/>
          <w:color w:val="auto"/>
          <w:szCs w:val="21"/>
          <w:highlight w:val="none"/>
        </w:rPr>
        <w:t>符合性审查资料；</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11.2.</w:t>
      </w:r>
      <w:r>
        <w:rPr>
          <w:rFonts w:ascii="宋体" w:hAnsi="宋体" w:cs="宋体"/>
          <w:color w:val="auto"/>
          <w:szCs w:val="21"/>
          <w:highlight w:val="none"/>
        </w:rPr>
        <w:t>5</w:t>
      </w:r>
      <w:r>
        <w:rPr>
          <w:rFonts w:hint="eastAsia" w:ascii="宋体" w:hAnsi="宋体" w:cs="宋体"/>
          <w:color w:val="auto"/>
          <w:szCs w:val="21"/>
          <w:highlight w:val="none"/>
        </w:rPr>
        <w:t>评标标准相应的商务技术资料；</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11.2.</w:t>
      </w:r>
      <w:r>
        <w:rPr>
          <w:rFonts w:ascii="宋体" w:hAnsi="宋体" w:cs="宋体"/>
          <w:color w:val="auto"/>
          <w:szCs w:val="21"/>
          <w:highlight w:val="none"/>
        </w:rPr>
        <w:t>6</w:t>
      </w:r>
      <w:r>
        <w:rPr>
          <w:rFonts w:hint="eastAsia" w:ascii="宋体" w:hAnsi="宋体" w:cs="宋体"/>
          <w:color w:val="auto"/>
          <w:szCs w:val="21"/>
          <w:highlight w:val="none"/>
        </w:rPr>
        <w:t>投标标的清单；</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11.2.</w:t>
      </w:r>
      <w:r>
        <w:rPr>
          <w:rFonts w:ascii="宋体" w:hAnsi="宋体" w:cs="宋体"/>
          <w:color w:val="auto"/>
          <w:szCs w:val="21"/>
          <w:highlight w:val="none"/>
        </w:rPr>
        <w:t>7</w:t>
      </w:r>
      <w:r>
        <w:rPr>
          <w:rFonts w:hint="eastAsia" w:ascii="宋体" w:hAnsi="宋体" w:cs="宋体"/>
          <w:color w:val="auto"/>
          <w:szCs w:val="21"/>
          <w:highlight w:val="none"/>
        </w:rPr>
        <w:t>商务技术偏离表；</w:t>
      </w:r>
    </w:p>
    <w:p>
      <w:pPr>
        <w:snapToGrid w:val="0"/>
        <w:spacing w:line="288" w:lineRule="auto"/>
        <w:ind w:firstLine="422" w:firstLineChars="201"/>
        <w:rPr>
          <w:rFonts w:ascii="宋体" w:hAnsi="宋体" w:cs="宋体"/>
          <w:color w:val="auto"/>
          <w:szCs w:val="21"/>
          <w:highlight w:val="none"/>
          <w:lang w:val="zh-CN"/>
        </w:rPr>
      </w:pPr>
      <w:r>
        <w:rPr>
          <w:rFonts w:hint="eastAsia" w:ascii="宋体" w:hAnsi="宋体" w:cs="宋体"/>
          <w:color w:val="auto"/>
          <w:szCs w:val="21"/>
          <w:highlight w:val="none"/>
          <w:lang w:val="zh-CN"/>
        </w:rPr>
        <w:t>11.</w:t>
      </w:r>
      <w:r>
        <w:rPr>
          <w:rFonts w:hint="eastAsia" w:ascii="宋体" w:hAnsi="宋体" w:cs="宋体"/>
          <w:color w:val="auto"/>
          <w:szCs w:val="21"/>
          <w:highlight w:val="none"/>
        </w:rPr>
        <w:t>2</w:t>
      </w:r>
      <w:r>
        <w:rPr>
          <w:rFonts w:hint="eastAsia" w:ascii="宋体" w:hAnsi="宋体" w:cs="宋体"/>
          <w:color w:val="auto"/>
          <w:szCs w:val="21"/>
          <w:highlight w:val="none"/>
          <w:lang w:val="zh-CN"/>
        </w:rPr>
        <w:t>.</w:t>
      </w:r>
      <w:r>
        <w:rPr>
          <w:rFonts w:ascii="宋体" w:hAnsi="宋体" w:cs="宋体"/>
          <w:color w:val="auto"/>
          <w:szCs w:val="21"/>
          <w:highlight w:val="none"/>
        </w:rPr>
        <w:t>8</w:t>
      </w:r>
      <w:r>
        <w:rPr>
          <w:rFonts w:hint="eastAsia" w:ascii="宋体" w:hAnsi="宋体" w:cs="宋体"/>
          <w:color w:val="auto"/>
          <w:szCs w:val="21"/>
          <w:highlight w:val="none"/>
          <w:lang w:val="zh-CN"/>
        </w:rPr>
        <w:t>政府采购供应商廉洁自律承诺书；</w:t>
      </w:r>
    </w:p>
    <w:p>
      <w:pPr>
        <w:snapToGrid w:val="0"/>
        <w:spacing w:line="288" w:lineRule="auto"/>
        <w:ind w:firstLine="422" w:firstLineChars="201"/>
        <w:rPr>
          <w:rFonts w:ascii="宋体" w:hAnsi="宋体" w:cs="宋体"/>
          <w:color w:val="auto"/>
          <w:szCs w:val="21"/>
          <w:highlight w:val="none"/>
          <w:u w:val="single"/>
          <w:lang w:val="zh-CN"/>
        </w:rPr>
      </w:pPr>
      <w:r>
        <w:rPr>
          <w:rFonts w:hint="eastAsia" w:ascii="宋体" w:hAnsi="宋体" w:cs="宋体"/>
          <w:color w:val="auto"/>
          <w:kern w:val="0"/>
          <w:szCs w:val="21"/>
          <w:highlight w:val="none"/>
          <w:lang w:val="zh-CN"/>
        </w:rPr>
        <w:t>11.</w:t>
      </w:r>
      <w:r>
        <w:rPr>
          <w:rFonts w:hint="eastAsia" w:ascii="宋体" w:hAnsi="宋体" w:cs="宋体"/>
          <w:color w:val="auto"/>
          <w:kern w:val="0"/>
          <w:szCs w:val="21"/>
          <w:highlight w:val="none"/>
        </w:rPr>
        <w:t>3</w:t>
      </w:r>
      <w:r>
        <w:rPr>
          <w:rFonts w:hint="eastAsia" w:ascii="宋体" w:hAnsi="宋体" w:cs="宋体"/>
          <w:b/>
          <w:color w:val="auto"/>
          <w:szCs w:val="21"/>
          <w:highlight w:val="none"/>
        </w:rPr>
        <w:t>报价文件：</w:t>
      </w:r>
      <w:r>
        <w:rPr>
          <w:rFonts w:hint="eastAsia" w:ascii="宋体" w:hAnsi="宋体" w:cs="宋体"/>
          <w:color w:val="auto"/>
          <w:szCs w:val="21"/>
          <w:highlight w:val="none"/>
        </w:rPr>
        <w:t xml:space="preserve"> </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szCs w:val="21"/>
          <w:highlight w:val="none"/>
        </w:rPr>
        <w:t>11.3.1开标一览表（报价表）；</w:t>
      </w:r>
    </w:p>
    <w:p>
      <w:pPr>
        <w:snapToGrid w:val="0"/>
        <w:spacing w:line="288"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投标文件含有采购人不能接受的附加条件的，投标无效；</w:t>
      </w:r>
    </w:p>
    <w:p>
      <w:pPr>
        <w:snapToGrid w:val="0"/>
        <w:spacing w:line="288"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投标人提供虚假材料投标的，投标无效。</w:t>
      </w:r>
    </w:p>
    <w:p>
      <w:pPr>
        <w:pStyle w:val="134"/>
        <w:snapToGrid w:val="0"/>
        <w:spacing w:before="0" w:line="288" w:lineRule="auto"/>
        <w:ind w:firstLine="424" w:firstLineChars="201"/>
        <w:rPr>
          <w:rFonts w:ascii="宋体" w:hAnsi="宋体" w:cs="宋体"/>
          <w:b/>
          <w:color w:val="auto"/>
          <w:sz w:val="21"/>
          <w:szCs w:val="21"/>
          <w:highlight w:val="none"/>
        </w:rPr>
      </w:pPr>
      <w:r>
        <w:rPr>
          <w:rFonts w:hint="eastAsia" w:ascii="宋体" w:hAnsi="宋体" w:cs="宋体"/>
          <w:b/>
          <w:color w:val="auto"/>
          <w:sz w:val="21"/>
          <w:szCs w:val="21"/>
          <w:highlight w:val="none"/>
        </w:rPr>
        <w:t>12</w:t>
      </w:r>
      <w:r>
        <w:rPr>
          <w:rFonts w:hint="eastAsia" w:ascii="宋体" w:hAnsi="宋体" w:cs="宋体"/>
          <w:b/>
          <w:color w:val="auto"/>
          <w:kern w:val="0"/>
          <w:sz w:val="21"/>
          <w:szCs w:val="21"/>
          <w:highlight w:val="none"/>
          <w:lang w:val="zh-CN"/>
        </w:rPr>
        <w:t xml:space="preserve">. </w:t>
      </w:r>
      <w:r>
        <w:rPr>
          <w:rFonts w:hint="eastAsia" w:ascii="宋体" w:hAnsi="宋体" w:cs="宋体"/>
          <w:b/>
          <w:color w:val="auto"/>
          <w:sz w:val="21"/>
          <w:szCs w:val="21"/>
          <w:highlight w:val="none"/>
        </w:rPr>
        <w:t>投标文件的编制</w:t>
      </w:r>
    </w:p>
    <w:p>
      <w:pPr>
        <w:snapToGrid w:val="0"/>
        <w:spacing w:line="288" w:lineRule="auto"/>
        <w:ind w:firstLine="422" w:firstLineChars="201"/>
        <w:rPr>
          <w:rFonts w:ascii="宋体" w:hAnsi="宋体" w:cs="宋体"/>
          <w:b/>
          <w:color w:val="auto"/>
          <w:szCs w:val="21"/>
          <w:highlight w:val="none"/>
        </w:rPr>
      </w:pPr>
      <w:r>
        <w:rPr>
          <w:rFonts w:hint="eastAsia" w:ascii="宋体" w:hAnsi="宋体" w:cs="宋体"/>
          <w:color w:val="auto"/>
          <w:kern w:val="0"/>
          <w:szCs w:val="21"/>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22" w:firstLineChars="201"/>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22" w:firstLineChars="201"/>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12.3使用“政采云电子交易客户端”需要提前申领CA数字证书，申领流程请自行前往“浙江政府采购网-下载专区-电子交易客户端-CA驱动和申领流程”进行查阅。</w:t>
      </w:r>
    </w:p>
    <w:p>
      <w:pPr>
        <w:snapToGrid w:val="0"/>
        <w:spacing w:line="288" w:lineRule="auto"/>
        <w:ind w:firstLine="424" w:firstLineChars="201"/>
        <w:rPr>
          <w:rFonts w:ascii="宋体" w:hAnsi="宋体" w:cs="宋体"/>
          <w:b/>
          <w:color w:val="auto"/>
          <w:szCs w:val="21"/>
          <w:highlight w:val="none"/>
        </w:rPr>
      </w:pPr>
      <w:r>
        <w:rPr>
          <w:rFonts w:hint="eastAsia" w:ascii="宋体" w:hAnsi="宋体" w:cs="宋体"/>
          <w:b/>
          <w:color w:val="auto"/>
          <w:szCs w:val="21"/>
          <w:highlight w:val="none"/>
        </w:rPr>
        <w:t>13.投标文件的签署、盖章</w:t>
      </w:r>
    </w:p>
    <w:p>
      <w:pPr>
        <w:pStyle w:val="134"/>
        <w:snapToGrid w:val="0"/>
        <w:spacing w:before="0" w:line="288" w:lineRule="auto"/>
        <w:ind w:firstLine="422" w:firstLineChars="201"/>
        <w:rPr>
          <w:rFonts w:ascii="宋体" w:hAnsi="宋体" w:cs="宋体"/>
          <w:b/>
          <w:color w:val="auto"/>
          <w:sz w:val="21"/>
          <w:szCs w:val="21"/>
          <w:highlight w:val="none"/>
        </w:rPr>
      </w:pPr>
      <w:r>
        <w:rPr>
          <w:rFonts w:hint="eastAsia" w:ascii="宋体" w:hAnsi="宋体" w:cs="宋体"/>
          <w:color w:val="auto"/>
          <w:sz w:val="21"/>
          <w:szCs w:val="21"/>
          <w:highlight w:val="none"/>
        </w:rPr>
        <w:t>13.1投标文件按照招标文件第六部分格式要求进行签署、盖章。</w:t>
      </w:r>
      <w:r>
        <w:rPr>
          <w:rFonts w:hint="eastAsia" w:ascii="宋体" w:hAnsi="宋体" w:cs="宋体"/>
          <w:b/>
          <w:color w:val="auto"/>
          <w:sz w:val="21"/>
          <w:szCs w:val="21"/>
          <w:highlight w:val="none"/>
        </w:rPr>
        <w:t>▲投标人的投标文件未按照招标文件要求签署、盖章的，其投标无效</w:t>
      </w:r>
      <w:r>
        <w:rPr>
          <w:rFonts w:hint="eastAsia" w:ascii="宋体" w:hAnsi="宋体" w:cs="宋体"/>
          <w:color w:val="auto"/>
          <w:sz w:val="21"/>
          <w:szCs w:val="21"/>
          <w:highlight w:val="none"/>
        </w:rPr>
        <w:t>。</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13.2为确保网上操作合法、有效和安全，投标人应当在投标截止时间前完成在“政府采购云平台”的身份认证，确保在电子投标过程中能够对相关数据电文进行加密和使用电子签名。</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13.3招标文件对投标文件签署、盖章的要求适用于电子签名。</w:t>
      </w:r>
    </w:p>
    <w:p>
      <w:pPr>
        <w:pStyle w:val="134"/>
        <w:snapToGrid w:val="0"/>
        <w:spacing w:before="0" w:line="288" w:lineRule="auto"/>
        <w:ind w:firstLine="424" w:firstLineChars="201"/>
        <w:rPr>
          <w:rFonts w:ascii="宋体" w:hAnsi="宋体" w:cs="宋体"/>
          <w:b/>
          <w:color w:val="auto"/>
          <w:sz w:val="21"/>
          <w:szCs w:val="21"/>
          <w:highlight w:val="none"/>
        </w:rPr>
      </w:pPr>
      <w:r>
        <w:rPr>
          <w:rFonts w:hint="eastAsia" w:ascii="宋体" w:hAnsi="宋体" w:cs="宋体"/>
          <w:b/>
          <w:color w:val="auto"/>
          <w:sz w:val="21"/>
          <w:szCs w:val="21"/>
          <w:highlight w:val="none"/>
        </w:rPr>
        <w:t>14. 投标文件的提交、补充、修改、撤回</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4"/>
        <w:snapToGrid w:val="0"/>
        <w:spacing w:line="288" w:lineRule="auto"/>
        <w:ind w:firstLine="424" w:firstLineChars="201"/>
        <w:rPr>
          <w:rFonts w:hAnsi="宋体" w:cs="宋体"/>
          <w:b/>
          <w:color w:val="auto"/>
          <w:highlight w:val="none"/>
        </w:rPr>
      </w:pPr>
      <w:r>
        <w:rPr>
          <w:rFonts w:hint="eastAsia" w:hAnsi="宋体" w:cs="宋体"/>
          <w:b/>
          <w:color w:val="auto"/>
          <w:highlight w:val="none"/>
        </w:rPr>
        <w:t>15.备份投标文件</w:t>
      </w:r>
    </w:p>
    <w:p>
      <w:pPr>
        <w:pStyle w:val="34"/>
        <w:snapToGrid w:val="0"/>
        <w:spacing w:line="288" w:lineRule="auto"/>
        <w:ind w:firstLine="422" w:firstLineChars="201"/>
        <w:rPr>
          <w:rFonts w:hAnsi="宋体" w:cs="宋体"/>
          <w:b/>
          <w:color w:val="auto"/>
          <w:highlight w:val="none"/>
        </w:rPr>
      </w:pPr>
      <w:r>
        <w:rPr>
          <w:rFonts w:hint="eastAsia" w:hAnsi="宋体" w:cs="宋体"/>
          <w:color w:val="auto"/>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highlight w:val="none"/>
        </w:rPr>
        <w:t>但采购人、采购代理机构不强制或变相强制投标人提交备份投标文件。</w:t>
      </w:r>
    </w:p>
    <w:p>
      <w:pPr>
        <w:pStyle w:val="34"/>
        <w:snapToGrid w:val="0"/>
        <w:spacing w:line="288" w:lineRule="auto"/>
        <w:ind w:firstLine="422" w:firstLineChars="201"/>
        <w:rPr>
          <w:rFonts w:hAnsi="宋体" w:cs="宋体"/>
          <w:b/>
          <w:color w:val="auto"/>
          <w:highlight w:val="none"/>
        </w:rPr>
      </w:pPr>
      <w:r>
        <w:rPr>
          <w:rFonts w:hint="eastAsia" w:hAnsi="宋体" w:cs="宋体"/>
          <w:color w:val="auto"/>
          <w:highlight w:val="none"/>
        </w:rPr>
        <w:t>15.2备份投标文件须在“政采云投标客户端”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highlight w:val="none"/>
        </w:rPr>
        <w:t>不符合上述制作、存储、密封规定的备份投标文件将被视为无效或者被拒绝接收。</w:t>
      </w:r>
    </w:p>
    <w:p>
      <w:pPr>
        <w:pStyle w:val="34"/>
        <w:snapToGrid w:val="0"/>
        <w:spacing w:line="288" w:lineRule="auto"/>
        <w:ind w:firstLine="422" w:firstLineChars="201"/>
        <w:rPr>
          <w:rFonts w:hAnsi="宋体" w:cs="宋体"/>
          <w:color w:val="auto"/>
          <w:highlight w:val="none"/>
        </w:rPr>
      </w:pPr>
      <w:r>
        <w:rPr>
          <w:rFonts w:hint="eastAsia" w:hAnsi="宋体" w:cs="宋体"/>
          <w:color w:val="auto"/>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34"/>
        <w:snapToGrid w:val="0"/>
        <w:spacing w:line="288" w:lineRule="auto"/>
        <w:ind w:firstLine="422" w:firstLineChars="201"/>
        <w:rPr>
          <w:rFonts w:hAnsi="宋体" w:cs="宋体"/>
          <w:color w:val="auto"/>
          <w:highlight w:val="none"/>
        </w:rPr>
      </w:pPr>
      <w:r>
        <w:rPr>
          <w:rFonts w:hint="eastAsia" w:hAnsi="宋体" w:cs="宋体"/>
          <w:color w:val="auto"/>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highlight w:val="none"/>
        </w:rPr>
        <w:t>招标文件第二部分投标人须知前附表规定的备份投标文件送达地点；</w:t>
      </w:r>
      <w:r>
        <w:rPr>
          <w:rFonts w:hint="eastAsia" w:hAnsi="宋体" w:cs="宋体"/>
          <w:color w:val="auto"/>
          <w:highlight w:val="none"/>
        </w:rPr>
        <w:t>送达时间以签收人签收时间为准。采购代理机构将拒绝接受逾期送达的备份投标文件。邮寄过程中，电子备份投标文件发生泄露、遗失、损坏或延期送达等情况的，由投标人自行负责。</w:t>
      </w:r>
    </w:p>
    <w:p>
      <w:pPr>
        <w:pStyle w:val="34"/>
        <w:snapToGrid w:val="0"/>
        <w:spacing w:line="288" w:lineRule="auto"/>
        <w:ind w:firstLine="424" w:firstLineChars="201"/>
        <w:rPr>
          <w:rFonts w:hAnsi="宋体" w:cs="宋体"/>
          <w:b/>
          <w:color w:val="auto"/>
          <w:highlight w:val="none"/>
        </w:rPr>
      </w:pPr>
      <w:r>
        <w:rPr>
          <w:rFonts w:hint="eastAsia" w:hAnsi="宋体" w:cs="宋体"/>
          <w:b/>
          <w:color w:val="auto"/>
          <w:highlight w:val="none"/>
        </w:rPr>
        <w:t>15.5投标人仅提交备份投标文件，未在电子交易平台传输递交投标文件的，投标无效。</w:t>
      </w:r>
    </w:p>
    <w:p>
      <w:pPr>
        <w:pStyle w:val="134"/>
        <w:snapToGrid w:val="0"/>
        <w:spacing w:before="0" w:line="288" w:lineRule="auto"/>
        <w:ind w:firstLine="424" w:firstLineChars="201"/>
        <w:rPr>
          <w:rFonts w:ascii="宋体" w:hAnsi="宋体" w:cs="宋体"/>
          <w:b/>
          <w:color w:val="auto"/>
          <w:sz w:val="21"/>
          <w:szCs w:val="21"/>
          <w:highlight w:val="none"/>
        </w:rPr>
      </w:pPr>
      <w:r>
        <w:rPr>
          <w:rFonts w:hint="eastAsia" w:ascii="宋体" w:hAnsi="宋体" w:cs="宋体"/>
          <w:b/>
          <w:color w:val="auto"/>
          <w:sz w:val="21"/>
          <w:szCs w:val="21"/>
          <w:highlight w:val="none"/>
        </w:rPr>
        <w:t>16.投标文件的无效处理</w:t>
      </w:r>
    </w:p>
    <w:p>
      <w:pPr>
        <w:pStyle w:val="25"/>
        <w:snapToGrid w:val="0"/>
        <w:spacing w:line="288" w:lineRule="auto"/>
        <w:ind w:firstLine="422" w:firstLineChars="201"/>
        <w:rPr>
          <w:rFonts w:cs="宋体"/>
          <w:color w:val="auto"/>
          <w:sz w:val="21"/>
          <w:szCs w:val="21"/>
          <w:highlight w:val="none"/>
        </w:rPr>
      </w:pPr>
      <w:r>
        <w:rPr>
          <w:rFonts w:hint="eastAsia" w:cs="宋体"/>
          <w:color w:val="auto"/>
          <w:sz w:val="21"/>
          <w:szCs w:val="21"/>
          <w:highlight w:val="none"/>
        </w:rPr>
        <w:t>有招标文件第四部分</w:t>
      </w:r>
      <w:r>
        <w:rPr>
          <w:rFonts w:cs="宋体"/>
          <w:color w:val="auto"/>
          <w:sz w:val="21"/>
          <w:szCs w:val="21"/>
          <w:highlight w:val="none"/>
        </w:rPr>
        <w:t>4.2规定</w:t>
      </w:r>
      <w:r>
        <w:rPr>
          <w:rFonts w:hint="eastAsia" w:cs="宋体"/>
          <w:color w:val="auto"/>
          <w:sz w:val="21"/>
          <w:szCs w:val="21"/>
          <w:highlight w:val="none"/>
        </w:rPr>
        <w:t>的情形之一的，投标无效：</w:t>
      </w:r>
    </w:p>
    <w:p>
      <w:pPr>
        <w:pStyle w:val="134"/>
        <w:snapToGrid w:val="0"/>
        <w:spacing w:before="0" w:line="288" w:lineRule="auto"/>
        <w:ind w:firstLine="424" w:firstLineChars="201"/>
        <w:rPr>
          <w:rFonts w:ascii="宋体" w:hAnsi="宋体" w:cs="宋体"/>
          <w:b/>
          <w:color w:val="auto"/>
          <w:sz w:val="21"/>
          <w:szCs w:val="21"/>
          <w:highlight w:val="none"/>
        </w:rPr>
      </w:pPr>
      <w:r>
        <w:rPr>
          <w:rFonts w:hint="eastAsia" w:ascii="宋体" w:hAnsi="宋体" w:cs="宋体"/>
          <w:b/>
          <w:color w:val="auto"/>
          <w:sz w:val="21"/>
          <w:szCs w:val="21"/>
          <w:highlight w:val="none"/>
        </w:rPr>
        <w:t>17.投标有效期</w:t>
      </w:r>
    </w:p>
    <w:p>
      <w:pPr>
        <w:snapToGrid w:val="0"/>
        <w:spacing w:line="288" w:lineRule="auto"/>
        <w:ind w:firstLine="422" w:firstLineChars="201"/>
        <w:rPr>
          <w:rFonts w:ascii="宋体" w:hAnsi="宋体" w:cs="宋体"/>
          <w:b/>
          <w:color w:val="auto"/>
          <w:szCs w:val="21"/>
          <w:highlight w:val="none"/>
        </w:rPr>
      </w:pPr>
      <w:r>
        <w:rPr>
          <w:rFonts w:hint="eastAsia" w:ascii="宋体" w:hAnsi="宋体" w:cs="宋体"/>
          <w:color w:val="auto"/>
          <w:szCs w:val="21"/>
          <w:highlight w:val="none"/>
        </w:rPr>
        <w:t>17.1投标有效期为从提交投标文件的截止之日起90天。▲</w:t>
      </w:r>
      <w:r>
        <w:rPr>
          <w:rFonts w:hint="eastAsia" w:ascii="宋体" w:hAnsi="宋体" w:cs="宋体"/>
          <w:b/>
          <w:color w:val="auto"/>
          <w:szCs w:val="21"/>
          <w:highlight w:val="none"/>
        </w:rPr>
        <w:t>投标人的投标文件中承诺的投标有效期少于招标文件中载明的投标有效期的，投标无效。</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17.2投标文件合格投递后，自投标截止日期起，在投标有效期内有效。</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4"/>
        <w:snapToGrid w:val="0"/>
        <w:spacing w:before="0" w:line="288" w:lineRule="auto"/>
        <w:ind w:firstLine="424" w:firstLineChars="201"/>
        <w:rPr>
          <w:rFonts w:ascii="宋体" w:hAnsi="宋体" w:cs="宋体"/>
          <w:b/>
          <w:color w:val="auto"/>
          <w:sz w:val="21"/>
          <w:szCs w:val="21"/>
          <w:highlight w:val="none"/>
        </w:rPr>
      </w:pPr>
    </w:p>
    <w:p>
      <w:pPr>
        <w:pStyle w:val="134"/>
        <w:snapToGrid w:val="0"/>
        <w:spacing w:before="0" w:line="288" w:lineRule="auto"/>
        <w:ind w:firstLine="424" w:firstLineChars="201"/>
        <w:jc w:val="center"/>
        <w:outlineLvl w:val="1"/>
        <w:rPr>
          <w:rFonts w:ascii="宋体" w:hAnsi="宋体" w:cs="宋体"/>
          <w:b/>
          <w:color w:val="auto"/>
          <w:sz w:val="21"/>
          <w:szCs w:val="21"/>
          <w:highlight w:val="none"/>
        </w:rPr>
      </w:pPr>
      <w:r>
        <w:rPr>
          <w:rFonts w:hint="eastAsia" w:ascii="宋体" w:hAnsi="宋体" w:cs="宋体"/>
          <w:b/>
          <w:color w:val="auto"/>
          <w:sz w:val="21"/>
          <w:szCs w:val="21"/>
          <w:highlight w:val="none"/>
        </w:rPr>
        <w:t>四、开标、资格审查与信用信息查询</w:t>
      </w:r>
    </w:p>
    <w:p>
      <w:pPr>
        <w:pStyle w:val="557"/>
        <w:snapToGrid w:val="0"/>
        <w:spacing w:before="0" w:line="288" w:lineRule="auto"/>
        <w:ind w:left="0" w:firstLine="424" w:firstLineChars="201"/>
        <w:rPr>
          <w:rFonts w:ascii="宋体" w:hAnsi="宋体" w:cs="宋体"/>
          <w:color w:val="auto"/>
          <w:sz w:val="21"/>
          <w:szCs w:val="21"/>
          <w:highlight w:val="none"/>
        </w:rPr>
      </w:pPr>
      <w:r>
        <w:rPr>
          <w:rFonts w:hint="eastAsia" w:ascii="宋体" w:hAnsi="宋体" w:cs="宋体"/>
          <w:b/>
          <w:color w:val="auto"/>
          <w:sz w:val="21"/>
          <w:szCs w:val="21"/>
          <w:highlight w:val="none"/>
        </w:rPr>
        <w:t>18.开标</w:t>
      </w:r>
      <w:r>
        <w:rPr>
          <w:rFonts w:hint="eastAsia" w:ascii="宋体" w:hAnsi="宋体" w:cs="宋体"/>
          <w:color w:val="auto"/>
          <w:sz w:val="21"/>
          <w:szCs w:val="21"/>
          <w:highlight w:val="none"/>
        </w:rPr>
        <w:t xml:space="preserve"> </w:t>
      </w:r>
    </w:p>
    <w:p>
      <w:pPr>
        <w:pStyle w:val="557"/>
        <w:snapToGrid w:val="0"/>
        <w:spacing w:before="0" w:line="288" w:lineRule="auto"/>
        <w:ind w:left="0"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18.1采购代理机构按照招标文件规定的时间通过电子交易平台组织开标，所有投标人均应当准时在线参加。投标人不足3家的，不得开标。</w:t>
      </w:r>
    </w:p>
    <w:p>
      <w:pPr>
        <w:pStyle w:val="557"/>
        <w:snapToGrid w:val="0"/>
        <w:spacing w:before="0" w:line="288" w:lineRule="auto"/>
        <w:ind w:left="0"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18.2开标时，电子交易平台按开标时间自动提取所有投标文件。采购代理机构依托电子交易平台发起开始解密指令，投标人按照平台提示和招标文件的规定在半小时内完成在线解密。</w:t>
      </w:r>
    </w:p>
    <w:p>
      <w:pPr>
        <w:pStyle w:val="557"/>
        <w:snapToGrid w:val="0"/>
        <w:spacing w:before="0" w:line="288" w:lineRule="auto"/>
        <w:ind w:left="0" w:firstLine="422" w:firstLineChars="201"/>
        <w:rPr>
          <w:rFonts w:ascii="宋体" w:hAnsi="宋体" w:cs="宋体"/>
          <w:b/>
          <w:color w:val="auto"/>
          <w:sz w:val="21"/>
          <w:szCs w:val="21"/>
          <w:highlight w:val="none"/>
        </w:rPr>
      </w:pPr>
      <w:r>
        <w:rPr>
          <w:rFonts w:hint="eastAsia" w:ascii="宋体" w:hAnsi="宋体" w:cs="宋体"/>
          <w:color w:val="auto"/>
          <w:sz w:val="21"/>
          <w:szCs w:val="21"/>
          <w:highlight w:val="none"/>
        </w:rPr>
        <w:t>18.3</w:t>
      </w:r>
      <w:r>
        <w:rPr>
          <w:rFonts w:hint="eastAsia" w:ascii="宋体" w:hAnsi="宋体" w:cs="宋体"/>
          <w:b/>
          <w:color w:val="auto"/>
          <w:sz w:val="21"/>
          <w:szCs w:val="21"/>
          <w:highlight w:val="none"/>
        </w:rPr>
        <w:t>投标文件未按时解密，投标人提供了备份投标文件的，以备份投标文件作为依据，否则视为投标文件撤回。投标文件已按时解密的，备份投标文件自动失效。</w:t>
      </w:r>
    </w:p>
    <w:p>
      <w:pPr>
        <w:snapToGrid w:val="0"/>
        <w:spacing w:line="288" w:lineRule="auto"/>
        <w:ind w:firstLine="424" w:firstLineChars="201"/>
        <w:jc w:val="left"/>
        <w:rPr>
          <w:rFonts w:ascii="宋体" w:hAnsi="宋体" w:cs="宋体"/>
          <w:b/>
          <w:color w:val="auto"/>
          <w:szCs w:val="21"/>
          <w:highlight w:val="none"/>
        </w:rPr>
      </w:pPr>
      <w:r>
        <w:rPr>
          <w:rFonts w:hint="eastAsia" w:ascii="宋体" w:hAnsi="宋体" w:cs="宋体"/>
          <w:b/>
          <w:color w:val="auto"/>
          <w:szCs w:val="21"/>
          <w:highlight w:val="none"/>
        </w:rPr>
        <w:t>19、资格审查</w:t>
      </w:r>
    </w:p>
    <w:p>
      <w:pPr>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kern w:val="0"/>
          <w:szCs w:val="21"/>
          <w:highlight w:val="none"/>
        </w:rPr>
        <w:t>19.1</w:t>
      </w:r>
      <w:r>
        <w:rPr>
          <w:rFonts w:hint="eastAsia" w:ascii="宋体" w:hAnsi="宋体" w:cs="宋体"/>
          <w:color w:val="auto"/>
          <w:szCs w:val="21"/>
          <w:highlight w:val="none"/>
        </w:rPr>
        <w:t>采购人或采购代理机构依据法律法规和招标文件的规定，对投标人的资格进行审查。</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kern w:val="0"/>
          <w:sz w:val="21"/>
          <w:szCs w:val="21"/>
          <w:highlight w:val="none"/>
        </w:rPr>
        <w:t>19.2投标人未按照招标文件要求提供与</w:t>
      </w:r>
      <w:r>
        <w:rPr>
          <w:rFonts w:hint="eastAsia" w:ascii="宋体" w:hAnsi="宋体" w:cs="宋体"/>
          <w:color w:val="auto"/>
          <w:sz w:val="21"/>
          <w:szCs w:val="21"/>
          <w:highlight w:val="none"/>
        </w:rPr>
        <w:t>资格条件相应的</w:t>
      </w:r>
      <w:r>
        <w:rPr>
          <w:rFonts w:hint="eastAsia" w:ascii="宋体" w:hAnsi="宋体" w:cs="宋体"/>
          <w:color w:val="auto"/>
          <w:kern w:val="0"/>
          <w:sz w:val="21"/>
          <w:szCs w:val="21"/>
          <w:highlight w:val="none"/>
        </w:rPr>
        <w:t>有效资格证明材料的，视为</w:t>
      </w:r>
      <w:r>
        <w:rPr>
          <w:rFonts w:hint="eastAsia" w:ascii="宋体" w:hAnsi="宋体" w:cs="宋体"/>
          <w:color w:val="auto"/>
          <w:sz w:val="21"/>
          <w:szCs w:val="21"/>
          <w:highlight w:val="none"/>
        </w:rPr>
        <w:t>投标人不具备招标文件中规定的资格要求，其投标无效。</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21"/>
          <w:highlight w:val="none"/>
        </w:rPr>
        <w:t>3对未通过资格审查的投标人，采购人或采购代理机构告知其未通过的原因。</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21"/>
          <w:highlight w:val="none"/>
        </w:rPr>
        <w:t>4合格投标人不足3家的，不再评标。</w:t>
      </w:r>
    </w:p>
    <w:p>
      <w:pPr>
        <w:pStyle w:val="134"/>
        <w:snapToGrid w:val="0"/>
        <w:spacing w:before="0" w:line="288" w:lineRule="auto"/>
        <w:ind w:firstLine="424" w:firstLineChars="201"/>
        <w:rPr>
          <w:rFonts w:ascii="宋体" w:hAnsi="宋体" w:cs="宋体"/>
          <w:b/>
          <w:color w:val="auto"/>
          <w:sz w:val="21"/>
          <w:szCs w:val="21"/>
          <w:highlight w:val="none"/>
        </w:rPr>
      </w:pPr>
      <w:r>
        <w:rPr>
          <w:rFonts w:hint="eastAsia" w:ascii="宋体" w:hAnsi="宋体" w:cs="宋体"/>
          <w:b/>
          <w:color w:val="auto"/>
          <w:sz w:val="21"/>
          <w:szCs w:val="21"/>
          <w:highlight w:val="none"/>
        </w:rPr>
        <w:t>20、信用信息查询</w:t>
      </w:r>
    </w:p>
    <w:p>
      <w:pPr>
        <w:pStyle w:val="134"/>
        <w:snapToGrid w:val="0"/>
        <w:spacing w:before="0" w:line="288" w:lineRule="auto"/>
        <w:ind w:firstLine="422" w:firstLineChars="201"/>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20.1信用信息查询渠道及截止时间：采购代理机构将在资格审查时通过“信用中国”网站(www.creditchina.gov.cn)、中国政府采购网(www.ccgp.gov.cn)渠道查询投标人接受资格审查时的信用记录。</w:t>
      </w:r>
    </w:p>
    <w:p>
      <w:pPr>
        <w:pStyle w:val="134"/>
        <w:snapToGrid w:val="0"/>
        <w:spacing w:before="0" w:line="288" w:lineRule="auto"/>
        <w:ind w:firstLine="422" w:firstLineChars="201"/>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20.2信用信息查询记录和证据留存的具体方式：现场查询的投标人的信用记录、查询结果经确认后将与采购文件一起存档。</w:t>
      </w:r>
    </w:p>
    <w:p>
      <w:pPr>
        <w:pStyle w:val="134"/>
        <w:snapToGrid w:val="0"/>
        <w:spacing w:before="0" w:line="288" w:lineRule="auto"/>
        <w:ind w:firstLine="422" w:firstLineChars="201"/>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20.3信用信息的使用规则：经查询列入失信被执行人名单、重大税收违法案件当事人名单、政府采购严重违法失信行为记录名单的投标人将被拒绝参与政府采购活动。</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kern w:val="0"/>
          <w:sz w:val="21"/>
          <w:szCs w:val="21"/>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sz w:val="21"/>
          <w:szCs w:val="21"/>
          <w:highlight w:val="none"/>
        </w:rPr>
        <w:t>。</w:t>
      </w:r>
    </w:p>
    <w:p>
      <w:pPr>
        <w:pStyle w:val="134"/>
        <w:snapToGrid w:val="0"/>
        <w:spacing w:before="0" w:line="288" w:lineRule="auto"/>
        <w:ind w:firstLine="422" w:firstLineChars="201"/>
        <w:rPr>
          <w:rFonts w:ascii="宋体" w:hAnsi="宋体" w:cs="宋体"/>
          <w:color w:val="auto"/>
          <w:kern w:val="0"/>
          <w:sz w:val="21"/>
          <w:szCs w:val="21"/>
          <w:highlight w:val="none"/>
        </w:rPr>
      </w:pPr>
    </w:p>
    <w:p>
      <w:pPr>
        <w:snapToGrid w:val="0"/>
        <w:spacing w:line="288" w:lineRule="auto"/>
        <w:ind w:firstLine="424" w:firstLineChars="201"/>
        <w:jc w:val="center"/>
        <w:outlineLvl w:val="1"/>
        <w:rPr>
          <w:rFonts w:ascii="宋体" w:hAnsi="宋体" w:cs="宋体"/>
          <w:b/>
          <w:color w:val="auto"/>
          <w:szCs w:val="21"/>
          <w:highlight w:val="none"/>
        </w:rPr>
      </w:pPr>
      <w:r>
        <w:rPr>
          <w:rFonts w:hint="eastAsia" w:ascii="宋体" w:hAnsi="宋体" w:cs="宋体"/>
          <w:b/>
          <w:color w:val="auto"/>
          <w:szCs w:val="21"/>
          <w:highlight w:val="none"/>
        </w:rPr>
        <w:t>五、评标</w:t>
      </w:r>
    </w:p>
    <w:p>
      <w:pPr>
        <w:snapToGrid w:val="0"/>
        <w:spacing w:line="288" w:lineRule="auto"/>
        <w:ind w:firstLine="424" w:firstLineChars="201"/>
        <w:rPr>
          <w:rFonts w:ascii="宋体" w:hAnsi="宋体" w:cs="宋体"/>
          <w:b/>
          <w:color w:val="auto"/>
          <w:szCs w:val="21"/>
          <w:highlight w:val="none"/>
        </w:rPr>
      </w:pPr>
      <w:bookmarkStart w:id="16" w:name="_Toc91899903"/>
      <w:r>
        <w:rPr>
          <w:rFonts w:hint="eastAsia" w:ascii="宋体" w:hAnsi="宋体" w:cs="宋体"/>
          <w:b/>
          <w:color w:val="auto"/>
          <w:szCs w:val="21"/>
          <w:highlight w:val="none"/>
        </w:rPr>
        <w:t>21.</w:t>
      </w:r>
      <w:r>
        <w:rPr>
          <w:rFonts w:hint="eastAsia" w:ascii="宋体" w:hAnsi="宋体" w:cs="宋体"/>
          <w:color w:val="auto"/>
          <w:szCs w:val="21"/>
          <w:highlight w:val="none"/>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Cs w:val="21"/>
          <w:highlight w:val="none"/>
        </w:rPr>
        <w:t>详见招标文件第四部分评标办法。</w:t>
      </w:r>
    </w:p>
    <w:p>
      <w:pPr>
        <w:snapToGrid w:val="0"/>
        <w:spacing w:line="288" w:lineRule="auto"/>
        <w:ind w:firstLine="424" w:firstLineChars="201"/>
        <w:rPr>
          <w:rFonts w:ascii="宋体" w:hAnsi="宋体" w:cs="宋体"/>
          <w:b/>
          <w:color w:val="auto"/>
          <w:szCs w:val="21"/>
          <w:highlight w:val="none"/>
        </w:rPr>
      </w:pPr>
    </w:p>
    <w:p>
      <w:pPr>
        <w:snapToGrid w:val="0"/>
        <w:spacing w:line="288" w:lineRule="auto"/>
        <w:ind w:firstLine="424" w:firstLineChars="201"/>
        <w:jc w:val="center"/>
        <w:outlineLvl w:val="1"/>
        <w:rPr>
          <w:rFonts w:ascii="宋体" w:hAnsi="宋体" w:cs="宋体"/>
          <w:b/>
          <w:color w:val="auto"/>
          <w:szCs w:val="21"/>
          <w:highlight w:val="none"/>
        </w:rPr>
      </w:pPr>
      <w:r>
        <w:rPr>
          <w:rFonts w:hint="eastAsia" w:ascii="宋体" w:hAnsi="宋体" w:cs="宋体"/>
          <w:b/>
          <w:color w:val="auto"/>
          <w:szCs w:val="21"/>
          <w:highlight w:val="none"/>
        </w:rPr>
        <w:t>六、定标</w:t>
      </w:r>
    </w:p>
    <w:p>
      <w:pPr>
        <w:pStyle w:val="25"/>
        <w:snapToGrid w:val="0"/>
        <w:spacing w:line="288" w:lineRule="auto"/>
        <w:ind w:firstLine="424" w:firstLineChars="201"/>
        <w:rPr>
          <w:rFonts w:cs="宋体"/>
          <w:b/>
          <w:color w:val="auto"/>
          <w:sz w:val="21"/>
          <w:szCs w:val="21"/>
          <w:highlight w:val="none"/>
        </w:rPr>
      </w:pPr>
      <w:r>
        <w:rPr>
          <w:rFonts w:hint="eastAsia" w:cs="宋体"/>
          <w:b/>
          <w:color w:val="auto"/>
          <w:sz w:val="21"/>
          <w:szCs w:val="21"/>
          <w:highlight w:val="none"/>
        </w:rPr>
        <w:t>22. 确定中标供应商</w:t>
      </w:r>
    </w:p>
    <w:p>
      <w:pPr>
        <w:pStyle w:val="134"/>
        <w:snapToGrid w:val="0"/>
        <w:spacing w:before="0" w:line="288" w:lineRule="auto"/>
        <w:ind w:firstLine="422" w:firstLineChars="201"/>
        <w:rPr>
          <w:rFonts w:ascii="宋体" w:hAnsi="宋体" w:cs="宋体"/>
          <w:b/>
          <w:color w:val="auto"/>
          <w:sz w:val="21"/>
          <w:szCs w:val="21"/>
          <w:highlight w:val="none"/>
        </w:rPr>
      </w:pPr>
      <w:r>
        <w:rPr>
          <w:rFonts w:hint="eastAsia" w:ascii="宋体" w:hAnsi="宋体" w:cs="宋体"/>
          <w:color w:val="auto"/>
          <w:sz w:val="21"/>
          <w:szCs w:val="21"/>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4"/>
        <w:snapToGrid w:val="0"/>
        <w:spacing w:before="0" w:line="288" w:lineRule="auto"/>
        <w:ind w:firstLine="424" w:firstLineChars="201"/>
        <w:rPr>
          <w:rFonts w:ascii="宋体" w:hAnsi="宋体" w:cs="宋体"/>
          <w:b/>
          <w:color w:val="auto"/>
          <w:sz w:val="21"/>
          <w:szCs w:val="21"/>
          <w:highlight w:val="none"/>
        </w:rPr>
      </w:pPr>
      <w:r>
        <w:rPr>
          <w:rFonts w:hint="eastAsia" w:ascii="宋体" w:hAnsi="宋体" w:cs="宋体"/>
          <w:b/>
          <w:color w:val="auto"/>
          <w:sz w:val="21"/>
          <w:szCs w:val="21"/>
          <w:highlight w:val="none"/>
        </w:rPr>
        <w:t>23. 中标通知与中标结果公告</w:t>
      </w:r>
    </w:p>
    <w:p>
      <w:pPr>
        <w:shd w:val="clear" w:color="auto" w:fill="FFFFFF"/>
        <w:snapToGrid w:val="0"/>
        <w:spacing w:line="288" w:lineRule="auto"/>
        <w:ind w:firstLine="422" w:firstLineChars="201"/>
        <w:jc w:val="left"/>
        <w:rPr>
          <w:rFonts w:ascii="宋体" w:hAnsi="宋体" w:cs="宋体"/>
          <w:color w:val="auto"/>
          <w:szCs w:val="21"/>
          <w:highlight w:val="none"/>
        </w:rPr>
      </w:pPr>
      <w:r>
        <w:rPr>
          <w:rFonts w:hint="eastAsia" w:ascii="宋体" w:hAnsi="宋体" w:cs="宋体"/>
          <w:color w:val="auto"/>
          <w:szCs w:val="21"/>
          <w:highlight w:val="none"/>
        </w:rPr>
        <w:t>23.1自中标人确定之日起2个工作日内，采购代理机构通过电子交易平台向中标人发出中标通知书，同时编制发布采购结果公告。采购代理机构也可以以纸质形式进行中标通知。</w:t>
      </w:r>
    </w:p>
    <w:p>
      <w:pPr>
        <w:shd w:val="clear" w:color="auto" w:fill="FFFFFF"/>
        <w:snapToGrid w:val="0"/>
        <w:spacing w:line="288" w:lineRule="auto"/>
        <w:ind w:firstLine="422" w:firstLineChars="201"/>
        <w:jc w:val="left"/>
        <w:rPr>
          <w:rFonts w:ascii="宋体" w:hAnsi="宋体" w:cs="宋体"/>
          <w:color w:val="auto"/>
          <w:szCs w:val="21"/>
          <w:highlight w:val="none"/>
        </w:rPr>
      </w:pPr>
      <w:r>
        <w:rPr>
          <w:rFonts w:hint="eastAsia" w:ascii="宋体" w:hAnsi="宋体" w:cs="宋体"/>
          <w:color w:val="auto"/>
          <w:szCs w:val="21"/>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shd w:val="clear" w:color="auto" w:fill="FFFFFF"/>
        <w:snapToGrid w:val="0"/>
        <w:spacing w:line="288" w:lineRule="auto"/>
        <w:ind w:firstLine="422" w:firstLineChars="201"/>
        <w:jc w:val="left"/>
        <w:rPr>
          <w:rFonts w:ascii="宋体" w:hAnsi="宋体" w:cs="宋体"/>
          <w:color w:val="auto"/>
          <w:szCs w:val="21"/>
          <w:highlight w:val="none"/>
        </w:rPr>
      </w:pPr>
      <w:r>
        <w:rPr>
          <w:rFonts w:hint="eastAsia" w:ascii="宋体" w:hAnsi="宋体" w:cs="宋体"/>
          <w:color w:val="auto"/>
          <w:szCs w:val="21"/>
          <w:highlight w:val="none"/>
        </w:rPr>
        <w:t>23.3公告期限为1个工作日。</w:t>
      </w:r>
    </w:p>
    <w:p>
      <w:pPr>
        <w:snapToGrid w:val="0"/>
        <w:spacing w:line="288" w:lineRule="auto"/>
        <w:ind w:firstLine="424" w:firstLineChars="201"/>
        <w:rPr>
          <w:rFonts w:ascii="宋体" w:hAnsi="宋体" w:cs="宋体"/>
          <w:b/>
          <w:color w:val="auto"/>
          <w:szCs w:val="21"/>
          <w:highlight w:val="none"/>
        </w:rPr>
      </w:pPr>
    </w:p>
    <w:p>
      <w:pPr>
        <w:snapToGrid w:val="0"/>
        <w:spacing w:line="288" w:lineRule="auto"/>
        <w:ind w:firstLine="424" w:firstLineChars="201"/>
        <w:jc w:val="center"/>
        <w:outlineLvl w:val="1"/>
        <w:rPr>
          <w:rFonts w:ascii="宋体" w:hAnsi="宋体" w:cs="宋体"/>
          <w:b/>
          <w:color w:val="auto"/>
          <w:szCs w:val="21"/>
          <w:highlight w:val="none"/>
        </w:rPr>
      </w:pPr>
      <w:r>
        <w:rPr>
          <w:rFonts w:hint="eastAsia" w:ascii="宋体" w:hAnsi="宋体" w:cs="宋体"/>
          <w:b/>
          <w:color w:val="auto"/>
          <w:szCs w:val="21"/>
          <w:highlight w:val="none"/>
        </w:rPr>
        <w:t>七、合同授予</w:t>
      </w:r>
    </w:p>
    <w:p>
      <w:pPr>
        <w:pStyle w:val="25"/>
        <w:snapToGrid w:val="0"/>
        <w:spacing w:line="288" w:lineRule="auto"/>
        <w:ind w:firstLine="424" w:firstLineChars="201"/>
        <w:rPr>
          <w:rFonts w:cs="宋体"/>
          <w:b/>
          <w:color w:val="auto"/>
          <w:sz w:val="21"/>
          <w:szCs w:val="21"/>
          <w:highlight w:val="none"/>
        </w:rPr>
      </w:pPr>
      <w:r>
        <w:rPr>
          <w:rFonts w:hint="eastAsia" w:cs="宋体"/>
          <w:b/>
          <w:color w:val="auto"/>
          <w:sz w:val="21"/>
          <w:szCs w:val="21"/>
          <w:highlight w:val="none"/>
        </w:rPr>
        <w:t xml:space="preserve">24. </w:t>
      </w:r>
      <w:r>
        <w:rPr>
          <w:rFonts w:hint="eastAsia" w:cs="宋体"/>
          <w:color w:val="auto"/>
          <w:sz w:val="21"/>
          <w:szCs w:val="21"/>
          <w:highlight w:val="none"/>
        </w:rPr>
        <w:t>合同主要条款详见第五部分拟签订的合同文本。</w:t>
      </w:r>
    </w:p>
    <w:p>
      <w:pPr>
        <w:pStyle w:val="25"/>
        <w:snapToGrid w:val="0"/>
        <w:spacing w:line="288" w:lineRule="auto"/>
        <w:ind w:firstLine="424" w:firstLineChars="201"/>
        <w:rPr>
          <w:rFonts w:cs="宋体"/>
          <w:b/>
          <w:color w:val="auto"/>
          <w:sz w:val="21"/>
          <w:szCs w:val="21"/>
          <w:highlight w:val="none"/>
        </w:rPr>
      </w:pPr>
      <w:r>
        <w:rPr>
          <w:rFonts w:hint="eastAsia" w:cs="宋体"/>
          <w:b/>
          <w:color w:val="auto"/>
          <w:sz w:val="21"/>
          <w:szCs w:val="21"/>
          <w:highlight w:val="none"/>
        </w:rPr>
        <w:t>25. 合同的签订</w:t>
      </w:r>
    </w:p>
    <w:p>
      <w:pPr>
        <w:shd w:val="clear" w:color="auto" w:fill="FFFFFF"/>
        <w:snapToGrid w:val="0"/>
        <w:spacing w:line="288" w:lineRule="auto"/>
        <w:ind w:firstLine="422" w:firstLineChars="201"/>
        <w:jc w:val="left"/>
        <w:rPr>
          <w:rFonts w:ascii="宋体" w:hAnsi="宋体" w:cs="宋体"/>
          <w:color w:val="auto"/>
          <w:kern w:val="0"/>
          <w:szCs w:val="21"/>
          <w:highlight w:val="none"/>
        </w:rPr>
      </w:pPr>
      <w:r>
        <w:rPr>
          <w:rFonts w:hint="eastAsia" w:ascii="宋体" w:hAnsi="宋体" w:cs="宋体"/>
          <w:color w:val="auto"/>
          <w:szCs w:val="21"/>
          <w:highlight w:val="none"/>
        </w:rPr>
        <w:t>25.1</w:t>
      </w:r>
      <w:r>
        <w:rPr>
          <w:rFonts w:hint="eastAsia" w:ascii="宋体" w:hAnsi="宋体" w:cs="宋体"/>
          <w:color w:val="auto"/>
          <w:kern w:val="0"/>
          <w:szCs w:val="21"/>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4"/>
        <w:snapToGrid w:val="0"/>
        <w:spacing w:before="0" w:line="288" w:lineRule="auto"/>
        <w:ind w:firstLine="422" w:firstLineChars="201"/>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25.3如签订合同并生效后，供应商无故拒绝或延期，除按照合同条款处理外，列入不良行为记录一次，并给予通报。</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25.4中标供应商拒绝与采购人签订合同的，采购人可以按照评审报告推荐的中标或者成交候选人名单排序，确定下一候选人为中标供应商，也可以重新开展政府采购活动。</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25.5采购合同由采购人与中标供应商根据招标文件、投标文件等内容通过政府采购电子交易平台在线签订，自动备案。</w:t>
      </w:r>
    </w:p>
    <w:p>
      <w:pPr>
        <w:pStyle w:val="25"/>
        <w:snapToGrid w:val="0"/>
        <w:spacing w:line="288" w:lineRule="auto"/>
        <w:ind w:firstLine="424" w:firstLineChars="201"/>
        <w:rPr>
          <w:rFonts w:cs="宋体"/>
          <w:b/>
          <w:color w:val="auto"/>
          <w:sz w:val="21"/>
          <w:szCs w:val="21"/>
          <w:highlight w:val="none"/>
        </w:rPr>
      </w:pPr>
      <w:r>
        <w:rPr>
          <w:rFonts w:hint="eastAsia" w:cs="宋体"/>
          <w:b/>
          <w:color w:val="auto"/>
          <w:sz w:val="21"/>
          <w:szCs w:val="21"/>
          <w:highlight w:val="none"/>
        </w:rPr>
        <w:t>26.履约保证金</w:t>
      </w:r>
    </w:p>
    <w:p>
      <w:pPr>
        <w:tabs>
          <w:tab w:val="left" w:pos="0"/>
        </w:tabs>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kern w:val="0"/>
          <w:szCs w:val="21"/>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Cs w:val="21"/>
          <w:highlight w:val="none"/>
        </w:rPr>
        <w:t>。履约保证金的数额不得超过政府采购合同金额的</w:t>
      </w:r>
      <w:r>
        <w:rPr>
          <w:rFonts w:ascii="宋体" w:hAnsi="宋体" w:cs="宋体"/>
          <w:color w:val="auto"/>
          <w:szCs w:val="21"/>
          <w:highlight w:val="none"/>
        </w:rPr>
        <w:t>1</w:t>
      </w:r>
      <w:r>
        <w:rPr>
          <w:rFonts w:hint="eastAsia" w:ascii="宋体" w:hAnsi="宋体" w:cs="宋体"/>
          <w:color w:val="auto"/>
          <w:szCs w:val="21"/>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Cs w:val="21"/>
          <w:highlight w:val="none"/>
        </w:rPr>
        <w:t>延迟退还的，应当按照合同约定和法律规定承担相应的赔偿责任</w:t>
      </w:r>
      <w:r>
        <w:rPr>
          <w:rFonts w:hint="eastAsia" w:ascii="宋体" w:hAnsi="宋体" w:cs="宋体"/>
          <w:color w:val="auto"/>
          <w:szCs w:val="21"/>
          <w:highlight w:val="none"/>
        </w:rPr>
        <w:t>。</w:t>
      </w:r>
    </w:p>
    <w:p>
      <w:pPr>
        <w:tabs>
          <w:tab w:val="left" w:pos="0"/>
        </w:tabs>
        <w:snapToGrid w:val="0"/>
        <w:spacing w:line="288" w:lineRule="auto"/>
        <w:ind w:firstLine="422" w:firstLineChars="201"/>
        <w:rPr>
          <w:rFonts w:ascii="宋体" w:hAnsi="宋体" w:cs="宋体"/>
          <w:color w:val="auto"/>
          <w:kern w:val="0"/>
          <w:szCs w:val="21"/>
          <w:highlight w:val="none"/>
        </w:rPr>
      </w:pPr>
      <w:r>
        <w:rPr>
          <w:rFonts w:hint="eastAsia" w:ascii="宋体" w:hAnsi="宋体" w:cs="宋体"/>
          <w:color w:val="auto"/>
          <w:kern w:val="0"/>
          <w:szCs w:val="21"/>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5"/>
        <w:snapToGrid w:val="0"/>
        <w:spacing w:line="288" w:lineRule="auto"/>
        <w:ind w:firstLine="424" w:firstLineChars="201"/>
        <w:rPr>
          <w:rFonts w:cs="宋体"/>
          <w:b/>
          <w:color w:val="auto"/>
          <w:sz w:val="21"/>
          <w:szCs w:val="21"/>
          <w:highlight w:val="none"/>
        </w:rPr>
      </w:pPr>
      <w:r>
        <w:rPr>
          <w:rFonts w:cs="宋体"/>
          <w:b/>
          <w:color w:val="auto"/>
          <w:sz w:val="21"/>
          <w:szCs w:val="21"/>
          <w:highlight w:val="none"/>
        </w:rPr>
        <w:t>27.预付款</w:t>
      </w:r>
    </w:p>
    <w:p>
      <w:pPr>
        <w:snapToGrid w:val="0"/>
        <w:spacing w:line="288" w:lineRule="auto"/>
        <w:ind w:firstLine="422" w:firstLineChars="201"/>
        <w:rPr>
          <w:rFonts w:ascii="宋体" w:hAnsi="宋体"/>
          <w:color w:val="auto"/>
          <w:szCs w:val="21"/>
          <w:highlight w:val="none"/>
        </w:rPr>
      </w:pPr>
      <w:r>
        <w:rPr>
          <w:rFonts w:hint="eastAsia" w:ascii="宋体" w:hAnsi="宋体"/>
          <w:color w:val="auto"/>
          <w:szCs w:val="21"/>
          <w:highlight w:val="none"/>
        </w:rPr>
        <w:t>采购单位应当在政府采购合同中约定预付款，对中小企业合同预付款比例原则上不低于合同金额的</w:t>
      </w:r>
      <w:r>
        <w:rPr>
          <w:rFonts w:ascii="宋体" w:hAnsi="宋体"/>
          <w:color w:val="auto"/>
          <w:szCs w:val="21"/>
          <w:highlight w:val="none"/>
        </w:rPr>
        <w:t>40％</w:t>
      </w:r>
      <w:r>
        <w:rPr>
          <w:rFonts w:hint="eastAsia" w:ascii="宋体" w:hAnsi="宋体"/>
          <w:color w:val="auto"/>
          <w:szCs w:val="21"/>
          <w:highlight w:val="none"/>
        </w:rPr>
        <w:t>，不高于合同金额的</w:t>
      </w:r>
      <w:r>
        <w:rPr>
          <w:rFonts w:ascii="宋体" w:hAnsi="宋体"/>
          <w:color w:val="auto"/>
          <w:szCs w:val="21"/>
          <w:highlight w:val="none"/>
        </w:rPr>
        <w:t>70%；项目分年安排预算的，每年预付款比例</w:t>
      </w:r>
      <w:r>
        <w:rPr>
          <w:rFonts w:hint="eastAsia" w:ascii="宋体" w:hAnsi="宋体"/>
          <w:color w:val="auto"/>
          <w:szCs w:val="21"/>
          <w:highlight w:val="none"/>
        </w:rPr>
        <w:t>不低于</w:t>
      </w:r>
      <w:r>
        <w:rPr>
          <w:rFonts w:ascii="宋体" w:hAnsi="宋体"/>
          <w:color w:val="auto"/>
          <w:szCs w:val="21"/>
          <w:highlight w:val="none"/>
        </w:rPr>
        <w:t>项目年度计划支付资金额的40％</w:t>
      </w:r>
      <w:r>
        <w:rPr>
          <w:rFonts w:hint="eastAsia" w:ascii="宋体" w:hAnsi="宋体"/>
          <w:color w:val="auto"/>
          <w:szCs w:val="21"/>
          <w:highlight w:val="none"/>
        </w:rPr>
        <w:t>，不高于合同金额的</w:t>
      </w:r>
      <w:r>
        <w:rPr>
          <w:rFonts w:ascii="宋体" w:hAnsi="宋体"/>
          <w:color w:val="auto"/>
          <w:szCs w:val="21"/>
          <w:highlight w:val="none"/>
        </w:rPr>
        <w:t>70%；采购项目实施以人工投入为主的，</w:t>
      </w:r>
      <w:r>
        <w:rPr>
          <w:rFonts w:hint="eastAsia" w:ascii="宋体" w:hAnsi="宋体"/>
          <w:color w:val="auto"/>
          <w:szCs w:val="21"/>
          <w:highlight w:val="none"/>
        </w:rPr>
        <w:t>可适当降低预付款比例，但不得低于</w:t>
      </w:r>
      <w:r>
        <w:rPr>
          <w:rFonts w:ascii="宋体" w:hAnsi="宋体"/>
          <w:color w:val="auto"/>
          <w:szCs w:val="21"/>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Cs w:val="21"/>
          <w:highlight w:val="none"/>
        </w:rPr>
        <w:t>供应商</w:t>
      </w:r>
      <w:r>
        <w:rPr>
          <w:rFonts w:ascii="宋体" w:hAnsi="宋体"/>
          <w:color w:val="auto"/>
          <w:szCs w:val="21"/>
          <w:highlight w:val="none"/>
        </w:rPr>
        <w:t>明确表示无需预付款或者主动要求降低预付款比例的，</w:t>
      </w:r>
      <w:r>
        <w:rPr>
          <w:rFonts w:hint="eastAsia" w:ascii="宋体" w:hAnsi="宋体"/>
          <w:color w:val="auto"/>
          <w:szCs w:val="21"/>
          <w:highlight w:val="none"/>
        </w:rPr>
        <w:t>采购单位</w:t>
      </w:r>
      <w:r>
        <w:rPr>
          <w:rFonts w:ascii="宋体" w:hAnsi="宋体"/>
          <w:color w:val="auto"/>
          <w:szCs w:val="21"/>
          <w:highlight w:val="none"/>
        </w:rPr>
        <w:t>可不适用前述规定。</w:t>
      </w:r>
      <w:r>
        <w:rPr>
          <w:rFonts w:hint="eastAsia" w:ascii="宋体" w:hAnsi="宋体"/>
          <w:color w:val="auto"/>
          <w:szCs w:val="21"/>
          <w:highlight w:val="none"/>
        </w:rPr>
        <w:t>采购单位</w:t>
      </w:r>
      <w:r>
        <w:rPr>
          <w:rFonts w:ascii="宋体" w:hAnsi="宋体"/>
          <w:color w:val="auto"/>
          <w:szCs w:val="21"/>
          <w:highlight w:val="none"/>
        </w:rPr>
        <w:t>根据项目特点、供应商诚信等因素，可以要求</w:t>
      </w:r>
      <w:r>
        <w:rPr>
          <w:rFonts w:hint="eastAsia" w:ascii="宋体" w:hAnsi="宋体"/>
          <w:color w:val="auto"/>
          <w:szCs w:val="21"/>
          <w:highlight w:val="none"/>
        </w:rPr>
        <w:t>供应商</w:t>
      </w:r>
      <w:r>
        <w:rPr>
          <w:rFonts w:ascii="宋体" w:hAnsi="宋体"/>
          <w:color w:val="auto"/>
          <w:szCs w:val="21"/>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Cs w:val="21"/>
          <w:highlight w:val="none"/>
        </w:rPr>
        <w:t>政府采购工程以及与工程建设有关的货物、服务，采用招标方式采购的，预付款从其相关规定。供应商可登录政采云前台大厅选择金融服务</w:t>
      </w:r>
      <w:r>
        <w:rPr>
          <w:rFonts w:ascii="宋体" w:hAnsi="宋体"/>
          <w:color w:val="auto"/>
          <w:szCs w:val="21"/>
          <w:highlight w:val="none"/>
        </w:rPr>
        <w:t xml:space="preserve"> - </w:t>
      </w:r>
      <w:r>
        <w:rPr>
          <w:rFonts w:hint="eastAsia" w:ascii="宋体" w:hAnsi="宋体"/>
          <w:color w:val="auto"/>
          <w:szCs w:val="21"/>
          <w:highlight w:val="none"/>
        </w:rPr>
        <w:t>【保函保险服务】出具预付款保函，具体步骤：选择产品—填写供应商信息—选择中标项目—确认信息—等待保险</w:t>
      </w:r>
      <w:r>
        <w:rPr>
          <w:rFonts w:ascii="宋体" w:hAnsi="宋体"/>
          <w:color w:val="auto"/>
          <w:szCs w:val="21"/>
          <w:highlight w:val="none"/>
        </w:rPr>
        <w:t>/保函受理—确认保单—支付保费—成功出单。政</w:t>
      </w:r>
      <w:r>
        <w:rPr>
          <w:rFonts w:hint="eastAsia" w:ascii="宋体" w:hAnsi="宋体"/>
          <w:color w:val="auto"/>
          <w:szCs w:val="21"/>
          <w:highlight w:val="none"/>
        </w:rPr>
        <w:t>采云金融专线</w:t>
      </w:r>
      <w:r>
        <w:rPr>
          <w:rFonts w:ascii="宋体" w:hAnsi="宋体"/>
          <w:color w:val="auto"/>
          <w:szCs w:val="21"/>
          <w:highlight w:val="none"/>
        </w:rPr>
        <w:t>400-903-9583。</w:t>
      </w:r>
    </w:p>
    <w:p>
      <w:pPr>
        <w:snapToGrid w:val="0"/>
        <w:spacing w:line="288" w:lineRule="auto"/>
        <w:ind w:firstLine="424" w:firstLineChars="201"/>
        <w:rPr>
          <w:rFonts w:ascii="宋体" w:hAnsi="宋体" w:cs="宋体"/>
          <w:b/>
          <w:color w:val="auto"/>
          <w:szCs w:val="21"/>
          <w:highlight w:val="none"/>
        </w:rPr>
      </w:pPr>
    </w:p>
    <w:p>
      <w:pPr>
        <w:snapToGrid w:val="0"/>
        <w:spacing w:line="288" w:lineRule="auto"/>
        <w:ind w:firstLine="424" w:firstLineChars="201"/>
        <w:jc w:val="center"/>
        <w:outlineLvl w:val="1"/>
        <w:rPr>
          <w:rFonts w:ascii="宋体" w:hAnsi="宋体" w:cs="宋体"/>
          <w:b/>
          <w:color w:val="auto"/>
          <w:szCs w:val="21"/>
          <w:highlight w:val="none"/>
        </w:rPr>
      </w:pPr>
      <w:r>
        <w:rPr>
          <w:rFonts w:hint="eastAsia" w:ascii="宋体" w:hAnsi="宋体" w:cs="宋体"/>
          <w:b/>
          <w:color w:val="auto"/>
          <w:szCs w:val="21"/>
          <w:highlight w:val="none"/>
        </w:rPr>
        <w:t>八、电子交易活动的中止</w:t>
      </w:r>
    </w:p>
    <w:p>
      <w:pPr>
        <w:pStyle w:val="134"/>
        <w:snapToGrid w:val="0"/>
        <w:spacing w:before="0" w:line="288" w:lineRule="auto"/>
        <w:ind w:firstLine="424" w:firstLineChars="201"/>
        <w:rPr>
          <w:rFonts w:ascii="宋体" w:hAnsi="宋体" w:cs="宋体"/>
          <w:color w:val="auto"/>
          <w:sz w:val="21"/>
          <w:szCs w:val="21"/>
          <w:highlight w:val="none"/>
        </w:rPr>
      </w:pPr>
      <w:r>
        <w:rPr>
          <w:rFonts w:ascii="宋体" w:hAnsi="宋体" w:cs="宋体"/>
          <w:b/>
          <w:bCs/>
          <w:color w:val="auto"/>
          <w:sz w:val="21"/>
          <w:szCs w:val="21"/>
          <w:highlight w:val="none"/>
        </w:rPr>
        <w:t>28</w:t>
      </w:r>
      <w:r>
        <w:rPr>
          <w:rFonts w:hint="eastAsia" w:ascii="宋体" w:hAnsi="宋体" w:cs="宋体"/>
          <w:b/>
          <w:color w:val="auto"/>
          <w:sz w:val="21"/>
          <w:szCs w:val="21"/>
          <w:highlight w:val="none"/>
        </w:rPr>
        <w:t>. 电子交易活动的中止。</w:t>
      </w:r>
      <w:r>
        <w:rPr>
          <w:rFonts w:hint="eastAsia" w:ascii="宋体" w:hAnsi="宋体" w:cs="宋体"/>
          <w:color w:val="auto"/>
          <w:sz w:val="21"/>
          <w:szCs w:val="21"/>
          <w:highlight w:val="none"/>
        </w:rPr>
        <w:t>采购过程中出现以下情形，导致电子交易平台无法正常运行，或者无法保证电子交易的公平、公正和安全时，采购代理机构可中止电子交易活动：</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 xml:space="preserve">28.1电子交易平台发生故障而无法登录访问的； </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28.2电子交易平台应用或数据库出现错误，不能进行正常操作的；</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28.3电子交易平台发现严重安全漏洞，有潜在泄密危险的；</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 xml:space="preserve">28.4病毒发作导致不能进行正常操作的； </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28.5其他无法保证电子交易的公平、公正和安全的情况。</w:t>
      </w:r>
    </w:p>
    <w:p>
      <w:pPr>
        <w:pStyle w:val="134"/>
        <w:snapToGrid w:val="0"/>
        <w:spacing w:before="0" w:line="288" w:lineRule="auto"/>
        <w:ind w:firstLine="422" w:firstLineChars="201"/>
        <w:rPr>
          <w:rFonts w:ascii="宋体" w:hAnsi="宋体" w:cs="宋体"/>
          <w:color w:val="auto"/>
          <w:sz w:val="21"/>
          <w:szCs w:val="21"/>
          <w:highlight w:val="none"/>
        </w:rPr>
      </w:pPr>
      <w:r>
        <w:rPr>
          <w:rFonts w:hint="eastAsia" w:ascii="宋体" w:hAnsi="宋体" w:cs="宋体"/>
          <w:color w:val="auto"/>
          <w:sz w:val="21"/>
          <w:szCs w:val="21"/>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napToGrid w:val="0"/>
        <w:spacing w:line="288" w:lineRule="auto"/>
        <w:ind w:firstLine="422" w:firstLineChars="201"/>
        <w:rPr>
          <w:rFonts w:ascii="宋体" w:hAnsi="宋体" w:cs="宋体"/>
          <w:color w:val="auto"/>
          <w:szCs w:val="21"/>
          <w:highlight w:val="none"/>
        </w:rPr>
      </w:pPr>
    </w:p>
    <w:p>
      <w:pPr>
        <w:snapToGrid w:val="0"/>
        <w:spacing w:line="288" w:lineRule="auto"/>
        <w:ind w:firstLine="424" w:firstLineChars="201"/>
        <w:jc w:val="center"/>
        <w:rPr>
          <w:rFonts w:ascii="宋体" w:hAnsi="宋体" w:cs="宋体"/>
          <w:b/>
          <w:color w:val="auto"/>
          <w:szCs w:val="21"/>
          <w:highlight w:val="none"/>
        </w:rPr>
      </w:pPr>
      <w:r>
        <w:rPr>
          <w:rFonts w:hint="eastAsia" w:ascii="宋体" w:hAnsi="宋体" w:cs="宋体"/>
          <w:b/>
          <w:color w:val="auto"/>
          <w:szCs w:val="21"/>
          <w:highlight w:val="none"/>
        </w:rPr>
        <w:t>九、验收</w:t>
      </w:r>
    </w:p>
    <w:p>
      <w:pPr>
        <w:pStyle w:val="25"/>
        <w:snapToGrid w:val="0"/>
        <w:spacing w:line="288" w:lineRule="auto"/>
        <w:ind w:firstLine="424" w:firstLineChars="201"/>
        <w:rPr>
          <w:rFonts w:cs="宋体"/>
          <w:b/>
          <w:color w:val="auto"/>
          <w:sz w:val="21"/>
          <w:szCs w:val="21"/>
          <w:highlight w:val="none"/>
        </w:rPr>
      </w:pPr>
      <w:r>
        <w:rPr>
          <w:rFonts w:hint="eastAsia" w:cs="宋体"/>
          <w:b/>
          <w:color w:val="auto"/>
          <w:sz w:val="21"/>
          <w:szCs w:val="21"/>
          <w:highlight w:val="none"/>
        </w:rPr>
        <w:t>30.验收</w:t>
      </w:r>
    </w:p>
    <w:p>
      <w:pPr>
        <w:tabs>
          <w:tab w:val="left" w:pos="0"/>
        </w:tabs>
        <w:snapToGrid w:val="0"/>
        <w:spacing w:line="288" w:lineRule="auto"/>
        <w:ind w:firstLine="422" w:firstLineChars="201"/>
        <w:rPr>
          <w:rFonts w:ascii="宋体" w:hAnsi="宋体" w:cs="宋体"/>
          <w:color w:val="auto"/>
          <w:kern w:val="0"/>
          <w:szCs w:val="21"/>
          <w:highlight w:val="none"/>
        </w:rPr>
      </w:pPr>
      <w:r>
        <w:rPr>
          <w:rFonts w:hint="eastAsia" w:ascii="宋体" w:hAnsi="宋体" w:cs="宋体"/>
          <w:color w:val="auto"/>
          <w:kern w:val="0"/>
          <w:szCs w:val="21"/>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napToGrid w:val="0"/>
        <w:spacing w:line="288" w:lineRule="auto"/>
        <w:ind w:firstLine="422" w:firstLineChars="201"/>
        <w:rPr>
          <w:rFonts w:ascii="宋体" w:hAnsi="宋体" w:cs="宋体"/>
          <w:color w:val="auto"/>
          <w:kern w:val="0"/>
          <w:szCs w:val="21"/>
          <w:highlight w:val="none"/>
        </w:rPr>
      </w:pPr>
      <w:r>
        <w:rPr>
          <w:rFonts w:hint="eastAsia" w:ascii="宋体" w:hAnsi="宋体" w:cs="宋体"/>
          <w:color w:val="auto"/>
          <w:kern w:val="0"/>
          <w:szCs w:val="21"/>
          <w:highlight w:val="none"/>
        </w:rPr>
        <w:t>30.2采购人可以邀请参加本项目的其他投标人或者第三方机构参与验收。参与验收的投标人或者第三方机构的意见作为验收书的参考资料一并存档。</w:t>
      </w:r>
    </w:p>
    <w:p>
      <w:pPr>
        <w:tabs>
          <w:tab w:val="left" w:pos="0"/>
        </w:tabs>
        <w:snapToGrid w:val="0"/>
        <w:spacing w:line="288" w:lineRule="auto"/>
        <w:ind w:firstLine="422" w:firstLineChars="201"/>
        <w:rPr>
          <w:rFonts w:ascii="宋体" w:hAnsi="宋体" w:cs="宋体"/>
          <w:color w:val="auto"/>
          <w:kern w:val="0"/>
          <w:szCs w:val="21"/>
          <w:highlight w:val="none"/>
        </w:rPr>
      </w:pPr>
      <w:r>
        <w:rPr>
          <w:rFonts w:hint="eastAsia" w:ascii="宋体" w:hAnsi="宋体" w:cs="宋体"/>
          <w:color w:val="auto"/>
          <w:kern w:val="0"/>
          <w:szCs w:val="21"/>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napToGrid w:val="0"/>
        <w:spacing w:line="288" w:lineRule="auto"/>
        <w:ind w:firstLine="422" w:firstLineChars="201"/>
        <w:rPr>
          <w:rFonts w:ascii="宋体" w:hAnsi="宋体" w:cs="宋体"/>
          <w:color w:val="auto"/>
          <w:szCs w:val="21"/>
          <w:highlight w:val="none"/>
        </w:rPr>
      </w:pPr>
      <w:r>
        <w:rPr>
          <w:rFonts w:hint="eastAsia" w:ascii="宋体" w:hAnsi="宋体" w:cs="宋体"/>
          <w:color w:val="auto"/>
          <w:kern w:val="0"/>
          <w:szCs w:val="21"/>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6"/>
    <w:p>
      <w:pPr>
        <w:tabs>
          <w:tab w:val="left" w:pos="0"/>
        </w:tabs>
        <w:snapToGrid w:val="0"/>
        <w:spacing w:line="288" w:lineRule="auto"/>
        <w:jc w:val="center"/>
        <w:rPr>
          <w:rFonts w:ascii="宋体" w:hAnsi="宋体" w:cs="宋体"/>
          <w:color w:val="auto"/>
          <w:kern w:val="0"/>
          <w:szCs w:val="21"/>
          <w:highlight w:val="none"/>
        </w:rPr>
      </w:pPr>
      <w:bookmarkStart w:id="17" w:name="_Hlt75236101"/>
      <w:bookmarkEnd w:id="17"/>
      <w:bookmarkStart w:id="18" w:name="_Hlt74707468"/>
      <w:bookmarkEnd w:id="18"/>
      <w:bookmarkStart w:id="19" w:name="_Hlt68072998"/>
      <w:bookmarkEnd w:id="19"/>
      <w:bookmarkStart w:id="20" w:name="_Hlt68073093"/>
      <w:bookmarkEnd w:id="20"/>
      <w:bookmarkStart w:id="21" w:name="_Hlt68072990"/>
      <w:bookmarkEnd w:id="21"/>
      <w:bookmarkStart w:id="22" w:name="_Hlt74730295"/>
      <w:bookmarkEnd w:id="22"/>
      <w:bookmarkStart w:id="23" w:name="_Hlt75236290"/>
      <w:bookmarkEnd w:id="23"/>
      <w:bookmarkStart w:id="24" w:name="_Hlt68403820"/>
      <w:bookmarkEnd w:id="24"/>
      <w:bookmarkStart w:id="25" w:name="_Hlt75236011"/>
      <w:bookmarkEnd w:id="25"/>
      <w:bookmarkStart w:id="26" w:name="_Hlt74729768"/>
      <w:bookmarkEnd w:id="26"/>
      <w:bookmarkStart w:id="27" w:name="_Hlt74714665"/>
      <w:bookmarkEnd w:id="27"/>
      <w:bookmarkStart w:id="28" w:name="_Hlt68057669"/>
      <w:bookmarkEnd w:id="28"/>
      <w:r>
        <w:rPr>
          <w:color w:val="auto"/>
          <w:highlight w:val="none"/>
        </w:rPr>
        <w:br w:type="page"/>
      </w:r>
      <w:bookmarkEnd w:id="11"/>
      <w:bookmarkEnd w:id="12"/>
      <w:bookmarkStart w:id="29" w:name="第四部分"/>
      <w:r>
        <w:rPr>
          <w:rFonts w:hint="eastAsia" w:ascii="宋体" w:hAnsi="宋体" w:cs="宋体"/>
          <w:b/>
          <w:color w:val="auto"/>
          <w:szCs w:val="21"/>
          <w:highlight w:val="none"/>
        </w:rPr>
        <w:t>第三部分 采购需求</w:t>
      </w:r>
    </w:p>
    <w:p>
      <w:pPr>
        <w:snapToGrid w:val="0"/>
        <w:spacing w:line="288" w:lineRule="auto"/>
        <w:outlineLvl w:val="1"/>
        <w:rPr>
          <w:rFonts w:ascii="宋体" w:hAnsi="宋体"/>
          <w:b/>
          <w:color w:val="auto"/>
          <w:szCs w:val="21"/>
          <w:highlight w:val="none"/>
        </w:rPr>
      </w:pPr>
      <w:r>
        <w:rPr>
          <w:rFonts w:hint="eastAsia" w:ascii="宋体" w:hAnsi="宋体"/>
          <w:b/>
          <w:color w:val="auto"/>
          <w:szCs w:val="21"/>
          <w:highlight w:val="none"/>
        </w:rPr>
        <w:t>一、采购资金的支付方式、时间、条件：</w:t>
      </w:r>
    </w:p>
    <w:tbl>
      <w:tblPr>
        <w:tblStyle w:val="62"/>
        <w:tblW w:w="849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9"/>
        <w:gridCol w:w="68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trPr>
        <w:tc>
          <w:tcPr>
            <w:tcW w:w="164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b/>
                <w:color w:val="auto"/>
                <w:spacing w:val="-6"/>
                <w:szCs w:val="21"/>
                <w:highlight w:val="none"/>
              </w:rPr>
            </w:pPr>
            <w:bookmarkStart w:id="30" w:name="_Hlk45005608"/>
            <w:r>
              <w:rPr>
                <w:rFonts w:hint="eastAsia" w:ascii="宋体" w:hAnsi="宋体"/>
                <w:b/>
                <w:color w:val="auto"/>
                <w:spacing w:val="-6"/>
                <w:szCs w:val="21"/>
                <w:highlight w:val="none"/>
              </w:rPr>
              <w:t>▲履约保证金</w:t>
            </w:r>
          </w:p>
        </w:tc>
        <w:tc>
          <w:tcPr>
            <w:tcW w:w="6846"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宋体" w:hAnsi="宋体" w:cs="宋体"/>
                <w:color w:val="auto"/>
                <w:spacing w:val="-6"/>
                <w:kern w:val="0"/>
                <w:szCs w:val="21"/>
                <w:highlight w:val="none"/>
              </w:rPr>
            </w:pPr>
            <w:r>
              <w:rPr>
                <w:rFonts w:hint="eastAsia" w:ascii="宋体" w:hAnsi="宋体" w:cs="宋体"/>
                <w:color w:val="auto"/>
                <w:spacing w:val="-6"/>
                <w:kern w:val="0"/>
                <w:szCs w:val="21"/>
                <w:highlight w:val="none"/>
              </w:rPr>
              <w:t>1.合同签订后一周内，中标人向采购人提交合同总价1%的履约保证金，履约保证金在合同履约期间无违约情形的，项目验收结束后，于一周内退还（不计息）；</w:t>
            </w:r>
          </w:p>
          <w:p>
            <w:pPr>
              <w:snapToGrid w:val="0"/>
              <w:spacing w:line="288" w:lineRule="auto"/>
              <w:rPr>
                <w:rFonts w:ascii="宋体" w:hAnsi="宋体" w:cs="宋体"/>
                <w:color w:val="auto"/>
                <w:spacing w:val="-6"/>
                <w:kern w:val="0"/>
                <w:szCs w:val="21"/>
                <w:highlight w:val="none"/>
              </w:rPr>
            </w:pPr>
            <w:r>
              <w:rPr>
                <w:rFonts w:hint="eastAsia" w:ascii="宋体" w:hAnsi="宋体" w:cs="宋体"/>
                <w:color w:val="auto"/>
                <w:spacing w:val="-6"/>
                <w:kern w:val="0"/>
                <w:szCs w:val="21"/>
                <w:highlight w:val="none"/>
              </w:rPr>
              <w:t>2.提交方式：支票、汇票、本票或金融机构、担保机构出具的保函等非现金形式。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trPr>
        <w:tc>
          <w:tcPr>
            <w:tcW w:w="164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b/>
                <w:color w:val="auto"/>
                <w:spacing w:val="-6"/>
                <w:szCs w:val="21"/>
                <w:highlight w:val="none"/>
              </w:rPr>
            </w:pPr>
            <w:r>
              <w:rPr>
                <w:rFonts w:hint="eastAsia" w:ascii="宋体" w:hAnsi="宋体"/>
                <w:b/>
                <w:color w:val="auto"/>
                <w:spacing w:val="-6"/>
                <w:szCs w:val="21"/>
                <w:highlight w:val="none"/>
              </w:rPr>
              <w:t>▲付款方式</w:t>
            </w:r>
          </w:p>
        </w:tc>
        <w:tc>
          <w:tcPr>
            <w:tcW w:w="684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288" w:lineRule="auto"/>
              <w:jc w:val="left"/>
              <w:rPr>
                <w:color w:val="auto"/>
                <w:spacing w:val="-6"/>
                <w:kern w:val="0"/>
                <w:szCs w:val="21"/>
                <w:highlight w:val="none"/>
              </w:rPr>
            </w:pPr>
            <w:r>
              <w:rPr>
                <w:rFonts w:hint="eastAsia"/>
                <w:color w:val="auto"/>
                <w:spacing w:val="-6"/>
                <w:kern w:val="0"/>
                <w:szCs w:val="21"/>
                <w:highlight w:val="none"/>
              </w:rPr>
              <w:t>合同签订后</w:t>
            </w:r>
            <w:r>
              <w:rPr>
                <w:color w:val="auto"/>
                <w:spacing w:val="-6"/>
                <w:kern w:val="0"/>
                <w:szCs w:val="21"/>
                <w:highlight w:val="none"/>
              </w:rPr>
              <w:t>5</w:t>
            </w:r>
            <w:r>
              <w:rPr>
                <w:rFonts w:hint="eastAsia"/>
                <w:color w:val="auto"/>
                <w:spacing w:val="-6"/>
                <w:kern w:val="0"/>
                <w:szCs w:val="21"/>
                <w:highlight w:val="none"/>
              </w:rPr>
              <w:t>个工作日内甲方支付合同金额</w:t>
            </w:r>
            <w:r>
              <w:rPr>
                <w:color w:val="auto"/>
                <w:spacing w:val="-6"/>
                <w:kern w:val="0"/>
                <w:szCs w:val="21"/>
                <w:highlight w:val="none"/>
              </w:rPr>
              <w:t>40%</w:t>
            </w:r>
            <w:r>
              <w:rPr>
                <w:rFonts w:hint="eastAsia"/>
                <w:color w:val="auto"/>
                <w:spacing w:val="-6"/>
                <w:kern w:val="0"/>
                <w:szCs w:val="21"/>
                <w:highlight w:val="none"/>
              </w:rPr>
              <w:t>到合同约定的乙方账户。</w:t>
            </w:r>
          </w:p>
          <w:p>
            <w:pPr>
              <w:autoSpaceDE w:val="0"/>
              <w:autoSpaceDN w:val="0"/>
              <w:snapToGrid w:val="0"/>
              <w:spacing w:line="288" w:lineRule="auto"/>
              <w:jc w:val="left"/>
              <w:rPr>
                <w:color w:val="auto"/>
                <w:spacing w:val="-6"/>
                <w:kern w:val="0"/>
                <w:szCs w:val="21"/>
                <w:highlight w:val="none"/>
              </w:rPr>
            </w:pPr>
            <w:r>
              <w:rPr>
                <w:rFonts w:hint="eastAsia"/>
                <w:color w:val="auto"/>
                <w:spacing w:val="-6"/>
                <w:kern w:val="0"/>
                <w:szCs w:val="21"/>
                <w:highlight w:val="none"/>
              </w:rPr>
              <w:t>项目验收合格后，甲方自收到全额发票后</w:t>
            </w:r>
            <w:r>
              <w:rPr>
                <w:color w:val="auto"/>
                <w:spacing w:val="-6"/>
                <w:kern w:val="0"/>
                <w:szCs w:val="21"/>
                <w:highlight w:val="none"/>
              </w:rPr>
              <w:t>5</w:t>
            </w:r>
            <w:r>
              <w:rPr>
                <w:rFonts w:hint="eastAsia"/>
                <w:color w:val="auto"/>
                <w:spacing w:val="-6"/>
                <w:kern w:val="0"/>
                <w:szCs w:val="21"/>
                <w:highlight w:val="none"/>
              </w:rPr>
              <w:t>个工作日内将合同金额</w:t>
            </w:r>
            <w:r>
              <w:rPr>
                <w:color w:val="auto"/>
                <w:spacing w:val="-6"/>
                <w:kern w:val="0"/>
                <w:szCs w:val="21"/>
                <w:highlight w:val="none"/>
              </w:rPr>
              <w:t>60%</w:t>
            </w:r>
            <w:r>
              <w:rPr>
                <w:rFonts w:hint="eastAsia"/>
                <w:color w:val="auto"/>
                <w:spacing w:val="-6"/>
                <w:kern w:val="0"/>
                <w:szCs w:val="21"/>
                <w:highlight w:val="none"/>
              </w:rPr>
              <w:t>支付到合同约定的乙方账户。</w:t>
            </w:r>
          </w:p>
        </w:tc>
      </w:tr>
      <w:bookmarkEnd w:id="30"/>
    </w:tbl>
    <w:p>
      <w:pPr>
        <w:snapToGrid w:val="0"/>
        <w:spacing w:line="288" w:lineRule="auto"/>
        <w:ind w:left="238" w:hanging="238" w:hangingChars="113"/>
        <w:rPr>
          <w:rFonts w:ascii="宋体" w:hAnsi="宋体"/>
          <w:b/>
          <w:color w:val="auto"/>
          <w:szCs w:val="21"/>
          <w:highlight w:val="none"/>
        </w:rPr>
      </w:pPr>
    </w:p>
    <w:p>
      <w:pPr>
        <w:snapToGrid w:val="0"/>
        <w:spacing w:line="288" w:lineRule="auto"/>
        <w:ind w:left="238" w:hanging="238" w:hangingChars="113"/>
        <w:outlineLvl w:val="1"/>
        <w:rPr>
          <w:rFonts w:ascii="宋体" w:hAnsi="宋体"/>
          <w:b/>
          <w:color w:val="auto"/>
          <w:szCs w:val="21"/>
          <w:highlight w:val="none"/>
        </w:rPr>
      </w:pPr>
      <w:r>
        <w:rPr>
          <w:rFonts w:hint="eastAsia" w:ascii="宋体" w:hAnsi="宋体"/>
          <w:b/>
          <w:color w:val="auto"/>
          <w:szCs w:val="21"/>
          <w:highlight w:val="none"/>
        </w:rPr>
        <w:t>二、服务要求</w:t>
      </w:r>
      <w:r>
        <w:rPr>
          <w:rFonts w:hint="eastAsia" w:ascii="宋体" w:hAnsi="宋体"/>
          <w:b/>
          <w:color w:val="auto"/>
          <w:spacing w:val="-6"/>
          <w:szCs w:val="21"/>
          <w:highlight w:val="none"/>
        </w:rPr>
        <w:t>（技术要求里另有注明的以技术要求为准）</w:t>
      </w:r>
      <w:r>
        <w:rPr>
          <w:rFonts w:hint="eastAsia" w:ascii="宋体" w:hAnsi="宋体"/>
          <w:b/>
          <w:color w:val="auto"/>
          <w:szCs w:val="21"/>
          <w:highlight w:val="none"/>
        </w:rPr>
        <w:t>：</w:t>
      </w:r>
    </w:p>
    <w:tbl>
      <w:tblPr>
        <w:tblStyle w:val="62"/>
        <w:tblW w:w="849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8"/>
        <w:gridCol w:w="68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64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交付时间</w:t>
            </w:r>
          </w:p>
        </w:tc>
        <w:tc>
          <w:tcPr>
            <w:tcW w:w="68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napToGrid w:val="0"/>
              <w:spacing w:line="288" w:lineRule="auto"/>
              <w:rPr>
                <w:rFonts w:ascii="宋体" w:hAnsi="宋体" w:cs="宋体"/>
                <w:color w:val="auto"/>
                <w:szCs w:val="21"/>
                <w:highlight w:val="none"/>
              </w:rPr>
            </w:pPr>
            <w:r>
              <w:rPr>
                <w:rFonts w:hint="eastAsia" w:ascii="宋体" w:hAnsi="宋体"/>
                <w:color w:val="auto"/>
                <w:szCs w:val="21"/>
                <w:highlight w:val="none"/>
              </w:rPr>
              <w:t>自合同签订之日起60日内交付。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64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交付地点</w:t>
            </w:r>
          </w:p>
        </w:tc>
        <w:tc>
          <w:tcPr>
            <w:tcW w:w="68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napToGrid w:val="0"/>
              <w:spacing w:line="288" w:lineRule="auto"/>
              <w:rPr>
                <w:color w:val="auto"/>
                <w:highlight w:val="none"/>
              </w:rPr>
            </w:pPr>
            <w:r>
              <w:rPr>
                <w:rFonts w:hint="eastAsia"/>
                <w:color w:val="auto"/>
                <w:highlight w:val="none"/>
              </w:rPr>
              <w:t>杭州市胜蓝中学、杭州市安吉路实验学校（武林校区）、杭州市仙林实验幼儿园（新建和平园区）、杭州市现代实验小学（现代校区）、杭州市风华中学、杭州市朝晖幼儿园（朝七一部）、杭州市春蕾中学（王马校区）、杭州市春蕾中学（仙林校区）、珠碧二弄学校共9所学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64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b/>
                <w:bCs/>
                <w:color w:val="auto"/>
                <w:szCs w:val="21"/>
                <w:highlight w:val="none"/>
              </w:rPr>
              <w:t>质保期</w:t>
            </w:r>
          </w:p>
        </w:tc>
        <w:tc>
          <w:tcPr>
            <w:tcW w:w="684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napToGrid w:val="0"/>
              <w:spacing w:line="288" w:lineRule="auto"/>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年</w:t>
            </w:r>
            <w:r>
              <w:rPr>
                <w:rFonts w:hint="eastAsia" w:ascii="宋体" w:hAnsi="宋体" w:cs="宋体"/>
                <w:color w:val="auto"/>
                <w:szCs w:val="21"/>
                <w:highlight w:val="none"/>
              </w:rPr>
              <w:t>，项目验收合格后开始计算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64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服务标准、期限、效率</w:t>
            </w:r>
          </w:p>
        </w:tc>
        <w:tc>
          <w:tcPr>
            <w:tcW w:w="6847"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1.在质保期内，供应商应对货物出现的质量及安全问题负责处理解决并承担一切费用。</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2.质保期内出现无法排除的故障，供应商需无条件更换同型号产品。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3.质保期满后，供应商继续为采购人服务，仅收取零配件成本费。</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4.因人为因素出现的故障不在免费保修范围内。</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u w:val="single"/>
              </w:rPr>
              <w:t>供应商应承诺提供7*24小时技术支持服务，如在使用过程中发生质量问题，供应商维修响应时间：</w:t>
            </w:r>
            <w:r>
              <w:rPr>
                <w:rFonts w:hint="eastAsia" w:ascii="宋体" w:hAnsi="宋体"/>
                <w:color w:val="auto"/>
                <w:szCs w:val="21"/>
                <w:highlight w:val="none"/>
                <w:u w:val="single"/>
              </w:rPr>
              <w:t>1小时以内响应，4小时以内到现场，提供不间断的服务直到修复为止。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64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验收标准</w:t>
            </w:r>
          </w:p>
        </w:tc>
        <w:tc>
          <w:tcPr>
            <w:tcW w:w="6847"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1.验收由采购人负责实施；</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2.验收依据：</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2.1合同、招标文件、投标文件；</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2.2供应商提供的技术规格、经采购人认可的合同货物的有效检验文件；</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2.3供应商投标文件中提供的经采购人认可的合同货物的验收标准（符合中国有关的国家、地方、行业标准）和检测办法及相应检测手段。</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3.供应商应派员在所供货物到采购人处时进行到货验收，有需要时能联系产品制造商到场共同验收，若发现任何损坏及质量问题，供应商负责妥善处理直至采购人满意，由此产生的费用由供应商承担。</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4.验收合格的条件：</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4.1所供货物符合产品标准和合同的要求；</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4.2在进行测试和验收过程中发现的问题已被解决并得到采购人的认可；</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4.3合同中规定的所有货物和材料均已交付；</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4.4所供货物已通过使用单位组织的验收；</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4.5所有相关的技术文件及资料均已提交并得到接受。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64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其他技术、服务要求</w:t>
            </w:r>
          </w:p>
        </w:tc>
        <w:tc>
          <w:tcPr>
            <w:tcW w:w="6847"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1.供应商应按招标文件规定的货物性能、技术要求、质量标准向采购人提供未经使用的全新产品，符合国家法律规定和技术规格、质量标准的出厂原装合格产品。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2.技术支持：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供应商应及时免费提供合同货物软件的升级，免费提供合同货物新功能和应用的资料。</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3.安装调试：</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3.1安装地点：采购人指定地点；</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3.2安装完成时间：接到采购人通知后在规定时间内完成安装和调试，如在规定的时间内由于供应商的原因不能完成安装和调试，供应商应承担由此给采购人造成的损失；</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3.3如供应商委托国内代理（或其他机构）负责安装或配合安装应在签约时指明，但供应商仍要对合同货物及其安装质量负全部责任；</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3.4安装标准：符合我国国家有关技术规范要求和技术标准，所有的软件和硬件必须保证同时安装到位；</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3.5供应商免费提供合同货物的安装服务；</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3.6供应商在投标文件中应提供安装调试计划、对安装场地和环境的要求。</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4.供应商应提供质保期满后主要零部件报价单、质保期满后维护费、软件升级及其相关服务内容；</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5.供货时提供有关的全套技术文件。</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pacing w:val="-6"/>
                <w:szCs w:val="21"/>
                <w:highlight w:val="none"/>
              </w:rPr>
              <w:t>供应商应保证所提供的货物或其中任何一部分均不会侵犯第三方的知识产权。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64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培训</w:t>
            </w:r>
          </w:p>
        </w:tc>
        <w:tc>
          <w:tcPr>
            <w:tcW w:w="6847"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供应商应对采购人的操作人员、维修人员免费进行培训；</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培训内容包括产品的功能、操作、日常维护、一般故障处理等内容；</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供应商应提供相应的培训计划；</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上述内容的实现方式、时间、地点、人数应在投标文件中详细说明。</w:t>
            </w:r>
          </w:p>
        </w:tc>
      </w:tr>
    </w:tbl>
    <w:p>
      <w:pPr>
        <w:snapToGrid w:val="0"/>
        <w:spacing w:line="288" w:lineRule="auto"/>
        <w:ind w:left="238" w:hanging="238" w:hangingChars="113"/>
        <w:rPr>
          <w:rFonts w:ascii="宋体" w:hAnsi="宋体"/>
          <w:b/>
          <w:color w:val="auto"/>
          <w:szCs w:val="21"/>
          <w:highlight w:val="none"/>
        </w:rPr>
      </w:pPr>
    </w:p>
    <w:p>
      <w:pPr>
        <w:snapToGrid w:val="0"/>
        <w:spacing w:line="288" w:lineRule="auto"/>
        <w:ind w:left="238" w:hanging="238" w:hangingChars="113"/>
        <w:outlineLvl w:val="1"/>
        <w:rPr>
          <w:rFonts w:ascii="宋体" w:hAnsi="宋体"/>
          <w:b/>
          <w:color w:val="auto"/>
          <w:szCs w:val="21"/>
          <w:highlight w:val="none"/>
        </w:rPr>
      </w:pPr>
      <w:r>
        <w:rPr>
          <w:rFonts w:hint="eastAsia" w:ascii="宋体" w:hAnsi="宋体"/>
          <w:b/>
          <w:color w:val="auto"/>
          <w:szCs w:val="21"/>
          <w:highlight w:val="none"/>
        </w:rPr>
        <w:t>三、技术要求</w:t>
      </w:r>
    </w:p>
    <w:p>
      <w:pPr>
        <w:snapToGrid w:val="0"/>
        <w:spacing w:line="288" w:lineRule="auto"/>
        <w:outlineLvl w:val="1"/>
        <w:rPr>
          <w:rFonts w:ascii="宋体" w:hAnsi="宋体" w:cs="宋体"/>
          <w:b/>
          <w:bCs/>
          <w:color w:val="auto"/>
          <w:szCs w:val="21"/>
          <w:highlight w:val="none"/>
        </w:rPr>
      </w:pPr>
      <w:r>
        <w:rPr>
          <w:rFonts w:hint="eastAsia" w:ascii="宋体" w:hAnsi="宋体" w:cs="宋体"/>
          <w:b/>
          <w:bCs/>
          <w:color w:val="auto"/>
          <w:szCs w:val="21"/>
          <w:highlight w:val="none"/>
        </w:rPr>
        <w:t>1.需执行的国家相关标准、行业标准、地方标准或者其他标准、规范：</w:t>
      </w:r>
      <w:bookmarkStart w:id="31" w:name="_Hlk94018176"/>
      <w:r>
        <w:rPr>
          <w:rFonts w:hint="eastAsia" w:ascii="宋体" w:hAnsi="宋体" w:cs="宋体"/>
          <w:color w:val="auto"/>
          <w:szCs w:val="21"/>
          <w:highlight w:val="none"/>
        </w:rPr>
        <w:t>如技术要求中未注明需执行的国家相关标准、行业标准、地方标准或者其他标准、规范的，执行最新标准、规范。</w:t>
      </w:r>
      <w:bookmarkEnd w:id="31"/>
    </w:p>
    <w:p>
      <w:pPr>
        <w:pStyle w:val="2"/>
        <w:pageBreakBefore w:val="0"/>
        <w:widowControl w:val="0"/>
        <w:kinsoku/>
        <w:wordWrap/>
        <w:overflowPunct/>
        <w:topLinePunct w:val="0"/>
        <w:bidi w:val="0"/>
        <w:adjustRightInd w:val="0"/>
        <w:snapToGrid/>
        <w:spacing w:line="288" w:lineRule="auto"/>
        <w:textAlignment w:val="auto"/>
        <w:rPr>
          <w:rFonts w:hint="eastAsia" w:ascii="宋体" w:hAnsi="宋体" w:eastAsia="宋体" w:cs="宋体"/>
          <w:b/>
          <w:bCs/>
          <w:snapToGrid/>
          <w:color w:val="auto"/>
          <w:kern w:val="2"/>
          <w:sz w:val="21"/>
          <w:szCs w:val="21"/>
          <w:highlight w:val="none"/>
          <w:lang w:val="en-US" w:eastAsia="zh-CN" w:bidi="ar-SA"/>
        </w:rPr>
      </w:pPr>
      <w:r>
        <w:rPr>
          <w:rFonts w:hint="eastAsia" w:ascii="宋体" w:hAnsi="宋体" w:eastAsia="宋体" w:cs="宋体"/>
          <w:b/>
          <w:bCs/>
          <w:snapToGrid/>
          <w:color w:val="auto"/>
          <w:kern w:val="2"/>
          <w:sz w:val="21"/>
          <w:szCs w:val="21"/>
          <w:highlight w:val="none"/>
          <w:lang w:val="en-US" w:eastAsia="zh-CN" w:bidi="ar-SA"/>
        </w:rPr>
        <w:t>2.需实现的功能或者目标：</w:t>
      </w:r>
    </w:p>
    <w:p>
      <w:pPr>
        <w:pageBreakBefore w:val="0"/>
        <w:widowControl w:val="0"/>
        <w:kinsoku/>
        <w:wordWrap/>
        <w:overflowPunct/>
        <w:topLinePunct w:val="0"/>
        <w:bidi w:val="0"/>
        <w:adjustRightInd w:val="0"/>
        <w:snapToGrid/>
        <w:spacing w:line="288" w:lineRule="auto"/>
        <w:ind w:left="0" w:firstLine="422" w:firstLineChars="200"/>
        <w:jc w:val="both"/>
        <w:textAlignment w:val="auto"/>
        <w:rPr>
          <w:rFonts w:hint="eastAsia" w:ascii="宋体" w:hAnsi="宋体" w:eastAsia="宋体" w:cs="宋体"/>
          <w:b/>
          <w:snapToGrid w:val="0"/>
          <w:color w:val="auto"/>
          <w:kern w:val="2"/>
          <w:sz w:val="21"/>
          <w:szCs w:val="21"/>
          <w:highlight w:val="none"/>
          <w:lang w:val="zh-CN" w:eastAsia="zh-CN" w:bidi="ar-SA"/>
        </w:rPr>
      </w:pPr>
      <w:r>
        <w:rPr>
          <w:rFonts w:hint="eastAsia" w:ascii="宋体" w:hAnsi="宋体" w:eastAsia="宋体" w:cs="宋体"/>
          <w:b/>
          <w:snapToGrid w:val="0"/>
          <w:color w:val="auto"/>
          <w:kern w:val="2"/>
          <w:sz w:val="21"/>
          <w:szCs w:val="21"/>
          <w:highlight w:val="none"/>
          <w:lang w:val="zh-CN" w:eastAsia="zh-CN" w:bidi="ar-SA"/>
        </w:rPr>
        <w:t>2.1</w:t>
      </w:r>
      <w:r>
        <w:rPr>
          <w:rFonts w:hint="eastAsia" w:ascii="宋体" w:hAnsi="宋体" w:eastAsia="宋体" w:cs="宋体"/>
          <w:b/>
          <w:snapToGrid w:val="0"/>
          <w:color w:val="auto"/>
          <w:kern w:val="2"/>
          <w:sz w:val="21"/>
          <w:szCs w:val="21"/>
          <w:highlight w:val="none"/>
          <w:lang w:val="en-US" w:eastAsia="zh-CN" w:bidi="ar-SA"/>
        </w:rPr>
        <w:t xml:space="preserve"> </w:t>
      </w:r>
      <w:r>
        <w:rPr>
          <w:rFonts w:hint="eastAsia" w:ascii="宋体" w:hAnsi="宋体" w:eastAsia="宋体" w:cs="宋体"/>
          <w:b/>
          <w:snapToGrid w:val="0"/>
          <w:color w:val="auto"/>
          <w:kern w:val="2"/>
          <w:sz w:val="21"/>
          <w:szCs w:val="21"/>
          <w:highlight w:val="none"/>
          <w:lang w:val="zh-CN" w:eastAsia="zh-CN" w:bidi="ar-SA"/>
        </w:rPr>
        <w:t>所有定制类产品制造工艺、设计及结构要求：</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snapToGrid w:val="0"/>
          <w:color w:val="auto"/>
          <w:kern w:val="2"/>
          <w:sz w:val="21"/>
          <w:szCs w:val="21"/>
          <w:highlight w:val="none"/>
          <w:lang w:val="zh-CN" w:eastAsia="zh-CN" w:bidi="ar-SA"/>
        </w:rPr>
      </w:pPr>
      <w:r>
        <w:rPr>
          <w:rFonts w:hint="eastAsia" w:ascii="宋体" w:hAnsi="宋体" w:eastAsia="宋体" w:cs="宋体"/>
          <w:snapToGrid w:val="0"/>
          <w:color w:val="auto"/>
          <w:kern w:val="2"/>
          <w:sz w:val="21"/>
          <w:szCs w:val="21"/>
          <w:highlight w:val="none"/>
          <w:lang w:val="zh-CN" w:eastAsia="zh-CN" w:bidi="ar-SA"/>
        </w:rPr>
        <w:t>（1）制造工艺要求：折弯弧度明显、清晰、整齐，切边整齐、光滑不割手，连接部位位置均匀；焊接牢固，焊纹均匀一致，焊接位置合理、美观，无未焊透或裂纹等缺陷，外露焊缝均应进行抛光或去色处理；产品抛光表面纹理一致，无尖角和毛刺；</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b/>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zh-CN" w:eastAsia="zh-CN" w:bidi="ar-SA"/>
        </w:rPr>
        <w:t>（2）设计及结构要求：结构布局合理、实用，外形美观，整体质量安全、可靠。</w:t>
      </w:r>
    </w:p>
    <w:p>
      <w:pPr>
        <w:pageBreakBefore w:val="0"/>
        <w:widowControl w:val="0"/>
        <w:kinsoku/>
        <w:wordWrap/>
        <w:overflowPunct/>
        <w:topLinePunct w:val="0"/>
        <w:bidi w:val="0"/>
        <w:adjustRightInd w:val="0"/>
        <w:snapToGrid/>
        <w:spacing w:line="288" w:lineRule="auto"/>
        <w:ind w:left="0" w:firstLine="422" w:firstLineChars="200"/>
        <w:jc w:val="both"/>
        <w:textAlignment w:val="auto"/>
        <w:rPr>
          <w:rFonts w:hint="eastAsia" w:ascii="宋体" w:hAnsi="宋体" w:eastAsia="宋体" w:cs="宋体"/>
          <w:b/>
          <w:snapToGrid w:val="0"/>
          <w:color w:val="auto"/>
          <w:kern w:val="2"/>
          <w:sz w:val="21"/>
          <w:szCs w:val="21"/>
          <w:highlight w:val="none"/>
          <w:lang w:val="en-US" w:eastAsia="zh-CN" w:bidi="ar-SA"/>
        </w:rPr>
      </w:pPr>
      <w:r>
        <w:rPr>
          <w:rFonts w:hint="eastAsia" w:ascii="宋体" w:hAnsi="宋体" w:eastAsia="宋体" w:cs="宋体"/>
          <w:b/>
          <w:snapToGrid w:val="0"/>
          <w:color w:val="auto"/>
          <w:kern w:val="2"/>
          <w:sz w:val="21"/>
          <w:szCs w:val="21"/>
          <w:highlight w:val="none"/>
          <w:lang w:val="en-US" w:eastAsia="zh-CN" w:bidi="ar-SA"/>
        </w:rPr>
        <w:t>2.2 产品规格尺寸要求和说明：</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（1）采购清单中所有定制类产品已逐一标注具体规格尺寸要求，投标人应当严格按照采购人提出的规格尺寸进行投标响应，产品尺寸合理误差范围为±3㎜；</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2）采购清单中非定制类产品所标注的规格尺寸是各需求学校根据自身场地安装条件制定，投标人应尽可能的选择符合需求学校要求的尺寸的产品参加投标，但在不影响安装、整体美观度以及实际使用功能的前提下，允许存在合理的尺寸偏差。</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（3）投标人应协助采购人因场地原因提出的部分产品尺寸的细微调整，产生的费用请各投标人在报价时综合评估，并计入投标总价。</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i/>
          <w:snapToGrid w:val="0"/>
          <w:color w:val="auto"/>
          <w:kern w:val="2"/>
          <w:sz w:val="21"/>
          <w:szCs w:val="21"/>
          <w:highlight w:val="none"/>
          <w:u w:val="single"/>
          <w:lang w:val="en-US" w:eastAsia="zh-CN" w:bidi="ar-SA"/>
        </w:rPr>
      </w:pPr>
      <w:r>
        <w:rPr>
          <w:rFonts w:hint="eastAsia" w:ascii="宋体" w:hAnsi="宋体" w:eastAsia="宋体" w:cs="宋体"/>
          <w:snapToGrid w:val="0"/>
          <w:color w:val="auto"/>
          <w:kern w:val="2"/>
          <w:sz w:val="21"/>
          <w:szCs w:val="21"/>
          <w:highlight w:val="none"/>
          <w:lang w:val="en-US" w:eastAsia="zh-CN" w:bidi="ar-SA"/>
        </w:rPr>
        <w:t>2.3 由于部分产品的技术参数、功能、外观结构以及材质工艺无法逐一准确描述，因此在本章节技术要求中对部分产品提供了结构及功能示意图，结构及功能示意图仅仅是为了让各个投标人更好的理解本次采购的需求，并非对投标产品进行指定或指明，我们欢迎投标人选择其他同等档次或更优的产品参加本次投标。</w:t>
      </w:r>
    </w:p>
    <w:p>
      <w:pPr>
        <w:pageBreakBefore w:val="0"/>
        <w:widowControl w:val="0"/>
        <w:kinsoku/>
        <w:wordWrap/>
        <w:overflowPunct/>
        <w:topLinePunct w:val="0"/>
        <w:bidi w:val="0"/>
        <w:adjustRightInd w:val="0"/>
        <w:snapToGrid/>
        <w:spacing w:line="288" w:lineRule="auto"/>
        <w:ind w:left="0" w:firstLine="404" w:firstLineChars="200"/>
        <w:jc w:val="both"/>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spacing w:val="-4"/>
          <w:kern w:val="2"/>
          <w:sz w:val="21"/>
          <w:szCs w:val="21"/>
          <w:highlight w:val="none"/>
          <w:lang w:val="en-US" w:eastAsia="zh-CN" w:bidi="ar-SA"/>
        </w:rPr>
        <w:t xml:space="preserve">2.4 </w:t>
      </w:r>
      <w:r>
        <w:rPr>
          <w:rFonts w:hint="eastAsia" w:ascii="宋体" w:hAnsi="宋体" w:eastAsia="宋体" w:cs="宋体"/>
          <w:snapToGrid w:val="0"/>
          <w:color w:val="auto"/>
          <w:kern w:val="2"/>
          <w:sz w:val="21"/>
          <w:szCs w:val="21"/>
          <w:highlight w:val="none"/>
          <w:lang w:val="en-US" w:eastAsia="zh-CN" w:bidi="ar-SA"/>
        </w:rPr>
        <w:t>本次采购中的</w:t>
      </w:r>
      <w:r>
        <w:rPr>
          <w:rFonts w:hint="eastAsia" w:ascii="宋体" w:hAnsi="宋体" w:eastAsia="宋体" w:cs="宋体"/>
          <w:snapToGrid w:val="0"/>
          <w:color w:val="auto"/>
          <w:spacing w:val="-4"/>
          <w:kern w:val="2"/>
          <w:sz w:val="21"/>
          <w:szCs w:val="21"/>
          <w:highlight w:val="none"/>
          <w:lang w:val="en-US" w:eastAsia="zh-CN" w:bidi="ar-SA"/>
        </w:rPr>
        <w:t>所有不锈钢板、不锈钢圆方管、方管</w:t>
      </w:r>
      <w:r>
        <w:rPr>
          <w:rFonts w:hint="eastAsia" w:ascii="宋体" w:hAnsi="宋体" w:eastAsia="宋体" w:cs="宋体"/>
          <w:snapToGrid w:val="0"/>
          <w:color w:val="auto"/>
          <w:kern w:val="2"/>
          <w:sz w:val="21"/>
          <w:szCs w:val="21"/>
          <w:highlight w:val="none"/>
          <w:lang w:val="en-US" w:eastAsia="zh-CN" w:bidi="ar-SA"/>
        </w:rPr>
        <w:t>（</w:t>
      </w:r>
      <w:r>
        <w:rPr>
          <w:rFonts w:hint="eastAsia" w:ascii="宋体" w:hAnsi="宋体" w:eastAsia="宋体" w:cs="宋体"/>
          <w:snapToGrid w:val="0"/>
          <w:color w:val="auto"/>
          <w:spacing w:val="-4"/>
          <w:kern w:val="2"/>
          <w:sz w:val="21"/>
          <w:szCs w:val="21"/>
          <w:highlight w:val="none"/>
          <w:lang w:val="en-US" w:eastAsia="zh-CN" w:bidi="ar-SA"/>
        </w:rPr>
        <w:t>含水、风、汽</w:t>
      </w:r>
      <w:r>
        <w:rPr>
          <w:rFonts w:hint="eastAsia" w:ascii="宋体" w:hAnsi="宋体" w:eastAsia="宋体" w:cs="宋体"/>
          <w:snapToGrid w:val="0"/>
          <w:color w:val="auto"/>
          <w:spacing w:val="-120"/>
          <w:kern w:val="2"/>
          <w:sz w:val="21"/>
          <w:szCs w:val="21"/>
          <w:highlight w:val="none"/>
          <w:lang w:val="en-US" w:eastAsia="zh-CN" w:bidi="ar-SA"/>
        </w:rPr>
        <w:t>）</w:t>
      </w:r>
      <w:r>
        <w:rPr>
          <w:rFonts w:hint="eastAsia" w:ascii="宋体" w:hAnsi="宋体" w:eastAsia="宋体" w:cs="宋体"/>
          <w:snapToGrid w:val="0"/>
          <w:color w:val="auto"/>
          <w:spacing w:val="-4"/>
          <w:kern w:val="2"/>
          <w:sz w:val="21"/>
          <w:szCs w:val="21"/>
          <w:highlight w:val="none"/>
          <w:lang w:val="en-US" w:eastAsia="zh-CN" w:bidi="ar-SA"/>
        </w:rPr>
        <w:t>、管路均要求为国标，其中灶具内水管采</w:t>
      </w:r>
      <w:r>
        <w:rPr>
          <w:rFonts w:hint="eastAsia" w:ascii="宋体" w:hAnsi="宋体" w:eastAsia="宋体" w:cs="宋体"/>
          <w:snapToGrid w:val="0"/>
          <w:color w:val="auto"/>
          <w:kern w:val="2"/>
          <w:sz w:val="21"/>
          <w:szCs w:val="21"/>
          <w:highlight w:val="none"/>
          <w:lang w:val="en-US" w:eastAsia="zh-CN" w:bidi="ar-SA"/>
        </w:rPr>
        <w:t>用紫铜管。学校（幼儿园）采购清单中定制品的不锈钢管、不锈钢可调脚材质等级如无明确标明的，一律要求使用不低于201等级的不锈钢制造。</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b/>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w:t>
      </w:r>
      <w:r>
        <w:rPr>
          <w:rFonts w:hint="eastAsia" w:ascii="宋体" w:hAnsi="宋体" w:eastAsia="宋体" w:cs="宋体"/>
          <w:b/>
          <w:snapToGrid w:val="0"/>
          <w:color w:val="auto"/>
          <w:kern w:val="2"/>
          <w:sz w:val="21"/>
          <w:szCs w:val="21"/>
          <w:highlight w:val="none"/>
          <w:lang w:val="en-US" w:eastAsia="zh-CN" w:bidi="ar-SA"/>
        </w:rPr>
        <w:t>2.5 本次采购中的的所有燃气灶具使用的气源为管道天然气，投标人在炉灶、管道等设计时必须响应杭州市管道天然气的参数。投标人所投燃气灶具产品必须达到《商用燃气灶具能效限定值及能效等级》三级或以上标准（投标时提供相关证明文件）。</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b/>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w:t>
      </w:r>
      <w:r>
        <w:rPr>
          <w:rFonts w:hint="eastAsia" w:ascii="宋体" w:hAnsi="宋体" w:eastAsia="宋体" w:cs="宋体"/>
          <w:b/>
          <w:snapToGrid w:val="0"/>
          <w:color w:val="auto"/>
          <w:kern w:val="2"/>
          <w:sz w:val="21"/>
          <w:szCs w:val="21"/>
          <w:highlight w:val="none"/>
          <w:lang w:val="en-US" w:eastAsia="zh-CN" w:bidi="ar-SA"/>
        </w:rPr>
        <w:t>2.6 投标人所提供的“工业和商用电热食品加工设备”的生产企业须具有有效的《全国工业产品生产许可证》；投标人所提供的“各种消毒柜、消毒（杀菌）灯等消毒产品”的生产企业须具有有效的《消毒产品生产企业卫生许可证》；投标人所提供的其他产品在生产或销售中如涉及相关许可、认证等强制性规定的，应当符合其规定（投标时提供上述证书或相关证明材料的复印件，加盖投标人公章）。</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b/>
          <w:bCs/>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w:t>
      </w:r>
      <w:r>
        <w:rPr>
          <w:rFonts w:hint="eastAsia" w:ascii="宋体" w:hAnsi="宋体" w:eastAsia="宋体" w:cs="宋体"/>
          <w:b/>
          <w:snapToGrid w:val="0"/>
          <w:color w:val="auto"/>
          <w:kern w:val="2"/>
          <w:sz w:val="21"/>
          <w:szCs w:val="21"/>
          <w:highlight w:val="none"/>
          <w:lang w:val="en-US" w:eastAsia="zh-CN" w:bidi="ar-SA"/>
        </w:rPr>
        <w:t xml:space="preserve">2.7 </w:t>
      </w:r>
      <w:r>
        <w:rPr>
          <w:rFonts w:hint="eastAsia" w:ascii="宋体" w:hAnsi="宋体" w:eastAsia="宋体" w:cs="宋体"/>
          <w:b/>
          <w:bCs/>
          <w:snapToGrid w:val="0"/>
          <w:color w:val="auto"/>
          <w:kern w:val="2"/>
          <w:sz w:val="21"/>
          <w:szCs w:val="21"/>
          <w:highlight w:val="none"/>
          <w:lang w:val="en-US" w:eastAsia="zh-CN" w:bidi="ar-SA"/>
        </w:rPr>
        <w:t>采购清单中的设备如果国家有强制进行3C认证的，必须通过国家3C强制认证，交货时提供3C强制认证证书复印件加盖公章。</w:t>
      </w:r>
    </w:p>
    <w:p>
      <w:pPr>
        <w:pageBreakBefore w:val="0"/>
        <w:widowControl w:val="0"/>
        <w:kinsoku/>
        <w:wordWrap/>
        <w:overflowPunct/>
        <w:topLinePunct w:val="0"/>
        <w:bidi w:val="0"/>
        <w:adjustRightInd w:val="0"/>
        <w:snapToGrid/>
        <w:spacing w:line="288" w:lineRule="auto"/>
        <w:ind w:left="0" w:firstLine="422" w:firstLineChars="200"/>
        <w:jc w:val="both"/>
        <w:textAlignment w:val="auto"/>
        <w:rPr>
          <w:rFonts w:hint="eastAsia" w:ascii="宋体" w:hAnsi="宋体" w:eastAsia="宋体" w:cs="宋体"/>
          <w:b/>
          <w:snapToGrid w:val="0"/>
          <w:color w:val="auto"/>
          <w:kern w:val="2"/>
          <w:sz w:val="21"/>
          <w:szCs w:val="21"/>
          <w:highlight w:val="none"/>
          <w:lang w:val="en-US" w:eastAsia="zh-CN" w:bidi="ar-SA"/>
        </w:rPr>
      </w:pPr>
      <w:r>
        <w:rPr>
          <w:rFonts w:hint="eastAsia" w:ascii="宋体" w:hAnsi="宋体" w:eastAsia="宋体" w:cs="宋体"/>
          <w:b/>
          <w:snapToGrid w:val="0"/>
          <w:color w:val="auto"/>
          <w:kern w:val="2"/>
          <w:sz w:val="21"/>
          <w:szCs w:val="21"/>
          <w:highlight w:val="none"/>
          <w:lang w:val="en-US" w:eastAsia="zh-CN" w:bidi="ar-SA"/>
        </w:rPr>
        <w:t>2.8 投标人所提供的产品质量标准均须符合国家、行业相关标准要求，上述标准不一致的，以国家标准为准；没有国家标准、行业标准的，按照通常标准或者符合合同目的的特定标准确定。</w:t>
      </w:r>
    </w:p>
    <w:p>
      <w:pPr>
        <w:pageBreakBefore w:val="0"/>
        <w:widowControl w:val="0"/>
        <w:kinsoku/>
        <w:wordWrap/>
        <w:overflowPunct/>
        <w:topLinePunct w:val="0"/>
        <w:bidi w:val="0"/>
        <w:adjustRightInd w:val="0"/>
        <w:snapToGrid/>
        <w:spacing w:line="288" w:lineRule="auto"/>
        <w:ind w:left="0" w:firstLine="422" w:firstLineChars="200"/>
        <w:jc w:val="both"/>
        <w:textAlignment w:val="auto"/>
        <w:rPr>
          <w:rFonts w:hint="eastAsia" w:ascii="宋体" w:hAnsi="宋体" w:eastAsia="宋体" w:cs="宋体"/>
          <w:b/>
          <w:snapToGrid w:val="0"/>
          <w:color w:val="auto"/>
          <w:kern w:val="2"/>
          <w:sz w:val="21"/>
          <w:szCs w:val="21"/>
          <w:highlight w:val="none"/>
          <w:lang w:val="en-US" w:eastAsia="zh-CN" w:bidi="ar-SA"/>
        </w:rPr>
      </w:pPr>
      <w:r>
        <w:rPr>
          <w:rFonts w:hint="eastAsia" w:ascii="宋体" w:hAnsi="宋体" w:eastAsia="宋体" w:cs="宋体"/>
          <w:b/>
          <w:snapToGrid w:val="0"/>
          <w:color w:val="auto"/>
          <w:kern w:val="2"/>
          <w:sz w:val="21"/>
          <w:szCs w:val="21"/>
          <w:highlight w:val="none"/>
          <w:lang w:val="en-US" w:eastAsia="zh-CN" w:bidi="ar-SA"/>
        </w:rPr>
        <w:t>2.9 拟派项目团队要求：</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1）投标人应当根据采购需求以及自身经验，委派专业的项目服务团队承担合同履行工作。项目团队包含项目负责人、安全管理人员、安装调试等专业技术人员，专业技术人员应当符合国家相关资质要求；投标人拟派项目团队人员应当是投标人在职员工，具有社保缴纳或合同证明。</w:t>
      </w:r>
    </w:p>
    <w:p>
      <w:pPr>
        <w:pageBreakBefore w:val="0"/>
        <w:widowControl w:val="0"/>
        <w:kinsoku/>
        <w:wordWrap/>
        <w:overflowPunct/>
        <w:topLinePunct w:val="0"/>
        <w:bidi w:val="0"/>
        <w:adjustRightInd w:val="0"/>
        <w:snapToGrid/>
        <w:spacing w:line="288" w:lineRule="auto"/>
        <w:ind w:left="0" w:firstLine="420" w:firstLineChars="200"/>
        <w:jc w:val="both"/>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2"/>
          <w:sz w:val="21"/>
          <w:szCs w:val="21"/>
          <w:highlight w:val="none"/>
          <w:lang w:val="en-US" w:eastAsia="zh-CN" w:bidi="ar-SA"/>
        </w:rPr>
        <w:t>（2）本项目的安装可能涉及特种作业，投标人在项目团队人员委派时应充分考虑特种作业相关资格规定，指派符合相关规定的人员承担特种作业工作。</w:t>
      </w:r>
    </w:p>
    <w:p>
      <w:pPr>
        <w:pageBreakBefore w:val="0"/>
        <w:widowControl w:val="0"/>
        <w:kinsoku/>
        <w:wordWrap/>
        <w:overflowPunct/>
        <w:topLinePunct w:val="0"/>
        <w:bidi w:val="0"/>
        <w:adjustRightInd w:val="0"/>
        <w:snapToGrid/>
        <w:spacing w:line="288"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（3）投标文件中明确的人员在项目开展过程中不得擅自更换，如需更换应提前10个工作日以书面形式通知采购人，经采购人同意后方可更换。更换后的人员资质及经验不得低于更换前。</w:t>
      </w:r>
    </w:p>
    <w:p>
      <w:pPr>
        <w:pageBreakBefore w:val="0"/>
        <w:widowControl w:val="0"/>
        <w:kinsoku/>
        <w:wordWrap/>
        <w:overflowPunct/>
        <w:topLinePunct w:val="0"/>
        <w:bidi w:val="0"/>
        <w:adjustRightInd w:val="0"/>
        <w:snapToGrid/>
        <w:spacing w:line="288" w:lineRule="auto"/>
        <w:ind w:left="0" w:firstLine="422" w:firstLineChars="200"/>
        <w:jc w:val="both"/>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b/>
          <w:snapToGrid w:val="0"/>
          <w:color w:val="auto"/>
          <w:kern w:val="2"/>
          <w:sz w:val="21"/>
          <w:szCs w:val="21"/>
          <w:highlight w:val="none"/>
          <w:lang w:val="en-US" w:eastAsia="zh-CN" w:bidi="ar-SA"/>
        </w:rPr>
        <w:t>2.10 质量管理和控制要求：</w:t>
      </w:r>
      <w:r>
        <w:rPr>
          <w:rFonts w:hint="eastAsia" w:ascii="宋体" w:hAnsi="宋体" w:eastAsia="宋体" w:cs="宋体"/>
          <w:snapToGrid w:val="0"/>
          <w:color w:val="auto"/>
          <w:kern w:val="2"/>
          <w:sz w:val="21"/>
          <w:szCs w:val="21"/>
          <w:highlight w:val="none"/>
          <w:lang w:val="en-US" w:eastAsia="zh-CN" w:bidi="ar-SA"/>
        </w:rPr>
        <w:t>投标人应具备一定的质量管理和控制制度，严格把关产品质量，确保项目顺利实施。</w:t>
      </w:r>
    </w:p>
    <w:p>
      <w:pPr>
        <w:pageBreakBefore w:val="0"/>
        <w:widowControl w:val="0"/>
        <w:kinsoku/>
        <w:wordWrap/>
        <w:overflowPunct/>
        <w:topLinePunct w:val="0"/>
        <w:bidi w:val="0"/>
        <w:adjustRightInd w:val="0"/>
        <w:snapToGrid/>
        <w:spacing w:line="288"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2.11</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项目整体实施方案要求：</w:t>
      </w:r>
      <w:r>
        <w:rPr>
          <w:rFonts w:hint="eastAsia" w:ascii="宋体" w:hAnsi="宋体" w:eastAsia="宋体" w:cs="宋体"/>
          <w:color w:val="auto"/>
          <w:sz w:val="21"/>
          <w:szCs w:val="21"/>
          <w:highlight w:val="none"/>
        </w:rPr>
        <w:t>请投标人在投标时提出合理的项目整体实施方案，阐明实施节点以及各阶段工作内容。要求方案内容完整、清晰、明确，且具备可行性。</w:t>
      </w:r>
    </w:p>
    <w:p>
      <w:pPr>
        <w:pageBreakBefore w:val="0"/>
        <w:widowControl w:val="0"/>
        <w:kinsoku/>
        <w:wordWrap/>
        <w:overflowPunct/>
        <w:topLinePunct w:val="0"/>
        <w:bidi w:val="0"/>
        <w:adjustRightInd w:val="0"/>
        <w:snapToGrid/>
        <w:spacing w:line="288"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2.12</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品质管理方案要求：</w:t>
      </w:r>
      <w:r>
        <w:rPr>
          <w:rFonts w:hint="eastAsia" w:ascii="宋体" w:hAnsi="宋体" w:eastAsia="宋体" w:cs="宋体"/>
          <w:color w:val="auto"/>
          <w:sz w:val="21"/>
          <w:szCs w:val="21"/>
          <w:highlight w:val="none"/>
        </w:rPr>
        <w:t>请投标人在投标时投标人应提出完整、有效的品质管理方案，方案应当科学、合理，确保合同履约过程中的质量控制完善。方案内容完整、清晰、明确，且具备可行性</w:t>
      </w:r>
    </w:p>
    <w:p>
      <w:pPr>
        <w:pageBreakBefore w:val="0"/>
        <w:widowControl w:val="0"/>
        <w:kinsoku/>
        <w:wordWrap/>
        <w:overflowPunct/>
        <w:topLinePunct w:val="0"/>
        <w:bidi w:val="0"/>
        <w:adjustRightInd w:val="0"/>
        <w:snapToGrid/>
        <w:spacing w:line="288"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2.13</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安装调试实施方案要求：</w:t>
      </w:r>
      <w:r>
        <w:rPr>
          <w:rFonts w:hint="eastAsia" w:ascii="宋体" w:hAnsi="宋体" w:eastAsia="宋体" w:cs="宋体"/>
          <w:color w:val="auto"/>
          <w:sz w:val="21"/>
          <w:szCs w:val="21"/>
          <w:highlight w:val="none"/>
        </w:rPr>
        <w:t>请投标人在投标时投标人应提出完整、有效的安装调试实施方案，详细阐述安装调试的技术标准和质量控制措施。方案内容完整、清晰、明确，且具备可行性。</w:t>
      </w:r>
    </w:p>
    <w:p>
      <w:pPr>
        <w:pageBreakBefore w:val="0"/>
        <w:widowControl w:val="0"/>
        <w:kinsoku/>
        <w:wordWrap/>
        <w:overflowPunct/>
        <w:topLinePunct w:val="0"/>
        <w:bidi w:val="0"/>
        <w:adjustRightInd w:val="0"/>
        <w:snapToGrid/>
        <w:spacing w:line="288" w:lineRule="auto"/>
        <w:ind w:left="0" w:firstLine="422" w:firstLineChars="200"/>
        <w:textAlignment w:val="auto"/>
        <w:rPr>
          <w:rFonts w:ascii="宋体" w:hAnsi="宋体" w:cs="宋体"/>
          <w:color w:val="auto"/>
          <w:szCs w:val="21"/>
          <w:highlight w:val="none"/>
        </w:rPr>
      </w:pPr>
      <w:r>
        <w:rPr>
          <w:rFonts w:hint="eastAsia" w:ascii="宋体" w:hAnsi="宋体" w:eastAsia="宋体" w:cs="宋体"/>
          <w:b/>
          <w:color w:val="auto"/>
          <w:sz w:val="21"/>
          <w:szCs w:val="21"/>
          <w:highlight w:val="none"/>
        </w:rPr>
        <w:t>2.14</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售后服务措施和方案要求：</w:t>
      </w:r>
      <w:r>
        <w:rPr>
          <w:rFonts w:hint="eastAsia" w:ascii="宋体" w:hAnsi="宋体" w:eastAsia="宋体" w:cs="宋体"/>
          <w:color w:val="auto"/>
          <w:sz w:val="21"/>
          <w:szCs w:val="21"/>
          <w:highlight w:val="none"/>
        </w:rPr>
        <w:t>请投标人在投标时提供详细完整的售后服务措施和方案（包括售后服务措施、售后服务机构和人员配置情况说明、售后服务质量保证措施、回访服务制度、技术培训等），要求提供的方案内容完整、清晰、明确，且具备可行性。</w:t>
      </w:r>
    </w:p>
    <w:p>
      <w:pPr>
        <w:snapToGrid w:val="0"/>
        <w:spacing w:line="288" w:lineRule="auto"/>
        <w:ind w:firstLine="406" w:firstLineChars="200"/>
        <w:rPr>
          <w:rFonts w:ascii="宋体" w:hAnsi="宋体"/>
          <w:b/>
          <w:bCs/>
          <w:color w:val="auto"/>
          <w:spacing w:val="-4"/>
          <w:szCs w:val="21"/>
          <w:highlight w:val="none"/>
        </w:rPr>
      </w:pPr>
      <w:bookmarkStart w:id="561" w:name="_GoBack"/>
      <w:bookmarkEnd w:id="561"/>
      <w:r>
        <w:rPr>
          <w:rFonts w:hint="eastAsia" w:ascii="宋体" w:hAnsi="宋体"/>
          <w:b/>
          <w:bCs/>
          <w:color w:val="auto"/>
          <w:spacing w:val="-4"/>
          <w:szCs w:val="21"/>
          <w:highlight w:val="none"/>
        </w:rPr>
        <w:t>3.需满足的质量、安全、技术规格、物理特性等要求：</w:t>
      </w:r>
    </w:p>
    <w:p>
      <w:pPr>
        <w:rPr>
          <w:rFonts w:ascii="宋体" w:hAnsi="宋体" w:cs="宋体"/>
          <w:b/>
          <w:color w:val="auto"/>
          <w:szCs w:val="21"/>
          <w:highlight w:val="none"/>
        </w:rPr>
      </w:pPr>
    </w:p>
    <w:p>
      <w:pPr>
        <w:pStyle w:val="2"/>
        <w:sectPr>
          <w:footerReference r:id="rId3" w:type="default"/>
          <w:pgSz w:w="11907" w:h="16840"/>
          <w:pgMar w:top="1474" w:right="1814" w:bottom="1474" w:left="1814" w:header="851" w:footer="851" w:gutter="0"/>
          <w:pgNumType w:start="1"/>
          <w:cols w:space="720" w:num="1"/>
        </w:sectPr>
      </w:pPr>
    </w:p>
    <w:tbl>
      <w:tblPr>
        <w:tblStyle w:val="62"/>
        <w:tblW w:w="141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3044"/>
        <w:gridCol w:w="870"/>
        <w:gridCol w:w="780"/>
        <w:gridCol w:w="6945"/>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044"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87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78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6945"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（功能或者目标）、质量、安全、技术参考规格、物理特性等要求</w:t>
            </w:r>
          </w:p>
        </w:tc>
        <w:tc>
          <w:tcPr>
            <w:tcW w:w="1845"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一、杭州市胜蓝中学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燃气双眼大锅灶1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1.参考规格：2000*1200*800+350mm；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2.炉台面板采用≥1.0mm厚304不锈钢制作，其它采用≥0.7mm厚不锈钢板制作；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3.主体骨架用4#角铁；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4.整体式炉膛,具有火焰集中装置；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5.前置来水控制，水源接口为DN15,排污口为DN38；</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6.功率：220V/0.5KW；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7.配锅两只。</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90600" cy="7905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990600" cy="7905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燃气一大一小灶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1.参考规格：2000*1200*800+350mm；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2.炉台面板采用≥1.0mm厚304不锈钢制作，其它采用≥0.7mm厚不锈钢板制作；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3.主体骨架用4#角铁；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4.整体式炉膛,具有火焰集中装置；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5.前置来水控制，水源接口为DN15,排污口为DN38；</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6.功率：220V/0.5KW；</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7.配锅两只。</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71550" cy="857250"/>
                  <wp:effectExtent l="0" t="0" r="0" b="0"/>
                  <wp:docPr id="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7"/>
                          <pic:cNvPicPr>
                            <a:picLocks noChangeAspect="1" noChangeArrowheads="1"/>
                          </pic:cNvPicPr>
                        </pic:nvPicPr>
                        <pic:blipFill>
                          <a:blip r:embed="rId11"/>
                          <a:srcRect/>
                          <a:stretch>
                            <a:fillRect/>
                          </a:stretch>
                        </pic:blipFill>
                        <pic:spPr>
                          <a:xfrm>
                            <a:off x="0" y="0"/>
                            <a:ext cx="971550" cy="8572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上翻门万能组合消毒柜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1.参考规格：1200*600*1800mm；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2.板材采用≥0.8mm厚304不锈钢；</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3.电压：220V；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4.紫外线功率：≥17W；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5.红外线功率：≥300W；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6.消毒方式：紫外线加臭氧红外线循环风；</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7.消毒刀数量：≥20把；</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8.消毒毛巾数量：≥24块；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9.消毒砧板数量：≥10块。</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66750" cy="876300"/>
                  <wp:effectExtent l="0" t="0" r="0" b="0"/>
                  <wp:docPr id="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0"/>
                          <pic:cNvPicPr>
                            <a:picLocks noChangeAspect="1" noChangeArrowheads="1"/>
                          </pic:cNvPicPr>
                        </pic:nvPicPr>
                        <pic:blipFill>
                          <a:blip r:embed="rId12" cstate="print"/>
                          <a:srcRect/>
                          <a:stretch>
                            <a:fillRect/>
                          </a:stretch>
                        </pic:blipFill>
                        <pic:spPr>
                          <a:xfrm>
                            <a:off x="0" y="0"/>
                            <a:ext cx="666750" cy="8763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电热双门蒸饭车</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1.参考规格：24盘</w:t>
            </w:r>
            <w:r>
              <w:rPr>
                <w:rFonts w:hint="eastAsia" w:ascii="宋体" w:hAnsi="宋体" w:eastAsia="宋体" w:cs="宋体"/>
                <w:color w:val="auto"/>
                <w:sz w:val="21"/>
                <w:szCs w:val="21"/>
                <w:highlight w:val="none"/>
                <w:lang w:bidi="ar"/>
              </w:rPr>
              <w:t>（配饭盘24只）；</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2.箱体主框采用≥1.0mm厚304不锈钢制作；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3.采用自锁门,门板厚度≥0.8mm；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4.具有低水位保护功能；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5.功率：380V/12KW*2</w:t>
            </w:r>
            <w:r>
              <w:rPr>
                <w:rFonts w:hint="eastAsia" w:ascii="宋体" w:hAnsi="宋体" w:eastAsia="宋体" w:cs="宋体"/>
                <w:color w:val="auto"/>
                <w:sz w:val="21"/>
                <w:szCs w:val="21"/>
                <w:highlight w:val="none"/>
                <w:lang w:bidi="ar"/>
              </w:rPr>
              <w:t>。</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57225" cy="809625"/>
                  <wp:effectExtent l="0" t="0" r="0" b="0"/>
                  <wp:docPr id="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3"/>
                          <pic:cNvPicPr>
                            <a:picLocks noChangeAspect="1" noChangeArrowheads="1"/>
                          </pic:cNvPicPr>
                        </pic:nvPicPr>
                        <pic:blipFill>
                          <a:blip r:embed="rId13"/>
                          <a:srcRect/>
                          <a:stretch>
                            <a:fillRect/>
                          </a:stretch>
                        </pic:blipFill>
                        <pic:spPr>
                          <a:xfrm>
                            <a:off x="0" y="0"/>
                            <a:ext cx="657225" cy="8096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多功能切菜机1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1.参考规格（约）：1160*550*1250mm；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2.生产能力：300-1200KG/H；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3.功率（约）：2.75KW。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85825" cy="695325"/>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4" cstate="print"/>
                          <a:srcRect/>
                          <a:stretch>
                            <a:fillRect/>
                          </a:stretch>
                        </pic:blipFill>
                        <pic:spPr>
                          <a:xfrm>
                            <a:off x="0" y="0"/>
                            <a:ext cx="885825" cy="6953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三格保温台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1.参考规格：1200*700*800mm；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2.板材采用≥0.7mm厚304不锈钢；</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3.配304不锈钢1/1机压份数盘连盖3个。</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47725" cy="561975"/>
                  <wp:effectExtent l="0" t="0" r="0"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noChangeArrowheads="1"/>
                          </pic:cNvPicPr>
                        </pic:nvPicPr>
                        <pic:blipFill>
                          <a:blip r:embed="rId15" cstate="print"/>
                          <a:srcRect/>
                          <a:stretch>
                            <a:fillRect/>
                          </a:stretch>
                        </pic:blipFill>
                        <pic:spPr>
                          <a:xfrm>
                            <a:off x="0" y="0"/>
                            <a:ext cx="847725" cy="5619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工作台</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3</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台</w:t>
            </w:r>
          </w:p>
        </w:tc>
        <w:tc>
          <w:tcPr>
            <w:tcW w:w="6945" w:type="dxa"/>
            <w:vAlign w:val="center"/>
          </w:tcPr>
          <w:p>
            <w:pPr>
              <w:adjustRightInd/>
              <w:spacing w:line="240" w:lineRule="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1.参考规格：1500*600*800mm；</w:t>
            </w:r>
            <w:r>
              <w:rPr>
                <w:rFonts w:hint="eastAsia" w:ascii="宋体" w:hAnsi="宋体" w:eastAsia="宋体" w:cs="宋体"/>
                <w:color w:val="auto"/>
                <w:sz w:val="21"/>
                <w:szCs w:val="21"/>
                <w:highlight w:val="none"/>
                <w:lang w:bidi="ar"/>
              </w:rPr>
              <w:br w:type="textWrapping"/>
            </w:r>
            <w:r>
              <w:rPr>
                <w:rFonts w:hint="eastAsia" w:ascii="宋体" w:hAnsi="宋体" w:eastAsia="宋体" w:cs="宋体"/>
                <w:color w:val="auto"/>
                <w:sz w:val="21"/>
                <w:szCs w:val="21"/>
                <w:highlight w:val="none"/>
                <w:lang w:bidi="ar"/>
              </w:rPr>
              <w:t>2.台面板采用≥1.0mm厚304不锈钢制作，其它采用≥0.7mm厚不锈钢板制作；</w:t>
            </w:r>
          </w:p>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3.采用φ38mm不锈钢圆通腿，φ32mm不锈钢下橫通，配不锈钢可调脚。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05510" cy="531495"/>
                  <wp:effectExtent l="0" t="0" r="8890" b="1905"/>
                  <wp:docPr id="10" name="图片 10" descr="1697715834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97715834170.png"/>
                          <pic:cNvPicPr>
                            <a:picLocks noChangeAspect="1"/>
                          </pic:cNvPicPr>
                        </pic:nvPicPr>
                        <pic:blipFill>
                          <a:blip r:embed="rId16" cstate="print"/>
                          <a:srcRect/>
                          <a:stretch>
                            <a:fillRect/>
                          </a:stretch>
                        </pic:blipFill>
                        <pic:spPr>
                          <a:xfrm>
                            <a:off x="0" y="0"/>
                            <a:ext cx="905510" cy="5314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调料台1</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台</w:t>
            </w:r>
          </w:p>
        </w:tc>
        <w:tc>
          <w:tcPr>
            <w:tcW w:w="6945" w:type="dxa"/>
            <w:vAlign w:val="center"/>
          </w:tcPr>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1.参考规格：600*1200*800+350mm；</w:t>
            </w:r>
            <w:r>
              <w:rPr>
                <w:rFonts w:hint="eastAsia" w:ascii="宋体" w:hAnsi="宋体" w:eastAsia="宋体" w:cs="宋体"/>
                <w:color w:val="auto"/>
                <w:sz w:val="21"/>
                <w:szCs w:val="21"/>
                <w:highlight w:val="none"/>
                <w:lang w:bidi="ar"/>
              </w:rPr>
              <w:br w:type="textWrapping"/>
            </w:r>
            <w:r>
              <w:rPr>
                <w:rFonts w:hint="eastAsia" w:ascii="宋体" w:hAnsi="宋体" w:eastAsia="宋体" w:cs="宋体"/>
                <w:color w:val="auto"/>
                <w:sz w:val="21"/>
                <w:szCs w:val="21"/>
                <w:highlight w:val="none"/>
                <w:lang w:bidi="ar"/>
              </w:rPr>
              <w:t>2.台面板采用≥1.0mm厚304不锈钢制作，其它采用≥0.7mm厚不锈钢板制作；</w:t>
            </w:r>
            <w:r>
              <w:rPr>
                <w:rFonts w:hint="eastAsia" w:ascii="宋体" w:hAnsi="宋体" w:eastAsia="宋体" w:cs="宋体"/>
                <w:color w:val="auto"/>
                <w:sz w:val="21"/>
                <w:szCs w:val="21"/>
                <w:highlight w:val="none"/>
                <w:lang w:bidi="ar"/>
              </w:rPr>
              <w:br w:type="textWrapping"/>
            </w:r>
            <w:r>
              <w:rPr>
                <w:rFonts w:hint="eastAsia" w:ascii="宋体" w:hAnsi="宋体" w:eastAsia="宋体" w:cs="宋体"/>
                <w:color w:val="auto"/>
                <w:sz w:val="21"/>
                <w:szCs w:val="21"/>
                <w:highlight w:val="none"/>
                <w:lang w:bidi="ar"/>
              </w:rPr>
              <w:t>3.采用φ38mm不锈钢圆通腿，φ32mm不锈钢下橫通，配不锈钢可调脚。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23925" cy="74295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17"/>
                          <a:srcRect/>
                          <a:stretch>
                            <a:fillRect/>
                          </a:stretch>
                        </pic:blipFill>
                        <pic:spPr>
                          <a:xfrm>
                            <a:off x="0" y="0"/>
                            <a:ext cx="923925" cy="7429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留样冰箱1</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台</w:t>
            </w:r>
          </w:p>
        </w:tc>
        <w:tc>
          <w:tcPr>
            <w:tcW w:w="6945" w:type="dxa"/>
            <w:vAlign w:val="center"/>
          </w:tcPr>
          <w:p>
            <w:pPr>
              <w:adjustRightInd/>
              <w:spacing w:line="240" w:lineRule="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1.参考规格</w:t>
            </w:r>
            <w:r>
              <w:rPr>
                <w:rFonts w:hint="eastAsia" w:ascii="宋体" w:hAnsi="宋体" w:eastAsia="宋体" w:cs="宋体"/>
                <w:color w:val="auto"/>
                <w:sz w:val="21"/>
                <w:szCs w:val="21"/>
                <w:highlight w:val="none"/>
                <w:lang w:bidi="ar"/>
              </w:rPr>
              <w:t>（约）</w:t>
            </w:r>
            <w:r>
              <w:rPr>
                <w:rFonts w:hint="eastAsia" w:ascii="宋体" w:hAnsi="宋体" w:eastAsia="宋体" w:cs="宋体"/>
                <w:color w:val="auto"/>
                <w:sz w:val="21"/>
                <w:szCs w:val="21"/>
                <w:highlight w:val="none"/>
                <w:lang w:bidi="ar"/>
              </w:rPr>
              <w:t>：600*750*1900mm；</w:t>
            </w:r>
          </w:p>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2.可调温度范围：0℃～+10℃；</w:t>
            </w:r>
          </w:p>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3.电压：220V；</w:t>
            </w:r>
          </w:p>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4.不锈钢外壳，不锈钢内胆，无氟环保冷媒；</w:t>
            </w:r>
          </w:p>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5.柜内为整体发泡；</w:t>
            </w:r>
          </w:p>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6.高效防漏加热丝置于箱体门框内，防止凝露产生；</w:t>
            </w:r>
          </w:p>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7.带门锁。</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34670" cy="796925"/>
                  <wp:effectExtent l="0" t="0" r="8255" b="3175"/>
                  <wp:docPr id="12" name="图片 1" descr="C:\Users\Lenovo\Documents\WeChat Files\wxid_c4t7xx6n0wpt22\FileStorage\Temp\04b0c904d62be6adb2893e20be97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enovo\Documents\WeChat Files\wxid_c4t7xx6n0wpt22\FileStorage\Temp\04b0c904d62be6adb2893e20be97ed0.jpg"/>
                          <pic:cNvPicPr>
                            <a:picLocks noChangeAspect="1" noChangeArrowheads="1"/>
                          </pic:cNvPicPr>
                        </pic:nvPicPr>
                        <pic:blipFill>
                          <a:blip r:embed="rId18"/>
                          <a:srcRect/>
                          <a:stretch>
                            <a:fillRect/>
                          </a:stretch>
                        </pic:blipFill>
                        <pic:spPr>
                          <a:xfrm>
                            <a:off x="0" y="0"/>
                            <a:ext cx="534670" cy="7969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二、杭州市安吉路实验学校（武林校区）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长龙式全自动洗碗机</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：4450*910*1960mm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2.产品功能：洗涤碗、碟、杯、托盘、刀、叉、调羹等餐具；</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3.传送带最快速度：≥6米/分钟；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4.最大洗涤量：≥12960碟/小时（8寸碟）；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5.耗水量：≤360L/小时；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6.清洗温度：55-70℃；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7.喷淋温度：82-90℃；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8.总配电量：≤75KW；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9.机械控制，支持单键操作。出入口两端具有“一按式”按钮开关；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10.洗涤室的天顶和墙壁及机门均为双层不锈钢板结构，保温隔热；</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11.360度环绕高温喷淋；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12.具有残渣过滤网，便于拆卸清洗；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13.具有红外线感应自动节能系统；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14.置顶式电控箱，设于视线水平高度；</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15.机器全部采用304不锈钢，包括除渣篮、排水杆。</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69975" cy="1047750"/>
                  <wp:effectExtent l="0" t="0" r="635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69975" cy="1047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紫外线消毒灯</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6</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只</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功率：220V/40W。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71525" cy="462915"/>
                  <wp:effectExtent l="0" t="0" r="0" b="3810"/>
                  <wp:docPr id="155" name="图片 155" descr="rawen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rawend25"/>
                          <pic:cNvPicPr>
                            <a:picLocks noChangeAspect="1" noChangeArrowheads="1"/>
                          </pic:cNvPicPr>
                        </pic:nvPicPr>
                        <pic:blipFill>
                          <a:blip r:embed="rId20" cstate="print"/>
                          <a:srcRect/>
                          <a:stretch>
                            <a:fillRect/>
                          </a:stretch>
                        </pic:blipFill>
                        <pic:spPr>
                          <a:xfrm>
                            <a:off x="0" y="0"/>
                            <a:ext cx="771525" cy="4629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风幕机1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1.参考规格：L=1500㎜；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2.风口风速：最高≥11m/s，最低≥4m/s；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3.风量：≥1300m</w:t>
            </w:r>
            <w:r>
              <w:rPr>
                <w:rFonts w:hint="eastAsia" w:ascii="宋体" w:hAnsi="宋体" w:eastAsia="宋体" w:cs="宋体"/>
                <w:color w:val="auto"/>
                <w:kern w:val="0"/>
                <w:sz w:val="21"/>
                <w:szCs w:val="21"/>
                <w:highlight w:val="none"/>
                <w:vertAlign w:val="superscript"/>
                <w:lang w:bidi="ar"/>
              </w:rPr>
              <w:t>3</w:t>
            </w:r>
            <w:r>
              <w:rPr>
                <w:rFonts w:hint="eastAsia" w:ascii="宋体" w:hAnsi="宋体" w:eastAsia="宋体" w:cs="宋体"/>
                <w:color w:val="auto"/>
                <w:kern w:val="0"/>
                <w:sz w:val="21"/>
                <w:szCs w:val="21"/>
                <w:highlight w:val="none"/>
                <w:lang w:bidi="ar"/>
              </w:rPr>
              <w:t>/H；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4.噪音：≤65Hz。</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89660" cy="800100"/>
                  <wp:effectExtent l="0" t="0" r="5715" b="0"/>
                  <wp:docPr id="154" name="图片 154"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风幕机"/>
                          <pic:cNvPicPr>
                            <a:picLocks noChangeAspect="1" noChangeArrowheads="1"/>
                          </pic:cNvPicPr>
                        </pic:nvPicPr>
                        <pic:blipFill>
                          <a:blip r:embed="rId21" cstate="print"/>
                          <a:srcRect/>
                          <a:stretch>
                            <a:fillRect/>
                          </a:stretch>
                        </pic:blipFill>
                        <pic:spPr>
                          <a:xfrm>
                            <a:off x="0" y="0"/>
                            <a:ext cx="1089660" cy="8001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粘捕式灭蝇灯</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1.电压：220V；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2.双管灭蝇灯，配套8W灯管 2支；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3.有效面积：≥90㎡。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90295" cy="704850"/>
                  <wp:effectExtent l="0" t="0" r="5080" b="0"/>
                  <wp:docPr id="153" name="图片 153"/>
                  <wp:cNvGraphicFramePr/>
                  <a:graphic xmlns:a="http://schemas.openxmlformats.org/drawingml/2006/main">
                    <a:graphicData uri="http://schemas.openxmlformats.org/drawingml/2006/picture">
                      <pic:pic xmlns:pic="http://schemas.openxmlformats.org/drawingml/2006/picture">
                        <pic:nvPicPr>
                          <pic:cNvPr id="153" name="图片 153"/>
                          <pic:cNvPicPr/>
                        </pic:nvPicPr>
                        <pic:blipFill>
                          <a:blip r:embed="rId22"/>
                          <a:stretch>
                            <a:fillRect/>
                          </a:stretch>
                        </pic:blipFill>
                        <pic:spPr>
                          <a:xfrm>
                            <a:off x="0" y="0"/>
                            <a:ext cx="1090295" cy="704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粘板刀具消毒柜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：1200*600*1800㎜；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2.组合消毒柜，可消毒：筷子勺子、毛巾、刀具、菜墩、砧板；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3.不锈钢制作，板厚≥1.0㎜；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4.消毒方式：臭氧、紫外线+中温烘干，自动定时；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5.功率（约）：370W。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94690" cy="1042670"/>
                  <wp:effectExtent l="0" t="0" r="635" b="508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23"/>
                          <a:stretch>
                            <a:fillRect/>
                          </a:stretch>
                        </pic:blipFill>
                        <pic:spPr>
                          <a:xfrm>
                            <a:off x="0" y="0"/>
                            <a:ext cx="694690" cy="10426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员工茶水吊柜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1.参考规格：900*200*900mm；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2.采用304不锈钢板制作，板厚≥0.8mm。</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18515" cy="619125"/>
                  <wp:effectExtent l="0" t="0" r="635" b="0"/>
                  <wp:docPr id="151" name="图片 151" descr="OMXEK5KY0RN9S}SP10AB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OMXEK5KY0RN9S}SP10ABW~S"/>
                          <pic:cNvPicPr>
                            <a:picLocks noChangeAspect="1"/>
                          </pic:cNvPicPr>
                        </pic:nvPicPr>
                        <pic:blipFill>
                          <a:blip r:embed="rId24"/>
                          <a:stretch>
                            <a:fillRect/>
                          </a:stretch>
                        </pic:blipFill>
                        <pic:spPr>
                          <a:xfrm>
                            <a:off x="0" y="0"/>
                            <a:ext cx="818515" cy="6191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洗碗机浸泡池（无背）</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1.参考规格：1200*800*860㎜；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2.水斗参考规格：1020*590*400㎜；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3.采用304不锈钢板制作，台面板厚≥1.0㎜，水斗板厚≥1.0㎜，三面围板厚≥1.0㎜，采用φ38*0.8㎜不锈钢圆通腿、φ25*0.8㎜不锈钢下橫通；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42670" cy="914400"/>
                  <wp:effectExtent l="0" t="0" r="5080" b="0"/>
                  <wp:docPr id="150" name="图片 150"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QQ图片单星盆台"/>
                          <pic:cNvPicPr>
                            <a:picLocks noChangeAspect="1" noChangeArrowheads="1"/>
                          </pic:cNvPicPr>
                        </pic:nvPicPr>
                        <pic:blipFill>
                          <a:blip r:embed="rId25" cstate="print"/>
                          <a:srcRect/>
                          <a:stretch>
                            <a:fillRect/>
                          </a:stretch>
                        </pic:blipFill>
                        <pic:spPr>
                          <a:xfrm>
                            <a:off x="0" y="0"/>
                            <a:ext cx="1042670" cy="9144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洗手长槽</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1.参考规格：2400*500*800/100mm；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2.选用304不锈钢板制作，台板厚≥1.0mm；支架为Φ38不锈钢管，配置不锈钢可调脚，配落水器；带后挡板；</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r>
              <w:rPr>
                <w:rFonts w:hint="eastAsia" w:ascii="宋体" w:hAnsi="宋体" w:eastAsia="宋体" w:cs="宋体"/>
                <w:color w:val="auto"/>
                <w:kern w:val="0"/>
                <w:sz w:val="21"/>
                <w:szCs w:val="21"/>
                <w:highlight w:val="none"/>
                <w:lang w:bidi="ar"/>
              </w:rPr>
              <w:t>带5个水龙头位。</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53440" cy="789305"/>
                  <wp:effectExtent l="0" t="0" r="3810" b="1270"/>
                  <wp:docPr id="149" name="图片 149" descr="长水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长水槽"/>
                          <pic:cNvPicPr>
                            <a:picLocks noChangeAspect="1" noChangeArrowheads="1"/>
                          </pic:cNvPicPr>
                        </pic:nvPicPr>
                        <pic:blipFill>
                          <a:blip r:embed="rId26" cstate="print">
                            <a:extLst>
                              <a:ext uri="{28A0092B-C50C-407E-A947-70E740481C1C}">
                                <a14:useLocalDpi xmlns:a14="http://schemas.microsoft.com/office/drawing/2010/main" val="0"/>
                              </a:ext>
                            </a:extLst>
                          </a:blip>
                          <a:srcRect l="1801" t="23651" b="23300"/>
                          <a:stretch>
                            <a:fillRect/>
                          </a:stretch>
                        </pic:blipFill>
                        <pic:spPr>
                          <a:xfrm>
                            <a:off x="0" y="0"/>
                            <a:ext cx="853440" cy="789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洗手星盆1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1.参考规格：600*450*800+100㎜；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2.水斗参考规格：400*300*200㎜；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3.采用304不锈钢制作：台面板厚≥1.2㎜，水斗板厚≥1.0㎜，三面围板厚≥1.0㎜，采用φ38*0.8㎜圆通腿、φ25*0.8㎜下橫通；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98830" cy="1033780"/>
                  <wp:effectExtent l="0" t="0" r="1270" b="4445"/>
                  <wp:docPr id="148" name="图片 148"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QQ图片单星盆台"/>
                          <pic:cNvPicPr>
                            <a:picLocks noChangeAspect="1" noChangeArrowheads="1"/>
                          </pic:cNvPicPr>
                        </pic:nvPicPr>
                        <pic:blipFill>
                          <a:blip r:embed="rId25" cstate="print"/>
                          <a:srcRect/>
                          <a:stretch>
                            <a:fillRect/>
                          </a:stretch>
                        </pic:blipFill>
                        <pic:spPr>
                          <a:xfrm>
                            <a:off x="0" y="0"/>
                            <a:ext cx="798830" cy="103378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拖把池（连挂架）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1.参考规格：1200*500*(600+1200)㎜；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2.采用304不锈钢板制作：台面板厚≥1.0㎜，水斗板厚≥1.0㎜；采用φ38*0.8㎜不锈钢圆通腿、φ25*0.8㎜不锈钢下橫通；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19480" cy="882650"/>
                  <wp:effectExtent l="0" t="0" r="4445" b="3175"/>
                  <wp:docPr id="147" name="图片 147" descr="说明: T1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说明: T1g3"/>
                          <pic:cNvPicPr>
                            <a:picLocks noChangeAspect="1" noChangeArrowheads="1"/>
                          </pic:cNvPicPr>
                        </pic:nvPicPr>
                        <pic:blipFill>
                          <a:blip r:embed="rId27" cstate="print"/>
                          <a:srcRect/>
                          <a:stretch>
                            <a:fillRect/>
                          </a:stretch>
                        </pic:blipFill>
                        <pic:spPr>
                          <a:xfrm>
                            <a:off x="0" y="0"/>
                            <a:ext cx="919480" cy="8826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四门全冷冻冰箱（风冷）</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：1220*750*1960㎜；</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2.箱体内外采用304不锈钢；</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3.采用环保发泡剂，制冷剂；</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4.全铜管冷凝器；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5.具备门体自动回归及悬停装置；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6.温度：-15℃～-22℃；</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7.功率（约）：0.75KW；</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8.制冷方式：风冷无霜。</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71855" cy="1007745"/>
                  <wp:effectExtent l="0" t="0" r="4445" b="190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28" cstate="print"/>
                          <a:srcRect/>
                          <a:stretch>
                            <a:fillRect/>
                          </a:stretch>
                        </pic:blipFill>
                        <pic:spPr>
                          <a:xfrm>
                            <a:off x="0" y="0"/>
                            <a:ext cx="871855" cy="10077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四层货架1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1.参考规格：1200*500*1800㎜；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2.采用304不锈钢方管制作，层外框采用38*25*0.8㎜不锈钢方管，层内档采用38*25*0.8㎜不锈钢方管制作格栅档，φ38*0.8㎜不锈钢圆通腿；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28015" cy="968375"/>
                  <wp:effectExtent l="0" t="0" r="635" b="3175"/>
                  <wp:docPr id="145" name="图片 145" descr="四层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四层货架"/>
                          <pic:cNvPicPr>
                            <a:picLocks noChangeAspect="1"/>
                          </pic:cNvPicPr>
                        </pic:nvPicPr>
                        <pic:blipFill>
                          <a:blip r:embed="rId29"/>
                          <a:srcRect l="18083" t="10616" r="17421" b="6229"/>
                          <a:stretch>
                            <a:fillRect/>
                          </a:stretch>
                        </pic:blipFill>
                        <pic:spPr>
                          <a:xfrm>
                            <a:off x="0" y="0"/>
                            <a:ext cx="628015" cy="9683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四层板架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10</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1.参考规格：1200*500*1800㎜；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2.采用304不锈钢板制作，层板厚≥1.0㎜，加强筋板厚≥1.0㎜，采用φ38*0.8㎜不锈钢圆通腿；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57225" cy="8382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30"/>
                          <a:stretch>
                            <a:fillRect/>
                          </a:stretch>
                        </pic:blipFill>
                        <pic:spPr>
                          <a:xfrm>
                            <a:off x="0" y="0"/>
                            <a:ext cx="657225" cy="8382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水池拼板</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1.参考规格：300*760*850+100㎜；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2.采用304不锈钢板制作，台面板厚≥1.0㎜，前围板厚≥1.0㎜，采用φ38*0.8㎜不锈钢圆通腿、φ25*0.8㎜不锈钢下橫通；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双星盆台1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1.参考规格：1800*760*850/100㎜；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2.水斗参考规格：765*550*280㎜；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3.采用304不锈钢板制作，台面板厚≥1.0㎜，水斗板厚≥1.0㎜，三面围板厚≥1.0㎜，采用φ38*0.8㎜不锈钢圆通腿、φ25*0.8㎜不锈钢下橫通；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70585" cy="870585"/>
                  <wp:effectExtent l="0" t="0" r="5715" b="5715"/>
                  <wp:docPr id="143" name="图片 143" descr="C:\Users\djm\Pictures\双星盆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djm\Pictures\双星盆台.png"/>
                          <pic:cNvPicPr>
                            <a:picLocks noChangeAspect="1"/>
                          </pic:cNvPicPr>
                        </pic:nvPicPr>
                        <pic:blipFill>
                          <a:blip r:embed="rId31" cstate="print"/>
                          <a:stretch>
                            <a:fillRect/>
                          </a:stretch>
                        </pic:blipFill>
                        <pic:spPr>
                          <a:xfrm>
                            <a:off x="0" y="0"/>
                            <a:ext cx="870585" cy="8705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双星盆台2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1.参考规格：1500*760*800+100㎜；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2.水斗参考规格：530*480*280㎜；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3.采用304不锈钢制作，台面板厚≥1.2㎜，水斗板厚≥1.0㎜，三面围板厚≥1.0㎜，采用φ38*0.8㎜圆通腿、φ25*0.8㎜下橫通；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70585" cy="870585"/>
                  <wp:effectExtent l="0" t="0" r="5715" b="5715"/>
                  <wp:docPr id="13" name="图片 13" descr="C:\Users\djm\Pictures\双星盆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jm\Pictures\双星盆台.png"/>
                          <pic:cNvPicPr>
                            <a:picLocks noChangeAspect="1"/>
                          </pic:cNvPicPr>
                        </pic:nvPicPr>
                        <pic:blipFill>
                          <a:blip r:embed="rId31" cstate="print"/>
                          <a:stretch>
                            <a:fillRect/>
                          </a:stretch>
                        </pic:blipFill>
                        <pic:spPr>
                          <a:xfrm>
                            <a:off x="0" y="0"/>
                            <a:ext cx="870585" cy="8705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剖鱼星盆台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1.参考规格：1600*760*850+100㎜；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2.水斗参考规格：680*550*280㎜；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3.采用304不锈钢制作，台面板厚≥1.2㎜，水斗板厚≥1.0㎜，三面围板厚≥1.0㎜，采用φ38*0.8㎜圆通腿、φ25*0.8㎜下橫通；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69010" cy="783590"/>
                  <wp:effectExtent l="0" t="0" r="2540" b="6985"/>
                  <wp:docPr id="141" name="图片 141" descr="单沥单星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单沥单星水池"/>
                          <pic:cNvPicPr>
                            <a:picLocks noChangeAspect="1" noChangeArrowheads="1"/>
                          </pic:cNvPicPr>
                        </pic:nvPicPr>
                        <pic:blipFill>
                          <a:blip r:embed="rId32" cstate="print"/>
                          <a:srcRect/>
                          <a:stretch>
                            <a:fillRect/>
                          </a:stretch>
                        </pic:blipFill>
                        <pic:spPr>
                          <a:xfrm>
                            <a:off x="0" y="0"/>
                            <a:ext cx="969010" cy="7835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解冻星盆台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1.参考规格：1200*760*850+100mm；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2.水斗参考规格：1020*550*280mm；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3.采用304不锈钢制作：台面板厚≥1.2㎜，水斗板厚≥1.0㎜，三面围板厚≥1.0㎜，采用φ38*0.8㎜圆通腿、φ25*0.8㎜下橫通；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42620" cy="838835"/>
                  <wp:effectExtent l="0" t="0" r="5080" b="8890"/>
                  <wp:docPr id="140" name="图片 140"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QQ图片单星盆台"/>
                          <pic:cNvPicPr>
                            <a:picLocks noChangeAspect="1" noChangeArrowheads="1"/>
                          </pic:cNvPicPr>
                        </pic:nvPicPr>
                        <pic:blipFill>
                          <a:blip r:embed="rId25" cstate="print"/>
                          <a:srcRect/>
                          <a:stretch>
                            <a:fillRect/>
                          </a:stretch>
                        </pic:blipFill>
                        <pic:spPr>
                          <a:xfrm>
                            <a:off x="0" y="0"/>
                            <a:ext cx="642620" cy="8388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双门热风循环消毒柜1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7</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：1310*640*1880mm；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2.功率（约）：4.4KW；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3.温度调节范围：30～150℃；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4.内外箱均为不锈钢板；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5.采用耐高温风机、不锈钢电热管、微电脑控制面板；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6.柜内配备不锈钢网框篮。</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57250" cy="1089660"/>
                  <wp:effectExtent l="0" t="0" r="0" b="571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33"/>
                          <a:stretch>
                            <a:fillRect/>
                          </a:stretch>
                        </pic:blipFill>
                        <pic:spPr>
                          <a:xfrm>
                            <a:off x="0" y="0"/>
                            <a:ext cx="857250" cy="10896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双眼燃气大锅灶1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1.参考规格：2200*1250*800+300mm；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2.台面及水围基板采用≥1.2㎜厚的304不锈钢；</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3.炉身、炉背板采用≥1.0㎜厚的304不锈钢；</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4.炉体骨采用L40*40*4㎜角铁，两层防腐处理；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5.炉膛为≥3㎜钢板，耐火棉隔热，耐火泥，一体炉膛砌结火位；</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6.炉通脚采用φ50*2㎜304不锈钢管，内含支撑炉身的钢柱以及调节高度的重力可调脚；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7.配ф760㎜锅、后置烟道；</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8.前置来水控制，风气联动、电子点火、熄火保护装置；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9.功率：180W*2/220V。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71245" cy="896620"/>
                  <wp:effectExtent l="0" t="0" r="5080" b="8255"/>
                  <wp:docPr id="138" name="图片 138" descr="微信图片_2021090308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微信图片_20210903082249"/>
                          <pic:cNvPicPr>
                            <a:picLocks noChangeAspect="1" noChangeArrowheads="1"/>
                          </pic:cNvPicPr>
                        </pic:nvPicPr>
                        <pic:blipFill>
                          <a:blip r:embed="rId34" cstate="print"/>
                          <a:srcRect t="12312"/>
                          <a:stretch>
                            <a:fillRect/>
                          </a:stretch>
                        </pic:blipFill>
                        <pic:spPr>
                          <a:xfrm>
                            <a:off x="0" y="0"/>
                            <a:ext cx="1071245" cy="8966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一广一汤燃气炒灶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1.参考规格：1200*1250*800+300mm；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2.台面及水围基板采用≥1.2㎜厚的304不锈钢；</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3.炉身、炉背板采用≥1.0㎜厚的304不锈钢；</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4.炉体骨为L40*40角铁，两遍防腐处理；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5.炉膛为≥3㎜钢板，耐火棉隔热，耐火泥一体炉膛砌结火位；</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6.具备重力可调脚；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7.一锅圈置一汤锅、后置烟道；</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8.前置来水控制，风气联动；电子点火、熄火保护装置；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9.功率：180W/220V。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90905" cy="1224915"/>
                  <wp:effectExtent l="0" t="0" r="4445" b="381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35"/>
                          <a:stretch>
                            <a:fillRect/>
                          </a:stretch>
                        </pic:blipFill>
                        <pic:spPr>
                          <a:xfrm flipH="1">
                            <a:off x="0" y="0"/>
                            <a:ext cx="890905" cy="12249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双门燃气蒸饭柜1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6</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：1200*820*1800mm；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2.蒸箱整机柜体全部采用304不锈钢板材制作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板材厚度≥0.8mm，内部全不锈钢加强；</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3.箱体任何部位都用吸铁石测试无磁；</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4.全不锈钢手轮式铸造铰链，每门四副铰链，每副铰链都可单独松紧密封。铰链螺丝焊接螺母，长期使用螺丝无松动滑牙现象；</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5.304材质加长双u型优质发热管，微电脑智能控制，可实现全自动控制，定时定温，缺水保护，过热保护；</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6.电线符合国家CCC标准，配有接地标示，等电位标示；</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7.具有自动进水功能，浮球为304材质。蒸饭时箱内承受650帕微压状态自动泄压，水的蒸发量每小时≥10公斤；</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8.柜体保温层采用高密度保温材料，不使用发泡工艺保温，加热管接头前置，保证长期使用维护方便。使用过程中外壳表面温度在50摄氏度以内，不烫手；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9.隔条50%防脱落，符合国家标准；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10.可定时定温，缺水保护，过热保护；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11.箱体符合国家防倾倒标准。</w:t>
            </w:r>
          </w:p>
          <w:p>
            <w:pPr>
              <w:pStyle w:val="2"/>
              <w:spacing w:line="240" w:lineRule="auto"/>
              <w:rPr>
                <w:rFonts w:hint="eastAsia" w:ascii="宋体" w:hAnsi="宋体" w:eastAsia="宋体" w:cs="宋体"/>
                <w:color w:val="auto"/>
                <w:sz w:val="21"/>
                <w:szCs w:val="21"/>
                <w:highlight w:val="none"/>
                <w:lang w:val="en-US" w:bidi="ar"/>
              </w:rPr>
            </w:pPr>
            <w:r>
              <w:rPr>
                <w:rFonts w:hint="eastAsia" w:ascii="宋体" w:hAnsi="宋体" w:eastAsia="宋体" w:cs="宋体"/>
                <w:snapToGrid/>
                <w:color w:val="auto"/>
                <w:kern w:val="0"/>
                <w:sz w:val="21"/>
                <w:szCs w:val="21"/>
                <w:highlight w:val="none"/>
                <w:lang w:val="en-US" w:bidi="ar"/>
              </w:rPr>
              <w:t>12.配24个饭盘。饭盘材质304不锈钢，厚度</w:t>
            </w:r>
            <w:r>
              <w:rPr>
                <w:rFonts w:hint="eastAsia" w:ascii="宋体" w:hAnsi="宋体" w:eastAsia="宋体" w:cs="宋体"/>
                <w:snapToGrid/>
                <w:color w:val="auto"/>
                <w:kern w:val="0"/>
                <w:sz w:val="21"/>
                <w:szCs w:val="21"/>
                <w:highlight w:val="none"/>
                <w:lang w:val="en-US" w:eastAsia="zh-CN" w:bidi="ar"/>
              </w:rPr>
              <w:t>≥</w:t>
            </w:r>
            <w:r>
              <w:rPr>
                <w:rFonts w:hint="eastAsia" w:ascii="宋体" w:hAnsi="宋体" w:eastAsia="宋体" w:cs="宋体"/>
                <w:snapToGrid/>
                <w:color w:val="auto"/>
                <w:kern w:val="0"/>
                <w:sz w:val="21"/>
                <w:szCs w:val="21"/>
                <w:highlight w:val="none"/>
                <w:lang w:val="en-US" w:bidi="ar"/>
              </w:rPr>
              <w:t>0.8</w:t>
            </w:r>
            <w:r>
              <w:rPr>
                <w:rFonts w:hint="eastAsia" w:ascii="宋体" w:hAnsi="宋体" w:eastAsia="宋体" w:cs="宋体"/>
                <w:color w:val="auto"/>
                <w:kern w:val="0"/>
                <w:sz w:val="21"/>
                <w:szCs w:val="21"/>
                <w:highlight w:val="none"/>
                <w:lang w:bidi="ar"/>
              </w:rPr>
              <w:t>mm</w:t>
            </w:r>
            <w:r>
              <w:rPr>
                <w:rFonts w:hint="eastAsia" w:ascii="宋体" w:hAnsi="宋体" w:eastAsia="宋体" w:cs="宋体"/>
                <w:snapToGrid/>
                <w:color w:val="auto"/>
                <w:kern w:val="0"/>
                <w:sz w:val="21"/>
                <w:szCs w:val="21"/>
                <w:highlight w:val="none"/>
                <w:lang w:val="en-US" w:bidi="ar"/>
              </w:rPr>
              <w:t>。</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75995" cy="1204595"/>
                  <wp:effectExtent l="0" t="0" r="5080" b="508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36"/>
                          <a:stretch>
                            <a:fillRect/>
                          </a:stretch>
                        </pic:blipFill>
                        <pic:spPr>
                          <a:xfrm>
                            <a:off x="0" y="0"/>
                            <a:ext cx="975995" cy="12045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三门更衣柜1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6</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1.参考规格：900*500*1850mm；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2.材质：钢制喷塑；</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strike w:val="0"/>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.要求：采用≥0.7㎜厚的A3钢板。内加不锈钢挂衣横杆，一块层板、一面镜子、三门独立配锁。</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47700" cy="1025525"/>
                  <wp:effectExtent l="0" t="0" r="0" b="3175"/>
                  <wp:docPr id="135" name="图片 135" descr="D:\新建文件夹\三门更衣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D:\新建文件夹\三门更衣管.png"/>
                          <pic:cNvPicPr>
                            <a:picLocks noChangeAspect="1" noChangeArrowheads="1"/>
                          </pic:cNvPicPr>
                        </pic:nvPicPr>
                        <pic:blipFill>
                          <a:blip r:embed="rId37" cstate="print"/>
                          <a:srcRect/>
                          <a:stretch>
                            <a:fillRect/>
                          </a:stretch>
                        </pic:blipFill>
                        <pic:spPr>
                          <a:xfrm>
                            <a:off x="0" y="0"/>
                            <a:ext cx="647700" cy="10255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软连接1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4#角钢法兰，防火玻璃纤维织物，与风机进风口配套。</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平板推车</w:t>
            </w:r>
          </w:p>
        </w:tc>
        <w:tc>
          <w:tcPr>
            <w:tcW w:w="870" w:type="dxa"/>
            <w:vAlign w:val="center"/>
          </w:tcPr>
          <w:p>
            <w:pPr>
              <w:widowControl/>
              <w:adjustRightInd/>
              <w:spacing w:line="24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lang w:bidi="ar"/>
              </w:rPr>
              <w:t>辆</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：800*600*900mm；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2.选用304不锈钢板制作，台面板厚≥1.2mm，底板加强筋采用1.0mm不锈钢模压成型推手。下配定向、万向脚轮</w:t>
            </w:r>
            <w:r>
              <w:rPr>
                <w:rFonts w:hint="eastAsia" w:ascii="宋体" w:hAnsi="宋体" w:eastAsia="宋体" w:cs="宋体"/>
                <w:color w:val="auto"/>
                <w:kern w:val="0"/>
                <w:sz w:val="21"/>
                <w:szCs w:val="21"/>
                <w:highlight w:val="none"/>
                <w:lang w:bidi="ar"/>
              </w:rPr>
              <w:t>各</w:t>
            </w:r>
            <w:r>
              <w:rPr>
                <w:rFonts w:hint="eastAsia" w:ascii="宋体" w:hAnsi="宋体" w:eastAsia="宋体" w:cs="宋体"/>
                <w:color w:val="auto"/>
                <w:kern w:val="0"/>
                <w:sz w:val="21"/>
                <w:szCs w:val="21"/>
                <w:highlight w:val="none"/>
                <w:lang w:bidi="ar"/>
              </w:rPr>
              <w:t>两个，带刹车擎。</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19150" cy="679450"/>
                  <wp:effectExtent l="0" t="0" r="0" b="6350"/>
                  <wp:docPr id="134" name="图片 134" descr="平板推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平板推车"/>
                          <pic:cNvPicPr>
                            <a:picLocks noChangeAspect="1"/>
                          </pic:cNvPicPr>
                        </pic:nvPicPr>
                        <pic:blipFill>
                          <a:blip r:embed="rId38"/>
                          <a:srcRect l="6708" t="5058" r="6708" b="4047"/>
                          <a:stretch>
                            <a:fillRect/>
                          </a:stretch>
                        </pic:blipFill>
                        <pic:spPr>
                          <a:xfrm flipH="1">
                            <a:off x="0" y="0"/>
                            <a:ext cx="819150" cy="6794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调料台2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只</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1.参考规格：500*1250*800+300mm；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2.采用304不锈钢制作，台面板厚≥1.0㎜，前围板厚≥1.0㎜，采用φ38*0.8㎜圆通腿、φ25*0.8㎜下橫通；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65810" cy="829945"/>
                  <wp:effectExtent l="0" t="0" r="5715" b="825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39" cstate="print"/>
                          <a:srcRect/>
                          <a:stretch>
                            <a:fillRect/>
                          </a:stretch>
                        </pic:blipFill>
                        <pic:spPr>
                          <a:xfrm>
                            <a:off x="0" y="0"/>
                            <a:ext cx="765810" cy="8299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调料台3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只</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1.参考规格：900*1250*800+300mm；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2.采用304不锈钢制作，台面板厚≥1.0㎜，前围板厚≥1.0㎜，采用φ38*0.8㎜圆通腿、φ25*0.8㎜下橫通；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65810" cy="829945"/>
                  <wp:effectExtent l="0" t="0" r="571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9" cstate="print"/>
                          <a:srcRect/>
                          <a:stretch>
                            <a:fillRect/>
                          </a:stretch>
                        </pic:blipFill>
                        <pic:spPr>
                          <a:xfrm>
                            <a:off x="0" y="0"/>
                            <a:ext cx="765810" cy="8299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集气罩1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4.0</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m²</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1.参考规格：3380*1200mm</w:t>
            </w:r>
            <w:r>
              <w:rPr>
                <w:rFonts w:hint="eastAsia" w:ascii="宋体" w:hAnsi="宋体" w:eastAsia="宋体" w:cs="宋体"/>
                <w:color w:val="auto"/>
                <w:kern w:val="0"/>
                <w:sz w:val="21"/>
                <w:szCs w:val="21"/>
                <w:highlight w:val="none"/>
                <w:lang w:bidi="ar"/>
              </w:rPr>
              <w:t>*390mm</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2.采用304不锈钢板制作，罩体板厚≥1.0㎜。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75970" cy="423545"/>
                  <wp:effectExtent l="0" t="0" r="5080" b="508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0"/>
                          <a:stretch>
                            <a:fillRect/>
                          </a:stretch>
                        </pic:blipFill>
                        <pic:spPr>
                          <a:xfrm>
                            <a:off x="0" y="0"/>
                            <a:ext cx="775970" cy="4235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集气罩</w:t>
            </w:r>
            <w:r>
              <w:rPr>
                <w:rFonts w:hint="eastAsia" w:ascii="宋体" w:hAnsi="宋体" w:eastAsia="宋体" w:cs="宋体"/>
                <w:b/>
                <w:bCs/>
                <w:color w:val="auto"/>
                <w:sz w:val="21"/>
                <w:szCs w:val="21"/>
                <w:highlight w:val="none"/>
              </w:rPr>
              <w:t>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7.3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m²</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1.参考规格：6100*1200*390mm；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2.采用304不锈钢板制作，罩体板厚≥1.0㎜。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75970" cy="423545"/>
                  <wp:effectExtent l="0" t="0" r="508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775970" cy="4235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活动双层洁碟台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1.参考规格：1200*600*860mm；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2.选用304不锈钢板制作，台面板厚≥1.0mm，层板厚≥1.0mm，采用φ38*0.8㎜不锈钢圆通腿,万向脚轮带刹车擎。</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32485" cy="782320"/>
                  <wp:effectExtent l="0" t="0" r="5715" b="825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32485" cy="782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红外感应水龙头</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1.工作电压：220V 50/60HZ；</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2.工作水压：0.1-0.6MPa 可接冷热混水，出水温度可调；</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3.开孔径：25mm；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4.台式安装黄铜铸造水嘴，表面镀铬处理；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5.接水口口径为1/2"外螺纹；</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6.符合GB 25501-2019标准要求</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bidi="ar"/>
              </w:rPr>
              <w:t>▲7.提供有效的节能产品认证证书扫描件。</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工作台加档1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张</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1.参考规格：1050*760*850mm；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2.采用304不锈钢板制作，台面板厚≥1.2㎜，加强筋厚≥1.0mm，采用38*25㎜*0.8㎜不锈钢方管格栅档，φ38*0.8㎜不锈钢圆通腿；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70915" cy="826135"/>
                  <wp:effectExtent l="0" t="0" r="635" b="2540"/>
                  <wp:docPr id="126" name="图片 126" descr="工作台加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工作台加档"/>
                          <pic:cNvPicPr>
                            <a:picLocks noChangeAspect="1" noChangeArrowheads="1"/>
                          </pic:cNvPicPr>
                        </pic:nvPicPr>
                        <pic:blipFill>
                          <a:blip r:embed="rId42" cstate="print"/>
                          <a:srcRect l="8501" t="7143" r="12000" b="16072"/>
                          <a:stretch>
                            <a:fillRect/>
                          </a:stretch>
                        </pic:blipFill>
                        <pic:spPr>
                          <a:xfrm>
                            <a:off x="0" y="0"/>
                            <a:ext cx="970915" cy="8261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工作台加档2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10</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张</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1.参考规格：1800*760*850mm；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2.采用304不锈钢板制作，台面板厚≥1.2㎜，加强筋厚≥1.0mm，采用38*25㎜*0.8㎜不锈钢方管格栅档、φ38*0.8㎜不锈钢圆通腿；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70915" cy="826135"/>
                  <wp:effectExtent l="0" t="0" r="635" b="2540"/>
                  <wp:docPr id="16" name="图片 16" descr="工作台加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作台加档"/>
                          <pic:cNvPicPr>
                            <a:picLocks noChangeAspect="1" noChangeArrowheads="1"/>
                          </pic:cNvPicPr>
                        </pic:nvPicPr>
                        <pic:blipFill>
                          <a:blip r:embed="rId42" cstate="print"/>
                          <a:srcRect l="8501" t="7143" r="12000" b="16072"/>
                          <a:stretch>
                            <a:fillRect/>
                          </a:stretch>
                        </pic:blipFill>
                        <pic:spPr>
                          <a:xfrm>
                            <a:off x="0" y="0"/>
                            <a:ext cx="970915" cy="8261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工作台加档3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张</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1.参考规格：700*760*800+100mm；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2.采用304不锈钢板制作，台面板厚≥1.0㎜，加强筋厚≥1.0mm，采用38*25㎜*0.8㎜不锈钢方管格栅档、φ38*0.8㎜不锈钢圆通腿；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70915" cy="826135"/>
                  <wp:effectExtent l="0" t="0" r="635" b="2540"/>
                  <wp:docPr id="17" name="图片 17" descr="工作台加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作台加档"/>
                          <pic:cNvPicPr>
                            <a:picLocks noChangeAspect="1" noChangeArrowheads="1"/>
                          </pic:cNvPicPr>
                        </pic:nvPicPr>
                        <pic:blipFill>
                          <a:blip r:embed="rId42" cstate="print"/>
                          <a:srcRect l="8501" t="7143" r="12000" b="16072"/>
                          <a:stretch>
                            <a:fillRect/>
                          </a:stretch>
                        </pic:blipFill>
                        <pic:spPr>
                          <a:xfrm>
                            <a:off x="0" y="0"/>
                            <a:ext cx="970915" cy="8261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高低组合柜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10</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1.参考规格：上柜1900*550*950mm，下柜1900*550*1450mm；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2.采用304不锈钢制作：层板厚≥1.0㎜，门面板厚≥1.0㎜，侧板0.8㎜；</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3.门面敷304不锈钢纱网。</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85825" cy="1127125"/>
                  <wp:effectExtent l="0" t="0" r="0"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85825" cy="1127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多功能切菜机2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1.参考规格（约）：1230*580*1280mm；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2.通过更换刀盘或双调频调节输送带与斩刀速度,能够将根茎类蔬果以及叶菜类蔬果等切成丁、片、丝条状；</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3.双头型切菜机,可同时工作；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4.整机采用全不锈钢制作；</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5.功率（约）：1.5KW。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99160" cy="794385"/>
                  <wp:effectExtent l="0" t="0" r="5715" b="5715"/>
                  <wp:docPr id="122" name="图片 122" descr="多功能切菜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多功能切菜机"/>
                          <pic:cNvPicPr>
                            <a:picLocks noChangeAspect="1"/>
                          </pic:cNvPicPr>
                        </pic:nvPicPr>
                        <pic:blipFill>
                          <a:blip r:embed="rId44"/>
                          <a:stretch>
                            <a:fillRect/>
                          </a:stretch>
                        </pic:blipFill>
                        <pic:spPr>
                          <a:xfrm>
                            <a:off x="0" y="0"/>
                            <a:ext cx="899160" cy="7943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电开水器（连底座）</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1.额定容量：≥80L；</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2.箱体内外304不锈钢，底座201不锈钢；</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3.功率：12KW/380V。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31190" cy="799465"/>
                  <wp:effectExtent l="0" t="0" r="6985" b="635"/>
                  <wp:docPr id="121" name="图片 121" descr="电热开水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电热开水器"/>
                          <pic:cNvPicPr>
                            <a:picLocks noChangeAspect="1" noChangeArrowheads="1"/>
                          </pic:cNvPicPr>
                        </pic:nvPicPr>
                        <pic:blipFill>
                          <a:blip r:embed="rId45" cstate="print"/>
                          <a:srcRect/>
                          <a:stretch>
                            <a:fillRect/>
                          </a:stretch>
                        </pic:blipFill>
                        <pic:spPr>
                          <a:xfrm>
                            <a:off x="0" y="0"/>
                            <a:ext cx="631190" cy="79946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单星盆台1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16</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1.参考规格：1000*760*850+100mm；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2.水斗参考规格：820*550*280mm；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3.采用304不锈钢制作，台面板厚≥1.2㎜，水斗板厚≥1.0㎜，三面围板厚≥1.0㎜，采用φ38*0.8㎜圆通腿、φ25*0.8㎜下橫通；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14375" cy="1014730"/>
                  <wp:effectExtent l="0" t="0" r="0" b="4445"/>
                  <wp:docPr id="120" name="图片 120"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QQ图片单星盆台"/>
                          <pic:cNvPicPr>
                            <a:picLocks noChangeAspect="1" noChangeArrowheads="1"/>
                          </pic:cNvPicPr>
                        </pic:nvPicPr>
                        <pic:blipFill>
                          <a:blip r:embed="rId25" cstate="print"/>
                          <a:srcRect/>
                          <a:stretch>
                            <a:fillRect/>
                          </a:stretch>
                        </pic:blipFill>
                        <pic:spPr>
                          <a:xfrm>
                            <a:off x="0" y="0"/>
                            <a:ext cx="714375" cy="101473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单向移门打荷台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9</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1.参考规格：1800*800*800mm；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2.采用304不锈钢制作，台面板厚≥1.2㎜，加强筋厚≥1.0mm,门板厚≥0.8㎜，柜内层板厚≥1.0㎜；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42315" cy="915035"/>
                  <wp:effectExtent l="0" t="0" r="635" b="889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46" cstate="print"/>
                          <a:srcRect/>
                          <a:stretch>
                            <a:fillRect/>
                          </a:stretch>
                        </pic:blipFill>
                        <pic:spPr>
                          <a:xfrm>
                            <a:off x="0" y="0"/>
                            <a:ext cx="742315" cy="9150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单冷水龙头1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34</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1.座台式安装，单孔单温，鹅颈水嘴；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2.低铅铜铸造表面抛光镀铬处理；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3.陶瓷阀芯一字开形手柄；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4.开孔尺寸为25mm，进水接口为1/2"内螺纹；</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5.符合GB 25501-2019标准要求。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b/>
                <w:bCs/>
                <w:color w:val="auto"/>
                <w:kern w:val="0"/>
                <w:sz w:val="21"/>
                <w:szCs w:val="21"/>
                <w:highlight w:val="none"/>
                <w:lang w:bidi="ar"/>
              </w:rPr>
              <w:t>▲6.提供有效的节能产品认证证书扫描件。</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57200" cy="1151255"/>
                  <wp:effectExtent l="0" t="0" r="0" b="1270"/>
                  <wp:docPr id="118" name="图片 118" descr="155134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551340543"/>
                          <pic:cNvPicPr>
                            <a:picLocks noChangeAspect="1"/>
                          </pic:cNvPicPr>
                        </pic:nvPicPr>
                        <pic:blipFill>
                          <a:blip r:embed="rId47"/>
                          <a:stretch>
                            <a:fillRect/>
                          </a:stretch>
                        </pic:blipFill>
                        <pic:spPr>
                          <a:xfrm>
                            <a:off x="0" y="0"/>
                            <a:ext cx="457200" cy="11512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单孔孔残食台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只</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1.参考规格：1300*760*850+100mm；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2.304不锈钢板制作，台面板厚≥1.0mm；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3.台面开残食孔，配≥70L活动垃圾桶1台。</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75640" cy="647700"/>
                  <wp:effectExtent l="0" t="0" r="635" b="0"/>
                  <wp:docPr id="117" name="图片 117" descr="残食台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残食台7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75640" cy="647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大米架1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5</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1.参考规格：1200*500*300mm；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2.采用不锈钢方管制作，层外框采用38*38*0.8㎜不锈钢方管，层内档采用38*25*0.8㎜不锈钢方管。</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61365" cy="588010"/>
                  <wp:effectExtent l="0" t="0" r="635" b="254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49" cstate="print"/>
                          <a:srcRect/>
                          <a:stretch>
                            <a:fillRect/>
                          </a:stretch>
                        </pic:blipFill>
                        <pic:spPr>
                          <a:xfrm>
                            <a:off x="0" y="0"/>
                            <a:ext cx="761365" cy="5880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大六格快餐盘</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2500</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1.大六格快餐盘；尺寸：350*265*25㎜；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2.304不锈钢材质，厚度≥1.0㎜。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00430" cy="780415"/>
                  <wp:effectExtent l="0" t="0" r="4445"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0"/>
                          <a:stretch>
                            <a:fillRect/>
                          </a:stretch>
                        </pic:blipFill>
                        <pic:spPr>
                          <a:xfrm flipV="1">
                            <a:off x="0" y="0"/>
                            <a:ext cx="900430" cy="780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厨房灭火装置（双瓶组）</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套</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1.药剂充装量：单瓶组药剂装置≥11L，双瓶组药剂装置≥22L；</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2.联动性能单瓶组喷射时间≥20秒，喷射延迟时间</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bidi="ar"/>
              </w:rPr>
              <w:t>1.0秒，水流联动阀自动切换时间</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bidi="ar"/>
              </w:rPr>
              <w:t>2秒；</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3.联动性能双瓶组喷射时间≥23秒，喷射延迟时间</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bidi="ar"/>
              </w:rPr>
              <w:t>1.0秒，水流联动阀自动切换时间</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bidi="ar"/>
              </w:rPr>
              <w:t>3秒；</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4.具有释放机构及水流阀为机械式启动，四寸微电脑显示屏，万向节可调整角度式喷嘴；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5.产品具有灭火装置主机箱观察口</w:t>
            </w:r>
            <w:r>
              <w:rPr>
                <w:rFonts w:hint="eastAsia" w:ascii="宋体" w:hAnsi="宋体" w:eastAsia="宋体" w:cs="宋体"/>
                <w:color w:val="auto"/>
                <w:kern w:val="0"/>
                <w:sz w:val="21"/>
                <w:szCs w:val="21"/>
                <w:highlight w:val="none"/>
                <w:lang w:eastAsia="zh-CN" w:bidi="ar"/>
              </w:rPr>
              <w:t>。</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57250" cy="1131570"/>
                  <wp:effectExtent l="0" t="0" r="0" b="1905"/>
                  <wp:docPr id="114" name="图片 11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未标题-2"/>
                          <pic:cNvPicPr>
                            <a:picLocks noChangeAspect="1"/>
                          </pic:cNvPicPr>
                        </pic:nvPicPr>
                        <pic:blipFill>
                          <a:blip r:embed="rId51"/>
                          <a:stretch>
                            <a:fillRect/>
                          </a:stretch>
                        </pic:blipFill>
                        <pic:spPr>
                          <a:xfrm>
                            <a:off x="0" y="0"/>
                            <a:ext cx="857250" cy="11315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洗碗机厢式排气罩</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5</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1.参考规格：4450*1100mm</w:t>
            </w:r>
            <w:r>
              <w:rPr>
                <w:rFonts w:hint="eastAsia" w:ascii="宋体" w:hAnsi="宋体" w:eastAsia="宋体" w:cs="宋体"/>
                <w:color w:val="auto"/>
                <w:kern w:val="0"/>
                <w:sz w:val="21"/>
                <w:szCs w:val="21"/>
                <w:highlight w:val="none"/>
                <w:lang w:bidi="ar"/>
              </w:rPr>
              <w:t>*390mm</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2.采用304不锈钢板制作：罩体板厚≥1.0㎜。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28675" cy="546735"/>
                  <wp:effectExtent l="0" t="0" r="0" b="5715"/>
                  <wp:docPr id="112" name="图片 1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28675" cy="546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油烟网罩</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15.3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1.参考规格：11800*1300*390mm；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2.采用304不锈钢制作：罩体板厚≥1.0㎜，滤网板厚0.7㎜；</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3.配防雾烟罩灯。</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28675" cy="546735"/>
                  <wp:effectExtent l="0" t="0" r="0" b="5715"/>
                  <wp:docPr id="18" name="图片 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28675" cy="546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不锈钢风管1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290</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w:t>
            </w:r>
          </w:p>
        </w:tc>
        <w:tc>
          <w:tcPr>
            <w:tcW w:w="6945" w:type="dxa"/>
            <w:vAlign w:val="bottom"/>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1.参考规格：1200*500mm；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2.采用201不锈钢板制作，边长≥600mm，不锈钢板厚≥1.0mm，边长≤600mm，不锈钢板厚≥0.8mm,采用3#角钢法兰。</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85495" cy="643890"/>
                  <wp:effectExtent l="0" t="0" r="5080" b="3810"/>
                  <wp:docPr id="110" name="图片 110" descr="C:/Users/Administrator/AppData/Local/Temp/picturecompress_20210901103302/output_95.pngoutput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Administrator/AppData/Local/Temp/picturecompress_20210901103302/output_95.pngoutput_95"/>
                          <pic:cNvPicPr>
                            <a:picLocks noChangeAspect="1"/>
                          </pic:cNvPicPr>
                        </pic:nvPicPr>
                        <pic:blipFill>
                          <a:blip r:embed="rId53"/>
                          <a:stretch>
                            <a:fillRect/>
                          </a:stretch>
                        </pic:blipFill>
                        <pic:spPr>
                          <a:xfrm>
                            <a:off x="0" y="0"/>
                            <a:ext cx="785495" cy="6438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不锈钢防火阀</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1.不锈钢材质，壁厚≥1.5mm；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2.动作温度：150℃。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94690" cy="603885"/>
                  <wp:effectExtent l="0" t="0" r="635" b="57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4"/>
                          <a:stretch>
                            <a:fillRect/>
                          </a:stretch>
                        </pic:blipFill>
                        <pic:spPr>
                          <a:xfrm>
                            <a:off x="0" y="0"/>
                            <a:ext cx="694690" cy="6038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轴流风机1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1.功率：750W/380V；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2.排风量：≥7000m³/h；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3.风压：≥177pa。</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04215" cy="643255"/>
                  <wp:effectExtent l="0" t="0" r="635" b="44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5"/>
                          <a:stretch>
                            <a:fillRect/>
                          </a:stretch>
                        </pic:blipFill>
                        <pic:spPr>
                          <a:xfrm>
                            <a:off x="0" y="0"/>
                            <a:ext cx="704215" cy="6432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50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厢式离心风机(排蒸汽)</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1.功率：11KW/380V；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2.排风量：≥24000m³/h；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3.风压：≥900pa。</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13460" cy="919480"/>
                  <wp:effectExtent l="0" t="0" r="5715" b="444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56" cstate="print"/>
                          <a:srcRect/>
                          <a:stretch>
                            <a:fillRect/>
                          </a:stretch>
                        </pic:blipFill>
                        <pic:spPr>
                          <a:xfrm>
                            <a:off x="0" y="0"/>
                            <a:ext cx="1013460" cy="91948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51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风机槽钢支架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1.8#槽钢制作，二遍防腐处理，与本项目风机搭配使用。</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52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风机变频器</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1.适配电机功率：18.5KW/380V；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2.节能率30%~50%；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3.智能静音；变频控制，无极调速；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5.一键设置；平滑启停，降低系统冲击;</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6.与风机、净化器配套。</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42290" cy="835660"/>
                  <wp:effectExtent l="0" t="0" r="635" b="254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57" cstate="print"/>
                          <a:srcRect/>
                          <a:stretch>
                            <a:fillRect/>
                          </a:stretch>
                        </pic:blipFill>
                        <pic:spPr>
                          <a:xfrm>
                            <a:off x="0" y="0"/>
                            <a:ext cx="542290" cy="8356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53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风机变频启动箱1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1.适配电机功率：11KW/380V；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2.节能率30%~50%；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3.智能静音；变频控制，无极调速；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4.一键设置；平滑启停，降低系统冲击。</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drawing>
                <wp:inline distT="0" distB="0" distL="114300" distR="114300">
                  <wp:extent cx="758190" cy="817245"/>
                  <wp:effectExtent l="0" t="0" r="3810" b="1905"/>
                  <wp:docPr id="28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7" descr="IMG_256"/>
                          <pic:cNvPicPr>
                            <a:picLocks noChangeAspect="1"/>
                          </pic:cNvPicPr>
                        </pic:nvPicPr>
                        <pic:blipFill>
                          <a:blip r:embed="rId58"/>
                          <a:stretch>
                            <a:fillRect/>
                          </a:stretch>
                        </pic:blipFill>
                        <pic:spPr>
                          <a:xfrm>
                            <a:off x="0" y="0"/>
                            <a:ext cx="758190" cy="8172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jc w:val="both"/>
              <w:rPr>
                <w:rFonts w:hint="eastAsia" w:ascii="宋体" w:hAnsi="宋体" w:eastAsia="宋体" w:cs="宋体"/>
                <w:color w:val="auto"/>
                <w:sz w:val="21"/>
                <w:szCs w:val="21"/>
                <w:highlight w:val="none"/>
                <w:lang w:bidi="ar"/>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rPr>
              <w:t>杭州市安吉路实验学校（武林校区）涉及旧设备拆除及搬放到校内指定位置，所需费用由投标人估算，计入投标总价。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25" w:type="dxa"/>
            <w:gridSpan w:val="6"/>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三、杭州市仙林实验幼儿园（新建和平园区）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3044"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风幕机1</w:t>
            </w:r>
          </w:p>
        </w:tc>
        <w:tc>
          <w:tcPr>
            <w:tcW w:w="87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p>
        </w:tc>
        <w:tc>
          <w:tcPr>
            <w:tcW w:w="78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1.参考规格：L=1500mm；</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.风口风速：最高≥11m/s，最低≥4m/s；</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.噪音：≤65Hz。</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30250" cy="423545"/>
                  <wp:effectExtent l="0" t="0" r="3175" b="5080"/>
                  <wp:docPr id="19" name="图片 94"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4" descr="风幕机"/>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30250" cy="42354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3044"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风幕机2</w:t>
            </w:r>
          </w:p>
        </w:tc>
        <w:tc>
          <w:tcPr>
            <w:tcW w:w="87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78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1.参考规格：L=900mm；</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.风口风速：最高≥11m/s，最低≥4m/s；</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.噪音：≤65Hz。</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02005" cy="465455"/>
                  <wp:effectExtent l="0" t="0" r="7620" b="1270"/>
                  <wp:docPr id="20" name="图片 94"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4" descr="风幕机"/>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802005" cy="46545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3044"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灭蝇灯</w:t>
            </w:r>
          </w:p>
        </w:tc>
        <w:tc>
          <w:tcPr>
            <w:tcW w:w="87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w:t>
            </w:r>
          </w:p>
        </w:tc>
        <w:tc>
          <w:tcPr>
            <w:tcW w:w="78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1.适用面积：≥50㎡</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2.灭蚊原理：粘捕式；</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3.诱蚊方式：UVA紫光灯；</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4.功率：220</w:t>
            </w:r>
            <w:r>
              <w:rPr>
                <w:rFonts w:hint="eastAsia" w:ascii="宋体" w:hAnsi="宋体" w:eastAsia="宋体" w:cs="宋体"/>
                <w:color w:val="auto"/>
                <w:sz w:val="21"/>
                <w:szCs w:val="21"/>
                <w:highlight w:val="none"/>
                <w:lang w:val="en-US" w:eastAsia="zh-CN"/>
              </w:rPr>
              <w:t>V</w:t>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lang w:val="en-US" w:eastAsia="zh-CN"/>
              </w:rPr>
              <w:t>W</w:t>
            </w:r>
            <w:r>
              <w:rPr>
                <w:rFonts w:hint="eastAsia" w:ascii="宋体" w:hAnsi="宋体" w:eastAsia="宋体" w:cs="宋体"/>
                <w:color w:val="auto"/>
                <w:sz w:val="21"/>
                <w:szCs w:val="21"/>
                <w:highlight w:val="none"/>
              </w:rPr>
              <w:t>。</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52450" cy="304800"/>
                  <wp:effectExtent l="0" t="0" r="0" b="0"/>
                  <wp:docPr id="2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52450" cy="3048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w:t>
            </w:r>
          </w:p>
        </w:tc>
        <w:tc>
          <w:tcPr>
            <w:tcW w:w="3044"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挡鼠板1</w:t>
            </w:r>
          </w:p>
        </w:tc>
        <w:tc>
          <w:tcPr>
            <w:tcW w:w="87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块</w:t>
            </w:r>
          </w:p>
        </w:tc>
        <w:tc>
          <w:tcPr>
            <w:tcW w:w="6945" w:type="dxa"/>
            <w:vAlign w:val="center"/>
          </w:tcPr>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1.参考规格：1400*30*600mm；</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2.根据现场门宽*30*300mm，两块叠加高600mm便于取拿；</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3.优质不锈钢板制作，面板背板双包，板厚≥0.8mm。</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36600" cy="565150"/>
                  <wp:effectExtent l="0" t="0" r="6350" b="6350"/>
                  <wp:docPr id="10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736600" cy="5651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5</w:t>
            </w:r>
          </w:p>
        </w:tc>
        <w:tc>
          <w:tcPr>
            <w:tcW w:w="3044"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挡鼠板2</w:t>
            </w:r>
          </w:p>
        </w:tc>
        <w:tc>
          <w:tcPr>
            <w:tcW w:w="87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78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块</w:t>
            </w:r>
          </w:p>
        </w:tc>
        <w:tc>
          <w:tcPr>
            <w:tcW w:w="6945" w:type="dxa"/>
            <w:vAlign w:val="center"/>
          </w:tcPr>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1.参考规格：900*30*600mm；</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2.根据现场门宽*30*300mm，两块叠加高600mm便于取拿；</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3.优质不锈钢板制作，面板背板双包，板厚≥0.8mm。</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36600" cy="565150"/>
                  <wp:effectExtent l="0" t="0" r="6350" b="6350"/>
                  <wp:docPr id="2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736600" cy="5651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6</w:t>
            </w:r>
          </w:p>
        </w:tc>
        <w:tc>
          <w:tcPr>
            <w:tcW w:w="3044"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挡鼠板3</w:t>
            </w:r>
          </w:p>
        </w:tc>
        <w:tc>
          <w:tcPr>
            <w:tcW w:w="87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块</w:t>
            </w:r>
          </w:p>
        </w:tc>
        <w:tc>
          <w:tcPr>
            <w:tcW w:w="6945" w:type="dxa"/>
            <w:vAlign w:val="center"/>
          </w:tcPr>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1.参考规格：1200*30*600mm；</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2.根据现场门宽*30*300mm，两块叠加高600mm便于取拿；</w:t>
            </w:r>
          </w:p>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3.优质不锈钢板制作，面板背板双包，板厚≥0.8mm。</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36600" cy="565150"/>
                  <wp:effectExtent l="0" t="0" r="6350" b="6350"/>
                  <wp:docPr id="2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736600" cy="5651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封闭式残菜回收柜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1.参考规格：700*700*800mm；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2.选用304不锈钢板制作，抽屉式设计，台、车、桶全套；台面板厚≥1.0mm；台面开残食孔，带盖。</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49300" cy="667385"/>
                  <wp:effectExtent l="0" t="0" r="3175" b="8890"/>
                  <wp:docPr id="24" name="图片 88" descr="clip_image1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8" descr="clip_image153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49300" cy="66738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吹地机</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strike w:val="0"/>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功率：1000W/220V；</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.风速三档可调，配备一组大脚轮和手推柄。</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45160" cy="635000"/>
                  <wp:effectExtent l="0" t="0" r="2540" b="3175"/>
                  <wp:docPr id="2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45160" cy="6350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三门更衣柜2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1.参考规格：900*450*1800mm；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2.采用A3钢板制作，面板厚≥0.8mm，外表喷塑。</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88315" cy="754380"/>
                  <wp:effectExtent l="0" t="0" r="6985" b="7620"/>
                  <wp:docPr id="2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88315" cy="75438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拖把水池（连挂架）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1.参考规格：1000*600*(600+1200)mm；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2.采用304不锈钢板制作，台面板厚≥1.0mm，水斗板厚≥1.0mm；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3.采用φ38*0.8mm 304不锈钢圆通腿</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φ25*0.8mm 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22300" cy="552450"/>
                  <wp:effectExtent l="0" t="0" r="6350" b="0"/>
                  <wp:docPr id="27" name="图片 85" descr="说明: T1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5" descr="说明: T1g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22300" cy="5524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单冷水龙头2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1.座台式安装，单孔单温，鹅颈水嘴；</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2.低铅铜铸造表面抛光镀铬处理；</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3.配1/4转陶瓷阀芯一字型手柄；</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4.符合GB 25501-2019标准要求。</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b/>
                <w:bCs/>
                <w:i w:val="0"/>
                <w:iCs w:val="0"/>
                <w:color w:val="auto"/>
                <w:kern w:val="0"/>
                <w:sz w:val="21"/>
                <w:szCs w:val="21"/>
                <w:highlight w:val="none"/>
                <w:lang w:bidi="ar"/>
              </w:rPr>
              <w:t>▲5.提供有效的节能产品认证证书扫描件。</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93700" cy="685800"/>
                  <wp:effectExtent l="0" t="0" r="6350" b="0"/>
                  <wp:docPr id="28" name="图片 84" descr="混水龙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4" descr="混水龙头"/>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93700" cy="6858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开门存放柜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1.参考规格：900*500*1850mm；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2.采用304不锈钢板制作，柜体板厚≥1.0mm，门板厚≥0.8mm</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76250" cy="450850"/>
                  <wp:effectExtent l="0" t="0" r="0" b="6350"/>
                  <wp:docPr id="2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76250" cy="4508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大米架1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 xml:space="preserve">台 </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1.参考规格：1200*500*300mm；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2.采用304不锈钢方管制作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层外框采用38*38*0.8mm 304不锈钢方管，层内档采用38*25*0.8mm 304不锈钢方管。</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69315" cy="548640"/>
                  <wp:effectExtent l="0" t="0" r="6985" b="3810"/>
                  <wp:docPr id="3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869315" cy="54864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平板推车</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辆</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：800*600*900mm；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2.选用304不锈钢板制作，台面板厚≥1.2mm，底板加强筋采用1.0mm不锈钢模压成型推手。下配定向、万向脚轮</w:t>
            </w:r>
            <w:r>
              <w:rPr>
                <w:rFonts w:hint="eastAsia" w:ascii="宋体" w:hAnsi="宋体" w:eastAsia="宋体" w:cs="宋体"/>
                <w:color w:val="auto"/>
                <w:kern w:val="0"/>
                <w:sz w:val="21"/>
                <w:szCs w:val="21"/>
                <w:highlight w:val="none"/>
                <w:lang w:bidi="ar"/>
              </w:rPr>
              <w:t>各</w:t>
            </w:r>
            <w:r>
              <w:rPr>
                <w:rFonts w:hint="eastAsia" w:ascii="宋体" w:hAnsi="宋体" w:eastAsia="宋体" w:cs="宋体"/>
                <w:color w:val="auto"/>
                <w:kern w:val="0"/>
                <w:sz w:val="21"/>
                <w:szCs w:val="21"/>
                <w:highlight w:val="none"/>
                <w:lang w:bidi="ar"/>
              </w:rPr>
              <w:t>两个，带刹车擎。</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51535" cy="704850"/>
                  <wp:effectExtent l="0" t="0" r="5715" b="0"/>
                  <wp:docPr id="31" name="图片 81" descr="平板推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1" descr="平板推车"/>
                          <pic:cNvPicPr>
                            <a:picLocks noChangeAspect="1" noChangeArrowheads="1"/>
                          </pic:cNvPicPr>
                        </pic:nvPicPr>
                        <pic:blipFill>
                          <a:blip r:embed="rId68" cstate="print">
                            <a:extLst>
                              <a:ext uri="{28A0092B-C50C-407E-A947-70E740481C1C}">
                                <a14:useLocalDpi xmlns:a14="http://schemas.microsoft.com/office/drawing/2010/main" val="0"/>
                              </a:ext>
                            </a:extLst>
                          </a:blip>
                          <a:srcRect l="6708" t="5058" r="6708" b="4047"/>
                          <a:stretch>
                            <a:fillRect/>
                          </a:stretch>
                        </pic:blipFill>
                        <pic:spPr>
                          <a:xfrm flipH="1">
                            <a:off x="0" y="0"/>
                            <a:ext cx="851535" cy="7048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四门不锈钢纱网柜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1.参考规格：1200*500*1800mm；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2.采用304不锈钢板制作，层板厚≥1.0mm，加强筋板厚≥1.0mm，门面板厚≥1.0mm,采用304不锈钢细目纱网；</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58800" cy="774700"/>
                  <wp:effectExtent l="0" t="0" r="3175" b="6350"/>
                  <wp:docPr id="103" name="图片 8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0" descr="IMG_2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58800" cy="774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1</w:t>
            </w:r>
            <w:r>
              <w:rPr>
                <w:rFonts w:hint="eastAsia" w:ascii="宋体" w:hAnsi="宋体" w:eastAsia="宋体" w:cs="宋体"/>
                <w:b/>
                <w:bCs/>
                <w:color w:val="auto"/>
                <w:kern w:val="0"/>
                <w:sz w:val="21"/>
                <w:szCs w:val="21"/>
                <w:highlight w:val="none"/>
                <w:lang w:val="en-US" w:eastAsia="zh-CN" w:bidi="ar"/>
              </w:rPr>
              <w:t>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四门双温风冷冰箱</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：1220*750*1960mm；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2.面板、内胆均采用304不锈钢制作；</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3.全铜管冷凝器、风冷制冷；</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4.电量：0.75KW/220V；</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5.制冷温度：-2℃～10℃，-16℃～-22℃。</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26440" cy="892810"/>
                  <wp:effectExtent l="0" t="0" r="6985" b="2540"/>
                  <wp:docPr id="3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726440" cy="89281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1</w:t>
            </w:r>
            <w:r>
              <w:rPr>
                <w:rFonts w:hint="eastAsia" w:ascii="宋体" w:hAnsi="宋体" w:eastAsia="宋体" w:cs="宋体"/>
                <w:b/>
                <w:bCs/>
                <w:color w:val="auto"/>
                <w:kern w:val="0"/>
                <w:sz w:val="21"/>
                <w:szCs w:val="21"/>
                <w:highlight w:val="none"/>
                <w:lang w:val="en-US" w:eastAsia="zh-CN" w:bidi="ar"/>
              </w:rPr>
              <w:t>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双星盆台3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1.参考规格：1800*700*850/100mm；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2.星盆参考规格：760*480*280mm；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3.采用304不锈钢板制作，台面板厚≥1.0mm，水斗板厚≥1.0mm，三面围板厚≥1.0mm；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4.采用φ38*0.8mm 304不锈钢圆通腿</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φ25*0.8mm 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57300" cy="742950"/>
                  <wp:effectExtent l="0" t="0" r="0" b="0"/>
                  <wp:docPr id="34" name="图片 17" descr="双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双星盆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57300" cy="7429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bidi="ar"/>
              </w:rPr>
              <w:t>18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单星盆台2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1.参考规格：1000*700*850/100mm；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2.星盆参考规格：820*480*280mm；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3.采用304不锈钢板制作，台面板厚≥1.0mm，水斗板厚≥1.0mm，三面围板厚≥1.0mm；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4.采用φ38*0.8mm304不锈钢圆通腿</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φ25*0.8mm304不锈钢下橫通；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58850" cy="882015"/>
                  <wp:effectExtent l="0" t="0" r="3175" b="3810"/>
                  <wp:docPr id="35" name="图片 76"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6" descr="QQ图片单星盆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958850" cy="8820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bidi="ar"/>
              </w:rPr>
              <w:t>19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单水池连平台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1.参考规格：1500*700*850/100mm；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2.星盆参考规格：760*480*280mm；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3.采用304不锈钢板制作，台面板厚≥1.0mm，水斗板厚≥1.0mm；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4.采用φ38*0.8mm304不锈钢圆通腿</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—φ25*0.8mm304不锈钢下橫通</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5.配201不锈钢可调式子弹脚。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03300" cy="768350"/>
                  <wp:effectExtent l="0" t="0" r="6350" b="3175"/>
                  <wp:docPr id="3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003300" cy="7683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2</w:t>
            </w:r>
            <w:r>
              <w:rPr>
                <w:rFonts w:hint="eastAsia" w:ascii="宋体" w:hAnsi="宋体" w:eastAsia="宋体" w:cs="宋体"/>
                <w:b/>
                <w:bCs/>
                <w:color w:val="auto"/>
                <w:kern w:val="0"/>
                <w:sz w:val="21"/>
                <w:szCs w:val="21"/>
                <w:highlight w:val="none"/>
                <w:lang w:val="en-US" w:eastAsia="zh-CN" w:bidi="ar"/>
              </w:rPr>
              <w:t>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冷热混水龙头</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10</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1.座台式安装，双孔双温，鹅颈水嘴；</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2.低铅铜铸造表面抛光镀铬处理；</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3.配1/4转陶瓷阀芯一字型手柄；</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4.冷热接口开孔间距为152㎜，采用偏芯设计可微调（15㎜）；</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5.开孔尺寸为25㎜，接口为标准4分外螺纹；</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6.符合GB 25501-2019标准要求。</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bidi="ar"/>
              </w:rPr>
              <w:t>▲7.提供有效的节能产品认证证书扫描件。</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76250" cy="590550"/>
                  <wp:effectExtent l="0" t="0" r="0" b="0"/>
                  <wp:docPr id="98" name="图片 74" descr="155134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4" descr="155134077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76250" cy="5905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2</w:t>
            </w:r>
            <w:r>
              <w:rPr>
                <w:rFonts w:hint="eastAsia" w:ascii="宋体" w:hAnsi="宋体" w:eastAsia="宋体" w:cs="宋体"/>
                <w:b/>
                <w:bCs/>
                <w:color w:val="auto"/>
                <w:kern w:val="0"/>
                <w:sz w:val="21"/>
                <w:szCs w:val="21"/>
                <w:highlight w:val="none"/>
                <w:lang w:val="en-US" w:eastAsia="zh-CN" w:bidi="ar"/>
              </w:rPr>
              <w:t>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码墙架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1.参考规格：1200*300*300mm；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2.采用304不锈钢板制作，台面板厚≥1.0mm，加强筋厚≥0.8mm。</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54050" cy="309245"/>
                  <wp:effectExtent l="0" t="0" r="3175" b="5080"/>
                  <wp:docPr id="37" name="图片 73" descr="挂墙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3" descr="挂墙架"/>
                          <pic:cNvPicPr>
                            <a:picLocks noChangeAspect="1" noChangeArrowheads="1"/>
                          </pic:cNvPicPr>
                        </pic:nvPicPr>
                        <pic:blipFill>
                          <a:blip r:embed="rId74" cstate="print">
                            <a:extLst>
                              <a:ext uri="{28A0092B-C50C-407E-A947-70E740481C1C}">
                                <a14:useLocalDpi xmlns:a14="http://schemas.microsoft.com/office/drawing/2010/main" val="0"/>
                              </a:ext>
                            </a:extLst>
                          </a:blip>
                          <a:srcRect t="13945"/>
                          <a:stretch>
                            <a:fillRect/>
                          </a:stretch>
                        </pic:blipFill>
                        <pic:spPr>
                          <a:xfrm>
                            <a:off x="0" y="0"/>
                            <a:ext cx="654050" cy="30924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2</w:t>
            </w:r>
            <w:r>
              <w:rPr>
                <w:rFonts w:hint="eastAsia" w:ascii="宋体" w:hAnsi="宋体" w:eastAsia="宋体" w:cs="宋体"/>
                <w:b/>
                <w:bCs/>
                <w:color w:val="auto"/>
                <w:kern w:val="0"/>
                <w:sz w:val="21"/>
                <w:szCs w:val="21"/>
                <w:highlight w:val="none"/>
                <w:lang w:val="en-US" w:eastAsia="zh-CN" w:bidi="ar"/>
              </w:rPr>
              <w:t>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工作台下一层1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1.参考规格：1500*600*850mm;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2.选用304不锈钢板制作（包括加强档、筋），台面板厚≥1.2mm，不锈钢加强筋厚≥1.0mm,下置一层平板，板厚≥1.0mm；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3.万向脚轮两个带脚刹。</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55650" cy="495300"/>
                  <wp:effectExtent l="0" t="0" r="6350" b="0"/>
                  <wp:docPr id="38" name="图片 72"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2" descr="未标题-1 拷贝"/>
                          <pic:cNvPicPr>
                            <a:picLocks noChangeAspect="1" noChangeArrowheads="1"/>
                          </pic:cNvPicPr>
                        </pic:nvPicPr>
                        <pic:blipFill>
                          <a:blip r:embed="rId75">
                            <a:extLst>
                              <a:ext uri="{28A0092B-C50C-407E-A947-70E740481C1C}">
                                <a14:useLocalDpi xmlns:a14="http://schemas.microsoft.com/office/drawing/2010/main" val="0"/>
                              </a:ext>
                            </a:extLst>
                          </a:blip>
                          <a:srcRect l="12383" t="44443" r="13811" b="24915"/>
                          <a:stretch>
                            <a:fillRect/>
                          </a:stretch>
                        </pic:blipFill>
                        <pic:spPr>
                          <a:xfrm>
                            <a:off x="0" y="0"/>
                            <a:ext cx="755650" cy="4953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2</w:t>
            </w:r>
            <w:r>
              <w:rPr>
                <w:rFonts w:hint="eastAsia" w:ascii="宋体" w:hAnsi="宋体" w:eastAsia="宋体" w:cs="宋体"/>
                <w:b/>
                <w:bCs/>
                <w:color w:val="auto"/>
                <w:kern w:val="0"/>
                <w:sz w:val="21"/>
                <w:szCs w:val="21"/>
                <w:highlight w:val="none"/>
                <w:lang w:val="en-US" w:eastAsia="zh-CN" w:bidi="ar"/>
              </w:rPr>
              <w:t>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四层货架2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1.参考规格：1200*500*1800mm；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层外框采用38*25*0.8mm 304不锈钢方管制作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层内档采用38*25*0.8mm 304不锈钢方管制作；</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3.采用φ38*0.8mm304不锈钢圆通腿；</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14350" cy="349250"/>
                  <wp:effectExtent l="0" t="0" r="0" b="3175"/>
                  <wp:docPr id="39" name="图片 71" descr="四层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1" descr="四层货架"/>
                          <pic:cNvPicPr>
                            <a:picLocks noChangeAspect="1" noChangeArrowheads="1"/>
                          </pic:cNvPicPr>
                        </pic:nvPicPr>
                        <pic:blipFill>
                          <a:blip r:embed="rId76" cstate="print">
                            <a:extLst>
                              <a:ext uri="{28A0092B-C50C-407E-A947-70E740481C1C}">
                                <a14:useLocalDpi xmlns:a14="http://schemas.microsoft.com/office/drawing/2010/main" val="0"/>
                              </a:ext>
                            </a:extLst>
                          </a:blip>
                          <a:srcRect l="18083" t="10616" r="17421" b="6229"/>
                          <a:stretch>
                            <a:fillRect/>
                          </a:stretch>
                        </pic:blipFill>
                        <pic:spPr>
                          <a:xfrm>
                            <a:off x="0" y="0"/>
                            <a:ext cx="514350" cy="3492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2</w:t>
            </w:r>
            <w:r>
              <w:rPr>
                <w:rFonts w:hint="eastAsia" w:ascii="宋体" w:hAnsi="宋体" w:eastAsia="宋体" w:cs="宋体"/>
                <w:b/>
                <w:bCs/>
                <w:color w:val="auto"/>
                <w:kern w:val="0"/>
                <w:sz w:val="21"/>
                <w:szCs w:val="21"/>
                <w:highlight w:val="none"/>
                <w:lang w:val="en-US" w:eastAsia="zh-CN" w:bidi="ar"/>
              </w:rPr>
              <w:t>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菜墩刀具消毒柜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：1200*600*1800mm；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2.组合消毒柜，可消毒刀具、菜墩、砧板；</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3.304不锈钢制作，板厚≥1.0mm</w:t>
            </w:r>
            <w:r>
              <w:rPr>
                <w:rFonts w:hint="eastAsia" w:ascii="宋体" w:hAnsi="宋体" w:eastAsia="宋体" w:cs="宋体"/>
                <w:color w:val="auto"/>
                <w:kern w:val="0"/>
                <w:sz w:val="21"/>
                <w:szCs w:val="21"/>
                <w:highlight w:val="none"/>
              </w:rPr>
              <w:t>；</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4.消毒方式：臭氧、紫外线+中温烘干，自动定时；</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5.功率</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：370W。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48640" cy="716915"/>
                  <wp:effectExtent l="0" t="0" r="3810" b="6985"/>
                  <wp:docPr id="4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8640" cy="7169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2</w:t>
            </w:r>
            <w:r>
              <w:rPr>
                <w:rFonts w:hint="eastAsia" w:ascii="宋体" w:hAnsi="宋体" w:eastAsia="宋体" w:cs="宋体"/>
                <w:b/>
                <w:bCs/>
                <w:color w:val="auto"/>
                <w:kern w:val="0"/>
                <w:sz w:val="21"/>
                <w:szCs w:val="21"/>
                <w:highlight w:val="none"/>
                <w:lang w:val="en-US" w:eastAsia="zh-CN" w:bidi="ar"/>
              </w:rPr>
              <w:t>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单星盆台3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1.参考规格：700*700*800/100mm；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2.星盆参考规格：520*480*280mm；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台面板厚≥1.0mm，水斗板厚≥1.0mm，三面围板厚≥1.0mm；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4.采用φ38*0.8mm 304不锈钢圆通腿</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φ25*0.8mm 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09930" cy="675005"/>
                  <wp:effectExtent l="0" t="0" r="4445" b="1270"/>
                  <wp:docPr id="41" name="图片 69"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9" descr="QQ图片单星盆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709930" cy="67500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2</w:t>
            </w:r>
            <w:r>
              <w:rPr>
                <w:rFonts w:hint="eastAsia" w:ascii="宋体" w:hAnsi="宋体" w:eastAsia="宋体" w:cs="宋体"/>
                <w:b/>
                <w:bCs/>
                <w:color w:val="auto"/>
                <w:kern w:val="0"/>
                <w:sz w:val="21"/>
                <w:szCs w:val="21"/>
                <w:highlight w:val="none"/>
                <w:lang w:val="en-US" w:eastAsia="zh-CN" w:bidi="ar"/>
              </w:rPr>
              <w:t>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工作台加档4</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1.参考规格：1800*800*800mm；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2.采用304不锈钢板制作，台面板厚≥1.2mm，加强筋厚≥1.0mm；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3.采用38*25mm*0.8mm 304不锈钢方管格栅档</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φ38*0.8mm 304不锈钢圆通腿；</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23900" cy="597535"/>
                  <wp:effectExtent l="0" t="0" r="0" b="2540"/>
                  <wp:docPr id="42" name="图片 67" descr="工作台加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7" descr="工作台加档"/>
                          <pic:cNvPicPr>
                            <a:picLocks noChangeAspect="1" noChangeArrowheads="1"/>
                          </pic:cNvPicPr>
                        </pic:nvPicPr>
                        <pic:blipFill>
                          <a:blip r:embed="rId77">
                            <a:extLst>
                              <a:ext uri="{28A0092B-C50C-407E-A947-70E740481C1C}">
                                <a14:useLocalDpi xmlns:a14="http://schemas.microsoft.com/office/drawing/2010/main" val="0"/>
                              </a:ext>
                            </a:extLst>
                          </a:blip>
                          <a:srcRect l="8501" t="7143" r="12000" b="16072"/>
                          <a:stretch>
                            <a:fillRect/>
                          </a:stretch>
                        </pic:blipFill>
                        <pic:spPr>
                          <a:xfrm>
                            <a:off x="0" y="0"/>
                            <a:ext cx="723900" cy="59753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2</w:t>
            </w:r>
            <w:r>
              <w:rPr>
                <w:rFonts w:hint="eastAsia" w:ascii="宋体" w:hAnsi="宋体" w:eastAsia="宋体" w:cs="宋体"/>
                <w:b/>
                <w:bCs/>
                <w:color w:val="auto"/>
                <w:kern w:val="0"/>
                <w:sz w:val="21"/>
                <w:szCs w:val="21"/>
                <w:highlight w:val="none"/>
                <w:lang w:val="en-US" w:eastAsia="zh-CN" w:bidi="ar"/>
              </w:rPr>
              <w:t>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双眼燃气大锅灶2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1.参考规格：2000*1150*800/300mm；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2.台面及水围基板采用厚≥1.2mm 304不锈钢；</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3.炉身、炉背板采用厚≥1.0mm 304不锈钢；</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4.炉体骨为L40*40*4mm角铁，两层防腐处理；</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5.炉膛为3mm钢板，耐火棉隔热，耐火泥，一体炉膛砌结火位；</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6.炉通脚采用φ50*2mm201不锈钢管，内含支撑炉身的钢柱以及调节高度的重力可调脚；</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7.配锅ф760mm，后置烟道；</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8.前置来水控制，风气联动、风机单独控制；电子点火、熄火保护装置；</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9.功率：180W*2/220V。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22375" cy="527685"/>
                  <wp:effectExtent l="0" t="0" r="6350" b="5715"/>
                  <wp:docPr id="4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rot="10800000" flipV="1">
                            <a:off x="0" y="0"/>
                            <a:ext cx="1222375" cy="52768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bidi="ar"/>
              </w:rPr>
              <w:t>28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单眼一汤燃气广锅灶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1.参考规格：1200*1150*800/300mm；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2.台面及水围基板采用厚≥1.2mm 304不锈钢；</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3.炉身、炉背板采用厚≥1.0mm 304不锈钢；</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4.炉体骨为L40*40*4mm角铁，两层防腐处理；</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5.炉膛为3mm钢板，耐火棉隔热，耐火泥，一体炉膛砌结火位；</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6.炉通脚φ50*2mm 201不锈钢管，内含支撑炉身的钢柱以及调节高度的重力可调脚；</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7.配锅；</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8.前置来水控制，风气联动、电子点火、熄火保护装置；</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9.功率：180W/220V。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85825" cy="745490"/>
                  <wp:effectExtent l="0" t="0" r="0" b="6985"/>
                  <wp:docPr id="44" name="图片 64" descr="_~$YJV$DY@~637X~2GZ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4" descr="_~$YJV$DY@~637X~2GZB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885825" cy="74549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bidi="ar"/>
              </w:rPr>
              <w:t>29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调料台4</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w:t>
            </w:r>
            <w:r>
              <w:rPr>
                <w:rFonts w:hint="eastAsia" w:ascii="宋体" w:hAnsi="宋体" w:eastAsia="宋体" w:cs="宋体"/>
                <w:color w:val="auto"/>
                <w:kern w:val="0"/>
                <w:sz w:val="21"/>
                <w:szCs w:val="21"/>
                <w:highlight w:val="none"/>
                <w:lang w:bidi="ar"/>
              </w:rPr>
              <w:t>参考规格：500*1150*800/300mm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台面板厚≥1.0mm，前口下围板厚≥1.0mm；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3.采用φ38*0.8mm 304不锈钢圆通腿</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φ25*0.8mm 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39750" cy="730250"/>
                  <wp:effectExtent l="0" t="0" r="3175" b="3175"/>
                  <wp:docPr id="4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39750" cy="7302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3</w:t>
            </w:r>
            <w:r>
              <w:rPr>
                <w:rFonts w:hint="eastAsia" w:ascii="宋体" w:hAnsi="宋体" w:eastAsia="宋体" w:cs="宋体"/>
                <w:b/>
                <w:bCs/>
                <w:color w:val="auto"/>
                <w:kern w:val="0"/>
                <w:sz w:val="21"/>
                <w:szCs w:val="21"/>
                <w:highlight w:val="none"/>
                <w:lang w:val="en-US" w:eastAsia="zh-CN" w:bidi="ar"/>
              </w:rPr>
              <w:t>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调料台5</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1.参考规格：600*500*800mm；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3.采用φ38*0.8mm 304不锈钢圆通腿、φ25*0.8mm304不锈钢下橫通；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39750" cy="730250"/>
                  <wp:effectExtent l="0" t="0" r="3175" b="3175"/>
                  <wp:docPr id="4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39750" cy="7302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3</w:t>
            </w:r>
            <w:r>
              <w:rPr>
                <w:rFonts w:hint="eastAsia" w:ascii="宋体" w:hAnsi="宋体" w:eastAsia="宋体" w:cs="宋体"/>
                <w:b/>
                <w:bCs/>
                <w:color w:val="auto"/>
                <w:kern w:val="0"/>
                <w:sz w:val="21"/>
                <w:szCs w:val="21"/>
                <w:highlight w:val="none"/>
                <w:lang w:val="en-US" w:eastAsia="zh-CN" w:bidi="ar"/>
              </w:rPr>
              <w:t>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双门燃气蒸饭柜2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1.参考规格：≤1250*950*1700mm；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2.采用304不锈钢板制作，门面厚≥1.0mm，门后板厚≥0.8mm；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3.采用Φ50*150*2mm重力可调脚；</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4.配304不锈钢饭盘26只，参考规格：600*400*50mm，壁厚≥0.7mm饭盘；</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5.配分饭器1个、饭铲2把；</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6.火排式燃烧器、电子点火、自动进水、熄火保护装置；</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w:t>
            </w:r>
            <w:r>
              <w:rPr>
                <w:rFonts w:hint="eastAsia" w:ascii="宋体" w:hAnsi="宋体" w:eastAsia="宋体" w:cs="宋体"/>
                <w:color w:val="auto"/>
                <w:kern w:val="0"/>
                <w:sz w:val="21"/>
                <w:szCs w:val="21"/>
                <w:highlight w:val="none"/>
                <w:lang w:bidi="ar"/>
              </w:rPr>
              <w:t>功率（约）：50w</w:t>
            </w:r>
            <w:r>
              <w:rPr>
                <w:rFonts w:hint="eastAsia" w:ascii="宋体" w:hAnsi="宋体" w:eastAsia="宋体" w:cs="宋体"/>
                <w:color w:val="auto"/>
                <w:kern w:val="0"/>
                <w:sz w:val="21"/>
                <w:szCs w:val="21"/>
                <w:highlight w:val="none"/>
                <w:lang w:bidi="ar"/>
              </w:rPr>
              <w:t>。</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62000" cy="793750"/>
                  <wp:effectExtent l="0" t="0" r="0" b="6350"/>
                  <wp:docPr id="47" name="图片 60" descr="rawe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0" descr="rawen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762000" cy="7937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3</w:t>
            </w:r>
            <w:r>
              <w:rPr>
                <w:rFonts w:hint="eastAsia" w:ascii="宋体" w:hAnsi="宋体" w:eastAsia="宋体" w:cs="宋体"/>
                <w:b/>
                <w:bCs/>
                <w:color w:val="auto"/>
                <w:kern w:val="0"/>
                <w:sz w:val="21"/>
                <w:szCs w:val="21"/>
                <w:highlight w:val="none"/>
                <w:lang w:val="en-US" w:eastAsia="zh-CN" w:bidi="ar"/>
              </w:rPr>
              <w:t>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油网烟罩</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8</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1.参考规格：6150*1300*550mm；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罩体板厚≥1.0mm，加强筋厚≥1.0mmmm；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3.滤网板厚≥0.7mm，配防雾罩壳灯；</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r>
              <w:rPr>
                <w:rFonts w:hint="eastAsia" w:ascii="宋体" w:hAnsi="宋体" w:eastAsia="宋体" w:cs="宋体"/>
                <w:color w:val="auto"/>
                <w:kern w:val="0"/>
                <w:sz w:val="21"/>
                <w:szCs w:val="21"/>
                <w:highlight w:val="none"/>
                <w:lang w:bidi="ar"/>
              </w:rPr>
              <w:t>功率（约）：0.2KW</w:t>
            </w:r>
            <w:r>
              <w:rPr>
                <w:rFonts w:hint="eastAsia" w:ascii="宋体" w:hAnsi="宋体" w:eastAsia="宋体" w:cs="宋体"/>
                <w:color w:val="auto"/>
                <w:kern w:val="0"/>
                <w:sz w:val="21"/>
                <w:szCs w:val="21"/>
                <w:highlight w:val="none"/>
                <w:lang w:bidi="ar"/>
              </w:rPr>
              <w:t>。</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99795" cy="365125"/>
                  <wp:effectExtent l="0" t="0" r="5080" b="6350"/>
                  <wp:docPr id="4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899795" cy="36512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3</w:t>
            </w:r>
            <w:r>
              <w:rPr>
                <w:rFonts w:hint="eastAsia" w:ascii="宋体" w:hAnsi="宋体" w:eastAsia="宋体" w:cs="宋体"/>
                <w:b/>
                <w:bCs/>
                <w:color w:val="auto"/>
                <w:kern w:val="0"/>
                <w:sz w:val="21"/>
                <w:szCs w:val="21"/>
                <w:highlight w:val="none"/>
                <w:lang w:val="en-US" w:eastAsia="zh-CN" w:bidi="ar"/>
              </w:rPr>
              <w:t>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双向移门打荷柜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1.参考规格：1800*800*800mm；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台面板采用厚≥1.2mm</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门板厚≥0.8mm，柜内层板、底板厚≥1.0mm；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35355" cy="549910"/>
                  <wp:effectExtent l="0" t="0" r="7620" b="2540"/>
                  <wp:docPr id="4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935355" cy="54991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3</w:t>
            </w:r>
            <w:r>
              <w:rPr>
                <w:rFonts w:hint="eastAsia" w:ascii="宋体" w:hAnsi="宋体" w:eastAsia="宋体" w:cs="宋体"/>
                <w:b/>
                <w:bCs/>
                <w:color w:val="auto"/>
                <w:kern w:val="0"/>
                <w:sz w:val="21"/>
                <w:szCs w:val="21"/>
                <w:highlight w:val="none"/>
                <w:lang w:val="en-US" w:eastAsia="zh-CN" w:bidi="ar"/>
              </w:rPr>
              <w:t>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淘米水池（无背）</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1.参考规格：1000*800*800mm；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2.星盆参考规格：820*590*280mm；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台面板厚≥1.0mm，水斗板厚≥1.0mm，三面围板厚≥1.0mm；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4.采用φ38*0.8mm304不锈钢圆通腿</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φ25*0.8mm304不锈钢下橫通；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71500" cy="738505"/>
                  <wp:effectExtent l="0" t="0" r="0" b="4445"/>
                  <wp:docPr id="51" name="图片 57"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7" descr="QQ图片单星盆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71500" cy="73850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val="en-US" w:eastAsia="zh-CN" w:bidi="ar"/>
              </w:rPr>
              <w:t>35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感应龙头1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1.感应龙头，台式安装</w:t>
            </w:r>
            <w:r>
              <w:rPr>
                <w:rFonts w:hint="eastAsia" w:ascii="宋体" w:hAnsi="宋体" w:eastAsia="宋体" w:cs="宋体"/>
                <w:color w:val="auto"/>
                <w:kern w:val="0"/>
                <w:sz w:val="21"/>
                <w:szCs w:val="21"/>
                <w:highlight w:val="none"/>
                <w:lang w:bidi="ar"/>
              </w:rPr>
              <w:t>黄铜铸造水嘴</w:t>
            </w:r>
            <w:r>
              <w:rPr>
                <w:rFonts w:hint="eastAsia" w:ascii="宋体" w:hAnsi="宋体" w:eastAsia="宋体" w:cs="宋体"/>
                <w:color w:val="auto"/>
                <w:kern w:val="0"/>
                <w:sz w:val="21"/>
                <w:szCs w:val="21"/>
                <w:highlight w:val="none"/>
                <w:lang w:bidi="ar"/>
              </w:rPr>
              <w:t>；</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bidi="ar"/>
              </w:rPr>
              <w:t>▲2.提供有效的节能产品认证证书扫描件。</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47700" cy="295910"/>
                  <wp:effectExtent l="0" t="0" r="0" b="8890"/>
                  <wp:docPr id="5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647700" cy="29591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3</w:t>
            </w:r>
            <w:r>
              <w:rPr>
                <w:rFonts w:hint="eastAsia" w:ascii="宋体" w:hAnsi="宋体" w:eastAsia="宋体" w:cs="宋体"/>
                <w:b/>
                <w:bCs/>
                <w:color w:val="auto"/>
                <w:kern w:val="0"/>
                <w:sz w:val="21"/>
                <w:szCs w:val="21"/>
                <w:highlight w:val="none"/>
                <w:lang w:val="en-US" w:eastAsia="zh-CN" w:bidi="ar"/>
              </w:rPr>
              <w:t>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红外感应干手机</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.感应方式：红外线感应；</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.感应距离：15-20厘米；</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.风速：≥35L/s；</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.干手速度：≤10s；</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.防水等级：IPX4；</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.安全装置：过热、过流、低压、高压、超时保护。</w:t>
            </w:r>
          </w:p>
        </w:tc>
        <w:tc>
          <w:tcPr>
            <w:tcW w:w="1845" w:type="dxa"/>
            <w:vAlign w:val="center"/>
          </w:tcPr>
          <w:p>
            <w:pPr>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83895" cy="751205"/>
                  <wp:effectExtent l="0" t="0" r="1905" b="1270"/>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noChangeArrowheads="1"/>
                          </pic:cNvPicPr>
                        </pic:nvPicPr>
                        <pic:blipFill>
                          <a:blip r:embed="rId86" cstate="print">
                            <a:extLst>
                              <a:ext uri="{28A0092B-C50C-407E-A947-70E740481C1C}">
                                <a14:useLocalDpi xmlns:a14="http://schemas.microsoft.com/office/drawing/2010/main" val="0"/>
                              </a:ext>
                            </a:extLst>
                          </a:blip>
                          <a:srcRect l="17189" t="14597" r="27196"/>
                          <a:stretch>
                            <a:fillRect/>
                          </a:stretch>
                        </pic:blipFill>
                        <pic:spPr>
                          <a:xfrm>
                            <a:off x="0" y="0"/>
                            <a:ext cx="683895" cy="75120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3</w:t>
            </w:r>
            <w:r>
              <w:rPr>
                <w:rFonts w:hint="eastAsia" w:ascii="宋体" w:hAnsi="宋体" w:eastAsia="宋体" w:cs="宋体"/>
                <w:b/>
                <w:bCs/>
                <w:color w:val="auto"/>
                <w:kern w:val="0"/>
                <w:sz w:val="21"/>
                <w:szCs w:val="21"/>
                <w:highlight w:val="none"/>
                <w:lang w:val="en-US" w:eastAsia="zh-CN" w:bidi="ar"/>
              </w:rPr>
              <w:t>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工作台下一层2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1.参考规格：1000*700*800mm；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2.采用304不锈钢板制作，台面板厚≥1.2mm，加强筋厚≥1.0mm，下层板厚≥1.0mm；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3.采用φ38*0.8mm 304不锈钢圆通腿</w:t>
            </w:r>
            <w:r>
              <w:rPr>
                <w:rFonts w:hint="eastAsia" w:ascii="宋体" w:hAnsi="宋体" w:eastAsia="宋体" w:cs="宋体"/>
                <w:color w:val="auto"/>
                <w:kern w:val="0"/>
                <w:sz w:val="21"/>
                <w:szCs w:val="21"/>
                <w:highlight w:val="none"/>
              </w:rPr>
              <w:t>；</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bidi="ar"/>
              </w:rPr>
              <w:t>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104265" cy="675005"/>
                  <wp:effectExtent l="0" t="0" r="635" b="1270"/>
                  <wp:docPr id="53" name="图片 52" descr="长方桌加平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长方桌加平板"/>
                          <pic:cNvPicPr>
                            <a:picLocks noChangeAspect="1" noChangeArrowheads="1"/>
                          </pic:cNvPicPr>
                        </pic:nvPicPr>
                        <pic:blipFill>
                          <a:blip r:embed="rId87">
                            <a:extLst>
                              <a:ext uri="{28A0092B-C50C-407E-A947-70E740481C1C}">
                                <a14:useLocalDpi xmlns:a14="http://schemas.microsoft.com/office/drawing/2010/main" val="0"/>
                              </a:ext>
                            </a:extLst>
                          </a:blip>
                          <a:srcRect t="5415"/>
                          <a:stretch>
                            <a:fillRect/>
                          </a:stretch>
                        </pic:blipFill>
                        <pic:spPr>
                          <a:xfrm>
                            <a:off x="0" y="0"/>
                            <a:ext cx="1104265" cy="67500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bidi="ar"/>
              </w:rPr>
              <w:t>38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工作台下一层3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1.参考规格：1600*700*800mm；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2.采用304不锈钢板制作，台面板厚≥1.2mm，加强筋厚≥1.0mm，下层板厚≥1.0mm；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3.采用φ38*0.8mm 304不锈钢圆通腿；</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104265" cy="675005"/>
                  <wp:effectExtent l="0" t="0" r="635" b="1270"/>
                  <wp:docPr id="54" name="图片 54" descr="长方桌加平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长方桌加平板"/>
                          <pic:cNvPicPr>
                            <a:picLocks noChangeAspect="1" noChangeArrowheads="1"/>
                          </pic:cNvPicPr>
                        </pic:nvPicPr>
                        <pic:blipFill>
                          <a:blip r:embed="rId87">
                            <a:extLst>
                              <a:ext uri="{28A0092B-C50C-407E-A947-70E740481C1C}">
                                <a14:useLocalDpi xmlns:a14="http://schemas.microsoft.com/office/drawing/2010/main" val="0"/>
                              </a:ext>
                            </a:extLst>
                          </a:blip>
                          <a:srcRect t="5415"/>
                          <a:stretch>
                            <a:fillRect/>
                          </a:stretch>
                        </pic:blipFill>
                        <pic:spPr>
                          <a:xfrm>
                            <a:off x="0" y="0"/>
                            <a:ext cx="1104265" cy="67500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bidi="ar"/>
              </w:rPr>
              <w:t>39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四斗保温台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1.参考规格：1500*700*800mm；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2.采用304不锈钢板制作，台面板厚≥1.0mm，</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侧板厚≥0.8mm；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3.配不锈钢304份数盆，机压1/1深度100mm份数盘4只；</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4.φ38*0.8mm 304不锈钢圆通腿；</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5.配201不锈钢可调子弹脚；</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6.数码控制防干烧、自动进水、自动恒温；</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7.功率</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：4KW。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05840" cy="688975"/>
                  <wp:effectExtent l="0" t="0" r="3810" b="6350"/>
                  <wp:docPr id="5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005840" cy="68897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4</w:t>
            </w:r>
            <w:r>
              <w:rPr>
                <w:rFonts w:hint="eastAsia" w:ascii="宋体" w:hAnsi="宋体" w:eastAsia="宋体" w:cs="宋体"/>
                <w:b/>
                <w:bCs/>
                <w:color w:val="auto"/>
                <w:kern w:val="0"/>
                <w:sz w:val="21"/>
                <w:szCs w:val="21"/>
                <w:highlight w:val="none"/>
                <w:lang w:val="en-US" w:eastAsia="zh-CN" w:bidi="ar"/>
              </w:rPr>
              <w:t>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紫外线消毒灯</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功率：220V/40W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90550" cy="311150"/>
                  <wp:effectExtent l="0" t="0" r="0" b="3175"/>
                  <wp:docPr id="56" name="图片 49" descr="rawen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descr="rawend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90550" cy="3111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4</w:t>
            </w:r>
            <w:r>
              <w:rPr>
                <w:rFonts w:hint="eastAsia" w:ascii="宋体" w:hAnsi="宋体" w:eastAsia="宋体" w:cs="宋体"/>
                <w:b/>
                <w:bCs/>
                <w:color w:val="auto"/>
                <w:kern w:val="0"/>
                <w:sz w:val="21"/>
                <w:szCs w:val="21"/>
                <w:highlight w:val="none"/>
                <w:lang w:val="en-US" w:eastAsia="zh-CN" w:bidi="ar"/>
              </w:rPr>
              <w:t>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工作台下一层4</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1.参考规格：800*760*850/100mm；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2.采用304不锈钢板制作，台面板厚≥1.2mm，加强筋厚≥1.0mm，下层板厚≥1.0mm；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3.采用φ38*0.8mm 304不锈钢圆通腿；</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05840" cy="688975"/>
                  <wp:effectExtent l="0" t="0" r="3810" b="6350"/>
                  <wp:docPr id="5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005840" cy="68897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4</w:t>
            </w:r>
            <w:r>
              <w:rPr>
                <w:rFonts w:hint="eastAsia" w:ascii="宋体" w:hAnsi="宋体" w:eastAsia="宋体" w:cs="宋体"/>
                <w:b/>
                <w:bCs/>
                <w:color w:val="auto"/>
                <w:kern w:val="0"/>
                <w:sz w:val="21"/>
                <w:szCs w:val="21"/>
                <w:highlight w:val="none"/>
                <w:lang w:val="en-US" w:eastAsia="zh-CN" w:bidi="ar"/>
              </w:rPr>
              <w:t>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双星盆台1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1.参考规格：1800*760*850/100mm；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2.星盆参考规格：780*540*280mm；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台面板厚≥1.0mm，水斗板厚≥1.0mm，三面围板厚≥1.0mm；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4.采用φ38*0.8mm304不锈钢圆通腿</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φ25*0.8mm304不锈钢下橫通；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38250" cy="717550"/>
                  <wp:effectExtent l="0" t="0" r="0" b="6350"/>
                  <wp:docPr id="59" name="图片 47" descr="双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7" descr="双星盆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rot="10800000" flipV="1">
                            <a:off x="0" y="0"/>
                            <a:ext cx="1238250" cy="7175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4</w:t>
            </w:r>
            <w:r>
              <w:rPr>
                <w:rFonts w:hint="eastAsia" w:ascii="宋体" w:hAnsi="宋体" w:eastAsia="宋体" w:cs="宋体"/>
                <w:b/>
                <w:bCs/>
                <w:color w:val="auto"/>
                <w:kern w:val="0"/>
                <w:sz w:val="21"/>
                <w:szCs w:val="21"/>
                <w:highlight w:val="none"/>
                <w:lang w:val="en-US" w:eastAsia="zh-CN" w:bidi="ar"/>
              </w:rPr>
              <w:t>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单星盆台4</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1.参考规格：1000*800*850/100mm；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台面板厚≥1.0mm，水斗板厚≥1.0mm，三面围板厚≥1.0mm；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3.采用φ38*0.8mm304不锈钢圆通腿、φ25*0.8mm304不锈钢下橫通；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38200" cy="590550"/>
                  <wp:effectExtent l="0" t="0" r="0" b="0"/>
                  <wp:docPr id="60" name="图片 60"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QQ图片单星盆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838200" cy="5905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4</w:t>
            </w:r>
            <w:r>
              <w:rPr>
                <w:rFonts w:hint="eastAsia" w:ascii="宋体" w:hAnsi="宋体" w:eastAsia="宋体" w:cs="宋体"/>
                <w:b/>
                <w:bCs/>
                <w:color w:val="auto"/>
                <w:kern w:val="0"/>
                <w:sz w:val="21"/>
                <w:szCs w:val="21"/>
                <w:highlight w:val="none"/>
                <w:lang w:val="en-US" w:eastAsia="zh-CN" w:bidi="ar"/>
              </w:rPr>
              <w:t>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电开水器（连底座）</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1.额定容量：≥80L；</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2.箱体内外304不锈钢，底座201不锈钢；</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3.功率：12KW/380V。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69900" cy="828675"/>
                  <wp:effectExtent l="0" t="0" r="6350" b="0"/>
                  <wp:docPr id="61" name="图片 44" descr="电热开水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descr="电热开水器"/>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69900" cy="82867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4</w:t>
            </w:r>
            <w:r>
              <w:rPr>
                <w:rFonts w:hint="eastAsia" w:ascii="宋体" w:hAnsi="宋体" w:eastAsia="宋体" w:cs="宋体"/>
                <w:b/>
                <w:bCs/>
                <w:color w:val="auto"/>
                <w:kern w:val="0"/>
                <w:sz w:val="21"/>
                <w:szCs w:val="21"/>
                <w:highlight w:val="none"/>
                <w:lang w:val="en-US" w:eastAsia="zh-CN" w:bidi="ar"/>
              </w:rPr>
              <w:t>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双门热风循环消毒柜2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：1310*640*1880mm；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2.内外箱体采用304不锈钢制作，150℃立体循环风；</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3.配不锈钢消毒筐，数控触摸面板；</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4.功率</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：4.4KW；</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5.温度范围：20℃-150℃。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62000" cy="736600"/>
                  <wp:effectExtent l="0" t="0" r="0" b="6350"/>
                  <wp:docPr id="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762000" cy="7366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4</w:t>
            </w:r>
            <w:r>
              <w:rPr>
                <w:rFonts w:hint="eastAsia" w:ascii="宋体" w:hAnsi="宋体" w:eastAsia="宋体" w:cs="宋体"/>
                <w:b/>
                <w:bCs/>
                <w:color w:val="auto"/>
                <w:kern w:val="0"/>
                <w:sz w:val="21"/>
                <w:szCs w:val="21"/>
                <w:highlight w:val="none"/>
                <w:lang w:val="en-US" w:eastAsia="zh-CN" w:bidi="ar"/>
              </w:rPr>
              <w:t>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三翻门碗柜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1.参考规格：1200*500*1800mm；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2.采用304不锈钢板制作，层板厚≥1.0mm，门面板厚≥0.8mm，其它厚≥0.7mm；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77850" cy="920115"/>
                  <wp:effectExtent l="0" t="0" r="3175" b="3810"/>
                  <wp:docPr id="63" name="图片 41" descr="翻门保洁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descr="翻门保洁柜"/>
                          <pic:cNvPicPr>
                            <a:picLocks noChangeAspect="1" noChangeArrowheads="1"/>
                          </pic:cNvPicPr>
                        </pic:nvPicPr>
                        <pic:blipFill>
                          <a:blip r:embed="rId93">
                            <a:extLst>
                              <a:ext uri="{28A0092B-C50C-407E-A947-70E740481C1C}">
                                <a14:useLocalDpi xmlns:a14="http://schemas.microsoft.com/office/drawing/2010/main" val="0"/>
                              </a:ext>
                            </a:extLst>
                          </a:blip>
                          <a:srcRect l="8672" t="4366" r="9248" b="5159"/>
                          <a:stretch>
                            <a:fillRect/>
                          </a:stretch>
                        </pic:blipFill>
                        <pic:spPr>
                          <a:xfrm flipH="1">
                            <a:off x="0" y="0"/>
                            <a:ext cx="577850" cy="9201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4</w:t>
            </w:r>
            <w:r>
              <w:rPr>
                <w:rFonts w:hint="eastAsia" w:ascii="宋体" w:hAnsi="宋体" w:eastAsia="宋体" w:cs="宋体"/>
                <w:b/>
                <w:bCs/>
                <w:color w:val="auto"/>
                <w:kern w:val="0"/>
                <w:sz w:val="21"/>
                <w:szCs w:val="21"/>
                <w:highlight w:val="none"/>
                <w:lang w:val="en-US" w:eastAsia="zh-CN" w:bidi="ar"/>
              </w:rPr>
              <w:t>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挂墙洗手星连平台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1.参考规格：600*450*250/100mm；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台面板厚≥1.0mm，水斗板厚≥1.0mm，三面围板厚≥1.0mm。</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25475" cy="520065"/>
                  <wp:effectExtent l="0" t="0" r="3175" b="3810"/>
                  <wp:docPr id="64" name="图片 40" descr="QQ图片挂墙洗手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descr="QQ图片挂墙洗手星"/>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625475" cy="52006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留样冰箱2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1.参考规格（约）：600*750*1960mm；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2.功率：220V/0.5KW；</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3.材质：304不锈钢；</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4.制冷方式：风冷。</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83235" cy="697230"/>
                  <wp:effectExtent l="0" t="0" r="2540" b="7620"/>
                  <wp:docPr id="6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483235" cy="69723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单星盆台5</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1.参考规格：600*750*800/100mm；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台面板厚≥1.0mm，水斗板厚≥1.0mm，三面围板厚≥1.0mm；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3.采用φ38*0.8mm304不锈钢圆通腿、φ25*0.8mm304不锈钢下橫通；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54050" cy="815340"/>
                  <wp:effectExtent l="0" t="0" r="3175" b="3810"/>
                  <wp:docPr id="66" name="图片 36"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descr="QQ图片单星盆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654050" cy="81534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5</w:t>
            </w:r>
            <w:r>
              <w:rPr>
                <w:rFonts w:hint="eastAsia" w:ascii="宋体" w:hAnsi="宋体" w:eastAsia="宋体" w:cs="宋体"/>
                <w:b/>
                <w:bCs/>
                <w:color w:val="auto"/>
                <w:kern w:val="0"/>
                <w:sz w:val="21"/>
                <w:szCs w:val="21"/>
                <w:highlight w:val="none"/>
                <w:lang w:val="en-US" w:eastAsia="zh-CN" w:bidi="ar"/>
              </w:rPr>
              <w:t>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单向移门操作台1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1.参考规格：1800*750*800mm；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台面板厚≥1.2mm，加强筋厚≥1.0mm，门板厚≥0.8mm，柜内层板厚≥1.0mm；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155700" cy="641350"/>
                  <wp:effectExtent l="0" t="0" r="6350" b="6350"/>
                  <wp:docPr id="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155700" cy="6413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5</w:t>
            </w:r>
            <w:r>
              <w:rPr>
                <w:rFonts w:hint="eastAsia" w:ascii="宋体" w:hAnsi="宋体" w:eastAsia="宋体" w:cs="宋体"/>
                <w:b/>
                <w:bCs/>
                <w:color w:val="auto"/>
                <w:kern w:val="0"/>
                <w:sz w:val="21"/>
                <w:szCs w:val="21"/>
                <w:highlight w:val="none"/>
                <w:lang w:val="en-US" w:eastAsia="zh-CN" w:bidi="ar"/>
              </w:rPr>
              <w:t>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班级送餐车</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9</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辆</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1.参考规格：500*500*760mm；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2.选用304不锈钢板制作，面板厚≥1.2mm；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3.内置ф200mm 304不锈钢圆桶、201不锈钢盖4个、下层定制304不锈钢碗筷框，碗筷框参考规格：450*330*240mm；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4.配万向、固定静音脚轮各2个，两个带脚刹。</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82675" cy="780415"/>
                  <wp:effectExtent l="0" t="0" r="3175" b="635"/>
                  <wp:docPr id="68" name="图片 32" descr="说明: 班级送餐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descr="说明: 班级送餐车"/>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082675" cy="7804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5</w:t>
            </w:r>
            <w:r>
              <w:rPr>
                <w:rFonts w:hint="eastAsia" w:ascii="宋体" w:hAnsi="宋体" w:eastAsia="宋体" w:cs="宋体"/>
                <w:b/>
                <w:bCs/>
                <w:color w:val="auto"/>
                <w:kern w:val="0"/>
                <w:sz w:val="21"/>
                <w:szCs w:val="21"/>
                <w:highlight w:val="none"/>
                <w:lang w:val="en-US" w:eastAsia="zh-CN" w:bidi="ar"/>
              </w:rPr>
              <w:t>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不锈钢绞肉机</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.功率</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：1100W；</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.不锈钢机身，接触食物的零部件均符合食品安全卫生标准。</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16305" cy="787400"/>
                  <wp:effectExtent l="0" t="0" r="7620" b="3175"/>
                  <wp:docPr id="92" name="图片 92" descr="9aab6e1967f3bd59a56db6245530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9aab6e1967f3bd59a56db62455307ab"/>
                          <pic:cNvPicPr>
                            <a:picLocks noChangeAspect="1"/>
                          </pic:cNvPicPr>
                        </pic:nvPicPr>
                        <pic:blipFill>
                          <a:blip r:embed="rId99"/>
                          <a:srcRect l="6094" t="18541" b="44173"/>
                          <a:stretch>
                            <a:fillRect/>
                          </a:stretch>
                        </pic:blipFill>
                        <pic:spPr>
                          <a:xfrm>
                            <a:off x="0" y="0"/>
                            <a:ext cx="916305" cy="787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5</w:t>
            </w:r>
            <w:r>
              <w:rPr>
                <w:rFonts w:hint="eastAsia" w:ascii="宋体" w:hAnsi="宋体" w:eastAsia="宋体" w:cs="宋体"/>
                <w:b/>
                <w:bCs/>
                <w:color w:val="auto"/>
                <w:kern w:val="0"/>
                <w:sz w:val="21"/>
                <w:szCs w:val="21"/>
                <w:highlight w:val="none"/>
                <w:lang w:val="en-US" w:eastAsia="zh-CN" w:bidi="ar"/>
              </w:rPr>
              <w:t>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三层餐车</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辆</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1.参考规格：≤900*500*900mm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2.采用304不锈钢板制作，层板厚度≥1.0mm；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3.配5′双轴承重型PU定向、万向轮各两个，带刹车擎。</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37590" cy="784225"/>
                  <wp:effectExtent l="0" t="0" r="635" b="6350"/>
                  <wp:docPr id="99" name="图片 19" descr="三层餐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9" descr="三层餐车"/>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037590" cy="78422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val="en-US" w:eastAsia="zh-CN" w:bidi="ar"/>
              </w:rPr>
              <w:t>54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不锈钢变径管1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40</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不锈钢1.0mm、3#角钢法兰。</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5</w:t>
            </w:r>
            <w:r>
              <w:rPr>
                <w:rFonts w:hint="eastAsia" w:ascii="宋体" w:hAnsi="宋体" w:eastAsia="宋体" w:cs="宋体"/>
                <w:b/>
                <w:bCs/>
                <w:color w:val="auto"/>
                <w:kern w:val="0"/>
                <w:sz w:val="21"/>
                <w:szCs w:val="21"/>
                <w:highlight w:val="none"/>
                <w:lang w:val="en-US" w:eastAsia="zh-CN" w:bidi="ar"/>
              </w:rPr>
              <w:t>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离心风机（内置消音装置）</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1.风量：≥16000ｍ³/h；</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2.全压：900Pa；</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3.功率：7.5KW/380V；</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4.采用双进风后倾叶轮；</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5.主轴采用40铬钢精工制作，经调质热处理；</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6.柜体采用双层钢板结构，夹层内填充吸音材料；</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7.电机采用全铜优质电机。</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95350" cy="921385"/>
                  <wp:effectExtent l="0" t="0" r="0" b="2540"/>
                  <wp:docPr id="6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895350" cy="92138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5</w:t>
            </w:r>
            <w:r>
              <w:rPr>
                <w:rFonts w:hint="eastAsia" w:ascii="宋体" w:hAnsi="宋体" w:eastAsia="宋体" w:cs="宋体"/>
                <w:b/>
                <w:bCs/>
                <w:color w:val="auto"/>
                <w:kern w:val="0"/>
                <w:sz w:val="21"/>
                <w:szCs w:val="21"/>
                <w:highlight w:val="none"/>
                <w:lang w:val="en-US" w:eastAsia="zh-CN" w:bidi="ar"/>
              </w:rPr>
              <w:t>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不锈钢油烟净化器</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1.参考规格：≤1290*1380*730mm；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2.净化设备由201不锈钢外壳，数字电源，高压输出装置，高低压不锈钢电场等组成。其中外壳和电场均采用不锈钢材质。数字电源可外接数码显示屏，显示设备的运行状态；</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.处理能力：16000ｍ³/h</w:t>
            </w:r>
            <w:r>
              <w:rPr>
                <w:rFonts w:hint="eastAsia" w:ascii="宋体" w:hAnsi="宋体" w:eastAsia="宋体" w:cs="宋体"/>
                <w:color w:val="auto"/>
                <w:sz w:val="21"/>
                <w:szCs w:val="21"/>
                <w:highlight w:val="none"/>
              </w:rPr>
              <w:t>；</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.油烟净化率：≥95%。</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01370" cy="485140"/>
                  <wp:effectExtent l="0" t="0" r="8255" b="635"/>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801370" cy="48514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5</w:t>
            </w:r>
            <w:r>
              <w:rPr>
                <w:rFonts w:hint="eastAsia" w:ascii="宋体" w:hAnsi="宋体" w:eastAsia="宋体" w:cs="宋体"/>
                <w:b/>
                <w:bCs/>
                <w:color w:val="auto"/>
                <w:kern w:val="0"/>
                <w:sz w:val="21"/>
                <w:szCs w:val="21"/>
                <w:highlight w:val="none"/>
                <w:lang w:val="en-US" w:eastAsia="zh-CN" w:bidi="ar"/>
              </w:rPr>
              <w:t>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不锈钢消音器2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1.参考规格：L=1500mm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2.不锈钢钢板0.7mm，内村消音棉；</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3.与风机出风口配套使用。</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56260" cy="803910"/>
                  <wp:effectExtent l="28575" t="43815" r="34290" b="47625"/>
                  <wp:docPr id="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rot="5011498">
                            <a:off x="0" y="0"/>
                            <a:ext cx="556260" cy="80391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电动机传动部降噪箱</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镀锌钢板1.0mm，内村消音棉，与风机配套使用。</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弹簧减震器1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只</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承重≥150kg。</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88950" cy="273050"/>
                  <wp:effectExtent l="0" t="0" r="6350" b="3175"/>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88950" cy="2730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6</w:t>
            </w:r>
            <w:r>
              <w:rPr>
                <w:rFonts w:hint="eastAsia" w:ascii="宋体" w:hAnsi="宋体" w:eastAsia="宋体" w:cs="宋体"/>
                <w:b/>
                <w:bCs/>
                <w:color w:val="auto"/>
                <w:kern w:val="0"/>
                <w:sz w:val="21"/>
                <w:szCs w:val="21"/>
                <w:highlight w:val="none"/>
                <w:lang w:val="en-US" w:eastAsia="zh-CN" w:bidi="ar"/>
              </w:rPr>
              <w:t>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风机、净化器槽钢支架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8#槽钢，二遍防腐处理。</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6</w:t>
            </w:r>
            <w:r>
              <w:rPr>
                <w:rFonts w:hint="eastAsia" w:ascii="宋体" w:hAnsi="宋体" w:eastAsia="宋体" w:cs="宋体"/>
                <w:b/>
                <w:bCs/>
                <w:color w:val="auto"/>
                <w:kern w:val="0"/>
                <w:sz w:val="21"/>
                <w:szCs w:val="21"/>
                <w:highlight w:val="none"/>
                <w:lang w:val="en-US" w:eastAsia="zh-CN" w:bidi="ar"/>
              </w:rPr>
              <w:t>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软连接2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玻璃纤维布材质，与风机净化器配套使用。</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62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不锈钢防火阀</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1.不锈钢材质，壁厚≥1.5mm；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2.动作温度：150℃。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06400" cy="469900"/>
                  <wp:effectExtent l="0" t="0" r="3175" b="6350"/>
                  <wp:docPr id="73" name="图片 27" descr="../../../../Users/ADMINI~1/AppData/Local/Temp/ksohtml/clip_image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descr="../../../../Users/ADMINI~1/AppData/Local/Temp/ksohtml/clip_image526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06400" cy="4699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textAlignment w:val="center"/>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bidi="ar"/>
              </w:rPr>
              <w:t>6</w:t>
            </w:r>
            <w:r>
              <w:rPr>
                <w:rFonts w:hint="eastAsia" w:ascii="宋体" w:hAnsi="宋体" w:eastAsia="宋体" w:cs="宋体"/>
                <w:b/>
                <w:bCs/>
                <w:color w:val="auto"/>
                <w:kern w:val="0"/>
                <w:sz w:val="21"/>
                <w:szCs w:val="21"/>
                <w:highlight w:val="none"/>
                <w:lang w:val="en-US" w:eastAsia="zh-CN" w:bidi="ar"/>
              </w:rPr>
              <w:t>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风机变频启动箱2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1.适配电机功率：7.5KW/380V；</w:t>
            </w:r>
          </w:p>
          <w:p>
            <w:pPr>
              <w:widowControl/>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2.节能率：30%~50%；</w:t>
            </w:r>
          </w:p>
          <w:p>
            <w:pPr>
              <w:widowControl/>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3.智能静音；</w:t>
            </w:r>
          </w:p>
          <w:p>
            <w:pPr>
              <w:widowControl/>
              <w:spacing w:line="240" w:lineRule="auto"/>
              <w:jc w:val="left"/>
              <w:rPr>
                <w:rFonts w:hint="eastAsia" w:ascii="宋体" w:hAnsi="宋体" w:eastAsia="宋体" w:cs="宋体"/>
                <w:color w:val="auto"/>
                <w:sz w:val="21"/>
                <w:szCs w:val="21"/>
                <w:highlight w:val="none"/>
                <w:lang w:bidi="ar"/>
              </w:rPr>
            </w:pPr>
            <w:r>
              <w:rPr>
                <w:rFonts w:hint="eastAsia" w:ascii="宋体" w:hAnsi="宋体" w:eastAsia="宋体" w:cs="宋体"/>
                <w:color w:val="auto"/>
                <w:kern w:val="0"/>
                <w:sz w:val="21"/>
                <w:szCs w:val="21"/>
                <w:highlight w:val="none"/>
                <w:lang w:bidi="ar"/>
              </w:rPr>
              <w:t>4.变频控制，无极调速。</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57200" cy="435610"/>
                  <wp:effectExtent l="0" t="0" r="0" b="2540"/>
                  <wp:docPr id="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57200" cy="43561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四、杭州市现代实验小学（现代校区）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大米架1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1.参考规格：1200*500*300mm；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2.采用不锈钢制作，层外框采用38*25*0.8㎜方管，层内档采用38*25*0.8㎜方管。</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08635" cy="465455"/>
                  <wp:effectExtent l="0" t="0" r="5715" b="1270"/>
                  <wp:docPr id="135682898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28986" name="图片 39"/>
                          <pic:cNvPicPr>
                            <a:picLocks noChangeAspect="1" noChangeArrowheads="1"/>
                          </pic:cNvPicPr>
                        </pic:nvPicPr>
                        <pic:blipFill>
                          <a:blip r:embed="rId49" cstate="print"/>
                          <a:srcRect/>
                          <a:stretch>
                            <a:fillRect/>
                          </a:stretch>
                        </pic:blipFill>
                        <pic:spPr>
                          <a:xfrm>
                            <a:off x="0" y="0"/>
                            <a:ext cx="508635" cy="46545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四层货架3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8</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1.参考规格：1200*500*1800mm；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2.采用304不锈钢板制作，层板厚≥1.0㎜，加强筋板厚≥1.0㎜，采用φ38*0.8㎜不锈钢圆通腿；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78485" cy="596265"/>
                  <wp:effectExtent l="0" t="0" r="2540" b="3810"/>
                  <wp:docPr id="10893207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0738" name="图片 40"/>
                          <pic:cNvPicPr>
                            <a:picLocks noChangeAspect="1"/>
                          </pic:cNvPicPr>
                        </pic:nvPicPr>
                        <pic:blipFill>
                          <a:blip r:embed="rId106"/>
                          <a:stretch>
                            <a:fillRect/>
                          </a:stretch>
                        </pic:blipFill>
                        <pic:spPr>
                          <a:xfrm>
                            <a:off x="0" y="0"/>
                            <a:ext cx="578485" cy="5962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风幕机3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1.规格：L=1800㎜；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.风口风速：</w:t>
            </w:r>
            <w:r>
              <w:rPr>
                <w:rFonts w:hint="eastAsia" w:ascii="宋体" w:hAnsi="宋体" w:eastAsia="宋体" w:cs="宋体"/>
                <w:color w:val="auto"/>
                <w:kern w:val="0"/>
                <w:sz w:val="21"/>
                <w:szCs w:val="21"/>
                <w:highlight w:val="none"/>
              </w:rPr>
              <w:t>最高11m/s，最低4m/s；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.风量：≥1500m</w:t>
            </w:r>
            <w:r>
              <w:rPr>
                <w:rFonts w:hint="eastAsia" w:ascii="宋体" w:hAnsi="宋体" w:eastAsia="宋体" w:cs="宋体"/>
                <w:color w:val="auto"/>
                <w:kern w:val="0"/>
                <w:sz w:val="21"/>
                <w:szCs w:val="21"/>
                <w:highlight w:val="none"/>
                <w:vertAlign w:val="superscript"/>
                <w:lang w:bidi="ar"/>
              </w:rPr>
              <w:t>3</w:t>
            </w:r>
            <w:r>
              <w:rPr>
                <w:rFonts w:hint="eastAsia" w:ascii="宋体" w:hAnsi="宋体" w:eastAsia="宋体" w:cs="宋体"/>
                <w:color w:val="auto"/>
                <w:kern w:val="0"/>
                <w:sz w:val="21"/>
                <w:szCs w:val="21"/>
                <w:highlight w:val="none"/>
                <w:lang w:bidi="ar"/>
              </w:rPr>
              <w:t>/H；</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.噪音：≤66Hz。</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0" distR="0">
                  <wp:extent cx="746760" cy="654685"/>
                  <wp:effectExtent l="0" t="0" r="5715" b="2540"/>
                  <wp:docPr id="1885897065" name="图片 64"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7065" name="图片 64" descr="风幕机"/>
                          <pic:cNvPicPr>
                            <a:picLocks noChangeAspect="1" noChangeArrowheads="1"/>
                          </pic:cNvPicPr>
                        </pic:nvPicPr>
                        <pic:blipFill>
                          <a:blip r:embed="rId107" cstate="print"/>
                          <a:srcRect/>
                          <a:stretch>
                            <a:fillRect/>
                          </a:stretch>
                        </pic:blipFill>
                        <pic:spPr>
                          <a:xfrm>
                            <a:off x="0" y="0"/>
                            <a:ext cx="746760" cy="6546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不锈钢台上式绞肉机</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strike w:val="0"/>
                <w:color w:val="auto"/>
                <w:kern w:val="0"/>
                <w:sz w:val="21"/>
                <w:szCs w:val="21"/>
                <w:highlight w:val="none"/>
                <w:lang w:eastAsia="zh-CN" w:bidi="ar"/>
              </w:rPr>
            </w:pPr>
            <w:r>
              <w:rPr>
                <w:rFonts w:hint="eastAsia" w:ascii="宋体" w:hAnsi="宋体" w:eastAsia="宋体" w:cs="宋体"/>
                <w:strike w:val="0"/>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.电机功率（约）：1.1KW</w:t>
            </w:r>
            <w:r>
              <w:rPr>
                <w:rFonts w:hint="eastAsia" w:ascii="宋体" w:hAnsi="宋体" w:eastAsia="宋体" w:cs="宋体"/>
                <w:strike w:val="0"/>
                <w:color w:val="auto"/>
                <w:kern w:val="0"/>
                <w:sz w:val="21"/>
                <w:szCs w:val="21"/>
                <w:highlight w:val="none"/>
                <w:lang w:eastAsia="zh-CN" w:bidi="ar"/>
              </w:rPr>
              <w:t>；</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.生产能力：≥220kg/h；</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.不锈钢机身。</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0" distR="0">
                  <wp:extent cx="842645" cy="842645"/>
                  <wp:effectExtent l="0" t="0" r="5080" b="5080"/>
                  <wp:docPr id="4521589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58919" name="Picture 4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842645" cy="842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工作台加档1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张</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1.参考规格：1500*700*800mm；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2.采用304不锈钢板制作，台面板厚≥1.2㎜；</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3.采用38*25㎜*0.8㎜不锈钢方管格栅档，φ38*0.8㎜不锈钢圆通腿；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45820" cy="649605"/>
                  <wp:effectExtent l="0" t="0" r="1905" b="7620"/>
                  <wp:docPr id="174181268" name="图片 3" descr="工作台加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268" name="图片 3" descr="工作台加档"/>
                          <pic:cNvPicPr>
                            <a:picLocks noChangeAspect="1" noChangeArrowheads="1"/>
                          </pic:cNvPicPr>
                        </pic:nvPicPr>
                        <pic:blipFill>
                          <a:blip r:embed="rId42" cstate="print"/>
                          <a:srcRect l="8501" t="7143" r="12000" b="16072"/>
                          <a:stretch>
                            <a:fillRect/>
                          </a:stretch>
                        </pic:blipFill>
                        <pic:spPr>
                          <a:xfrm>
                            <a:off x="0" y="0"/>
                            <a:ext cx="845820" cy="64960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双星盆台4</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1.参考规格：1800*700*800/100mm；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2.水斗参考规格：680*490*280mm；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3.采用304不锈钢板制作，台面板厚≥1.0㎜，水斗板厚≥1.0㎜，三面围板厚≥1.0㎜；</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37870" cy="793115"/>
                  <wp:effectExtent l="0" t="0" r="5080" b="6985"/>
                  <wp:docPr id="15400528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52839" name="图片 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737870" cy="793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单水池1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1.参考规格：800*700*800/100mm；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2.水斗参考规格：620*490*280mm；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3.采用304不锈钢板制作，台面板厚≥1.0㎜，水斗板厚≥1.0㎜，三面围板厚≥1.0㎜；</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70560" cy="869950"/>
                  <wp:effectExtent l="0" t="0" r="5715" b="6350"/>
                  <wp:docPr id="1447294817" name="图片 20"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94817" name="图片 20" descr="QQ图片单星盆台"/>
                          <pic:cNvPicPr>
                            <a:picLocks noChangeAspect="1" noChangeArrowheads="1"/>
                          </pic:cNvPicPr>
                        </pic:nvPicPr>
                        <pic:blipFill>
                          <a:blip r:embed="rId25" cstate="print"/>
                          <a:srcRect/>
                          <a:stretch>
                            <a:fillRect/>
                          </a:stretch>
                        </pic:blipFill>
                        <pic:spPr>
                          <a:xfrm>
                            <a:off x="0" y="0"/>
                            <a:ext cx="670560" cy="8699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工作台加档2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张</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1.参考规格：1800*800*800mm；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2.采用304不锈钢板制作，台面板厚≥1.2㎜；</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3.采用38*25㎜*0.8㎜不锈钢方管格栅档、φ38*0.8㎜不锈钢圆通腿；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02310" cy="539750"/>
                  <wp:effectExtent l="0" t="0" r="2540" b="3175"/>
                  <wp:docPr id="2049716131" name="图片 3" descr="工作台加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16131" name="图片 3" descr="工作台加档"/>
                          <pic:cNvPicPr>
                            <a:picLocks noChangeAspect="1" noChangeArrowheads="1"/>
                          </pic:cNvPicPr>
                        </pic:nvPicPr>
                        <pic:blipFill>
                          <a:blip r:embed="rId42" cstate="print"/>
                          <a:srcRect l="8501" t="7143" r="12000" b="16072"/>
                          <a:stretch>
                            <a:fillRect/>
                          </a:stretch>
                        </pic:blipFill>
                        <pic:spPr>
                          <a:xfrm>
                            <a:off x="0" y="0"/>
                            <a:ext cx="702310" cy="5397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刀具砧板组合消毒柜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：1200*500*1800mm；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2.组合消毒柜，可消毒筷子勺子、毛巾、刀具、菜墩、砧板；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3.优质不锈钢制作，板厚≥1.0㎜；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4.消毒方式：臭氧、紫外线+中温热风烘干，自动定时；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5.功率</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：370W。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10260" cy="906145"/>
                  <wp:effectExtent l="0" t="0" r="8890" b="8255"/>
                  <wp:docPr id="1667943421" name="rectole0000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3421" name="rectole0000000016"/>
                          <pic:cNvPicPr>
                            <a:picLocks noChangeAspect="1"/>
                          </pic:cNvPicPr>
                        </pic:nvPicPr>
                        <pic:blipFill>
                          <a:blip r:embed="rId23"/>
                          <a:stretch>
                            <a:fillRect/>
                          </a:stretch>
                        </pic:blipFill>
                        <pic:spPr>
                          <a:xfrm>
                            <a:off x="0" y="0"/>
                            <a:ext cx="810260" cy="9061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四层货架4</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只</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1.参考规格：1200*500*1800mm；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2.采用不锈钢方管制作，层外框采用38*25*0.8㎜不锈钢方管，层内档采用38*25*0.8㎜不锈钢方管制作格栅档；</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3.采用φ38*0.8㎜不锈钢圆通腿；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25145" cy="864235"/>
                  <wp:effectExtent l="0" t="0" r="8255" b="2540"/>
                  <wp:docPr id="477099637" name="图片 29" descr="四层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99637" name="图片 29" descr="四层货架"/>
                          <pic:cNvPicPr>
                            <a:picLocks noChangeAspect="1"/>
                          </pic:cNvPicPr>
                        </pic:nvPicPr>
                        <pic:blipFill>
                          <a:blip r:embed="rId110"/>
                          <a:srcRect l="18083" t="10616" r="17421" b="6229"/>
                          <a:stretch>
                            <a:fillRect/>
                          </a:stretch>
                        </pic:blipFill>
                        <pic:spPr>
                          <a:xfrm>
                            <a:off x="0" y="0"/>
                            <a:ext cx="525145" cy="8642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调料台6</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只</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1.参考规格：500*1250*800/300mm；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2.采用304不锈钢板制作，台面板厚≥1.0㎜，前围板厚≥1.0㎜；</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15315" cy="638810"/>
                  <wp:effectExtent l="0" t="0" r="3810" b="8890"/>
                  <wp:docPr id="1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9"/>
                          <pic:cNvPicPr>
                            <a:picLocks noChangeAspect="1" noChangeArrowheads="1"/>
                          </pic:cNvPicPr>
                        </pic:nvPicPr>
                        <pic:blipFill>
                          <a:blip r:embed="rId111" cstate="print"/>
                          <a:srcRect/>
                          <a:stretch>
                            <a:fillRect/>
                          </a:stretch>
                        </pic:blipFill>
                        <pic:spPr>
                          <a:xfrm>
                            <a:off x="0" y="0"/>
                            <a:ext cx="615315" cy="6388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单眼燃气大锅灶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1.参考规格：1200*1250*800/300mm；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2.采用304不锈钢板制作，台面及水围基板厚≥1.2mm，炉身、炉背板厚≥1.0mm；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3.炉体骨为L40*40*4mm角铁，两层防腐处理；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4.炉膛为≥3mm钢板，耐火棉隔热，耐火泥，一体炉膛砌结火位；</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5.炉通脚采用φ50mm不锈钢管，内含支撑炉身的钢柱以及调节高度的重力可调脚；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6.配锅ф860mm、后置烟道；</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7.前置来水控制，风气联动、电子点火、熄火保护装置；</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8.功率：180W/220V。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73100" cy="1012190"/>
                  <wp:effectExtent l="0" t="0" r="3175" b="6985"/>
                  <wp:docPr id="113" name="图片 113"/>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673100" cy="1012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挂墙洗手星盆</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1.参考规格：600*450*250+100mm；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2.采用304不锈钢板制作：台面板厚≥1.0㎜，水斗板厚≥1.0㎜，三面围板厚≥1.0㎜。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66090" cy="427355"/>
                  <wp:effectExtent l="0" t="0" r="635" b="1270"/>
                  <wp:docPr id="124" name="图片 27" descr="QQ图片挂墙洗手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7" descr="QQ图片挂墙洗手星"/>
                          <pic:cNvPicPr>
                            <a:picLocks noChangeAspect="1"/>
                          </pic:cNvPicPr>
                        </pic:nvPicPr>
                        <pic:blipFill>
                          <a:blip r:embed="rId113" cstate="print"/>
                          <a:stretch>
                            <a:fillRect/>
                          </a:stretch>
                        </pic:blipFill>
                        <pic:spPr>
                          <a:xfrm>
                            <a:off x="0" y="0"/>
                            <a:ext cx="466090" cy="4273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红外感应干手机</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strike w:val="0"/>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.感应方式：红外线感应；</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.感应距离：15-20厘米；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.风速：≥35L/s；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.干手速度：≤10s；</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.防水等级：IPX4；</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.安全装置：过热、过流、低压、高压、超时保护。</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16915" cy="994410"/>
                  <wp:effectExtent l="0" t="0" r="6985" b="571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noChangeArrowheads="1"/>
                          </pic:cNvPicPr>
                        </pic:nvPicPr>
                        <pic:blipFill>
                          <a:blip r:embed="rId114" cstate="print"/>
                          <a:srcRect l="17189" t="14597" r="27196"/>
                          <a:stretch>
                            <a:fillRect/>
                          </a:stretch>
                        </pic:blipFill>
                        <pic:spPr>
                          <a:xfrm>
                            <a:off x="0" y="0"/>
                            <a:ext cx="716915" cy="9944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双层板工作台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1.参考规格：1800*700*800mm；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2.采用304不锈钢板制作，台面板厚≥1.2㎜，层板厚≥1.0㎜，不锈钢框架式加强筋厚≥1.0㎜，采用φ38㎜*0.8㎜不锈钢圆通腿；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43230" cy="636905"/>
                  <wp:effectExtent l="0" t="0" r="4445" b="1270"/>
                  <wp:docPr id="127" name="图片 24" descr="长方桌加平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4" descr="长方桌加平板"/>
                          <pic:cNvPicPr>
                            <a:picLocks noChangeAspect="1"/>
                          </pic:cNvPicPr>
                        </pic:nvPicPr>
                        <pic:blipFill>
                          <a:blip r:embed="rId115"/>
                          <a:srcRect t="5415"/>
                          <a:stretch>
                            <a:fillRect/>
                          </a:stretch>
                        </pic:blipFill>
                        <pic:spPr>
                          <a:xfrm>
                            <a:off x="0" y="0"/>
                            <a:ext cx="443230" cy="6369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紫外线消毒灯</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功率：220V/40W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27050" cy="317500"/>
                  <wp:effectExtent l="0" t="0" r="6350" b="6350"/>
                  <wp:docPr id="128" name="图片 23" descr="rawen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3" descr="rawend25"/>
                          <pic:cNvPicPr>
                            <a:picLocks noChangeAspect="1" noChangeArrowheads="1"/>
                          </pic:cNvPicPr>
                        </pic:nvPicPr>
                        <pic:blipFill>
                          <a:blip r:embed="rId116" cstate="print"/>
                          <a:srcRect/>
                          <a:stretch>
                            <a:fillRect/>
                          </a:stretch>
                        </pic:blipFill>
                        <pic:spPr>
                          <a:xfrm>
                            <a:off x="0" y="0"/>
                            <a:ext cx="527050" cy="3175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单水池2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1.参考规格：600*600*800/100mm；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2.水斗参考规格：420*390*280；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3.采用304不锈钢板制作，台面板厚≥1.0㎜，水斗板厚≥1.0㎜，三面围板厚≥1.0㎜；</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18820" cy="932180"/>
                  <wp:effectExtent l="0" t="0" r="5080" b="1270"/>
                  <wp:docPr id="1209580497" name="图片 20"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80497" name="图片 20" descr="QQ图片单星盆台"/>
                          <pic:cNvPicPr>
                            <a:picLocks noChangeAspect="1" noChangeArrowheads="1"/>
                          </pic:cNvPicPr>
                        </pic:nvPicPr>
                        <pic:blipFill>
                          <a:blip r:embed="rId25" cstate="print"/>
                          <a:srcRect/>
                          <a:stretch>
                            <a:fillRect/>
                          </a:stretch>
                        </pic:blipFill>
                        <pic:spPr>
                          <a:xfrm>
                            <a:off x="0" y="0"/>
                            <a:ext cx="718820" cy="93218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拖把沥干水池</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1.参考规格：1200*500*600/1200mm；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2.选用304不锈钢板制作，通脚为Φ38不锈钢管，配置不锈钢可调脚，配落水器；带后挡板，台面板厚≥1.0mm；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3.配单星盆，带沥干架。</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95300" cy="492125"/>
                  <wp:effectExtent l="0" t="0" r="0" b="3175"/>
                  <wp:docPr id="934722910" name="图片 23" descr="拖把水池加挂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22910" name="图片 23" descr="拖把水池加挂架"/>
                          <pic:cNvPicPr>
                            <a:picLocks noChangeAspect="1" noChangeArrowheads="1"/>
                          </pic:cNvPicPr>
                        </pic:nvPicPr>
                        <pic:blipFill>
                          <a:blip r:embed="rId117" cstate="print">
                            <a:extLst>
                              <a:ext uri="{28A0092B-C50C-407E-A947-70E740481C1C}">
                                <a14:useLocalDpi xmlns:a14="http://schemas.microsoft.com/office/drawing/2010/main" val="0"/>
                              </a:ext>
                            </a:extLst>
                          </a:blip>
                          <a:srcRect l="15623" r="4018"/>
                          <a:stretch>
                            <a:fillRect/>
                          </a:stretch>
                        </pic:blipFill>
                        <pic:spPr>
                          <a:xfrm>
                            <a:off x="0" y="0"/>
                            <a:ext cx="495300" cy="492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暖饭暖汤台柜</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1.参考规格：1200*700*800mm；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2.选用304不锈钢板制作，板厚≥1.0mm；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3.具有数码控制面板、双层保温、自动进水缺水保护装置；</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4.功率</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：3KW。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36575" cy="772795"/>
                  <wp:effectExtent l="0" t="0" r="6350" b="8255"/>
                  <wp:docPr id="597184490" name="图片 2" descr="双眼保温汤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84490" name="图片 2" descr="双眼保温汤桶"/>
                          <pic:cNvPicPr>
                            <a:picLocks noChangeAspect="1" noChangeArrowheads="1"/>
                          </pic:cNvPicPr>
                        </pic:nvPicPr>
                        <pic:blipFill>
                          <a:blip r:embed="rId118" cstate="print">
                            <a:extLst>
                              <a:ext uri="{28A0092B-C50C-407E-A947-70E740481C1C}">
                                <a14:useLocalDpi xmlns:a14="http://schemas.microsoft.com/office/drawing/2010/main" val="0"/>
                              </a:ext>
                            </a:extLst>
                          </a:blip>
                          <a:srcRect t="12502" b="5833"/>
                          <a:stretch>
                            <a:fillRect/>
                          </a:stretch>
                        </pic:blipFill>
                        <pic:spPr>
                          <a:xfrm>
                            <a:off x="0" y="0"/>
                            <a:ext cx="536575" cy="772795"/>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单向移门操作台2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1.参考规格：1500*600*800mm；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2.采用304不锈钢制作：台面板厚≥1.2㎜，层板厚≥1.0㎜，不锈钢框架式加强筋厚≥1.0㎜，移门厚≥0.8mm；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61060" cy="673735"/>
                  <wp:effectExtent l="0" t="0" r="5715" b="2540"/>
                  <wp:docPr id="780166887"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66887" name="图片 285"/>
                          <pic:cNvPicPr>
                            <a:picLocks noChangeAspect="1" noChangeArrowheads="1"/>
                          </pic:cNvPicPr>
                        </pic:nvPicPr>
                        <pic:blipFill>
                          <a:blip r:embed="rId83" cstate="print"/>
                          <a:srcRect/>
                          <a:stretch>
                            <a:fillRect/>
                          </a:stretch>
                        </pic:blipFill>
                        <pic:spPr>
                          <a:xfrm>
                            <a:off x="0" y="0"/>
                            <a:ext cx="861060" cy="6737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电开水器（连底座）</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1.额定容量：≥80L；</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2.箱体内外304不锈钢，底座201不锈钢；</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3.功率：12KW/380V。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23215" cy="590550"/>
                  <wp:effectExtent l="0" t="0" r="635" b="0"/>
                  <wp:docPr id="1703807233" name="Picture 106" descr="电热开水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07233" name="Picture 106" descr="电热开水器"/>
                          <pic:cNvPicPr>
                            <a:picLocks noChangeAspect="1" noChangeArrowheads="1"/>
                          </pic:cNvPicPr>
                        </pic:nvPicPr>
                        <pic:blipFill>
                          <a:blip r:embed="rId91" cstate="print"/>
                          <a:srcRect/>
                          <a:stretch>
                            <a:fillRect/>
                          </a:stretch>
                        </pic:blipFill>
                        <pic:spPr>
                          <a:xfrm>
                            <a:off x="0" y="0"/>
                            <a:ext cx="323215" cy="5905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残食工作台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1.参考规格：1500*700*800mm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2.选用304不锈钢板制作，台面板厚≥1.0mm；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52475" cy="638810"/>
                  <wp:effectExtent l="0" t="0" r="0" b="8890"/>
                  <wp:docPr id="1802514930" name="Picture 116" descr="残菜回收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14930" name="Picture 116" descr="残菜回收台 拷贝"/>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752475" cy="638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双门热风循环消毒柜3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 1310*650*1880mm；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2.箱体为201不锈钢，厚度≥0.7mm；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3.支持温度数码显示；</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4.自动回归双层隔热门，强磁吸附，优质重力脚，每台配不锈钢篮筐8个；</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5.温度调节范围：30-150℃；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6.功率</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 4.4KW。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39775" cy="944245"/>
                  <wp:effectExtent l="0" t="0" r="3175" b="8255"/>
                  <wp:docPr id="16526959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95967" name="图片 23"/>
                          <pic:cNvPicPr>
                            <a:picLocks noChangeAspect="1"/>
                          </pic:cNvPicPr>
                        </pic:nvPicPr>
                        <pic:blipFill>
                          <a:blip r:embed="rId120"/>
                          <a:stretch>
                            <a:fillRect/>
                          </a:stretch>
                        </pic:blipFill>
                        <pic:spPr>
                          <a:xfrm>
                            <a:off x="0" y="0"/>
                            <a:ext cx="739775" cy="9442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三层点心架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1.参考规格：1200*500*1500mm；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2.采用不锈钢方管制作，层外框采用38*25*0.8㎜不锈钢方管，层内档采用38*25*0.8㎜不锈钢方管制作格栅档，采用φ38*0.8㎜不锈钢圆通腿；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3.配201或以上等级不锈钢可调式子弹脚。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洗手长槽</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1.规格：2400*500*800/100mm；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2.选用</w:t>
            </w:r>
            <w:r>
              <w:rPr>
                <w:rFonts w:hint="eastAsia" w:ascii="宋体" w:hAnsi="宋体" w:cs="宋体"/>
                <w:color w:val="auto"/>
                <w:kern w:val="0"/>
                <w:sz w:val="21"/>
                <w:szCs w:val="21"/>
                <w:highlight w:val="none"/>
                <w:lang w:eastAsia="zh-CN" w:bidi="ar"/>
              </w:rPr>
              <w:t>304</w:t>
            </w:r>
            <w:r>
              <w:rPr>
                <w:rFonts w:hint="eastAsia" w:ascii="宋体" w:hAnsi="宋体" w:eastAsia="宋体" w:cs="宋体"/>
                <w:color w:val="auto"/>
                <w:kern w:val="0"/>
                <w:sz w:val="21"/>
                <w:szCs w:val="21"/>
                <w:highlight w:val="none"/>
                <w:lang w:bidi="ar"/>
              </w:rPr>
              <w:t>不锈钢板制作，台板厚≥1.0mm；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3.采用Φ38*0.8mm不锈钢圆管、φ25*0.8㎜不锈钢下橫通，配置不锈钢可调脚，不锈钢落水器；带后挡板。</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4.带5个水龙头位。</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19150" cy="758825"/>
                  <wp:effectExtent l="0" t="0" r="0" b="3175"/>
                  <wp:docPr id="1372456339" name="图片 2" descr="长水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56339" name="图片 2" descr="长水槽"/>
                          <pic:cNvPicPr>
                            <a:picLocks noChangeAspect="1" noChangeArrowheads="1"/>
                          </pic:cNvPicPr>
                        </pic:nvPicPr>
                        <pic:blipFill>
                          <a:blip r:embed="rId26" cstate="print">
                            <a:extLst>
                              <a:ext uri="{28A0092B-C50C-407E-A947-70E740481C1C}">
                                <a14:useLocalDpi xmlns:a14="http://schemas.microsoft.com/office/drawing/2010/main" val="0"/>
                              </a:ext>
                            </a:extLst>
                          </a:blip>
                          <a:srcRect l="1801" t="23651" b="23300"/>
                          <a:stretch>
                            <a:fillRect/>
                          </a:stretch>
                        </pic:blipFill>
                        <pic:spPr>
                          <a:xfrm>
                            <a:off x="0" y="0"/>
                            <a:ext cx="819150" cy="758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洗手星盆2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1.参考规格：600*450*800/100mm；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2.水斗参考规格：350*300*200mm；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3.采用304不锈钢板制作，台面板厚≥1.0㎜，水斗板厚≥1.0㎜，三面围板厚≥1.0㎜；</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4.采用φ38*0.8㎜不锈钢圆通腿，φ25*0.8㎜不锈钢下橫通；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w:t>
            </w:r>
            <w:r>
              <w:rPr>
                <w:rFonts w:hint="eastAsia" w:ascii="宋体" w:hAnsi="宋体" w:cs="宋体"/>
                <w:color w:val="auto"/>
                <w:kern w:val="0"/>
                <w:sz w:val="21"/>
                <w:szCs w:val="21"/>
                <w:highlight w:val="none"/>
                <w:lang w:eastAsia="zh-CN" w:bidi="ar"/>
              </w:rPr>
              <w:t>201</w:t>
            </w:r>
            <w:r>
              <w:rPr>
                <w:rFonts w:hint="eastAsia" w:ascii="宋体" w:hAnsi="宋体" w:eastAsia="宋体" w:cs="宋体"/>
                <w:color w:val="auto"/>
                <w:kern w:val="0"/>
                <w:sz w:val="21"/>
                <w:szCs w:val="21"/>
                <w:highlight w:val="none"/>
                <w:lang w:bidi="ar"/>
              </w:rPr>
              <w:t>或以上等级不锈钢可调式子弹脚。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37235" cy="956310"/>
                  <wp:effectExtent l="0" t="0" r="5715" b="5715"/>
                  <wp:docPr id="1975513007" name="图片 20" descr="QQ图片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13007" name="图片 20" descr="QQ图片单星盆台"/>
                          <pic:cNvPicPr>
                            <a:picLocks noChangeAspect="1" noChangeArrowheads="1"/>
                          </pic:cNvPicPr>
                        </pic:nvPicPr>
                        <pic:blipFill>
                          <a:blip r:embed="rId25" cstate="print"/>
                          <a:srcRect/>
                          <a:stretch>
                            <a:fillRect/>
                          </a:stretch>
                        </pic:blipFill>
                        <pic:spPr>
                          <a:xfrm>
                            <a:off x="0" y="0"/>
                            <a:ext cx="737235" cy="9563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单冷水龙头2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16</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1.座台式安装，单孔单温，鹅颈水嘴；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2.低铅铜铸造表面抛光镀铬处理；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3.配1/4转陶瓷阀芯一字型手柄；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4.符合GB 25501-2019标准要求；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b/>
                <w:bCs/>
                <w:color w:val="auto"/>
                <w:kern w:val="0"/>
                <w:sz w:val="21"/>
                <w:szCs w:val="21"/>
                <w:highlight w:val="none"/>
                <w:lang w:bidi="ar"/>
              </w:rPr>
              <w:t>▲5.提供有效的节能产品认证证书扫描件。</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93700" cy="878205"/>
                  <wp:effectExtent l="0" t="0" r="6350" b="7620"/>
                  <wp:docPr id="130" name="图片 6" descr="155134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 descr="155134054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393700" cy="8782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冷热混水龙头</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1.座台式安装，双孔双温，鹅颈水嘴；</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2.低铅铜铸造表面抛光镀铬处理；</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3.配1/4转陶瓷阀芯一字型手柄；</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4.冷热接口开孔间距为152㎜，采用偏芯设计可微调（15㎜）；</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5.开孔尺寸为25㎜，接口为标准4分外螺纹；</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6.符合GB 25501-2019标准要求。</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bidi="ar"/>
              </w:rPr>
              <w:t>▲7.提供有效的节能产品认证证书扫描件。</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34365" cy="991870"/>
                  <wp:effectExtent l="0" t="0" r="3810" b="8255"/>
                  <wp:docPr id="132" name="图片 5" descr="155134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descr="1551340778"/>
                          <pic:cNvPicPr>
                            <a:picLocks noChangeAspect="1"/>
                          </pic:cNvPicPr>
                        </pic:nvPicPr>
                        <pic:blipFill>
                          <a:blip r:embed="rId122"/>
                          <a:stretch>
                            <a:fillRect/>
                          </a:stretch>
                        </pic:blipFill>
                        <pic:spPr>
                          <a:xfrm>
                            <a:off x="0" y="0"/>
                            <a:ext cx="634365" cy="9918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感应龙头1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只</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1.感应龙头，台式安装</w:t>
            </w:r>
            <w:r>
              <w:rPr>
                <w:rFonts w:hint="eastAsia" w:ascii="宋体" w:hAnsi="宋体" w:eastAsia="宋体" w:cs="宋体"/>
                <w:color w:val="auto"/>
                <w:kern w:val="0"/>
                <w:sz w:val="21"/>
                <w:szCs w:val="21"/>
                <w:highlight w:val="none"/>
                <w:lang w:bidi="ar"/>
              </w:rPr>
              <w:t>黄铜铸造水嘴</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b/>
                <w:bCs/>
                <w:color w:val="auto"/>
                <w:kern w:val="0"/>
                <w:sz w:val="21"/>
                <w:szCs w:val="21"/>
                <w:highlight w:val="none"/>
                <w:lang w:bidi="ar"/>
              </w:rPr>
              <w:t>▲2.提供有效的节能产品认证证书扫描件。</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00050" cy="368300"/>
                  <wp:effectExtent l="0" t="0" r="0" b="3175"/>
                  <wp:docPr id="1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
                          <pic:cNvPicPr>
                            <a:picLocks noChangeAspect="1" noChangeArrowheads="1"/>
                          </pic:cNvPicPr>
                        </pic:nvPicPr>
                        <pic:blipFill>
                          <a:blip r:embed="rId123" cstate="print"/>
                          <a:srcRect/>
                          <a:stretch>
                            <a:fillRect/>
                          </a:stretch>
                        </pic:blipFill>
                        <pic:spPr>
                          <a:xfrm>
                            <a:off x="0" y="0"/>
                            <a:ext cx="400050" cy="3683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双门电蒸饭柜1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1.参考规格：≤1200*850*1700mm；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w:t>
            </w:r>
            <w:r>
              <w:rPr>
                <w:rFonts w:hint="eastAsia" w:ascii="宋体" w:hAnsi="宋体" w:cs="宋体"/>
                <w:color w:val="auto"/>
                <w:kern w:val="0"/>
                <w:sz w:val="21"/>
                <w:szCs w:val="21"/>
                <w:highlight w:val="none"/>
                <w:lang w:eastAsia="zh-CN" w:bidi="ar"/>
              </w:rPr>
              <w:t>304</w:t>
            </w:r>
            <w:r>
              <w:rPr>
                <w:rFonts w:hint="eastAsia" w:ascii="宋体" w:hAnsi="宋体" w:eastAsia="宋体" w:cs="宋体"/>
                <w:color w:val="auto"/>
                <w:kern w:val="0"/>
                <w:sz w:val="21"/>
                <w:szCs w:val="21"/>
                <w:highlight w:val="none"/>
                <w:lang w:bidi="ar"/>
              </w:rPr>
              <w:t>不锈钢板制作，内胆板厚≥0.8mm，轨道板厚≥1.0mm；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3.采用Φ50*150*2mm 201不锈钢重力可调脚；</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4.配304不锈钢饭盘26只，规格：600*400*50mm，壁厚≥0.7mm；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5.配分饭器1个、饭铲2把；</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6.具备自动进水装置；</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7.功率：12KW*2/380V。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07720" cy="1059180"/>
                  <wp:effectExtent l="0" t="0" r="1905" b="7620"/>
                  <wp:docPr id="157" name="图片 2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3" descr="IMG_281"/>
                          <pic:cNvPicPr>
                            <a:picLocks noChangeAspect="1"/>
                          </pic:cNvPicPr>
                        </pic:nvPicPr>
                        <pic:blipFill>
                          <a:blip r:embed="rId124"/>
                          <a:stretch>
                            <a:fillRect/>
                          </a:stretch>
                        </pic:blipFill>
                        <pic:spPr>
                          <a:xfrm>
                            <a:off x="0" y="0"/>
                            <a:ext cx="807720" cy="10591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spacing w:line="24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注：</w:t>
            </w:r>
            <w:r>
              <w:rPr>
                <w:rFonts w:hint="eastAsia" w:ascii="宋体" w:hAnsi="宋体" w:eastAsia="宋体" w:cs="宋体"/>
                <w:b/>
                <w:color w:val="auto"/>
                <w:sz w:val="21"/>
                <w:szCs w:val="21"/>
                <w:highlight w:val="none"/>
              </w:rPr>
              <w:t>杭州市现代实验小学（现代校区）涉及原</w:t>
            </w:r>
            <w:r>
              <w:rPr>
                <w:rFonts w:hint="eastAsia" w:ascii="宋体" w:hAnsi="宋体" w:eastAsia="宋体" w:cs="宋体"/>
                <w:b/>
                <w:bCs/>
                <w:color w:val="auto"/>
                <w:kern w:val="0"/>
                <w:sz w:val="21"/>
                <w:szCs w:val="21"/>
                <w:highlight w:val="none"/>
                <w:lang w:bidi="ar"/>
              </w:rPr>
              <w:t>旧集气罩拆、改、装，改造后尺寸为200*1200*550MM，以上拆、改、装工作由中标人承担，投标人自行估算所需的费用，并计入投标总价。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五、杭州市风华中学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调料台7</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1.参考规格：500*1250*800/350mm；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2.采用304不锈钢板制作，台面板厚≥1.2mm，前封板厚≥1.0mm；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3.采用φ38*1.0mm304不锈钢圆通腿</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bidi="ar"/>
              </w:rPr>
              <w:t>φ25*1.0mm304不锈钢下橫通；</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4.配201不锈钢可调式子弹脚。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02615" cy="915670"/>
                  <wp:effectExtent l="0" t="0" r="6985" b="825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02615" cy="9156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双眼燃气大锅灶3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1.参考规格：2200*1250*800/350mm；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2.台面、水围基板、炉身、炉背板采用304不锈钢制作，台面、水围基板厚≥1.2mm，炉身、炉背板厚≥1.0mm；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3.炉体骨为L40*40*4mm角铁，两层防腐处理；</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4.炉膛为≥3mm钢板，耐火棉隔热，耐火泥，一体炉膛砌结火位；</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5.炉通脚采用φ50mm不锈钢管，内含支撑炉身的钢柱以及调节高度的重力可调脚；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6.配锅ф860mm两口、后置烟道；</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7.</w:t>
            </w:r>
            <w:r>
              <w:rPr>
                <w:rFonts w:hint="eastAsia" w:ascii="宋体" w:hAnsi="宋体" w:eastAsia="宋体" w:cs="宋体"/>
                <w:color w:val="auto"/>
                <w:kern w:val="0"/>
                <w:sz w:val="21"/>
                <w:szCs w:val="21"/>
                <w:highlight w:val="none"/>
                <w:lang w:bidi="ar"/>
              </w:rPr>
              <w:t>前置来水控制</w:t>
            </w:r>
            <w:r>
              <w:rPr>
                <w:rFonts w:hint="eastAsia" w:ascii="宋体" w:hAnsi="宋体" w:eastAsia="宋体" w:cs="宋体"/>
                <w:color w:val="auto"/>
                <w:kern w:val="0"/>
                <w:sz w:val="21"/>
                <w:szCs w:val="21"/>
                <w:highlight w:val="none"/>
                <w:lang w:bidi="ar"/>
              </w:rPr>
              <w:t>，风气联动、电子点火、熄火保护装置；</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8.功率：180W*2/220V。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71525" cy="523875"/>
                  <wp:effectExtent l="0" t="0" r="0" b="0"/>
                  <wp:docPr id="15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0"/>
                          <pic:cNvPicPr>
                            <a:picLocks noChangeAspect="1"/>
                          </pic:cNvPicPr>
                        </pic:nvPicPr>
                        <pic:blipFill>
                          <a:blip r:embed="rId78" r:link="rId125" cstate="print"/>
                          <a:stretch>
                            <a:fillRect/>
                          </a:stretch>
                        </pic:blipFill>
                        <pic:spPr>
                          <a:xfrm>
                            <a:off x="0" y="0"/>
                            <a:ext cx="771525" cy="5238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双门电蒸饭柜2</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4</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1.参考规格：1250*850*1650mm；</w:t>
            </w:r>
          </w:p>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2.采用304不锈钢板制作，内胆板厚≥0.8mm；轨道板厚≥1.0mm；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3.采用Φ50*150*2mm 201不锈钢重力可调脚；</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4.标配304不锈钢饭盘24只，饭盘参考规格：600*400*50mm，壁厚≥0.8mm；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5.功率：12KW*2/380V；</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6.具备自动进水装置。</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07720" cy="1059180"/>
                  <wp:effectExtent l="0" t="0" r="1905" b="7620"/>
                  <wp:docPr id="160" name="图片 2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3" descr="IMG_281"/>
                          <pic:cNvPicPr>
                            <a:picLocks noChangeAspect="1"/>
                          </pic:cNvPicPr>
                        </pic:nvPicPr>
                        <pic:blipFill>
                          <a:blip r:embed="rId124"/>
                          <a:stretch>
                            <a:fillRect/>
                          </a:stretch>
                        </pic:blipFill>
                        <pic:spPr>
                          <a:xfrm>
                            <a:off x="0" y="0"/>
                            <a:ext cx="807720" cy="10591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四门风冷全冷冻冰箱</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2</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：1220*750*1960mm；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2.内外箱体采用304不锈钢板制作；</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3.整体发泡弹性回归铰链，化霜水自动蒸发；</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4.采用全铜管冷凝器；</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5.制冷方式：风冷；</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6.温度：-15℃~22℃。</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34365" cy="864870"/>
                  <wp:effectExtent l="0" t="0" r="3810" b="1905"/>
                  <wp:docPr id="161"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74"/>
                          <pic:cNvPicPr>
                            <a:picLocks noChangeAspect="1" noChangeArrowheads="1"/>
                          </pic:cNvPicPr>
                        </pic:nvPicPr>
                        <pic:blipFill>
                          <a:blip r:embed="rId126" cstate="print"/>
                          <a:srcRect/>
                          <a:stretch>
                            <a:fillRect/>
                          </a:stretch>
                        </pic:blipFill>
                        <pic:spPr>
                          <a:xfrm>
                            <a:off x="0" y="0"/>
                            <a:ext cx="634365" cy="8648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不锈钢静电式油烟净化器1</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1.参考规格：1290*1280*1330mm；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2.净化设备由201不锈钢外壳，数字电源，高压输出装置，高低压不锈钢电场等组成。其中外壳和电场均采用不锈钢材质。数字电源标配数码显示屏，显示设备的运行状态；</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3.功率：4KW/220V；</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4.处理能力：42000ｍ³/h；</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5.油烟净化率：≥90%。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87400" cy="685800"/>
                  <wp:effectExtent l="0" t="0" r="3175" b="0"/>
                  <wp:docPr id="20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图片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787400" cy="685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不锈钢变径管2</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50</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w:t>
            </w:r>
          </w:p>
        </w:tc>
        <w:tc>
          <w:tcPr>
            <w:tcW w:w="6945" w:type="dxa"/>
            <w:vAlign w:val="center"/>
          </w:tcPr>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不锈钢1.0mm，4#角钢法兰</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80085" cy="426085"/>
                  <wp:effectExtent l="0" t="0" r="5715" b="2540"/>
                  <wp:docPr id="84" name="图片 8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60"/>
                          <pic:cNvPicPr>
                            <a:picLocks noChangeAspect="1"/>
                          </pic:cNvPicPr>
                        </pic:nvPicPr>
                        <pic:blipFill>
                          <a:blip r:embed="rId128"/>
                          <a:stretch>
                            <a:fillRect/>
                          </a:stretch>
                        </pic:blipFill>
                        <pic:spPr>
                          <a:xfrm>
                            <a:off x="0" y="0"/>
                            <a:ext cx="680085" cy="4260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六、杭州市朝晖幼儿园（朝七一部）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双层工作台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张</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1.参考规格：1800*700*800mm；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2.采用304不锈钢板制作，台面板厚≥1.2mm，下层板厚≥1.2mm；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3.采用φ38mm*1.2mm不锈钢圆通腿，配不锈钢可调式子弹脚。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58800" cy="406400"/>
                  <wp:effectExtent l="0" t="0" r="3175" b="3175"/>
                  <wp:docPr id="2070675207" name="图片 17"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75207" name="图片 17" descr="双层工作台"/>
                          <pic:cNvPicPr>
                            <a:picLocks noChangeAspect="1"/>
                          </pic:cNvPicPr>
                        </pic:nvPicPr>
                        <pic:blipFill>
                          <a:blip r:embed="rId129" cstate="print"/>
                          <a:stretch>
                            <a:fillRect/>
                          </a:stretch>
                        </pic:blipFill>
                        <pic:spPr>
                          <a:xfrm>
                            <a:off x="0" y="0"/>
                            <a:ext cx="558800" cy="406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单眼大锅灶（燃气）</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1.参考规格：1100*1100*800+300mm；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2.面板采用304不锈钢制作，炉面采用冲压面板，后档板厚≥1.2mm，围板、水槽盖板厚≥1.0mm；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3.炉底部分采用≥3mm厚铁板，主体骨架用40*40*3.5mm角钢，φ63mm不锈钢炉脚，M22mm炉脚螺丝；</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4.前置来水控制，配不锈钢节能预混炉头，配置熄火保护装置，配中压鼓风机、可调脚；</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5.功率：220V/250W。</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23900" cy="762000"/>
                  <wp:effectExtent l="0" t="0" r="0" b="0"/>
                  <wp:docPr id="435894492" name="图片 16" descr="图片包含 游戏机, 炉子&#10;&#10;描述已自动生成"/>
                  <wp:cNvGraphicFramePr/>
                  <a:graphic xmlns:a="http://schemas.openxmlformats.org/drawingml/2006/main">
                    <a:graphicData uri="http://schemas.openxmlformats.org/drawingml/2006/picture">
                      <pic:pic xmlns:pic="http://schemas.openxmlformats.org/drawingml/2006/picture">
                        <pic:nvPicPr>
                          <pic:cNvPr id="435894492" name="图片 16" descr="图片包含 游戏机, 炉子&#10;&#10;描述已自动生成"/>
                          <pic:cNvPicPr/>
                        </pic:nvPicPr>
                        <pic:blipFill>
                          <a:blip r:embed="rId112" cstate="print"/>
                          <a:stretch>
                            <a:fillRect/>
                          </a:stretch>
                        </pic:blipFill>
                        <pic:spPr>
                          <a:xfrm>
                            <a:off x="0" y="0"/>
                            <a:ext cx="723900" cy="762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单门燃气蒸饭箱</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1.参考规格：700*550*1700mm；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2.内胆采用304制作，门面板厚≥1.0mm，围板及操作面板厚≥1.0mm；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3.支持温度控制，采用自动进水；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4.配置10个304材质饭盆；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5.水系统采用不锈钢水阀，不锈钢水管；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6.配重工业型脚。配熄火保护；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7.功率：1KW/220V。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44500" cy="736600"/>
                  <wp:effectExtent l="0" t="0" r="3175" b="6350"/>
                  <wp:docPr id="495061109" name="图片 15" descr="u=2288655473,1415558640&amp;g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61109" name="图片 15" descr="u=2288655473,1415558640&amp;gp=6"/>
                          <pic:cNvPicPr>
                            <a:picLocks noChangeAspect="1"/>
                          </pic:cNvPicPr>
                        </pic:nvPicPr>
                        <pic:blipFill>
                          <a:blip r:embed="rId130" cstate="print"/>
                          <a:stretch>
                            <a:fillRect/>
                          </a:stretch>
                        </pic:blipFill>
                        <pic:spPr>
                          <a:xfrm>
                            <a:off x="0" y="0"/>
                            <a:ext cx="444500" cy="7366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四层格栅货架</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3</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1.参考规格：1200*500*1800mm；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2.选用304不锈钢板制作，层板厚≥1.0mm，下衬加宽加强；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3.采用φ38*1.0mm脚管，配有可调子弹脚。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93700" cy="495300"/>
                  <wp:effectExtent l="0" t="0" r="6350" b="0"/>
                  <wp:docPr id="5158595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59540" name="图片 14"/>
                          <pic:cNvPicPr>
                            <a:picLocks noChangeAspect="1"/>
                          </pic:cNvPicPr>
                        </pic:nvPicPr>
                        <pic:blipFill>
                          <a:blip r:embed="rId131" cstate="print"/>
                          <a:stretch>
                            <a:fillRect/>
                          </a:stretch>
                        </pic:blipFill>
                        <pic:spPr>
                          <a:xfrm>
                            <a:off x="0" y="0"/>
                            <a:ext cx="393700" cy="4953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5</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留样冰箱3</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 480*490*830mm；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r>
              <w:rPr>
                <w:rFonts w:hint="eastAsia" w:ascii="宋体" w:hAnsi="宋体" w:eastAsia="宋体" w:cs="宋体"/>
                <w:color w:val="auto"/>
                <w:kern w:val="0"/>
                <w:sz w:val="21"/>
                <w:szCs w:val="21"/>
                <w:highlight w:val="none"/>
                <w:lang w:bidi="ar"/>
              </w:rPr>
              <w:t>温度：+2—+10℃；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.功率：250W；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.制冷剂：R134a。</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84200" cy="571500"/>
                  <wp:effectExtent l="0" t="0" r="6350" b="0"/>
                  <wp:docPr id="1712074592" name="图片 13" descr="打开门的冰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74592" name="图片 13" descr="打开门的冰箱&#10;&#10;中度可信度描述已自动生成"/>
                          <pic:cNvPicPr>
                            <a:picLocks noChangeAspect="1"/>
                          </pic:cNvPicPr>
                        </pic:nvPicPr>
                        <pic:blipFill>
                          <a:blip r:embed="rId132" cstate="print"/>
                          <a:stretch>
                            <a:fillRect/>
                          </a:stretch>
                        </pic:blipFill>
                        <pic:spPr>
                          <a:xfrm>
                            <a:off x="0" y="0"/>
                            <a:ext cx="584200" cy="571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6</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双门热风循环消毒柜4</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：1310*650*1980mm；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2.材质：304不锈钢；</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3.容积：≥720L；</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.温度范围：20℃-150℃。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71500" cy="774700"/>
                  <wp:effectExtent l="0" t="0" r="0" b="6350"/>
                  <wp:docPr id="47220921" name="图片 12" descr="美厨消毒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0921" name="图片 12" descr="美厨消毒柜"/>
                          <pic:cNvPicPr>
                            <a:picLocks noChangeAspect="1"/>
                          </pic:cNvPicPr>
                        </pic:nvPicPr>
                        <pic:blipFill>
                          <a:blip r:embed="rId133" cstate="print"/>
                          <a:srcRect l="15331" t="3773" r="16663" b="3143"/>
                          <a:stretch>
                            <a:fillRect/>
                          </a:stretch>
                        </pic:blipFill>
                        <pic:spPr>
                          <a:xfrm>
                            <a:off x="0" y="0"/>
                            <a:ext cx="571500" cy="7747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7</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轴流风机2</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风量:6000m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r>
              <w:rPr>
                <w:rFonts w:hint="eastAsia" w:ascii="宋体" w:hAnsi="宋体" w:eastAsia="宋体" w:cs="宋体"/>
                <w:color w:val="auto"/>
                <w:sz w:val="21"/>
                <w:szCs w:val="21"/>
                <w:highlight w:val="none"/>
                <w:lang w:eastAsia="zh-CN"/>
              </w:rPr>
              <w:t>；</w:t>
            </w:r>
          </w:p>
          <w:p>
            <w:pPr>
              <w:widowControl/>
              <w:adjustRightInd/>
              <w:spacing w:line="24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功率（约）：1.5KW/380V</w:t>
            </w:r>
            <w:r>
              <w:rPr>
                <w:rFonts w:hint="eastAsia" w:ascii="宋体" w:hAnsi="宋体" w:eastAsia="宋体" w:cs="宋体"/>
                <w:color w:val="auto"/>
                <w:sz w:val="21"/>
                <w:szCs w:val="21"/>
                <w:highlight w:val="none"/>
                <w:lang w:eastAsia="zh-CN"/>
              </w:rPr>
              <w:t>。</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81000" cy="520700"/>
                  <wp:effectExtent l="0" t="0" r="0" b="3175"/>
                  <wp:docPr id="1309867823" name="图片 11" descr="轴流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67823" name="图片 11" descr="轴流风机"/>
                          <pic:cNvPicPr>
                            <a:picLocks noChangeAspect="1"/>
                          </pic:cNvPicPr>
                        </pic:nvPicPr>
                        <pic:blipFill>
                          <a:blip r:embed="rId134" cstate="print"/>
                          <a:srcRect l="15991" r="16931"/>
                          <a:stretch>
                            <a:fillRect/>
                          </a:stretch>
                        </pic:blipFill>
                        <pic:spPr>
                          <a:xfrm>
                            <a:off x="0" y="0"/>
                            <a:ext cx="381000" cy="5207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8</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油烟净化器</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kern w:val="0"/>
                <w:sz w:val="21"/>
                <w:szCs w:val="21"/>
                <w:highlight w:val="none"/>
                <w:lang w:bidi="ar"/>
              </w:rPr>
              <w:t>1.处理风量：≥2500m</w:t>
            </w:r>
            <w:r>
              <w:rPr>
                <w:rFonts w:hint="eastAsia" w:ascii="宋体" w:hAnsi="宋体" w:eastAsia="宋体" w:cs="宋体"/>
                <w:strike w:val="0"/>
                <w:dstrike w:val="0"/>
                <w:color w:val="auto"/>
                <w:kern w:val="0"/>
                <w:sz w:val="21"/>
                <w:szCs w:val="21"/>
                <w:highlight w:val="none"/>
                <w:vertAlign w:val="superscript"/>
                <w:lang w:bidi="ar"/>
              </w:rPr>
              <w:t>3</w:t>
            </w:r>
            <w:r>
              <w:rPr>
                <w:rFonts w:hint="eastAsia" w:ascii="宋体" w:hAnsi="宋体" w:eastAsia="宋体" w:cs="宋体"/>
                <w:strike w:val="0"/>
                <w:dstrike w:val="0"/>
                <w:color w:val="auto"/>
                <w:kern w:val="0"/>
                <w:sz w:val="21"/>
                <w:szCs w:val="21"/>
                <w:highlight w:val="none"/>
                <w:lang w:bidi="ar"/>
              </w:rPr>
              <w:t>/h；</w:t>
            </w:r>
            <w:r>
              <w:rPr>
                <w:rFonts w:hint="eastAsia" w:ascii="宋体" w:hAnsi="宋体" w:eastAsia="宋体" w:cs="宋体"/>
                <w:strike w:val="0"/>
                <w:dstrike w:val="0"/>
                <w:color w:val="auto"/>
                <w:kern w:val="0"/>
                <w:sz w:val="21"/>
                <w:szCs w:val="21"/>
                <w:highlight w:val="none"/>
                <w:lang w:bidi="ar"/>
              </w:rPr>
              <w:br w:type="textWrapping"/>
            </w:r>
            <w:r>
              <w:rPr>
                <w:rFonts w:hint="eastAsia" w:ascii="宋体" w:hAnsi="宋体" w:eastAsia="宋体" w:cs="宋体"/>
                <w:strike w:val="0"/>
                <w:dstrike w:val="0"/>
                <w:color w:val="auto"/>
                <w:kern w:val="0"/>
                <w:sz w:val="21"/>
                <w:szCs w:val="21"/>
                <w:highlight w:val="none"/>
                <w:lang w:bidi="ar"/>
              </w:rPr>
              <w:t>2.适合环境：初始油烟浓度≤18mg/m³</w:t>
            </w:r>
            <w:r>
              <w:rPr>
                <w:rFonts w:hint="eastAsia" w:ascii="宋体" w:hAnsi="宋体" w:eastAsia="宋体" w:cs="宋体"/>
                <w:strike w:val="0"/>
                <w:dstrike w:val="0"/>
                <w:color w:val="auto"/>
                <w:kern w:val="0"/>
                <w:sz w:val="21"/>
                <w:szCs w:val="21"/>
                <w:highlight w:val="none"/>
                <w:lang w:eastAsia="zh-CN" w:bidi="ar"/>
              </w:rPr>
              <w:t>。</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22300" cy="254000"/>
                  <wp:effectExtent l="0" t="0" r="6350" b="3175"/>
                  <wp:docPr id="88759845" name="图片 10" descr="桌子上放着微波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9845" name="图片 10" descr="桌子上放着微波炉&#10;&#10;中度可信度描述已自动生成"/>
                          <pic:cNvPicPr>
                            <a:picLocks noChangeAspect="1"/>
                          </pic:cNvPicPr>
                        </pic:nvPicPr>
                        <pic:blipFill>
                          <a:blip r:embed="rId135" cstate="print"/>
                          <a:stretch>
                            <a:fillRect/>
                          </a:stretch>
                        </pic:blipFill>
                        <pic:spPr>
                          <a:xfrm>
                            <a:off x="0" y="0"/>
                            <a:ext cx="622300" cy="254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排烟风管</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20</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w:t>
            </w:r>
          </w:p>
        </w:tc>
        <w:tc>
          <w:tcPr>
            <w:tcW w:w="6945"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1.采用不锈钢制作,板厚≥0.8㎜；</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2.配密封圈、法兰、吊杆。</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71500" cy="571500"/>
                  <wp:effectExtent l="0" t="0" r="0" b="0"/>
                  <wp:docPr id="633349124" name="图片 9"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49124" name="图片 9" descr="风管"/>
                          <pic:cNvPicPr>
                            <a:picLocks noChangeAspect="1"/>
                          </pic:cNvPicPr>
                        </pic:nvPicPr>
                        <pic:blipFill>
                          <a:blip r:embed="rId136" cstate="print"/>
                          <a:stretch>
                            <a:fillRect/>
                          </a:stretch>
                        </pic:blipFill>
                        <pic:spPr>
                          <a:xfrm>
                            <a:off x="0" y="0"/>
                            <a:ext cx="571500" cy="571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七、杭州市春蕾中学（王马校区）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不锈钢风管2</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100</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1.参考规格：800*600mm；</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2.采用201不锈钢板制作，板厚≥1.0mm，角钢法兰；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3.配密封圈、吊杆。</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71500" cy="571500"/>
                  <wp:effectExtent l="0" t="0" r="0" b="0"/>
                  <wp:docPr id="163" name="图片 9"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 descr="风管"/>
                          <pic:cNvPicPr>
                            <a:picLocks noChangeAspect="1"/>
                          </pic:cNvPicPr>
                        </pic:nvPicPr>
                        <pic:blipFill>
                          <a:blip r:embed="rId136" cstate="print"/>
                          <a:stretch>
                            <a:fillRect/>
                          </a:stretch>
                        </pic:blipFill>
                        <pic:spPr>
                          <a:xfrm>
                            <a:off x="0" y="0"/>
                            <a:ext cx="571500" cy="571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箱式离心风机（内置消音装置）1</w:t>
            </w:r>
          </w:p>
        </w:tc>
        <w:tc>
          <w:tcPr>
            <w:tcW w:w="870" w:type="dxa"/>
            <w:vAlign w:val="center"/>
          </w:tcPr>
          <w:p>
            <w:pPr>
              <w:widowControl/>
              <w:adjustRightInd/>
              <w:spacing w:line="240" w:lineRule="auto"/>
              <w:ind w:right="-6"/>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1</w:t>
            </w:r>
          </w:p>
        </w:tc>
        <w:tc>
          <w:tcPr>
            <w:tcW w:w="780" w:type="dxa"/>
            <w:vAlign w:val="center"/>
          </w:tcPr>
          <w:p>
            <w:pPr>
              <w:widowControl/>
              <w:adjustRightInd/>
              <w:spacing w:line="240" w:lineRule="auto"/>
              <w:ind w:right="-6"/>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台</w:t>
            </w:r>
          </w:p>
        </w:tc>
        <w:tc>
          <w:tcPr>
            <w:tcW w:w="6945" w:type="dxa"/>
            <w:vAlign w:val="center"/>
          </w:tcPr>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1.风量：≥16000ｍ³/h；</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2.全压：900Pa；</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3</w:t>
            </w:r>
            <w:r>
              <w:rPr>
                <w:rFonts w:hint="eastAsia" w:ascii="宋体" w:hAnsi="宋体" w:eastAsia="宋体" w:cs="宋体"/>
                <w:color w:val="auto"/>
                <w:sz w:val="21"/>
                <w:szCs w:val="21"/>
                <w:highlight w:val="none"/>
                <w:lang w:bidi="ar"/>
              </w:rPr>
              <w:t>.柜体采用双层钢板结构，夹层内填充吸音材料；</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4</w:t>
            </w:r>
            <w:r>
              <w:rPr>
                <w:rFonts w:hint="eastAsia" w:ascii="宋体" w:hAnsi="宋体" w:eastAsia="宋体" w:cs="宋体"/>
                <w:color w:val="auto"/>
                <w:sz w:val="21"/>
                <w:szCs w:val="21"/>
                <w:highlight w:val="none"/>
                <w:lang w:bidi="ar"/>
              </w:rPr>
              <w:t>.电机采用全铜电机。</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781685" cy="871855"/>
                  <wp:effectExtent l="0" t="0" r="8890" b="4445"/>
                  <wp:docPr id="1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2"/>
                          <pic:cNvPicPr>
                            <a:picLocks noChangeAspect="1"/>
                          </pic:cNvPicPr>
                        </pic:nvPicPr>
                        <pic:blipFill>
                          <a:blip r:embed="rId137"/>
                          <a:stretch>
                            <a:fillRect/>
                          </a:stretch>
                        </pic:blipFill>
                        <pic:spPr>
                          <a:xfrm>
                            <a:off x="0" y="0"/>
                            <a:ext cx="790011" cy="8810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不锈钢静电式油烟净化器2</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1.净化设备由201不锈钢外壳，数字电源，高压输出装置，高低压不锈钢电场等组成。其中外壳和电场均采用不锈钢材质。数字电源标配数码显示屏，显示设备的运行状态；</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.处理能力：16000ｍ³/h；</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.油烟净化率：≥90%。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0" distR="0">
                  <wp:extent cx="787400" cy="685800"/>
                  <wp:effectExtent l="0" t="0" r="3175" b="0"/>
                  <wp:docPr id="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787400" cy="685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不锈钢消音器1</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1.规格：与风机出风口适配，长1.5米；</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2.采用≥0.8mm厚不锈钢钢板制作，内村消音棉。</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drawing>
                <wp:inline distT="0" distB="0" distL="114300" distR="114300">
                  <wp:extent cx="735965" cy="541020"/>
                  <wp:effectExtent l="0" t="0" r="6985" b="1905"/>
                  <wp:docPr id="10193631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63156" name="图片 14"/>
                          <pic:cNvPicPr>
                            <a:picLocks noChangeAspect="1"/>
                          </pic:cNvPicPr>
                        </pic:nvPicPr>
                        <pic:blipFill>
                          <a:blip r:embed="rId103"/>
                          <a:stretch>
                            <a:fillRect/>
                          </a:stretch>
                        </pic:blipFill>
                        <pic:spPr>
                          <a:xfrm>
                            <a:off x="0" y="0"/>
                            <a:ext cx="738980" cy="54367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弹簧减震器2</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4</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只</w:t>
            </w:r>
          </w:p>
        </w:tc>
        <w:tc>
          <w:tcPr>
            <w:tcW w:w="6945" w:type="dxa"/>
            <w:vAlign w:val="center"/>
          </w:tcPr>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承重≥120kg。</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drawing>
                <wp:inline distT="0" distB="0" distL="114300" distR="114300">
                  <wp:extent cx="420370" cy="224790"/>
                  <wp:effectExtent l="0" t="0" r="8255" b="3810"/>
                  <wp:docPr id="18961447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44749" name="图片 15"/>
                          <pic:cNvPicPr>
                            <a:picLocks noChangeAspect="1"/>
                          </pic:cNvPicPr>
                        </pic:nvPicPr>
                        <pic:blipFill>
                          <a:blip r:embed="rId104"/>
                          <a:stretch>
                            <a:fillRect/>
                          </a:stretch>
                        </pic:blipFill>
                        <pic:spPr>
                          <a:xfrm>
                            <a:off x="0" y="0"/>
                            <a:ext cx="421219" cy="22553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风机、净化器槽钢支架</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8#槽钢材质，二遍防腐处理。</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w:t>
            </w:r>
          </w:p>
        </w:tc>
        <w:tc>
          <w:tcPr>
            <w:tcW w:w="3044" w:type="dxa"/>
            <w:vAlign w:val="center"/>
          </w:tcPr>
          <w:p>
            <w:pPr>
              <w:widowControl/>
              <w:adjustRightInd/>
              <w:spacing w:line="240" w:lineRule="auto"/>
              <w:ind w:right="-4" w:firstLine="211" w:firstLineChars="10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风机软连接</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个</w:t>
            </w:r>
          </w:p>
        </w:tc>
        <w:tc>
          <w:tcPr>
            <w:tcW w:w="6945" w:type="dxa"/>
            <w:vAlign w:val="center"/>
          </w:tcPr>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防火玻璃纤维材质，与风机、净化器配套使用。</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不锈钢防火阀</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1.不锈钢材质，壁厚≥1.5mm；</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2.动作温度：150℃。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drawing>
                <wp:inline distT="0" distB="0" distL="114300" distR="114300">
                  <wp:extent cx="381000" cy="528320"/>
                  <wp:effectExtent l="0" t="0" r="0" b="5080"/>
                  <wp:docPr id="1318360996" name="图片 16" descr="../../../../Users/ADMINI~1/AppData/Local/Temp/ksohtml/clip_image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60996" name="图片 16" descr="../../../../Users/ADMINI~1/AppData/Local/Temp/ksohtml/clip_image5269.png"/>
                          <pic:cNvPicPr>
                            <a:picLocks noChangeAspect="1"/>
                          </pic:cNvPicPr>
                        </pic:nvPicPr>
                        <pic:blipFill>
                          <a:blip r:embed="rId54"/>
                          <a:stretch>
                            <a:fillRect/>
                          </a:stretch>
                        </pic:blipFill>
                        <pic:spPr>
                          <a:xfrm>
                            <a:off x="0" y="0"/>
                            <a:ext cx="386565" cy="5361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风机变频启动箱2</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ind w:right="-6"/>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1.适配电机功率：7.5KW/380V；</w:t>
            </w:r>
          </w:p>
          <w:p>
            <w:pPr>
              <w:widowControl/>
              <w:adjustRightInd/>
              <w:spacing w:line="240" w:lineRule="auto"/>
              <w:ind w:right="-6"/>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2.节能率可达30%~50%；</w:t>
            </w:r>
          </w:p>
          <w:p>
            <w:pPr>
              <w:widowControl/>
              <w:adjustRightInd/>
              <w:spacing w:line="240" w:lineRule="auto"/>
              <w:ind w:right="-6"/>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3.智能静音；</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4.变频控制，无极调速。</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87045" cy="526415"/>
                  <wp:effectExtent l="0" t="0" r="8255" b="6985"/>
                  <wp:docPr id="8941697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69762" name="图片 17"/>
                          <pic:cNvPicPr>
                            <a:picLocks noChangeAspect="1"/>
                          </pic:cNvPicPr>
                        </pic:nvPicPr>
                        <pic:blipFill>
                          <a:blip r:embed="rId138"/>
                          <a:stretch>
                            <a:fillRect/>
                          </a:stretch>
                        </pic:blipFill>
                        <pic:spPr>
                          <a:xfrm>
                            <a:off x="0" y="0"/>
                            <a:ext cx="488848" cy="5285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风机变频启动箱3</w:t>
            </w:r>
          </w:p>
        </w:tc>
        <w:tc>
          <w:tcPr>
            <w:tcW w:w="87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ind w:right="-6"/>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1.适配电机功率：1.5KW/380V；</w:t>
            </w:r>
          </w:p>
          <w:p>
            <w:pPr>
              <w:widowControl/>
              <w:adjustRightInd/>
              <w:spacing w:line="240" w:lineRule="auto"/>
              <w:ind w:right="-6"/>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2.节能率可达30%~50%；</w:t>
            </w:r>
          </w:p>
          <w:p>
            <w:pPr>
              <w:widowControl/>
              <w:adjustRightInd/>
              <w:spacing w:line="240" w:lineRule="auto"/>
              <w:ind w:right="-6"/>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3.智能静音；</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4.变频控制，无极调速。</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87045" cy="526415"/>
                  <wp:effectExtent l="0" t="0" r="8255" b="6985"/>
                  <wp:docPr id="1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7"/>
                          <pic:cNvPicPr>
                            <a:picLocks noChangeAspect="1"/>
                          </pic:cNvPicPr>
                        </pic:nvPicPr>
                        <pic:blipFill>
                          <a:blip r:embed="rId138"/>
                          <a:stretch>
                            <a:fillRect/>
                          </a:stretch>
                        </pic:blipFill>
                        <pic:spPr>
                          <a:xfrm>
                            <a:off x="0" y="0"/>
                            <a:ext cx="488848" cy="5285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八、杭州市春蕾中学（仙林校区）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bidi="ar"/>
              </w:rPr>
              <w:t>1</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color w:val="auto"/>
                <w:kern w:val="0"/>
                <w:sz w:val="21"/>
                <w:szCs w:val="21"/>
                <w:highlight w:val="none"/>
                <w:lang w:bidi="ar"/>
              </w:rPr>
              <w:t>不锈钢风管2</w:t>
            </w:r>
          </w:p>
        </w:tc>
        <w:tc>
          <w:tcPr>
            <w:tcW w:w="87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30</w:t>
            </w:r>
          </w:p>
        </w:tc>
        <w:tc>
          <w:tcPr>
            <w:tcW w:w="78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1.参考规格：800*600mm；</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2.采用201不锈钢板制作，板厚≥1.0mm，角钢法兰；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3.配密封圈、吊杆。</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71500" cy="571500"/>
                  <wp:effectExtent l="0" t="0" r="0" b="0"/>
                  <wp:docPr id="166" name="图片 9"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 descr="风管"/>
                          <pic:cNvPicPr>
                            <a:picLocks noChangeAspect="1"/>
                          </pic:cNvPicPr>
                        </pic:nvPicPr>
                        <pic:blipFill>
                          <a:blip r:embed="rId136" cstate="print"/>
                          <a:stretch>
                            <a:fillRect/>
                          </a:stretch>
                        </pic:blipFill>
                        <pic:spPr>
                          <a:xfrm>
                            <a:off x="0" y="0"/>
                            <a:ext cx="571500" cy="571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2</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lang w:bidi="ar"/>
              </w:rPr>
              <w:t>箱式离心风机（内置消音装置）2</w:t>
            </w:r>
          </w:p>
        </w:tc>
        <w:tc>
          <w:tcPr>
            <w:tcW w:w="870" w:type="dxa"/>
            <w:vAlign w:val="center"/>
          </w:tcPr>
          <w:p>
            <w:pPr>
              <w:widowControl/>
              <w:adjustRightInd/>
              <w:spacing w:line="240" w:lineRule="auto"/>
              <w:ind w:right="-6"/>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bidi="ar"/>
              </w:rPr>
              <w:t>1</w:t>
            </w:r>
          </w:p>
        </w:tc>
        <w:tc>
          <w:tcPr>
            <w:tcW w:w="780" w:type="dxa"/>
            <w:vAlign w:val="center"/>
          </w:tcPr>
          <w:p>
            <w:pPr>
              <w:widowControl/>
              <w:adjustRightInd/>
              <w:spacing w:line="240" w:lineRule="auto"/>
              <w:ind w:right="-6"/>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bidi="ar"/>
              </w:rPr>
              <w:t>台</w:t>
            </w:r>
          </w:p>
        </w:tc>
        <w:tc>
          <w:tcPr>
            <w:tcW w:w="6945" w:type="dxa"/>
            <w:vAlign w:val="center"/>
          </w:tcPr>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1.风量：≥20000ｍ³/h；</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2.全压：900Pa；</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3</w:t>
            </w:r>
            <w:r>
              <w:rPr>
                <w:rFonts w:hint="eastAsia" w:ascii="宋体" w:hAnsi="宋体" w:eastAsia="宋体" w:cs="宋体"/>
                <w:color w:val="auto"/>
                <w:sz w:val="21"/>
                <w:szCs w:val="21"/>
                <w:highlight w:val="none"/>
                <w:lang w:bidi="ar"/>
              </w:rPr>
              <w:t>.柜体采用双层钢板结构，夹层内填充吸音材料；</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4</w:t>
            </w:r>
            <w:r>
              <w:rPr>
                <w:rFonts w:hint="eastAsia" w:ascii="宋体" w:hAnsi="宋体" w:eastAsia="宋体" w:cs="宋体"/>
                <w:color w:val="auto"/>
                <w:sz w:val="21"/>
                <w:szCs w:val="21"/>
                <w:highlight w:val="none"/>
                <w:lang w:bidi="ar"/>
              </w:rPr>
              <w:t>.电机采用全铜电机。</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drawing>
                <wp:inline distT="0" distB="0" distL="114300" distR="114300">
                  <wp:extent cx="798830" cy="891540"/>
                  <wp:effectExtent l="0" t="0" r="1270" b="3810"/>
                  <wp:docPr id="16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 descr="IMG_256"/>
                          <pic:cNvPicPr>
                            <a:picLocks noChangeAspect="1"/>
                          </pic:cNvPicPr>
                        </pic:nvPicPr>
                        <pic:blipFill>
                          <a:blip r:embed="rId139"/>
                          <a:stretch>
                            <a:fillRect/>
                          </a:stretch>
                        </pic:blipFill>
                        <pic:spPr>
                          <a:xfrm>
                            <a:off x="0" y="0"/>
                            <a:ext cx="798830" cy="8915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color w:val="auto"/>
                <w:kern w:val="0"/>
                <w:sz w:val="21"/>
                <w:szCs w:val="21"/>
                <w:highlight w:val="none"/>
                <w:lang w:bidi="ar"/>
              </w:rPr>
              <w:t>不锈钢静电式油烟净化器3</w:t>
            </w:r>
          </w:p>
        </w:tc>
        <w:tc>
          <w:tcPr>
            <w:tcW w:w="87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1.净化设备由201不锈钢外壳，数字电源，高压输出装置，高低压不锈钢电场等组成。其中外壳和电场均采用不锈钢材质。数字电源标配数码显示屏，显示设备的运行状态；</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.处理能力：20000ｍ³/h；</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.油烟净化率：≥90%。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drawing>
                <wp:inline distT="0" distB="0" distL="114300" distR="114300">
                  <wp:extent cx="1005840" cy="873125"/>
                  <wp:effectExtent l="0" t="0" r="3810" b="3175"/>
                  <wp:docPr id="17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 descr="IMG_256"/>
                          <pic:cNvPicPr>
                            <a:picLocks noChangeAspect="1"/>
                          </pic:cNvPicPr>
                        </pic:nvPicPr>
                        <pic:blipFill>
                          <a:blip r:embed="rId140"/>
                          <a:stretch>
                            <a:fillRect/>
                          </a:stretch>
                        </pic:blipFill>
                        <pic:spPr>
                          <a:xfrm>
                            <a:off x="0" y="0"/>
                            <a:ext cx="1005840" cy="8731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color w:val="auto"/>
                <w:kern w:val="0"/>
                <w:sz w:val="21"/>
                <w:szCs w:val="21"/>
                <w:highlight w:val="none"/>
                <w:lang w:bidi="ar"/>
              </w:rPr>
              <w:t>弹簧减震器1</w:t>
            </w:r>
          </w:p>
        </w:tc>
        <w:tc>
          <w:tcPr>
            <w:tcW w:w="87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4</w:t>
            </w:r>
          </w:p>
        </w:tc>
        <w:tc>
          <w:tcPr>
            <w:tcW w:w="78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只</w:t>
            </w:r>
          </w:p>
        </w:tc>
        <w:tc>
          <w:tcPr>
            <w:tcW w:w="6945" w:type="dxa"/>
            <w:vAlign w:val="center"/>
          </w:tcPr>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承重≥150kg。</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80720" cy="367030"/>
                  <wp:effectExtent l="0" t="0" r="5080" b="4445"/>
                  <wp:docPr id="17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 descr="IMG_256"/>
                          <pic:cNvPicPr>
                            <a:picLocks noChangeAspect="1"/>
                          </pic:cNvPicPr>
                        </pic:nvPicPr>
                        <pic:blipFill>
                          <a:blip r:embed="rId141"/>
                          <a:stretch>
                            <a:fillRect/>
                          </a:stretch>
                        </pic:blipFill>
                        <pic:spPr>
                          <a:xfrm>
                            <a:off x="0" y="0"/>
                            <a:ext cx="680720" cy="3670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color w:val="auto"/>
                <w:kern w:val="0"/>
                <w:sz w:val="21"/>
                <w:szCs w:val="21"/>
                <w:highlight w:val="none"/>
                <w:lang w:bidi="ar"/>
              </w:rPr>
              <w:t>风机、净化器槽钢支架</w:t>
            </w:r>
          </w:p>
        </w:tc>
        <w:tc>
          <w:tcPr>
            <w:tcW w:w="87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台</w:t>
            </w:r>
          </w:p>
        </w:tc>
        <w:tc>
          <w:tcPr>
            <w:tcW w:w="6945" w:type="dxa"/>
            <w:vAlign w:val="center"/>
          </w:tcPr>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8#槽钢材质，二遍防腐处理。</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w:t>
            </w:r>
          </w:p>
        </w:tc>
        <w:tc>
          <w:tcPr>
            <w:tcW w:w="3044" w:type="dxa"/>
            <w:vAlign w:val="center"/>
          </w:tcPr>
          <w:p>
            <w:pPr>
              <w:widowControl/>
              <w:adjustRightInd/>
              <w:spacing w:line="240" w:lineRule="auto"/>
              <w:ind w:right="-4" w:firstLine="211" w:firstLineChars="100"/>
              <w:jc w:val="center"/>
              <w:rPr>
                <w:rFonts w:hint="eastAsia" w:ascii="宋体" w:hAnsi="宋体" w:eastAsia="宋体" w:cs="宋体"/>
                <w:b/>
                <w:bCs/>
                <w:color w:val="auto"/>
                <w:sz w:val="21"/>
                <w:szCs w:val="21"/>
                <w:highlight w:val="none"/>
              </w:rPr>
            </w:pPr>
            <w:r>
              <w:rPr>
                <w:rFonts w:hint="eastAsia" w:ascii="宋体" w:hAnsi="宋体" w:eastAsia="宋体" w:cs="宋体"/>
                <w:b/>
                <w:color w:val="auto"/>
                <w:kern w:val="0"/>
                <w:sz w:val="21"/>
                <w:szCs w:val="21"/>
                <w:highlight w:val="none"/>
                <w:lang w:bidi="ar"/>
              </w:rPr>
              <w:t>风机软连接</w:t>
            </w:r>
          </w:p>
        </w:tc>
        <w:tc>
          <w:tcPr>
            <w:tcW w:w="87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个</w:t>
            </w:r>
          </w:p>
        </w:tc>
        <w:tc>
          <w:tcPr>
            <w:tcW w:w="6945" w:type="dxa"/>
            <w:vAlign w:val="center"/>
          </w:tcPr>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防火玻璃纤维材质，与风机、净化器配套使用。</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color w:val="auto"/>
                <w:kern w:val="0"/>
                <w:sz w:val="21"/>
                <w:szCs w:val="21"/>
                <w:highlight w:val="none"/>
                <w:lang w:bidi="ar"/>
              </w:rPr>
              <w:t>风机变频启动箱1</w:t>
            </w:r>
          </w:p>
        </w:tc>
        <w:tc>
          <w:tcPr>
            <w:tcW w:w="87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台</w:t>
            </w:r>
          </w:p>
        </w:tc>
        <w:tc>
          <w:tcPr>
            <w:tcW w:w="6945" w:type="dxa"/>
            <w:vAlign w:val="center"/>
          </w:tcPr>
          <w:p>
            <w:pPr>
              <w:widowControl/>
              <w:adjustRightInd/>
              <w:spacing w:line="240" w:lineRule="auto"/>
              <w:ind w:right="-6"/>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1.适配电机功率：11KW/380V；</w:t>
            </w:r>
          </w:p>
          <w:p>
            <w:pPr>
              <w:widowControl/>
              <w:adjustRightInd/>
              <w:spacing w:line="240" w:lineRule="auto"/>
              <w:ind w:right="-6"/>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2.节能率30%~50%；</w:t>
            </w:r>
          </w:p>
          <w:p>
            <w:pPr>
              <w:widowControl/>
              <w:adjustRightInd/>
              <w:spacing w:line="240" w:lineRule="auto"/>
              <w:ind w:right="-6"/>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3.智能静音；变频控制，无极调速；</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4.一键设置；平滑启停。</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drawing>
                <wp:inline distT="0" distB="0" distL="114300" distR="114300">
                  <wp:extent cx="758190" cy="817245"/>
                  <wp:effectExtent l="0" t="0" r="3810" b="1905"/>
                  <wp:docPr id="17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 descr="IMG_256"/>
                          <pic:cNvPicPr>
                            <a:picLocks noChangeAspect="1"/>
                          </pic:cNvPicPr>
                        </pic:nvPicPr>
                        <pic:blipFill>
                          <a:blip r:embed="rId58"/>
                          <a:stretch>
                            <a:fillRect/>
                          </a:stretch>
                        </pic:blipFill>
                        <pic:spPr>
                          <a:xfrm>
                            <a:off x="0" y="0"/>
                            <a:ext cx="758190" cy="8172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5"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p>
        </w:tc>
        <w:tc>
          <w:tcPr>
            <w:tcW w:w="3044" w:type="dxa"/>
            <w:vAlign w:val="center"/>
          </w:tcPr>
          <w:p>
            <w:pPr>
              <w:widowControl/>
              <w:adjustRightInd/>
              <w:spacing w:line="240" w:lineRule="auto"/>
              <w:ind w:right="-4"/>
              <w:jc w:val="center"/>
              <w:rPr>
                <w:rFonts w:hint="eastAsia" w:ascii="宋体" w:hAnsi="宋体" w:eastAsia="宋体" w:cs="宋体"/>
                <w:b/>
                <w:bCs/>
                <w:color w:val="auto"/>
                <w:sz w:val="21"/>
                <w:szCs w:val="21"/>
                <w:highlight w:val="none"/>
              </w:rPr>
            </w:pPr>
            <w:r>
              <w:rPr>
                <w:rFonts w:hint="eastAsia" w:ascii="宋体" w:hAnsi="宋体" w:eastAsia="宋体" w:cs="宋体"/>
                <w:b/>
                <w:color w:val="auto"/>
                <w:kern w:val="0"/>
                <w:sz w:val="21"/>
                <w:szCs w:val="21"/>
                <w:highlight w:val="none"/>
                <w:lang w:bidi="ar"/>
              </w:rPr>
              <w:t>风机变频启动箱3</w:t>
            </w:r>
          </w:p>
        </w:tc>
        <w:tc>
          <w:tcPr>
            <w:tcW w:w="87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1</w:t>
            </w:r>
          </w:p>
        </w:tc>
        <w:tc>
          <w:tcPr>
            <w:tcW w:w="780"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1.适配电机功率：1.5KW/380V；</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2.节能率：可达30%~50%；</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3.智能静音；</w:t>
            </w:r>
          </w:p>
          <w:p>
            <w:pPr>
              <w:widowControl/>
              <w:adjustRightInd/>
              <w:spacing w:line="240" w:lineRule="auto"/>
              <w:ind w:right="-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4.变频控制，无极调速。</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drawing>
                <wp:inline distT="0" distB="0" distL="114300" distR="114300">
                  <wp:extent cx="796290" cy="857885"/>
                  <wp:effectExtent l="0" t="0" r="3810" b="8890"/>
                  <wp:docPr id="176"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8" descr="IMG_257"/>
                          <pic:cNvPicPr>
                            <a:picLocks noChangeAspect="1"/>
                          </pic:cNvPicPr>
                        </pic:nvPicPr>
                        <pic:blipFill>
                          <a:blip r:embed="rId58"/>
                          <a:stretch>
                            <a:fillRect/>
                          </a:stretch>
                        </pic:blipFill>
                        <pic:spPr>
                          <a:xfrm>
                            <a:off x="0" y="0"/>
                            <a:ext cx="796290" cy="8578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9</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双门电蒸饭柜1</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：1200*850*1700mm；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2.采用304不锈钢板制作，内胆板厚≥0.8mm，轨道板厚≥1.0mm；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3.采用Φ50*150*2mm 201不锈钢重力可调脚；</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4.配304不锈钢饭盘26只，规格：600*400*50mm，壁厚≥0.7mm；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5.配分饭器1个、饭铲2把；</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6.具备自动进水装置；</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7.功率：12KW*2/380V。</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82930" cy="764540"/>
                  <wp:effectExtent l="0" t="0" r="7620" b="6985"/>
                  <wp:docPr id="177" name="图片 2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3" descr="IMG_281"/>
                          <pic:cNvPicPr>
                            <a:picLocks noChangeAspect="1"/>
                          </pic:cNvPicPr>
                        </pic:nvPicPr>
                        <pic:blipFill>
                          <a:blip r:embed="rId124"/>
                          <a:stretch>
                            <a:fillRect/>
                          </a:stretch>
                        </pic:blipFill>
                        <pic:spPr>
                          <a:xfrm>
                            <a:off x="0" y="0"/>
                            <a:ext cx="582930" cy="7645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w:t>
            </w:r>
          </w:p>
        </w:tc>
        <w:tc>
          <w:tcPr>
            <w:tcW w:w="3044"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双门热风循环消毒柜5</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：1310*640*1880mm；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2.采用不锈钢制作，150℃立体循环风，</w:t>
            </w:r>
            <w:r>
              <w:rPr>
                <w:rFonts w:hint="eastAsia" w:ascii="宋体" w:hAnsi="宋体" w:eastAsia="宋体" w:cs="宋体"/>
                <w:color w:val="auto"/>
                <w:kern w:val="0"/>
                <w:sz w:val="21"/>
                <w:szCs w:val="21"/>
                <w:highlight w:val="none"/>
                <w:lang w:val="en-US" w:eastAsia="zh-CN" w:bidi="ar"/>
              </w:rPr>
              <w:t>具有</w:t>
            </w:r>
            <w:r>
              <w:rPr>
                <w:rFonts w:hint="eastAsia" w:ascii="宋体" w:hAnsi="宋体" w:eastAsia="宋体" w:cs="宋体"/>
                <w:color w:val="auto"/>
                <w:kern w:val="0"/>
                <w:sz w:val="21"/>
                <w:szCs w:val="21"/>
                <w:highlight w:val="none"/>
                <w:lang w:bidi="ar"/>
              </w:rPr>
              <w:t>数控面板；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3.功率</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：4.5KW；</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4.温度范围：20℃-150℃。</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657225" cy="705485"/>
                  <wp:effectExtent l="0" t="0" r="0" b="8890"/>
                  <wp:docPr id="17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5"/>
                          <pic:cNvPicPr>
                            <a:picLocks noChangeAspect="1"/>
                          </pic:cNvPicPr>
                        </pic:nvPicPr>
                        <pic:blipFill>
                          <a:blip r:embed="rId92"/>
                          <a:stretch>
                            <a:fillRect/>
                          </a:stretch>
                        </pic:blipFill>
                        <pic:spPr>
                          <a:xfrm>
                            <a:off x="0" y="0"/>
                            <a:ext cx="657225" cy="7054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eastAsia="zh-CN" w:bidi="ar"/>
              </w:rPr>
              <w:t>小工作台</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2</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1.参考规格：400*500*（430+370）mm；</w:t>
            </w:r>
          </w:p>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2.采用304不锈钢板制作，不锈钢面板厚≥1.0mm；</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3.采用38*38*0.8mm不锈钢方管腿，不锈钢可调子弹脚。</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51155" cy="487680"/>
                  <wp:effectExtent l="0" t="0" r="1270" b="7620"/>
                  <wp:docPr id="179" name="图片 1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9" descr="IMG_265"/>
                          <pic:cNvPicPr>
                            <a:picLocks noChangeAspect="1"/>
                          </pic:cNvPicPr>
                        </pic:nvPicPr>
                        <pic:blipFill>
                          <a:blip r:embed="rId142"/>
                          <a:stretch>
                            <a:fillRect/>
                          </a:stretch>
                        </pic:blipFill>
                        <pic:spPr>
                          <a:xfrm>
                            <a:off x="0" y="0"/>
                            <a:ext cx="351155" cy="4876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snapToGrid w:val="0"/>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w:t>
            </w:r>
          </w:p>
        </w:tc>
        <w:tc>
          <w:tcPr>
            <w:tcW w:w="3044" w:type="dxa"/>
            <w:vAlign w:val="center"/>
          </w:tcPr>
          <w:p>
            <w:pPr>
              <w:widowControl/>
              <w:adjustRightInd/>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四门双温冰箱（直冷）</w:t>
            </w:r>
          </w:p>
        </w:tc>
        <w:tc>
          <w:tcPr>
            <w:tcW w:w="87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780" w:type="dxa"/>
            <w:vAlign w:val="center"/>
          </w:tcPr>
          <w:p>
            <w:pPr>
              <w:widowControl/>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台</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：1220*750*1960mm；</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2.功率：0.75KW/220V；</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3.温度：0℃～+10℃；-6℃～-18℃；</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4.不锈钢内胆外壳；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5.具有门体自动回归及悬停装置。</w:t>
            </w:r>
          </w:p>
        </w:tc>
        <w:tc>
          <w:tcPr>
            <w:tcW w:w="1845" w:type="dxa"/>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38480" cy="686435"/>
                  <wp:effectExtent l="0" t="0" r="4445" b="8890"/>
                  <wp:docPr id="18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6"/>
                          <pic:cNvPicPr>
                            <a:picLocks noChangeAspect="1"/>
                          </pic:cNvPicPr>
                        </pic:nvPicPr>
                        <pic:blipFill>
                          <a:blip r:embed="rId126" r:link="rId143"/>
                          <a:stretch>
                            <a:fillRect/>
                          </a:stretch>
                        </pic:blipFill>
                        <pic:spPr>
                          <a:xfrm>
                            <a:off x="0" y="0"/>
                            <a:ext cx="538480" cy="6864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25" w:type="dxa"/>
            <w:gridSpan w:val="6"/>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九、珠碧二弄学校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更衣柜</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1.参考规格：1240*500*1800mm；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2.门板厚度≥0.8mm、侧板厚度≥0.8mm、层板厚度≥0.8mm、加强筋厚度≥0.8mm；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3.配六扇门（带锁），内置活动挂衣杆。</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438150" cy="704850"/>
                  <wp:effectExtent l="0" t="0" r="0" b="0"/>
                  <wp:docPr id="23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9" descr="IMG_256"/>
                          <pic:cNvPicPr>
                            <a:picLocks noChangeAspect="1"/>
                          </pic:cNvPicPr>
                        </pic:nvPicPr>
                        <pic:blipFill>
                          <a:blip r:embed="rId144"/>
                          <a:stretch>
                            <a:fillRect/>
                          </a:stretch>
                        </pic:blipFill>
                        <pic:spPr>
                          <a:xfrm>
                            <a:off x="0" y="0"/>
                            <a:ext cx="438150" cy="7048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2</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大米架2</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1.参考规格：1200*500*200mm；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2.立柱：采用38*38*1.0mm不锈钢管；</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3.格栅：采用38*25*1.0mm不锈钢管；</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4.横挡：采用38*25*1.0mm不锈钢管。</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781050" cy="438150"/>
                  <wp:effectExtent l="0" t="0" r="0" b="0"/>
                  <wp:docPr id="232" name="图片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1" descr="IMG_258"/>
                          <pic:cNvPicPr>
                            <a:picLocks noChangeAspect="1"/>
                          </pic:cNvPicPr>
                        </pic:nvPicPr>
                        <pic:blipFill>
                          <a:blip r:embed="rId145"/>
                          <a:stretch>
                            <a:fillRect/>
                          </a:stretch>
                        </pic:blipFill>
                        <pic:spPr>
                          <a:xfrm>
                            <a:off x="0" y="0"/>
                            <a:ext cx="781050" cy="4381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3</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四层平板架</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1.参考规格：1200*500*1800mm；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2.采用304不锈钢板制作，骨架厚≥1.0mm，平板厚≥1.0mm；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3.脚管采用φ38mm*1.0mm 201不锈钢管，下配可调节子弹脚。</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590550" cy="685800"/>
                  <wp:effectExtent l="0" t="0" r="0" b="0"/>
                  <wp:docPr id="233" name="图片 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2" descr="IMG_259"/>
                          <pic:cNvPicPr>
                            <a:picLocks noChangeAspect="1"/>
                          </pic:cNvPicPr>
                        </pic:nvPicPr>
                        <pic:blipFill>
                          <a:blip r:embed="rId146"/>
                          <a:stretch>
                            <a:fillRect/>
                          </a:stretch>
                        </pic:blipFill>
                        <pic:spPr>
                          <a:xfrm>
                            <a:off x="0" y="0"/>
                            <a:ext cx="590550" cy="6858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4</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挡鼠板4</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套</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1.参考规格：1000*600*18mm；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2.采用304不锈钢板制作，面板厚≥1.0mm，含导轨及插板。</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742950" cy="552450"/>
                  <wp:effectExtent l="0" t="0" r="0" b="0"/>
                  <wp:docPr id="234" name="图片 2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 descr="IMG_260"/>
                          <pic:cNvPicPr>
                            <a:picLocks noChangeAspect="1"/>
                          </pic:cNvPicPr>
                        </pic:nvPicPr>
                        <pic:blipFill>
                          <a:blip r:embed="rId147"/>
                          <a:stretch>
                            <a:fillRect/>
                          </a:stretch>
                        </pic:blipFill>
                        <pic:spPr>
                          <a:xfrm>
                            <a:off x="0" y="0"/>
                            <a:ext cx="742950" cy="5524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5</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四门双机双温冰箱</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1.参考规格（约）：1220*680*1930mm；</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2.使用固态过滤器，产品能在43℃的环境温度下正常工作；</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3.具备电子控制器、电子显示器；</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4.整机及台面采用一体式发泡工艺，整体平整；</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5.配备门体自动关闭结构；</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6.门体内衬板、内箱、外箱为不锈钢材质；</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7.冷藏温度：5℃～-5℃；冷冻温度：-6℃～-18℃；</w:t>
            </w:r>
          </w:p>
          <w:p>
            <w:pPr>
              <w:widowControl/>
              <w:adjustRightInd/>
              <w:spacing w:line="240" w:lineRule="auto"/>
              <w:jc w:val="left"/>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kern w:val="0"/>
                <w:sz w:val="21"/>
                <w:szCs w:val="21"/>
                <w:highlight w:val="none"/>
                <w:lang w:bidi="ar"/>
              </w:rPr>
              <w:t>8.容量：≥800L</w:t>
            </w:r>
            <w:r>
              <w:rPr>
                <w:rFonts w:hint="eastAsia" w:ascii="宋体" w:hAnsi="宋体" w:eastAsia="宋体" w:cs="宋体"/>
                <w:strike w:val="0"/>
                <w:dstrike w:val="0"/>
                <w:color w:val="auto"/>
                <w:kern w:val="0"/>
                <w:sz w:val="21"/>
                <w:szCs w:val="21"/>
                <w:highlight w:val="none"/>
                <w:lang w:eastAsia="zh-CN" w:bidi="ar"/>
              </w:rPr>
              <w:t>。</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28650" cy="838200"/>
                  <wp:effectExtent l="0" t="0" r="0" b="0"/>
                  <wp:docPr id="235" name="图片 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4" descr="IMG_261"/>
                          <pic:cNvPicPr>
                            <a:picLocks noChangeAspect="1"/>
                          </pic:cNvPicPr>
                        </pic:nvPicPr>
                        <pic:blipFill>
                          <a:blip r:embed="rId148"/>
                          <a:stretch>
                            <a:fillRect/>
                          </a:stretch>
                        </pic:blipFill>
                        <pic:spPr>
                          <a:xfrm>
                            <a:off x="0" y="0"/>
                            <a:ext cx="628650" cy="8382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6</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残菜回收台1</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套</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1.参考规格：1100*750*800mm；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2.采用304不锈钢板制作，台面厚≥1.0mm，加强筋厚≥1.0mm；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3.垃圾桶车脚轮：4-5寸聚氨酯静音万向脚轮，带刹车；</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r>
              <w:rPr>
                <w:rFonts w:hint="eastAsia" w:ascii="宋体" w:hAnsi="宋体" w:eastAsia="宋体" w:cs="宋体"/>
                <w:color w:val="auto"/>
                <w:kern w:val="0"/>
                <w:sz w:val="21"/>
                <w:szCs w:val="21"/>
                <w:highlight w:val="none"/>
                <w:lang w:bidi="ar"/>
              </w:rPr>
              <w:t>下配不锈钢垃圾桶1个</w:t>
            </w:r>
            <w:r>
              <w:rPr>
                <w:rFonts w:hint="eastAsia" w:ascii="宋体" w:hAnsi="宋体" w:eastAsia="宋体" w:cs="宋体"/>
                <w:color w:val="auto"/>
                <w:kern w:val="0"/>
                <w:sz w:val="21"/>
                <w:szCs w:val="21"/>
                <w:highlight w:val="none"/>
                <w:lang w:bidi="ar"/>
              </w:rPr>
              <w:t>。</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95325" cy="733425"/>
                  <wp:effectExtent l="0" t="0" r="0" b="0"/>
                  <wp:docPr id="236" name="图片 2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5" descr="IMG_262"/>
                          <pic:cNvPicPr>
                            <a:picLocks noChangeAspect="1"/>
                          </pic:cNvPicPr>
                        </pic:nvPicPr>
                        <pic:blipFill>
                          <a:blip r:embed="rId149"/>
                          <a:stretch>
                            <a:fillRect/>
                          </a:stretch>
                        </pic:blipFill>
                        <pic:spPr>
                          <a:xfrm>
                            <a:off x="0" y="0"/>
                            <a:ext cx="695325" cy="7334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单星大水池1</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1.参考规格：1000*750*800mm；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2.采用304不锈钢板制作，面板、斗厚≥1.0mm；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3.可调子弹脚，厚≥1.0mm，配落水器及栏渣片。</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76275" cy="628650"/>
                  <wp:effectExtent l="0" t="0" r="0" b="0"/>
                  <wp:docPr id="237" name="图片 2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6" descr="IMG_263"/>
                          <pic:cNvPicPr>
                            <a:picLocks noChangeAspect="1"/>
                          </pic:cNvPicPr>
                        </pic:nvPicPr>
                        <pic:blipFill>
                          <a:blip r:embed="rId150"/>
                          <a:stretch>
                            <a:fillRect/>
                          </a:stretch>
                        </pic:blipFill>
                        <pic:spPr>
                          <a:xfrm>
                            <a:off x="0" y="0"/>
                            <a:ext cx="676275" cy="6286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8</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冷热水双温龙头</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套</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1.座台式安装，双孔双温平颈水嘴；</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2.低铅铜铸造表面抛光镀铬处理；</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3.配1/4转陶瓷阀芯一字型手柄；</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4.冷热接口开孔间距为203mm，采用偏芯设计可微调（15mm）；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5.开孔尺寸为25mm，接口为标准4分外螺纹；</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6.符合GB 25501-2019标准要求；</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bidi="ar"/>
              </w:rPr>
              <w:t>▲7.提供有效的节能产品认证证书扫描件。</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400050" cy="409575"/>
                  <wp:effectExtent l="0" t="0" r="0" b="0"/>
                  <wp:docPr id="238" name="图片 2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7" descr="IMG_264"/>
                          <pic:cNvPicPr>
                            <a:picLocks noChangeAspect="1"/>
                          </pic:cNvPicPr>
                        </pic:nvPicPr>
                        <pic:blipFill>
                          <a:blip r:embed="rId151"/>
                          <a:stretch>
                            <a:fillRect/>
                          </a:stretch>
                        </pic:blipFill>
                        <pic:spPr>
                          <a:xfrm>
                            <a:off x="0" y="0"/>
                            <a:ext cx="400050" cy="409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9</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cs="宋体"/>
                <w:b/>
                <w:bCs/>
                <w:strike w:val="0"/>
                <w:color w:val="auto"/>
                <w:sz w:val="21"/>
                <w:szCs w:val="21"/>
                <w:highlight w:val="none"/>
                <w:lang w:eastAsia="zh-CN"/>
              </w:rPr>
              <w:t>工作台</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张</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1.参考规格：1100*600*800mm；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3.脚管采用不锈钢管，厚≥1.0mm。</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drawing>
                <wp:inline distT="0" distB="0" distL="114300" distR="114300">
                  <wp:extent cx="819150" cy="428625"/>
                  <wp:effectExtent l="0" t="0" r="0" b="0"/>
                  <wp:docPr id="239" name="图片 2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8" descr="IMG_265"/>
                          <pic:cNvPicPr>
                            <a:picLocks noChangeAspect="1"/>
                          </pic:cNvPicPr>
                        </pic:nvPicPr>
                        <pic:blipFill>
                          <a:blip r:embed="rId152"/>
                          <a:stretch>
                            <a:fillRect/>
                          </a:stretch>
                        </pic:blipFill>
                        <pic:spPr>
                          <a:xfrm>
                            <a:off x="0" y="0"/>
                            <a:ext cx="819150" cy="4286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0</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双星水池1</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1.参考规格：1200*600*800mm；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2.采用304不锈钢板制作，面板、斗厚 mm1.0mm；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3.可调子弹脚，厚≥1.0mm，配落水器及栏渣片。</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857250" cy="638175"/>
                  <wp:effectExtent l="0" t="0" r="0" b="0"/>
                  <wp:docPr id="240" name="图片 2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9" descr="IMG_266"/>
                          <pic:cNvPicPr>
                            <a:picLocks noChangeAspect="1"/>
                          </pic:cNvPicPr>
                        </pic:nvPicPr>
                        <pic:blipFill>
                          <a:blip r:embed="rId153"/>
                          <a:stretch>
                            <a:fillRect/>
                          </a:stretch>
                        </pic:blipFill>
                        <pic:spPr>
                          <a:xfrm>
                            <a:off x="0" y="0"/>
                            <a:ext cx="857250" cy="6381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1</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单星剖鱼台</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1.参考规格：1200*600*800mm；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2.采用304不锈钢板制作，面板、斗厚≥1.0mm；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3.可调子弹脚，厚≥1.0mm，配落水器及栏渣片。</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742950" cy="609600"/>
                  <wp:effectExtent l="0" t="0" r="0" b="0"/>
                  <wp:docPr id="241" name="图片 3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0" descr="IMG_267"/>
                          <pic:cNvPicPr>
                            <a:picLocks noChangeAspect="1"/>
                          </pic:cNvPicPr>
                        </pic:nvPicPr>
                        <pic:blipFill>
                          <a:blip r:embed="rId154"/>
                          <a:stretch>
                            <a:fillRect/>
                          </a:stretch>
                        </pic:blipFill>
                        <pic:spPr>
                          <a:xfrm>
                            <a:off x="0" y="0"/>
                            <a:ext cx="742950" cy="6096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2</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挂墙双层架1</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1.参考规格：1500*300*600mm；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2.采用304不锈钢板制作，面板厚≥1.0mm，下层板厚≥1.0mm，加强筋厚≥1.0mm；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3.脚管采用φ38mm*0.8mm不锈钢管。</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733425" cy="676275"/>
                  <wp:effectExtent l="0" t="0" r="0" b="0"/>
                  <wp:docPr id="243" name="图片 3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2" descr="IMG_269"/>
                          <pic:cNvPicPr>
                            <a:picLocks noChangeAspect="1"/>
                          </pic:cNvPicPr>
                        </pic:nvPicPr>
                        <pic:blipFill>
                          <a:blip r:embed="rId155"/>
                          <a:stretch>
                            <a:fillRect/>
                          </a:stretch>
                        </pic:blipFill>
                        <pic:spPr>
                          <a:xfrm>
                            <a:off x="0" y="0"/>
                            <a:ext cx="733425" cy="6762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3</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挂墙式开水器</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1.挂墙架采用304不锈钢板制作，厚≥1.2mm；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2.功率/电压：9KW/380V；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3.水箱容积：≥60L。</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533400" cy="666750"/>
                  <wp:effectExtent l="0" t="0" r="0" b="0"/>
                  <wp:docPr id="244" name="图片 3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3" descr="IMG_270"/>
                          <pic:cNvPicPr>
                            <a:picLocks noChangeAspect="1"/>
                          </pic:cNvPicPr>
                        </pic:nvPicPr>
                        <pic:blipFill>
                          <a:blip r:embed="rId156"/>
                          <a:stretch>
                            <a:fillRect/>
                          </a:stretch>
                        </pic:blipFill>
                        <pic:spPr>
                          <a:xfrm>
                            <a:off x="0" y="0"/>
                            <a:ext cx="533400" cy="666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4</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双层工作台1</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张</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1.参考规格：1400*800*800mm；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3.脚管采用厚≥1.0mm不锈钢管。</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914400" cy="533400"/>
                  <wp:effectExtent l="0" t="0" r="0" b="0"/>
                  <wp:docPr id="279" name="图片 4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43" descr="IMG_280"/>
                          <pic:cNvPicPr>
                            <a:picLocks noChangeAspect="1"/>
                          </pic:cNvPicPr>
                        </pic:nvPicPr>
                        <pic:blipFill>
                          <a:blip r:embed="rId157"/>
                          <a:stretch>
                            <a:fillRect/>
                          </a:stretch>
                        </pic:blipFill>
                        <pic:spPr>
                          <a:xfrm>
                            <a:off x="0" y="0"/>
                            <a:ext cx="914400" cy="533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5</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挂墙刀具消毒柜</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：540*140*650mm；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2.采用紫外线消毒模式，外壳采用304不锈钢制作，采用防紫外线墨色玻璃制作柜门；</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3.功率/电压：15-30W/220V。</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438150" cy="676275"/>
                  <wp:effectExtent l="0" t="0" r="0" b="0"/>
                  <wp:docPr id="246" name="图片 3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5" descr="IMG_272"/>
                          <pic:cNvPicPr>
                            <a:picLocks noChangeAspect="1"/>
                          </pic:cNvPicPr>
                        </pic:nvPicPr>
                        <pic:blipFill>
                          <a:blip r:embed="rId158"/>
                          <a:stretch>
                            <a:fillRect/>
                          </a:stretch>
                        </pic:blipFill>
                        <pic:spPr>
                          <a:xfrm>
                            <a:off x="0" y="0"/>
                            <a:ext cx="438150" cy="6762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6</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调料平台</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1.参考规格：450*1100*800mm；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2.采用304不锈钢板制作，台面厚≥1.0mm；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3.脚管采用厚≥1.0mm不锈钢管，配有可调子弹脚。</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590550" cy="609600"/>
                  <wp:effectExtent l="0" t="0" r="0" b="0"/>
                  <wp:docPr id="247" name="图片 3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6" descr="IMG_273"/>
                          <pic:cNvPicPr>
                            <a:picLocks noChangeAspect="1"/>
                          </pic:cNvPicPr>
                        </pic:nvPicPr>
                        <pic:blipFill>
                          <a:blip r:embed="rId159"/>
                          <a:stretch>
                            <a:fillRect/>
                          </a:stretch>
                        </pic:blipFill>
                        <pic:spPr>
                          <a:xfrm>
                            <a:off x="0" y="0"/>
                            <a:ext cx="590550" cy="6096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燃气双眼大锅灶2</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1.参考规格：2000*1200*800mm；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2.采用304不锈钢板制作,面板厚≥1.2mm，其它厚≥1.0mm,底板厚≥0.8mm，后背宽度100mm；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3.炉膛为耐高温材料，配全预混式节能炉头；</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4.炉灶噪音在≤65分贝，热效率达到国家I级标准，干烟气中CO(a=1)环境排放标准0.02%以下；</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5.配高频电子点火及熄火保护装置，燃气泄漏报警。</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847725" cy="647700"/>
                  <wp:effectExtent l="0" t="0" r="0" b="0"/>
                  <wp:docPr id="248" name="图片 37"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7" descr="IMG_274"/>
                          <pic:cNvPicPr>
                            <a:picLocks noChangeAspect="1"/>
                          </pic:cNvPicPr>
                        </pic:nvPicPr>
                        <pic:blipFill>
                          <a:blip r:embed="rId160"/>
                          <a:stretch>
                            <a:fillRect/>
                          </a:stretch>
                        </pic:blipFill>
                        <pic:spPr>
                          <a:xfrm>
                            <a:off x="0" y="0"/>
                            <a:ext cx="847725" cy="6477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18</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中餐燃气炒菜灶</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1.参考规格：1800*1200*800mm；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2.采用304不锈钢板制作,面板厚≥1.2mm，其它厚≥1.0mm,底板厚≥0.8mm，后背宽度100mm；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3.炉膛为耐高温材料，配全预混式节能炉头；</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4.炉灶噪音≤65分贝，热效率达到国家I级标准，干烟气中CO(a=1)环境排放标准0.02%以下；</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5.配高频电子点火及熄火保护装置，燃气泄漏报警。</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1104900" cy="762000"/>
                  <wp:effectExtent l="0" t="0" r="0" b="0"/>
                  <wp:docPr id="249" name="图片 3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8" descr="IMG_275"/>
                          <pic:cNvPicPr>
                            <a:picLocks noChangeAspect="1"/>
                          </pic:cNvPicPr>
                        </pic:nvPicPr>
                        <pic:blipFill>
                          <a:blip r:embed="rId161"/>
                          <a:stretch>
                            <a:fillRect/>
                          </a:stretch>
                        </pic:blipFill>
                        <pic:spPr>
                          <a:xfrm>
                            <a:off x="0" y="0"/>
                            <a:ext cx="1104900" cy="762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19</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双门双控智能电蒸饭箱</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：1200*850*1550mm；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2.板材采用304不锈钢制作，上层（箱）外壳厚≥1.0mm，内桶厚≥0.8mm，水胆炉膛厚≥1.0mm，门外板厚≥1.0mm，门内板厚≥0.8mm；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3.内置2*14蒸饭格（可放置2*14个蒸饭盘）；</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4.304不锈钢电热管加热，配自动进水装置，缺水保护装置；</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5.配微电脑控制面板，数字显示定时定温；</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6.密封条采用食品级硅胶条；</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7.门采用不锈钢双把手；</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8.电热管连接线采用国标耐高温线；</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9.配泄压阀，配304不锈钢饭盘24个、饭铲1把；</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10.电压/功率：380V/12KW*2门。</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561975" cy="781050"/>
                  <wp:effectExtent l="0" t="0" r="0" b="0"/>
                  <wp:docPr id="250" name="图片 3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9" descr="IMG_276"/>
                          <pic:cNvPicPr>
                            <a:picLocks noChangeAspect="1"/>
                          </pic:cNvPicPr>
                        </pic:nvPicPr>
                        <pic:blipFill>
                          <a:blip r:embed="rId162"/>
                          <a:stretch>
                            <a:fillRect/>
                          </a:stretch>
                        </pic:blipFill>
                        <pic:spPr>
                          <a:xfrm>
                            <a:off x="0" y="0"/>
                            <a:ext cx="561975" cy="7810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0</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单星大水池2</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1.参考规格：900*800*800mm；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2.采用304不锈钢板制作，面板、斗厚≥1.0mm；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3.可调子弹脚，厚≥1.0mm，配落水器及栏渣片。</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838200" cy="571500"/>
                  <wp:effectExtent l="0" t="0" r="0" b="0"/>
                  <wp:docPr id="251" name="图片 4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0" descr="IMG_277"/>
                          <pic:cNvPicPr>
                            <a:picLocks noChangeAspect="1"/>
                          </pic:cNvPicPr>
                        </pic:nvPicPr>
                        <pic:blipFill>
                          <a:blip r:embed="rId163"/>
                          <a:stretch>
                            <a:fillRect/>
                          </a:stretch>
                        </pic:blipFill>
                        <pic:spPr>
                          <a:xfrm>
                            <a:off x="0" y="0"/>
                            <a:ext cx="838200" cy="571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1</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商用平冷冰箱(冷藏型）</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1.参考规格（约）：1800*800*800mm；</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2.使用固态过滤器，产品能在43℃的环境温度下正常工作；</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3.电子控制器、电子显示器；</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4.整机及台面采用一体式发泡工艺，整体平整；</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5.配备门体自动关闭结构；</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6.门体内衬板、内箱、外箱为不锈钢材质；</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7.冷藏温度：0℃～5℃；</w:t>
            </w:r>
          </w:p>
          <w:p>
            <w:pPr>
              <w:widowControl/>
              <w:adjustRightInd/>
              <w:spacing w:line="240" w:lineRule="auto"/>
              <w:jc w:val="left"/>
              <w:rPr>
                <w:rFonts w:hint="eastAsia" w:ascii="宋体" w:hAnsi="宋体" w:eastAsia="宋体" w:cs="宋体"/>
                <w:strike w:val="0"/>
                <w:dstrike w:val="0"/>
                <w:color w:val="auto"/>
                <w:sz w:val="21"/>
                <w:szCs w:val="21"/>
                <w:highlight w:val="none"/>
              </w:rPr>
            </w:pPr>
            <w:r>
              <w:rPr>
                <w:rFonts w:hint="eastAsia" w:ascii="宋体" w:hAnsi="宋体" w:eastAsia="宋体" w:cs="宋体"/>
                <w:strike w:val="0"/>
                <w:dstrike w:val="0"/>
                <w:color w:val="auto"/>
                <w:kern w:val="0"/>
                <w:sz w:val="21"/>
                <w:szCs w:val="21"/>
                <w:highlight w:val="none"/>
                <w:lang w:bidi="ar"/>
              </w:rPr>
              <w:t>8.容量：≥440L</w:t>
            </w:r>
            <w:r>
              <w:rPr>
                <w:rFonts w:hint="eastAsia" w:ascii="宋体" w:hAnsi="宋体" w:eastAsia="宋体" w:cs="宋体"/>
                <w:strike w:val="0"/>
                <w:dstrike w:val="0"/>
                <w:color w:val="auto"/>
                <w:kern w:val="0"/>
                <w:sz w:val="21"/>
                <w:szCs w:val="21"/>
                <w:highlight w:val="none"/>
                <w:lang w:eastAsia="zh-CN" w:bidi="ar"/>
              </w:rPr>
              <w:t>。</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38175" cy="447675"/>
                  <wp:effectExtent l="0" t="0" r="0" b="0"/>
                  <wp:docPr id="252" name="图片 41"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1" descr="IMG_278"/>
                          <pic:cNvPicPr>
                            <a:picLocks noChangeAspect="1"/>
                          </pic:cNvPicPr>
                        </pic:nvPicPr>
                        <pic:blipFill>
                          <a:blip r:embed="rId164"/>
                          <a:stretch>
                            <a:fillRect/>
                          </a:stretch>
                        </pic:blipFill>
                        <pic:spPr>
                          <a:xfrm>
                            <a:off x="0" y="0"/>
                            <a:ext cx="638175" cy="447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2</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移门调理台</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1.参考规格：1800*800*800mm；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2.采用304不锈钢板制作，面板厚≥1.0mm，门板、层板、底板厚≥1.0mm。</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857250" cy="600075"/>
                  <wp:effectExtent l="0" t="0" r="0" b="0"/>
                  <wp:docPr id="253" name="图片 4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2" descr="IMG_279"/>
                          <pic:cNvPicPr>
                            <a:picLocks noChangeAspect="1"/>
                          </pic:cNvPicPr>
                        </pic:nvPicPr>
                        <pic:blipFill>
                          <a:blip r:embed="rId165"/>
                          <a:stretch>
                            <a:fillRect/>
                          </a:stretch>
                        </pic:blipFill>
                        <pic:spPr>
                          <a:xfrm>
                            <a:off x="0" y="0"/>
                            <a:ext cx="857250" cy="6000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3</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双层工作台2</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张</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1.参考规格：1200*800*800mm；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3.脚管采用不锈钢管，厚≥1.0mm。</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914400" cy="533400"/>
                  <wp:effectExtent l="0" t="0" r="0" b="0"/>
                  <wp:docPr id="254" name="图片 4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3" descr="IMG_280"/>
                          <pic:cNvPicPr>
                            <a:picLocks noChangeAspect="1"/>
                          </pic:cNvPicPr>
                        </pic:nvPicPr>
                        <pic:blipFill>
                          <a:blip r:embed="rId157"/>
                          <a:stretch>
                            <a:fillRect/>
                          </a:stretch>
                        </pic:blipFill>
                        <pic:spPr>
                          <a:xfrm>
                            <a:off x="0" y="0"/>
                            <a:ext cx="914400" cy="533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4</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单星洗手水池</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1.参考规格：450*400*250mm；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2.采用304不锈钢板制作，面板、斗厚≥1.0mm；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3.可调子弹脚厚≥1.0mm，配落水器及栏渣片。</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19125" cy="466725"/>
                  <wp:effectExtent l="0" t="0" r="0" b="0"/>
                  <wp:docPr id="255" name="图片 4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4" descr="IMG_281"/>
                          <pic:cNvPicPr>
                            <a:picLocks noChangeAspect="1"/>
                          </pic:cNvPicPr>
                        </pic:nvPicPr>
                        <pic:blipFill>
                          <a:blip r:embed="rId166"/>
                          <a:stretch>
                            <a:fillRect/>
                          </a:stretch>
                        </pic:blipFill>
                        <pic:spPr>
                          <a:xfrm>
                            <a:off x="0" y="0"/>
                            <a:ext cx="619125" cy="4667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5</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感应龙头2</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1.工作电压：220V 50/60HZ；</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2.工作水压：0.1-0.6MPa；</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3.可接冷热混水，出水温度可调；</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4.台式安装黄铜铸造水嘴，表面镀铬处理；</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5.接水口口径为1/2"外螺纹；</w:t>
            </w:r>
          </w:p>
          <w:p>
            <w:pPr>
              <w:widowControl/>
              <w:adjustRightInd/>
              <w:spacing w:line="240" w:lineRule="auto"/>
              <w:jc w:val="left"/>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bidi="ar"/>
              </w:rPr>
              <w:t>6.产品符合CJ/T 194-2014、GB 25501-2019标准要求</w:t>
            </w:r>
            <w:r>
              <w:rPr>
                <w:rFonts w:hint="eastAsia" w:ascii="宋体" w:hAnsi="宋体" w:cs="宋体"/>
                <w:color w:val="auto"/>
                <w:kern w:val="0"/>
                <w:sz w:val="21"/>
                <w:szCs w:val="21"/>
                <w:highlight w:val="none"/>
                <w:lang w:eastAsia="zh-CN" w:bidi="ar"/>
              </w:rPr>
              <w:t>；</w:t>
            </w:r>
          </w:p>
          <w:p>
            <w:pPr>
              <w:pStyle w:val="2"/>
              <w:spacing w:line="240" w:lineRule="auto"/>
              <w:rPr>
                <w:rFonts w:hint="eastAsia" w:ascii="宋体" w:hAnsi="宋体" w:eastAsia="宋体" w:cs="宋体"/>
                <w:color w:val="auto"/>
                <w:sz w:val="21"/>
                <w:szCs w:val="21"/>
                <w:highlight w:val="none"/>
                <w:lang w:val="en-US" w:bidi="ar"/>
              </w:rPr>
            </w:pPr>
            <w:r>
              <w:rPr>
                <w:rFonts w:hint="eastAsia" w:ascii="宋体" w:hAnsi="宋体" w:eastAsia="宋体" w:cs="宋体"/>
                <w:b/>
                <w:bCs/>
                <w:color w:val="auto"/>
                <w:kern w:val="0"/>
                <w:sz w:val="21"/>
                <w:szCs w:val="21"/>
                <w:highlight w:val="none"/>
                <w:lang w:bidi="ar"/>
              </w:rPr>
              <w:t>▲</w:t>
            </w:r>
            <w:r>
              <w:rPr>
                <w:rFonts w:hint="eastAsia" w:hAnsi="宋体" w:cs="宋体"/>
                <w:b/>
                <w:bCs/>
                <w:color w:val="auto"/>
                <w:kern w:val="0"/>
                <w:sz w:val="21"/>
                <w:szCs w:val="21"/>
                <w:highlight w:val="none"/>
                <w:lang w:val="en-US" w:eastAsia="zh-CN" w:bidi="ar"/>
              </w:rPr>
              <w:t>7.</w:t>
            </w:r>
            <w:r>
              <w:rPr>
                <w:rFonts w:hint="eastAsia" w:ascii="宋体" w:hAnsi="宋体" w:eastAsia="宋体" w:cs="宋体"/>
                <w:b/>
                <w:bCs/>
                <w:color w:val="auto"/>
                <w:kern w:val="0"/>
                <w:sz w:val="21"/>
                <w:szCs w:val="21"/>
                <w:highlight w:val="none"/>
                <w:lang w:bidi="ar"/>
              </w:rPr>
              <w:t>提供有效的节能产品认证证书扫描件。</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drawing>
                <wp:inline distT="0" distB="0" distL="114300" distR="114300">
                  <wp:extent cx="523875" cy="400050"/>
                  <wp:effectExtent l="0" t="0" r="0" b="0"/>
                  <wp:docPr id="256" name="图片 4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5" descr="IMG_282"/>
                          <pic:cNvPicPr>
                            <a:picLocks noChangeAspect="1"/>
                          </pic:cNvPicPr>
                        </pic:nvPicPr>
                        <pic:blipFill>
                          <a:blip r:embed="rId167"/>
                          <a:stretch>
                            <a:fillRect/>
                          </a:stretch>
                        </pic:blipFill>
                        <pic:spPr>
                          <a:xfrm>
                            <a:off x="0" y="0"/>
                            <a:ext cx="523875" cy="4000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6</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干手机</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1.ABS工程塑料材质；</w:t>
            </w:r>
          </w:p>
          <w:p>
            <w:pPr>
              <w:widowControl/>
              <w:adjustRightInd/>
              <w:spacing w:line="240" w:lineRule="auto"/>
              <w:jc w:val="left"/>
              <w:rPr>
                <w:rFonts w:hint="eastAsia" w:ascii="宋体" w:hAnsi="宋体" w:eastAsia="宋体" w:cs="宋体"/>
                <w:strike w:val="0"/>
                <w:dstrike w:val="0"/>
                <w:color w:val="auto"/>
                <w:kern w:val="0"/>
                <w:sz w:val="21"/>
                <w:szCs w:val="21"/>
                <w:highlight w:val="none"/>
                <w:lang w:bidi="ar"/>
              </w:rPr>
            </w:pPr>
            <w:r>
              <w:rPr>
                <w:rFonts w:hint="eastAsia" w:ascii="宋体" w:hAnsi="宋体" w:eastAsia="宋体" w:cs="宋体"/>
                <w:strike w:val="0"/>
                <w:dstrike w:val="0"/>
                <w:color w:val="auto"/>
                <w:kern w:val="0"/>
                <w:sz w:val="21"/>
                <w:szCs w:val="21"/>
                <w:highlight w:val="none"/>
                <w:lang w:bidi="ar"/>
              </w:rPr>
              <w:t>2.风速：≥90m/s；</w:t>
            </w:r>
          </w:p>
          <w:p>
            <w:pPr>
              <w:widowControl/>
              <w:adjustRightInd/>
              <w:spacing w:line="240" w:lineRule="auto"/>
              <w:jc w:val="left"/>
              <w:rPr>
                <w:rFonts w:hint="eastAsia" w:ascii="宋体" w:hAnsi="宋体" w:eastAsia="宋体" w:cs="宋体"/>
                <w:strike w:val="0"/>
                <w:dstrike w:val="0"/>
                <w:color w:val="auto"/>
                <w:sz w:val="21"/>
                <w:szCs w:val="21"/>
                <w:highlight w:val="none"/>
                <w:lang w:eastAsia="zh-CN"/>
              </w:rPr>
            </w:pPr>
            <w:r>
              <w:rPr>
                <w:rFonts w:hint="eastAsia" w:ascii="宋体" w:hAnsi="宋体" w:eastAsia="宋体" w:cs="宋体"/>
                <w:strike w:val="0"/>
                <w:dstrike w:val="0"/>
                <w:color w:val="auto"/>
                <w:kern w:val="0"/>
                <w:sz w:val="21"/>
                <w:szCs w:val="21"/>
                <w:highlight w:val="none"/>
                <w:lang w:bidi="ar"/>
              </w:rPr>
              <w:t>3.干手时间：≤10s</w:t>
            </w:r>
            <w:r>
              <w:rPr>
                <w:rFonts w:hint="eastAsia" w:ascii="宋体" w:hAnsi="宋体" w:eastAsia="宋体" w:cs="宋体"/>
                <w:strike w:val="0"/>
                <w:dstrike w:val="0"/>
                <w:color w:val="auto"/>
                <w:kern w:val="0"/>
                <w:sz w:val="21"/>
                <w:szCs w:val="21"/>
                <w:highlight w:val="none"/>
                <w:lang w:eastAsia="zh-CN" w:bidi="ar"/>
              </w:rPr>
              <w:t>。</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561975" cy="495300"/>
                  <wp:effectExtent l="0" t="0" r="0" b="0"/>
                  <wp:docPr id="257" name="图片 4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6" descr="IMG_283"/>
                          <pic:cNvPicPr>
                            <a:picLocks noChangeAspect="1"/>
                          </pic:cNvPicPr>
                        </pic:nvPicPr>
                        <pic:blipFill>
                          <a:blip r:embed="rId168"/>
                          <a:stretch>
                            <a:fillRect/>
                          </a:stretch>
                        </pic:blipFill>
                        <pic:spPr>
                          <a:xfrm>
                            <a:off x="0" y="0"/>
                            <a:ext cx="561975" cy="4953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7</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挂衣架</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1.参考规格：L=1000mm；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2.采用304不锈钢板制作，厚≥1.0mm。</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drawing>
                <wp:inline distT="0" distB="0" distL="114300" distR="114300">
                  <wp:extent cx="1076325" cy="409575"/>
                  <wp:effectExtent l="0" t="0" r="0" b="0"/>
                  <wp:docPr id="258" name="图片 47"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7" descr="IMG_284"/>
                          <pic:cNvPicPr>
                            <a:picLocks noChangeAspect="1"/>
                          </pic:cNvPicPr>
                        </pic:nvPicPr>
                        <pic:blipFill>
                          <a:blip r:embed="rId169"/>
                          <a:stretch>
                            <a:fillRect/>
                          </a:stretch>
                        </pic:blipFill>
                        <pic:spPr>
                          <a:xfrm>
                            <a:off x="0" y="0"/>
                            <a:ext cx="1076325" cy="409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28</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杀菌灯</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组</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1.灯管采用30w紫外线杀菌灯管；</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2.覆盖面积≥30m</w:t>
            </w:r>
            <w:r>
              <w:rPr>
                <w:rFonts w:hint="eastAsia" w:ascii="宋体" w:hAnsi="宋体" w:eastAsia="宋体" w:cs="宋体"/>
                <w:color w:val="auto"/>
                <w:kern w:val="0"/>
                <w:sz w:val="21"/>
                <w:szCs w:val="21"/>
                <w:highlight w:val="none"/>
                <w:vertAlign w:val="superscript"/>
                <w:lang w:bidi="ar"/>
              </w:rPr>
              <w:t>2</w:t>
            </w:r>
            <w:r>
              <w:rPr>
                <w:rFonts w:hint="eastAsia" w:ascii="宋体" w:hAnsi="宋体" w:eastAsia="宋体" w:cs="宋体"/>
                <w:color w:val="auto"/>
                <w:kern w:val="0"/>
                <w:sz w:val="21"/>
                <w:szCs w:val="21"/>
                <w:highlight w:val="none"/>
                <w:lang w:bidi="ar"/>
              </w:rPr>
              <w:t>；</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3.灯管采用石英玻璃；</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4.采用铝合金支架；</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5.绝缘灯架头；</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6.功率/电压：约30W/220V。</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733425" cy="190500"/>
                  <wp:effectExtent l="0" t="0" r="0" b="0"/>
                  <wp:docPr id="259" name="图片 48"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48" descr="IMG_285"/>
                          <pic:cNvPicPr>
                            <a:picLocks noChangeAspect="1"/>
                          </pic:cNvPicPr>
                        </pic:nvPicPr>
                        <pic:blipFill>
                          <a:blip r:embed="rId170"/>
                          <a:stretch>
                            <a:fillRect/>
                          </a:stretch>
                        </pic:blipFill>
                        <pic:spPr>
                          <a:xfrm>
                            <a:off x="0" y="0"/>
                            <a:ext cx="733425" cy="190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29</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双层工作台3</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张</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1.参考规格：1800*650*800mm；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3.脚管采用不锈钢管，厚≥1.0mm。</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914400" cy="533400"/>
                  <wp:effectExtent l="0" t="0" r="0" b="0"/>
                  <wp:docPr id="260" name="图片 49"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9" descr="IMG_286"/>
                          <pic:cNvPicPr>
                            <a:picLocks noChangeAspect="1"/>
                          </pic:cNvPicPr>
                        </pic:nvPicPr>
                        <pic:blipFill>
                          <a:blip r:embed="rId157"/>
                          <a:stretch>
                            <a:fillRect/>
                          </a:stretch>
                        </pic:blipFill>
                        <pic:spPr>
                          <a:xfrm>
                            <a:off x="0" y="0"/>
                            <a:ext cx="914400" cy="533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0</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双层工作台4</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张</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1.参考规格：600*650*800mm；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3.脚管采用不锈钢管，厚≥1.0mm。</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914400" cy="533400"/>
                  <wp:effectExtent l="0" t="0" r="0" b="0"/>
                  <wp:docPr id="261" name="图片 50"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50" descr="IMG_287"/>
                          <pic:cNvPicPr>
                            <a:picLocks noChangeAspect="1"/>
                          </pic:cNvPicPr>
                        </pic:nvPicPr>
                        <pic:blipFill>
                          <a:blip r:embed="rId157"/>
                          <a:stretch>
                            <a:fillRect/>
                          </a:stretch>
                        </pic:blipFill>
                        <pic:spPr>
                          <a:xfrm>
                            <a:off x="0" y="0"/>
                            <a:ext cx="914400" cy="533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1</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单星水池</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1.参考规格：600*650*800mm；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2.采用304不锈钢板制作，面板、斗厚≥1.0mm；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3.可调子弹脚厚≥1.0mm，配落水器及栏渣片。</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542925" cy="647700"/>
                  <wp:effectExtent l="0" t="0" r="0" b="0"/>
                  <wp:docPr id="262" name="图片 51"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51" descr="IMG_288"/>
                          <pic:cNvPicPr>
                            <a:picLocks noChangeAspect="1"/>
                          </pic:cNvPicPr>
                        </pic:nvPicPr>
                        <pic:blipFill>
                          <a:blip r:embed="rId171"/>
                          <a:stretch>
                            <a:fillRect/>
                          </a:stretch>
                        </pic:blipFill>
                        <pic:spPr>
                          <a:xfrm>
                            <a:off x="0" y="0"/>
                            <a:ext cx="542925" cy="6477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2</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留样冰箱4</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：430*480*650mm；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2.温度：2℃~8℃；</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3.功率：220V/85W。</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704850" cy="790575"/>
                  <wp:effectExtent l="0" t="0" r="0" b="0"/>
                  <wp:docPr id="263" name="图片 52"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52" descr="IMG_289"/>
                          <pic:cNvPicPr>
                            <a:picLocks noChangeAspect="1"/>
                          </pic:cNvPicPr>
                        </pic:nvPicPr>
                        <pic:blipFill>
                          <a:blip r:embed="rId172"/>
                          <a:stretch>
                            <a:fillRect/>
                          </a:stretch>
                        </pic:blipFill>
                        <pic:spPr>
                          <a:xfrm>
                            <a:off x="0" y="0"/>
                            <a:ext cx="704850" cy="790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3</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双星水池2</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1.参考规格：1500*700*800mm；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2.采用304不锈钢板制作，面板、斗厚≥1.0mm；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3.可调子弹脚厚≥1.0mm，配落水器及栏渣片。</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857250" cy="638175"/>
                  <wp:effectExtent l="0" t="0" r="0" b="0"/>
                  <wp:docPr id="264" name="图片 53"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53" descr="IMG_290"/>
                          <pic:cNvPicPr>
                            <a:picLocks noChangeAspect="1"/>
                          </pic:cNvPicPr>
                        </pic:nvPicPr>
                        <pic:blipFill>
                          <a:blip r:embed="rId153"/>
                          <a:stretch>
                            <a:fillRect/>
                          </a:stretch>
                        </pic:blipFill>
                        <pic:spPr>
                          <a:xfrm>
                            <a:off x="0" y="0"/>
                            <a:ext cx="857250" cy="6381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4</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残菜回收台2</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套</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1.参考规格：900*700*800mm；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2.采用304不锈钢板制作，台面厚≥1.0mm；加强筋厚≥1.0mm；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3.垃圾桶车脚轮：4-5寸聚氨酯静音万向脚轮带刹车；</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4.下配垃圾桶1个。</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95325" cy="733425"/>
                  <wp:effectExtent l="0" t="0" r="0" b="0"/>
                  <wp:docPr id="265" name="图片 54"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54" descr="IMG_291"/>
                          <pic:cNvPicPr>
                            <a:picLocks noChangeAspect="1"/>
                          </pic:cNvPicPr>
                        </pic:nvPicPr>
                        <pic:blipFill>
                          <a:blip r:embed="rId149"/>
                          <a:stretch>
                            <a:fillRect/>
                          </a:stretch>
                        </pic:blipFill>
                        <pic:spPr>
                          <a:xfrm>
                            <a:off x="0" y="0"/>
                            <a:ext cx="695325" cy="7334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5</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开水器（连底座）</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1.底座采用304不锈钢板制作，底座面厚≥1.2mm；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2.配落水器；</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3.功率/电压：12KW/380V；</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4.水箱容积：≥80L。</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523875" cy="771525"/>
                  <wp:effectExtent l="0" t="0" r="0" b="0"/>
                  <wp:docPr id="266" name="图片 55"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55" descr="IMG_292"/>
                          <pic:cNvPicPr>
                            <a:picLocks noChangeAspect="1"/>
                          </pic:cNvPicPr>
                        </pic:nvPicPr>
                        <pic:blipFill>
                          <a:blip r:embed="rId173"/>
                          <a:stretch>
                            <a:fillRect/>
                          </a:stretch>
                        </pic:blipFill>
                        <pic:spPr>
                          <a:xfrm>
                            <a:off x="0" y="0"/>
                            <a:ext cx="523875" cy="7715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6</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挂墙双层架2</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1.参考规格：2400*300*600mm；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2.采用304不锈钢板制作，面板厚≥1.0mm，下层板厚≥1.0mm，加强筋厚≥1.0mm不锈钢板；</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3.脚管采用φ38mm*0.8mm不锈钢管。</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733425" cy="676275"/>
                  <wp:effectExtent l="0" t="0" r="0" b="0"/>
                  <wp:docPr id="267" name="图片 56"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56" descr="IMG_293"/>
                          <pic:cNvPicPr>
                            <a:picLocks noChangeAspect="1"/>
                          </pic:cNvPicPr>
                        </pic:nvPicPr>
                        <pic:blipFill>
                          <a:blip r:embed="rId155"/>
                          <a:stretch>
                            <a:fillRect/>
                          </a:stretch>
                        </pic:blipFill>
                        <pic:spPr>
                          <a:xfrm>
                            <a:off x="0" y="0"/>
                            <a:ext cx="733425" cy="6762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7</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双层工作台5</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张</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1.参考规格：1500*750*800mm；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2.采用304不锈钢板制作，面板厚≥1.0mm；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3.脚管采用厚≥1.0mm不锈钢管。</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838200" cy="561975"/>
                  <wp:effectExtent l="0" t="0" r="0" b="0"/>
                  <wp:docPr id="268" name="图片 57"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57" descr="IMG_294"/>
                          <pic:cNvPicPr>
                            <a:picLocks noChangeAspect="1"/>
                          </pic:cNvPicPr>
                        </pic:nvPicPr>
                        <pic:blipFill>
                          <a:blip r:embed="rId174"/>
                          <a:stretch>
                            <a:fillRect/>
                          </a:stretch>
                        </pic:blipFill>
                        <pic:spPr>
                          <a:xfrm>
                            <a:off x="0" y="0"/>
                            <a:ext cx="838200" cy="5619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38</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双门热风循环消毒柜6</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：1310*640*1880mm；</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2.内外箱均为优质不锈钢板；</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3.采用耐高温风机、304不锈钢加热管（表面二次电镀防护）及微电脑控制板；</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4.柜内配备不锈钢网篮，网框为不锈钢材质，表面二次镀镍防锈；</w:t>
            </w:r>
          </w:p>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5.内箱板材厚≥0.7mm，外箱板材厚≥0.8mm；</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6.外箱顶部及外箱后背板使用环保无锌花表面钝化镀锌板。</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552450" cy="714375"/>
                  <wp:effectExtent l="0" t="0" r="0" b="0"/>
                  <wp:docPr id="269" name="图片 58"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58" descr="IMG_295"/>
                          <pic:cNvPicPr>
                            <a:picLocks noChangeAspect="1"/>
                          </pic:cNvPicPr>
                        </pic:nvPicPr>
                        <pic:blipFill>
                          <a:blip r:embed="rId175"/>
                          <a:stretch>
                            <a:fillRect/>
                          </a:stretch>
                        </pic:blipFill>
                        <pic:spPr>
                          <a:xfrm>
                            <a:off x="0" y="0"/>
                            <a:ext cx="552450" cy="7143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39</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三角阀</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34</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个</w:t>
            </w:r>
          </w:p>
        </w:tc>
        <w:tc>
          <w:tcPr>
            <w:tcW w:w="6945" w:type="dxa"/>
            <w:vAlign w:val="center"/>
          </w:tcPr>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加长柄</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552450" cy="419100"/>
                  <wp:effectExtent l="0" t="0" r="0" b="0"/>
                  <wp:docPr id="270" name="图片 59"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9" descr="IMG_296"/>
                          <pic:cNvPicPr>
                            <a:picLocks noChangeAspect="1"/>
                          </pic:cNvPicPr>
                        </pic:nvPicPr>
                        <pic:blipFill>
                          <a:blip r:embed="rId176"/>
                          <a:stretch>
                            <a:fillRect/>
                          </a:stretch>
                        </pic:blipFill>
                        <pic:spPr>
                          <a:xfrm>
                            <a:off x="0" y="0"/>
                            <a:ext cx="552450" cy="4191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0</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进水软管</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34</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根</w:t>
            </w:r>
          </w:p>
        </w:tc>
        <w:tc>
          <w:tcPr>
            <w:tcW w:w="6945" w:type="dxa"/>
            <w:vAlign w:val="center"/>
          </w:tcPr>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双温</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476250" cy="457200"/>
                  <wp:effectExtent l="0" t="0" r="0" b="0"/>
                  <wp:docPr id="271" name="图片 6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60" descr="IMG_297"/>
                          <pic:cNvPicPr>
                            <a:picLocks noChangeAspect="1"/>
                          </pic:cNvPicPr>
                        </pic:nvPicPr>
                        <pic:blipFill>
                          <a:blip r:embed="rId177"/>
                          <a:stretch>
                            <a:fillRect/>
                          </a:stretch>
                        </pic:blipFill>
                        <pic:spPr>
                          <a:xfrm>
                            <a:off x="0" y="0"/>
                            <a:ext cx="476250" cy="4572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1</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诱捕式灭蝇灯</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1.覆盖面积≥80㎡；</w:t>
            </w:r>
          </w:p>
          <w:p>
            <w:pPr>
              <w:widowControl/>
              <w:adjustRightInd/>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2.双面粘板在使用过程能保持完全敞开，通过粘捕纸粘黏蚊蝇；</w:t>
            </w:r>
          </w:p>
          <w:p>
            <w:pPr>
              <w:widowControl/>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3.功率/电压：20W/220V；</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09600" cy="457200"/>
                  <wp:effectExtent l="0" t="0" r="0" b="0"/>
                  <wp:docPr id="272" name="图片 61"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61" descr="IMG_298"/>
                          <pic:cNvPicPr>
                            <a:picLocks noChangeAspect="1"/>
                          </pic:cNvPicPr>
                        </pic:nvPicPr>
                        <pic:blipFill>
                          <a:blip r:embed="rId178"/>
                          <a:stretch>
                            <a:fillRect/>
                          </a:stretch>
                        </pic:blipFill>
                        <pic:spPr>
                          <a:xfrm>
                            <a:off x="0" y="0"/>
                            <a:ext cx="609600" cy="4572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2</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风幕机4</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1.参考规格：L＝1000—1500mm</w:t>
            </w:r>
            <w:r>
              <w:rPr>
                <w:rFonts w:hint="eastAsia" w:ascii="宋体" w:hAnsi="宋体" w:eastAsia="宋体" w:cs="宋体"/>
                <w:color w:val="auto"/>
                <w:sz w:val="21"/>
                <w:szCs w:val="21"/>
                <w:highlight w:val="none"/>
              </w:rPr>
              <w:t>；</w:t>
            </w:r>
          </w:p>
          <w:p>
            <w:pPr>
              <w:adjustRightInd/>
              <w:snapToGrid w:val="0"/>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2.风速：≥8m/s；</w:t>
            </w:r>
          </w:p>
          <w:p>
            <w:pPr>
              <w:adjustRightInd/>
              <w:snapToGrid w:val="0"/>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3.风量：≥1380 m³/h；</w:t>
            </w:r>
          </w:p>
          <w:p>
            <w:pPr>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4.噪音：≤50分贝。</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781050" cy="609600"/>
                  <wp:effectExtent l="0" t="0" r="0" b="0"/>
                  <wp:docPr id="273" name="图片 62"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62" descr="IMG_299"/>
                          <pic:cNvPicPr>
                            <a:picLocks noChangeAspect="1"/>
                          </pic:cNvPicPr>
                        </pic:nvPicPr>
                        <pic:blipFill>
                          <a:blip r:embed="rId179"/>
                          <a:stretch>
                            <a:fillRect/>
                          </a:stretch>
                        </pic:blipFill>
                        <pic:spPr>
                          <a:xfrm>
                            <a:off x="0" y="0"/>
                            <a:ext cx="781050" cy="6096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7"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3</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油烟一体机</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1.参考规格</w:t>
            </w:r>
            <w:r>
              <w:rPr>
                <w:rFonts w:hint="eastAsia" w:ascii="宋体" w:hAnsi="宋体" w:eastAsia="宋体" w:cs="宋体"/>
                <w:color w:val="auto"/>
                <w:kern w:val="0"/>
                <w:sz w:val="21"/>
                <w:szCs w:val="21"/>
                <w:highlight w:val="none"/>
                <w:lang w:bidi="ar"/>
              </w:rPr>
              <w:t>（约）</w:t>
            </w:r>
            <w:r>
              <w:rPr>
                <w:rFonts w:hint="eastAsia" w:ascii="宋体" w:hAnsi="宋体" w:eastAsia="宋体" w:cs="宋体"/>
                <w:color w:val="auto"/>
                <w:kern w:val="0"/>
                <w:sz w:val="21"/>
                <w:szCs w:val="21"/>
                <w:highlight w:val="none"/>
                <w:lang w:bidi="ar"/>
              </w:rPr>
              <w:t>：2200*1300*1000mm；</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2.电源：380V，风机功率：2.2KW；</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3.外壳材质：不锈钢；</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4.配置：内置静电油烟净化单元以及自带抽风动力，带LED防爆照明灯，配不锈钢过滤网，油烟净化率：≥98%；三个出风口；</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5.电场主体采用不锈钢压模制作；</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6.电场主体绝缘子采用陶瓷绝缘子，设备高压电源输出绝缘子采用陶瓷绝缘子；</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7.设备电源为智能数字高频高压电源，内置微电脑芯片，可选自高效、延长清洗周期、安全等工作模式，高压数字电源发生器需配置有电流调节功能，并带有多项保护功能，包括软启动、电场短路保护、放电跳停功能、电源过载保护和变压器过温保护等多重保护功能，确保设备安全；</w:t>
            </w:r>
          </w:p>
          <w:p>
            <w:pPr>
              <w:widowControl/>
              <w:adjustRightInd/>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8.为有效收集油烟粒子和去除气味，每个电源能给主体电场提供高压，电压14-16KV；</w:t>
            </w:r>
          </w:p>
          <w:p>
            <w:pPr>
              <w:widowControl/>
              <w:adjustRightInd/>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9.高压电源与电场主体采用不锈钢顶针方式连接。</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1104900" cy="552450"/>
                  <wp:effectExtent l="0" t="0" r="0" b="0"/>
                  <wp:docPr id="274" name="图片 63"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63" descr="IMG_300"/>
                          <pic:cNvPicPr>
                            <a:picLocks noChangeAspect="1"/>
                          </pic:cNvPicPr>
                        </pic:nvPicPr>
                        <pic:blipFill>
                          <a:blip r:embed="rId180"/>
                          <a:stretch>
                            <a:fillRect/>
                          </a:stretch>
                        </pic:blipFill>
                        <pic:spPr>
                          <a:xfrm>
                            <a:off x="0" y="0"/>
                            <a:ext cx="1104900" cy="5524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4</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不锈钢排油烟罩连罩上封板</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2.6</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m²</w:t>
            </w:r>
          </w:p>
        </w:tc>
        <w:tc>
          <w:tcPr>
            <w:tcW w:w="6945" w:type="dxa"/>
            <w:vAlign w:val="center"/>
          </w:tcPr>
          <w:p>
            <w:pPr>
              <w:widowControl/>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1.参考规格：2000*1300*1000mm；</w:t>
            </w:r>
          </w:p>
          <w:p>
            <w:pPr>
              <w:widowControl/>
              <w:adjustRightInd/>
              <w:spacing w:line="240" w:lineRule="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2.采用304不锈钢制作，板厚≥1.0mm，板材经油膜拉丝工艺处理；</w:t>
            </w:r>
          </w:p>
          <w:p>
            <w:pPr>
              <w:widowControl/>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3.配备新风面板，新风口设置有蜂窝过滤板。烟罩设置有岗位送风口。</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85800" cy="361950"/>
                  <wp:effectExtent l="0" t="0" r="0" b="0"/>
                  <wp:docPr id="275" name="图片 64"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4" descr="IMG_301"/>
                          <pic:cNvPicPr>
                            <a:picLocks noChangeAspect="1"/>
                          </pic:cNvPicPr>
                        </pic:nvPicPr>
                        <pic:blipFill>
                          <a:blip r:embed="rId181"/>
                          <a:stretch>
                            <a:fillRect/>
                          </a:stretch>
                        </pic:blipFill>
                        <pic:spPr>
                          <a:xfrm>
                            <a:off x="0" y="0"/>
                            <a:ext cx="685800" cy="3619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5</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轴流风机3</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安装区域：蒸饭车，参考规格：4#。</w:t>
            </w:r>
          </w:p>
        </w:tc>
        <w:tc>
          <w:tcPr>
            <w:tcW w:w="1845"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485775" cy="457200"/>
                  <wp:effectExtent l="0" t="0" r="0" b="0"/>
                  <wp:docPr id="276" name="图片 65"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65" descr="IMG_302"/>
                          <pic:cNvPicPr>
                            <a:picLocks noChangeAspect="1"/>
                          </pic:cNvPicPr>
                        </pic:nvPicPr>
                        <pic:blipFill>
                          <a:blip r:embed="rId182"/>
                          <a:stretch>
                            <a:fillRect/>
                          </a:stretch>
                        </pic:blipFill>
                        <pic:spPr>
                          <a:xfrm>
                            <a:off x="0" y="0"/>
                            <a:ext cx="485775" cy="4572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6</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不锈钢排烟风管</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m</w:t>
            </w:r>
            <w:r>
              <w:rPr>
                <w:rFonts w:hint="eastAsia" w:ascii="宋体" w:hAnsi="宋体" w:eastAsia="宋体" w:cs="宋体"/>
                <w:b/>
                <w:bCs/>
                <w:color w:val="auto"/>
                <w:sz w:val="21"/>
                <w:szCs w:val="21"/>
                <w:highlight w:val="none"/>
                <w:vertAlign w:val="superscript"/>
              </w:rPr>
              <w:t>2</w:t>
            </w:r>
          </w:p>
        </w:tc>
        <w:tc>
          <w:tcPr>
            <w:tcW w:w="6945" w:type="dxa"/>
            <w:vAlign w:val="center"/>
          </w:tcPr>
          <w:p>
            <w:pPr>
              <w:adjustRightInd/>
              <w:spacing w:line="240" w:lineRule="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1.采用201不锈钢板制作，板材厚≥1.0mm；</w:t>
            </w:r>
          </w:p>
          <w:p>
            <w:pPr>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2.采用3号角钢法兰。密封垫采用阻燃材料，室内横管采用焊接工艺。</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609600" cy="514350"/>
                  <wp:effectExtent l="0" t="0" r="0" b="0"/>
                  <wp:docPr id="277" name="图片 66"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66" descr="IMG_303"/>
                          <pic:cNvPicPr>
                            <a:picLocks noChangeAspect="1"/>
                          </pic:cNvPicPr>
                        </pic:nvPicPr>
                        <pic:blipFill>
                          <a:blip r:embed="rId183"/>
                          <a:stretch>
                            <a:fillRect/>
                          </a:stretch>
                        </pic:blipFill>
                        <pic:spPr>
                          <a:xfrm>
                            <a:off x="0" y="0"/>
                            <a:ext cx="609600" cy="5143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7</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铝合金风口</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台</w:t>
            </w:r>
          </w:p>
        </w:tc>
        <w:tc>
          <w:tcPr>
            <w:tcW w:w="6945" w:type="dxa"/>
            <w:vAlign w:val="center"/>
          </w:tcPr>
          <w:p>
            <w:pPr>
              <w:widowControl/>
              <w:adjustRightInd/>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采用铝合金制作，与排烟设备配套使用。</w:t>
            </w:r>
          </w:p>
        </w:tc>
        <w:tc>
          <w:tcPr>
            <w:tcW w:w="1845" w:type="dxa"/>
            <w:vAlign w:val="center"/>
          </w:tcPr>
          <w:p>
            <w:pPr>
              <w:widowControl/>
              <w:adjustRightInd/>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1" w:type="dxa"/>
            <w:vAlign w:val="center"/>
          </w:tcPr>
          <w:p>
            <w:pPr>
              <w:adjustRightInd/>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48</w:t>
            </w:r>
          </w:p>
        </w:tc>
        <w:tc>
          <w:tcPr>
            <w:tcW w:w="3044"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灭火系统</w:t>
            </w:r>
          </w:p>
        </w:tc>
        <w:tc>
          <w:tcPr>
            <w:tcW w:w="87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780" w:type="dxa"/>
            <w:vAlign w:val="center"/>
          </w:tcPr>
          <w:p>
            <w:pPr>
              <w:adjustRightIn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套</w:t>
            </w:r>
          </w:p>
        </w:tc>
        <w:tc>
          <w:tcPr>
            <w:tcW w:w="6945" w:type="dxa"/>
            <w:vAlign w:val="center"/>
          </w:tcPr>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1.箱体采用不锈钢材质，自带≥18个高压细水雾喷嘴；</w:t>
            </w:r>
          </w:p>
          <w:p>
            <w:pPr>
              <w:widowControl/>
              <w:adjustRightInd/>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2.为环保型灭火药剂，无色、无味、无毒、无腐蚀、灭火效率快且不复燃，灭火时间：≤2s；</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3.质保期：≥6年；</w:t>
            </w:r>
          </w:p>
          <w:p>
            <w:pPr>
              <w:widowControl/>
              <w:adjustRightInd/>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4.灭火装置具备自动探测，自动实施灭火功能；也可手动紧急启动功能；</w:t>
            </w:r>
          </w:p>
          <w:p>
            <w:pPr>
              <w:widowControl/>
              <w:adjustRightInd/>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5.本装置灭火剂喷射时间≥26s，同时具备较好的抗飞溅性能，在灭火剂喷射过程中无油点飞溅。</w:t>
            </w:r>
          </w:p>
        </w:tc>
        <w:tc>
          <w:tcPr>
            <w:tcW w:w="1845" w:type="dxa"/>
            <w:vAlign w:val="center"/>
          </w:tcPr>
          <w:p>
            <w:pPr>
              <w:widowControl/>
              <w:adjustRightInd/>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inline distT="0" distB="0" distL="114300" distR="114300">
                  <wp:extent cx="955675" cy="788670"/>
                  <wp:effectExtent l="0" t="0" r="6350" b="1905"/>
                  <wp:docPr id="278" name="图片 67"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67" descr="IMG_304"/>
                          <pic:cNvPicPr>
                            <a:picLocks noChangeAspect="1"/>
                          </pic:cNvPicPr>
                        </pic:nvPicPr>
                        <pic:blipFill>
                          <a:blip r:embed="rId184"/>
                          <a:stretch>
                            <a:fillRect/>
                          </a:stretch>
                        </pic:blipFill>
                        <pic:spPr>
                          <a:xfrm>
                            <a:off x="0" y="0"/>
                            <a:ext cx="955675" cy="788670"/>
                          </a:xfrm>
                          <a:prstGeom prst="rect">
                            <a:avLst/>
                          </a:prstGeom>
                          <a:noFill/>
                          <a:ln w="9525">
                            <a:noFill/>
                          </a:ln>
                        </pic:spPr>
                      </pic:pic>
                    </a:graphicData>
                  </a:graphic>
                </wp:inline>
              </w:drawing>
            </w:r>
          </w:p>
        </w:tc>
      </w:tr>
    </w:tbl>
    <w:p>
      <w:pPr>
        <w:pStyle w:val="3"/>
        <w:rPr>
          <w:color w:val="auto"/>
          <w:highlight w:val="none"/>
          <w:lang w:val="en-US"/>
        </w:rPr>
        <w:sectPr>
          <w:pgSz w:w="16840" w:h="11907" w:orient="landscape"/>
          <w:pgMar w:top="1814" w:right="1474" w:bottom="1814" w:left="1474" w:header="851" w:footer="851" w:gutter="0"/>
          <w:cols w:space="720" w:num="1"/>
        </w:sectPr>
      </w:pPr>
    </w:p>
    <w:p>
      <w:pPr>
        <w:snapToGrid w:val="0"/>
        <w:spacing w:line="288" w:lineRule="auto"/>
        <w:jc w:val="center"/>
        <w:outlineLvl w:val="0"/>
        <w:rPr>
          <w:rFonts w:ascii="宋体" w:hAnsi="宋体" w:cs="宋体"/>
          <w:b/>
          <w:color w:val="auto"/>
          <w:szCs w:val="21"/>
          <w:highlight w:val="none"/>
        </w:rPr>
      </w:pPr>
      <w:r>
        <w:rPr>
          <w:rFonts w:hint="eastAsia" w:ascii="宋体" w:hAnsi="宋体" w:cs="宋体"/>
          <w:b/>
          <w:color w:val="auto"/>
          <w:szCs w:val="21"/>
          <w:highlight w:val="none"/>
        </w:rPr>
        <w:t xml:space="preserve">第四部分 </w:t>
      </w:r>
      <w:bookmarkStart w:id="32" w:name="_Toc184314435"/>
      <w:bookmarkEnd w:id="32"/>
      <w:bookmarkStart w:id="33" w:name="_Toc184312108"/>
      <w:bookmarkEnd w:id="33"/>
      <w:bookmarkStart w:id="34" w:name="_Toc184314473"/>
      <w:bookmarkEnd w:id="34"/>
      <w:bookmarkStart w:id="35" w:name="_Toc184308087"/>
      <w:bookmarkEnd w:id="35"/>
      <w:bookmarkStart w:id="36" w:name="_Toc184308064"/>
      <w:bookmarkEnd w:id="36"/>
      <w:bookmarkStart w:id="37" w:name="_Toc184310318"/>
      <w:bookmarkEnd w:id="37"/>
      <w:bookmarkStart w:id="38" w:name="_Toc184313290"/>
      <w:bookmarkEnd w:id="38"/>
      <w:bookmarkStart w:id="39" w:name="_Toc184314447"/>
      <w:bookmarkEnd w:id="39"/>
      <w:bookmarkStart w:id="40" w:name="_Toc184312098"/>
      <w:bookmarkEnd w:id="40"/>
      <w:bookmarkStart w:id="41" w:name="_Toc184310344"/>
      <w:bookmarkEnd w:id="41"/>
      <w:bookmarkStart w:id="42" w:name="_Toc184308055"/>
      <w:bookmarkEnd w:id="42"/>
      <w:bookmarkStart w:id="43" w:name="_Toc184314458"/>
      <w:bookmarkEnd w:id="43"/>
      <w:bookmarkStart w:id="44" w:name="_Toc184312072"/>
      <w:bookmarkEnd w:id="44"/>
      <w:bookmarkStart w:id="45" w:name="_Toc184310296"/>
      <w:bookmarkEnd w:id="45"/>
      <w:bookmarkStart w:id="46" w:name="_Toc184314442"/>
      <w:bookmarkEnd w:id="46"/>
      <w:bookmarkStart w:id="47" w:name="_Toc184310308"/>
      <w:bookmarkEnd w:id="47"/>
      <w:bookmarkStart w:id="48" w:name="_Toc184313288"/>
      <w:bookmarkEnd w:id="48"/>
      <w:bookmarkStart w:id="49" w:name="_Toc184312080"/>
      <w:bookmarkEnd w:id="49"/>
      <w:bookmarkStart w:id="50" w:name="_Toc184310323"/>
      <w:bookmarkEnd w:id="50"/>
      <w:bookmarkStart w:id="51" w:name="_Toc184314441"/>
      <w:bookmarkEnd w:id="51"/>
      <w:bookmarkStart w:id="52" w:name="_Toc184312091"/>
      <w:bookmarkEnd w:id="52"/>
      <w:bookmarkStart w:id="53" w:name="_Toc184310314"/>
      <w:bookmarkEnd w:id="53"/>
      <w:bookmarkStart w:id="54" w:name="_Toc184312097"/>
      <w:bookmarkEnd w:id="54"/>
      <w:bookmarkStart w:id="55" w:name="_Toc184314425"/>
      <w:bookmarkEnd w:id="55"/>
      <w:bookmarkStart w:id="56" w:name="_Toc184310272"/>
      <w:bookmarkEnd w:id="56"/>
      <w:bookmarkStart w:id="57" w:name="_Toc184308091"/>
      <w:bookmarkEnd w:id="57"/>
      <w:bookmarkStart w:id="58" w:name="_Toc184310301"/>
      <w:bookmarkEnd w:id="58"/>
      <w:bookmarkStart w:id="59" w:name="_Toc184312078"/>
      <w:bookmarkEnd w:id="59"/>
      <w:bookmarkStart w:id="60" w:name="_Toc184312068"/>
      <w:bookmarkEnd w:id="60"/>
      <w:bookmarkStart w:id="61" w:name="_Toc184312102"/>
      <w:bookmarkEnd w:id="61"/>
      <w:bookmarkStart w:id="62" w:name="_Toc184314427"/>
      <w:bookmarkEnd w:id="62"/>
      <w:bookmarkStart w:id="63" w:name="_Toc184308102"/>
      <w:bookmarkEnd w:id="63"/>
      <w:bookmarkStart w:id="64" w:name="_Toc184312139"/>
      <w:bookmarkEnd w:id="64"/>
      <w:bookmarkStart w:id="65" w:name="_Toc184312127"/>
      <w:bookmarkEnd w:id="65"/>
      <w:bookmarkStart w:id="66" w:name="_Toc184314453"/>
      <w:bookmarkEnd w:id="66"/>
      <w:bookmarkStart w:id="67" w:name="_Toc184308104"/>
      <w:bookmarkEnd w:id="67"/>
      <w:bookmarkStart w:id="68" w:name="_Toc184308072"/>
      <w:bookmarkEnd w:id="68"/>
      <w:bookmarkStart w:id="69" w:name="_Toc184313242"/>
      <w:bookmarkEnd w:id="69"/>
      <w:bookmarkStart w:id="70" w:name="_Toc184314450"/>
      <w:bookmarkEnd w:id="70"/>
      <w:bookmarkStart w:id="71" w:name="_Toc184308063"/>
      <w:bookmarkEnd w:id="71"/>
      <w:bookmarkStart w:id="72" w:name="_Toc184314480"/>
      <w:bookmarkEnd w:id="72"/>
      <w:bookmarkStart w:id="73" w:name="_Toc184314470"/>
      <w:bookmarkEnd w:id="73"/>
      <w:bookmarkStart w:id="74" w:name="_Toc184314434"/>
      <w:bookmarkEnd w:id="74"/>
      <w:bookmarkStart w:id="75" w:name="_Toc184308073"/>
      <w:bookmarkEnd w:id="75"/>
      <w:bookmarkStart w:id="76" w:name="_Toc184308037"/>
      <w:bookmarkEnd w:id="76"/>
      <w:bookmarkStart w:id="77" w:name="_Toc184312074"/>
      <w:bookmarkEnd w:id="77"/>
      <w:bookmarkStart w:id="78" w:name="_Toc184308059"/>
      <w:bookmarkEnd w:id="78"/>
      <w:bookmarkStart w:id="79" w:name="_Toc184314455"/>
      <w:bookmarkEnd w:id="79"/>
      <w:bookmarkStart w:id="80" w:name="_Toc184308041"/>
      <w:bookmarkEnd w:id="80"/>
      <w:bookmarkStart w:id="81" w:name="_Toc184310329"/>
      <w:bookmarkEnd w:id="81"/>
      <w:bookmarkStart w:id="82" w:name="_Toc184312113"/>
      <w:bookmarkEnd w:id="82"/>
      <w:bookmarkStart w:id="83" w:name="_Toc184308092"/>
      <w:bookmarkEnd w:id="83"/>
      <w:bookmarkStart w:id="84" w:name="_Toc184308075"/>
      <w:bookmarkEnd w:id="84"/>
      <w:bookmarkStart w:id="85" w:name="_Toc184314476"/>
      <w:bookmarkEnd w:id="85"/>
      <w:bookmarkStart w:id="86" w:name="_Toc184313298"/>
      <w:bookmarkEnd w:id="86"/>
      <w:bookmarkStart w:id="87" w:name="_Toc184314462"/>
      <w:bookmarkEnd w:id="87"/>
      <w:bookmarkStart w:id="88" w:name="_Toc184312090"/>
      <w:bookmarkEnd w:id="88"/>
      <w:bookmarkStart w:id="89" w:name="_Toc184314423"/>
      <w:bookmarkEnd w:id="89"/>
      <w:bookmarkStart w:id="90" w:name="_Toc184314432"/>
      <w:bookmarkEnd w:id="90"/>
      <w:bookmarkStart w:id="91" w:name="_Toc184314428"/>
      <w:bookmarkEnd w:id="91"/>
      <w:bookmarkStart w:id="92" w:name="_Toc184313308"/>
      <w:bookmarkEnd w:id="92"/>
      <w:bookmarkStart w:id="93" w:name="_Toc184314478"/>
      <w:bookmarkEnd w:id="93"/>
      <w:bookmarkStart w:id="94" w:name="_Toc184313239"/>
      <w:bookmarkEnd w:id="94"/>
      <w:bookmarkStart w:id="95" w:name="_Toc184314454"/>
      <w:bookmarkEnd w:id="95"/>
      <w:bookmarkStart w:id="96" w:name="_Toc184310281"/>
      <w:bookmarkEnd w:id="96"/>
      <w:bookmarkStart w:id="97" w:name="_Toc184310341"/>
      <w:bookmarkEnd w:id="97"/>
      <w:bookmarkStart w:id="98" w:name="_Toc184312137"/>
      <w:bookmarkEnd w:id="98"/>
      <w:bookmarkStart w:id="99" w:name="_Toc184313266"/>
      <w:bookmarkEnd w:id="99"/>
      <w:bookmarkStart w:id="100" w:name="_Toc184308057"/>
      <w:bookmarkEnd w:id="100"/>
      <w:bookmarkStart w:id="101" w:name="_Toc184312111"/>
      <w:bookmarkEnd w:id="101"/>
      <w:bookmarkStart w:id="102" w:name="_Toc184313249"/>
      <w:bookmarkEnd w:id="102"/>
      <w:bookmarkStart w:id="103" w:name="_Toc184313241"/>
      <w:bookmarkEnd w:id="103"/>
      <w:bookmarkStart w:id="104" w:name="_Toc184310276"/>
      <w:bookmarkEnd w:id="104"/>
      <w:bookmarkStart w:id="105" w:name="_Toc184308067"/>
      <w:bookmarkEnd w:id="105"/>
      <w:bookmarkStart w:id="106" w:name="_Toc184313278"/>
      <w:bookmarkEnd w:id="106"/>
      <w:bookmarkStart w:id="107" w:name="_Toc184310325"/>
      <w:bookmarkEnd w:id="107"/>
      <w:bookmarkStart w:id="108" w:name="_Toc184308051"/>
      <w:bookmarkEnd w:id="108"/>
      <w:bookmarkStart w:id="109" w:name="_Toc184313291"/>
      <w:bookmarkEnd w:id="109"/>
      <w:bookmarkStart w:id="110" w:name="_Toc184312129"/>
      <w:bookmarkEnd w:id="110"/>
      <w:bookmarkStart w:id="111" w:name="_Toc184310285"/>
      <w:bookmarkEnd w:id="111"/>
      <w:bookmarkStart w:id="112" w:name="_Toc184310282"/>
      <w:bookmarkEnd w:id="112"/>
      <w:bookmarkStart w:id="113" w:name="_Toc184310313"/>
      <w:bookmarkEnd w:id="113"/>
      <w:bookmarkStart w:id="114" w:name="_Toc184312124"/>
      <w:bookmarkEnd w:id="114"/>
      <w:bookmarkStart w:id="115" w:name="_Toc184312073"/>
      <w:bookmarkEnd w:id="115"/>
      <w:bookmarkStart w:id="116" w:name="_Toc184313268"/>
      <w:bookmarkEnd w:id="116"/>
      <w:bookmarkStart w:id="117" w:name="_Toc184310340"/>
      <w:bookmarkEnd w:id="117"/>
      <w:bookmarkStart w:id="118" w:name="_Toc184313279"/>
      <w:bookmarkEnd w:id="118"/>
      <w:bookmarkStart w:id="119" w:name="_Toc184312095"/>
      <w:bookmarkEnd w:id="119"/>
      <w:bookmarkStart w:id="120" w:name="_Toc184310300"/>
      <w:bookmarkEnd w:id="120"/>
      <w:bookmarkStart w:id="121" w:name="_Toc184314426"/>
      <w:bookmarkEnd w:id="121"/>
      <w:bookmarkStart w:id="122" w:name="_Toc184314436"/>
      <w:bookmarkEnd w:id="122"/>
      <w:bookmarkStart w:id="123" w:name="_Toc184314418"/>
      <w:bookmarkEnd w:id="123"/>
      <w:bookmarkStart w:id="124" w:name="_Toc184312106"/>
      <w:bookmarkEnd w:id="124"/>
      <w:bookmarkStart w:id="125" w:name="_Toc184308086"/>
      <w:bookmarkEnd w:id="125"/>
      <w:bookmarkStart w:id="126" w:name="_Toc184310275"/>
      <w:bookmarkEnd w:id="126"/>
      <w:bookmarkStart w:id="127" w:name="_Toc184308084"/>
      <w:bookmarkEnd w:id="127"/>
      <w:bookmarkStart w:id="128" w:name="_Toc184308081"/>
      <w:bookmarkEnd w:id="128"/>
      <w:bookmarkStart w:id="129" w:name="_Toc184310330"/>
      <w:bookmarkEnd w:id="129"/>
      <w:bookmarkStart w:id="130" w:name="_Toc184313309"/>
      <w:bookmarkEnd w:id="130"/>
      <w:bookmarkStart w:id="131" w:name="_Toc184310288"/>
      <w:bookmarkEnd w:id="131"/>
      <w:bookmarkStart w:id="132" w:name="_Toc184312070"/>
      <w:bookmarkEnd w:id="132"/>
      <w:bookmarkStart w:id="133" w:name="_Toc184308093"/>
      <w:bookmarkEnd w:id="133"/>
      <w:bookmarkStart w:id="134" w:name="_Toc184314471"/>
      <w:bookmarkEnd w:id="134"/>
      <w:bookmarkStart w:id="135" w:name="_Toc184313248"/>
      <w:bookmarkEnd w:id="135"/>
      <w:bookmarkStart w:id="136" w:name="_Toc184313284"/>
      <w:bookmarkEnd w:id="136"/>
      <w:bookmarkStart w:id="137" w:name="_Toc184312100"/>
      <w:bookmarkEnd w:id="137"/>
      <w:bookmarkStart w:id="138" w:name="_Toc184313270"/>
      <w:bookmarkEnd w:id="138"/>
      <w:bookmarkStart w:id="139" w:name="_Toc184314438"/>
      <w:bookmarkEnd w:id="139"/>
      <w:bookmarkStart w:id="140" w:name="_Toc184308046"/>
      <w:bookmarkEnd w:id="140"/>
      <w:bookmarkStart w:id="141" w:name="_Toc184314452"/>
      <w:bookmarkEnd w:id="141"/>
      <w:bookmarkStart w:id="142" w:name="_Toc184313280"/>
      <w:bookmarkEnd w:id="142"/>
      <w:bookmarkStart w:id="143" w:name="_Toc184313292"/>
      <w:bookmarkEnd w:id="143"/>
      <w:bookmarkStart w:id="144" w:name="_Toc184314421"/>
      <w:bookmarkEnd w:id="144"/>
      <w:bookmarkStart w:id="145" w:name="_Toc184312112"/>
      <w:bookmarkEnd w:id="145"/>
      <w:bookmarkStart w:id="146" w:name="_Toc184310312"/>
      <w:bookmarkEnd w:id="146"/>
      <w:bookmarkStart w:id="147" w:name="_Toc184314429"/>
      <w:bookmarkEnd w:id="147"/>
      <w:bookmarkStart w:id="148" w:name="_Toc184314413"/>
      <w:bookmarkEnd w:id="148"/>
      <w:bookmarkStart w:id="149" w:name="_Toc184314460"/>
      <w:bookmarkEnd w:id="149"/>
      <w:bookmarkStart w:id="150" w:name="_Toc184312103"/>
      <w:bookmarkEnd w:id="150"/>
      <w:bookmarkStart w:id="151" w:name="_Toc184313250"/>
      <w:bookmarkEnd w:id="151"/>
      <w:bookmarkStart w:id="152" w:name="_Toc184310310"/>
      <w:bookmarkEnd w:id="152"/>
      <w:bookmarkStart w:id="153" w:name="_Toc184310280"/>
      <w:bookmarkEnd w:id="153"/>
      <w:bookmarkStart w:id="154" w:name="_Toc184313243"/>
      <w:bookmarkEnd w:id="154"/>
      <w:bookmarkStart w:id="155" w:name="_Toc184314469"/>
      <w:bookmarkEnd w:id="155"/>
      <w:bookmarkStart w:id="156" w:name="_Toc184313304"/>
      <w:bookmarkEnd w:id="156"/>
      <w:bookmarkStart w:id="157" w:name="_Toc184312079"/>
      <w:bookmarkEnd w:id="157"/>
      <w:bookmarkStart w:id="158" w:name="_Toc184313305"/>
      <w:bookmarkEnd w:id="158"/>
      <w:bookmarkStart w:id="159" w:name="_Toc184314446"/>
      <w:bookmarkEnd w:id="159"/>
      <w:bookmarkStart w:id="160" w:name="_Toc184308107"/>
      <w:bookmarkEnd w:id="160"/>
      <w:bookmarkStart w:id="161" w:name="_Toc184312136"/>
      <w:bookmarkEnd w:id="161"/>
      <w:bookmarkStart w:id="162" w:name="_Toc184308097"/>
      <w:bookmarkEnd w:id="162"/>
      <w:bookmarkStart w:id="163" w:name="_Toc184314456"/>
      <w:bookmarkEnd w:id="163"/>
      <w:bookmarkStart w:id="164" w:name="_Toc184312067"/>
      <w:bookmarkEnd w:id="164"/>
      <w:bookmarkStart w:id="165" w:name="_Toc184310327"/>
      <w:bookmarkEnd w:id="165"/>
      <w:bookmarkStart w:id="166" w:name="_Toc184308058"/>
      <w:bookmarkEnd w:id="166"/>
      <w:bookmarkStart w:id="167" w:name="_Toc184310304"/>
      <w:bookmarkEnd w:id="167"/>
      <w:bookmarkStart w:id="168" w:name="_Toc184312104"/>
      <w:bookmarkEnd w:id="168"/>
      <w:bookmarkStart w:id="169" w:name="_Toc184314475"/>
      <w:bookmarkEnd w:id="169"/>
      <w:bookmarkStart w:id="170" w:name="_Toc184313307"/>
      <w:bookmarkEnd w:id="170"/>
      <w:bookmarkStart w:id="171" w:name="_Toc184313252"/>
      <w:bookmarkEnd w:id="171"/>
      <w:bookmarkStart w:id="172" w:name="_Toc184313254"/>
      <w:bookmarkEnd w:id="172"/>
      <w:bookmarkStart w:id="173" w:name="_Toc184308100"/>
      <w:bookmarkEnd w:id="173"/>
      <w:bookmarkStart w:id="174" w:name="_Toc184313295"/>
      <w:bookmarkEnd w:id="174"/>
      <w:bookmarkStart w:id="175" w:name="_Toc184308048"/>
      <w:bookmarkEnd w:id="175"/>
      <w:bookmarkStart w:id="176" w:name="_Toc184310336"/>
      <w:bookmarkEnd w:id="176"/>
      <w:bookmarkStart w:id="177" w:name="_Toc184312110"/>
      <w:bookmarkEnd w:id="177"/>
      <w:bookmarkStart w:id="178" w:name="_Toc184312138"/>
      <w:bookmarkEnd w:id="178"/>
      <w:bookmarkStart w:id="179" w:name="_Toc184314433"/>
      <w:bookmarkEnd w:id="179"/>
      <w:bookmarkStart w:id="180" w:name="_Toc184312088"/>
      <w:bookmarkEnd w:id="180"/>
      <w:bookmarkStart w:id="181" w:name="_Toc184310324"/>
      <w:bookmarkEnd w:id="181"/>
      <w:bookmarkStart w:id="182" w:name="_Toc184308099"/>
      <w:bookmarkEnd w:id="182"/>
      <w:bookmarkStart w:id="183" w:name="_Toc184308080"/>
      <w:bookmarkEnd w:id="183"/>
      <w:bookmarkStart w:id="184" w:name="_Toc184312096"/>
      <w:bookmarkEnd w:id="184"/>
      <w:bookmarkStart w:id="185" w:name="_Toc184314481"/>
      <w:bookmarkEnd w:id="185"/>
      <w:bookmarkStart w:id="186" w:name="_Toc184313286"/>
      <w:bookmarkEnd w:id="186"/>
      <w:bookmarkStart w:id="187" w:name="_Toc184312077"/>
      <w:bookmarkEnd w:id="187"/>
      <w:bookmarkStart w:id="188" w:name="_Toc184310320"/>
      <w:bookmarkEnd w:id="188"/>
      <w:bookmarkStart w:id="189" w:name="_Toc184312082"/>
      <w:bookmarkEnd w:id="189"/>
      <w:bookmarkStart w:id="190" w:name="_Toc184313251"/>
      <w:bookmarkEnd w:id="190"/>
      <w:bookmarkStart w:id="191" w:name="_Toc184312122"/>
      <w:bookmarkEnd w:id="191"/>
      <w:bookmarkStart w:id="192" w:name="_Toc184314414"/>
      <w:bookmarkEnd w:id="192"/>
      <w:bookmarkStart w:id="193" w:name="_Toc184312075"/>
      <w:bookmarkEnd w:id="193"/>
      <w:bookmarkStart w:id="194" w:name="_Toc184313269"/>
      <w:bookmarkEnd w:id="194"/>
      <w:bookmarkStart w:id="195" w:name="_Toc184308052"/>
      <w:bookmarkEnd w:id="195"/>
      <w:bookmarkStart w:id="196" w:name="_Toc184310274"/>
      <w:bookmarkEnd w:id="196"/>
      <w:bookmarkStart w:id="197" w:name="_Toc184312105"/>
      <w:bookmarkEnd w:id="197"/>
      <w:bookmarkStart w:id="198" w:name="_Toc184313296"/>
      <w:bookmarkEnd w:id="198"/>
      <w:bookmarkStart w:id="199" w:name="_Toc184313282"/>
      <w:bookmarkEnd w:id="199"/>
      <w:bookmarkStart w:id="200" w:name="_Toc184310334"/>
      <w:bookmarkEnd w:id="200"/>
      <w:bookmarkStart w:id="201" w:name="_Toc184312114"/>
      <w:bookmarkEnd w:id="201"/>
      <w:bookmarkStart w:id="202" w:name="_Toc184314466"/>
      <w:bookmarkEnd w:id="202"/>
      <w:bookmarkStart w:id="203" w:name="_Toc184312123"/>
      <w:bookmarkEnd w:id="203"/>
      <w:bookmarkStart w:id="204" w:name="_Toc184310319"/>
      <w:bookmarkEnd w:id="204"/>
      <w:bookmarkStart w:id="205" w:name="_Toc184308098"/>
      <w:bookmarkEnd w:id="205"/>
      <w:bookmarkStart w:id="206" w:name="_Toc184313240"/>
      <w:bookmarkEnd w:id="206"/>
      <w:bookmarkStart w:id="207" w:name="_Toc184310299"/>
      <w:bookmarkEnd w:id="207"/>
      <w:bookmarkStart w:id="208" w:name="_Toc184314410"/>
      <w:bookmarkEnd w:id="208"/>
      <w:bookmarkStart w:id="209" w:name="_Toc184314477"/>
      <w:bookmarkEnd w:id="209"/>
      <w:bookmarkStart w:id="210" w:name="_Toc184310294"/>
      <w:bookmarkEnd w:id="210"/>
      <w:bookmarkStart w:id="211" w:name="_Toc184310306"/>
      <w:bookmarkEnd w:id="211"/>
      <w:bookmarkStart w:id="212" w:name="_Toc184314443"/>
      <w:bookmarkEnd w:id="212"/>
      <w:bookmarkStart w:id="213" w:name="_Toc184313259"/>
      <w:bookmarkEnd w:id="213"/>
      <w:bookmarkStart w:id="214" w:name="_Toc184310317"/>
      <w:bookmarkEnd w:id="214"/>
      <w:bookmarkStart w:id="215" w:name="_Toc184308066"/>
      <w:bookmarkEnd w:id="215"/>
      <w:bookmarkStart w:id="216" w:name="_Toc184310315"/>
      <w:bookmarkEnd w:id="216"/>
      <w:bookmarkStart w:id="217" w:name="_Toc184310328"/>
      <w:bookmarkEnd w:id="217"/>
      <w:bookmarkStart w:id="218" w:name="_Toc184313255"/>
      <w:bookmarkEnd w:id="218"/>
      <w:bookmarkStart w:id="219" w:name="_Toc184313271"/>
      <w:bookmarkEnd w:id="219"/>
      <w:bookmarkStart w:id="220" w:name="_Toc184313299"/>
      <w:bookmarkEnd w:id="220"/>
      <w:bookmarkStart w:id="221" w:name="_Toc184314465"/>
      <w:bookmarkEnd w:id="221"/>
      <w:bookmarkStart w:id="222" w:name="_Toc184308044"/>
      <w:bookmarkEnd w:id="222"/>
      <w:bookmarkStart w:id="223" w:name="_Toc184310309"/>
      <w:bookmarkEnd w:id="223"/>
      <w:bookmarkStart w:id="224" w:name="_Toc184312134"/>
      <w:bookmarkEnd w:id="224"/>
      <w:bookmarkStart w:id="225" w:name="_Toc184310298"/>
      <w:bookmarkEnd w:id="225"/>
      <w:bookmarkStart w:id="226" w:name="_Toc184312099"/>
      <w:bookmarkEnd w:id="226"/>
      <w:bookmarkStart w:id="227" w:name="_Toc184312126"/>
      <w:bookmarkEnd w:id="227"/>
      <w:bookmarkStart w:id="228" w:name="_Toc184312107"/>
      <w:bookmarkEnd w:id="228"/>
      <w:bookmarkStart w:id="229" w:name="_Toc184313306"/>
      <w:bookmarkEnd w:id="229"/>
      <w:bookmarkStart w:id="230" w:name="_Toc184314422"/>
      <w:bookmarkEnd w:id="230"/>
      <w:bookmarkStart w:id="231" w:name="_Toc184313272"/>
      <w:bookmarkEnd w:id="231"/>
      <w:bookmarkStart w:id="232" w:name="_Toc184313275"/>
      <w:bookmarkEnd w:id="232"/>
      <w:bookmarkStart w:id="233" w:name="_Toc184313301"/>
      <w:bookmarkEnd w:id="233"/>
      <w:bookmarkStart w:id="234" w:name="_Toc184312125"/>
      <w:bookmarkEnd w:id="234"/>
      <w:bookmarkStart w:id="235" w:name="_Toc184310303"/>
      <w:bookmarkEnd w:id="235"/>
      <w:bookmarkStart w:id="236" w:name="_Toc184314444"/>
      <w:bookmarkEnd w:id="236"/>
      <w:bookmarkStart w:id="237" w:name="_Toc184310338"/>
      <w:bookmarkEnd w:id="237"/>
      <w:bookmarkStart w:id="238" w:name="_Toc184313238"/>
      <w:bookmarkEnd w:id="238"/>
      <w:bookmarkStart w:id="239" w:name="_Toc184310291"/>
      <w:bookmarkEnd w:id="239"/>
      <w:bookmarkStart w:id="240" w:name="_Toc184310278"/>
      <w:bookmarkEnd w:id="240"/>
      <w:bookmarkStart w:id="241" w:name="_Toc184310332"/>
      <w:bookmarkEnd w:id="241"/>
      <w:bookmarkStart w:id="242" w:name="_Toc184313289"/>
      <w:bookmarkEnd w:id="242"/>
      <w:bookmarkStart w:id="243" w:name="_Toc184313265"/>
      <w:bookmarkEnd w:id="243"/>
      <w:bookmarkStart w:id="244" w:name="_Toc184308060"/>
      <w:bookmarkEnd w:id="244"/>
      <w:bookmarkStart w:id="245" w:name="_Toc184314464"/>
      <w:bookmarkEnd w:id="245"/>
      <w:bookmarkStart w:id="246" w:name="_Toc184313310"/>
      <w:bookmarkEnd w:id="246"/>
      <w:bookmarkStart w:id="247" w:name="_Toc184310342"/>
      <w:bookmarkEnd w:id="247"/>
      <w:bookmarkStart w:id="248" w:name="_Toc184314417"/>
      <w:bookmarkEnd w:id="248"/>
      <w:bookmarkStart w:id="249" w:name="_Toc184314479"/>
      <w:bookmarkEnd w:id="249"/>
      <w:bookmarkStart w:id="250" w:name="_Toc184308050"/>
      <w:bookmarkEnd w:id="250"/>
      <w:bookmarkStart w:id="251" w:name="_Toc184313285"/>
      <w:bookmarkEnd w:id="251"/>
      <w:bookmarkStart w:id="252" w:name="_Toc184312092"/>
      <w:bookmarkEnd w:id="252"/>
      <w:bookmarkStart w:id="253" w:name="_Toc184308083"/>
      <w:bookmarkEnd w:id="253"/>
      <w:bookmarkStart w:id="254" w:name="_Toc184310273"/>
      <w:bookmarkEnd w:id="254"/>
      <w:bookmarkStart w:id="255" w:name="_Toc184312130"/>
      <w:bookmarkEnd w:id="255"/>
      <w:bookmarkStart w:id="256" w:name="_Toc184310290"/>
      <w:bookmarkEnd w:id="256"/>
      <w:bookmarkStart w:id="257" w:name="_Toc184313277"/>
      <w:bookmarkEnd w:id="257"/>
      <w:bookmarkStart w:id="258" w:name="_Toc184312094"/>
      <w:bookmarkEnd w:id="258"/>
      <w:bookmarkStart w:id="259" w:name="_Toc184308088"/>
      <w:bookmarkEnd w:id="259"/>
      <w:bookmarkStart w:id="260" w:name="_Toc184314474"/>
      <w:bookmarkEnd w:id="260"/>
      <w:bookmarkStart w:id="261" w:name="_Toc184314415"/>
      <w:bookmarkEnd w:id="261"/>
      <w:bookmarkStart w:id="262" w:name="_Toc184313257"/>
      <w:bookmarkEnd w:id="262"/>
      <w:bookmarkStart w:id="263" w:name="_Toc184314459"/>
      <w:bookmarkEnd w:id="263"/>
      <w:bookmarkStart w:id="264" w:name="_Toc184313246"/>
      <w:bookmarkEnd w:id="264"/>
      <w:bookmarkStart w:id="265" w:name="_Toc184308076"/>
      <w:bookmarkEnd w:id="265"/>
      <w:bookmarkStart w:id="266" w:name="_Toc184313276"/>
      <w:bookmarkEnd w:id="266"/>
      <w:bookmarkStart w:id="267" w:name="_Toc184312118"/>
      <w:bookmarkEnd w:id="267"/>
      <w:bookmarkStart w:id="268" w:name="_Toc184314482"/>
      <w:bookmarkEnd w:id="268"/>
      <w:bookmarkStart w:id="269" w:name="_Toc184313258"/>
      <w:bookmarkEnd w:id="269"/>
      <w:bookmarkStart w:id="270" w:name="_Toc184308049"/>
      <w:bookmarkEnd w:id="270"/>
      <w:bookmarkStart w:id="271" w:name="_Toc184308053"/>
      <w:bookmarkEnd w:id="271"/>
      <w:bookmarkStart w:id="272" w:name="_Toc184313244"/>
      <w:bookmarkEnd w:id="272"/>
      <w:bookmarkStart w:id="273" w:name="_Toc184310331"/>
      <w:bookmarkEnd w:id="273"/>
      <w:bookmarkStart w:id="274" w:name="_Toc184314437"/>
      <w:bookmarkEnd w:id="274"/>
      <w:bookmarkStart w:id="275" w:name="_Toc184312128"/>
      <w:bookmarkEnd w:id="275"/>
      <w:bookmarkStart w:id="276" w:name="_Toc184312131"/>
      <w:bookmarkEnd w:id="276"/>
      <w:bookmarkStart w:id="277" w:name="_Toc184310326"/>
      <w:bookmarkEnd w:id="277"/>
      <w:bookmarkStart w:id="278" w:name="_Toc184310286"/>
      <w:bookmarkEnd w:id="278"/>
      <w:bookmarkStart w:id="279" w:name="_Toc184308096"/>
      <w:bookmarkEnd w:id="279"/>
      <w:bookmarkStart w:id="280" w:name="_Toc184308082"/>
      <w:bookmarkEnd w:id="280"/>
      <w:bookmarkStart w:id="281" w:name="_Toc184313303"/>
      <w:bookmarkEnd w:id="281"/>
      <w:bookmarkStart w:id="282" w:name="_Toc184308062"/>
      <w:bookmarkEnd w:id="282"/>
      <w:bookmarkStart w:id="283" w:name="_Toc184310284"/>
      <w:bookmarkEnd w:id="283"/>
      <w:bookmarkStart w:id="284" w:name="_Toc184310289"/>
      <w:bookmarkEnd w:id="284"/>
      <w:bookmarkStart w:id="285" w:name="_Toc184310337"/>
      <w:bookmarkEnd w:id="285"/>
      <w:bookmarkStart w:id="286" w:name="_Toc184308047"/>
      <w:bookmarkEnd w:id="286"/>
      <w:bookmarkStart w:id="287" w:name="_Toc184308101"/>
      <w:bookmarkEnd w:id="287"/>
      <w:bookmarkStart w:id="288" w:name="_Toc184308105"/>
      <w:bookmarkEnd w:id="288"/>
      <w:bookmarkStart w:id="289" w:name="_Toc184313297"/>
      <w:bookmarkEnd w:id="289"/>
      <w:bookmarkStart w:id="290" w:name="_Toc184312117"/>
      <w:bookmarkEnd w:id="290"/>
      <w:bookmarkStart w:id="291" w:name="_Toc184308077"/>
      <w:bookmarkEnd w:id="291"/>
      <w:bookmarkStart w:id="292" w:name="_Toc184314468"/>
      <w:bookmarkEnd w:id="292"/>
      <w:bookmarkStart w:id="293" w:name="_Toc184313273"/>
      <w:bookmarkEnd w:id="293"/>
      <w:bookmarkStart w:id="294" w:name="_Toc184314420"/>
      <w:bookmarkEnd w:id="294"/>
      <w:bookmarkStart w:id="295" w:name="_Toc184308108"/>
      <w:bookmarkEnd w:id="295"/>
      <w:bookmarkStart w:id="296" w:name="_Toc184314424"/>
      <w:bookmarkEnd w:id="296"/>
      <w:bookmarkStart w:id="297" w:name="_Toc184310302"/>
      <w:bookmarkEnd w:id="297"/>
      <w:bookmarkStart w:id="298" w:name="_Toc184314445"/>
      <w:bookmarkEnd w:id="298"/>
      <w:bookmarkStart w:id="299" w:name="_Toc184308094"/>
      <w:bookmarkEnd w:id="299"/>
      <w:bookmarkStart w:id="300" w:name="_Toc184310287"/>
      <w:bookmarkEnd w:id="300"/>
      <w:bookmarkStart w:id="301" w:name="_Toc184308089"/>
      <w:bookmarkEnd w:id="301"/>
      <w:bookmarkStart w:id="302" w:name="_Toc184308106"/>
      <w:bookmarkEnd w:id="302"/>
      <w:bookmarkStart w:id="303" w:name="_Toc184314439"/>
      <w:bookmarkEnd w:id="303"/>
      <w:bookmarkStart w:id="304" w:name="_Toc184308065"/>
      <w:bookmarkEnd w:id="304"/>
      <w:bookmarkStart w:id="305" w:name="_Toc184312133"/>
      <w:bookmarkEnd w:id="305"/>
      <w:bookmarkStart w:id="306" w:name="_Toc184312109"/>
      <w:bookmarkEnd w:id="306"/>
      <w:bookmarkStart w:id="307" w:name="_Toc184313293"/>
      <w:bookmarkEnd w:id="307"/>
      <w:bookmarkStart w:id="308" w:name="_Toc184312089"/>
      <w:bookmarkEnd w:id="308"/>
      <w:bookmarkStart w:id="309" w:name="_Toc184313253"/>
      <w:bookmarkEnd w:id="309"/>
      <w:bookmarkStart w:id="310" w:name="_Toc184314431"/>
      <w:bookmarkEnd w:id="310"/>
      <w:bookmarkStart w:id="311" w:name="_Toc184312093"/>
      <w:bookmarkEnd w:id="311"/>
      <w:bookmarkStart w:id="312" w:name="_Toc184314451"/>
      <w:bookmarkEnd w:id="312"/>
      <w:bookmarkStart w:id="313" w:name="_Toc184314416"/>
      <w:bookmarkEnd w:id="313"/>
      <w:bookmarkStart w:id="314" w:name="_Toc184312085"/>
      <w:bookmarkEnd w:id="314"/>
      <w:bookmarkStart w:id="315" w:name="_Toc184312101"/>
      <w:bookmarkEnd w:id="315"/>
      <w:bookmarkStart w:id="316" w:name="_Toc184314419"/>
      <w:bookmarkEnd w:id="316"/>
      <w:bookmarkStart w:id="317" w:name="_Toc184310295"/>
      <w:bookmarkEnd w:id="317"/>
      <w:bookmarkStart w:id="318" w:name="_Toc184313245"/>
      <w:bookmarkEnd w:id="318"/>
      <w:bookmarkStart w:id="319" w:name="_Toc184308043"/>
      <w:bookmarkEnd w:id="319"/>
      <w:bookmarkStart w:id="320" w:name="_Toc184308085"/>
      <w:bookmarkEnd w:id="320"/>
      <w:bookmarkStart w:id="321" w:name="_Toc184308061"/>
      <w:bookmarkEnd w:id="321"/>
      <w:bookmarkStart w:id="322" w:name="_Toc184310311"/>
      <w:bookmarkEnd w:id="322"/>
      <w:bookmarkStart w:id="323" w:name="_Toc184310322"/>
      <w:bookmarkEnd w:id="323"/>
      <w:bookmarkStart w:id="324" w:name="_Toc184308068"/>
      <w:bookmarkEnd w:id="324"/>
      <w:bookmarkStart w:id="325" w:name="_Toc184308042"/>
      <w:bookmarkEnd w:id="325"/>
      <w:bookmarkStart w:id="326" w:name="_Toc184314461"/>
      <w:bookmarkEnd w:id="326"/>
      <w:bookmarkStart w:id="327" w:name="_Toc184308103"/>
      <w:bookmarkEnd w:id="327"/>
      <w:bookmarkStart w:id="328" w:name="_Toc184308079"/>
      <w:bookmarkEnd w:id="328"/>
      <w:bookmarkStart w:id="329" w:name="_Toc184312081"/>
      <w:bookmarkEnd w:id="329"/>
      <w:bookmarkStart w:id="330" w:name="_Toc184310307"/>
      <w:bookmarkEnd w:id="330"/>
      <w:bookmarkStart w:id="331" w:name="_Toc184312076"/>
      <w:bookmarkEnd w:id="331"/>
      <w:bookmarkStart w:id="332" w:name="_Toc184310292"/>
      <w:bookmarkEnd w:id="332"/>
      <w:bookmarkStart w:id="333" w:name="_Toc184308040"/>
      <w:bookmarkEnd w:id="333"/>
      <w:bookmarkStart w:id="334" w:name="_Toc184313267"/>
      <w:bookmarkEnd w:id="334"/>
      <w:bookmarkStart w:id="335" w:name="_Toc184313262"/>
      <w:bookmarkEnd w:id="335"/>
      <w:bookmarkStart w:id="336" w:name="_Toc184313261"/>
      <w:bookmarkEnd w:id="336"/>
      <w:bookmarkStart w:id="337" w:name="_Toc184314457"/>
      <w:bookmarkEnd w:id="337"/>
      <w:bookmarkStart w:id="338" w:name="_Toc184314449"/>
      <w:bookmarkEnd w:id="338"/>
      <w:bookmarkStart w:id="339" w:name="_Toc184308074"/>
      <w:bookmarkEnd w:id="339"/>
      <w:bookmarkStart w:id="340" w:name="_Toc184312069"/>
      <w:bookmarkEnd w:id="340"/>
      <w:bookmarkStart w:id="341" w:name="_Toc184314467"/>
      <w:bookmarkEnd w:id="341"/>
      <w:bookmarkStart w:id="342" w:name="_Toc184312135"/>
      <w:bookmarkEnd w:id="342"/>
      <w:bookmarkStart w:id="343" w:name="_Toc184314448"/>
      <w:bookmarkEnd w:id="343"/>
      <w:bookmarkStart w:id="344" w:name="_Toc184314472"/>
      <w:bookmarkEnd w:id="344"/>
      <w:bookmarkStart w:id="345" w:name="_Toc184312119"/>
      <w:bookmarkEnd w:id="345"/>
      <w:bookmarkStart w:id="346" w:name="_Toc184313274"/>
      <w:bookmarkEnd w:id="346"/>
      <w:bookmarkStart w:id="347" w:name="_Toc184310321"/>
      <w:bookmarkEnd w:id="347"/>
      <w:bookmarkStart w:id="348" w:name="_Toc184312132"/>
      <w:bookmarkEnd w:id="348"/>
      <w:bookmarkStart w:id="349" w:name="_Toc184310339"/>
      <w:bookmarkEnd w:id="349"/>
      <w:bookmarkStart w:id="350" w:name="_Toc184308090"/>
      <w:bookmarkEnd w:id="350"/>
      <w:bookmarkStart w:id="351" w:name="_Toc184313302"/>
      <w:bookmarkEnd w:id="351"/>
      <w:bookmarkStart w:id="352" w:name="_Toc184313281"/>
      <w:bookmarkEnd w:id="352"/>
      <w:bookmarkStart w:id="353" w:name="_Toc184314412"/>
      <w:bookmarkEnd w:id="353"/>
      <w:bookmarkStart w:id="354" w:name="_Toc184310283"/>
      <w:bookmarkEnd w:id="354"/>
      <w:bookmarkStart w:id="355" w:name="_Toc184312083"/>
      <w:bookmarkEnd w:id="355"/>
      <w:bookmarkStart w:id="356" w:name="_Toc184312084"/>
      <w:bookmarkEnd w:id="356"/>
      <w:bookmarkStart w:id="357" w:name="_Toc184308045"/>
      <w:bookmarkEnd w:id="357"/>
      <w:bookmarkStart w:id="358" w:name="_Toc184308036"/>
      <w:bookmarkEnd w:id="358"/>
      <w:bookmarkStart w:id="359" w:name="_Toc184313294"/>
      <w:bookmarkEnd w:id="359"/>
      <w:bookmarkStart w:id="360" w:name="_Toc184313283"/>
      <w:bookmarkEnd w:id="360"/>
      <w:bookmarkStart w:id="361" w:name="_Toc184312086"/>
      <w:bookmarkEnd w:id="361"/>
      <w:bookmarkStart w:id="362" w:name="_Toc184308054"/>
      <w:bookmarkEnd w:id="362"/>
      <w:bookmarkStart w:id="363" w:name="_Toc184313263"/>
      <w:bookmarkEnd w:id="363"/>
      <w:bookmarkStart w:id="364" w:name="_Toc184308069"/>
      <w:bookmarkEnd w:id="364"/>
      <w:bookmarkStart w:id="365" w:name="_Toc184314463"/>
      <w:bookmarkEnd w:id="365"/>
      <w:bookmarkStart w:id="366" w:name="_Toc184313260"/>
      <w:bookmarkEnd w:id="366"/>
      <w:bookmarkStart w:id="367" w:name="_Toc184308078"/>
      <w:bookmarkEnd w:id="367"/>
      <w:bookmarkStart w:id="368" w:name="_Toc184312120"/>
      <w:bookmarkEnd w:id="368"/>
      <w:bookmarkStart w:id="369" w:name="_Toc184313300"/>
      <w:bookmarkEnd w:id="369"/>
      <w:bookmarkStart w:id="370" w:name="_Toc184314440"/>
      <w:bookmarkEnd w:id="370"/>
      <w:bookmarkStart w:id="371" w:name="_Toc184308070"/>
      <w:bookmarkEnd w:id="371"/>
      <w:bookmarkStart w:id="372" w:name="_Toc184310279"/>
      <w:bookmarkEnd w:id="372"/>
      <w:bookmarkStart w:id="373" w:name="_Toc184308056"/>
      <w:bookmarkEnd w:id="373"/>
      <w:bookmarkStart w:id="374" w:name="_Toc184312115"/>
      <w:bookmarkEnd w:id="374"/>
      <w:bookmarkStart w:id="375" w:name="_Toc184312071"/>
      <w:bookmarkEnd w:id="375"/>
      <w:bookmarkStart w:id="376" w:name="_Toc184308095"/>
      <w:bookmarkEnd w:id="376"/>
      <w:bookmarkStart w:id="377" w:name="_Toc184310277"/>
      <w:bookmarkEnd w:id="377"/>
      <w:bookmarkStart w:id="378" w:name="_Toc184313264"/>
      <w:bookmarkEnd w:id="378"/>
      <w:bookmarkStart w:id="379" w:name="_Toc184308038"/>
      <w:bookmarkEnd w:id="379"/>
      <w:bookmarkStart w:id="380" w:name="_Toc184312116"/>
      <w:bookmarkEnd w:id="380"/>
      <w:bookmarkStart w:id="381" w:name="_Toc184308039"/>
      <w:bookmarkEnd w:id="381"/>
      <w:bookmarkStart w:id="382" w:name="_Toc184314411"/>
      <w:bookmarkEnd w:id="382"/>
      <w:bookmarkStart w:id="383" w:name="_Toc184310293"/>
      <w:bookmarkEnd w:id="383"/>
      <w:bookmarkStart w:id="384" w:name="_Toc184310297"/>
      <w:bookmarkEnd w:id="384"/>
      <w:bookmarkStart w:id="385" w:name="_Toc184312121"/>
      <w:bookmarkEnd w:id="385"/>
      <w:bookmarkStart w:id="386" w:name="_Toc184310343"/>
      <w:bookmarkEnd w:id="386"/>
      <w:bookmarkStart w:id="387" w:name="_Toc184313256"/>
      <w:bookmarkEnd w:id="387"/>
      <w:bookmarkStart w:id="388" w:name="_Toc184310316"/>
      <w:bookmarkEnd w:id="388"/>
      <w:bookmarkStart w:id="389" w:name="_Toc184308071"/>
      <w:bookmarkEnd w:id="389"/>
      <w:bookmarkStart w:id="390" w:name="_Toc184313287"/>
      <w:bookmarkEnd w:id="390"/>
      <w:bookmarkStart w:id="391" w:name="_Toc184314430"/>
      <w:bookmarkEnd w:id="391"/>
      <w:bookmarkStart w:id="392" w:name="_Toc184313247"/>
      <w:bookmarkEnd w:id="392"/>
      <w:bookmarkStart w:id="393" w:name="_Toc184310335"/>
      <w:bookmarkEnd w:id="393"/>
      <w:bookmarkStart w:id="394" w:name="_Toc184310305"/>
      <w:bookmarkEnd w:id="394"/>
      <w:bookmarkStart w:id="395" w:name="_Toc184310333"/>
      <w:bookmarkEnd w:id="395"/>
      <w:bookmarkStart w:id="396" w:name="_Toc184312087"/>
      <w:bookmarkEnd w:id="396"/>
      <w:r>
        <w:rPr>
          <w:rFonts w:hint="eastAsia" w:ascii="宋体" w:hAnsi="宋体" w:cs="宋体"/>
          <w:b/>
          <w:color w:val="auto"/>
          <w:szCs w:val="21"/>
          <w:highlight w:val="none"/>
        </w:rPr>
        <w:t>评标办法</w:t>
      </w:r>
    </w:p>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评标办法前附表</w:t>
      </w:r>
    </w:p>
    <w:tbl>
      <w:tblPr>
        <w:tblStyle w:val="63"/>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037"/>
        <w:gridCol w:w="691"/>
        <w:gridCol w:w="1034"/>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403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评标标准</w:t>
            </w:r>
          </w:p>
        </w:tc>
        <w:tc>
          <w:tcPr>
            <w:tcW w:w="691"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权重</w:t>
            </w:r>
          </w:p>
        </w:tc>
        <w:tc>
          <w:tcPr>
            <w:tcW w:w="1034" w:type="dxa"/>
            <w:vAlign w:val="center"/>
          </w:tcPr>
          <w:p>
            <w:pPr>
              <w:snapToGrid w:val="0"/>
              <w:spacing w:line="288" w:lineRule="auto"/>
              <w:jc w:val="center"/>
              <w:rPr>
                <w:rFonts w:ascii="宋体" w:hAnsi="宋体" w:cs="宋体"/>
                <w:bCs/>
                <w:color w:val="auto"/>
                <w:szCs w:val="21"/>
                <w:highlight w:val="none"/>
              </w:rPr>
            </w:pPr>
            <w:r>
              <w:rPr>
                <w:rFonts w:hint="eastAsia" w:ascii="宋体" w:hAnsi="宋体" w:cs="宋体"/>
                <w:bCs/>
                <w:color w:val="auto"/>
                <w:szCs w:val="21"/>
                <w:highlight w:val="none"/>
              </w:rPr>
              <w:t>主观分/客观分属性</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bCs/>
                <w:color w:val="auto"/>
                <w:szCs w:val="21"/>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4037" w:type="dxa"/>
            <w:vAlign w:val="center"/>
          </w:tcPr>
          <w:p>
            <w:pPr>
              <w:pStyle w:val="628"/>
              <w:spacing w:line="288" w:lineRule="auto"/>
              <w:ind w:firstLine="0" w:firstLineChars="0"/>
              <w:rPr>
                <w:rFonts w:cs="宋体"/>
                <w:color w:val="auto"/>
                <w:sz w:val="21"/>
                <w:szCs w:val="21"/>
                <w:highlight w:val="none"/>
              </w:rPr>
            </w:pPr>
            <w:r>
              <w:rPr>
                <w:rFonts w:hint="eastAsia" w:cs="宋体"/>
                <w:color w:val="auto"/>
                <w:kern w:val="2"/>
                <w:sz w:val="21"/>
                <w:szCs w:val="21"/>
                <w:highlight w:val="none"/>
              </w:rPr>
              <w:t>投标人自2021年1月以来（以合同签订日期为准）同类合同业绩，每提供一项得1分，最高得3分（</w:t>
            </w:r>
            <w:r>
              <w:rPr>
                <w:rFonts w:hint="eastAsia" w:cs="宋体"/>
                <w:color w:val="auto"/>
                <w:sz w:val="21"/>
                <w:szCs w:val="21"/>
                <w:highlight w:val="none"/>
              </w:rPr>
              <w:t>证明材料：同时提供合同和用户验收报告，否则不得分</w:t>
            </w:r>
            <w:r>
              <w:rPr>
                <w:rFonts w:hint="eastAsia" w:cs="宋体"/>
                <w:color w:val="auto"/>
                <w:kern w:val="2"/>
                <w:sz w:val="21"/>
                <w:szCs w:val="21"/>
                <w:highlight w:val="none"/>
              </w:rPr>
              <w:t>）。</w:t>
            </w:r>
          </w:p>
        </w:tc>
        <w:tc>
          <w:tcPr>
            <w:tcW w:w="691"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03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客观分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4037" w:type="dxa"/>
            <w:vAlign w:val="center"/>
          </w:tcPr>
          <w:p>
            <w:pPr>
              <w:pStyle w:val="628"/>
              <w:spacing w:line="288" w:lineRule="auto"/>
              <w:ind w:firstLine="0" w:firstLineChars="0"/>
              <w:rPr>
                <w:rFonts w:cs="宋体"/>
                <w:color w:val="auto"/>
                <w:sz w:val="21"/>
                <w:szCs w:val="21"/>
                <w:highlight w:val="none"/>
              </w:rPr>
            </w:pPr>
            <w:r>
              <w:rPr>
                <w:rFonts w:hint="eastAsia" w:cs="宋体"/>
                <w:color w:val="auto"/>
                <w:sz w:val="21"/>
                <w:szCs w:val="21"/>
                <w:highlight w:val="none"/>
              </w:rPr>
              <w:t>投标产品属于品目清单范围且提供国家确定的认证机构出具的有效的节能产品认证证书（扫描件）的</w:t>
            </w:r>
            <w:r>
              <w:rPr>
                <w:rFonts w:hint="eastAsia" w:cs="宋体"/>
                <w:color w:val="auto"/>
                <w:sz w:val="21"/>
                <w:szCs w:val="21"/>
                <w:highlight w:val="none"/>
                <w:lang w:eastAsia="zh-CN"/>
              </w:rPr>
              <w:t>，</w:t>
            </w:r>
            <w:r>
              <w:rPr>
                <w:rFonts w:hint="eastAsia" w:cs="宋体"/>
                <w:color w:val="auto"/>
                <w:sz w:val="21"/>
                <w:szCs w:val="21"/>
                <w:highlight w:val="none"/>
                <w:lang w:val="en-US" w:eastAsia="zh-CN"/>
              </w:rPr>
              <w:t>每有1个</w:t>
            </w:r>
            <w:r>
              <w:rPr>
                <w:rFonts w:hint="eastAsia" w:cs="宋体"/>
                <w:color w:val="auto"/>
                <w:sz w:val="21"/>
                <w:szCs w:val="21"/>
                <w:highlight w:val="none"/>
              </w:rPr>
              <w:t>得1分</w:t>
            </w:r>
            <w:r>
              <w:rPr>
                <w:rFonts w:hint="eastAsia" w:cs="宋体"/>
                <w:color w:val="auto"/>
                <w:sz w:val="21"/>
                <w:szCs w:val="21"/>
                <w:highlight w:val="none"/>
                <w:lang w:eastAsia="zh-CN"/>
              </w:rPr>
              <w:t>，</w:t>
            </w:r>
            <w:r>
              <w:rPr>
                <w:rFonts w:hint="eastAsia" w:cs="宋体"/>
                <w:color w:val="auto"/>
                <w:sz w:val="21"/>
                <w:szCs w:val="21"/>
                <w:highlight w:val="none"/>
                <w:lang w:val="en-US" w:eastAsia="zh-CN"/>
              </w:rPr>
              <w:t>最高得1分</w:t>
            </w:r>
            <w:r>
              <w:rPr>
                <w:rFonts w:hint="eastAsia" w:cs="宋体"/>
                <w:color w:val="auto"/>
                <w:sz w:val="21"/>
                <w:szCs w:val="21"/>
                <w:highlight w:val="none"/>
              </w:rPr>
              <w:t>；</w:t>
            </w:r>
          </w:p>
          <w:p>
            <w:pPr>
              <w:pStyle w:val="628"/>
              <w:spacing w:line="288" w:lineRule="auto"/>
              <w:ind w:firstLine="0" w:firstLineChars="0"/>
              <w:rPr>
                <w:rFonts w:cs="宋体"/>
                <w:color w:val="auto"/>
                <w:sz w:val="21"/>
                <w:szCs w:val="21"/>
                <w:highlight w:val="none"/>
              </w:rPr>
            </w:pPr>
            <w:r>
              <w:rPr>
                <w:rFonts w:hint="eastAsia" w:cs="宋体"/>
                <w:color w:val="auto"/>
                <w:sz w:val="21"/>
                <w:szCs w:val="21"/>
                <w:highlight w:val="none"/>
              </w:rPr>
              <w:t>投标产品属于品目清单范围且提供国家确定的认证机构出具的有效的环境标志产品认证证书（扫描件）的，每有1个得1分，最高得1分。</w:t>
            </w:r>
          </w:p>
          <w:p>
            <w:pPr>
              <w:pStyle w:val="628"/>
              <w:spacing w:line="288" w:lineRule="auto"/>
              <w:ind w:firstLine="0" w:firstLineChars="0"/>
              <w:rPr>
                <w:rFonts w:cs="宋体"/>
                <w:color w:val="auto"/>
                <w:sz w:val="21"/>
                <w:szCs w:val="21"/>
                <w:highlight w:val="none"/>
              </w:rPr>
            </w:pPr>
            <w:r>
              <w:rPr>
                <w:rFonts w:hint="eastAsia" w:cs="宋体"/>
                <w:color w:val="auto"/>
                <w:sz w:val="21"/>
                <w:szCs w:val="21"/>
                <w:highlight w:val="none"/>
              </w:rPr>
              <w:t>注：政府强制采购节能产品的除外。</w:t>
            </w:r>
          </w:p>
        </w:tc>
        <w:tc>
          <w:tcPr>
            <w:tcW w:w="691"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03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客观分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政策功能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4037" w:type="dxa"/>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不符合（负偏离）技术要求中标注“▲”条款（不可偏离）的投标文件无效，满足或明显优于采购文件明确的全部技术条款要求的该项得满分；</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技术条款低于技术要求（负偏离）的每项扣2分；</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负偏离13项及以上的投标无效。</w:t>
            </w:r>
          </w:p>
        </w:tc>
        <w:tc>
          <w:tcPr>
            <w:tcW w:w="691"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26</w:t>
            </w:r>
          </w:p>
        </w:tc>
        <w:tc>
          <w:tcPr>
            <w:tcW w:w="103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客观分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响应程度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4037" w:type="dxa"/>
            <w:vAlign w:val="center"/>
          </w:tcPr>
          <w:p>
            <w:pPr>
              <w:pStyle w:val="17"/>
              <w:spacing w:line="288" w:lineRule="auto"/>
              <w:ind w:firstLine="0"/>
              <w:rPr>
                <w:rFonts w:hAnsi="宋体" w:cs="宋体"/>
                <w:snapToGrid/>
                <w:color w:val="auto"/>
                <w:kern w:val="2"/>
                <w:sz w:val="21"/>
                <w:szCs w:val="21"/>
                <w:highlight w:val="none"/>
              </w:rPr>
            </w:pPr>
            <w:r>
              <w:rPr>
                <w:rFonts w:hint="eastAsia" w:hAnsi="宋体" w:cs="宋体"/>
                <w:snapToGrid/>
                <w:color w:val="auto"/>
                <w:kern w:val="2"/>
                <w:sz w:val="21"/>
                <w:szCs w:val="21"/>
                <w:highlight w:val="none"/>
              </w:rPr>
              <w:t>项目实施规划方案（包括整体实施方案、分解节点、跟踪实施）（评分范围：4,3,2,1,0）。</w:t>
            </w:r>
          </w:p>
        </w:tc>
        <w:tc>
          <w:tcPr>
            <w:tcW w:w="691"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103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主观分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项目实施规划方案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4037" w:type="dxa"/>
            <w:vAlign w:val="center"/>
          </w:tcPr>
          <w:p>
            <w:pPr>
              <w:pStyle w:val="17"/>
              <w:spacing w:line="288" w:lineRule="auto"/>
              <w:ind w:firstLine="0"/>
              <w:rPr>
                <w:rFonts w:hAnsi="宋体" w:cs="宋体"/>
                <w:snapToGrid/>
                <w:color w:val="auto"/>
                <w:kern w:val="2"/>
                <w:sz w:val="21"/>
                <w:szCs w:val="21"/>
                <w:highlight w:val="none"/>
              </w:rPr>
            </w:pPr>
            <w:r>
              <w:rPr>
                <w:rFonts w:hint="eastAsia" w:hAnsi="宋体" w:cs="宋体"/>
                <w:snapToGrid/>
                <w:color w:val="auto"/>
                <w:kern w:val="2"/>
                <w:sz w:val="21"/>
                <w:szCs w:val="21"/>
                <w:highlight w:val="none"/>
              </w:rPr>
              <w:t>品质管理管控方案（包括产品品质管理管控过程、专职品控人员和相应的品控标准、确保产品生产过程中质量控制完善的措施）（评分范围：5,4,3,2,1,0）。</w:t>
            </w:r>
          </w:p>
        </w:tc>
        <w:tc>
          <w:tcPr>
            <w:tcW w:w="691"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5</w:t>
            </w:r>
          </w:p>
        </w:tc>
        <w:tc>
          <w:tcPr>
            <w:tcW w:w="103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主观分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品质管理管控方案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4037" w:type="dxa"/>
            <w:vAlign w:val="center"/>
          </w:tcPr>
          <w:p>
            <w:pPr>
              <w:pStyle w:val="17"/>
              <w:spacing w:line="288" w:lineRule="auto"/>
              <w:ind w:firstLine="0"/>
              <w:rPr>
                <w:rFonts w:hAnsi="宋体" w:cs="宋体"/>
                <w:snapToGrid/>
                <w:color w:val="auto"/>
                <w:kern w:val="2"/>
                <w:sz w:val="21"/>
                <w:szCs w:val="21"/>
                <w:highlight w:val="none"/>
              </w:rPr>
            </w:pPr>
            <w:r>
              <w:rPr>
                <w:rFonts w:hint="eastAsia" w:hAnsi="宋体" w:cs="宋体"/>
                <w:snapToGrid/>
                <w:color w:val="auto"/>
                <w:kern w:val="2"/>
                <w:sz w:val="21"/>
                <w:szCs w:val="21"/>
                <w:highlight w:val="none"/>
              </w:rPr>
              <w:t>安装服务实施方案（包括送货安装时间及项目负责人、专业技术安装人员、装卸人员的数量、经验、专业技术能力）（评分范围：5,4,3,2,1,0）。</w:t>
            </w:r>
          </w:p>
        </w:tc>
        <w:tc>
          <w:tcPr>
            <w:tcW w:w="691"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103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主观分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安装服务实施方案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4037" w:type="dxa"/>
            <w:vAlign w:val="center"/>
          </w:tcPr>
          <w:p>
            <w:pPr>
              <w:pStyle w:val="17"/>
              <w:spacing w:line="288" w:lineRule="auto"/>
              <w:ind w:firstLine="0"/>
              <w:rPr>
                <w:rFonts w:hAnsi="宋体" w:cs="宋体"/>
                <w:snapToGrid/>
                <w:color w:val="auto"/>
                <w:kern w:val="2"/>
                <w:sz w:val="21"/>
                <w:szCs w:val="21"/>
                <w:highlight w:val="none"/>
              </w:rPr>
            </w:pPr>
            <w:r>
              <w:rPr>
                <w:rFonts w:hint="eastAsia" w:hAnsi="宋体" w:cs="宋体"/>
                <w:snapToGrid/>
                <w:color w:val="auto"/>
                <w:kern w:val="2"/>
                <w:sz w:val="21"/>
                <w:szCs w:val="21"/>
                <w:highlight w:val="none"/>
              </w:rPr>
              <w:t>售后服务方案（包括服务内容、服务承诺、响应时间、服务方式、人员配备、应急服务等）（评分范围：5,4,3,2,1,0）。</w:t>
            </w:r>
          </w:p>
        </w:tc>
        <w:tc>
          <w:tcPr>
            <w:tcW w:w="691"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5</w:t>
            </w:r>
          </w:p>
        </w:tc>
        <w:tc>
          <w:tcPr>
            <w:tcW w:w="103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主观分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8</w:t>
            </w:r>
          </w:p>
        </w:tc>
        <w:tc>
          <w:tcPr>
            <w:tcW w:w="4037" w:type="dxa"/>
            <w:vAlign w:val="center"/>
          </w:tcPr>
          <w:p>
            <w:pPr>
              <w:pStyle w:val="17"/>
              <w:spacing w:line="288" w:lineRule="auto"/>
              <w:ind w:firstLine="0"/>
              <w:rPr>
                <w:rFonts w:hAnsi="宋体" w:cs="宋体"/>
                <w:snapToGrid/>
                <w:color w:val="auto"/>
                <w:kern w:val="2"/>
                <w:sz w:val="21"/>
                <w:szCs w:val="21"/>
                <w:highlight w:val="none"/>
              </w:rPr>
            </w:pPr>
            <w:r>
              <w:rPr>
                <w:rFonts w:hint="eastAsia" w:hAnsi="宋体" w:cs="宋体"/>
                <w:snapToGrid/>
                <w:color w:val="auto"/>
                <w:kern w:val="2"/>
                <w:sz w:val="21"/>
                <w:szCs w:val="21"/>
                <w:highlight w:val="none"/>
              </w:rPr>
              <w:t>配件、附件、备品备件准备和保障措施（评分范围：5,4,3,2,1,0）。</w:t>
            </w:r>
          </w:p>
        </w:tc>
        <w:tc>
          <w:tcPr>
            <w:tcW w:w="691" w:type="dxa"/>
            <w:vAlign w:val="center"/>
          </w:tcPr>
          <w:p>
            <w:pPr>
              <w:snapToGrid w:val="0"/>
              <w:spacing w:line="288"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5</w:t>
            </w:r>
          </w:p>
        </w:tc>
        <w:tc>
          <w:tcPr>
            <w:tcW w:w="1034" w:type="dxa"/>
            <w:vAlign w:val="center"/>
          </w:tcPr>
          <w:p>
            <w:pPr>
              <w:snapToGrid w:val="0"/>
              <w:spacing w:line="288"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主观分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备品备件保障方案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9</w:t>
            </w:r>
          </w:p>
        </w:tc>
        <w:tc>
          <w:tcPr>
            <w:tcW w:w="4037" w:type="dxa"/>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lang w:bidi="ar"/>
              </w:rPr>
              <w:t>样品尺寸符合性情况（评分范围：5,4,3,2,1,0）。</w:t>
            </w:r>
          </w:p>
        </w:tc>
        <w:tc>
          <w:tcPr>
            <w:tcW w:w="691" w:type="dxa"/>
            <w:vAlign w:val="center"/>
          </w:tcPr>
          <w:p>
            <w:pPr>
              <w:snapToGrid w:val="0"/>
              <w:spacing w:line="288"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5</w:t>
            </w:r>
          </w:p>
        </w:tc>
        <w:tc>
          <w:tcPr>
            <w:tcW w:w="1034" w:type="dxa"/>
            <w:vAlign w:val="center"/>
          </w:tcPr>
          <w:p>
            <w:pPr>
              <w:snapToGrid w:val="0"/>
              <w:spacing w:line="288"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主观分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样品分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10</w:t>
            </w:r>
          </w:p>
        </w:tc>
        <w:tc>
          <w:tcPr>
            <w:tcW w:w="4037" w:type="dxa"/>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lang w:bidi="ar"/>
              </w:rPr>
              <w:t>样品整体美观程度情况（评分范围：5,4,3,2,1,0）。</w:t>
            </w:r>
          </w:p>
        </w:tc>
        <w:tc>
          <w:tcPr>
            <w:tcW w:w="691" w:type="dxa"/>
            <w:vAlign w:val="center"/>
          </w:tcPr>
          <w:p>
            <w:pPr>
              <w:snapToGrid w:val="0"/>
              <w:spacing w:line="288"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5</w:t>
            </w:r>
          </w:p>
        </w:tc>
        <w:tc>
          <w:tcPr>
            <w:tcW w:w="1034" w:type="dxa"/>
            <w:vAlign w:val="center"/>
          </w:tcPr>
          <w:p>
            <w:pPr>
              <w:snapToGrid w:val="0"/>
              <w:spacing w:line="288"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主观分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样品分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11</w:t>
            </w:r>
          </w:p>
        </w:tc>
        <w:tc>
          <w:tcPr>
            <w:tcW w:w="4037" w:type="dxa"/>
            <w:vAlign w:val="center"/>
          </w:tcPr>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lang w:bidi="ar"/>
              </w:rPr>
              <w:t>样品细节工艺情况（评分范围：5,4,3,2,1,0）。</w:t>
            </w:r>
          </w:p>
        </w:tc>
        <w:tc>
          <w:tcPr>
            <w:tcW w:w="691" w:type="dxa"/>
            <w:vAlign w:val="center"/>
          </w:tcPr>
          <w:p>
            <w:pPr>
              <w:snapToGrid w:val="0"/>
              <w:spacing w:line="288"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5</w:t>
            </w:r>
          </w:p>
        </w:tc>
        <w:tc>
          <w:tcPr>
            <w:tcW w:w="1034" w:type="dxa"/>
            <w:vAlign w:val="center"/>
          </w:tcPr>
          <w:p>
            <w:pPr>
              <w:snapToGrid w:val="0"/>
              <w:spacing w:line="288" w:lineRule="auto"/>
              <w:jc w:val="center"/>
              <w:rPr>
                <w:rFonts w:ascii="宋体" w:hAnsi="宋体" w:cs="宋体"/>
                <w:color w:val="auto"/>
                <w:szCs w:val="21"/>
                <w:highlight w:val="none"/>
                <w:lang w:bidi="ar"/>
              </w:rPr>
            </w:pPr>
            <w:r>
              <w:rPr>
                <w:rFonts w:hint="eastAsia" w:ascii="宋体" w:hAnsi="宋体" w:cs="宋体"/>
                <w:color w:val="auto"/>
                <w:szCs w:val="21"/>
                <w:highlight w:val="none"/>
                <w:lang w:bidi="ar"/>
              </w:rPr>
              <w:t>主观分</w:t>
            </w:r>
          </w:p>
        </w:tc>
        <w:tc>
          <w:tcPr>
            <w:tcW w:w="1930"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样品分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03"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9</w:t>
            </w:r>
          </w:p>
        </w:tc>
        <w:tc>
          <w:tcPr>
            <w:tcW w:w="4037" w:type="dxa"/>
            <w:vAlign w:val="center"/>
          </w:tcPr>
          <w:p>
            <w:pPr>
              <w:snapToGrid w:val="0"/>
              <w:spacing w:line="288" w:lineRule="auto"/>
              <w:outlineLvl w:val="0"/>
              <w:rPr>
                <w:rFonts w:ascii="宋体" w:hAnsi="宋体" w:cs="宋体"/>
                <w:color w:val="auto"/>
                <w:szCs w:val="21"/>
                <w:highlight w:val="none"/>
              </w:rPr>
            </w:pPr>
            <w:r>
              <w:rPr>
                <w:rFonts w:hint="eastAsia" w:ascii="宋体" w:hAnsi="宋体" w:cs="宋体"/>
                <w:color w:val="auto"/>
                <w:szCs w:val="21"/>
                <w:highlight w:val="none"/>
              </w:rPr>
              <w:t>有效投标报价的最低价作为评标基准价，其最低报价为满分；按［投标报价得分=（评标基准价/投标报价）*30］的计算公式计算。</w:t>
            </w:r>
          </w:p>
          <w:p>
            <w:pPr>
              <w:shd w:val="clear" w:color="auto" w:fill="FFFFFF"/>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评标过程中，不得去掉报价中的最高报价和最低报价。</w:t>
            </w:r>
          </w:p>
        </w:tc>
        <w:tc>
          <w:tcPr>
            <w:tcW w:w="691" w:type="dxa"/>
            <w:vAlign w:val="center"/>
          </w:tcPr>
          <w:p>
            <w:pPr>
              <w:snapToGrid w:val="0"/>
              <w:spacing w:line="288" w:lineRule="auto"/>
              <w:jc w:val="center"/>
              <w:outlineLvl w:val="0"/>
              <w:rPr>
                <w:rFonts w:ascii="宋体" w:hAnsi="宋体" w:cs="宋体"/>
                <w:color w:val="auto"/>
                <w:szCs w:val="21"/>
                <w:highlight w:val="none"/>
              </w:rPr>
            </w:pPr>
            <w:r>
              <w:rPr>
                <w:rFonts w:hint="eastAsia" w:ascii="宋体" w:hAnsi="宋体" w:cs="宋体"/>
                <w:color w:val="auto"/>
                <w:szCs w:val="21"/>
                <w:highlight w:val="none"/>
              </w:rPr>
              <w:t>30</w:t>
            </w:r>
          </w:p>
        </w:tc>
        <w:tc>
          <w:tcPr>
            <w:tcW w:w="1034" w:type="dxa"/>
            <w:vAlign w:val="center"/>
          </w:tcPr>
          <w:p>
            <w:pPr>
              <w:snapToGrid w:val="0"/>
              <w:spacing w:line="288" w:lineRule="auto"/>
              <w:jc w:val="center"/>
              <w:outlineLvl w:val="0"/>
              <w:rPr>
                <w:rFonts w:ascii="宋体" w:hAnsi="宋体" w:cs="宋体"/>
                <w:color w:val="auto"/>
                <w:szCs w:val="21"/>
                <w:highlight w:val="none"/>
              </w:rPr>
            </w:pPr>
            <w:r>
              <w:rPr>
                <w:rFonts w:hint="eastAsia" w:ascii="宋体" w:hAnsi="宋体" w:cs="宋体"/>
                <w:color w:val="auto"/>
                <w:szCs w:val="21"/>
                <w:highlight w:val="none"/>
              </w:rPr>
              <w:t>客观分</w:t>
            </w:r>
          </w:p>
        </w:tc>
        <w:tc>
          <w:tcPr>
            <w:tcW w:w="1930" w:type="dxa"/>
            <w:vAlign w:val="center"/>
          </w:tcPr>
          <w:p>
            <w:pPr>
              <w:snapToGrid w:val="0"/>
              <w:spacing w:line="288" w:lineRule="auto"/>
              <w:jc w:val="center"/>
              <w:outlineLvl w:val="0"/>
              <w:rPr>
                <w:rFonts w:ascii="宋体" w:hAnsi="宋体" w:cs="宋体"/>
                <w:color w:val="auto"/>
                <w:szCs w:val="21"/>
                <w:highlight w:val="none"/>
              </w:rPr>
            </w:pPr>
            <w:r>
              <w:rPr>
                <w:rFonts w:hint="eastAsia" w:ascii="宋体" w:hAnsi="宋体" w:cs="宋体"/>
                <w:color w:val="auto"/>
                <w:szCs w:val="21"/>
                <w:highlight w:val="none"/>
              </w:rPr>
              <w:t>/</w:t>
            </w:r>
          </w:p>
        </w:tc>
      </w:tr>
    </w:tbl>
    <w:p>
      <w:pPr>
        <w:snapToGrid w:val="0"/>
        <w:spacing w:line="288" w:lineRule="auto"/>
        <w:rPr>
          <w:rFonts w:ascii="宋体" w:hAnsi="宋体" w:cs="宋体"/>
          <w:b/>
          <w:color w:val="auto"/>
          <w:szCs w:val="21"/>
          <w:highlight w:val="none"/>
        </w:rPr>
      </w:pPr>
    </w:p>
    <w:p>
      <w:pPr>
        <w:snapToGrid w:val="0"/>
        <w:spacing w:line="288" w:lineRule="auto"/>
        <w:ind w:firstLine="424" w:firstLineChars="202"/>
        <w:rPr>
          <w:rFonts w:ascii="宋体" w:hAnsi="宋体" w:cs="宋体"/>
          <w:b/>
          <w:color w:val="auto"/>
          <w:szCs w:val="21"/>
          <w:highlight w:val="none"/>
        </w:rPr>
      </w:pPr>
      <w:r>
        <w:rPr>
          <w:rFonts w:hint="eastAsia" w:ascii="宋体" w:hAnsi="宋体" w:cs="宋体"/>
          <w:color w:val="auto"/>
          <w:szCs w:val="21"/>
          <w:highlight w:val="none"/>
          <w:shd w:val="clear" w:color="auto" w:fill="FFFFFF"/>
        </w:rPr>
        <w:t>*</w:t>
      </w:r>
      <w:r>
        <w:rPr>
          <w:rFonts w:hint="eastAsia" w:ascii="宋体" w:hAnsi="宋体" w:cs="宋体"/>
          <w:b/>
          <w:color w:val="auto"/>
          <w:szCs w:val="21"/>
          <w:highlight w:val="none"/>
        </w:rPr>
        <w:t>备注：</w:t>
      </w:r>
      <w:r>
        <w:rPr>
          <w:rFonts w:hint="eastAsia" w:ascii="宋体" w:hAnsi="宋体" w:cs="宋体"/>
          <w:color w:val="auto"/>
          <w:szCs w:val="21"/>
          <w:highlight w:val="none"/>
        </w:rPr>
        <w:t>投标人编制投标文件（商务技术文件部分）时，建议按此目录（序号和内容）提供评标标准相应的商务技术资料。</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一、评标方法</w:t>
      </w:r>
    </w:p>
    <w:p>
      <w:pPr>
        <w:snapToGrid w:val="0"/>
        <w:spacing w:line="288" w:lineRule="auto"/>
        <w:ind w:firstLine="426" w:firstLineChars="202"/>
        <w:rPr>
          <w:rFonts w:ascii="宋体" w:hAnsi="宋体" w:cs="宋体"/>
          <w:color w:val="auto"/>
          <w:kern w:val="0"/>
          <w:szCs w:val="21"/>
          <w:highlight w:val="none"/>
        </w:rPr>
      </w:pPr>
      <w:r>
        <w:rPr>
          <w:rFonts w:hint="eastAsia" w:ascii="宋体" w:hAnsi="宋体" w:cs="宋体"/>
          <w:b/>
          <w:color w:val="auto"/>
          <w:kern w:val="0"/>
          <w:szCs w:val="21"/>
          <w:highlight w:val="none"/>
        </w:rPr>
        <w:t>1.本项目采用综合评分法。</w:t>
      </w:r>
      <w:r>
        <w:rPr>
          <w:rFonts w:hint="eastAsia" w:ascii="宋体" w:hAnsi="宋体" w:cs="宋体"/>
          <w:color w:val="auto"/>
          <w:kern w:val="0"/>
          <w:szCs w:val="21"/>
          <w:highlight w:val="none"/>
        </w:rPr>
        <w:t>综合评分法，是指投标文件满足招标文件全部实质性要求，且按照评审因素的量化指标评审得分最高的投标人为中标候选人的评标方法。</w:t>
      </w:r>
    </w:p>
    <w:p>
      <w:pPr>
        <w:snapToGrid w:val="0"/>
        <w:spacing w:line="288" w:lineRule="auto"/>
        <w:ind w:firstLine="426" w:firstLineChars="202"/>
        <w:rPr>
          <w:rFonts w:ascii="宋体" w:hAnsi="宋体" w:cs="宋体"/>
          <w:color w:val="auto"/>
          <w:kern w:val="0"/>
          <w:szCs w:val="21"/>
          <w:highlight w:val="none"/>
        </w:rPr>
      </w:pPr>
      <w:r>
        <w:rPr>
          <w:rFonts w:hint="eastAsia" w:ascii="宋体" w:hAnsi="宋体" w:cs="宋体"/>
          <w:b/>
          <w:color w:val="auto"/>
          <w:szCs w:val="21"/>
          <w:highlight w:val="none"/>
        </w:rPr>
        <w:t>二、评标标准</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color w:val="auto"/>
          <w:szCs w:val="21"/>
          <w:highlight w:val="none"/>
        </w:rPr>
        <w:t xml:space="preserve"> </w:t>
      </w:r>
      <w:r>
        <w:rPr>
          <w:rFonts w:hint="eastAsia" w:ascii="宋体" w:hAnsi="宋体" w:cs="宋体"/>
          <w:b/>
          <w:color w:val="auto"/>
          <w:szCs w:val="21"/>
          <w:highlight w:val="none"/>
        </w:rPr>
        <w:t>评标标准：</w:t>
      </w:r>
      <w:r>
        <w:rPr>
          <w:rFonts w:hint="eastAsia" w:ascii="宋体" w:hAnsi="宋体" w:cs="宋体"/>
          <w:color w:val="auto"/>
          <w:kern w:val="0"/>
          <w:szCs w:val="21"/>
          <w:highlight w:val="none"/>
        </w:rPr>
        <w:t>见评标办法前附表。</w:t>
      </w:r>
    </w:p>
    <w:p>
      <w:pPr>
        <w:snapToGrid w:val="0"/>
        <w:spacing w:line="288" w:lineRule="auto"/>
        <w:ind w:firstLine="426" w:firstLineChars="202"/>
        <w:rPr>
          <w:rFonts w:ascii="宋体" w:hAnsi="宋体" w:cs="宋体"/>
          <w:b/>
          <w:color w:val="auto"/>
          <w:szCs w:val="21"/>
          <w:highlight w:val="none"/>
        </w:rPr>
      </w:pPr>
      <w:r>
        <w:rPr>
          <w:rFonts w:hint="eastAsia" w:ascii="宋体" w:hAnsi="宋体" w:cs="宋体"/>
          <w:b/>
          <w:color w:val="auto"/>
          <w:szCs w:val="21"/>
          <w:highlight w:val="none"/>
        </w:rPr>
        <w:t>三、评标程序</w:t>
      </w:r>
    </w:p>
    <w:p>
      <w:pPr>
        <w:snapToGrid w:val="0"/>
        <w:spacing w:line="288" w:lineRule="auto"/>
        <w:ind w:firstLine="426" w:firstLineChars="202"/>
        <w:rPr>
          <w:rFonts w:ascii="宋体" w:hAnsi="宋体" w:cs="宋体"/>
          <w:color w:val="auto"/>
          <w:kern w:val="0"/>
          <w:szCs w:val="21"/>
          <w:highlight w:val="none"/>
        </w:rPr>
      </w:pPr>
      <w:r>
        <w:rPr>
          <w:rFonts w:hint="eastAsia" w:ascii="宋体" w:hAnsi="宋体" w:cs="宋体"/>
          <w:b/>
          <w:color w:val="auto"/>
          <w:kern w:val="0"/>
          <w:szCs w:val="21"/>
          <w:highlight w:val="none"/>
        </w:rPr>
        <w:t>3.1符合性审查。</w:t>
      </w:r>
      <w:r>
        <w:rPr>
          <w:rFonts w:hint="eastAsia" w:ascii="宋体" w:hAnsi="宋体" w:cs="宋体"/>
          <w:color w:val="auto"/>
          <w:kern w:val="0"/>
          <w:szCs w:val="21"/>
          <w:highlight w:val="none"/>
        </w:rPr>
        <w:t>评标委员会应当对符合资格的投标人的投标文件进行符合性审查，以确定其是否满足招标文件的实质性要求。不满足招标文件的实质性要求的，投标无效。</w:t>
      </w:r>
    </w:p>
    <w:p>
      <w:pPr>
        <w:snapToGrid w:val="0"/>
        <w:spacing w:line="288" w:lineRule="auto"/>
        <w:ind w:firstLine="426" w:firstLineChars="202"/>
        <w:rPr>
          <w:rFonts w:ascii="宋体" w:hAnsi="宋体" w:cs="宋体"/>
          <w:color w:val="auto"/>
          <w:kern w:val="0"/>
          <w:szCs w:val="21"/>
          <w:highlight w:val="none"/>
        </w:rPr>
      </w:pPr>
      <w:r>
        <w:rPr>
          <w:rFonts w:hint="eastAsia" w:ascii="宋体" w:hAnsi="宋体" w:cs="宋体"/>
          <w:b/>
          <w:color w:val="auto"/>
          <w:kern w:val="0"/>
          <w:szCs w:val="21"/>
          <w:highlight w:val="none"/>
        </w:rPr>
        <w:t>3.2 比较与评价。</w:t>
      </w:r>
      <w:r>
        <w:rPr>
          <w:rFonts w:hint="eastAsia" w:ascii="宋体" w:hAnsi="宋体" w:cs="宋体"/>
          <w:color w:val="auto"/>
          <w:kern w:val="0"/>
          <w:szCs w:val="21"/>
          <w:highlight w:val="none"/>
        </w:rPr>
        <w:t>评标委员会应当按照招标文件中规定的评标方法和标准，对符合性审查合格的投标文件进行商务和技术评估，综合比较与评价。</w:t>
      </w:r>
    </w:p>
    <w:p>
      <w:pPr>
        <w:snapToGrid w:val="0"/>
        <w:spacing w:line="288" w:lineRule="auto"/>
        <w:ind w:firstLine="426" w:firstLineChars="202"/>
        <w:rPr>
          <w:rFonts w:ascii="宋体" w:hAnsi="宋体" w:cs="宋体"/>
          <w:color w:val="auto"/>
          <w:kern w:val="0"/>
          <w:szCs w:val="21"/>
          <w:highlight w:val="none"/>
        </w:rPr>
      </w:pPr>
      <w:r>
        <w:rPr>
          <w:rFonts w:hint="eastAsia" w:ascii="宋体" w:hAnsi="宋体" w:cs="宋体"/>
          <w:b/>
          <w:color w:val="auto"/>
          <w:kern w:val="0"/>
          <w:szCs w:val="21"/>
          <w:highlight w:val="none"/>
        </w:rPr>
        <w:t>3.3汇总商务技术得分。</w:t>
      </w:r>
      <w:r>
        <w:rPr>
          <w:rFonts w:hint="eastAsia" w:ascii="宋体" w:hAnsi="宋体" w:cs="宋体"/>
          <w:color w:val="auto"/>
          <w:kern w:val="0"/>
          <w:szCs w:val="21"/>
          <w:highlight w:val="none"/>
        </w:rPr>
        <w:t>评标委员会各成员应当独立对每个投标人的商务和技术文件进行评价，并汇总商务技术得分情况。</w:t>
      </w:r>
    </w:p>
    <w:p>
      <w:pPr>
        <w:snapToGrid w:val="0"/>
        <w:spacing w:line="288" w:lineRule="auto"/>
        <w:ind w:firstLine="426" w:firstLineChars="202"/>
        <w:rPr>
          <w:rFonts w:ascii="宋体" w:hAnsi="宋体" w:cs="宋体"/>
          <w:b/>
          <w:color w:val="auto"/>
          <w:kern w:val="0"/>
          <w:szCs w:val="21"/>
          <w:highlight w:val="none"/>
        </w:rPr>
      </w:pPr>
      <w:r>
        <w:rPr>
          <w:rFonts w:hint="eastAsia" w:ascii="宋体" w:hAnsi="宋体" w:cs="宋体"/>
          <w:b/>
          <w:color w:val="auto"/>
          <w:kern w:val="0"/>
          <w:szCs w:val="21"/>
          <w:highlight w:val="none"/>
        </w:rPr>
        <w:t>3.4报价评审。</w:t>
      </w:r>
    </w:p>
    <w:p>
      <w:pPr>
        <w:pStyle w:val="134"/>
        <w:snapToGrid w:val="0"/>
        <w:spacing w:before="0" w:line="288" w:lineRule="auto"/>
        <w:ind w:firstLine="424" w:firstLineChars="202"/>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3.4.1投标文件报价出现前后不一致的，按照下列规定修正：</w:t>
      </w:r>
    </w:p>
    <w:p>
      <w:pPr>
        <w:pStyle w:val="134"/>
        <w:snapToGrid w:val="0"/>
        <w:spacing w:before="0" w:line="288" w:lineRule="auto"/>
        <w:ind w:firstLine="424" w:firstLineChars="202"/>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3.4.1.1投标文件中开标一览表(报价表)内容与投标文件中相应内容不一致的，以开标一览表(报价表)为准;</w:t>
      </w:r>
    </w:p>
    <w:p>
      <w:pPr>
        <w:pStyle w:val="134"/>
        <w:snapToGrid w:val="0"/>
        <w:spacing w:before="0" w:line="288" w:lineRule="auto"/>
        <w:ind w:firstLine="424" w:firstLineChars="202"/>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3.4.1.2大写金额和小写金额不一致的，以大写金额为准;</w:t>
      </w:r>
    </w:p>
    <w:p>
      <w:pPr>
        <w:pStyle w:val="134"/>
        <w:snapToGrid w:val="0"/>
        <w:spacing w:before="0" w:line="288" w:lineRule="auto"/>
        <w:ind w:firstLine="424" w:firstLineChars="202"/>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3.4.1.3单价金额小数点或者百分比有明显错位的，以开标一览表的总价为准，并修改单价;</w:t>
      </w:r>
    </w:p>
    <w:p>
      <w:pPr>
        <w:pStyle w:val="134"/>
        <w:snapToGrid w:val="0"/>
        <w:spacing w:before="0" w:line="288" w:lineRule="auto"/>
        <w:ind w:firstLine="424" w:firstLineChars="202"/>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3.4.1.4总价金额与按单价汇总金额不一致的，以单价金额计算结果为准。</w:t>
      </w:r>
    </w:p>
    <w:p>
      <w:pPr>
        <w:pStyle w:val="134"/>
        <w:snapToGrid w:val="0"/>
        <w:spacing w:before="0" w:line="288" w:lineRule="auto"/>
        <w:ind w:firstLine="424" w:firstLineChars="202"/>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288" w:lineRule="auto"/>
        <w:ind w:firstLine="424" w:firstLineChars="202"/>
        <w:jc w:val="left"/>
        <w:rPr>
          <w:rFonts w:ascii="宋体" w:hAnsi="宋体" w:cs="宋体"/>
          <w:color w:val="auto"/>
          <w:kern w:val="0"/>
          <w:szCs w:val="21"/>
          <w:highlight w:val="none"/>
        </w:rPr>
      </w:pPr>
      <w:r>
        <w:rPr>
          <w:rFonts w:hint="eastAsia" w:ascii="宋体" w:hAnsi="宋体" w:cs="宋体"/>
          <w:color w:val="auto"/>
          <w:kern w:val="0"/>
          <w:szCs w:val="21"/>
          <w:highlight w:val="none"/>
        </w:rPr>
        <w:t>3.4.2投标文件出现不是唯一的、有选择性投标报价的，投标无效。</w:t>
      </w:r>
    </w:p>
    <w:p>
      <w:pPr>
        <w:snapToGrid w:val="0"/>
        <w:spacing w:line="288" w:lineRule="auto"/>
        <w:ind w:firstLine="424" w:firstLineChars="202"/>
        <w:jc w:val="left"/>
        <w:rPr>
          <w:rFonts w:ascii="宋体" w:hAnsi="宋体" w:cs="宋体"/>
          <w:color w:val="auto"/>
          <w:kern w:val="0"/>
          <w:szCs w:val="21"/>
          <w:highlight w:val="none"/>
        </w:rPr>
      </w:pPr>
      <w:r>
        <w:rPr>
          <w:rFonts w:hint="eastAsia" w:ascii="宋体" w:hAnsi="宋体" w:cs="宋体"/>
          <w:color w:val="auto"/>
          <w:kern w:val="0"/>
          <w:szCs w:val="21"/>
          <w:highlight w:val="none"/>
        </w:rPr>
        <w:t>3.4.3投标报价超过招标文件中规定的预算金额或者最高限价的，投标无效。</w:t>
      </w:r>
    </w:p>
    <w:p>
      <w:pPr>
        <w:pStyle w:val="134"/>
        <w:snapToGrid w:val="0"/>
        <w:spacing w:before="0" w:line="288" w:lineRule="auto"/>
        <w:ind w:firstLine="424" w:firstLineChars="202"/>
        <w:rPr>
          <w:rFonts w:ascii="宋体" w:hAnsi="宋体" w:cs="宋体"/>
          <w:color w:val="auto"/>
          <w:kern w:val="0"/>
          <w:sz w:val="21"/>
          <w:szCs w:val="21"/>
          <w:highlight w:val="none"/>
        </w:rPr>
      </w:pPr>
      <w:r>
        <w:rPr>
          <w:rFonts w:hint="eastAsia" w:ascii="宋体" w:hAnsi="宋体" w:cs="宋体"/>
          <w:color w:val="auto"/>
          <w:kern w:val="0"/>
          <w:sz w:val="21"/>
          <w:szCs w:val="21"/>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4"/>
        <w:snapToGrid w:val="0"/>
        <w:spacing w:before="0" w:line="288" w:lineRule="auto"/>
        <w:ind w:firstLine="424" w:firstLineChars="202"/>
        <w:rPr>
          <w:rFonts w:ascii="宋体" w:hAnsi="宋体" w:cs="宋体"/>
          <w:color w:val="auto"/>
          <w:kern w:val="0"/>
          <w:sz w:val="21"/>
          <w:szCs w:val="21"/>
          <w:highlight w:val="none"/>
        </w:rPr>
      </w:pPr>
      <w:r>
        <w:rPr>
          <w:rFonts w:hint="eastAsia" w:ascii="宋体" w:hAnsi="宋体" w:cs="宋体"/>
          <w:color w:val="auto"/>
          <w:kern w:val="0"/>
          <w:sz w:val="21"/>
          <w:szCs w:val="21"/>
          <w:highlight w:val="none"/>
        </w:rPr>
        <w:t>3.4.5对于未预留份额专门面向中小企业的政府采购货物项目，以及预留份额政府采购货物项目中的非预留部分标项，对小型和微型企业的投标报价给予1</w:t>
      </w:r>
      <w:r>
        <w:rPr>
          <w:rFonts w:ascii="宋体" w:hAnsi="宋体" w:cs="宋体"/>
          <w:color w:val="auto"/>
          <w:kern w:val="0"/>
          <w:sz w:val="21"/>
          <w:szCs w:val="21"/>
          <w:highlight w:val="none"/>
        </w:rPr>
        <w:t>0</w:t>
      </w:r>
      <w:r>
        <w:rPr>
          <w:rFonts w:hint="eastAsia" w:ascii="宋体" w:hAnsi="宋体" w:cs="宋体"/>
          <w:color w:val="auto"/>
          <w:kern w:val="0"/>
          <w:sz w:val="21"/>
          <w:szCs w:val="21"/>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napToGrid w:val="0"/>
        <w:spacing w:line="288" w:lineRule="auto"/>
        <w:ind w:firstLine="426" w:firstLineChars="202"/>
        <w:rPr>
          <w:rFonts w:ascii="宋体" w:hAnsi="宋体" w:cs="宋体"/>
          <w:color w:val="auto"/>
          <w:kern w:val="0"/>
          <w:szCs w:val="21"/>
          <w:highlight w:val="none"/>
        </w:rPr>
      </w:pPr>
      <w:r>
        <w:rPr>
          <w:rFonts w:hint="eastAsia" w:ascii="宋体" w:hAnsi="宋体" w:cs="宋体"/>
          <w:b/>
          <w:color w:val="auto"/>
          <w:kern w:val="0"/>
          <w:szCs w:val="21"/>
          <w:highlight w:val="none"/>
        </w:rPr>
        <w:t>3.5排序与推荐。</w:t>
      </w:r>
      <w:r>
        <w:rPr>
          <w:rFonts w:hint="eastAsia" w:ascii="宋体" w:hAnsi="宋体" w:cs="宋体"/>
          <w:color w:val="auto"/>
          <w:kern w:val="0"/>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napToGrid w:val="0"/>
        <w:spacing w:line="288" w:lineRule="auto"/>
        <w:ind w:firstLine="424" w:firstLineChars="202"/>
        <w:rPr>
          <w:rFonts w:ascii="宋体" w:hAnsi="宋体" w:cs="宋体"/>
          <w:b/>
          <w:color w:val="auto"/>
          <w:kern w:val="0"/>
          <w:szCs w:val="21"/>
          <w:highlight w:val="none"/>
        </w:rPr>
      </w:pPr>
      <w:r>
        <w:rPr>
          <w:rFonts w:hint="eastAsia" w:ascii="宋体" w:hAnsi="宋体" w:cs="宋体"/>
          <w:color w:val="auto"/>
          <w:kern w:val="0"/>
          <w:szCs w:val="21"/>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napToGrid w:val="0"/>
        <w:spacing w:line="288" w:lineRule="auto"/>
        <w:ind w:firstLine="426" w:firstLineChars="202"/>
        <w:rPr>
          <w:rFonts w:ascii="宋体" w:hAnsi="宋体" w:cs="宋体"/>
          <w:color w:val="auto"/>
          <w:kern w:val="0"/>
          <w:szCs w:val="21"/>
          <w:highlight w:val="none"/>
        </w:rPr>
      </w:pPr>
      <w:r>
        <w:rPr>
          <w:rFonts w:hint="eastAsia" w:ascii="宋体" w:hAnsi="宋体" w:cs="宋体"/>
          <w:b/>
          <w:color w:val="auto"/>
          <w:kern w:val="0"/>
          <w:szCs w:val="21"/>
          <w:highlight w:val="none"/>
        </w:rPr>
        <w:t>3.6编写评标报告。</w:t>
      </w:r>
      <w:r>
        <w:rPr>
          <w:rFonts w:hint="eastAsia" w:ascii="宋体" w:hAnsi="宋体" w:cs="宋体"/>
          <w:color w:val="auto"/>
          <w:kern w:val="0"/>
          <w:szCs w:val="21"/>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shd w:val="clear" w:color="auto" w:fill="FFFFFF"/>
        <w:snapToGrid w:val="0"/>
        <w:spacing w:line="288" w:lineRule="auto"/>
        <w:ind w:firstLine="426" w:firstLineChars="202"/>
        <w:jc w:val="left"/>
        <w:rPr>
          <w:rFonts w:ascii="宋体" w:hAnsi="宋体" w:cs="宋体"/>
          <w:b/>
          <w:color w:val="auto"/>
          <w:szCs w:val="21"/>
          <w:highlight w:val="none"/>
        </w:rPr>
      </w:pPr>
      <w:r>
        <w:rPr>
          <w:rFonts w:hint="eastAsia" w:ascii="宋体" w:hAnsi="宋体" w:cs="宋体"/>
          <w:b/>
          <w:color w:val="auto"/>
          <w:szCs w:val="21"/>
          <w:highlight w:val="none"/>
        </w:rPr>
        <w:t>四、评标中的其他事项</w:t>
      </w:r>
    </w:p>
    <w:p>
      <w:pPr>
        <w:pStyle w:val="134"/>
        <w:snapToGrid w:val="0"/>
        <w:spacing w:before="0" w:line="288" w:lineRule="auto"/>
        <w:ind w:firstLine="426" w:firstLineChars="20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4.1投标人澄清、说明或者补正。</w:t>
      </w:r>
      <w:r>
        <w:rPr>
          <w:rFonts w:hint="eastAsia" w:ascii="宋体" w:hAnsi="宋体" w:cs="宋体"/>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napToGrid w:val="0"/>
        <w:spacing w:line="288" w:lineRule="auto"/>
        <w:ind w:firstLine="426" w:firstLineChars="202"/>
        <w:rPr>
          <w:rFonts w:cs="宋体"/>
          <w:color w:val="auto"/>
          <w:sz w:val="21"/>
          <w:szCs w:val="21"/>
          <w:highlight w:val="none"/>
        </w:rPr>
      </w:pPr>
      <w:r>
        <w:rPr>
          <w:rFonts w:hint="eastAsia" w:cs="宋体"/>
          <w:b/>
          <w:color w:val="auto"/>
          <w:kern w:val="0"/>
          <w:sz w:val="21"/>
          <w:szCs w:val="21"/>
          <w:highlight w:val="none"/>
        </w:rPr>
        <w:t>4.2投标无效。</w:t>
      </w:r>
      <w:r>
        <w:rPr>
          <w:rFonts w:hint="eastAsia" w:cs="宋体"/>
          <w:color w:val="auto"/>
          <w:sz w:val="21"/>
          <w:szCs w:val="21"/>
          <w:highlight w:val="none"/>
        </w:rPr>
        <w:t>有下列情形之一的，投标无效：</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4.2.1投标人不具备招标文件中规定的资格要求的（投标人未提供有效的资格文件的，视为投标人不具备招标文件中规定的资格要求）；</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4.2.2投标文件未按照招标文件要求签署、盖章的；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4.2.3采购人拟采购的产品属于政府强制采购的节能产品品目清单范围的，投标人相应的投标产品未获得国家确定的认证机构出具的、处于有效期之内的节能产品认证证书的；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4.2.4投标文件含有采购人不能接受的附加条件的；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4.2.5投标文件中承诺的投标有效期少于招标文件中载明的投标有效期的；</w:t>
      </w:r>
    </w:p>
    <w:p>
      <w:pPr>
        <w:snapToGrid w:val="0"/>
        <w:spacing w:line="288" w:lineRule="auto"/>
        <w:ind w:firstLine="424" w:firstLineChars="202"/>
        <w:jc w:val="left"/>
        <w:rPr>
          <w:rFonts w:ascii="宋体" w:hAnsi="宋体" w:cs="宋体"/>
          <w:color w:val="auto"/>
          <w:kern w:val="0"/>
          <w:szCs w:val="21"/>
          <w:highlight w:val="none"/>
        </w:rPr>
      </w:pPr>
      <w:r>
        <w:rPr>
          <w:rFonts w:hint="eastAsia" w:ascii="宋体" w:hAnsi="宋体" w:cs="宋体"/>
          <w:color w:val="auto"/>
          <w:kern w:val="0"/>
          <w:szCs w:val="21"/>
          <w:highlight w:val="none"/>
        </w:rPr>
        <w:t>4.2.6投标文件出现不是唯一的、有选择性投标报价的;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4.2.7投标报价超过招标文件中规定的预算金额或者最高限价的;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4.2.8报价明显低于其他通过符合性审查投标人的报价，有可能影响产品质量或者不能诚信履约的，未能按要求提供书面说明或者提交相关证明材料，不能证明其报价合理性的;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4.2.9投标人对根据修正原则修正后的报价不确认的；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4.2.10投标人提供虚假材料投标的；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4.2.11投标人有恶意串通、妨碍其他投标人的竞争行为、损害采购人或者其他投标人的合法权益情形的；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4.2.12投标人仅提交备份投标文件，未在电子交易平台传输递交投标文件的，投标无效；</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4.2.13 投标文件不满足招标文件的其它实质性要求的；</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4.2.14法律、法规、规章（适用本市的）及省级以上规范性文件（适用本市的）规定的其他无效情形。</w:t>
      </w:r>
    </w:p>
    <w:p>
      <w:pPr>
        <w:pStyle w:val="25"/>
        <w:snapToGrid w:val="0"/>
        <w:spacing w:line="288" w:lineRule="auto"/>
        <w:ind w:firstLine="426" w:firstLineChars="202"/>
        <w:rPr>
          <w:rFonts w:cs="宋体"/>
          <w:color w:val="auto"/>
          <w:sz w:val="21"/>
          <w:szCs w:val="21"/>
          <w:highlight w:val="none"/>
        </w:rPr>
      </w:pPr>
      <w:r>
        <w:rPr>
          <w:rFonts w:hint="eastAsia" w:cs="宋体"/>
          <w:b/>
          <w:color w:val="auto"/>
          <w:sz w:val="21"/>
          <w:szCs w:val="21"/>
          <w:highlight w:val="none"/>
        </w:rPr>
        <w:t>5.废标。</w:t>
      </w:r>
      <w:r>
        <w:rPr>
          <w:rFonts w:hint="eastAsia" w:cs="宋体"/>
          <w:color w:val="auto"/>
          <w:sz w:val="21"/>
          <w:szCs w:val="21"/>
          <w:highlight w:val="none"/>
        </w:rPr>
        <w:t>根据《中华人民共和国政府采购法》第三十六条之规定，在采购中，出现下列情形之一的，应予废标：</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5.1符合专业条件的供应商或者对招标文件作实质响应的供应商不足3家的；</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5.2出现影响采购公正的违法、违规行为的；</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5.3投标人的报价均超过了采购预算，采购人不能支付的；</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5.4因重大变故，采购任务取消的。</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废标后，采购代理机构应当将废标理由通知所有投标人。</w:t>
      </w:r>
    </w:p>
    <w:p>
      <w:pPr>
        <w:pStyle w:val="25"/>
        <w:snapToGrid w:val="0"/>
        <w:spacing w:line="288" w:lineRule="auto"/>
        <w:ind w:firstLine="426" w:firstLineChars="202"/>
        <w:rPr>
          <w:rFonts w:cs="宋体"/>
          <w:color w:val="auto"/>
          <w:sz w:val="21"/>
          <w:szCs w:val="21"/>
          <w:highlight w:val="none"/>
        </w:rPr>
      </w:pPr>
      <w:r>
        <w:rPr>
          <w:rFonts w:hint="eastAsia" w:cs="宋体"/>
          <w:b/>
          <w:color w:val="auto"/>
          <w:sz w:val="21"/>
          <w:szCs w:val="21"/>
          <w:highlight w:val="none"/>
        </w:rPr>
        <w:t>6.修改招标文件，重新组织采购活动。</w:t>
      </w:r>
      <w:r>
        <w:rPr>
          <w:rFonts w:hint="eastAsia" w:cs="宋体"/>
          <w:color w:val="auto"/>
          <w:sz w:val="21"/>
          <w:szCs w:val="21"/>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5"/>
        <w:snapToGrid w:val="0"/>
        <w:spacing w:line="288" w:lineRule="auto"/>
        <w:ind w:firstLine="426" w:firstLineChars="202"/>
        <w:rPr>
          <w:rFonts w:cs="宋体"/>
          <w:color w:val="auto"/>
          <w:sz w:val="21"/>
          <w:szCs w:val="21"/>
          <w:highlight w:val="none"/>
        </w:rPr>
      </w:pPr>
      <w:r>
        <w:rPr>
          <w:rFonts w:hint="eastAsia" w:cs="宋体"/>
          <w:b/>
          <w:color w:val="auto"/>
          <w:kern w:val="0"/>
          <w:sz w:val="21"/>
          <w:szCs w:val="21"/>
          <w:highlight w:val="none"/>
        </w:rPr>
        <w:t>7.重新开展采购。</w:t>
      </w:r>
      <w:r>
        <w:rPr>
          <w:rFonts w:hint="eastAsia" w:cs="宋体"/>
          <w:color w:val="auto"/>
          <w:sz w:val="21"/>
          <w:szCs w:val="21"/>
          <w:highlight w:val="none"/>
        </w:rPr>
        <w:t>有政府采购法第七十一条、第七十二条规定的违法行为之一，影响或者可能影响中标结果的，依照下列规定处理：</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7.1未确定中标供应商的，终止本次政府采购活动，重新开展政府采购活动。</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7.2已确定中标供应商但尚未签订政府采购合同的，中标结果无效，从合格的中标候选人中另行确定中标供应商；没有合格的中标候选人的，重新开展政府采购活动。</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7.3政府采购合同已签订但尚未履行的，撤销合同，从合格的中标候选人中另行确定中标供应商；没有合格的中标候选人的，重新开展政府采购活动。</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7.4政府采购合同已经履行，给采购人、供应商造成损失的，由责任人承担赔偿责任。</w:t>
      </w:r>
    </w:p>
    <w:p>
      <w:pPr>
        <w:pStyle w:val="25"/>
        <w:snapToGrid w:val="0"/>
        <w:spacing w:line="288" w:lineRule="auto"/>
        <w:ind w:firstLine="424" w:firstLineChars="202"/>
        <w:rPr>
          <w:rFonts w:cs="宋体"/>
          <w:color w:val="auto"/>
          <w:sz w:val="21"/>
          <w:szCs w:val="21"/>
          <w:highlight w:val="none"/>
        </w:rPr>
      </w:pPr>
      <w:r>
        <w:rPr>
          <w:rFonts w:hint="eastAsia" w:cs="宋体"/>
          <w:color w:val="auto"/>
          <w:sz w:val="21"/>
          <w:szCs w:val="21"/>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9"/>
    <w:p>
      <w:pPr>
        <w:widowControl/>
        <w:adjustRightInd/>
        <w:jc w:val="left"/>
        <w:rPr>
          <w:rFonts w:ascii="宋体" w:hAnsi="宋体" w:cs="宋体"/>
          <w:b/>
          <w:color w:val="auto"/>
          <w:szCs w:val="21"/>
          <w:highlight w:val="none"/>
        </w:rPr>
      </w:pPr>
      <w:bookmarkStart w:id="397" w:name="第五部分"/>
      <w:bookmarkStart w:id="398" w:name="_Toc86217003"/>
      <w:r>
        <w:rPr>
          <w:rFonts w:ascii="宋体" w:hAnsi="宋体" w:cs="宋体"/>
          <w:b/>
          <w:color w:val="auto"/>
          <w:szCs w:val="21"/>
          <w:highlight w:val="none"/>
        </w:rPr>
        <w:br w:type="page"/>
      </w: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pPr>
        <w:pStyle w:val="702"/>
        <w:rPr>
          <w:rFonts w:ascii="宋体" w:hAnsi="宋体" w:cs="宋体"/>
          <w:color w:val="auto"/>
          <w:szCs w:val="24"/>
          <w:highlight w:val="none"/>
        </w:rPr>
      </w:pPr>
    </w:p>
    <w:p>
      <w:pPr>
        <w:pStyle w:val="702"/>
        <w:rPr>
          <w:rFonts w:ascii="宋体" w:hAnsi="宋体" w:cs="宋体"/>
          <w:color w:val="auto"/>
          <w:szCs w:val="24"/>
          <w:highlight w:val="none"/>
        </w:rPr>
      </w:pPr>
    </w:p>
    <w:p>
      <w:pPr>
        <w:pStyle w:val="702"/>
        <w:jc w:val="center"/>
        <w:rPr>
          <w:rFonts w:ascii="宋体" w:hAnsi="宋体" w:cs="宋体"/>
          <w:color w:val="auto"/>
          <w:szCs w:val="24"/>
          <w:highlight w:val="none"/>
        </w:rPr>
      </w:pPr>
    </w:p>
    <w:p>
      <w:pPr>
        <w:pStyle w:val="702"/>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pStyle w:val="702"/>
        <w:rPr>
          <w:rFonts w:ascii="宋体" w:hAnsi="宋体" w:cs="宋体"/>
          <w:color w:val="auto"/>
          <w:szCs w:val="24"/>
          <w:highlight w:val="none"/>
        </w:rPr>
      </w:pPr>
    </w:p>
    <w:p>
      <w:pPr>
        <w:pStyle w:val="702"/>
        <w:rPr>
          <w:rFonts w:ascii="宋体" w:hAnsi="宋体" w:cs="宋体"/>
          <w:color w:val="auto"/>
          <w:szCs w:val="24"/>
          <w:highlight w:val="none"/>
        </w:rPr>
      </w:pP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599"/>
        <w:spacing w:before="120" w:line="22" w:lineRule="atLeast"/>
        <w:rPr>
          <w:rFonts w:ascii="宋体" w:hAnsi="宋体" w:eastAsia="宋体" w:cs="宋体"/>
          <w:color w:val="auto"/>
          <w:szCs w:val="24"/>
          <w:highlight w:val="none"/>
        </w:rPr>
      </w:pPr>
    </w:p>
    <w:p>
      <w:pPr>
        <w:pStyle w:val="599"/>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7" w:h="16840"/>
          <w:pgMar w:top="1474" w:right="1814" w:bottom="1474" w:left="1814" w:header="851" w:footer="851" w:gutter="0"/>
          <w:cols w:space="720" w:num="1"/>
        </w:sect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年</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月</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日</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（采购人）   </w:t>
      </w:r>
      <w:r>
        <w:rPr>
          <w:rFonts w:hint="eastAsia" w:ascii="宋体" w:hAnsi="宋体" w:cs="宋体"/>
          <w:color w:val="auto"/>
          <w:szCs w:val="21"/>
          <w:highlight w:val="none"/>
        </w:rPr>
        <w:t>以</w:t>
      </w:r>
      <w:r>
        <w:rPr>
          <w:rFonts w:hint="eastAsia" w:ascii="宋体" w:hAnsi="宋体" w:cs="宋体"/>
          <w:color w:val="auto"/>
          <w:szCs w:val="21"/>
          <w:highlight w:val="none"/>
          <w:u w:val="single"/>
        </w:rPr>
        <w:t xml:space="preserve">   （政府采购方式）  </w:t>
      </w:r>
      <w:r>
        <w:rPr>
          <w:rFonts w:hint="eastAsia" w:ascii="宋体" w:hAnsi="宋体" w:cs="宋体"/>
          <w:color w:val="auto"/>
          <w:szCs w:val="21"/>
          <w:highlight w:val="none"/>
        </w:rPr>
        <w:t>对</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项目进行了采购。经</w:t>
      </w:r>
      <w:r>
        <w:rPr>
          <w:rFonts w:hint="eastAsia" w:ascii="宋体" w:hAnsi="宋体" w:cs="宋体"/>
          <w:color w:val="auto"/>
          <w:szCs w:val="21"/>
          <w:highlight w:val="none"/>
          <w:u w:val="single"/>
        </w:rPr>
        <w:t xml:space="preserve">   （相关评定主体名称）   </w:t>
      </w:r>
      <w:r>
        <w:rPr>
          <w:rFonts w:hint="eastAsia" w:ascii="宋体" w:hAnsi="宋体" w:cs="宋体"/>
          <w:color w:val="auto"/>
          <w:szCs w:val="21"/>
          <w:highlight w:val="none"/>
        </w:rPr>
        <w:t>评定，</w:t>
      </w:r>
      <w:r>
        <w:rPr>
          <w:rFonts w:hint="eastAsia" w:ascii="宋体" w:hAnsi="宋体" w:cs="宋体"/>
          <w:color w:val="auto"/>
          <w:szCs w:val="21"/>
          <w:highlight w:val="none"/>
          <w:u w:val="single"/>
        </w:rPr>
        <w:t xml:space="preserve">   （中标供应商名称）</w:t>
      </w:r>
      <w:r>
        <w:rPr>
          <w:rFonts w:hint="eastAsia" w:ascii="宋体" w:hAnsi="宋体" w:cs="宋体"/>
          <w:color w:val="auto"/>
          <w:szCs w:val="21"/>
          <w:highlight w:val="none"/>
        </w:rPr>
        <w:t>为该项目中标供应商。现于中标通知书发出之日起10个工作日内，按照采购文件确定的事项签订本合同。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Cs w:val="21"/>
          <w:highlight w:val="none"/>
          <w:u w:val="single"/>
        </w:rPr>
        <w:t xml:space="preserve">   （采购人）   </w:t>
      </w:r>
      <w:r>
        <w:rPr>
          <w:rFonts w:hint="eastAsia" w:ascii="宋体" w:hAnsi="宋体" w:cs="宋体"/>
          <w:color w:val="auto"/>
          <w:szCs w:val="21"/>
          <w:highlight w:val="none"/>
          <w:lang w:val="zh-CN"/>
        </w:rPr>
        <w:t>(以下简称：甲方)和</w:t>
      </w:r>
      <w:r>
        <w:rPr>
          <w:rFonts w:hint="eastAsia" w:ascii="宋体" w:hAnsi="宋体" w:cs="宋体"/>
          <w:color w:val="auto"/>
          <w:szCs w:val="21"/>
          <w:highlight w:val="none"/>
          <w:u w:val="single"/>
        </w:rPr>
        <w:t xml:space="preserve">   （中标供应商名称）   </w:t>
      </w:r>
      <w:r>
        <w:rPr>
          <w:rFonts w:hint="eastAsia" w:ascii="宋体" w:hAnsi="宋体" w:cs="宋体"/>
          <w:color w:val="auto"/>
          <w:szCs w:val="21"/>
          <w:highlight w:val="none"/>
          <w:lang w:val="zh-CN"/>
        </w:rPr>
        <w:t>(以下简称：乙方)协商一致，约定以下合同</w:t>
      </w:r>
      <w:r>
        <w:rPr>
          <w:rFonts w:hint="eastAsia" w:ascii="宋体" w:hAnsi="宋体" w:cs="宋体"/>
          <w:color w:val="auto"/>
          <w:szCs w:val="21"/>
          <w:highlight w:val="none"/>
        </w:rPr>
        <w:t>条款，以兹共同遵守、全面履行。</w:t>
      </w:r>
    </w:p>
    <w:p>
      <w:pPr>
        <w:spacing w:line="360" w:lineRule="auto"/>
        <w:ind w:firstLine="422" w:firstLineChars="200"/>
        <w:outlineLvl w:val="0"/>
        <w:rPr>
          <w:rFonts w:ascii="宋体" w:hAnsi="宋体" w:cs="宋体"/>
          <w:b/>
          <w:color w:val="auto"/>
          <w:szCs w:val="21"/>
          <w:highlight w:val="none"/>
        </w:rPr>
      </w:pPr>
      <w:bookmarkStart w:id="399" w:name="_Toc3029"/>
      <w:bookmarkStart w:id="400" w:name="_Toc24059"/>
      <w:bookmarkStart w:id="401" w:name="_Toc2232"/>
      <w:r>
        <w:rPr>
          <w:rFonts w:hint="eastAsia" w:ascii="宋体" w:hAnsi="宋体" w:cs="宋体"/>
          <w:b/>
          <w:color w:val="auto"/>
          <w:szCs w:val="21"/>
          <w:highlight w:val="none"/>
        </w:rPr>
        <w:t>1.1 合同组成部分</w:t>
      </w:r>
      <w:bookmarkEnd w:id="399"/>
      <w:bookmarkEnd w:id="400"/>
      <w:bookmarkEnd w:id="401"/>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1.1.1 本合同及其补充合同、变更协议；</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1.1.2 中标通知书；</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1.1.3 投标文件（含澄清或者说明文件）；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1.1.4 招标文件（含澄清或者修改文件）；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1.1.5 其他相关采购文件。</w:t>
      </w:r>
    </w:p>
    <w:p>
      <w:pPr>
        <w:spacing w:line="360" w:lineRule="auto"/>
        <w:ind w:firstLine="422" w:firstLineChars="200"/>
        <w:outlineLvl w:val="0"/>
        <w:rPr>
          <w:rFonts w:ascii="宋体" w:hAnsi="宋体" w:cs="宋体"/>
          <w:b/>
          <w:color w:val="auto"/>
          <w:szCs w:val="21"/>
          <w:highlight w:val="none"/>
        </w:rPr>
      </w:pPr>
      <w:bookmarkStart w:id="402" w:name="_Toc24300"/>
      <w:bookmarkStart w:id="403" w:name="_Toc27126"/>
      <w:bookmarkStart w:id="404" w:name="_Toc21295"/>
      <w:r>
        <w:rPr>
          <w:rFonts w:hint="eastAsia" w:ascii="宋体" w:hAnsi="宋体" w:cs="宋体"/>
          <w:b/>
          <w:color w:val="auto"/>
          <w:szCs w:val="21"/>
          <w:highlight w:val="none"/>
        </w:rPr>
        <w:t>1.2 货物</w:t>
      </w:r>
      <w:bookmarkEnd w:id="402"/>
      <w:bookmarkEnd w:id="403"/>
      <w:bookmarkEnd w:id="404"/>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1.2.1 货物名称：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1.2.2 货物数量：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1.2.3 货物质量：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2" w:firstLineChars="200"/>
        <w:outlineLvl w:val="0"/>
        <w:rPr>
          <w:rFonts w:ascii="宋体" w:hAnsi="宋体" w:cs="宋体"/>
          <w:b/>
          <w:color w:val="auto"/>
          <w:szCs w:val="21"/>
          <w:highlight w:val="none"/>
        </w:rPr>
      </w:pPr>
      <w:bookmarkStart w:id="405" w:name="_Toc23292"/>
      <w:bookmarkStart w:id="406" w:name="_Toc21631"/>
      <w:bookmarkStart w:id="407" w:name="_Toc21551"/>
      <w:r>
        <w:rPr>
          <w:rFonts w:hint="eastAsia" w:ascii="宋体" w:hAnsi="宋体" w:cs="宋体"/>
          <w:b/>
          <w:color w:val="auto"/>
          <w:szCs w:val="21"/>
          <w:highlight w:val="none"/>
        </w:rPr>
        <w:t>1.3 价款</w:t>
      </w:r>
      <w:bookmarkEnd w:id="405"/>
      <w:bookmarkEnd w:id="406"/>
      <w:bookmarkEnd w:id="407"/>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本合同总价为：￥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元人民币）。</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分项价格：</w:t>
      </w:r>
    </w:p>
    <w:tbl>
      <w:tblPr>
        <w:tblStyle w:val="62"/>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4578"/>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616"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Ansi="宋体" w:cs="宋体"/>
                <w:color w:val="auto"/>
                <w:sz w:val="21"/>
                <w:szCs w:val="21"/>
                <w:highlight w:val="none"/>
              </w:rPr>
            </w:pPr>
            <w:r>
              <w:rPr>
                <w:rFonts w:hint="eastAsia" w:hAnsi="宋体" w:cs="宋体"/>
                <w:color w:val="auto"/>
                <w:sz w:val="21"/>
                <w:szCs w:val="21"/>
                <w:highlight w:val="none"/>
              </w:rPr>
              <w:t>序号</w:t>
            </w:r>
          </w:p>
        </w:tc>
        <w:tc>
          <w:tcPr>
            <w:tcW w:w="4578"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r>
              <w:rPr>
                <w:rFonts w:hint="eastAsia" w:hAnsi="宋体" w:cs="宋体"/>
                <w:color w:val="auto"/>
                <w:sz w:val="21"/>
                <w:szCs w:val="21"/>
                <w:highlight w:val="none"/>
              </w:rPr>
              <w:t>分项名称</w:t>
            </w:r>
          </w:p>
        </w:tc>
        <w:tc>
          <w:tcPr>
            <w:tcW w:w="3434"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Ansi="宋体" w:cs="宋体"/>
                <w:color w:val="auto"/>
                <w:sz w:val="21"/>
                <w:szCs w:val="21"/>
                <w:highlight w:val="none"/>
              </w:rPr>
            </w:pPr>
            <w:r>
              <w:rPr>
                <w:rFonts w:hint="eastAsia" w:hAnsi="宋体" w:cs="宋体"/>
                <w:color w:val="auto"/>
                <w:sz w:val="21"/>
                <w:szCs w:val="21"/>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616"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c>
          <w:tcPr>
            <w:tcW w:w="4578"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c>
          <w:tcPr>
            <w:tcW w:w="3434"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616"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c>
          <w:tcPr>
            <w:tcW w:w="4578"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c>
          <w:tcPr>
            <w:tcW w:w="3434"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616"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c>
          <w:tcPr>
            <w:tcW w:w="4578"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c>
          <w:tcPr>
            <w:tcW w:w="3434"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616"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c>
          <w:tcPr>
            <w:tcW w:w="4578"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c>
          <w:tcPr>
            <w:tcW w:w="3434"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194"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r>
              <w:rPr>
                <w:rFonts w:hint="eastAsia" w:hAnsi="宋体" w:cs="宋体"/>
                <w:color w:val="auto"/>
                <w:sz w:val="21"/>
                <w:szCs w:val="21"/>
                <w:highlight w:val="none"/>
              </w:rPr>
              <w:t>总价</w:t>
            </w:r>
          </w:p>
        </w:tc>
        <w:tc>
          <w:tcPr>
            <w:tcW w:w="3434"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color w:val="auto"/>
                <w:sz w:val="21"/>
                <w:szCs w:val="21"/>
                <w:highlight w:val="none"/>
              </w:rPr>
            </w:pPr>
          </w:p>
        </w:tc>
      </w:tr>
    </w:tbl>
    <w:p>
      <w:pPr>
        <w:spacing w:line="360" w:lineRule="auto"/>
        <w:ind w:firstLine="422" w:firstLineChars="200"/>
        <w:outlineLvl w:val="0"/>
        <w:rPr>
          <w:rFonts w:ascii="宋体" w:hAnsi="宋体" w:cs="宋体"/>
          <w:b/>
          <w:color w:val="auto"/>
          <w:szCs w:val="21"/>
          <w:highlight w:val="none"/>
        </w:rPr>
      </w:pPr>
      <w:bookmarkStart w:id="408" w:name="_Toc10340"/>
      <w:bookmarkStart w:id="409" w:name="_Toc22618"/>
      <w:bookmarkStart w:id="410" w:name="_Toc1814"/>
      <w:r>
        <w:rPr>
          <w:rFonts w:hint="eastAsia" w:ascii="宋体" w:hAnsi="宋体" w:cs="宋体"/>
          <w:b/>
          <w:color w:val="auto"/>
          <w:szCs w:val="21"/>
          <w:highlight w:val="none"/>
        </w:rPr>
        <w:t>1.4 付款</w:t>
      </w:r>
      <w:bookmarkEnd w:id="408"/>
      <w:bookmarkEnd w:id="409"/>
      <w:bookmarkEnd w:id="410"/>
      <w:r>
        <w:rPr>
          <w:rFonts w:hint="eastAsia" w:ascii="宋体" w:hAnsi="宋体" w:cs="宋体"/>
          <w:b/>
          <w:color w:val="auto"/>
          <w:szCs w:val="21"/>
          <w:highlight w:val="none"/>
        </w:rPr>
        <w:t>方式、时间和条件</w:t>
      </w:r>
    </w:p>
    <w:p>
      <w:pPr>
        <w:pStyle w:val="958"/>
        <w:spacing w:before="0" w:beforeAutospacing="0" w:after="0" w:afterAutospacing="0" w:line="360" w:lineRule="auto"/>
        <w:ind w:firstLine="480"/>
        <w:rPr>
          <w:color w:val="auto"/>
          <w:sz w:val="21"/>
          <w:szCs w:val="21"/>
          <w:highlight w:val="none"/>
        </w:rPr>
      </w:pPr>
      <w:r>
        <w:rPr>
          <w:rFonts w:hint="eastAsia"/>
          <w:color w:val="auto"/>
          <w:sz w:val="21"/>
          <w:szCs w:val="21"/>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360" w:lineRule="auto"/>
        <w:ind w:firstLine="420" w:firstLineChars="200"/>
        <w:outlineLvl w:val="0"/>
        <w:rPr>
          <w:rFonts w:ascii="宋体" w:hAnsi="宋体" w:cs="宋体"/>
          <w:color w:val="auto"/>
          <w:szCs w:val="21"/>
          <w:highlight w:val="none"/>
        </w:rPr>
      </w:pPr>
      <w:r>
        <w:rPr>
          <w:rFonts w:hint="eastAsia" w:ascii="宋体" w:hAnsi="宋体" w:cs="宋体"/>
          <w:color w:val="auto"/>
          <w:szCs w:val="21"/>
          <w:highlight w:val="none"/>
        </w:rPr>
        <w:t>1.4.4资金支付的方式、时间和条件详见</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w:t>
      </w:r>
    </w:p>
    <w:p>
      <w:pPr>
        <w:spacing w:line="360" w:lineRule="auto"/>
        <w:ind w:firstLine="420" w:firstLineChars="200"/>
        <w:outlineLvl w:val="0"/>
        <w:rPr>
          <w:rFonts w:ascii="宋体" w:hAnsi="宋体" w:cs="宋体"/>
          <w:color w:val="auto"/>
          <w:szCs w:val="21"/>
          <w:highlight w:val="none"/>
        </w:rPr>
      </w:pPr>
      <w:r>
        <w:rPr>
          <w:rFonts w:hint="eastAsia" w:ascii="宋体" w:hAnsi="宋体" w:cs="宋体"/>
          <w:color w:val="auto"/>
          <w:szCs w:val="21"/>
          <w:highlight w:val="none"/>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360" w:lineRule="auto"/>
        <w:ind w:firstLine="422" w:firstLineChars="200"/>
        <w:outlineLvl w:val="0"/>
        <w:rPr>
          <w:rFonts w:ascii="宋体" w:hAnsi="宋体" w:cs="宋体"/>
          <w:b/>
          <w:color w:val="auto"/>
          <w:szCs w:val="21"/>
          <w:highlight w:val="none"/>
        </w:rPr>
      </w:pPr>
      <w:bookmarkStart w:id="411" w:name="_Toc32071"/>
      <w:bookmarkStart w:id="412" w:name="_Toc2846"/>
      <w:bookmarkStart w:id="413" w:name="_Toc19304"/>
      <w:r>
        <w:rPr>
          <w:rFonts w:hint="eastAsia" w:ascii="宋体" w:hAnsi="宋体" w:cs="宋体"/>
          <w:b/>
          <w:color w:val="auto"/>
          <w:szCs w:val="21"/>
          <w:highlight w:val="none"/>
        </w:rPr>
        <w:t>1.5 货物交付期限、地点和方式</w:t>
      </w:r>
      <w:bookmarkEnd w:id="411"/>
      <w:bookmarkEnd w:id="412"/>
      <w:bookmarkEnd w:id="413"/>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1.5.1 交付期限：详见</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 交付地点：</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 交付方式：</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w:t>
      </w:r>
    </w:p>
    <w:p>
      <w:pPr>
        <w:spacing w:line="360" w:lineRule="auto"/>
        <w:ind w:firstLine="422" w:firstLineChars="200"/>
        <w:outlineLvl w:val="0"/>
        <w:rPr>
          <w:rFonts w:ascii="宋体" w:hAnsi="宋体" w:cs="宋体"/>
          <w:b/>
          <w:color w:val="auto"/>
          <w:szCs w:val="21"/>
          <w:highlight w:val="none"/>
        </w:rPr>
      </w:pPr>
      <w:bookmarkStart w:id="414" w:name="_Toc27250"/>
      <w:bookmarkStart w:id="415" w:name="_Toc21423"/>
      <w:bookmarkStart w:id="416" w:name="_Toc19554"/>
      <w:r>
        <w:rPr>
          <w:rFonts w:hint="eastAsia" w:ascii="宋体" w:hAnsi="宋体" w:cs="宋体"/>
          <w:b/>
          <w:color w:val="auto"/>
          <w:szCs w:val="21"/>
          <w:highlight w:val="none"/>
        </w:rPr>
        <w:t>1.6 违约责任</w:t>
      </w:r>
      <w:bookmarkEnd w:id="414"/>
      <w:bookmarkEnd w:id="415"/>
      <w:bookmarkEnd w:id="416"/>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Cs w:val="21"/>
          <w:highlight w:val="none"/>
          <w:u w:val="single"/>
        </w:rPr>
        <w:t xml:space="preserve">  0.05  </w:t>
      </w:r>
      <w:r>
        <w:rPr>
          <w:rFonts w:hint="eastAsia" w:ascii="宋体" w:hAnsi="宋体" w:cs="宋体"/>
          <w:color w:val="auto"/>
          <w:szCs w:val="21"/>
          <w:highlight w:val="none"/>
        </w:rPr>
        <w:t>%计算，最高限额为本合同总价的</w:t>
      </w:r>
      <w:r>
        <w:rPr>
          <w:rFonts w:hint="eastAsia" w:ascii="宋体" w:hAnsi="宋体" w:cs="宋体"/>
          <w:color w:val="auto"/>
          <w:szCs w:val="21"/>
          <w:highlight w:val="none"/>
          <w:u w:val="single"/>
        </w:rPr>
        <w:t xml:space="preserve"> 20  </w:t>
      </w:r>
      <w:r>
        <w:rPr>
          <w:rFonts w:hint="eastAsia" w:ascii="宋体" w:hAnsi="宋体" w:cs="宋体"/>
          <w:color w:val="auto"/>
          <w:szCs w:val="21"/>
          <w:highlight w:val="none"/>
        </w:rPr>
        <w:t>%；迟延交付货物的违约金计算数额达到前述最高限额之日起，甲方有权在要求乙方支付违约金的同时，书面通知乙方解除本合同；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除不可抗力外，如果甲方没有按照本合同约定的付款方式付款，那么乙方可要求甲方支付违约金，违约金按每迟延付款一日的应付而未付款的</w:t>
      </w:r>
      <w:r>
        <w:rPr>
          <w:rFonts w:hint="eastAsia" w:ascii="宋体" w:hAnsi="宋体" w:cs="宋体"/>
          <w:color w:val="auto"/>
          <w:szCs w:val="21"/>
          <w:highlight w:val="none"/>
          <w:u w:val="single"/>
        </w:rPr>
        <w:t xml:space="preserve">  0.05  </w:t>
      </w:r>
      <w:r>
        <w:rPr>
          <w:rFonts w:hint="eastAsia" w:ascii="宋体" w:hAnsi="宋体" w:cs="宋体"/>
          <w:color w:val="auto"/>
          <w:szCs w:val="21"/>
          <w:highlight w:val="none"/>
        </w:rPr>
        <w:t>%计算，最高限额为本合同总价的</w:t>
      </w:r>
      <w:r>
        <w:rPr>
          <w:rFonts w:hint="eastAsia" w:ascii="宋体" w:hAnsi="宋体" w:cs="宋体"/>
          <w:color w:val="auto"/>
          <w:szCs w:val="21"/>
          <w:highlight w:val="none"/>
          <w:u w:val="single"/>
        </w:rPr>
        <w:t xml:space="preserve">  20   </w:t>
      </w:r>
      <w:r>
        <w:rPr>
          <w:rFonts w:hint="eastAsia" w:ascii="宋体" w:hAnsi="宋体" w:cs="宋体"/>
          <w:color w:val="auto"/>
          <w:szCs w:val="21"/>
          <w:highlight w:val="none"/>
        </w:rPr>
        <w:t>%；迟延付款的违约金计算数额达到前述最高限额之日起，乙方有权在要求甲方支付违约金的同时，书面通知甲方解除本合同；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left="-420" w:leftChars="-200" w:right="-420" w:rightChars="-200" w:firstLine="840" w:firstLineChars="400"/>
        <w:rPr>
          <w:rFonts w:ascii="宋体" w:hAnsi="宋体" w:cs="宋体"/>
          <w:color w:val="auto"/>
          <w:szCs w:val="21"/>
          <w:highlight w:val="none"/>
        </w:rPr>
      </w:pPr>
      <w:r>
        <w:rPr>
          <w:rFonts w:hint="eastAsia" w:ascii="宋体" w:hAnsi="宋体" w:cs="宋体"/>
          <w:color w:val="auto"/>
          <w:szCs w:val="21"/>
          <w:highlight w:val="none"/>
        </w:rPr>
        <w:t>1.6.7违约责任</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另有约定的，从其约定。</w:t>
      </w:r>
    </w:p>
    <w:p>
      <w:pPr>
        <w:spacing w:line="360" w:lineRule="auto"/>
        <w:ind w:firstLine="422" w:firstLineChars="200"/>
        <w:outlineLvl w:val="0"/>
        <w:rPr>
          <w:rFonts w:ascii="宋体" w:hAnsi="宋体" w:cs="宋体"/>
          <w:b/>
          <w:color w:val="auto"/>
          <w:szCs w:val="21"/>
          <w:highlight w:val="none"/>
        </w:rPr>
      </w:pPr>
      <w:bookmarkStart w:id="417" w:name="_Toc16021"/>
      <w:bookmarkStart w:id="418" w:name="_Toc15583"/>
      <w:bookmarkStart w:id="419" w:name="_Toc28375"/>
      <w:r>
        <w:rPr>
          <w:rFonts w:hint="eastAsia" w:ascii="宋体" w:hAnsi="宋体" w:cs="宋体"/>
          <w:b/>
          <w:color w:val="auto"/>
          <w:szCs w:val="21"/>
          <w:highlight w:val="none"/>
        </w:rPr>
        <w:t>1.7 合同争议的解决</w:t>
      </w:r>
      <w:bookmarkEnd w:id="417"/>
      <w:bookmarkEnd w:id="418"/>
      <w:bookmarkEnd w:id="419"/>
    </w:p>
    <w:p>
      <w:pPr>
        <w:spacing w:line="360" w:lineRule="auto"/>
        <w:ind w:left="-61" w:leftChars="-29" w:right="-420" w:rightChars="-200" w:firstLine="210" w:firstLineChars="100"/>
        <w:rPr>
          <w:rFonts w:ascii="宋体" w:hAnsi="宋体" w:cs="宋体"/>
          <w:color w:val="auto"/>
          <w:szCs w:val="21"/>
          <w:highlight w:val="none"/>
        </w:rPr>
      </w:pPr>
      <w:r>
        <w:rPr>
          <w:rFonts w:hint="eastAsia" w:ascii="宋体" w:hAnsi="宋体" w:cs="宋体"/>
          <w:color w:val="auto"/>
          <w:szCs w:val="21"/>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Cs w:val="21"/>
          <w:highlight w:val="none"/>
          <w:u w:val="single"/>
        </w:rPr>
        <w:t xml:space="preserve"> 合同专用条款  </w:t>
      </w:r>
      <w:r>
        <w:rPr>
          <w:rFonts w:hint="eastAsia" w:ascii="宋体" w:hAnsi="宋体" w:cs="宋体"/>
          <w:color w:val="auto"/>
          <w:szCs w:val="21"/>
          <w:highlight w:val="none"/>
        </w:rPr>
        <w:t>条款规定的方式解决：</w:t>
      </w:r>
    </w:p>
    <w:p>
      <w:pPr>
        <w:spacing w:line="360" w:lineRule="auto"/>
        <w:ind w:left="-420" w:leftChars="-200" w:right="-420" w:rightChars="-200" w:firstLine="525" w:firstLineChars="250"/>
        <w:rPr>
          <w:rFonts w:ascii="宋体" w:hAnsi="宋体" w:cs="宋体"/>
          <w:color w:val="auto"/>
          <w:szCs w:val="21"/>
          <w:highlight w:val="none"/>
        </w:rPr>
      </w:pPr>
      <w:r>
        <w:rPr>
          <w:rFonts w:hint="eastAsia" w:ascii="宋体" w:hAnsi="宋体" w:cs="宋体"/>
          <w:color w:val="auto"/>
          <w:szCs w:val="21"/>
          <w:highlight w:val="none"/>
        </w:rPr>
        <w:t>1.7.1 将争议提交</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仲裁委员会依申请仲裁时其现行有效的仲裁规则裁决；</w:t>
      </w:r>
    </w:p>
    <w:p>
      <w:pPr>
        <w:spacing w:line="360" w:lineRule="auto"/>
        <w:ind w:left="-420" w:leftChars="-200" w:right="-420" w:rightChars="-200" w:firstLine="525" w:firstLineChars="250"/>
        <w:rPr>
          <w:rFonts w:ascii="宋体" w:hAnsi="宋体" w:cs="宋体"/>
          <w:color w:val="auto"/>
          <w:szCs w:val="21"/>
          <w:highlight w:val="none"/>
        </w:rPr>
      </w:pPr>
      <w:r>
        <w:rPr>
          <w:rFonts w:hint="eastAsia" w:ascii="宋体" w:hAnsi="宋体" w:cs="宋体"/>
          <w:color w:val="auto"/>
          <w:szCs w:val="21"/>
          <w:highlight w:val="none"/>
        </w:rPr>
        <w:t>1.7.2 向</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人民法院起诉。</w:t>
      </w:r>
    </w:p>
    <w:p>
      <w:pPr>
        <w:spacing w:line="360" w:lineRule="auto"/>
        <w:ind w:firstLine="422" w:firstLineChars="200"/>
        <w:outlineLvl w:val="0"/>
        <w:rPr>
          <w:rFonts w:ascii="宋体" w:hAnsi="宋体" w:cs="宋体"/>
          <w:b/>
          <w:color w:val="auto"/>
          <w:szCs w:val="21"/>
          <w:highlight w:val="none"/>
        </w:rPr>
      </w:pPr>
      <w:bookmarkStart w:id="420" w:name="_Toc7245"/>
      <w:bookmarkStart w:id="421" w:name="_Toc15322"/>
      <w:bookmarkStart w:id="422" w:name="_Toc11173"/>
      <w:r>
        <w:rPr>
          <w:rFonts w:hint="eastAsia" w:ascii="宋体" w:hAnsi="宋体" w:cs="宋体"/>
          <w:b/>
          <w:color w:val="auto"/>
          <w:szCs w:val="21"/>
          <w:highlight w:val="none"/>
        </w:rPr>
        <w:t>1.8 合同生效</w:t>
      </w:r>
      <w:bookmarkEnd w:id="420"/>
      <w:bookmarkEnd w:id="421"/>
      <w:bookmarkEnd w:id="422"/>
    </w:p>
    <w:p>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本合同自双方当事人盖章或者签字时生效。</w:t>
      </w:r>
    </w:p>
    <w:p>
      <w:pPr>
        <w:autoSpaceDE w:val="0"/>
        <w:autoSpaceDN w:val="0"/>
        <w:spacing w:line="360" w:lineRule="auto"/>
        <w:rPr>
          <w:rFonts w:ascii="宋体" w:hAnsi="宋体" w:cs="宋体"/>
          <w:color w:val="auto"/>
          <w:szCs w:val="21"/>
          <w:highlight w:val="none"/>
          <w:lang w:val="zh-CN"/>
        </w:rPr>
      </w:pPr>
    </w:p>
    <w:p>
      <w:pPr>
        <w:autoSpaceDE w:val="0"/>
        <w:autoSpaceDN w:val="0"/>
        <w:spacing w:line="360" w:lineRule="auto"/>
        <w:rPr>
          <w:rFonts w:ascii="宋体" w:hAnsi="宋体" w:cs="宋体"/>
          <w:color w:val="auto"/>
          <w:szCs w:val="21"/>
          <w:highlight w:val="none"/>
          <w:lang w:val="zh-CN"/>
        </w:rPr>
      </w:pPr>
      <w:r>
        <w:rPr>
          <w:rFonts w:hint="eastAsia" w:ascii="宋体" w:hAnsi="宋体" w:cs="宋体"/>
          <w:b/>
          <w:color w:val="auto"/>
          <w:szCs w:val="21"/>
          <w:highlight w:val="none"/>
          <w:lang w:val="zh-CN"/>
        </w:rPr>
        <w:t>甲方</w:t>
      </w:r>
      <w:r>
        <w:rPr>
          <w:rFonts w:hint="eastAsia" w:ascii="宋体" w:hAnsi="宋体" w:cs="宋体"/>
          <w:color w:val="auto"/>
          <w:szCs w:val="21"/>
          <w:highlight w:val="none"/>
          <w:lang w:val="zh-CN"/>
        </w:rPr>
        <w:t xml:space="preserve">：                             </w:t>
      </w:r>
      <w:r>
        <w:rPr>
          <w:rFonts w:hint="eastAsia" w:ascii="宋体" w:hAnsi="宋体" w:cs="宋体"/>
          <w:b/>
          <w:color w:val="auto"/>
          <w:szCs w:val="21"/>
          <w:highlight w:val="none"/>
          <w:lang w:val="zh-CN"/>
        </w:rPr>
        <w:t xml:space="preserve">      乙方</w:t>
      </w:r>
      <w:r>
        <w:rPr>
          <w:rFonts w:hint="eastAsia" w:ascii="宋体" w:hAnsi="宋体" w:cs="宋体"/>
          <w:color w:val="auto"/>
          <w:szCs w:val="21"/>
          <w:highlight w:val="none"/>
          <w:lang w:val="zh-CN"/>
        </w:rPr>
        <w:t>：</w:t>
      </w:r>
    </w:p>
    <w:p>
      <w:pPr>
        <w:autoSpaceDE w:val="0"/>
        <w:autoSpaceDN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统一社会信用代码：                        统一社会信用代码或身份证号码：</w:t>
      </w:r>
    </w:p>
    <w:p>
      <w:pPr>
        <w:autoSpaceDE w:val="0"/>
        <w:autoSpaceDN w:val="0"/>
        <w:spacing w:line="360" w:lineRule="auto"/>
        <w:rPr>
          <w:rFonts w:ascii="宋体" w:hAnsi="宋体" w:cs="宋体"/>
          <w:color w:val="auto"/>
          <w:szCs w:val="21"/>
          <w:highlight w:val="none"/>
          <w:lang w:val="zh-CN"/>
        </w:rPr>
      </w:pPr>
    </w:p>
    <w:p>
      <w:pPr>
        <w:autoSpaceDE w:val="0"/>
        <w:autoSpaceDN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住所：                                   住所：</w:t>
      </w:r>
    </w:p>
    <w:p>
      <w:pPr>
        <w:autoSpaceDE w:val="0"/>
        <w:autoSpaceDN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法定代表人或                             法定代表人</w:t>
      </w:r>
    </w:p>
    <w:p>
      <w:pPr>
        <w:autoSpaceDE w:val="0"/>
        <w:autoSpaceDN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 xml:space="preserve">授权代表（签字）：                        或授权代表（签字）: </w:t>
      </w:r>
    </w:p>
    <w:p>
      <w:pPr>
        <w:autoSpaceDE w:val="0"/>
        <w:autoSpaceDN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联系人：                                 联系人：</w:t>
      </w:r>
    </w:p>
    <w:p>
      <w:pPr>
        <w:autoSpaceDE w:val="0"/>
        <w:autoSpaceDN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约定送达地址：                           约定送达地址：</w:t>
      </w:r>
    </w:p>
    <w:p>
      <w:pPr>
        <w:autoSpaceDE w:val="0"/>
        <w:autoSpaceDN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邮政编码：                               邮政编码：</w:t>
      </w:r>
    </w:p>
    <w:p>
      <w:pPr>
        <w:autoSpaceDE w:val="0"/>
        <w:autoSpaceDN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 xml:space="preserve">电话:                                    电话: </w:t>
      </w:r>
    </w:p>
    <w:p>
      <w:pPr>
        <w:autoSpaceDE w:val="0"/>
        <w:autoSpaceDN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传真:                                    传真:</w:t>
      </w:r>
    </w:p>
    <w:p>
      <w:pPr>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lang w:val="zh-CN"/>
        </w:rPr>
        <w:t>电子邮箱：                               电子邮箱：</w:t>
      </w:r>
    </w:p>
    <w:p>
      <w:pPr>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开户银行：                               开户银行： </w:t>
      </w:r>
    </w:p>
    <w:p>
      <w:pPr>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开户名称：                               开户名称： </w:t>
      </w:r>
    </w:p>
    <w:p>
      <w:pPr>
        <w:autoSpaceDE w:val="0"/>
        <w:autoSpaceDN w:val="0"/>
        <w:spacing w:line="360" w:lineRule="auto"/>
        <w:rPr>
          <w:rFonts w:ascii="宋体" w:hAnsi="宋体" w:cs="宋体"/>
          <w:color w:val="auto"/>
          <w:szCs w:val="21"/>
          <w:highlight w:val="none"/>
        </w:rPr>
      </w:pPr>
      <w:r>
        <w:rPr>
          <w:rFonts w:hint="eastAsia" w:ascii="宋体" w:hAnsi="宋体" w:cs="宋体"/>
          <w:color w:val="auto"/>
          <w:szCs w:val="21"/>
          <w:highlight w:val="none"/>
        </w:rPr>
        <w:t>开户账号：</w:t>
      </w:r>
      <w:r>
        <w:rPr>
          <w:rFonts w:hint="eastAsia" w:ascii="宋体" w:hAnsi="宋体" w:cs="宋体"/>
          <w:color w:val="auto"/>
          <w:szCs w:val="21"/>
          <w:highlight w:val="none"/>
          <w:lang w:val="zh-CN"/>
        </w:rPr>
        <w:t xml:space="preserve">                               </w:t>
      </w:r>
      <w:r>
        <w:rPr>
          <w:rFonts w:hint="eastAsia" w:ascii="宋体" w:hAnsi="宋体" w:cs="宋体"/>
          <w:color w:val="auto"/>
          <w:szCs w:val="21"/>
          <w:highlight w:val="none"/>
        </w:rPr>
        <w:t>开户账号：</w:t>
      </w:r>
    </w:p>
    <w:p>
      <w:pPr>
        <w:widowControl/>
        <w:spacing w:line="360" w:lineRule="auto"/>
        <w:jc w:val="left"/>
        <w:rPr>
          <w:rFonts w:ascii="宋体" w:hAnsi="宋体" w:cs="宋体"/>
          <w:b/>
          <w:color w:val="auto"/>
          <w:szCs w:val="21"/>
          <w:highlight w:val="none"/>
        </w:rPr>
      </w:pPr>
      <w:bookmarkStart w:id="423" w:name="_Toc331685783"/>
    </w:p>
    <w:p>
      <w:pPr>
        <w:widowControl/>
        <w:adjustRightInd/>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br w:type="page"/>
      </w:r>
    </w:p>
    <w:p>
      <w:pPr>
        <w:pStyle w:val="702"/>
        <w:ind w:firstLine="422"/>
        <w:jc w:val="center"/>
        <w:rPr>
          <w:rFonts w:ascii="宋体" w:hAnsi="宋体" w:cs="宋体"/>
          <w:b/>
          <w:color w:val="auto"/>
          <w:sz w:val="21"/>
          <w:highlight w:val="none"/>
        </w:rPr>
      </w:pPr>
      <w:r>
        <w:rPr>
          <w:rFonts w:hint="eastAsia" w:ascii="宋体" w:hAnsi="宋体" w:cs="宋体"/>
          <w:b/>
          <w:color w:val="auto"/>
          <w:sz w:val="21"/>
          <w:highlight w:val="none"/>
        </w:rPr>
        <w:t>第二部分 合同一般条款</w:t>
      </w:r>
      <w:bookmarkEnd w:id="423"/>
    </w:p>
    <w:p>
      <w:pPr>
        <w:spacing w:line="360" w:lineRule="auto"/>
        <w:ind w:firstLine="422" w:firstLineChars="200"/>
        <w:outlineLvl w:val="0"/>
        <w:rPr>
          <w:rFonts w:ascii="宋体" w:hAnsi="宋体" w:cs="宋体"/>
          <w:b/>
          <w:color w:val="auto"/>
          <w:szCs w:val="21"/>
          <w:highlight w:val="none"/>
        </w:rPr>
      </w:pPr>
      <w:bookmarkStart w:id="424" w:name="_Ref467379094"/>
      <w:bookmarkStart w:id="425" w:name="_Ref467378499"/>
      <w:bookmarkStart w:id="426" w:name="_Ref467379101"/>
      <w:bookmarkStart w:id="427" w:name="_Ref467379205"/>
      <w:bookmarkStart w:id="428" w:name="_Toc16917"/>
      <w:bookmarkStart w:id="429" w:name="_Ref467379214"/>
      <w:bookmarkStart w:id="430" w:name="_Ref467378463"/>
      <w:bookmarkStart w:id="431" w:name="_Toc28763"/>
      <w:bookmarkStart w:id="432" w:name="_Ref467379225"/>
      <w:bookmarkStart w:id="433" w:name="_Ref467378404"/>
      <w:bookmarkStart w:id="434" w:name="_Toc279701240"/>
      <w:bookmarkStart w:id="435" w:name="_Ref467379195"/>
      <w:bookmarkStart w:id="436" w:name="_Toc487900349"/>
      <w:bookmarkStart w:id="437" w:name="_Ref467379109"/>
      <w:bookmarkStart w:id="438" w:name="_Toc259093669"/>
      <w:bookmarkStart w:id="439" w:name="_Toc19614"/>
      <w:r>
        <w:rPr>
          <w:rFonts w:hint="eastAsia" w:ascii="宋体" w:hAnsi="宋体" w:cs="宋体"/>
          <w:b/>
          <w:color w:val="auto"/>
          <w:szCs w:val="21"/>
          <w:highlight w:val="none"/>
        </w:rPr>
        <w:t>2.1 定义</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本合同中的下列词语应按以下内容进行解释：</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 “合同”系指采购人和中标供应商签订的载明双方当事人所达成的协议，并包括所有的附件、附录和构成合同的其他文件。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 “合同价”系指根据合同约定，中标供应商在完全履行合同义务后，采购人应支付给中标供应商的价格。</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 “货物”系指中标供应商根据合同约定应向采购人交付的一切各种形态和种类的物品，包括原材料、燃料、设备、机械、仪表、备件、计算机软件、产品等，并包括工具、手册等其他相关资料。</w:t>
      </w:r>
    </w:p>
    <w:p>
      <w:pPr>
        <w:spacing w:line="360" w:lineRule="auto"/>
        <w:ind w:firstLine="420" w:firstLineChars="200"/>
        <w:rPr>
          <w:rFonts w:ascii="宋体" w:hAnsi="宋体" w:cs="宋体"/>
          <w:color w:val="auto"/>
          <w:szCs w:val="21"/>
          <w:highlight w:val="none"/>
        </w:rPr>
      </w:pPr>
      <w:bookmarkStart w:id="440" w:name="_Ref467378840"/>
      <w:r>
        <w:rPr>
          <w:rFonts w:hint="eastAsia" w:ascii="宋体" w:hAnsi="宋体" w:cs="宋体"/>
          <w:color w:val="auto"/>
          <w:szCs w:val="21"/>
          <w:highlight w:val="none"/>
        </w:rPr>
        <w:t>2.1.4 “甲方”系指与中标供应商签署合同的采购人</w:t>
      </w:r>
      <w:bookmarkEnd w:id="440"/>
      <w:r>
        <w:rPr>
          <w:rFonts w:hint="eastAsia" w:ascii="宋体" w:hAnsi="宋体" w:cs="宋体"/>
          <w:color w:val="auto"/>
          <w:szCs w:val="21"/>
          <w:highlight w:val="none"/>
        </w:rPr>
        <w:t>；采购人委托采购代理机构代表其与乙方签订合同的，采购人的授权委托书作为合同附件。</w:t>
      </w:r>
    </w:p>
    <w:p>
      <w:pPr>
        <w:spacing w:line="360" w:lineRule="auto"/>
        <w:ind w:firstLine="420" w:firstLineChars="200"/>
        <w:rPr>
          <w:rFonts w:ascii="宋体" w:hAnsi="宋体" w:cs="宋体"/>
          <w:color w:val="auto"/>
          <w:szCs w:val="21"/>
          <w:highlight w:val="none"/>
        </w:rPr>
      </w:pPr>
      <w:bookmarkStart w:id="441" w:name="_Ref467379400"/>
      <w:r>
        <w:rPr>
          <w:rFonts w:hint="eastAsia" w:ascii="宋体" w:hAnsi="宋体" w:cs="宋体"/>
          <w:color w:val="auto"/>
          <w:szCs w:val="21"/>
          <w:highlight w:val="none"/>
        </w:rPr>
        <w:t>2.1.5 “乙方”系指根据合同约定交付货物的中标供应商</w:t>
      </w:r>
      <w:bookmarkEnd w:id="441"/>
      <w:r>
        <w:rPr>
          <w:rFonts w:hint="eastAsia" w:ascii="宋体" w:hAnsi="宋体" w:cs="宋体"/>
          <w:color w:val="auto"/>
          <w:szCs w:val="21"/>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20" w:firstLineChars="200"/>
        <w:rPr>
          <w:rFonts w:ascii="宋体" w:hAnsi="宋体" w:cs="宋体"/>
          <w:color w:val="auto"/>
          <w:szCs w:val="21"/>
          <w:highlight w:val="none"/>
        </w:rPr>
      </w:pPr>
      <w:bookmarkStart w:id="442" w:name="_Ref467379436"/>
      <w:r>
        <w:rPr>
          <w:rFonts w:hint="eastAsia" w:ascii="宋体" w:hAnsi="宋体" w:cs="宋体"/>
          <w:color w:val="auto"/>
          <w:szCs w:val="21"/>
          <w:highlight w:val="none"/>
        </w:rPr>
        <w:t>2.1.6 “现场”系指合同约定货物将要运至或者安装的地点。</w:t>
      </w:r>
      <w:bookmarkEnd w:id="442"/>
    </w:p>
    <w:p>
      <w:pPr>
        <w:spacing w:line="360" w:lineRule="auto"/>
        <w:ind w:firstLine="422" w:firstLineChars="200"/>
        <w:outlineLvl w:val="0"/>
        <w:rPr>
          <w:rFonts w:ascii="宋体" w:hAnsi="宋体" w:cs="宋体"/>
          <w:b/>
          <w:color w:val="auto"/>
          <w:szCs w:val="21"/>
          <w:highlight w:val="none"/>
        </w:rPr>
      </w:pPr>
      <w:bookmarkStart w:id="443" w:name="_Toc487900350"/>
      <w:bookmarkStart w:id="444" w:name="_Toc259093670"/>
      <w:bookmarkStart w:id="445" w:name="_Toc13336"/>
      <w:bookmarkStart w:id="446" w:name="_Toc32504"/>
      <w:bookmarkStart w:id="447" w:name="_Toc27635"/>
      <w:bookmarkStart w:id="448" w:name="_Toc279701241"/>
      <w:r>
        <w:rPr>
          <w:rFonts w:hint="eastAsia" w:ascii="宋体" w:hAnsi="宋体" w:cs="宋体"/>
          <w:b/>
          <w:color w:val="auto"/>
          <w:szCs w:val="21"/>
          <w:highlight w:val="none"/>
        </w:rPr>
        <w:t>2.2 技术规范</w:t>
      </w:r>
      <w:bookmarkEnd w:id="443"/>
      <w:bookmarkEnd w:id="444"/>
      <w:bookmarkEnd w:id="445"/>
      <w:bookmarkEnd w:id="446"/>
      <w:bookmarkEnd w:id="447"/>
      <w:bookmarkEnd w:id="448"/>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22" w:firstLineChars="200"/>
        <w:outlineLvl w:val="0"/>
        <w:rPr>
          <w:rFonts w:ascii="宋体" w:hAnsi="宋体" w:cs="宋体"/>
          <w:b/>
          <w:color w:val="auto"/>
          <w:szCs w:val="21"/>
          <w:highlight w:val="none"/>
        </w:rPr>
      </w:pPr>
      <w:bookmarkStart w:id="449" w:name="_Toc27853"/>
      <w:bookmarkStart w:id="450" w:name="_Toc279701242"/>
      <w:bookmarkStart w:id="451" w:name="_Toc259093671"/>
      <w:bookmarkStart w:id="452" w:name="_Toc487900351"/>
      <w:bookmarkStart w:id="453" w:name="_Toc31634"/>
      <w:bookmarkStart w:id="454" w:name="_Toc9829"/>
      <w:r>
        <w:rPr>
          <w:rFonts w:hint="eastAsia" w:ascii="宋体" w:hAnsi="宋体" w:cs="宋体"/>
          <w:b/>
          <w:color w:val="auto"/>
          <w:szCs w:val="21"/>
          <w:highlight w:val="none"/>
        </w:rPr>
        <w:t>2.3 知识产权</w:t>
      </w:r>
      <w:bookmarkEnd w:id="449"/>
      <w:bookmarkEnd w:id="450"/>
      <w:bookmarkEnd w:id="451"/>
      <w:bookmarkEnd w:id="452"/>
      <w:bookmarkEnd w:id="453"/>
      <w:bookmarkEnd w:id="454"/>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2.3.2具有知识产权的计算机软件等货物的知识产权归属，详见</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w:t>
      </w:r>
    </w:p>
    <w:p>
      <w:pPr>
        <w:spacing w:line="360" w:lineRule="auto"/>
        <w:ind w:firstLine="422" w:firstLineChars="200"/>
        <w:outlineLvl w:val="0"/>
        <w:rPr>
          <w:rFonts w:ascii="宋体" w:hAnsi="宋体" w:cs="宋体"/>
          <w:b/>
          <w:color w:val="auto"/>
          <w:szCs w:val="21"/>
          <w:highlight w:val="none"/>
        </w:rPr>
      </w:pPr>
      <w:bookmarkStart w:id="455" w:name="_Toc29149"/>
      <w:bookmarkStart w:id="456" w:name="_Toc11932"/>
      <w:bookmarkStart w:id="457" w:name="_Toc4194"/>
      <w:r>
        <w:rPr>
          <w:rFonts w:hint="eastAsia" w:ascii="宋体" w:hAnsi="宋体" w:cs="宋体"/>
          <w:b/>
          <w:color w:val="auto"/>
          <w:szCs w:val="21"/>
          <w:highlight w:val="none"/>
        </w:rPr>
        <w:t>2.4 包装和装运</w:t>
      </w:r>
      <w:bookmarkEnd w:id="455"/>
      <w:bookmarkEnd w:id="456"/>
      <w:bookmarkEnd w:id="457"/>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2.4.1除</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 装运货物的要求和通知，详见</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w:t>
      </w:r>
    </w:p>
    <w:p>
      <w:pPr>
        <w:spacing w:line="360" w:lineRule="auto"/>
        <w:ind w:firstLine="422" w:firstLineChars="200"/>
        <w:outlineLvl w:val="0"/>
        <w:rPr>
          <w:rFonts w:ascii="宋体" w:hAnsi="宋体" w:cs="宋体"/>
          <w:b/>
          <w:color w:val="auto"/>
          <w:szCs w:val="21"/>
          <w:highlight w:val="none"/>
        </w:rPr>
      </w:pPr>
      <w:bookmarkStart w:id="458" w:name="_Ref467378541"/>
      <w:bookmarkStart w:id="459" w:name="_Ref467378591"/>
      <w:bookmarkStart w:id="460" w:name="_Toc279701245"/>
      <w:bookmarkStart w:id="461" w:name="_Toc487900354"/>
      <w:bookmarkStart w:id="462" w:name="_Ref467379527"/>
      <w:bookmarkStart w:id="463" w:name="_Ref467379542"/>
      <w:bookmarkStart w:id="464" w:name="_Ref467379536"/>
      <w:bookmarkStart w:id="465" w:name="_Toc259093674"/>
      <w:bookmarkStart w:id="466" w:name="_Toc26182"/>
      <w:bookmarkStart w:id="467" w:name="_Toc30272"/>
      <w:bookmarkStart w:id="468" w:name="_Toc19074"/>
      <w:r>
        <w:rPr>
          <w:rFonts w:hint="eastAsia" w:ascii="宋体" w:hAnsi="宋体" w:cs="宋体"/>
          <w:b/>
          <w:color w:val="auto"/>
          <w:szCs w:val="21"/>
          <w:highlight w:val="none"/>
        </w:rPr>
        <w:t>2.</w:t>
      </w:r>
      <w:bookmarkEnd w:id="458"/>
      <w:bookmarkEnd w:id="459"/>
      <w:bookmarkEnd w:id="460"/>
      <w:bookmarkEnd w:id="461"/>
      <w:bookmarkEnd w:id="462"/>
      <w:bookmarkEnd w:id="463"/>
      <w:bookmarkEnd w:id="464"/>
      <w:bookmarkEnd w:id="465"/>
      <w:r>
        <w:rPr>
          <w:rFonts w:hint="eastAsia" w:ascii="宋体" w:hAnsi="宋体" w:cs="宋体"/>
          <w:b/>
          <w:color w:val="auto"/>
          <w:szCs w:val="21"/>
          <w:highlight w:val="none"/>
        </w:rPr>
        <w:t>5 履约检查和问题反馈</w:t>
      </w:r>
      <w:bookmarkEnd w:id="466"/>
      <w:bookmarkEnd w:id="467"/>
      <w:bookmarkEnd w:id="468"/>
    </w:p>
    <w:p>
      <w:pPr>
        <w:spacing w:line="360" w:lineRule="auto"/>
        <w:ind w:firstLine="420" w:firstLineChars="200"/>
        <w:rPr>
          <w:rFonts w:ascii="宋体" w:hAnsi="宋体" w:cs="宋体"/>
          <w:color w:val="auto"/>
          <w:szCs w:val="21"/>
          <w:highlight w:val="none"/>
        </w:rPr>
      </w:pPr>
      <w:bookmarkStart w:id="469" w:name="_Ref467379657"/>
      <w:r>
        <w:rPr>
          <w:rFonts w:hint="eastAsia" w:ascii="宋体" w:hAnsi="宋体" w:cs="宋体"/>
          <w:color w:val="auto"/>
          <w:szCs w:val="21"/>
          <w:highlight w:val="none"/>
        </w:rPr>
        <w:t>2.5.1</w:t>
      </w:r>
      <w:bookmarkEnd w:id="469"/>
      <w:bookmarkStart w:id="470" w:name="_Toc186431854"/>
      <w:bookmarkStart w:id="471" w:name="_Toc487900357"/>
      <w:bookmarkStart w:id="472" w:name="_Toc279701247"/>
      <w:bookmarkStart w:id="473" w:name="_Toc259093676"/>
      <w:bookmarkStart w:id="474" w:name="_Ref467379807"/>
      <w:bookmarkStart w:id="475" w:name="_Ref467379793"/>
      <w:r>
        <w:rPr>
          <w:rFonts w:hint="eastAsia" w:ascii="宋体" w:hAnsi="宋体" w:cs="宋体"/>
          <w:color w:val="auto"/>
          <w:szCs w:val="21"/>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2.5.2 合同履行期间，甲方有权将履行过程中出现的问题反馈给乙方，双方当事人应以书面形式约定需要完善和改进的内容</w:t>
      </w:r>
      <w:bookmarkEnd w:id="470"/>
      <w:bookmarkStart w:id="476" w:name="_Toc186431855"/>
      <w:r>
        <w:rPr>
          <w:rFonts w:hint="eastAsia" w:ascii="宋体" w:hAnsi="宋体" w:cs="宋体"/>
          <w:color w:val="auto"/>
          <w:szCs w:val="21"/>
          <w:highlight w:val="none"/>
        </w:rPr>
        <w:t>。</w:t>
      </w:r>
    </w:p>
    <w:bookmarkEnd w:id="471"/>
    <w:bookmarkEnd w:id="472"/>
    <w:bookmarkEnd w:id="473"/>
    <w:bookmarkEnd w:id="474"/>
    <w:bookmarkEnd w:id="475"/>
    <w:bookmarkEnd w:id="476"/>
    <w:p>
      <w:pPr>
        <w:spacing w:line="360" w:lineRule="auto"/>
        <w:ind w:firstLine="422" w:firstLineChars="200"/>
        <w:outlineLvl w:val="0"/>
        <w:rPr>
          <w:rFonts w:ascii="宋体" w:hAnsi="宋体" w:cs="宋体"/>
          <w:b/>
          <w:color w:val="auto"/>
          <w:szCs w:val="21"/>
          <w:highlight w:val="none"/>
        </w:rPr>
      </w:pPr>
      <w:bookmarkStart w:id="477" w:name="_Ref467379863"/>
      <w:bookmarkStart w:id="478" w:name="_Toc279701248"/>
      <w:bookmarkStart w:id="479" w:name="_Toc487900358"/>
      <w:bookmarkStart w:id="480" w:name="_Toc259093677"/>
      <w:bookmarkStart w:id="481" w:name="_Ref467379923"/>
      <w:bookmarkStart w:id="482" w:name="_Ref467379852"/>
      <w:bookmarkStart w:id="483" w:name="_Toc3225"/>
      <w:bookmarkStart w:id="484" w:name="_Toc16110"/>
      <w:bookmarkStart w:id="485" w:name="_Toc774"/>
      <w:r>
        <w:rPr>
          <w:rFonts w:hint="eastAsia" w:ascii="宋体" w:hAnsi="宋体" w:cs="宋体"/>
          <w:b/>
          <w:color w:val="auto"/>
          <w:szCs w:val="21"/>
          <w:highlight w:val="none"/>
        </w:rPr>
        <w:t>2.6 技术资料</w:t>
      </w:r>
      <w:bookmarkEnd w:id="477"/>
      <w:bookmarkEnd w:id="478"/>
      <w:bookmarkEnd w:id="479"/>
      <w:bookmarkEnd w:id="480"/>
      <w:bookmarkEnd w:id="481"/>
      <w:bookmarkEnd w:id="482"/>
      <w:r>
        <w:rPr>
          <w:rFonts w:hint="eastAsia" w:ascii="宋体" w:hAnsi="宋体" w:cs="宋体"/>
          <w:b/>
          <w:color w:val="auto"/>
          <w:szCs w:val="21"/>
          <w:highlight w:val="none"/>
        </w:rPr>
        <w:t>和保密义务</w:t>
      </w:r>
      <w:bookmarkEnd w:id="483"/>
      <w:bookmarkEnd w:id="484"/>
      <w:bookmarkEnd w:id="485"/>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 乙方有权依据合同约定和项目需要，向甲方了解有关情况，调阅有关资料等，甲方应予积极配合；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2.6.2 乙方有义务妥善保管和保护由甲方提供的前款信息和资料等；</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22" w:firstLineChars="200"/>
        <w:outlineLvl w:val="0"/>
        <w:rPr>
          <w:rFonts w:ascii="宋体" w:hAnsi="宋体" w:cs="宋体"/>
          <w:b/>
          <w:color w:val="auto"/>
          <w:szCs w:val="21"/>
          <w:highlight w:val="none"/>
        </w:rPr>
      </w:pPr>
      <w:bookmarkStart w:id="486" w:name="_Toc7860"/>
      <w:r>
        <w:rPr>
          <w:rFonts w:hint="eastAsia" w:ascii="宋体" w:hAnsi="宋体" w:cs="宋体"/>
          <w:b/>
          <w:color w:val="auto"/>
          <w:szCs w:val="21"/>
          <w:highlight w:val="none"/>
        </w:rPr>
        <w:t>2.7 质量保证</w:t>
      </w:r>
      <w:bookmarkEnd w:id="486"/>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2.7.1 乙方应建立和完善履行合同的内部质量保证体系，并提供相关内部规章制度给甲方，以便甲方进行监督检查；</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 乙方应保证履行合同的人员数量和素质、软件和硬件设备的配置、场地、环境和设施等满足全面履行合同的要求，并应接受甲方的监督检查。</w:t>
      </w:r>
    </w:p>
    <w:p>
      <w:pPr>
        <w:spacing w:line="360" w:lineRule="auto"/>
        <w:ind w:firstLine="422" w:firstLineChars="200"/>
        <w:outlineLvl w:val="0"/>
        <w:rPr>
          <w:rFonts w:ascii="宋体" w:hAnsi="宋体" w:cs="宋体"/>
          <w:b/>
          <w:color w:val="auto"/>
          <w:szCs w:val="21"/>
          <w:highlight w:val="none"/>
        </w:rPr>
      </w:pPr>
      <w:bookmarkStart w:id="487" w:name="_Toc17244"/>
      <w:bookmarkStart w:id="488" w:name="_Toc487900362"/>
      <w:bookmarkStart w:id="489" w:name="_Toc259093681"/>
      <w:bookmarkStart w:id="490" w:name="_Toc279701252"/>
      <w:r>
        <w:rPr>
          <w:rFonts w:hint="eastAsia" w:ascii="宋体" w:hAnsi="宋体" w:cs="宋体"/>
          <w:b/>
          <w:color w:val="auto"/>
          <w:szCs w:val="21"/>
          <w:highlight w:val="none"/>
        </w:rPr>
        <w:t>2.8 货物的风险负担</w:t>
      </w:r>
      <w:bookmarkEnd w:id="487"/>
    </w:p>
    <w:p>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货物或者在途货物或者交付给第一承运人后的货物毁损、灭失的风险负担详见</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w:t>
      </w:r>
    </w:p>
    <w:p>
      <w:pPr>
        <w:spacing w:line="360" w:lineRule="auto"/>
        <w:ind w:firstLine="422" w:firstLineChars="200"/>
        <w:outlineLvl w:val="0"/>
        <w:rPr>
          <w:rFonts w:ascii="宋体" w:hAnsi="宋体" w:cs="宋体"/>
          <w:b/>
          <w:color w:val="auto"/>
          <w:szCs w:val="21"/>
          <w:highlight w:val="none"/>
        </w:rPr>
      </w:pPr>
      <w:bookmarkStart w:id="491" w:name="_Toc14055"/>
      <w:r>
        <w:rPr>
          <w:rFonts w:hint="eastAsia" w:ascii="宋体" w:hAnsi="宋体" w:cs="宋体"/>
          <w:b/>
          <w:color w:val="auto"/>
          <w:szCs w:val="21"/>
          <w:highlight w:val="none"/>
        </w:rPr>
        <w:t>2.9 延迟交货</w:t>
      </w:r>
      <w:bookmarkEnd w:id="488"/>
      <w:bookmarkEnd w:id="489"/>
      <w:bookmarkEnd w:id="490"/>
      <w:bookmarkEnd w:id="491"/>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22" w:firstLineChars="200"/>
        <w:outlineLvl w:val="0"/>
        <w:rPr>
          <w:rFonts w:ascii="宋体" w:hAnsi="宋体" w:cs="宋体"/>
          <w:b/>
          <w:color w:val="auto"/>
          <w:szCs w:val="21"/>
          <w:highlight w:val="none"/>
        </w:rPr>
      </w:pPr>
      <w:bookmarkStart w:id="492" w:name="_Toc7502"/>
      <w:bookmarkStart w:id="493" w:name="_Toc279701254"/>
      <w:bookmarkStart w:id="494" w:name="_Toc487900364"/>
      <w:bookmarkStart w:id="495" w:name="_Ref467378121"/>
      <w:bookmarkStart w:id="496" w:name="_Toc259093683"/>
      <w:r>
        <w:rPr>
          <w:rFonts w:hint="eastAsia" w:ascii="宋体" w:hAnsi="宋体" w:cs="宋体"/>
          <w:b/>
          <w:color w:val="auto"/>
          <w:szCs w:val="21"/>
          <w:highlight w:val="none"/>
        </w:rPr>
        <w:t>2.10 合同变更</w:t>
      </w:r>
      <w:bookmarkEnd w:id="492"/>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合同继续履行将损害国家利益和社会公共利益的，双方当事人应当以书面形式变更合同。有过错的一方应当承担赔偿责任，双方当事人都有过错的，各自承担相应的责任。</w:t>
      </w:r>
      <w:bookmarkStart w:id="497" w:name="_Toc487900369"/>
      <w:bookmarkStart w:id="498" w:name="_Toc279701259"/>
      <w:bookmarkStart w:id="499" w:name="_Toc259093688"/>
    </w:p>
    <w:p>
      <w:pPr>
        <w:spacing w:line="360" w:lineRule="auto"/>
        <w:ind w:firstLine="422" w:firstLineChars="200"/>
        <w:outlineLvl w:val="0"/>
        <w:rPr>
          <w:rFonts w:ascii="宋体" w:hAnsi="宋体" w:cs="宋体"/>
          <w:b/>
          <w:color w:val="auto"/>
          <w:szCs w:val="21"/>
          <w:highlight w:val="none"/>
        </w:rPr>
      </w:pPr>
      <w:bookmarkStart w:id="500" w:name="_Toc10366"/>
      <w:bookmarkStart w:id="501" w:name="_Toc15237"/>
      <w:bookmarkStart w:id="502" w:name="_Toc22955"/>
      <w:r>
        <w:rPr>
          <w:rFonts w:hint="eastAsia" w:ascii="宋体" w:hAnsi="宋体" w:cs="宋体"/>
          <w:b/>
          <w:color w:val="auto"/>
          <w:szCs w:val="21"/>
          <w:highlight w:val="none"/>
        </w:rPr>
        <w:t>2.11 合同转让</w:t>
      </w:r>
      <w:bookmarkEnd w:id="497"/>
      <w:bookmarkEnd w:id="498"/>
      <w:bookmarkEnd w:id="499"/>
      <w:r>
        <w:rPr>
          <w:rFonts w:hint="eastAsia" w:ascii="宋体" w:hAnsi="宋体" w:cs="宋体"/>
          <w:b/>
          <w:color w:val="auto"/>
          <w:szCs w:val="21"/>
          <w:highlight w:val="none"/>
        </w:rPr>
        <w:t>和分包</w:t>
      </w:r>
      <w:bookmarkEnd w:id="500"/>
      <w:bookmarkEnd w:id="501"/>
      <w:bookmarkEnd w:id="502"/>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2.11.2乙方采取分包方式履行合同的，甲方可直接向分包供应商支付款项。</w:t>
      </w:r>
    </w:p>
    <w:p>
      <w:pPr>
        <w:spacing w:line="360" w:lineRule="auto"/>
        <w:ind w:firstLine="422" w:firstLineChars="200"/>
        <w:outlineLvl w:val="0"/>
        <w:rPr>
          <w:rFonts w:ascii="宋体" w:hAnsi="宋体" w:cs="宋体"/>
          <w:b/>
          <w:color w:val="auto"/>
          <w:szCs w:val="21"/>
          <w:highlight w:val="none"/>
        </w:rPr>
      </w:pPr>
      <w:bookmarkStart w:id="503" w:name="_Toc16508"/>
      <w:bookmarkStart w:id="504" w:name="_Toc14066"/>
      <w:bookmarkStart w:id="505" w:name="_Toc13566"/>
      <w:r>
        <w:rPr>
          <w:rFonts w:hint="eastAsia" w:ascii="宋体" w:hAnsi="宋体" w:cs="宋体"/>
          <w:b/>
          <w:color w:val="auto"/>
          <w:szCs w:val="21"/>
          <w:highlight w:val="none"/>
        </w:rPr>
        <w:t>2.12 不可抗力</w:t>
      </w:r>
      <w:bookmarkEnd w:id="503"/>
      <w:bookmarkEnd w:id="504"/>
      <w:bookmarkEnd w:id="505"/>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2.12.1如果任何一方遭遇法律规定的不可抗力，致使合同履行受阻时，履行合同的期限应予延长，延长的期限应相当于不可抗力所影响的时间；</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2.12.2 因不可抗力致使不能实现合同目的的，当事人可以解除合同；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2.12.3 因不可抗力致使合同有变更必要的，双方当事人应在</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约定时间内以书面形式变更合同；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2.12.4受不可抗力影响的一方在不可抗力发生后，应在</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约定时间内以书面形式通知对方当事人，并在</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约定时间内，将有关部门出具的证明文件送达对方当事人。</w:t>
      </w:r>
    </w:p>
    <w:p>
      <w:pPr>
        <w:spacing w:line="360" w:lineRule="auto"/>
        <w:ind w:firstLine="422" w:firstLineChars="200"/>
        <w:outlineLvl w:val="0"/>
        <w:rPr>
          <w:rFonts w:ascii="宋体" w:hAnsi="宋体" w:cs="宋体"/>
          <w:b/>
          <w:color w:val="auto"/>
          <w:szCs w:val="21"/>
          <w:highlight w:val="none"/>
        </w:rPr>
      </w:pPr>
      <w:bookmarkStart w:id="506" w:name="_Toc689"/>
      <w:bookmarkStart w:id="507" w:name="_Toc279701255"/>
      <w:bookmarkStart w:id="508" w:name="_Toc487900365"/>
      <w:bookmarkStart w:id="509" w:name="_Toc6969"/>
      <w:bookmarkStart w:id="510" w:name="_Toc259093684"/>
      <w:bookmarkStart w:id="511" w:name="_Toc30676"/>
      <w:r>
        <w:rPr>
          <w:rFonts w:hint="eastAsia" w:ascii="宋体" w:hAnsi="宋体" w:cs="宋体"/>
          <w:b/>
          <w:color w:val="auto"/>
          <w:szCs w:val="21"/>
          <w:highlight w:val="none"/>
        </w:rPr>
        <w:t>2.13 税费</w:t>
      </w:r>
      <w:bookmarkEnd w:id="506"/>
      <w:bookmarkEnd w:id="507"/>
      <w:bookmarkEnd w:id="508"/>
      <w:bookmarkEnd w:id="509"/>
      <w:bookmarkEnd w:id="510"/>
      <w:bookmarkEnd w:id="511"/>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与合同有关的一切税费，均按照中华人民共和国法律的相关规定。</w:t>
      </w:r>
    </w:p>
    <w:p>
      <w:pPr>
        <w:spacing w:line="360" w:lineRule="auto"/>
        <w:ind w:firstLine="422" w:firstLineChars="200"/>
        <w:outlineLvl w:val="0"/>
        <w:rPr>
          <w:rFonts w:ascii="宋体" w:hAnsi="宋体" w:cs="宋体"/>
          <w:b/>
          <w:color w:val="auto"/>
          <w:szCs w:val="21"/>
          <w:highlight w:val="none"/>
        </w:rPr>
      </w:pPr>
      <w:bookmarkStart w:id="512" w:name="_Toc259093687"/>
      <w:bookmarkStart w:id="513" w:name="_Toc16959"/>
      <w:bookmarkStart w:id="514" w:name="_Toc7102"/>
      <w:bookmarkStart w:id="515" w:name="_Toc279701258"/>
      <w:bookmarkStart w:id="516" w:name="_Toc487900368"/>
      <w:bookmarkStart w:id="517" w:name="_Toc8298"/>
      <w:r>
        <w:rPr>
          <w:rFonts w:hint="eastAsia" w:ascii="宋体" w:hAnsi="宋体" w:cs="宋体"/>
          <w:b/>
          <w:color w:val="auto"/>
          <w:szCs w:val="21"/>
          <w:highlight w:val="none"/>
        </w:rPr>
        <w:t>2.14乙方破产</w:t>
      </w:r>
      <w:bookmarkEnd w:id="512"/>
      <w:bookmarkEnd w:id="513"/>
      <w:bookmarkEnd w:id="514"/>
      <w:bookmarkEnd w:id="515"/>
      <w:bookmarkEnd w:id="516"/>
      <w:bookmarkEnd w:id="517"/>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22" w:firstLineChars="200"/>
        <w:outlineLvl w:val="0"/>
        <w:rPr>
          <w:rFonts w:ascii="宋体" w:hAnsi="宋体" w:cs="宋体"/>
          <w:b/>
          <w:color w:val="auto"/>
          <w:szCs w:val="21"/>
          <w:highlight w:val="none"/>
        </w:rPr>
      </w:pPr>
      <w:bookmarkStart w:id="518" w:name="_Toc6134"/>
      <w:bookmarkStart w:id="519" w:name="_Toc29333"/>
      <w:bookmarkStart w:id="520" w:name="_Toc15387"/>
      <w:r>
        <w:rPr>
          <w:rFonts w:hint="eastAsia" w:ascii="宋体" w:hAnsi="宋体" w:cs="宋体"/>
          <w:b/>
          <w:color w:val="auto"/>
          <w:szCs w:val="21"/>
          <w:highlight w:val="none"/>
        </w:rPr>
        <w:t>2.15 合同中止、终止</w:t>
      </w:r>
      <w:bookmarkEnd w:id="518"/>
      <w:bookmarkEnd w:id="519"/>
      <w:bookmarkEnd w:id="520"/>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2.15.1 双方当事人不得擅自中止或者终止合同；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2.15.2合同继续履行将损害国家利益和社会公共利益的，双方当事人应当中止或者终止合同。有过错的一方应当承担赔偿责任，双方当事人都有过错的，各自承担相应的责任。</w:t>
      </w:r>
    </w:p>
    <w:p>
      <w:pPr>
        <w:spacing w:line="360" w:lineRule="auto"/>
        <w:ind w:firstLine="422" w:firstLineChars="200"/>
        <w:outlineLvl w:val="0"/>
        <w:rPr>
          <w:rFonts w:ascii="宋体" w:hAnsi="宋体" w:cs="宋体"/>
          <w:b/>
          <w:color w:val="auto"/>
          <w:szCs w:val="21"/>
          <w:highlight w:val="none"/>
        </w:rPr>
      </w:pPr>
      <w:bookmarkStart w:id="521" w:name="_Toc6596"/>
      <w:bookmarkStart w:id="522" w:name="_Toc14563"/>
      <w:bookmarkStart w:id="523" w:name="_Toc1125"/>
      <w:r>
        <w:rPr>
          <w:rFonts w:hint="eastAsia" w:ascii="宋体" w:hAnsi="宋体" w:cs="宋体"/>
          <w:b/>
          <w:color w:val="auto"/>
          <w:szCs w:val="21"/>
          <w:highlight w:val="none"/>
        </w:rPr>
        <w:t>2.16检验和验收</w:t>
      </w:r>
      <w:bookmarkEnd w:id="521"/>
      <w:bookmarkEnd w:id="522"/>
      <w:bookmarkEnd w:id="523"/>
    </w:p>
    <w:p>
      <w:pPr>
        <w:tabs>
          <w:tab w:val="left" w:pos="360"/>
          <w:tab w:val="left" w:pos="540"/>
          <w:tab w:val="left" w:pos="108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约定时间内组织验收，并可依法邀请相关方参加，验收应出具验收书。</w:t>
      </w:r>
    </w:p>
    <w:p>
      <w:pPr>
        <w:tabs>
          <w:tab w:val="left" w:pos="360"/>
          <w:tab w:val="left" w:pos="540"/>
          <w:tab w:val="left" w:pos="108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2.16.3 检验和验收标准、程序等具体内容以及前述验收书的效力详见</w:t>
      </w:r>
      <w:r>
        <w:rPr>
          <w:rFonts w:hint="eastAsia" w:ascii="宋体" w:hAnsi="宋体" w:cs="宋体"/>
          <w:b/>
          <w:i/>
          <w:color w:val="auto"/>
          <w:szCs w:val="21"/>
          <w:highlight w:val="none"/>
          <w:u w:val="single"/>
        </w:rPr>
        <w:t>合同专用条款</w:t>
      </w:r>
      <w:r>
        <w:rPr>
          <w:rFonts w:hint="eastAsia" w:ascii="宋体" w:hAnsi="宋体" w:cs="宋体"/>
          <w:i/>
          <w:color w:val="auto"/>
          <w:szCs w:val="21"/>
          <w:highlight w:val="none"/>
        </w:rPr>
        <w:t>。</w:t>
      </w:r>
    </w:p>
    <w:bookmarkEnd w:id="493"/>
    <w:bookmarkEnd w:id="494"/>
    <w:bookmarkEnd w:id="495"/>
    <w:bookmarkEnd w:id="496"/>
    <w:p>
      <w:pPr>
        <w:spacing w:line="360" w:lineRule="auto"/>
        <w:ind w:firstLine="422" w:firstLineChars="200"/>
        <w:outlineLvl w:val="0"/>
        <w:rPr>
          <w:rFonts w:ascii="宋体" w:hAnsi="宋体" w:cs="宋体"/>
          <w:b/>
          <w:color w:val="auto"/>
          <w:szCs w:val="21"/>
          <w:highlight w:val="none"/>
        </w:rPr>
      </w:pPr>
      <w:bookmarkStart w:id="524" w:name="_Toc259093690"/>
      <w:bookmarkStart w:id="525" w:name="_Toc279701261"/>
      <w:bookmarkStart w:id="526" w:name="_Toc487900371"/>
      <w:bookmarkStart w:id="527" w:name="_Toc19604"/>
      <w:bookmarkStart w:id="528" w:name="_Toc11284"/>
      <w:bookmarkStart w:id="529" w:name="_Toc25182"/>
      <w:r>
        <w:rPr>
          <w:rFonts w:hint="eastAsia" w:ascii="宋体" w:hAnsi="宋体" w:cs="宋体"/>
          <w:b/>
          <w:color w:val="auto"/>
          <w:szCs w:val="21"/>
          <w:highlight w:val="none"/>
        </w:rPr>
        <w:t>2.17 通知</w:t>
      </w:r>
      <w:bookmarkEnd w:id="524"/>
      <w:bookmarkEnd w:id="525"/>
      <w:bookmarkEnd w:id="526"/>
      <w:r>
        <w:rPr>
          <w:rFonts w:hint="eastAsia" w:ascii="宋体" w:hAnsi="宋体" w:cs="宋体"/>
          <w:b/>
          <w:color w:val="auto"/>
          <w:szCs w:val="21"/>
          <w:highlight w:val="none"/>
        </w:rPr>
        <w:t>和送达</w:t>
      </w:r>
      <w:bookmarkEnd w:id="527"/>
      <w:bookmarkEnd w:id="528"/>
      <w:bookmarkEnd w:id="529"/>
    </w:p>
    <w:p>
      <w:pPr>
        <w:spacing w:line="360" w:lineRule="auto"/>
        <w:ind w:firstLine="420" w:firstLineChars="200"/>
        <w:rPr>
          <w:rFonts w:ascii="宋体" w:hAnsi="宋体" w:cs="宋体"/>
          <w:color w:val="auto"/>
          <w:szCs w:val="21"/>
          <w:highlight w:val="none"/>
        </w:rPr>
      </w:pPr>
      <w:bookmarkStart w:id="530" w:name="_Toc6698"/>
      <w:bookmarkStart w:id="531" w:name="_Toc3135"/>
      <w:bookmarkStart w:id="532" w:name="_Toc487900372"/>
      <w:bookmarkStart w:id="533" w:name="_Toc259093691"/>
      <w:bookmarkStart w:id="534" w:name="_Toc279701262"/>
      <w:r>
        <w:rPr>
          <w:rFonts w:hint="eastAsia" w:ascii="宋体" w:hAnsi="宋体" w:cs="宋体"/>
          <w:color w:val="auto"/>
          <w:szCs w:val="21"/>
          <w:highlight w:val="none"/>
        </w:rPr>
        <w:t xml:space="preserve">2.17.1任何一方因履行合同而以合同第一部分尾部所列明的传真或电子邮件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发出的所有通知、文件、材料，均视为已向对方当事人送达；任何一方变更上述送达方式或者地址的，应于</w:t>
      </w:r>
      <w:r>
        <w:rPr>
          <w:rFonts w:hint="eastAsia" w:ascii="宋体" w:hAnsi="宋体" w:cs="宋体"/>
          <w:color w:val="auto"/>
          <w:szCs w:val="21"/>
          <w:highlight w:val="none"/>
          <w:u w:val="single"/>
        </w:rPr>
        <w:t>3</w:t>
      </w:r>
      <w:r>
        <w:rPr>
          <w:rFonts w:hint="eastAsia" w:ascii="宋体" w:hAnsi="宋体" w:cs="宋体"/>
          <w:color w:val="auto"/>
          <w:szCs w:val="21"/>
          <w:highlight w:val="none"/>
        </w:rPr>
        <w:t>个工作日内书面通知对方当事人，在对方当事人收到有关变更通知之前，变更前的约定送达方式或者地址仍视为有效。</w:t>
      </w:r>
      <w:bookmarkEnd w:id="530"/>
      <w:bookmarkEnd w:id="531"/>
    </w:p>
    <w:p>
      <w:pPr>
        <w:spacing w:line="360" w:lineRule="auto"/>
        <w:ind w:firstLine="420" w:firstLineChars="200"/>
        <w:rPr>
          <w:rFonts w:ascii="宋体" w:hAnsi="宋体" w:cs="宋体"/>
          <w:color w:val="auto"/>
          <w:szCs w:val="21"/>
          <w:highlight w:val="none"/>
        </w:rPr>
      </w:pPr>
      <w:bookmarkStart w:id="535" w:name="_Toc23128"/>
      <w:bookmarkStart w:id="536" w:name="_Toc23294"/>
      <w:r>
        <w:rPr>
          <w:rFonts w:hint="eastAsia" w:ascii="宋体" w:hAnsi="宋体" w:cs="宋体"/>
          <w:color w:val="auto"/>
          <w:szCs w:val="21"/>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5"/>
      <w:bookmarkEnd w:id="536"/>
    </w:p>
    <w:p>
      <w:pPr>
        <w:spacing w:line="360" w:lineRule="auto"/>
        <w:ind w:firstLine="422" w:firstLineChars="200"/>
        <w:outlineLvl w:val="0"/>
        <w:rPr>
          <w:rFonts w:ascii="宋体" w:hAnsi="宋体" w:cs="宋体"/>
          <w:b/>
          <w:color w:val="auto"/>
          <w:szCs w:val="21"/>
          <w:highlight w:val="none"/>
        </w:rPr>
      </w:pPr>
      <w:bookmarkStart w:id="537" w:name="_Toc4355"/>
      <w:bookmarkStart w:id="538" w:name="_Toc18540"/>
      <w:bookmarkStart w:id="539" w:name="_Toc30599"/>
      <w:r>
        <w:rPr>
          <w:rFonts w:hint="eastAsia" w:ascii="宋体" w:hAnsi="宋体" w:cs="宋体"/>
          <w:b/>
          <w:color w:val="auto"/>
          <w:szCs w:val="21"/>
          <w:highlight w:val="none"/>
        </w:rPr>
        <w:t>2.18 计量单位</w:t>
      </w:r>
      <w:bookmarkEnd w:id="532"/>
      <w:bookmarkEnd w:id="533"/>
      <w:bookmarkEnd w:id="534"/>
      <w:bookmarkEnd w:id="537"/>
      <w:bookmarkEnd w:id="538"/>
      <w:bookmarkEnd w:id="539"/>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除技术规范中另有规定外,合同的计量单位均使用国家法定计量单位。</w:t>
      </w:r>
    </w:p>
    <w:p>
      <w:pPr>
        <w:spacing w:line="360" w:lineRule="auto"/>
        <w:ind w:firstLine="422" w:firstLineChars="200"/>
        <w:outlineLvl w:val="0"/>
        <w:rPr>
          <w:rFonts w:ascii="宋体" w:hAnsi="宋体" w:cs="宋体"/>
          <w:b/>
          <w:color w:val="auto"/>
          <w:szCs w:val="21"/>
          <w:highlight w:val="none"/>
        </w:rPr>
      </w:pPr>
      <w:bookmarkStart w:id="540" w:name="_Toc259093692"/>
      <w:bookmarkStart w:id="541" w:name="_Toc10330"/>
      <w:bookmarkStart w:id="542" w:name="_Toc18567"/>
      <w:bookmarkStart w:id="543" w:name="_Toc487900373"/>
      <w:bookmarkStart w:id="544" w:name="_Toc279701263"/>
      <w:bookmarkStart w:id="545" w:name="_Toc12773"/>
      <w:r>
        <w:rPr>
          <w:rFonts w:hint="eastAsia" w:ascii="宋体" w:hAnsi="宋体" w:cs="宋体"/>
          <w:b/>
          <w:color w:val="auto"/>
          <w:szCs w:val="21"/>
          <w:highlight w:val="none"/>
        </w:rPr>
        <w:t>2.19 合同使用的文字和适用的法律</w:t>
      </w:r>
      <w:bookmarkEnd w:id="540"/>
      <w:bookmarkEnd w:id="541"/>
      <w:bookmarkEnd w:id="542"/>
      <w:bookmarkEnd w:id="543"/>
      <w:bookmarkEnd w:id="544"/>
      <w:bookmarkEnd w:id="545"/>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2.19.1 合同使用汉语书就、变更和解释；</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2.19.2 合同适用中华人民共和国法律。</w:t>
      </w:r>
    </w:p>
    <w:p>
      <w:pPr>
        <w:spacing w:line="360" w:lineRule="auto"/>
        <w:ind w:firstLine="422" w:firstLineChars="200"/>
        <w:outlineLvl w:val="0"/>
        <w:rPr>
          <w:rFonts w:ascii="宋体" w:hAnsi="宋体" w:cs="宋体"/>
          <w:b/>
          <w:color w:val="auto"/>
          <w:szCs w:val="21"/>
          <w:highlight w:val="none"/>
        </w:rPr>
      </w:pPr>
      <w:bookmarkStart w:id="546" w:name="_Toc3148"/>
      <w:bookmarkStart w:id="547" w:name="_Toc12004"/>
      <w:bookmarkStart w:id="548" w:name="_Toc16673"/>
      <w:bookmarkStart w:id="549" w:name="_Toc279701264"/>
      <w:bookmarkStart w:id="550" w:name="_Toc259093693"/>
      <w:bookmarkStart w:id="551" w:name="_Toc487900374"/>
      <w:r>
        <w:rPr>
          <w:rFonts w:hint="eastAsia" w:ascii="宋体" w:hAnsi="宋体" w:cs="宋体"/>
          <w:b/>
          <w:color w:val="auto"/>
          <w:szCs w:val="21"/>
          <w:highlight w:val="none"/>
        </w:rPr>
        <w:t>2.20 履约保证金</w:t>
      </w:r>
      <w:bookmarkEnd w:id="546"/>
      <w:bookmarkEnd w:id="547"/>
      <w:bookmarkEnd w:id="548"/>
      <w:bookmarkEnd w:id="549"/>
      <w:bookmarkEnd w:id="550"/>
    </w:p>
    <w:p>
      <w:pPr>
        <w:pStyle w:val="958"/>
        <w:spacing w:before="0" w:beforeAutospacing="0" w:after="0" w:afterAutospacing="0" w:line="360" w:lineRule="auto"/>
        <w:ind w:firstLine="420"/>
        <w:rPr>
          <w:color w:val="auto"/>
          <w:sz w:val="21"/>
          <w:szCs w:val="21"/>
          <w:highlight w:val="none"/>
        </w:rPr>
      </w:pPr>
      <w:r>
        <w:rPr>
          <w:rFonts w:hint="eastAsia"/>
          <w:color w:val="auto"/>
          <w:sz w:val="21"/>
          <w:szCs w:val="21"/>
          <w:highlight w:val="none"/>
        </w:rPr>
        <w:t>2.20.1 采购文件要求乙方提交履约保证金的，乙方应按</w:t>
      </w:r>
      <w:r>
        <w:rPr>
          <w:rFonts w:hint="eastAsia"/>
          <w:b/>
          <w:i/>
          <w:color w:val="auto"/>
          <w:sz w:val="21"/>
          <w:szCs w:val="21"/>
          <w:highlight w:val="none"/>
          <w:u w:val="single"/>
        </w:rPr>
        <w:t>合同专用条款</w:t>
      </w:r>
      <w:r>
        <w:rPr>
          <w:rFonts w:hint="eastAsia"/>
          <w:color w:val="auto"/>
          <w:sz w:val="21"/>
          <w:szCs w:val="21"/>
          <w:highlight w:val="none"/>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2.20.2  甲方在项目验收结束后及时退还履约保证金。甲方在项目通过验收之日起</w:t>
      </w:r>
      <w:r>
        <w:rPr>
          <w:rFonts w:hint="eastAsia" w:ascii="宋体" w:hAnsi="宋体" w:cs="宋体"/>
          <w:color w:val="auto"/>
          <w:szCs w:val="21"/>
          <w:highlight w:val="none"/>
          <w:u w:val="single"/>
        </w:rPr>
        <w:t xml:space="preserve"> </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个工作日内将履约保证金退还乙方，逾期退还的，乙方可要求甲方支付违约金，违约金按每迟延退还一日的应退还而未退还金额的</w:t>
      </w:r>
      <w:r>
        <w:rPr>
          <w:rFonts w:hint="eastAsia" w:ascii="宋体" w:hAnsi="宋体" w:cs="宋体"/>
          <w:color w:val="auto"/>
          <w:szCs w:val="21"/>
          <w:highlight w:val="none"/>
          <w:u w:val="single"/>
        </w:rPr>
        <w:t xml:space="preserve">  0.05  </w:t>
      </w:r>
      <w:r>
        <w:rPr>
          <w:rFonts w:hint="eastAsia" w:ascii="宋体" w:hAnsi="宋体" w:cs="宋体"/>
          <w:color w:val="auto"/>
          <w:szCs w:val="21"/>
          <w:highlight w:val="none"/>
        </w:rPr>
        <w:t>%计算，最高限额为本合同履约保证金的</w:t>
      </w:r>
      <w:r>
        <w:rPr>
          <w:rFonts w:hint="eastAsia" w:ascii="宋体" w:hAnsi="宋体" w:cs="宋体"/>
          <w:color w:val="auto"/>
          <w:szCs w:val="21"/>
          <w:highlight w:val="none"/>
          <w:u w:val="single"/>
        </w:rPr>
        <w:t xml:space="preserve">  20   </w:t>
      </w:r>
      <w:r>
        <w:rPr>
          <w:rFonts w:hint="eastAsia" w:ascii="宋体" w:hAnsi="宋体" w:cs="宋体"/>
          <w:color w:val="auto"/>
          <w:szCs w:val="21"/>
          <w:highlight w:val="none"/>
        </w:rPr>
        <w:t xml:space="preserve">%；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2.20.4甲方在乙方履行完合同约定义务事项后及时退还，延迟退还的，应当按照合同约定和法律规定承担相应的赔偿责任。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2.21对于因甲方原因导致变更、中止或者终止政府采购合同的，甲方应当依照合同约定对供应商受到的损失予以赔偿或者补偿。</w:t>
      </w:r>
    </w:p>
    <w:bookmarkEnd w:id="551"/>
    <w:p>
      <w:pPr>
        <w:spacing w:line="360" w:lineRule="auto"/>
        <w:ind w:firstLine="422" w:firstLineChars="200"/>
        <w:outlineLvl w:val="0"/>
        <w:rPr>
          <w:rFonts w:ascii="宋体" w:hAnsi="宋体" w:cs="宋体"/>
          <w:b/>
          <w:color w:val="auto"/>
          <w:szCs w:val="21"/>
          <w:highlight w:val="none"/>
        </w:rPr>
      </w:pPr>
      <w:bookmarkStart w:id="552" w:name="_Toc6885"/>
      <w:bookmarkStart w:id="553" w:name="_Toc19890"/>
      <w:bookmarkStart w:id="554" w:name="_Toc14001"/>
      <w:r>
        <w:rPr>
          <w:rFonts w:hint="eastAsia" w:ascii="宋体" w:hAnsi="宋体" w:cs="宋体"/>
          <w:b/>
          <w:color w:val="auto"/>
          <w:szCs w:val="21"/>
          <w:highlight w:val="none"/>
        </w:rPr>
        <w:t>2.22合同份数</w:t>
      </w:r>
      <w:bookmarkEnd w:id="552"/>
      <w:bookmarkEnd w:id="553"/>
      <w:bookmarkEnd w:id="554"/>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合同份数按</w:t>
      </w:r>
      <w:r>
        <w:rPr>
          <w:rFonts w:hint="eastAsia" w:ascii="宋体" w:hAnsi="宋体" w:cs="宋体"/>
          <w:b/>
          <w:i/>
          <w:color w:val="auto"/>
          <w:szCs w:val="21"/>
          <w:highlight w:val="none"/>
          <w:u w:val="single"/>
        </w:rPr>
        <w:t>合同专用条款</w:t>
      </w:r>
      <w:r>
        <w:rPr>
          <w:rFonts w:hint="eastAsia" w:ascii="宋体" w:hAnsi="宋体" w:cs="宋体"/>
          <w:color w:val="auto"/>
          <w:szCs w:val="21"/>
          <w:highlight w:val="none"/>
        </w:rPr>
        <w:t>规定，每份均具有同等法律效力。</w:t>
      </w:r>
    </w:p>
    <w:p>
      <w:pPr>
        <w:adjustRightInd/>
        <w:spacing w:line="360" w:lineRule="auto"/>
        <w:jc w:val="center"/>
        <w:outlineLvl w:val="0"/>
        <w:rPr>
          <w:rFonts w:ascii="宋体" w:hAnsi="宋体" w:cs="宋体"/>
          <w:b/>
          <w:color w:val="auto"/>
          <w:szCs w:val="21"/>
          <w:highlight w:val="none"/>
        </w:rPr>
      </w:pPr>
      <w:r>
        <w:rPr>
          <w:rFonts w:hint="eastAsia" w:ascii="宋体" w:hAnsi="宋体" w:cs="宋体"/>
          <w:color w:val="auto"/>
          <w:kern w:val="0"/>
          <w:szCs w:val="21"/>
          <w:highlight w:val="none"/>
        </w:rPr>
        <w:br w:type="page"/>
      </w:r>
      <w:r>
        <w:rPr>
          <w:rFonts w:hint="eastAsia" w:ascii="宋体" w:hAnsi="宋体" w:cs="宋体"/>
          <w:b/>
          <w:color w:val="auto"/>
          <w:szCs w:val="21"/>
          <w:highlight w:val="none"/>
        </w:rPr>
        <w:t>第三部分  合同专用条款</w:t>
      </w:r>
    </w:p>
    <w:p>
      <w:pPr>
        <w:spacing w:line="360" w:lineRule="auto"/>
        <w:ind w:left="-420" w:leftChars="-200" w:right="-420" w:rightChars="-200" w:firstLine="420" w:firstLineChars="200"/>
        <w:rPr>
          <w:rFonts w:ascii="宋体" w:hAnsi="宋体" w:cs="宋体"/>
          <w:color w:val="auto"/>
          <w:szCs w:val="21"/>
          <w:highlight w:val="none"/>
        </w:rPr>
      </w:pPr>
      <w:r>
        <w:rPr>
          <w:rFonts w:hint="eastAsia" w:ascii="宋体" w:hAnsi="宋体" w:cs="宋体"/>
          <w:color w:val="auto"/>
          <w:szCs w:val="21"/>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46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82"/>
        <w:gridCol w:w="85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8586" w:type="dxa"/>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1.4.4</w:t>
            </w:r>
          </w:p>
        </w:tc>
        <w:tc>
          <w:tcPr>
            <w:tcW w:w="8586" w:type="dxa"/>
            <w:vAlign w:val="center"/>
          </w:tcPr>
          <w:p>
            <w:pPr>
              <w:rPr>
                <w:rFonts w:hint="eastAsia" w:ascii="宋体" w:hAnsi="宋体" w:cs="宋体"/>
                <w:color w:val="auto"/>
                <w:szCs w:val="21"/>
                <w:highlight w:val="none"/>
              </w:rPr>
            </w:pPr>
            <w:r>
              <w:rPr>
                <w:rFonts w:hint="eastAsia" w:ascii="宋体" w:hAnsi="宋体" w:cs="宋体"/>
                <w:color w:val="auto"/>
                <w:szCs w:val="21"/>
                <w:highlight w:val="none"/>
              </w:rPr>
              <w:t>合同签订后5个工作日内甲方支付合同金额40%到合同约定的乙方账户。</w:t>
            </w:r>
          </w:p>
          <w:p>
            <w:pPr>
              <w:rPr>
                <w:rFonts w:ascii="宋体" w:hAnsi="宋体" w:cs="宋体"/>
                <w:color w:val="auto"/>
                <w:szCs w:val="21"/>
                <w:highlight w:val="none"/>
              </w:rPr>
            </w:pPr>
            <w:r>
              <w:rPr>
                <w:rFonts w:hint="eastAsia" w:ascii="宋体" w:hAnsi="宋体" w:cs="宋体"/>
                <w:color w:val="auto"/>
                <w:szCs w:val="21"/>
                <w:highlight w:val="none"/>
              </w:rPr>
              <w:t>项目验收合格后，甲方自收到全额发票后5个工作日内将合同金额60%支付到合同约定的乙方账户。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 xml:space="preserve">1.5.1 </w:t>
            </w:r>
          </w:p>
        </w:tc>
        <w:tc>
          <w:tcPr>
            <w:tcW w:w="8586" w:type="dxa"/>
            <w:vAlign w:val="center"/>
          </w:tcPr>
          <w:p>
            <w:pPr>
              <w:rPr>
                <w:rFonts w:ascii="宋体" w:hAnsi="宋体" w:cs="宋体"/>
                <w:color w:val="auto"/>
                <w:szCs w:val="21"/>
                <w:highlight w:val="none"/>
              </w:rPr>
            </w:pPr>
            <w:r>
              <w:rPr>
                <w:rFonts w:hint="eastAsia" w:ascii="宋体" w:hAnsi="宋体"/>
                <w:color w:val="auto"/>
                <w:szCs w:val="21"/>
                <w:highlight w:val="none"/>
              </w:rPr>
              <w:t>自合同签订之日起60日内交付。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1.5.2</w:t>
            </w:r>
          </w:p>
        </w:tc>
        <w:tc>
          <w:tcPr>
            <w:tcW w:w="8586" w:type="dxa"/>
            <w:vAlign w:val="center"/>
          </w:tcPr>
          <w:p>
            <w:pPr>
              <w:rPr>
                <w:rFonts w:ascii="宋体" w:hAnsi="宋体" w:cs="宋体"/>
                <w:color w:val="auto"/>
                <w:szCs w:val="21"/>
                <w:highlight w:val="none"/>
              </w:rPr>
            </w:pPr>
            <w:r>
              <w:rPr>
                <w:rFonts w:hint="eastAsia" w:ascii="宋体" w:hAnsi="宋体" w:cs="宋体"/>
                <w:color w:val="auto"/>
                <w:kern w:val="0"/>
                <w:szCs w:val="21"/>
                <w:highlight w:val="none"/>
              </w:rPr>
              <w:t>各需求学校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 xml:space="preserve">1.5.3 </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现实交付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1.6.7</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1.7</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1.7.2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1.7.1</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1.7.2</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甲方所在地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2.3.2</w:t>
            </w:r>
          </w:p>
        </w:tc>
        <w:tc>
          <w:tcPr>
            <w:tcW w:w="8586" w:type="dxa"/>
            <w:vAlign w:val="center"/>
          </w:tcPr>
          <w:p>
            <w:pPr>
              <w:ind w:left="-420" w:leftChars="-200" w:right="-420" w:rightChars="-200" w:firstLine="420" w:firstLineChars="200"/>
              <w:rPr>
                <w:rFonts w:ascii="宋体" w:hAnsi="宋体" w:cs="宋体"/>
                <w:color w:val="auto"/>
                <w:szCs w:val="21"/>
                <w:highlight w:val="none"/>
              </w:rPr>
            </w:pPr>
            <w:r>
              <w:rPr>
                <w:rFonts w:hint="eastAsia" w:ascii="宋体" w:hAnsi="宋体" w:cs="宋体"/>
                <w:color w:val="auto"/>
                <w:szCs w:val="21"/>
                <w:highlight w:val="none"/>
              </w:rPr>
              <w:t>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2.4.1</w:t>
            </w:r>
          </w:p>
        </w:tc>
        <w:tc>
          <w:tcPr>
            <w:tcW w:w="8586" w:type="dxa"/>
            <w:vAlign w:val="center"/>
          </w:tcPr>
          <w:p>
            <w:pPr>
              <w:ind w:left="-420" w:leftChars="-200" w:right="-420" w:rightChars="-200" w:firstLine="420" w:firstLineChars="200"/>
              <w:rPr>
                <w:rFonts w:ascii="宋体" w:hAnsi="宋体" w:cs="宋体"/>
                <w:color w:val="auto"/>
                <w:szCs w:val="21"/>
                <w:highlight w:val="none"/>
              </w:rPr>
            </w:pPr>
            <w:r>
              <w:rPr>
                <w:rFonts w:hint="eastAsia" w:ascii="宋体" w:hAnsi="宋体" w:cs="宋体"/>
                <w:color w:val="auto"/>
                <w:szCs w:val="21"/>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2.4.3</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在交付期限内自行安排装运，并在货物起运前提前告知采购人。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tcPr>
          <w:p>
            <w:pPr>
              <w:rPr>
                <w:rFonts w:ascii="宋体" w:hAnsi="宋体" w:cs="宋体"/>
                <w:color w:val="auto"/>
                <w:szCs w:val="21"/>
                <w:highlight w:val="none"/>
              </w:rPr>
            </w:pPr>
            <w:r>
              <w:rPr>
                <w:rFonts w:hint="eastAsia" w:ascii="宋体" w:hAnsi="宋体" w:cs="宋体"/>
                <w:color w:val="auto"/>
                <w:szCs w:val="21"/>
                <w:highlight w:val="none"/>
              </w:rPr>
              <w:t xml:space="preserve">2.8 </w:t>
            </w:r>
          </w:p>
        </w:tc>
        <w:tc>
          <w:tcPr>
            <w:tcW w:w="8586" w:type="dxa"/>
          </w:tcPr>
          <w:p>
            <w:pPr>
              <w:rPr>
                <w:rFonts w:ascii="宋体" w:hAnsi="宋体" w:cs="宋体"/>
                <w:color w:val="auto"/>
                <w:szCs w:val="21"/>
                <w:highlight w:val="none"/>
              </w:rPr>
            </w:pPr>
            <w:r>
              <w:rPr>
                <w:rFonts w:hint="eastAsia" w:ascii="宋体" w:hAnsi="宋体" w:cs="宋体"/>
                <w:color w:val="auto"/>
                <w:szCs w:val="21"/>
                <w:highlight w:val="none"/>
              </w:rPr>
              <w:t>由乙方承担一切责任并赔偿甲方损失。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2.12.3</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3个工作日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2.12.4</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1个工作日；3个工作日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2.16.1</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5个工作日内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2.16.3</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采用本行业通用标准。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tcPr>
          <w:p>
            <w:pPr>
              <w:rPr>
                <w:rFonts w:ascii="宋体" w:hAnsi="宋体" w:cs="宋体"/>
                <w:color w:val="auto"/>
                <w:szCs w:val="21"/>
                <w:highlight w:val="none"/>
              </w:rPr>
            </w:pPr>
            <w:r>
              <w:rPr>
                <w:rFonts w:hint="eastAsia" w:ascii="宋体" w:hAnsi="宋体" w:cs="宋体"/>
                <w:color w:val="auto"/>
                <w:szCs w:val="21"/>
                <w:highlight w:val="none"/>
              </w:rPr>
              <w:t>2.20.1</w:t>
            </w:r>
          </w:p>
        </w:tc>
        <w:tc>
          <w:tcPr>
            <w:tcW w:w="8586" w:type="dxa"/>
          </w:tcPr>
          <w:p>
            <w:pPr>
              <w:rPr>
                <w:rFonts w:ascii="宋体" w:hAnsi="宋体" w:cs="宋体"/>
                <w:color w:val="auto"/>
                <w:szCs w:val="21"/>
                <w:highlight w:val="none"/>
              </w:rPr>
            </w:pPr>
            <w:r>
              <w:rPr>
                <w:rFonts w:hint="eastAsia" w:ascii="宋体" w:hAnsi="宋体" w:cs="宋体"/>
                <w:color w:val="auto"/>
                <w:szCs w:val="21"/>
                <w:highlight w:val="none"/>
              </w:rPr>
              <w:t>以支票、汇票、</w:t>
            </w:r>
            <w:r>
              <w:rPr>
                <w:rFonts w:hint="eastAsia" w:ascii="宋体" w:hAnsi="宋体" w:cs="宋体"/>
                <w:color w:val="auto"/>
                <w:kern w:val="0"/>
                <w:szCs w:val="21"/>
                <w:highlight w:val="none"/>
              </w:rPr>
              <w:t>本票或者金融机构、担保机构出具的保函等非现金形式提交</w:t>
            </w:r>
            <w:r>
              <w:rPr>
                <w:rFonts w:hint="eastAsia" w:ascii="宋体" w:hAnsi="宋体" w:cs="宋体"/>
                <w:color w:val="auto"/>
                <w:szCs w:val="21"/>
                <w:highlight w:val="none"/>
              </w:rPr>
              <w:t>。鼓励和支持供应商以银行、保险公司出具的保函形式提供履约保证金。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 xml:space="preserve">2.20.2 </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7个工作日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882" w:type="dxa"/>
            <w:tcBorders>
              <w:left w:val="single" w:color="auto" w:sz="4" w:space="0"/>
            </w:tcBorders>
            <w:vAlign w:val="center"/>
          </w:tcPr>
          <w:p>
            <w:pPr>
              <w:ind w:left="-420" w:leftChars="-200" w:right="-420" w:rightChars="-200" w:firstLine="420" w:firstLineChars="200"/>
              <w:outlineLvl w:val="0"/>
              <w:rPr>
                <w:rFonts w:ascii="宋体" w:hAnsi="宋体" w:cs="宋体"/>
                <w:color w:val="auto"/>
                <w:szCs w:val="21"/>
                <w:highlight w:val="none"/>
              </w:rPr>
            </w:pPr>
            <w:r>
              <w:rPr>
                <w:rFonts w:hint="eastAsia" w:ascii="宋体" w:hAnsi="宋体" w:cs="宋体"/>
                <w:color w:val="auto"/>
                <w:szCs w:val="21"/>
                <w:highlight w:val="none"/>
              </w:rPr>
              <w:t xml:space="preserve">2.22 </w:t>
            </w:r>
          </w:p>
        </w:tc>
        <w:tc>
          <w:tcPr>
            <w:tcW w:w="8586" w:type="dxa"/>
            <w:vAlign w:val="center"/>
          </w:tcPr>
          <w:p>
            <w:pPr>
              <w:rPr>
                <w:rFonts w:ascii="宋体" w:hAnsi="宋体" w:cs="宋体"/>
                <w:color w:val="auto"/>
                <w:szCs w:val="21"/>
                <w:highlight w:val="none"/>
              </w:rPr>
            </w:pPr>
            <w:r>
              <w:rPr>
                <w:rFonts w:hint="eastAsia" w:ascii="宋体" w:hAnsi="宋体" w:cs="宋体"/>
                <w:color w:val="auto"/>
                <w:szCs w:val="21"/>
                <w:highlight w:val="none"/>
              </w:rPr>
              <w:t>一式肆份，双方各执贰份。</w:t>
            </w:r>
          </w:p>
        </w:tc>
      </w:tr>
    </w:tbl>
    <w:p>
      <w:pPr>
        <w:snapToGrid w:val="0"/>
        <w:spacing w:line="288" w:lineRule="auto"/>
        <w:rPr>
          <w:rFonts w:ascii="宋体" w:hAnsi="宋体"/>
          <w:color w:val="auto"/>
          <w:szCs w:val="21"/>
          <w:highlight w:val="none"/>
        </w:rPr>
      </w:pPr>
    </w:p>
    <w:p>
      <w:pPr>
        <w:widowControl/>
        <w:adjustRightInd/>
        <w:jc w:val="left"/>
        <w:rPr>
          <w:rFonts w:ascii="宋体" w:hAnsi="宋体" w:cs="宋体"/>
          <w:b/>
          <w:color w:val="auto"/>
          <w:szCs w:val="21"/>
          <w:highlight w:val="none"/>
        </w:rPr>
      </w:pPr>
      <w:r>
        <w:rPr>
          <w:rFonts w:ascii="宋体" w:hAnsi="宋体" w:cs="宋体"/>
          <w:b/>
          <w:color w:val="auto"/>
          <w:szCs w:val="21"/>
          <w:highlight w:val="none"/>
        </w:rPr>
        <w:br w:type="page"/>
      </w:r>
    </w:p>
    <w:p>
      <w:pPr>
        <w:snapToGrid w:val="0"/>
        <w:spacing w:line="288" w:lineRule="auto"/>
        <w:jc w:val="center"/>
        <w:outlineLvl w:val="0"/>
        <w:rPr>
          <w:rFonts w:ascii="宋体" w:hAnsi="宋体" w:cs="宋体"/>
          <w:b/>
          <w:color w:val="auto"/>
          <w:szCs w:val="21"/>
          <w:highlight w:val="none"/>
        </w:rPr>
      </w:pPr>
      <w:r>
        <w:rPr>
          <w:rFonts w:hint="eastAsia" w:ascii="宋体" w:hAnsi="宋体" w:cs="宋体"/>
          <w:b/>
          <w:color w:val="auto"/>
          <w:szCs w:val="21"/>
          <w:highlight w:val="none"/>
        </w:rPr>
        <w:t>第六部分</w:t>
      </w:r>
      <w:bookmarkEnd w:id="397"/>
      <w:r>
        <w:rPr>
          <w:rFonts w:hint="eastAsia" w:ascii="宋体" w:hAnsi="宋体" w:cs="宋体"/>
          <w:b/>
          <w:color w:val="auto"/>
          <w:szCs w:val="21"/>
          <w:highlight w:val="none"/>
        </w:rPr>
        <w:t xml:space="preserve"> </w:t>
      </w:r>
      <w:bookmarkEnd w:id="398"/>
      <w:r>
        <w:rPr>
          <w:rFonts w:hint="eastAsia" w:ascii="宋体" w:hAnsi="宋体" w:cs="宋体"/>
          <w:b/>
          <w:color w:val="auto"/>
          <w:szCs w:val="21"/>
          <w:highlight w:val="none"/>
        </w:rPr>
        <w:t>应提交的有关格式范例</w:t>
      </w:r>
    </w:p>
    <w:p>
      <w:pPr>
        <w:snapToGrid w:val="0"/>
        <w:spacing w:line="288" w:lineRule="auto"/>
        <w:jc w:val="center"/>
        <w:rPr>
          <w:rFonts w:ascii="宋体" w:hAnsi="宋体" w:cs="宋体"/>
          <w:b/>
          <w:color w:val="auto"/>
          <w:kern w:val="0"/>
          <w:szCs w:val="21"/>
          <w:highlight w:val="none"/>
        </w:rPr>
      </w:pPr>
    </w:p>
    <w:p>
      <w:pPr>
        <w:snapToGrid w:val="0"/>
        <w:spacing w:line="288" w:lineRule="auto"/>
        <w:jc w:val="center"/>
        <w:outlineLvl w:val="1"/>
        <w:rPr>
          <w:rFonts w:ascii="宋体" w:hAnsi="宋体" w:cs="宋体"/>
          <w:b/>
          <w:color w:val="auto"/>
          <w:kern w:val="0"/>
          <w:szCs w:val="21"/>
          <w:highlight w:val="none"/>
        </w:rPr>
      </w:pPr>
      <w:r>
        <w:rPr>
          <w:rFonts w:hint="eastAsia" w:ascii="宋体" w:hAnsi="宋体" w:cs="宋体"/>
          <w:b/>
          <w:color w:val="auto"/>
          <w:kern w:val="0"/>
          <w:szCs w:val="21"/>
          <w:highlight w:val="none"/>
        </w:rPr>
        <w:t>资格文件部分</w:t>
      </w:r>
    </w:p>
    <w:p>
      <w:pPr>
        <w:snapToGrid w:val="0"/>
        <w:spacing w:line="288" w:lineRule="auto"/>
        <w:rPr>
          <w:rFonts w:ascii="宋体" w:hAnsi="宋体" w:cs="宋体"/>
          <w:b/>
          <w:color w:val="auto"/>
          <w:kern w:val="0"/>
          <w:szCs w:val="21"/>
          <w:highlight w:val="none"/>
        </w:rPr>
      </w:pPr>
    </w:p>
    <w:p>
      <w:pPr>
        <w:snapToGrid w:val="0"/>
        <w:spacing w:line="288"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目录</w:t>
      </w:r>
    </w:p>
    <w:p>
      <w:pPr>
        <w:snapToGrid w:val="0"/>
        <w:spacing w:line="288" w:lineRule="auto"/>
        <w:rPr>
          <w:rFonts w:ascii="宋体" w:hAnsi="宋体" w:cs="宋体"/>
          <w:b/>
          <w:color w:val="auto"/>
          <w:kern w:val="0"/>
          <w:szCs w:val="21"/>
          <w:highlight w:val="none"/>
        </w:rPr>
      </w:pP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（1）符合参加政府采购活动应当具备的一般条件的承诺函……………（页码）</w:t>
      </w:r>
    </w:p>
    <w:p>
      <w:pPr>
        <w:snapToGrid w:val="0"/>
        <w:spacing w:line="288" w:lineRule="auto"/>
        <w:rPr>
          <w:rFonts w:ascii="宋体" w:hAnsi="宋体" w:cs="宋体"/>
          <w:color w:val="auto"/>
          <w:szCs w:val="21"/>
          <w:highlight w:val="none"/>
        </w:rPr>
      </w:pPr>
      <w:r>
        <w:rPr>
          <w:rFonts w:hint="eastAsia" w:ascii="宋体" w:hAnsi="宋体" w:cs="宋体"/>
          <w:snapToGrid w:val="0"/>
          <w:color w:val="auto"/>
          <w:kern w:val="28"/>
          <w:szCs w:val="21"/>
          <w:highlight w:val="none"/>
        </w:rPr>
        <w:t>（2）联合协议</w:t>
      </w:r>
      <w:r>
        <w:rPr>
          <w:rFonts w:hint="eastAsia" w:ascii="宋体" w:hAnsi="宋体" w:cs="宋体"/>
          <w:color w:val="auto"/>
          <w:szCs w:val="21"/>
          <w:highlight w:val="none"/>
        </w:rPr>
        <w:t>………………………………………………………………（页码）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）落实政府采购政策需满足的资格要求………………………………（页码）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）本项目的特定资格要求………………………………………………（页码）</w:t>
      </w:r>
    </w:p>
    <w:p>
      <w:pPr>
        <w:snapToGrid w:val="0"/>
        <w:spacing w:line="288" w:lineRule="auto"/>
        <w:rPr>
          <w:rFonts w:ascii="宋体" w:hAnsi="宋体" w:cs="宋体"/>
          <w:color w:val="auto"/>
          <w:szCs w:val="21"/>
          <w:highlight w:val="none"/>
        </w:rPr>
      </w:pPr>
    </w:p>
    <w:p>
      <w:pPr>
        <w:snapToGrid w:val="0"/>
        <w:spacing w:line="288" w:lineRule="auto"/>
        <w:ind w:right="480"/>
        <w:jc w:val="center"/>
        <w:rPr>
          <w:rFonts w:ascii="宋体" w:hAnsi="宋体" w:cs="宋体"/>
          <w:b/>
          <w:color w:val="auto"/>
          <w:kern w:val="0"/>
          <w:szCs w:val="21"/>
          <w:highlight w:val="none"/>
        </w:rPr>
      </w:pPr>
      <w:r>
        <w:rPr>
          <w:rFonts w:hint="eastAsia" w:ascii="宋体" w:hAnsi="宋体" w:cs="宋体"/>
          <w:color w:val="auto"/>
          <w:kern w:val="0"/>
          <w:szCs w:val="21"/>
          <w:highlight w:val="none"/>
        </w:rPr>
        <w:br w:type="page"/>
      </w:r>
      <w:r>
        <w:rPr>
          <w:rFonts w:hint="eastAsia" w:ascii="宋体" w:hAnsi="宋体" w:cs="宋体"/>
          <w:b/>
          <w:color w:val="auto"/>
          <w:kern w:val="0"/>
          <w:szCs w:val="21"/>
          <w:highlight w:val="none"/>
        </w:rPr>
        <w:t>一、 符合参加政府采购活动应当具备的一般条件的承诺函</w:t>
      </w:r>
    </w:p>
    <w:p>
      <w:pPr>
        <w:snapToGrid w:val="0"/>
        <w:spacing w:line="288" w:lineRule="auto"/>
        <w:rPr>
          <w:rFonts w:ascii="宋体" w:hAnsi="宋体" w:cs="宋体"/>
          <w:color w:val="auto"/>
          <w:szCs w:val="21"/>
          <w:highlight w:val="none"/>
        </w:rPr>
      </w:pP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杭州市拱墅区教育发展服务中心、浙江求是招标代理有限公司：</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我方参与</w:t>
      </w:r>
      <w:r>
        <w:rPr>
          <w:rFonts w:hint="eastAsia" w:ascii="宋体" w:hAnsi="宋体"/>
          <w:color w:val="auto"/>
          <w:szCs w:val="21"/>
          <w:highlight w:val="none"/>
        </w:rPr>
        <w:t>2024年杭州市拱墅区教育系统部分学校厨房设备采购项目</w:t>
      </w:r>
      <w:r>
        <w:rPr>
          <w:rFonts w:hint="eastAsia" w:ascii="宋体" w:hAnsi="宋体" w:cs="宋体"/>
          <w:color w:val="auto"/>
          <w:szCs w:val="21"/>
          <w:highlight w:val="none"/>
        </w:rPr>
        <w:t>【招标编号：QSZB-Z(H)-B24115(GK)】政府采购活动，郑重承诺：</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（一）具备《中华人民共和国政府采购法》第二十二条第一款规定的条件：</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1、具有独立承担民事责任的能力；</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2、具有良好的商业信誉和健全的财务会计制度；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3、具有履行合同所必需的设备和专业技术能力；</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4、有依法缴纳税收和社会保障资金的良好记录；</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5、参加政府采购活动前三年内，在经营活动中没有重大违法记录；</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6、具有法律、行政法规规定的其他条件。</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（二）未被信用中国（www.creditchina.gov.cn)、中国政府采购网（www.ccgp.gov.cn）列入失信被执行人、重大税收违法案件当事人名单、政府采购严重违法失信行为记录名单。</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（三）不存在以下情况：</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1、单位负责人为同一人或者存在直接控股、管理关系的不同供应商参加同一合同项下的政府采购活动的；</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2、为采购项目提供整体设计、规范编制或者项目管理、监理、检测等服务后再参加该采购项目的其他采购活动的。</w:t>
      </w:r>
    </w:p>
    <w:p>
      <w:pPr>
        <w:snapToGrid w:val="0"/>
        <w:spacing w:line="288" w:lineRule="auto"/>
        <w:ind w:firstLine="424" w:firstLineChars="202"/>
        <w:rPr>
          <w:rFonts w:ascii="宋体" w:hAnsi="宋体" w:cs="宋体"/>
          <w:color w:val="auto"/>
          <w:kern w:val="0"/>
          <w:szCs w:val="21"/>
          <w:highlight w:val="none"/>
          <w:lang w:val="zh-CN"/>
        </w:rPr>
      </w:pP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lang w:val="zh-CN"/>
        </w:rPr>
        <w:t>投标人名称(电子签名)：</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lang w:val="zh-CN"/>
        </w:rPr>
        <w:t>日期</w:t>
      </w:r>
      <w:r>
        <w:rPr>
          <w:rFonts w:hint="eastAsia" w:ascii="宋体" w:hAnsi="宋体" w:cs="宋体"/>
          <w:color w:val="auto"/>
          <w:kern w:val="0"/>
          <w:szCs w:val="21"/>
          <w:highlight w:val="none"/>
        </w:rPr>
        <w:t xml:space="preserve">：  年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w:t>
      </w:r>
    </w:p>
    <w:p>
      <w:pPr>
        <w:widowControl/>
        <w:adjustRightInd/>
        <w:jc w:val="left"/>
        <w:rPr>
          <w:rFonts w:ascii="宋体" w:hAnsi="宋体" w:cs="宋体"/>
          <w:b/>
          <w:color w:val="auto"/>
          <w:kern w:val="0"/>
          <w:szCs w:val="21"/>
          <w:highlight w:val="none"/>
        </w:rPr>
      </w:pPr>
      <w:r>
        <w:rPr>
          <w:rFonts w:ascii="宋体" w:hAnsi="宋体" w:cs="宋体"/>
          <w:b/>
          <w:color w:val="auto"/>
          <w:kern w:val="0"/>
          <w:szCs w:val="21"/>
          <w:highlight w:val="none"/>
        </w:rPr>
        <w:br w:type="page"/>
      </w:r>
    </w:p>
    <w:p>
      <w:pPr>
        <w:snapToGrid w:val="0"/>
        <w:spacing w:line="288"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二、联合协议（如果有）</w:t>
      </w:r>
    </w:p>
    <w:p>
      <w:pPr>
        <w:snapToGrid w:val="0"/>
        <w:spacing w:line="288" w:lineRule="auto"/>
        <w:jc w:val="left"/>
        <w:rPr>
          <w:rFonts w:ascii="宋体" w:hAnsi="宋体" w:cs="宋体"/>
          <w:b/>
          <w:color w:val="auto"/>
          <w:szCs w:val="21"/>
          <w:highlight w:val="none"/>
        </w:rPr>
      </w:pPr>
      <w:r>
        <w:rPr>
          <w:rFonts w:hint="eastAsia" w:ascii="宋体" w:hAnsi="宋体" w:cs="宋体"/>
          <w:b/>
          <w:color w:val="auto"/>
          <w:szCs w:val="21"/>
          <w:highlight w:val="none"/>
        </w:rPr>
        <w:t>[以联合体形式投标的，提供联合协议（附件5）；本项目不接受联合体投标或者投标人不以联合体形式投标的，则不需要提供]</w:t>
      </w:r>
    </w:p>
    <w:p>
      <w:pPr>
        <w:snapToGrid w:val="0"/>
        <w:spacing w:line="288" w:lineRule="auto"/>
        <w:ind w:right="480"/>
        <w:jc w:val="center"/>
        <w:rPr>
          <w:rFonts w:ascii="宋体" w:hAnsi="宋体" w:cs="宋体"/>
          <w:b/>
          <w:color w:val="auto"/>
          <w:kern w:val="0"/>
          <w:szCs w:val="21"/>
          <w:highlight w:val="none"/>
        </w:rPr>
      </w:pPr>
    </w:p>
    <w:p>
      <w:pPr>
        <w:snapToGrid w:val="0"/>
        <w:spacing w:line="288" w:lineRule="auto"/>
        <w:ind w:right="480"/>
        <w:jc w:val="center"/>
        <w:rPr>
          <w:rFonts w:ascii="宋体" w:hAnsi="宋体" w:cs="宋体"/>
          <w:b/>
          <w:color w:val="auto"/>
          <w:kern w:val="0"/>
          <w:szCs w:val="21"/>
          <w:highlight w:val="none"/>
        </w:rPr>
      </w:pPr>
    </w:p>
    <w:p>
      <w:pPr>
        <w:snapToGrid w:val="0"/>
        <w:spacing w:line="288" w:lineRule="auto"/>
        <w:ind w:right="480"/>
        <w:jc w:val="center"/>
        <w:rPr>
          <w:rFonts w:ascii="宋体" w:hAnsi="宋体" w:cs="宋体"/>
          <w:b/>
          <w:color w:val="auto"/>
          <w:kern w:val="0"/>
          <w:szCs w:val="21"/>
          <w:highlight w:val="none"/>
        </w:rPr>
      </w:pPr>
      <w:r>
        <w:rPr>
          <w:rFonts w:hint="eastAsia" w:ascii="宋体" w:hAnsi="宋体" w:cs="宋体"/>
          <w:b/>
          <w:color w:val="auto"/>
          <w:kern w:val="0"/>
          <w:szCs w:val="21"/>
          <w:highlight w:val="none"/>
        </w:rPr>
        <w:t>三、落实政府采购政策需满足的资格要求</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（根据招标公告落实政府采购政策需满足的资格要求选择提供相应的材料；未要求的，无需提供）</w:t>
      </w:r>
    </w:p>
    <w:p>
      <w:pPr>
        <w:snapToGrid w:val="0"/>
        <w:spacing w:line="288" w:lineRule="auto"/>
        <w:jc w:val="left"/>
        <w:rPr>
          <w:rFonts w:ascii="宋体" w:hAnsi="宋体" w:cs="宋体"/>
          <w:color w:val="auto"/>
          <w:szCs w:val="21"/>
          <w:highlight w:val="none"/>
        </w:rPr>
      </w:pPr>
      <w:r>
        <w:rPr>
          <w:rFonts w:hint="eastAsia" w:ascii="宋体" w:hAnsi="宋体" w:cs="宋体"/>
          <w:b/>
          <w:color w:val="auto"/>
          <w:szCs w:val="21"/>
          <w:highlight w:val="none"/>
        </w:rPr>
        <w:t>A</w:t>
      </w:r>
      <w:r>
        <w:rPr>
          <w:rFonts w:hint="eastAsia" w:ascii="宋体" w:hAnsi="宋体" w:cs="宋体"/>
          <w:color w:val="auto"/>
          <w:szCs w:val="21"/>
          <w:highlight w:val="none"/>
        </w:rPr>
        <w:t>.专门面向中小企业，货物全部由符合政策要求的中小企业（或小微企业）制造的，提供相应的中小企业声明函（附件</w:t>
      </w:r>
      <w:r>
        <w:rPr>
          <w:rFonts w:ascii="宋体" w:hAnsi="宋体" w:cs="宋体"/>
          <w:color w:val="auto"/>
          <w:szCs w:val="21"/>
          <w:highlight w:val="none"/>
        </w:rPr>
        <w:t>7</w:t>
      </w:r>
      <w:r>
        <w:rPr>
          <w:rFonts w:hint="eastAsia" w:ascii="宋体" w:hAnsi="宋体" w:cs="宋体"/>
          <w:color w:val="auto"/>
          <w:szCs w:val="21"/>
          <w:highlight w:val="none"/>
        </w:rPr>
        <w:t>）。</w:t>
      </w:r>
    </w:p>
    <w:p>
      <w:pPr>
        <w:snapToGrid w:val="0"/>
        <w:spacing w:line="288" w:lineRule="auto"/>
        <w:jc w:val="left"/>
        <w:rPr>
          <w:rFonts w:ascii="宋体" w:hAnsi="宋体" w:cs="宋体"/>
          <w:color w:val="auto"/>
          <w:szCs w:val="21"/>
          <w:highlight w:val="none"/>
        </w:rPr>
      </w:pPr>
    </w:p>
    <w:p>
      <w:pPr>
        <w:snapToGrid w:val="0"/>
        <w:spacing w:line="288" w:lineRule="auto"/>
        <w:jc w:val="left"/>
        <w:rPr>
          <w:rFonts w:ascii="宋体" w:hAnsi="宋体" w:cs="宋体"/>
          <w:color w:val="auto"/>
          <w:szCs w:val="21"/>
          <w:highlight w:val="none"/>
        </w:rPr>
      </w:pPr>
      <w:r>
        <w:rPr>
          <w:rFonts w:hint="eastAsia" w:ascii="宋体" w:hAnsi="宋体" w:cs="宋体"/>
          <w:b/>
          <w:color w:val="auto"/>
          <w:szCs w:val="21"/>
          <w:highlight w:val="none"/>
        </w:rPr>
        <w:t>B.</w:t>
      </w:r>
      <w:r>
        <w:rPr>
          <w:rFonts w:hint="eastAsia" w:ascii="宋体" w:hAnsi="宋体" w:cs="宋体"/>
          <w:color w:val="auto"/>
          <w:szCs w:val="21"/>
          <w:highlight w:val="none"/>
        </w:rPr>
        <w:t>要求以联合体形式参加的，提供联合协议（附件</w:t>
      </w:r>
      <w:r>
        <w:rPr>
          <w:rFonts w:ascii="宋体" w:hAnsi="宋体" w:cs="宋体"/>
          <w:color w:val="auto"/>
          <w:szCs w:val="21"/>
          <w:highlight w:val="none"/>
        </w:rPr>
        <w:t>5</w:t>
      </w:r>
      <w:r>
        <w:rPr>
          <w:rFonts w:hint="eastAsia" w:ascii="宋体" w:hAnsi="宋体" w:cs="宋体"/>
          <w:color w:val="auto"/>
          <w:szCs w:val="21"/>
          <w:highlight w:val="none"/>
        </w:rPr>
        <w:t>）和中小企业声明函（附件</w:t>
      </w:r>
      <w:r>
        <w:rPr>
          <w:rFonts w:ascii="宋体" w:hAnsi="宋体" w:cs="宋体"/>
          <w:color w:val="auto"/>
          <w:szCs w:val="21"/>
          <w:highlight w:val="none"/>
        </w:rPr>
        <w:t>7</w:t>
      </w:r>
      <w:r>
        <w:rPr>
          <w:rFonts w:hint="eastAsia" w:ascii="宋体" w:hAnsi="宋体" w:cs="宋体"/>
          <w:color w:val="auto"/>
          <w:szCs w:val="21"/>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Cs w:val="21"/>
          <w:highlight w:val="none"/>
        </w:rPr>
        <w:t>并相应达到了前述比例要求，</w:t>
      </w:r>
      <w:r>
        <w:rPr>
          <w:rFonts w:hint="eastAsia" w:ascii="宋体" w:hAnsi="宋体" w:cs="宋体"/>
          <w:color w:val="auto"/>
          <w:szCs w:val="21"/>
          <w:highlight w:val="none"/>
        </w:rPr>
        <w:t>视同符合了资格条件，无需再与其他中小企业组成联合体参加政府采购活动，无需提供联合协议。</w:t>
      </w:r>
    </w:p>
    <w:p>
      <w:pPr>
        <w:snapToGrid w:val="0"/>
        <w:spacing w:line="288" w:lineRule="auto"/>
        <w:rPr>
          <w:rFonts w:ascii="宋体" w:hAnsi="宋体" w:cs="宋体"/>
          <w:color w:val="auto"/>
          <w:szCs w:val="21"/>
          <w:highlight w:val="none"/>
        </w:rPr>
      </w:pPr>
    </w:p>
    <w:p>
      <w:pPr>
        <w:snapToGrid w:val="0"/>
        <w:spacing w:line="288" w:lineRule="auto"/>
        <w:rPr>
          <w:rFonts w:ascii="宋体" w:hAnsi="宋体" w:cs="宋体"/>
          <w:color w:val="auto"/>
          <w:szCs w:val="21"/>
          <w:highlight w:val="none"/>
        </w:rPr>
      </w:pPr>
      <w:r>
        <w:rPr>
          <w:rFonts w:hint="eastAsia" w:ascii="宋体" w:hAnsi="宋体" w:cs="宋体"/>
          <w:b/>
          <w:color w:val="auto"/>
          <w:szCs w:val="21"/>
          <w:highlight w:val="none"/>
        </w:rPr>
        <w:t>C、</w:t>
      </w:r>
      <w:r>
        <w:rPr>
          <w:rFonts w:hint="eastAsia" w:ascii="宋体" w:hAnsi="宋体" w:cs="宋体"/>
          <w:color w:val="auto"/>
          <w:szCs w:val="21"/>
          <w:highlight w:val="none"/>
        </w:rPr>
        <w:t>要求合同分包的，提供分包意向协议（附件6）和中小企业声明函（附件</w:t>
      </w:r>
      <w:r>
        <w:rPr>
          <w:rFonts w:ascii="宋体" w:hAnsi="宋体" w:cs="宋体"/>
          <w:color w:val="auto"/>
          <w:szCs w:val="21"/>
          <w:highlight w:val="none"/>
        </w:rPr>
        <w:t>7</w:t>
      </w:r>
      <w:r>
        <w:rPr>
          <w:rFonts w:hint="eastAsia" w:ascii="宋体" w:hAnsi="宋体" w:cs="宋体"/>
          <w:color w:val="auto"/>
          <w:szCs w:val="21"/>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Cs w:val="21"/>
          <w:highlight w:val="none"/>
        </w:rPr>
        <w:t>并相应达到了前述比例要求，</w:t>
      </w:r>
      <w:r>
        <w:rPr>
          <w:rFonts w:hint="eastAsia" w:ascii="宋体" w:hAnsi="宋体" w:cs="宋体"/>
          <w:color w:val="auto"/>
          <w:szCs w:val="21"/>
          <w:highlight w:val="none"/>
        </w:rPr>
        <w:t>视同符合了资格条件，无需再向中小企业分包，无需提供分包意向协议。</w:t>
      </w:r>
    </w:p>
    <w:p>
      <w:pPr>
        <w:snapToGrid w:val="0"/>
        <w:spacing w:line="288" w:lineRule="auto"/>
        <w:rPr>
          <w:rFonts w:ascii="宋体" w:hAnsi="宋体" w:cs="宋体"/>
          <w:b/>
          <w:color w:val="auto"/>
          <w:kern w:val="0"/>
          <w:szCs w:val="21"/>
          <w:highlight w:val="none"/>
        </w:rPr>
      </w:pPr>
    </w:p>
    <w:p>
      <w:pPr>
        <w:snapToGrid w:val="0"/>
        <w:spacing w:line="288"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四、本项目的特定资格要求</w:t>
      </w:r>
    </w:p>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（根据招标公告本项目的特定资格要求提供相应的材料；未要求的，无需提供）</w:t>
      </w:r>
    </w:p>
    <w:p>
      <w:pPr>
        <w:snapToGrid w:val="0"/>
        <w:spacing w:line="288" w:lineRule="auto"/>
        <w:rPr>
          <w:rFonts w:ascii="宋体" w:hAnsi="宋体" w:cs="宋体"/>
          <w:color w:val="auto"/>
          <w:szCs w:val="21"/>
          <w:highlight w:val="none"/>
        </w:rPr>
      </w:pPr>
    </w:p>
    <w:p>
      <w:pPr>
        <w:snapToGrid w:val="0"/>
        <w:spacing w:line="288" w:lineRule="auto"/>
        <w:jc w:val="left"/>
        <w:rPr>
          <w:rFonts w:ascii="宋体" w:hAnsi="宋体" w:cs="宋体"/>
          <w:b/>
          <w:color w:val="auto"/>
          <w:kern w:val="0"/>
          <w:szCs w:val="21"/>
          <w:highlight w:val="none"/>
        </w:rPr>
      </w:pPr>
      <w:r>
        <w:rPr>
          <w:rFonts w:ascii="宋体" w:hAnsi="宋体" w:cs="宋体"/>
          <w:b/>
          <w:color w:val="auto"/>
          <w:kern w:val="0"/>
          <w:szCs w:val="21"/>
          <w:highlight w:val="none"/>
        </w:rPr>
        <w:br w:type="page"/>
      </w:r>
    </w:p>
    <w:p>
      <w:pPr>
        <w:snapToGrid w:val="0"/>
        <w:spacing w:line="288" w:lineRule="auto"/>
        <w:ind w:right="56"/>
        <w:jc w:val="center"/>
        <w:outlineLvl w:val="1"/>
        <w:rPr>
          <w:rFonts w:ascii="宋体" w:hAnsi="宋体" w:cs="宋体"/>
          <w:b/>
          <w:color w:val="auto"/>
          <w:kern w:val="0"/>
          <w:szCs w:val="21"/>
          <w:highlight w:val="none"/>
        </w:rPr>
      </w:pPr>
      <w:r>
        <w:rPr>
          <w:rFonts w:hint="eastAsia" w:ascii="宋体" w:hAnsi="宋体" w:cs="宋体"/>
          <w:b/>
          <w:color w:val="auto"/>
          <w:kern w:val="0"/>
          <w:szCs w:val="21"/>
          <w:highlight w:val="none"/>
        </w:rPr>
        <w:t>商务技术文件部分</w:t>
      </w:r>
    </w:p>
    <w:p>
      <w:pPr>
        <w:snapToGrid w:val="0"/>
        <w:spacing w:line="288"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目录</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（1）投标函…………………………………………………………………………………（页码）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（2）授权委托书或法定代表人（单位负责人、自然人本人）身份证明………（页码）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）分包意向协议…………………………………………………………………………（页码）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）符合性审查资料………………………………………………………………………（页码）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）评标标准相应的商务技术资料……………………………………………………（页码）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）投标标的清单……………………………………………………………………（页码）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7</w:t>
      </w:r>
      <w:r>
        <w:rPr>
          <w:rFonts w:hint="eastAsia" w:ascii="宋体" w:hAnsi="宋体" w:cs="宋体"/>
          <w:color w:val="auto"/>
          <w:szCs w:val="21"/>
          <w:highlight w:val="none"/>
        </w:rPr>
        <w:t>）商务技术偏离表………………………………………………………………………（页码）</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lang w:val="zh-CN"/>
        </w:rPr>
        <w:t>（</w:t>
      </w:r>
      <w:r>
        <w:rPr>
          <w:rFonts w:ascii="宋体" w:hAnsi="宋体" w:cs="宋体"/>
          <w:color w:val="auto"/>
          <w:szCs w:val="21"/>
          <w:highlight w:val="none"/>
        </w:rPr>
        <w:t>8</w:t>
      </w:r>
      <w:r>
        <w:rPr>
          <w:rFonts w:hint="eastAsia" w:ascii="宋体" w:hAnsi="宋体" w:cs="宋体"/>
          <w:color w:val="auto"/>
          <w:szCs w:val="21"/>
          <w:highlight w:val="none"/>
          <w:lang w:val="zh-CN"/>
        </w:rPr>
        <w:t>）政府采购供应商廉洁自律承诺书</w:t>
      </w:r>
      <w:r>
        <w:rPr>
          <w:rFonts w:hint="eastAsia" w:ascii="宋体" w:hAnsi="宋体" w:cs="宋体"/>
          <w:color w:val="auto"/>
          <w:szCs w:val="21"/>
          <w:highlight w:val="none"/>
        </w:rPr>
        <w:t>…………………………………………………（页码）</w:t>
      </w:r>
    </w:p>
    <w:p>
      <w:pPr>
        <w:snapToGrid w:val="0"/>
        <w:spacing w:line="288" w:lineRule="auto"/>
        <w:rPr>
          <w:rFonts w:ascii="宋体" w:hAnsi="宋体" w:cs="宋体"/>
          <w:b/>
          <w:color w:val="auto"/>
          <w:kern w:val="0"/>
          <w:szCs w:val="21"/>
          <w:highlight w:val="none"/>
        </w:rPr>
      </w:pPr>
    </w:p>
    <w:p>
      <w:pPr>
        <w:snapToGrid w:val="0"/>
        <w:spacing w:line="288" w:lineRule="auto"/>
        <w:jc w:val="left"/>
        <w:rPr>
          <w:rFonts w:ascii="宋体" w:hAnsi="宋体" w:cs="宋体"/>
          <w:b/>
          <w:color w:val="auto"/>
          <w:kern w:val="0"/>
          <w:szCs w:val="21"/>
          <w:highlight w:val="none"/>
        </w:rPr>
      </w:pPr>
      <w:r>
        <w:rPr>
          <w:rFonts w:ascii="宋体" w:hAnsi="宋体" w:cs="宋体"/>
          <w:b/>
          <w:color w:val="auto"/>
          <w:kern w:val="0"/>
          <w:szCs w:val="21"/>
          <w:highlight w:val="none"/>
        </w:rPr>
        <w:br w:type="page"/>
      </w:r>
    </w:p>
    <w:p>
      <w:pPr>
        <w:snapToGrid w:val="0"/>
        <w:spacing w:line="288" w:lineRule="auto"/>
        <w:jc w:val="center"/>
        <w:rPr>
          <w:rFonts w:ascii="宋体" w:hAnsi="宋体" w:cs="宋体"/>
          <w:b/>
          <w:color w:val="auto"/>
          <w:szCs w:val="21"/>
          <w:highlight w:val="none"/>
        </w:rPr>
      </w:pPr>
      <w:r>
        <w:rPr>
          <w:rFonts w:hint="eastAsia" w:ascii="宋体" w:hAnsi="宋体" w:cs="宋体"/>
          <w:b/>
          <w:color w:val="auto"/>
          <w:kern w:val="0"/>
          <w:szCs w:val="21"/>
          <w:highlight w:val="none"/>
        </w:rPr>
        <w:t>一、投标</w:t>
      </w:r>
      <w:r>
        <w:rPr>
          <w:rFonts w:hint="eastAsia" w:ascii="宋体" w:hAnsi="宋体" w:cs="宋体"/>
          <w:b/>
          <w:color w:val="auto"/>
          <w:szCs w:val="21"/>
          <w:highlight w:val="none"/>
        </w:rPr>
        <w:t>函</w:t>
      </w: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杭州市拱墅区教育发展服务中心、浙江求是招标代理有限公司：</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我方参加你方组织的</w:t>
      </w:r>
      <w:r>
        <w:rPr>
          <w:rFonts w:hint="eastAsia" w:ascii="宋体" w:hAnsi="宋体"/>
          <w:color w:val="auto"/>
          <w:szCs w:val="21"/>
          <w:highlight w:val="none"/>
        </w:rPr>
        <w:t>2024年杭州市拱墅区教育系统部分学校厨房设备采购项目</w:t>
      </w:r>
      <w:r>
        <w:rPr>
          <w:rFonts w:hint="eastAsia" w:ascii="宋体" w:hAnsi="宋体" w:cs="宋体"/>
          <w:color w:val="auto"/>
          <w:szCs w:val="21"/>
          <w:highlight w:val="none"/>
        </w:rPr>
        <w:t>【招标编号：QSZB-Z(H)-B24115(GK)】招标的有关活动，并对此项目进行投标。为此：</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1、我方承诺投标有效期从提交投标文件的截止之日起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天（不少于90天），本投标文件在投标有效期满之前均具有约束力。</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2、我方的投标文件包括以下内容：</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2.1资格文件：</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2.1.1承诺函；</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2.1.2</w:t>
      </w:r>
      <w:r>
        <w:rPr>
          <w:rFonts w:hint="eastAsia" w:ascii="宋体" w:hAnsi="宋体" w:cs="宋体"/>
          <w:snapToGrid w:val="0"/>
          <w:color w:val="auto"/>
          <w:kern w:val="28"/>
          <w:szCs w:val="21"/>
          <w:highlight w:val="none"/>
        </w:rPr>
        <w:t>联合协议（如果有)；</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.1.3</w:t>
      </w:r>
      <w:r>
        <w:rPr>
          <w:rFonts w:hint="eastAsia" w:ascii="宋体" w:hAnsi="宋体" w:cs="宋体"/>
          <w:color w:val="auto"/>
          <w:szCs w:val="21"/>
          <w:highlight w:val="none"/>
        </w:rPr>
        <w:t>落实政府采购政策需满足的资格要求；</w:t>
      </w:r>
    </w:p>
    <w:p>
      <w:pPr>
        <w:snapToGrid w:val="0"/>
        <w:spacing w:line="288" w:lineRule="auto"/>
        <w:ind w:firstLine="424" w:firstLineChars="202"/>
        <w:rPr>
          <w:rFonts w:ascii="宋体" w:hAnsi="宋体" w:cs="宋体"/>
          <w:color w:val="auto"/>
          <w:szCs w:val="21"/>
          <w:highlight w:val="none"/>
          <w:lang w:val="zh-CN"/>
        </w:rPr>
      </w:pPr>
      <w:r>
        <w:rPr>
          <w:rFonts w:hint="eastAsia" w:ascii="宋体" w:hAnsi="宋体" w:cs="宋体"/>
          <w:color w:val="auto"/>
          <w:szCs w:val="21"/>
          <w:highlight w:val="none"/>
        </w:rPr>
        <w:t>2</w:t>
      </w:r>
      <w:r>
        <w:rPr>
          <w:rFonts w:hint="eastAsia" w:ascii="宋体" w:hAnsi="宋体" w:cs="宋体"/>
          <w:color w:val="auto"/>
          <w:szCs w:val="21"/>
          <w:highlight w:val="none"/>
          <w:lang w:val="zh-CN"/>
        </w:rPr>
        <w:t>.</w:t>
      </w:r>
      <w:r>
        <w:rPr>
          <w:rFonts w:hint="eastAsia" w:ascii="宋体" w:hAnsi="宋体" w:cs="宋体"/>
          <w:color w:val="auto"/>
          <w:szCs w:val="21"/>
          <w:highlight w:val="none"/>
        </w:rPr>
        <w:t>2</w:t>
      </w:r>
      <w:r>
        <w:rPr>
          <w:rFonts w:hint="eastAsia" w:ascii="宋体" w:hAnsi="宋体" w:cs="宋体"/>
          <w:color w:val="auto"/>
          <w:szCs w:val="21"/>
          <w:highlight w:val="none"/>
          <w:lang w:val="zh-CN"/>
        </w:rPr>
        <w:t xml:space="preserve"> </w:t>
      </w:r>
      <w:r>
        <w:rPr>
          <w:rFonts w:hint="eastAsia" w:ascii="宋体" w:hAnsi="宋体" w:cs="宋体"/>
          <w:color w:val="auto"/>
          <w:szCs w:val="21"/>
          <w:highlight w:val="none"/>
        </w:rPr>
        <w:t>商务技术</w:t>
      </w:r>
      <w:r>
        <w:rPr>
          <w:rFonts w:hint="eastAsia" w:ascii="宋体" w:hAnsi="宋体" w:cs="宋体"/>
          <w:color w:val="auto"/>
          <w:szCs w:val="21"/>
          <w:highlight w:val="none"/>
          <w:lang w:val="zh-CN"/>
        </w:rPr>
        <w:t>文件：</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2.2.1投标函；</w:t>
      </w:r>
      <w:r>
        <w:rPr>
          <w:rFonts w:hint="eastAsia" w:ascii="宋体" w:hAnsi="宋体" w:cs="宋体"/>
          <w:color w:val="auto"/>
          <w:szCs w:val="21"/>
          <w:highlight w:val="none"/>
          <w:lang w:val="zh-CN"/>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2.2.2授权委托书或法定代表人（单位负责人）身份证明；</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3</w:t>
      </w:r>
      <w:r>
        <w:rPr>
          <w:rFonts w:hint="eastAsia" w:ascii="宋体" w:hAnsi="宋体" w:cs="宋体"/>
          <w:color w:val="auto"/>
          <w:szCs w:val="21"/>
          <w:highlight w:val="none"/>
        </w:rPr>
        <w:t>分包意向协议</w:t>
      </w:r>
      <w:r>
        <w:rPr>
          <w:rFonts w:hint="eastAsia" w:ascii="宋体" w:hAnsi="宋体" w:cs="宋体"/>
          <w:snapToGrid w:val="0"/>
          <w:color w:val="auto"/>
          <w:kern w:val="28"/>
          <w:szCs w:val="21"/>
          <w:highlight w:val="none"/>
        </w:rPr>
        <w:t>（如果有）</w:t>
      </w:r>
      <w:r>
        <w:rPr>
          <w:rFonts w:hint="eastAsia" w:ascii="宋体" w:hAnsi="宋体" w:cs="宋体"/>
          <w:color w:val="auto"/>
          <w:szCs w:val="21"/>
          <w:highlight w:val="none"/>
        </w:rPr>
        <w:t>；</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4</w:t>
      </w:r>
      <w:r>
        <w:rPr>
          <w:rFonts w:hint="eastAsia" w:ascii="宋体" w:hAnsi="宋体" w:cs="宋体"/>
          <w:color w:val="auto"/>
          <w:szCs w:val="21"/>
          <w:highlight w:val="none"/>
        </w:rPr>
        <w:t>符合性审查资料；</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5</w:t>
      </w:r>
      <w:r>
        <w:rPr>
          <w:rFonts w:hint="eastAsia" w:ascii="宋体" w:hAnsi="宋体" w:cs="宋体"/>
          <w:color w:val="auto"/>
          <w:szCs w:val="21"/>
          <w:highlight w:val="none"/>
        </w:rPr>
        <w:t>评标标准相应的商务技术资料；</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6</w:t>
      </w:r>
      <w:r>
        <w:rPr>
          <w:rFonts w:hint="eastAsia" w:ascii="宋体" w:hAnsi="宋体" w:cs="宋体"/>
          <w:color w:val="auto"/>
          <w:szCs w:val="21"/>
          <w:highlight w:val="none"/>
        </w:rPr>
        <w:t>投标标的清单；</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7</w:t>
      </w:r>
      <w:r>
        <w:rPr>
          <w:rFonts w:hint="eastAsia" w:ascii="宋体" w:hAnsi="宋体" w:cs="宋体"/>
          <w:color w:val="auto"/>
          <w:szCs w:val="21"/>
          <w:highlight w:val="none"/>
        </w:rPr>
        <w:t>商务技术偏离表；</w:t>
      </w:r>
    </w:p>
    <w:p>
      <w:pPr>
        <w:snapToGrid w:val="0"/>
        <w:spacing w:line="288" w:lineRule="auto"/>
        <w:ind w:firstLine="424" w:firstLineChars="202"/>
        <w:rPr>
          <w:rFonts w:ascii="宋体" w:hAnsi="宋体" w:cs="宋体"/>
          <w:color w:val="auto"/>
          <w:szCs w:val="21"/>
          <w:highlight w:val="none"/>
          <w:lang w:val="zh-CN"/>
        </w:rPr>
      </w:pPr>
      <w:r>
        <w:rPr>
          <w:rFonts w:hint="eastAsia" w:ascii="宋体" w:hAnsi="宋体" w:cs="宋体"/>
          <w:color w:val="auto"/>
          <w:szCs w:val="21"/>
          <w:highlight w:val="none"/>
        </w:rPr>
        <w:t>2</w:t>
      </w:r>
      <w:r>
        <w:rPr>
          <w:rFonts w:hint="eastAsia" w:ascii="宋体" w:hAnsi="宋体" w:cs="宋体"/>
          <w:color w:val="auto"/>
          <w:szCs w:val="21"/>
          <w:highlight w:val="none"/>
          <w:lang w:val="zh-CN"/>
        </w:rPr>
        <w:t>.</w:t>
      </w:r>
      <w:r>
        <w:rPr>
          <w:rFonts w:hint="eastAsia" w:ascii="宋体" w:hAnsi="宋体" w:cs="宋体"/>
          <w:color w:val="auto"/>
          <w:szCs w:val="21"/>
          <w:highlight w:val="none"/>
        </w:rPr>
        <w:t>2</w:t>
      </w:r>
      <w:r>
        <w:rPr>
          <w:rFonts w:hint="eastAsia" w:ascii="宋体" w:hAnsi="宋体" w:cs="宋体"/>
          <w:color w:val="auto"/>
          <w:szCs w:val="21"/>
          <w:highlight w:val="none"/>
          <w:lang w:val="zh-CN"/>
        </w:rPr>
        <w:t>.</w:t>
      </w:r>
      <w:r>
        <w:rPr>
          <w:rFonts w:ascii="宋体" w:hAnsi="宋体" w:cs="宋体"/>
          <w:color w:val="auto"/>
          <w:szCs w:val="21"/>
          <w:highlight w:val="none"/>
        </w:rPr>
        <w:t>8</w:t>
      </w:r>
      <w:r>
        <w:rPr>
          <w:rFonts w:hint="eastAsia" w:ascii="宋体" w:hAnsi="宋体" w:cs="宋体"/>
          <w:color w:val="auto"/>
          <w:szCs w:val="21"/>
          <w:highlight w:val="none"/>
          <w:lang w:val="zh-CN"/>
        </w:rPr>
        <w:t>政府采购供应商廉洁自律承诺书；</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zh-CN"/>
        </w:rPr>
        <w:t>.</w:t>
      </w:r>
      <w:r>
        <w:rPr>
          <w:rFonts w:hint="eastAsia" w:ascii="宋体" w:hAnsi="宋体" w:cs="宋体"/>
          <w:color w:val="auto"/>
          <w:szCs w:val="21"/>
          <w:highlight w:val="none"/>
        </w:rPr>
        <w:t>3报价文件</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2.3.1开标一览表（报价表）；</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3、我方承诺除商务技术偏离表列出的偏离外，我方响应招标文件的全部要求。</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4、如我方中标，我方承诺：</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4.1在收到中标通知书后，在中标通知书规定的期限内与你方签订合同；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4.2在签订合同时不向你方提出附加条件；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4.3按照招标文件要求提交履约保证金；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4.4在合同约定的期限内完成合同规定的全部义务。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5、其他补充说明: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288" w:lineRule="auto"/>
        <w:ind w:firstLine="424" w:firstLineChars="202"/>
        <w:rPr>
          <w:rFonts w:ascii="宋体" w:hAnsi="宋体" w:cs="宋体"/>
          <w:color w:val="auto"/>
          <w:szCs w:val="21"/>
          <w:highlight w:val="none"/>
        </w:rPr>
      </w:pP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投标人名称（电子签名）：</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line="288" w:lineRule="auto"/>
        <w:ind w:firstLine="424" w:firstLineChars="202"/>
        <w:rPr>
          <w:rFonts w:ascii="宋体" w:hAnsi="宋体" w:cs="宋体"/>
          <w:color w:val="auto"/>
          <w:kern w:val="0"/>
          <w:szCs w:val="21"/>
          <w:highlight w:val="none"/>
          <w:u w:val="single"/>
        </w:rPr>
      </w:pPr>
    </w:p>
    <w:p>
      <w:pPr>
        <w:snapToGrid w:val="0"/>
        <w:spacing w:line="288" w:lineRule="auto"/>
        <w:ind w:right="420" w:firstLine="424" w:firstLineChars="202"/>
        <w:rPr>
          <w:rFonts w:ascii="宋体" w:hAnsi="宋体" w:cs="宋体"/>
          <w:color w:val="auto"/>
          <w:szCs w:val="21"/>
          <w:highlight w:val="none"/>
        </w:rPr>
      </w:pPr>
      <w:r>
        <w:rPr>
          <w:rFonts w:hint="eastAsia" w:ascii="宋体" w:hAnsi="宋体" w:cs="宋体"/>
          <w:color w:val="auto"/>
          <w:szCs w:val="21"/>
          <w:highlight w:val="none"/>
        </w:rPr>
        <w:t>注：按本格式和要求提供。</w:t>
      </w:r>
    </w:p>
    <w:p>
      <w:pPr>
        <w:snapToGrid w:val="0"/>
        <w:spacing w:line="288" w:lineRule="auto"/>
        <w:jc w:val="left"/>
        <w:rPr>
          <w:rFonts w:ascii="宋体" w:hAnsi="宋体" w:cs="宋体"/>
          <w:b/>
          <w:color w:val="auto"/>
          <w:kern w:val="0"/>
          <w:szCs w:val="21"/>
          <w:highlight w:val="none"/>
        </w:rPr>
      </w:pPr>
      <w:r>
        <w:rPr>
          <w:rFonts w:ascii="宋体" w:hAnsi="宋体" w:cs="宋体"/>
          <w:b/>
          <w:color w:val="auto"/>
          <w:kern w:val="0"/>
          <w:szCs w:val="21"/>
          <w:highlight w:val="none"/>
        </w:rPr>
        <w:br w:type="page"/>
      </w:r>
    </w:p>
    <w:p>
      <w:pPr>
        <w:snapToGrid w:val="0"/>
        <w:spacing w:line="288" w:lineRule="auto"/>
        <w:jc w:val="center"/>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二、授权委托书或法定代表人（单位负责人、自然人本人）身份证明</w:t>
      </w:r>
    </w:p>
    <w:p>
      <w:pPr>
        <w:snapToGrid w:val="0"/>
        <w:spacing w:line="288" w:lineRule="auto"/>
        <w:jc w:val="center"/>
        <w:rPr>
          <w:rFonts w:ascii="宋体" w:hAnsi="宋体" w:cs="宋体"/>
          <w:color w:val="auto"/>
          <w:szCs w:val="21"/>
          <w:highlight w:val="none"/>
        </w:rPr>
      </w:pPr>
      <w:r>
        <w:rPr>
          <w:rFonts w:hint="eastAsia" w:ascii="宋体" w:hAnsi="宋体" w:cs="宋体"/>
          <w:b/>
          <w:color w:val="auto"/>
          <w:kern w:val="0"/>
          <w:szCs w:val="21"/>
          <w:highlight w:val="none"/>
          <w:lang w:val="zh-CN"/>
        </w:rPr>
        <w:t>授权委托书（适用于非联合体投标）</w:t>
      </w:r>
    </w:p>
    <w:p>
      <w:pPr>
        <w:snapToGrid w:val="0"/>
        <w:spacing w:line="288" w:lineRule="auto"/>
        <w:rPr>
          <w:rFonts w:ascii="宋体" w:hAnsi="宋体" w:cs="宋体"/>
          <w:color w:val="auto"/>
          <w:szCs w:val="21"/>
          <w:highlight w:val="none"/>
        </w:rPr>
      </w:pPr>
    </w:p>
    <w:p>
      <w:pPr>
        <w:snapToGrid w:val="0"/>
        <w:spacing w:line="288" w:lineRule="auto"/>
        <w:rPr>
          <w:rFonts w:ascii="宋体" w:hAnsi="宋体" w:cs="宋体"/>
          <w:color w:val="auto"/>
          <w:kern w:val="0"/>
          <w:szCs w:val="21"/>
          <w:highlight w:val="none"/>
        </w:rPr>
      </w:pPr>
      <w:r>
        <w:rPr>
          <w:rFonts w:hint="eastAsia" w:ascii="宋体" w:hAnsi="宋体" w:cs="宋体"/>
          <w:color w:val="auto"/>
          <w:szCs w:val="21"/>
          <w:highlight w:val="none"/>
        </w:rPr>
        <w:t>杭州市拱墅区教育发展服务中心、浙江求是招标代理有限公司</w:t>
      </w: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现</w:t>
      </w:r>
      <w:r>
        <w:rPr>
          <w:rFonts w:hint="eastAsia" w:ascii="宋体" w:hAnsi="宋体" w:cs="宋体"/>
          <w:color w:val="auto"/>
          <w:kern w:val="0"/>
          <w:szCs w:val="21"/>
          <w:highlight w:val="none"/>
          <w:lang w:val="zh-CN"/>
        </w:rPr>
        <w:t>委托</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（姓名）为我方代理人（身份证号码：</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，手机：</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），以我方名义处理</w:t>
      </w:r>
      <w:r>
        <w:rPr>
          <w:rFonts w:hint="eastAsia" w:ascii="宋体" w:hAnsi="宋体"/>
          <w:color w:val="auto"/>
          <w:szCs w:val="21"/>
          <w:highlight w:val="none"/>
        </w:rPr>
        <w:t>2024年杭州市拱墅区教育系统部分学校厨房设备采购项目</w:t>
      </w:r>
      <w:r>
        <w:rPr>
          <w:rFonts w:hint="eastAsia" w:ascii="宋体" w:hAnsi="宋体" w:cs="宋体"/>
          <w:color w:val="auto"/>
          <w:szCs w:val="21"/>
          <w:highlight w:val="none"/>
        </w:rPr>
        <w:t>【招标编号：QSZB-Z(H)-B24115(GK)】</w:t>
      </w:r>
      <w:r>
        <w:rPr>
          <w:rFonts w:hint="eastAsia" w:ascii="宋体" w:hAnsi="宋体" w:cs="宋体"/>
          <w:color w:val="auto"/>
          <w:kern w:val="0"/>
          <w:szCs w:val="21"/>
          <w:highlight w:val="none"/>
          <w:lang w:val="zh-CN"/>
        </w:rPr>
        <w:t>政府采购投标的一切事项，其法律后果由我方承担。</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lang w:val="zh-CN"/>
        </w:rPr>
        <w:t>委托期限</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自</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日起至</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日止。</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lang w:val="zh-CN"/>
        </w:rPr>
        <w:t>特此告知。</w:t>
      </w:r>
    </w:p>
    <w:p>
      <w:pPr>
        <w:snapToGrid w:val="0"/>
        <w:spacing w:line="288" w:lineRule="auto"/>
        <w:ind w:firstLine="424" w:firstLineChars="202"/>
        <w:rPr>
          <w:rFonts w:ascii="宋体" w:hAnsi="宋体" w:cs="宋体"/>
          <w:color w:val="auto"/>
          <w:kern w:val="0"/>
          <w:szCs w:val="21"/>
          <w:highlight w:val="none"/>
          <w:lang w:val="zh-CN"/>
        </w:rPr>
      </w:pP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lang w:val="zh-CN"/>
        </w:rPr>
        <w:t>投标人名称(电子签名)：</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签发日期：  年  月   日</w:t>
      </w:r>
    </w:p>
    <w:p>
      <w:pPr>
        <w:snapToGrid w:val="0"/>
        <w:spacing w:line="288" w:lineRule="auto"/>
        <w:rPr>
          <w:rFonts w:ascii="宋体" w:hAnsi="宋体" w:cs="宋体"/>
          <w:color w:val="auto"/>
          <w:szCs w:val="21"/>
          <w:highlight w:val="none"/>
        </w:rPr>
      </w:pPr>
    </w:p>
    <w:p>
      <w:pPr>
        <w:snapToGrid w:val="0"/>
        <w:spacing w:line="288"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lang w:val="zh-CN"/>
        </w:rPr>
        <w:t>授权委托书（适用于联合体投标）</w:t>
      </w:r>
    </w:p>
    <w:p>
      <w:pPr>
        <w:snapToGrid w:val="0"/>
        <w:spacing w:line="288" w:lineRule="auto"/>
        <w:rPr>
          <w:rFonts w:ascii="宋体" w:hAnsi="宋体" w:cs="宋体"/>
          <w:color w:val="auto"/>
          <w:szCs w:val="21"/>
          <w:highlight w:val="none"/>
        </w:rPr>
      </w:pPr>
    </w:p>
    <w:p>
      <w:pPr>
        <w:snapToGrid w:val="0"/>
        <w:spacing w:line="288" w:lineRule="auto"/>
        <w:rPr>
          <w:rFonts w:ascii="宋体" w:hAnsi="宋体" w:cs="宋体"/>
          <w:color w:val="auto"/>
          <w:kern w:val="0"/>
          <w:szCs w:val="21"/>
          <w:highlight w:val="none"/>
        </w:rPr>
      </w:pPr>
      <w:r>
        <w:rPr>
          <w:rFonts w:hint="eastAsia" w:ascii="宋体" w:hAnsi="宋体" w:cs="宋体"/>
          <w:color w:val="auto"/>
          <w:szCs w:val="21"/>
          <w:highlight w:val="none"/>
        </w:rPr>
        <w:t>杭州市拱墅区教育发展服务中心、浙江求是招标代理有限公司</w:t>
      </w: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现</w:t>
      </w:r>
      <w:r>
        <w:rPr>
          <w:rFonts w:hint="eastAsia" w:ascii="宋体" w:hAnsi="宋体" w:cs="宋体"/>
          <w:color w:val="auto"/>
          <w:kern w:val="0"/>
          <w:szCs w:val="21"/>
          <w:highlight w:val="none"/>
          <w:lang w:val="zh-CN"/>
        </w:rPr>
        <w:t>委托</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（姓名）为我方代理人（身份证号码：</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，手机：</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），以我方名义处理</w:t>
      </w:r>
      <w:r>
        <w:rPr>
          <w:rFonts w:hint="eastAsia" w:ascii="宋体" w:hAnsi="宋体"/>
          <w:color w:val="auto"/>
          <w:szCs w:val="21"/>
          <w:highlight w:val="none"/>
        </w:rPr>
        <w:t>2024年杭州市拱墅区教育系统部分学校厨房设备采购项目</w:t>
      </w:r>
      <w:r>
        <w:rPr>
          <w:rFonts w:hint="eastAsia" w:ascii="宋体" w:hAnsi="宋体" w:cs="宋体"/>
          <w:color w:val="auto"/>
          <w:szCs w:val="21"/>
          <w:highlight w:val="none"/>
        </w:rPr>
        <w:t>【招标编号：QSZB-Z(H)-B24115(GK)】</w:t>
      </w:r>
      <w:r>
        <w:rPr>
          <w:rFonts w:hint="eastAsia" w:ascii="宋体" w:hAnsi="宋体" w:cs="宋体"/>
          <w:color w:val="auto"/>
          <w:kern w:val="0"/>
          <w:szCs w:val="21"/>
          <w:highlight w:val="none"/>
          <w:lang w:val="zh-CN"/>
        </w:rPr>
        <w:t>政府采购投标的一切事项，其法律后果由我方承担。</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lang w:val="zh-CN"/>
        </w:rPr>
        <w:t>委托期限</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自</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日起至</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日止。</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lang w:val="zh-CN"/>
        </w:rPr>
        <w:t>特此告知。</w:t>
      </w:r>
    </w:p>
    <w:p>
      <w:pPr>
        <w:snapToGrid w:val="0"/>
        <w:spacing w:line="288" w:lineRule="auto"/>
        <w:rPr>
          <w:rFonts w:ascii="宋体" w:hAnsi="宋体" w:cs="宋体"/>
          <w:b/>
          <w:color w:val="auto"/>
          <w:kern w:val="0"/>
          <w:szCs w:val="21"/>
          <w:highlight w:val="none"/>
        </w:rPr>
      </w:pPr>
    </w:p>
    <w:p>
      <w:pPr>
        <w:snapToGrid w:val="0"/>
        <w:spacing w:line="288" w:lineRule="auto"/>
        <w:rPr>
          <w:rFonts w:ascii="宋体" w:hAnsi="宋体" w:cs="宋体"/>
          <w:color w:val="auto"/>
          <w:szCs w:val="21"/>
          <w:highlight w:val="none"/>
        </w:rPr>
      </w:pPr>
    </w:p>
    <w:p>
      <w:pPr>
        <w:snapToGrid w:val="0"/>
        <w:spacing w:line="288"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联合体成员名称(电子签名/公章)：</w:t>
      </w:r>
    </w:p>
    <w:p>
      <w:pPr>
        <w:snapToGrid w:val="0"/>
        <w:spacing w:line="288"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联合体成员名称(电子签名/公章)：</w:t>
      </w:r>
    </w:p>
    <w:p>
      <w:pPr>
        <w:snapToGrid w:val="0"/>
        <w:spacing w:line="288" w:lineRule="auto"/>
        <w:rPr>
          <w:rFonts w:ascii="宋体" w:hAnsi="宋体" w:cs="宋体"/>
          <w:color w:val="auto"/>
          <w:szCs w:val="21"/>
          <w:highlight w:val="none"/>
        </w:rPr>
      </w:pPr>
      <w:r>
        <w:rPr>
          <w:rFonts w:hint="eastAsia" w:ascii="宋体" w:hAnsi="宋体" w:cs="宋体"/>
          <w:color w:val="auto"/>
          <w:kern w:val="0"/>
          <w:szCs w:val="21"/>
          <w:highlight w:val="none"/>
          <w:lang w:val="zh-CN"/>
        </w:rPr>
        <w:t>……</w:t>
      </w:r>
    </w:p>
    <w:p>
      <w:pPr>
        <w:snapToGrid w:val="0"/>
        <w:spacing w:line="288"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日期：  年  月   日</w:t>
      </w:r>
    </w:p>
    <w:p>
      <w:pPr>
        <w:autoSpaceDE w:val="0"/>
        <w:autoSpaceDN w:val="0"/>
        <w:snapToGrid w:val="0"/>
        <w:spacing w:line="288" w:lineRule="auto"/>
        <w:jc w:val="center"/>
        <w:rPr>
          <w:rFonts w:ascii="宋体" w:hAnsi="宋体" w:cs="宋体"/>
          <w:b/>
          <w:color w:val="auto"/>
          <w:kern w:val="0"/>
          <w:szCs w:val="21"/>
          <w:highlight w:val="none"/>
          <w:lang w:val="zh-CN"/>
        </w:rPr>
      </w:pPr>
    </w:p>
    <w:p>
      <w:pPr>
        <w:autoSpaceDE w:val="0"/>
        <w:autoSpaceDN w:val="0"/>
        <w:snapToGrid w:val="0"/>
        <w:spacing w:line="288" w:lineRule="auto"/>
        <w:jc w:val="center"/>
        <w:rPr>
          <w:rFonts w:ascii="宋体" w:hAnsi="宋体" w:cs="宋体"/>
          <w:b/>
          <w:color w:val="auto"/>
          <w:szCs w:val="21"/>
          <w:highlight w:val="none"/>
        </w:rPr>
      </w:pPr>
      <w:r>
        <w:rPr>
          <w:rFonts w:hint="eastAsia" w:ascii="宋体" w:hAnsi="宋体" w:cs="宋体"/>
          <w:b/>
          <w:color w:val="auto"/>
          <w:kern w:val="0"/>
          <w:szCs w:val="21"/>
          <w:highlight w:val="none"/>
          <w:lang w:val="zh-CN"/>
        </w:rPr>
        <w:t>法定代表人、单位负责人或自然人本人</w:t>
      </w:r>
      <w:r>
        <w:rPr>
          <w:rFonts w:hint="eastAsia" w:ascii="宋体" w:hAnsi="宋体" w:cs="宋体"/>
          <w:b/>
          <w:color w:val="auto"/>
          <w:szCs w:val="21"/>
          <w:highlight w:val="none"/>
        </w:rPr>
        <w:t>的身份证明</w:t>
      </w:r>
    </w:p>
    <w:p>
      <w:pPr>
        <w:autoSpaceDE w:val="0"/>
        <w:autoSpaceDN w:val="0"/>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（适用于法定代表人、单位负责人或者自然人本人代表投标人参加投标）</w:t>
      </w:r>
    </w:p>
    <w:p>
      <w:pPr>
        <w:pStyle w:val="152"/>
        <w:adjustRightInd w:val="0"/>
        <w:snapToGrid w:val="0"/>
        <w:spacing w:line="288" w:lineRule="auto"/>
        <w:rPr>
          <w:rFonts w:hAnsi="宋体" w:cs="宋体"/>
          <w:bCs/>
          <w:color w:val="auto"/>
          <w:highlight w:val="none"/>
        </w:rPr>
      </w:pPr>
    </w:p>
    <w:p>
      <w:pPr>
        <w:pStyle w:val="152"/>
        <w:adjustRightInd w:val="0"/>
        <w:snapToGrid w:val="0"/>
        <w:spacing w:line="288" w:lineRule="auto"/>
        <w:rPr>
          <w:rFonts w:hAnsi="宋体" w:cs="宋体"/>
          <w:bCs/>
          <w:color w:val="auto"/>
          <w:highlight w:val="none"/>
        </w:rPr>
      </w:pPr>
      <w:r>
        <w:rPr>
          <w:rFonts w:hint="eastAsia" w:hAnsi="宋体" w:cs="宋体"/>
          <w:bCs/>
          <w:color w:val="auto"/>
          <w:highlight w:val="none"/>
        </w:rPr>
        <w:t>身份证件扫描件：</w:t>
      </w:r>
    </w:p>
    <w:tbl>
      <w:tblPr>
        <w:tblStyle w:val="62"/>
        <w:tblW w:w="92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8" w:hRule="atLeast"/>
          <w:jc w:val="center"/>
        </w:trPr>
        <w:tc>
          <w:tcPr>
            <w:tcW w:w="9207" w:type="dxa"/>
          </w:tcPr>
          <w:p>
            <w:pPr>
              <w:pStyle w:val="152"/>
              <w:adjustRightInd w:val="0"/>
              <w:snapToGrid w:val="0"/>
              <w:spacing w:line="288" w:lineRule="auto"/>
              <w:rPr>
                <w:rFonts w:hAnsi="宋体" w:cs="宋体"/>
                <w:bCs/>
                <w:color w:val="auto"/>
                <w:highlight w:val="none"/>
              </w:rPr>
            </w:pPr>
            <w:r>
              <w:rPr>
                <w:rFonts w:hint="eastAsia" w:hAnsi="宋体" w:cs="宋体"/>
                <w:bCs/>
                <w:color w:val="auto"/>
                <w:highlight w:val="none"/>
              </w:rPr>
              <w:t>正面：                                 反面：</w:t>
            </w:r>
          </w:p>
          <w:p>
            <w:pPr>
              <w:pStyle w:val="152"/>
              <w:adjustRightInd w:val="0"/>
              <w:snapToGrid w:val="0"/>
              <w:spacing w:line="288" w:lineRule="auto"/>
              <w:rPr>
                <w:rFonts w:hAnsi="宋体" w:cs="宋体"/>
                <w:bCs/>
                <w:color w:val="auto"/>
                <w:highlight w:val="none"/>
              </w:rPr>
            </w:pPr>
          </w:p>
        </w:tc>
      </w:tr>
    </w:tbl>
    <w:p>
      <w:pPr>
        <w:snapToGrid w:val="0"/>
        <w:spacing w:line="288"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投标人名称(电子签名)：</w:t>
      </w:r>
    </w:p>
    <w:p>
      <w:pPr>
        <w:snapToGrid w:val="0"/>
        <w:spacing w:line="288" w:lineRule="auto"/>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日期：  年  月  日</w:t>
      </w:r>
    </w:p>
    <w:p>
      <w:pPr>
        <w:snapToGrid w:val="0"/>
        <w:spacing w:line="288" w:lineRule="auto"/>
        <w:ind w:right="480"/>
        <w:rPr>
          <w:rFonts w:ascii="宋体" w:hAnsi="宋体" w:cs="宋体"/>
          <w:b/>
          <w:color w:val="auto"/>
          <w:kern w:val="0"/>
          <w:szCs w:val="21"/>
          <w:highlight w:val="none"/>
        </w:rPr>
      </w:pPr>
      <w:r>
        <w:rPr>
          <w:color w:val="auto"/>
          <w:highlight w:val="none"/>
        </w:rPr>
        <w:br w:type="page"/>
      </w:r>
      <w:r>
        <w:rPr>
          <w:rFonts w:hint="eastAsia" w:ascii="宋体" w:hAnsi="宋体" w:cs="宋体"/>
          <w:b/>
          <w:color w:val="auto"/>
          <w:kern w:val="0"/>
          <w:szCs w:val="21"/>
          <w:highlight w:val="none"/>
        </w:rPr>
        <w:t>三、分包意向协议（如果有）</w:t>
      </w:r>
    </w:p>
    <w:p>
      <w:pPr>
        <w:snapToGrid w:val="0"/>
        <w:spacing w:line="288" w:lineRule="auto"/>
        <w:jc w:val="left"/>
        <w:rPr>
          <w:rFonts w:ascii="宋体" w:hAnsi="宋体" w:cs="宋体"/>
          <w:color w:val="auto"/>
          <w:szCs w:val="21"/>
          <w:highlight w:val="none"/>
        </w:rPr>
      </w:pPr>
      <w:bookmarkStart w:id="555" w:name="_Hlk101169080"/>
    </w:p>
    <w:p>
      <w:pPr>
        <w:snapToGrid w:val="0"/>
        <w:spacing w:line="288" w:lineRule="auto"/>
        <w:jc w:val="left"/>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color w:val="auto"/>
          <w:szCs w:val="21"/>
          <w:highlight w:val="none"/>
        </w:rPr>
        <w:t>中标后以分包方式履行合同的，提供分包意向协议(附件6</w:t>
      </w:r>
      <w:r>
        <w:rPr>
          <w:rFonts w:ascii="宋体" w:hAnsi="宋体" w:cs="宋体"/>
          <w:b/>
          <w:color w:val="auto"/>
          <w:szCs w:val="21"/>
          <w:highlight w:val="none"/>
        </w:rPr>
        <w:t>)</w:t>
      </w:r>
      <w:r>
        <w:rPr>
          <w:rFonts w:hint="eastAsia" w:ascii="宋体" w:hAnsi="宋体" w:cs="宋体"/>
          <w:b/>
          <w:color w:val="auto"/>
          <w:szCs w:val="21"/>
          <w:highlight w:val="none"/>
        </w:rPr>
        <w:t>；采购人不同意分包或者投标人中标后不以分包方式履行合同的，则不需要提供。</w:t>
      </w:r>
      <w:r>
        <w:rPr>
          <w:rFonts w:hint="eastAsia" w:ascii="宋体" w:hAnsi="宋体" w:cs="宋体"/>
          <w:color w:val="auto"/>
          <w:szCs w:val="21"/>
          <w:highlight w:val="none"/>
        </w:rPr>
        <w:t>]</w:t>
      </w:r>
    </w:p>
    <w:bookmarkEnd w:id="555"/>
    <w:p>
      <w:pPr>
        <w:snapToGrid w:val="0"/>
        <w:spacing w:line="288" w:lineRule="auto"/>
        <w:rPr>
          <w:rFonts w:ascii="宋体" w:hAnsi="宋体" w:cs="宋体"/>
          <w:b/>
          <w:color w:val="auto"/>
          <w:kern w:val="0"/>
          <w:szCs w:val="21"/>
          <w:highlight w:val="none"/>
        </w:rPr>
      </w:pPr>
    </w:p>
    <w:p>
      <w:pPr>
        <w:widowControl/>
        <w:adjustRightInd/>
        <w:jc w:val="left"/>
        <w:rPr>
          <w:rFonts w:ascii="宋体" w:hAnsi="宋体" w:cs="宋体"/>
          <w:b/>
          <w:color w:val="auto"/>
          <w:kern w:val="0"/>
          <w:szCs w:val="21"/>
          <w:highlight w:val="none"/>
        </w:rPr>
      </w:pPr>
      <w:r>
        <w:rPr>
          <w:rFonts w:ascii="宋体" w:hAnsi="宋体" w:cs="宋体"/>
          <w:b/>
          <w:color w:val="auto"/>
          <w:kern w:val="0"/>
          <w:szCs w:val="21"/>
          <w:highlight w:val="none"/>
        </w:rPr>
        <w:br w:type="page"/>
      </w:r>
    </w:p>
    <w:p>
      <w:pPr>
        <w:snapToGrid w:val="0"/>
        <w:spacing w:line="288"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四、符合性审查资料</w:t>
      </w:r>
    </w:p>
    <w:p>
      <w:pPr>
        <w:snapToGrid w:val="0"/>
        <w:spacing w:line="288" w:lineRule="auto"/>
        <w:jc w:val="center"/>
        <w:rPr>
          <w:rFonts w:ascii="宋体" w:hAnsi="宋体" w:cs="宋体"/>
          <w:b/>
          <w:color w:val="auto"/>
          <w:kern w:val="0"/>
          <w:szCs w:val="21"/>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424"/>
        <w:gridCol w:w="311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646"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424"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实质性要求</w:t>
            </w:r>
          </w:p>
        </w:tc>
        <w:tc>
          <w:tcPr>
            <w:tcW w:w="3118"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需要提供的符合性审查资料</w:t>
            </w:r>
          </w:p>
        </w:tc>
        <w:tc>
          <w:tcPr>
            <w:tcW w:w="1418"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442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投标文件按照招标文件要求签署、盖章。</w:t>
            </w:r>
          </w:p>
        </w:tc>
        <w:tc>
          <w:tcPr>
            <w:tcW w:w="31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需要使用电子签名或者签字盖章的投标文件的组成部分</w:t>
            </w:r>
          </w:p>
        </w:tc>
        <w:tc>
          <w:tcPr>
            <w:tcW w:w="14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见投标文件</w:t>
            </w:r>
          </w:p>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442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投标文件中承诺的投标有效期不少于招标文件中载明的投标有效期。</w:t>
            </w:r>
          </w:p>
        </w:tc>
        <w:tc>
          <w:tcPr>
            <w:tcW w:w="31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投标函</w:t>
            </w:r>
          </w:p>
        </w:tc>
        <w:tc>
          <w:tcPr>
            <w:tcW w:w="14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4424"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投标文件满足招标文件的其它实质性要求。</w:t>
            </w:r>
          </w:p>
        </w:tc>
        <w:tc>
          <w:tcPr>
            <w:tcW w:w="31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kern w:val="0"/>
                <w:szCs w:val="21"/>
                <w:highlight w:val="none"/>
              </w:rPr>
              <w:t>招标文件其它实质性要求相应的材料（“▲” 系指实质性要求条款，招标文件无其它实质性要求的，无需提供）</w:t>
            </w:r>
          </w:p>
        </w:tc>
        <w:tc>
          <w:tcPr>
            <w:tcW w:w="14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r>
    </w:tbl>
    <w:p>
      <w:pPr>
        <w:snapToGrid w:val="0"/>
        <w:spacing w:line="288" w:lineRule="auto"/>
        <w:ind w:right="420"/>
        <w:rPr>
          <w:rFonts w:ascii="宋体" w:hAnsi="宋体" w:cs="宋体"/>
          <w:color w:val="auto"/>
          <w:szCs w:val="21"/>
          <w:highlight w:val="none"/>
        </w:rPr>
      </w:pPr>
    </w:p>
    <w:p>
      <w:pPr>
        <w:snapToGrid w:val="0"/>
        <w:spacing w:line="288" w:lineRule="auto"/>
        <w:ind w:right="420"/>
        <w:rPr>
          <w:rFonts w:ascii="宋体" w:hAnsi="宋体" w:cs="宋体"/>
          <w:color w:val="auto"/>
          <w:szCs w:val="21"/>
          <w:highlight w:val="none"/>
        </w:rPr>
      </w:pPr>
      <w:r>
        <w:rPr>
          <w:rFonts w:hint="eastAsia" w:ascii="宋体" w:hAnsi="宋体" w:cs="宋体"/>
          <w:color w:val="auto"/>
          <w:szCs w:val="21"/>
          <w:highlight w:val="none"/>
        </w:rPr>
        <w:t>注：按本格式和要求提供。</w:t>
      </w:r>
    </w:p>
    <w:p>
      <w:pPr>
        <w:snapToGrid w:val="0"/>
        <w:spacing w:line="288" w:lineRule="auto"/>
        <w:jc w:val="left"/>
        <w:rPr>
          <w:rFonts w:ascii="宋体" w:hAnsi="宋体" w:cs="宋体"/>
          <w:b/>
          <w:color w:val="auto"/>
          <w:kern w:val="0"/>
          <w:szCs w:val="21"/>
          <w:highlight w:val="none"/>
        </w:rPr>
      </w:pPr>
      <w:r>
        <w:rPr>
          <w:rFonts w:ascii="宋体" w:hAnsi="宋体" w:cs="宋体"/>
          <w:b/>
          <w:color w:val="auto"/>
          <w:kern w:val="0"/>
          <w:szCs w:val="21"/>
          <w:highlight w:val="none"/>
        </w:rPr>
        <w:br w:type="page"/>
      </w:r>
    </w:p>
    <w:p>
      <w:pPr>
        <w:snapToGrid w:val="0"/>
        <w:spacing w:line="288" w:lineRule="auto"/>
        <w:jc w:val="center"/>
        <w:rPr>
          <w:rFonts w:ascii="宋体" w:hAnsi="宋体" w:cs="宋体"/>
          <w:color w:val="auto"/>
          <w:szCs w:val="21"/>
          <w:highlight w:val="none"/>
        </w:rPr>
      </w:pPr>
      <w:r>
        <w:rPr>
          <w:rFonts w:hint="eastAsia" w:ascii="宋体" w:hAnsi="宋体" w:cs="宋体"/>
          <w:b/>
          <w:color w:val="auto"/>
          <w:kern w:val="0"/>
          <w:szCs w:val="21"/>
          <w:highlight w:val="none"/>
        </w:rPr>
        <w:t>五、评标标准相应的商务技术资料</w:t>
      </w:r>
    </w:p>
    <w:p>
      <w:pPr>
        <w:snapToGrid w:val="0"/>
        <w:spacing w:line="288" w:lineRule="auto"/>
        <w:jc w:val="left"/>
        <w:rPr>
          <w:rFonts w:ascii="宋体" w:hAnsi="宋体" w:cs="宋体"/>
          <w:b/>
          <w:color w:val="auto"/>
          <w:szCs w:val="21"/>
          <w:highlight w:val="none"/>
        </w:rPr>
      </w:pPr>
      <w:r>
        <w:rPr>
          <w:rFonts w:hint="eastAsia" w:ascii="宋体" w:hAnsi="宋体" w:cs="宋体"/>
          <w:b/>
          <w:color w:val="auto"/>
          <w:szCs w:val="21"/>
          <w:highlight w:val="none"/>
        </w:rPr>
        <w:t>（按招标文件第四部分评标办法前附表中“投标文件中评标标准相应的商务技术资料目录”提供资料。）</w:t>
      </w:r>
    </w:p>
    <w:p>
      <w:pPr>
        <w:snapToGrid w:val="0"/>
        <w:spacing w:line="288" w:lineRule="auto"/>
        <w:jc w:val="center"/>
        <w:rPr>
          <w:rFonts w:ascii="宋体" w:hAnsi="宋体" w:cs="宋体"/>
          <w:b/>
          <w:color w:val="auto"/>
          <w:kern w:val="0"/>
          <w:szCs w:val="21"/>
          <w:highlight w:val="none"/>
        </w:rPr>
      </w:pPr>
    </w:p>
    <w:p>
      <w:pPr>
        <w:snapToGrid w:val="0"/>
        <w:spacing w:line="288" w:lineRule="auto"/>
        <w:jc w:val="center"/>
        <w:rPr>
          <w:rFonts w:ascii="宋体" w:hAnsi="宋体" w:cs="宋体"/>
          <w:b/>
          <w:color w:val="auto"/>
          <w:kern w:val="0"/>
          <w:szCs w:val="21"/>
          <w:highlight w:val="none"/>
        </w:rPr>
      </w:pPr>
    </w:p>
    <w:p>
      <w:pPr>
        <w:snapToGrid w:val="0"/>
        <w:spacing w:line="288" w:lineRule="auto"/>
        <w:rPr>
          <w:rFonts w:ascii="宋体" w:hAnsi="宋体" w:cs="宋体"/>
          <w:b/>
          <w:color w:val="auto"/>
          <w:kern w:val="0"/>
          <w:szCs w:val="21"/>
          <w:highlight w:val="none"/>
        </w:rPr>
      </w:pPr>
      <w:r>
        <w:rPr>
          <w:rFonts w:hint="eastAsia" w:ascii="宋体" w:hAnsi="宋体" w:cs="宋体"/>
          <w:b/>
          <w:color w:val="auto"/>
          <w:kern w:val="0"/>
          <w:szCs w:val="21"/>
          <w:highlight w:val="none"/>
        </w:rPr>
        <w:t>六、投标标的清单</w:t>
      </w:r>
    </w:p>
    <w:tbl>
      <w:tblPr>
        <w:tblStyle w:val="62"/>
        <w:tblW w:w="94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621"/>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名称</w:t>
            </w:r>
          </w:p>
        </w:tc>
        <w:tc>
          <w:tcPr>
            <w:tcW w:w="1621"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品牌</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cs="宋体"/>
                <w:color w:val="auto"/>
                <w:szCs w:val="21"/>
                <w:highlight w:val="none"/>
              </w:rPr>
            </w:pPr>
          </w:p>
        </w:tc>
      </w:tr>
    </w:tbl>
    <w:p>
      <w:pPr>
        <w:snapToGrid w:val="0"/>
        <w:spacing w:line="288" w:lineRule="auto"/>
        <w:ind w:right="420"/>
        <w:rPr>
          <w:rFonts w:ascii="宋体" w:hAnsi="宋体" w:cs="宋体"/>
          <w:color w:val="auto"/>
          <w:szCs w:val="21"/>
          <w:highlight w:val="none"/>
        </w:rPr>
      </w:pPr>
      <w:r>
        <w:rPr>
          <w:rFonts w:hint="eastAsia" w:ascii="宋体" w:hAnsi="宋体" w:cs="宋体"/>
          <w:color w:val="auto"/>
          <w:szCs w:val="21"/>
          <w:highlight w:val="none"/>
        </w:rPr>
        <w:t>注：按本格式和要求提供。</w:t>
      </w:r>
    </w:p>
    <w:p>
      <w:pPr>
        <w:snapToGrid w:val="0"/>
        <w:spacing w:line="288" w:lineRule="auto"/>
        <w:jc w:val="center"/>
        <w:rPr>
          <w:rFonts w:ascii="宋体" w:hAnsi="宋体" w:cs="宋体"/>
          <w:b/>
          <w:color w:val="auto"/>
          <w:kern w:val="0"/>
          <w:szCs w:val="21"/>
          <w:highlight w:val="none"/>
        </w:rPr>
      </w:pPr>
    </w:p>
    <w:p>
      <w:pPr>
        <w:snapToGrid w:val="0"/>
        <w:spacing w:line="288" w:lineRule="auto"/>
        <w:jc w:val="center"/>
        <w:rPr>
          <w:rFonts w:ascii="宋体" w:hAnsi="宋体" w:cs="宋体"/>
          <w:b/>
          <w:color w:val="auto"/>
          <w:kern w:val="0"/>
          <w:szCs w:val="21"/>
          <w:highlight w:val="none"/>
        </w:rPr>
      </w:pPr>
    </w:p>
    <w:p>
      <w:pPr>
        <w:snapToGrid w:val="0"/>
        <w:spacing w:line="288"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七、商务技术偏离表</w:t>
      </w:r>
    </w:p>
    <w:tbl>
      <w:tblPr>
        <w:tblStyle w:val="63"/>
        <w:tblW w:w="94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3683" w:type="dxa"/>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招标文件章节及具体内容</w:t>
            </w:r>
          </w:p>
        </w:tc>
        <w:tc>
          <w:tcPr>
            <w:tcW w:w="3546" w:type="dxa"/>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投标文件章节及具体内容</w:t>
            </w:r>
          </w:p>
        </w:tc>
        <w:tc>
          <w:tcPr>
            <w:tcW w:w="1276" w:type="dxa"/>
            <w:vAlign w:val="center"/>
          </w:tcPr>
          <w:p>
            <w:pPr>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Align w:val="center"/>
          </w:tcPr>
          <w:p>
            <w:pPr>
              <w:snapToGrid w:val="0"/>
              <w:spacing w:line="288"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683" w:type="dxa"/>
            <w:vAlign w:val="center"/>
          </w:tcPr>
          <w:p>
            <w:pPr>
              <w:snapToGrid w:val="0"/>
              <w:spacing w:line="288" w:lineRule="auto"/>
              <w:jc w:val="center"/>
              <w:rPr>
                <w:rFonts w:ascii="宋体" w:hAnsi="宋体" w:cs="宋体"/>
                <w:b/>
                <w:color w:val="auto"/>
                <w:kern w:val="0"/>
                <w:szCs w:val="21"/>
                <w:highlight w:val="none"/>
              </w:rPr>
            </w:pPr>
          </w:p>
        </w:tc>
        <w:tc>
          <w:tcPr>
            <w:tcW w:w="3546" w:type="dxa"/>
            <w:vAlign w:val="center"/>
          </w:tcPr>
          <w:p>
            <w:pPr>
              <w:snapToGrid w:val="0"/>
              <w:spacing w:line="288" w:lineRule="auto"/>
              <w:jc w:val="center"/>
              <w:rPr>
                <w:rFonts w:ascii="宋体" w:hAnsi="宋体" w:cs="宋体"/>
                <w:b/>
                <w:color w:val="auto"/>
                <w:kern w:val="0"/>
                <w:szCs w:val="21"/>
                <w:highlight w:val="none"/>
              </w:rPr>
            </w:pPr>
          </w:p>
        </w:tc>
        <w:tc>
          <w:tcPr>
            <w:tcW w:w="1276" w:type="dxa"/>
            <w:vAlign w:val="center"/>
          </w:tcPr>
          <w:p>
            <w:pPr>
              <w:snapToGrid w:val="0"/>
              <w:spacing w:line="288" w:lineRule="auto"/>
              <w:jc w:val="center"/>
              <w:rPr>
                <w:rFonts w:ascii="宋体" w:hAnsi="宋体" w:cs="宋体"/>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Align w:val="center"/>
          </w:tcPr>
          <w:p>
            <w:pPr>
              <w:snapToGrid w:val="0"/>
              <w:spacing w:line="288"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3683" w:type="dxa"/>
            <w:vAlign w:val="center"/>
          </w:tcPr>
          <w:p>
            <w:pPr>
              <w:snapToGrid w:val="0"/>
              <w:spacing w:line="288" w:lineRule="auto"/>
              <w:jc w:val="center"/>
              <w:rPr>
                <w:rFonts w:ascii="宋体" w:hAnsi="宋体" w:cs="宋体"/>
                <w:b/>
                <w:color w:val="auto"/>
                <w:kern w:val="0"/>
                <w:szCs w:val="21"/>
                <w:highlight w:val="none"/>
              </w:rPr>
            </w:pPr>
          </w:p>
        </w:tc>
        <w:tc>
          <w:tcPr>
            <w:tcW w:w="3546" w:type="dxa"/>
            <w:vAlign w:val="center"/>
          </w:tcPr>
          <w:p>
            <w:pPr>
              <w:snapToGrid w:val="0"/>
              <w:spacing w:line="288" w:lineRule="auto"/>
              <w:jc w:val="center"/>
              <w:rPr>
                <w:rFonts w:ascii="宋体" w:hAnsi="宋体" w:cs="宋体"/>
                <w:b/>
                <w:color w:val="auto"/>
                <w:kern w:val="0"/>
                <w:szCs w:val="21"/>
                <w:highlight w:val="none"/>
              </w:rPr>
            </w:pPr>
          </w:p>
        </w:tc>
        <w:tc>
          <w:tcPr>
            <w:tcW w:w="1276" w:type="dxa"/>
            <w:vAlign w:val="center"/>
          </w:tcPr>
          <w:p>
            <w:pPr>
              <w:snapToGrid w:val="0"/>
              <w:spacing w:line="288" w:lineRule="auto"/>
              <w:jc w:val="center"/>
              <w:rPr>
                <w:rFonts w:ascii="宋体" w:hAnsi="宋体" w:cs="宋体"/>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Align w:val="center"/>
          </w:tcPr>
          <w:p>
            <w:pPr>
              <w:snapToGrid w:val="0"/>
              <w:spacing w:line="288"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3683" w:type="dxa"/>
            <w:vAlign w:val="center"/>
          </w:tcPr>
          <w:p>
            <w:pPr>
              <w:snapToGrid w:val="0"/>
              <w:spacing w:line="288" w:lineRule="auto"/>
              <w:jc w:val="center"/>
              <w:rPr>
                <w:rFonts w:ascii="宋体" w:hAnsi="宋体" w:cs="宋体"/>
                <w:b/>
                <w:color w:val="auto"/>
                <w:kern w:val="0"/>
                <w:szCs w:val="21"/>
                <w:highlight w:val="none"/>
              </w:rPr>
            </w:pPr>
          </w:p>
        </w:tc>
        <w:tc>
          <w:tcPr>
            <w:tcW w:w="3546" w:type="dxa"/>
            <w:vAlign w:val="center"/>
          </w:tcPr>
          <w:p>
            <w:pPr>
              <w:snapToGrid w:val="0"/>
              <w:spacing w:line="288" w:lineRule="auto"/>
              <w:jc w:val="center"/>
              <w:rPr>
                <w:rFonts w:ascii="宋体" w:hAnsi="宋体" w:cs="宋体"/>
                <w:b/>
                <w:color w:val="auto"/>
                <w:kern w:val="0"/>
                <w:szCs w:val="21"/>
                <w:highlight w:val="none"/>
              </w:rPr>
            </w:pPr>
          </w:p>
        </w:tc>
        <w:tc>
          <w:tcPr>
            <w:tcW w:w="1276" w:type="dxa"/>
            <w:vAlign w:val="center"/>
          </w:tcPr>
          <w:p>
            <w:pPr>
              <w:snapToGrid w:val="0"/>
              <w:spacing w:line="288" w:lineRule="auto"/>
              <w:jc w:val="center"/>
              <w:rPr>
                <w:rFonts w:ascii="宋体" w:hAnsi="宋体" w:cs="宋体"/>
                <w:b/>
                <w:color w:val="auto"/>
                <w:kern w:val="0"/>
                <w:szCs w:val="21"/>
                <w:highlight w:val="none"/>
              </w:rPr>
            </w:pPr>
          </w:p>
        </w:tc>
      </w:tr>
    </w:tbl>
    <w:p>
      <w:pPr>
        <w:snapToGrid w:val="0"/>
        <w:spacing w:line="288"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投标人保证：除商务技术偏离表列出的偏离外，投标人响应招标文件的全部要求</w:t>
      </w:r>
    </w:p>
    <w:p>
      <w:pPr>
        <w:snapToGrid w:val="0"/>
        <w:spacing w:line="288" w:lineRule="auto"/>
        <w:rPr>
          <w:rFonts w:ascii="宋体" w:hAnsi="宋体" w:cs="宋体"/>
          <w:b/>
          <w:color w:val="auto"/>
          <w:kern w:val="0"/>
          <w:szCs w:val="21"/>
          <w:highlight w:val="none"/>
        </w:rPr>
      </w:pPr>
    </w:p>
    <w:p>
      <w:pPr>
        <w:snapToGrid w:val="0"/>
        <w:spacing w:line="288" w:lineRule="auto"/>
        <w:ind w:right="420"/>
        <w:rPr>
          <w:rFonts w:ascii="宋体" w:hAnsi="宋体" w:cs="宋体"/>
          <w:color w:val="auto"/>
          <w:szCs w:val="21"/>
          <w:highlight w:val="none"/>
        </w:rPr>
      </w:pPr>
      <w:r>
        <w:rPr>
          <w:rFonts w:hint="eastAsia" w:ascii="宋体" w:hAnsi="宋体" w:cs="宋体"/>
          <w:color w:val="auto"/>
          <w:szCs w:val="21"/>
          <w:highlight w:val="none"/>
        </w:rPr>
        <w:t>注：按本格式和要求提供。</w:t>
      </w:r>
    </w:p>
    <w:p>
      <w:pPr>
        <w:snapToGrid w:val="0"/>
        <w:spacing w:line="288" w:lineRule="auto"/>
        <w:jc w:val="left"/>
        <w:rPr>
          <w:rFonts w:ascii="宋体" w:hAnsi="宋体" w:cs="宋体"/>
          <w:b/>
          <w:bCs/>
          <w:color w:val="auto"/>
          <w:szCs w:val="21"/>
          <w:highlight w:val="none"/>
        </w:rPr>
      </w:pPr>
      <w:r>
        <w:rPr>
          <w:rFonts w:ascii="宋体" w:hAnsi="宋体" w:cs="宋体"/>
          <w:b/>
          <w:bCs/>
          <w:color w:val="auto"/>
          <w:szCs w:val="21"/>
          <w:highlight w:val="none"/>
        </w:rPr>
        <w:br w:type="page"/>
      </w:r>
    </w:p>
    <w:p>
      <w:pPr>
        <w:snapToGrid w:val="0"/>
        <w:spacing w:line="288" w:lineRule="auto"/>
        <w:jc w:val="center"/>
        <w:rPr>
          <w:rFonts w:ascii="宋体" w:hAnsi="宋体" w:cs="宋体"/>
          <w:b/>
          <w:color w:val="auto"/>
          <w:kern w:val="0"/>
          <w:szCs w:val="21"/>
          <w:highlight w:val="none"/>
        </w:rPr>
      </w:pPr>
      <w:r>
        <w:rPr>
          <w:rFonts w:hint="eastAsia" w:ascii="宋体" w:hAnsi="宋体" w:cs="宋体"/>
          <w:b/>
          <w:bCs/>
          <w:color w:val="auto"/>
          <w:szCs w:val="21"/>
          <w:highlight w:val="none"/>
        </w:rPr>
        <w:t>八</w:t>
      </w: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val="zh-CN"/>
        </w:rPr>
        <w:t>政府采购供应商廉洁自律承诺书</w:t>
      </w:r>
    </w:p>
    <w:p>
      <w:pPr>
        <w:snapToGrid w:val="0"/>
        <w:spacing w:line="288" w:lineRule="auto"/>
        <w:rPr>
          <w:rFonts w:ascii="宋体" w:hAnsi="宋体" w:cs="宋体"/>
          <w:color w:val="auto"/>
          <w:szCs w:val="21"/>
          <w:highlight w:val="none"/>
        </w:rPr>
      </w:pPr>
    </w:p>
    <w:p>
      <w:pPr>
        <w:snapToGrid w:val="0"/>
        <w:spacing w:line="288" w:lineRule="auto"/>
        <w:rPr>
          <w:rFonts w:ascii="宋体" w:hAnsi="宋体" w:cs="宋体"/>
          <w:color w:val="auto"/>
          <w:kern w:val="0"/>
          <w:szCs w:val="21"/>
          <w:highlight w:val="none"/>
          <w:u w:val="single"/>
        </w:rPr>
      </w:pPr>
      <w:r>
        <w:rPr>
          <w:rFonts w:hint="eastAsia" w:ascii="宋体" w:hAnsi="宋体" w:cs="宋体"/>
          <w:color w:val="auto"/>
          <w:szCs w:val="21"/>
          <w:highlight w:val="none"/>
          <w:u w:val="single"/>
        </w:rPr>
        <w:t>杭州市拱墅区教育发展服务中心、浙江求是招标代理有限公司</w:t>
      </w:r>
      <w:r>
        <w:rPr>
          <w:rFonts w:hint="eastAsia" w:ascii="宋体" w:hAnsi="宋体" w:cs="宋体"/>
          <w:color w:val="auto"/>
          <w:kern w:val="0"/>
          <w:szCs w:val="21"/>
          <w:highlight w:val="none"/>
          <w:u w:val="single"/>
          <w:lang w:val="zh-CN"/>
        </w:rPr>
        <w:t>：</w:t>
      </w:r>
    </w:p>
    <w:p>
      <w:pPr>
        <w:autoSpaceDE w:val="0"/>
        <w:autoSpaceDN w:val="0"/>
        <w:snapToGrid w:val="0"/>
        <w:spacing w:line="288" w:lineRule="auto"/>
        <w:ind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我单位响应你</w:t>
      </w:r>
      <w:r>
        <w:rPr>
          <w:rFonts w:hint="eastAsia" w:ascii="宋体" w:hAnsi="宋体" w:cs="宋体"/>
          <w:color w:val="auto"/>
          <w:szCs w:val="21"/>
          <w:highlight w:val="none"/>
        </w:rPr>
        <w:t>单位</w:t>
      </w:r>
      <w:r>
        <w:rPr>
          <w:rFonts w:hint="eastAsia" w:ascii="宋体" w:hAnsi="宋体" w:cs="宋体"/>
          <w:color w:val="auto"/>
          <w:kern w:val="0"/>
          <w:szCs w:val="21"/>
          <w:highlight w:val="none"/>
          <w:lang w:val="zh-CN"/>
        </w:rPr>
        <w:t>项目招标要求参加投标。在这次投标过程中和中标后，我们将严格遵守国家法律法规要求，并郑重承诺：</w:t>
      </w:r>
    </w:p>
    <w:p>
      <w:pPr>
        <w:autoSpaceDE w:val="0"/>
        <w:autoSpaceDN w:val="0"/>
        <w:snapToGrid w:val="0"/>
        <w:spacing w:line="288" w:lineRule="auto"/>
        <w:ind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一、不向项目有关人员及部门赠送礼金礼物、有价证券、回扣以及中介费、介绍费、咨询费等好处费；</w:t>
      </w:r>
    </w:p>
    <w:p>
      <w:pPr>
        <w:autoSpaceDE w:val="0"/>
        <w:autoSpaceDN w:val="0"/>
        <w:snapToGrid w:val="0"/>
        <w:spacing w:line="288" w:lineRule="auto"/>
        <w:ind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二、不为项目有关人员及部门报销应由你方单位或个人支付的费用；</w:t>
      </w:r>
    </w:p>
    <w:p>
      <w:pPr>
        <w:autoSpaceDE w:val="0"/>
        <w:autoSpaceDN w:val="0"/>
        <w:snapToGrid w:val="0"/>
        <w:spacing w:line="288" w:lineRule="auto"/>
        <w:ind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三、不向项目有关人员及部门提供有可能影响公正的宴请和健身娱乐等活动；</w:t>
      </w:r>
    </w:p>
    <w:p>
      <w:pPr>
        <w:autoSpaceDE w:val="0"/>
        <w:autoSpaceDN w:val="0"/>
        <w:snapToGrid w:val="0"/>
        <w:spacing w:line="288" w:lineRule="auto"/>
        <w:ind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四、不为项目有关人员及部门出国（境）、旅游等提供方便；</w:t>
      </w:r>
    </w:p>
    <w:p>
      <w:pPr>
        <w:autoSpaceDE w:val="0"/>
        <w:autoSpaceDN w:val="0"/>
        <w:snapToGrid w:val="0"/>
        <w:spacing w:line="288" w:lineRule="auto"/>
        <w:ind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五、不为项目有关人员个人装修住房、婚丧嫁娶、配偶子女工作安排等提供好处；</w:t>
      </w:r>
    </w:p>
    <w:p>
      <w:pPr>
        <w:autoSpaceDE w:val="0"/>
        <w:autoSpaceDN w:val="0"/>
        <w:snapToGrid w:val="0"/>
        <w:spacing w:line="288" w:lineRule="auto"/>
        <w:ind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六、严格遵守《</w:t>
      </w:r>
      <w:r>
        <w:rPr>
          <w:rFonts w:hint="eastAsia" w:ascii="宋体" w:hAnsi="宋体" w:cs="宋体"/>
          <w:color w:val="auto"/>
          <w:szCs w:val="21"/>
          <w:highlight w:val="none"/>
          <w:lang w:val="zh-CN"/>
        </w:rPr>
        <w:t>中华人民共和国</w:t>
      </w:r>
      <w:r>
        <w:rPr>
          <w:rFonts w:hint="eastAsia" w:ascii="宋体" w:hAnsi="宋体" w:cs="宋体"/>
          <w:color w:val="auto"/>
          <w:kern w:val="0"/>
          <w:szCs w:val="21"/>
          <w:highlight w:val="none"/>
          <w:lang w:val="zh-CN"/>
        </w:rPr>
        <w:t>政府采购法》《</w:t>
      </w:r>
      <w:r>
        <w:rPr>
          <w:rFonts w:hint="eastAsia" w:ascii="宋体" w:hAnsi="宋体" w:cs="宋体"/>
          <w:color w:val="auto"/>
          <w:szCs w:val="21"/>
          <w:highlight w:val="none"/>
          <w:lang w:val="zh-CN"/>
        </w:rPr>
        <w:t>中华人民共和国</w:t>
      </w:r>
      <w:r>
        <w:rPr>
          <w:rFonts w:hint="eastAsia" w:ascii="宋体" w:hAnsi="宋体" w:cs="宋体"/>
          <w:color w:val="auto"/>
          <w:kern w:val="0"/>
          <w:szCs w:val="21"/>
          <w:highlight w:val="none"/>
          <w:lang w:val="zh-CN"/>
        </w:rPr>
        <w:t>招标投标法》</w:t>
      </w:r>
      <w:r>
        <w:rPr>
          <w:rFonts w:hint="eastAsia" w:ascii="宋体" w:hAnsi="宋体" w:cs="宋体"/>
          <w:color w:val="auto"/>
          <w:szCs w:val="21"/>
          <w:highlight w:val="none"/>
          <w:lang w:val="zh-CN"/>
        </w:rPr>
        <w:t>《中华人民共和国民法典》</w:t>
      </w:r>
      <w:r>
        <w:rPr>
          <w:rFonts w:hint="eastAsia" w:ascii="宋体" w:hAnsi="宋体" w:cs="宋体"/>
          <w:color w:val="auto"/>
          <w:kern w:val="0"/>
          <w:szCs w:val="21"/>
          <w:highlight w:val="none"/>
          <w:lang w:val="zh-CN"/>
        </w:rPr>
        <w:t>等法律法规，诚实守信，合法经营，坚决抵制各种违法违纪行为。</w:t>
      </w:r>
    </w:p>
    <w:p>
      <w:pPr>
        <w:autoSpaceDE w:val="0"/>
        <w:autoSpaceDN w:val="0"/>
        <w:snapToGrid w:val="0"/>
        <w:spacing w:line="288" w:lineRule="auto"/>
        <w:ind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如违反上述承诺，你</w:t>
      </w:r>
      <w:r>
        <w:rPr>
          <w:rFonts w:hint="eastAsia" w:ascii="宋体" w:hAnsi="宋体" w:cs="宋体"/>
          <w:color w:val="auto"/>
          <w:szCs w:val="21"/>
          <w:highlight w:val="none"/>
        </w:rPr>
        <w:t>单位</w:t>
      </w:r>
      <w:r>
        <w:rPr>
          <w:rFonts w:hint="eastAsia" w:ascii="宋体" w:hAnsi="宋体" w:cs="宋体"/>
          <w:color w:val="auto"/>
          <w:kern w:val="0"/>
          <w:szCs w:val="21"/>
          <w:highlight w:val="none"/>
          <w:lang w:val="zh-CN"/>
        </w:rPr>
        <w:t>有权立即取消我单位投标、中标或在建项目的建设资格，有权拒绝我单位在一定时期内进入你</w:t>
      </w:r>
      <w:r>
        <w:rPr>
          <w:rFonts w:hint="eastAsia" w:ascii="宋体" w:hAnsi="宋体" w:cs="宋体"/>
          <w:color w:val="auto"/>
          <w:szCs w:val="21"/>
          <w:highlight w:val="none"/>
        </w:rPr>
        <w:t>单位</w:t>
      </w:r>
      <w:r>
        <w:rPr>
          <w:rFonts w:hint="eastAsia" w:ascii="宋体" w:hAnsi="宋体" w:cs="宋体"/>
          <w:color w:val="auto"/>
          <w:kern w:val="0"/>
          <w:szCs w:val="21"/>
          <w:highlight w:val="none"/>
          <w:lang w:val="zh-CN"/>
        </w:rPr>
        <w:t>进行项目建设或其他经营活动，并通报市财政局。由此引起的相应损失均由我单位承担。</w:t>
      </w:r>
    </w:p>
    <w:p>
      <w:pPr>
        <w:autoSpaceDE w:val="0"/>
        <w:autoSpaceDN w:val="0"/>
        <w:snapToGrid w:val="0"/>
        <w:spacing w:line="288" w:lineRule="auto"/>
        <w:ind w:firstLine="424" w:firstLineChars="202"/>
        <w:jc w:val="left"/>
        <w:rPr>
          <w:rFonts w:ascii="宋体" w:hAnsi="宋体" w:cs="宋体"/>
          <w:color w:val="auto"/>
          <w:kern w:val="0"/>
          <w:szCs w:val="21"/>
          <w:highlight w:val="none"/>
          <w:lang w:val="zh-CN"/>
        </w:rPr>
      </w:pPr>
    </w:p>
    <w:p>
      <w:pPr>
        <w:autoSpaceDE w:val="0"/>
        <w:autoSpaceDN w:val="0"/>
        <w:snapToGrid w:val="0"/>
        <w:spacing w:line="288" w:lineRule="auto"/>
        <w:ind w:right="1120"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投标人名称（</w:t>
      </w:r>
      <w:r>
        <w:rPr>
          <w:rFonts w:hint="eastAsia" w:ascii="宋体" w:hAnsi="宋体" w:cs="宋体"/>
          <w:color w:val="auto"/>
          <w:szCs w:val="21"/>
          <w:highlight w:val="none"/>
        </w:rPr>
        <w:t>电子签名</w:t>
      </w: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kern w:val="0"/>
          <w:szCs w:val="21"/>
          <w:highlight w:val="none"/>
          <w:lang w:val="zh-CN"/>
        </w:rPr>
        <w:t>日期</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 xml:space="preserve">   年   月   日</w:t>
      </w:r>
    </w:p>
    <w:p>
      <w:pPr>
        <w:snapToGrid w:val="0"/>
        <w:spacing w:line="288" w:lineRule="auto"/>
        <w:ind w:firstLine="426" w:firstLineChars="202"/>
        <w:rPr>
          <w:rFonts w:ascii="宋体" w:hAnsi="宋体" w:cs="宋体"/>
          <w:b/>
          <w:bCs/>
          <w:color w:val="auto"/>
          <w:szCs w:val="21"/>
          <w:highlight w:val="none"/>
        </w:rPr>
      </w:pPr>
    </w:p>
    <w:p>
      <w:pPr>
        <w:snapToGrid w:val="0"/>
        <w:spacing w:line="288" w:lineRule="auto"/>
        <w:ind w:right="420" w:firstLine="424" w:firstLineChars="202"/>
        <w:rPr>
          <w:rFonts w:ascii="宋体" w:hAnsi="宋体" w:cs="宋体"/>
          <w:color w:val="auto"/>
          <w:szCs w:val="21"/>
          <w:highlight w:val="none"/>
        </w:rPr>
      </w:pPr>
      <w:r>
        <w:rPr>
          <w:rFonts w:hint="eastAsia" w:ascii="宋体" w:hAnsi="宋体" w:cs="宋体"/>
          <w:color w:val="auto"/>
          <w:szCs w:val="21"/>
          <w:highlight w:val="none"/>
        </w:rPr>
        <w:t>注：按本格式和要求提供。</w:t>
      </w:r>
    </w:p>
    <w:p>
      <w:pPr>
        <w:snapToGrid w:val="0"/>
        <w:spacing w:line="288" w:lineRule="auto"/>
        <w:jc w:val="center"/>
        <w:outlineLvl w:val="1"/>
        <w:rPr>
          <w:rFonts w:ascii="宋体" w:hAnsi="宋体" w:cs="宋体"/>
          <w:b/>
          <w:bCs/>
          <w:color w:val="auto"/>
          <w:szCs w:val="21"/>
          <w:highlight w:val="none"/>
        </w:rPr>
      </w:pPr>
      <w:r>
        <w:rPr>
          <w:color w:val="auto"/>
          <w:highlight w:val="none"/>
        </w:rPr>
        <w:br w:type="page"/>
      </w:r>
      <w:r>
        <w:rPr>
          <w:rFonts w:hint="eastAsia" w:ascii="宋体" w:hAnsi="宋体" w:cs="宋体"/>
          <w:b/>
          <w:color w:val="auto"/>
          <w:kern w:val="0"/>
          <w:szCs w:val="21"/>
          <w:highlight w:val="none"/>
        </w:rPr>
        <w:t>报价文件部分</w:t>
      </w:r>
    </w:p>
    <w:p>
      <w:pPr>
        <w:snapToGrid w:val="0"/>
        <w:spacing w:line="288" w:lineRule="auto"/>
        <w:jc w:val="center"/>
        <w:rPr>
          <w:rFonts w:ascii="宋体" w:hAnsi="宋体" w:cs="宋体"/>
          <w:b/>
          <w:color w:val="auto"/>
          <w:kern w:val="0"/>
          <w:szCs w:val="21"/>
          <w:highlight w:val="none"/>
        </w:rPr>
      </w:pPr>
    </w:p>
    <w:p>
      <w:pPr>
        <w:snapToGrid w:val="0"/>
        <w:spacing w:line="288"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目录</w:t>
      </w:r>
    </w:p>
    <w:p>
      <w:pPr>
        <w:snapToGrid w:val="0"/>
        <w:spacing w:line="288" w:lineRule="auto"/>
        <w:jc w:val="center"/>
        <w:rPr>
          <w:rFonts w:ascii="宋体" w:hAnsi="宋体" w:cs="宋体"/>
          <w:b/>
          <w:color w:val="auto"/>
          <w:kern w:val="0"/>
          <w:szCs w:val="21"/>
          <w:highlight w:val="none"/>
        </w:rPr>
      </w:pP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rPr>
        <w:t>（1）开标一览表（报价表）………………………………………………………（页码）</w:t>
      </w:r>
    </w:p>
    <w:p>
      <w:pPr>
        <w:pStyle w:val="693"/>
        <w:keepNext w:val="0"/>
        <w:pageBreakBefore w:val="0"/>
        <w:tabs>
          <w:tab w:val="clear" w:pos="720"/>
        </w:tabs>
        <w:snapToGrid w:val="0"/>
        <w:spacing w:line="288" w:lineRule="auto"/>
        <w:outlineLvl w:val="9"/>
        <w:rPr>
          <w:rFonts w:ascii="宋体" w:hAnsi="宋体" w:eastAsia="宋体" w:cs="宋体"/>
          <w:color w:val="auto"/>
          <w:kern w:val="2"/>
          <w:sz w:val="21"/>
          <w:szCs w:val="21"/>
          <w:highlight w:val="none"/>
        </w:rPr>
      </w:pPr>
      <w:r>
        <w:rPr>
          <w:color w:val="auto"/>
          <w:highlight w:val="none"/>
        </w:rPr>
        <w:br w:type="page"/>
      </w:r>
      <w:r>
        <w:rPr>
          <w:rFonts w:hint="eastAsia" w:ascii="宋体" w:hAnsi="宋体" w:eastAsia="宋体" w:cs="宋体"/>
          <w:color w:val="auto"/>
          <w:kern w:val="2"/>
          <w:sz w:val="21"/>
          <w:szCs w:val="21"/>
          <w:highlight w:val="none"/>
        </w:rPr>
        <w:t>一、开标一览表（报价表）</w:t>
      </w:r>
    </w:p>
    <w:p>
      <w:pPr>
        <w:snapToGrid w:val="0"/>
        <w:spacing w:line="288" w:lineRule="auto"/>
        <w:rPr>
          <w:rFonts w:ascii="宋体" w:hAnsi="宋体" w:cs="宋体"/>
          <w:color w:val="auto"/>
          <w:kern w:val="0"/>
          <w:szCs w:val="21"/>
          <w:highlight w:val="none"/>
        </w:rPr>
      </w:pPr>
      <w:r>
        <w:rPr>
          <w:rFonts w:hint="eastAsia" w:ascii="宋体" w:hAnsi="宋体" w:cs="宋体"/>
          <w:color w:val="auto"/>
          <w:szCs w:val="21"/>
          <w:highlight w:val="none"/>
        </w:rPr>
        <w:t>杭州市拱墅区教育发展服务中心、浙江求是招标代理有限公司</w:t>
      </w: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olor w:val="auto"/>
          <w:szCs w:val="21"/>
          <w:highlight w:val="none"/>
        </w:rPr>
        <w:t>2024年杭州市拱墅区教育系统部分学校厨房设备采购项目</w:t>
      </w:r>
      <w:r>
        <w:rPr>
          <w:rFonts w:hint="eastAsia" w:ascii="宋体" w:hAnsi="宋体" w:cs="宋体"/>
          <w:color w:val="auto"/>
          <w:kern w:val="0"/>
          <w:szCs w:val="21"/>
          <w:highlight w:val="none"/>
          <w:lang w:val="zh-CN"/>
        </w:rPr>
        <w:t>【招标编号：</w:t>
      </w:r>
      <w:r>
        <w:rPr>
          <w:rFonts w:hint="eastAsia" w:ascii="宋体" w:hAnsi="宋体" w:cs="宋体"/>
          <w:color w:val="auto"/>
          <w:szCs w:val="21"/>
          <w:highlight w:val="none"/>
        </w:rPr>
        <w:t>QSZB-Z(H)-B24115(GK)】的实施</w:t>
      </w:r>
      <w:r>
        <w:rPr>
          <w:rFonts w:hint="eastAsia" w:ascii="宋体" w:hAnsi="宋体" w:cs="宋体"/>
          <w:color w:val="auto"/>
          <w:kern w:val="0"/>
          <w:szCs w:val="21"/>
          <w:highlight w:val="none"/>
          <w:lang w:val="zh-CN"/>
        </w:rPr>
        <w:t>。</w:t>
      </w:r>
    </w:p>
    <w:p>
      <w:pPr>
        <w:snapToGrid w:val="0"/>
        <w:spacing w:line="288" w:lineRule="auto"/>
        <w:jc w:val="center"/>
        <w:rPr>
          <w:rFonts w:ascii="宋体" w:hAnsi="宋体" w:cs="宋体"/>
          <w:b/>
          <w:color w:val="auto"/>
          <w:kern w:val="0"/>
          <w:szCs w:val="21"/>
          <w:highlight w:val="none"/>
          <w:lang w:val="zh-CN"/>
        </w:rPr>
      </w:pPr>
    </w:p>
    <w:p>
      <w:pPr>
        <w:snapToGrid w:val="0"/>
        <w:spacing w:line="288" w:lineRule="auto"/>
        <w:jc w:val="center"/>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开标一览表（报价表）(单位均为人民币元)</w:t>
      </w:r>
    </w:p>
    <w:tbl>
      <w:tblPr>
        <w:tblStyle w:val="6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318"/>
        <w:gridCol w:w="1715"/>
        <w:gridCol w:w="1582"/>
        <w:gridCol w:w="924"/>
        <w:gridCol w:w="1087"/>
        <w:gridCol w:w="1055"/>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97"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318"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名称</w:t>
            </w:r>
          </w:p>
        </w:tc>
        <w:tc>
          <w:tcPr>
            <w:tcW w:w="1715"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品牌</w:t>
            </w:r>
          </w:p>
        </w:tc>
        <w:tc>
          <w:tcPr>
            <w:tcW w:w="1582"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规格型号</w:t>
            </w:r>
          </w:p>
        </w:tc>
        <w:tc>
          <w:tcPr>
            <w:tcW w:w="924"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数量</w:t>
            </w:r>
          </w:p>
        </w:tc>
        <w:tc>
          <w:tcPr>
            <w:tcW w:w="1087"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单价</w:t>
            </w:r>
          </w:p>
        </w:tc>
        <w:tc>
          <w:tcPr>
            <w:tcW w:w="1055"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合计</w:t>
            </w:r>
          </w:p>
        </w:tc>
        <w:tc>
          <w:tcPr>
            <w:tcW w:w="1450" w:type="dxa"/>
            <w:vAlign w:val="center"/>
          </w:tcPr>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备注</w:t>
            </w:r>
          </w:p>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628" w:type="dxa"/>
            <w:gridSpan w:val="8"/>
            <w:vAlign w:val="center"/>
          </w:tcPr>
          <w:p>
            <w:pPr>
              <w:snapToGrid w:val="0"/>
              <w:spacing w:line="288" w:lineRule="auto"/>
              <w:jc w:val="center"/>
              <w:rPr>
                <w:rFonts w:ascii="宋体" w:hAnsi="宋体" w:cs="宋体"/>
                <w:color w:val="auto"/>
                <w:szCs w:val="21"/>
                <w:highlight w:val="none"/>
              </w:rPr>
            </w:pPr>
            <w:r>
              <w:rPr>
                <w:rFonts w:hint="eastAsia" w:ascii="宋体" w:hAnsi="宋体" w:cs="宋体"/>
                <w:b/>
                <w:bCs/>
                <w:color w:val="auto"/>
                <w:szCs w:val="21"/>
                <w:highlight w:val="none"/>
              </w:rPr>
              <w:t>一、杭州市胜蓝中学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X</w:t>
            </w:r>
            <w:r>
              <w:rPr>
                <w:rFonts w:ascii="宋体" w:hAnsi="宋体" w:cs="宋体"/>
                <w:color w:val="auto"/>
                <w:szCs w:val="21"/>
                <w:highlight w:val="none"/>
              </w:rPr>
              <w:t>X</w:t>
            </w: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318" w:type="dxa"/>
            <w:vAlign w:val="center"/>
          </w:tcPr>
          <w:p>
            <w:pPr>
              <w:snapToGrid w:val="0"/>
              <w:spacing w:line="288" w:lineRule="auto"/>
              <w:jc w:val="center"/>
              <w:rPr>
                <w:rFonts w:ascii="宋体" w:hAnsi="宋体" w:cs="宋体"/>
                <w:color w:val="auto"/>
                <w:szCs w:val="21"/>
                <w:highlight w:val="none"/>
              </w:rPr>
            </w:pP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628" w:type="dxa"/>
            <w:gridSpan w:val="8"/>
            <w:vAlign w:val="center"/>
          </w:tcPr>
          <w:p>
            <w:pPr>
              <w:snapToGrid w:val="0"/>
              <w:spacing w:line="288" w:lineRule="auto"/>
              <w:jc w:val="center"/>
              <w:rPr>
                <w:rFonts w:ascii="宋体" w:hAnsi="宋体" w:cs="宋体"/>
                <w:color w:val="auto"/>
                <w:szCs w:val="21"/>
                <w:highlight w:val="none"/>
              </w:rPr>
            </w:pPr>
            <w:r>
              <w:rPr>
                <w:rFonts w:hint="eastAsia" w:ascii="宋体" w:hAnsi="宋体" w:cs="宋体"/>
                <w:b/>
                <w:bCs/>
                <w:color w:val="auto"/>
                <w:szCs w:val="21"/>
                <w:highlight w:val="none"/>
              </w:rPr>
              <w:t>二、杭州市安吉路实验学校（武林校区）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X</w:t>
            </w:r>
            <w:r>
              <w:rPr>
                <w:rFonts w:ascii="宋体" w:hAnsi="宋体" w:cs="宋体"/>
                <w:color w:val="auto"/>
                <w:szCs w:val="21"/>
                <w:highlight w:val="none"/>
              </w:rPr>
              <w:t>X</w:t>
            </w: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318" w:type="dxa"/>
            <w:vAlign w:val="center"/>
          </w:tcPr>
          <w:p>
            <w:pPr>
              <w:snapToGrid w:val="0"/>
              <w:spacing w:line="288" w:lineRule="auto"/>
              <w:jc w:val="center"/>
              <w:rPr>
                <w:rFonts w:ascii="宋体" w:hAnsi="宋体" w:cs="宋体"/>
                <w:color w:val="auto"/>
                <w:szCs w:val="21"/>
                <w:highlight w:val="none"/>
              </w:rPr>
            </w:pP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628" w:type="dxa"/>
            <w:gridSpan w:val="8"/>
            <w:vAlign w:val="center"/>
          </w:tcPr>
          <w:p>
            <w:pPr>
              <w:snapToGrid w:val="0"/>
              <w:spacing w:line="288" w:lineRule="auto"/>
              <w:jc w:val="center"/>
              <w:rPr>
                <w:rFonts w:ascii="宋体" w:hAnsi="宋体" w:cs="宋体"/>
                <w:color w:val="auto"/>
                <w:szCs w:val="21"/>
                <w:highlight w:val="none"/>
              </w:rPr>
            </w:pPr>
            <w:r>
              <w:rPr>
                <w:rFonts w:hint="eastAsia" w:ascii="宋体" w:hAnsi="宋体" w:cs="宋体"/>
                <w:b/>
                <w:bCs/>
                <w:color w:val="auto"/>
                <w:szCs w:val="21"/>
                <w:highlight w:val="none"/>
              </w:rPr>
              <w:t>三、杭州市仙林实验幼儿园（新建和平园区）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13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XX</w:t>
            </w: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w:t>
            </w:r>
          </w:p>
        </w:tc>
        <w:tc>
          <w:tcPr>
            <w:tcW w:w="1318" w:type="dxa"/>
            <w:vAlign w:val="center"/>
          </w:tcPr>
          <w:p>
            <w:pPr>
              <w:snapToGrid w:val="0"/>
              <w:spacing w:line="288" w:lineRule="auto"/>
              <w:jc w:val="center"/>
              <w:rPr>
                <w:rFonts w:ascii="宋体" w:hAnsi="宋体" w:cs="宋体"/>
                <w:color w:val="auto"/>
                <w:szCs w:val="21"/>
                <w:highlight w:val="none"/>
              </w:rPr>
            </w:pP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628" w:type="dxa"/>
            <w:gridSpan w:val="8"/>
            <w:vAlign w:val="center"/>
          </w:tcPr>
          <w:p>
            <w:pPr>
              <w:snapToGrid w:val="0"/>
              <w:spacing w:line="288" w:lineRule="auto"/>
              <w:jc w:val="center"/>
              <w:rPr>
                <w:rFonts w:ascii="宋体" w:hAnsi="宋体" w:cs="宋体"/>
                <w:color w:val="auto"/>
                <w:szCs w:val="21"/>
                <w:highlight w:val="none"/>
              </w:rPr>
            </w:pPr>
            <w:r>
              <w:rPr>
                <w:rFonts w:hint="eastAsia" w:ascii="宋体" w:hAnsi="宋体" w:cs="宋体"/>
                <w:b/>
                <w:bCs/>
                <w:color w:val="auto"/>
                <w:szCs w:val="21"/>
                <w:highlight w:val="none"/>
              </w:rPr>
              <w:t>四、杭州市现代实验小学（现代校区）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13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XX</w:t>
            </w: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w:t>
            </w:r>
          </w:p>
        </w:tc>
        <w:tc>
          <w:tcPr>
            <w:tcW w:w="1318" w:type="dxa"/>
            <w:vAlign w:val="center"/>
          </w:tcPr>
          <w:p>
            <w:pPr>
              <w:snapToGrid w:val="0"/>
              <w:spacing w:line="288" w:lineRule="auto"/>
              <w:jc w:val="center"/>
              <w:rPr>
                <w:rFonts w:ascii="宋体" w:hAnsi="宋体" w:cs="宋体"/>
                <w:color w:val="auto"/>
                <w:szCs w:val="21"/>
                <w:highlight w:val="none"/>
              </w:rPr>
            </w:pP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9628" w:type="dxa"/>
            <w:gridSpan w:val="8"/>
            <w:vAlign w:val="center"/>
          </w:tcPr>
          <w:p>
            <w:pPr>
              <w:snapToGrid w:val="0"/>
              <w:spacing w:line="288" w:lineRule="auto"/>
              <w:jc w:val="center"/>
              <w:rPr>
                <w:rFonts w:ascii="宋体" w:hAnsi="宋体" w:cs="宋体"/>
                <w:color w:val="auto"/>
                <w:szCs w:val="21"/>
                <w:highlight w:val="none"/>
              </w:rPr>
            </w:pPr>
            <w:r>
              <w:rPr>
                <w:rFonts w:hint="eastAsia" w:ascii="宋体" w:hAnsi="宋体" w:cs="宋体"/>
                <w:b/>
                <w:bCs/>
                <w:color w:val="auto"/>
                <w:szCs w:val="21"/>
                <w:highlight w:val="none"/>
              </w:rPr>
              <w:t>五、杭州市风华中学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13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XX</w:t>
            </w: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w:t>
            </w:r>
          </w:p>
        </w:tc>
        <w:tc>
          <w:tcPr>
            <w:tcW w:w="1318" w:type="dxa"/>
            <w:vAlign w:val="center"/>
          </w:tcPr>
          <w:p>
            <w:pPr>
              <w:snapToGrid w:val="0"/>
              <w:spacing w:line="288" w:lineRule="auto"/>
              <w:jc w:val="center"/>
              <w:rPr>
                <w:rFonts w:ascii="宋体" w:hAnsi="宋体" w:cs="宋体"/>
                <w:color w:val="auto"/>
                <w:szCs w:val="21"/>
                <w:highlight w:val="none"/>
              </w:rPr>
            </w:pP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9628" w:type="dxa"/>
            <w:gridSpan w:val="8"/>
            <w:vAlign w:val="center"/>
          </w:tcPr>
          <w:p>
            <w:pPr>
              <w:snapToGrid w:val="0"/>
              <w:spacing w:line="288" w:lineRule="auto"/>
              <w:jc w:val="center"/>
              <w:rPr>
                <w:rFonts w:ascii="宋体" w:hAnsi="宋体" w:cs="宋体"/>
                <w:color w:val="auto"/>
                <w:szCs w:val="21"/>
                <w:highlight w:val="none"/>
              </w:rPr>
            </w:pPr>
            <w:r>
              <w:rPr>
                <w:rFonts w:hint="eastAsia" w:ascii="宋体" w:hAnsi="宋体" w:cs="宋体"/>
                <w:b/>
                <w:bCs/>
                <w:color w:val="auto"/>
                <w:szCs w:val="21"/>
                <w:highlight w:val="none"/>
              </w:rPr>
              <w:t>六、杭州市朝晖幼儿园（朝七一部）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13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XX</w:t>
            </w: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w:t>
            </w:r>
          </w:p>
        </w:tc>
        <w:tc>
          <w:tcPr>
            <w:tcW w:w="1318" w:type="dxa"/>
            <w:vAlign w:val="center"/>
          </w:tcPr>
          <w:p>
            <w:pPr>
              <w:snapToGrid w:val="0"/>
              <w:spacing w:line="288" w:lineRule="auto"/>
              <w:jc w:val="center"/>
              <w:rPr>
                <w:rFonts w:ascii="宋体" w:hAnsi="宋体" w:cs="宋体"/>
                <w:color w:val="auto"/>
                <w:szCs w:val="21"/>
                <w:highlight w:val="none"/>
              </w:rPr>
            </w:pP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9628" w:type="dxa"/>
            <w:gridSpan w:val="8"/>
            <w:vAlign w:val="center"/>
          </w:tcPr>
          <w:p>
            <w:pPr>
              <w:snapToGrid w:val="0"/>
              <w:spacing w:line="288" w:lineRule="auto"/>
              <w:jc w:val="center"/>
              <w:rPr>
                <w:rFonts w:ascii="宋体" w:hAnsi="宋体" w:cs="宋体"/>
                <w:color w:val="auto"/>
                <w:szCs w:val="21"/>
                <w:highlight w:val="none"/>
              </w:rPr>
            </w:pPr>
            <w:r>
              <w:rPr>
                <w:rFonts w:hint="eastAsia" w:ascii="宋体" w:hAnsi="宋体" w:cs="宋体"/>
                <w:b/>
                <w:bCs/>
                <w:color w:val="auto"/>
                <w:szCs w:val="21"/>
                <w:highlight w:val="none"/>
              </w:rPr>
              <w:t>七、杭州市春蕾中学（王马校区）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13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XX</w:t>
            </w: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w:t>
            </w:r>
          </w:p>
        </w:tc>
        <w:tc>
          <w:tcPr>
            <w:tcW w:w="1318" w:type="dxa"/>
            <w:vAlign w:val="center"/>
          </w:tcPr>
          <w:p>
            <w:pPr>
              <w:snapToGrid w:val="0"/>
              <w:spacing w:line="288" w:lineRule="auto"/>
              <w:jc w:val="center"/>
              <w:rPr>
                <w:rFonts w:ascii="宋体" w:hAnsi="宋体" w:cs="宋体"/>
                <w:color w:val="auto"/>
                <w:szCs w:val="21"/>
                <w:highlight w:val="none"/>
              </w:rPr>
            </w:pP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9628" w:type="dxa"/>
            <w:gridSpan w:val="8"/>
            <w:vAlign w:val="center"/>
          </w:tcPr>
          <w:p>
            <w:pPr>
              <w:snapToGrid w:val="0"/>
              <w:spacing w:line="288" w:lineRule="auto"/>
              <w:jc w:val="center"/>
              <w:rPr>
                <w:rFonts w:ascii="宋体" w:hAnsi="宋体" w:cs="宋体"/>
                <w:color w:val="auto"/>
                <w:szCs w:val="21"/>
                <w:highlight w:val="none"/>
              </w:rPr>
            </w:pPr>
            <w:r>
              <w:rPr>
                <w:rFonts w:hint="eastAsia" w:ascii="宋体" w:hAnsi="宋体" w:cs="宋体"/>
                <w:b/>
                <w:bCs/>
                <w:color w:val="auto"/>
                <w:szCs w:val="21"/>
                <w:highlight w:val="none"/>
              </w:rPr>
              <w:t>八、杭州市春蕾中学（仙林校区）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13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XX</w:t>
            </w: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w:t>
            </w:r>
          </w:p>
        </w:tc>
        <w:tc>
          <w:tcPr>
            <w:tcW w:w="1318" w:type="dxa"/>
            <w:vAlign w:val="center"/>
          </w:tcPr>
          <w:p>
            <w:pPr>
              <w:snapToGrid w:val="0"/>
              <w:spacing w:line="288" w:lineRule="auto"/>
              <w:jc w:val="center"/>
              <w:rPr>
                <w:rFonts w:ascii="宋体" w:hAnsi="宋体" w:cs="宋体"/>
                <w:color w:val="auto"/>
                <w:szCs w:val="21"/>
                <w:highlight w:val="none"/>
              </w:rPr>
            </w:pP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9628" w:type="dxa"/>
            <w:gridSpan w:val="8"/>
            <w:vAlign w:val="center"/>
          </w:tcPr>
          <w:p>
            <w:pPr>
              <w:snapToGrid w:val="0"/>
              <w:spacing w:line="288" w:lineRule="auto"/>
              <w:jc w:val="center"/>
              <w:rPr>
                <w:rFonts w:ascii="宋体" w:hAnsi="宋体" w:cs="宋体"/>
                <w:color w:val="auto"/>
                <w:szCs w:val="21"/>
                <w:highlight w:val="none"/>
              </w:rPr>
            </w:pPr>
            <w:r>
              <w:rPr>
                <w:rFonts w:hint="eastAsia" w:ascii="宋体" w:hAnsi="宋体" w:cs="宋体"/>
                <w:b/>
                <w:bCs/>
                <w:color w:val="auto"/>
                <w:szCs w:val="21"/>
                <w:highlight w:val="none"/>
              </w:rPr>
              <w:t>九、珠碧二弄学校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1318" w:type="dxa"/>
            <w:vAlign w:val="center"/>
          </w:tcPr>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lang w:bidi="ar"/>
              </w:rPr>
              <w:t>XX</w:t>
            </w: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497" w:type="dxa"/>
            <w:vAlign w:val="center"/>
          </w:tcPr>
          <w:p>
            <w:pPr>
              <w:snapToGrid w:val="0"/>
              <w:spacing w:line="288" w:lineRule="auto"/>
              <w:jc w:val="center"/>
              <w:rPr>
                <w:rFonts w:ascii="宋体" w:hAnsi="宋体" w:cs="宋体"/>
                <w:color w:val="auto"/>
                <w:szCs w:val="21"/>
                <w:highlight w:val="none"/>
              </w:rPr>
            </w:pPr>
            <w:r>
              <w:rPr>
                <w:rFonts w:ascii="宋体" w:hAnsi="宋体" w:cs="宋体"/>
                <w:color w:val="auto"/>
                <w:szCs w:val="21"/>
                <w:highlight w:val="none"/>
              </w:rPr>
              <w:t>…</w:t>
            </w:r>
          </w:p>
        </w:tc>
        <w:tc>
          <w:tcPr>
            <w:tcW w:w="1318" w:type="dxa"/>
            <w:vAlign w:val="center"/>
          </w:tcPr>
          <w:p>
            <w:pPr>
              <w:snapToGrid w:val="0"/>
              <w:spacing w:line="288" w:lineRule="auto"/>
              <w:jc w:val="center"/>
              <w:rPr>
                <w:rFonts w:ascii="宋体" w:hAnsi="宋体" w:cs="宋体"/>
                <w:color w:val="auto"/>
                <w:szCs w:val="21"/>
                <w:highlight w:val="none"/>
              </w:rPr>
            </w:pPr>
          </w:p>
        </w:tc>
        <w:tc>
          <w:tcPr>
            <w:tcW w:w="1715" w:type="dxa"/>
            <w:vAlign w:val="center"/>
          </w:tcPr>
          <w:p>
            <w:pPr>
              <w:snapToGrid w:val="0"/>
              <w:spacing w:line="288" w:lineRule="auto"/>
              <w:jc w:val="center"/>
              <w:rPr>
                <w:rFonts w:ascii="宋体" w:hAnsi="宋体" w:cs="宋体"/>
                <w:color w:val="auto"/>
                <w:szCs w:val="21"/>
                <w:highlight w:val="none"/>
              </w:rPr>
            </w:pPr>
          </w:p>
        </w:tc>
        <w:tc>
          <w:tcPr>
            <w:tcW w:w="1582" w:type="dxa"/>
            <w:vAlign w:val="center"/>
          </w:tcPr>
          <w:p>
            <w:pPr>
              <w:snapToGrid w:val="0"/>
              <w:spacing w:line="288" w:lineRule="auto"/>
              <w:jc w:val="center"/>
              <w:rPr>
                <w:rFonts w:ascii="宋体" w:hAnsi="宋体" w:cs="宋体"/>
                <w:color w:val="auto"/>
                <w:szCs w:val="21"/>
                <w:highlight w:val="none"/>
              </w:rPr>
            </w:pPr>
          </w:p>
        </w:tc>
        <w:tc>
          <w:tcPr>
            <w:tcW w:w="924" w:type="dxa"/>
            <w:vAlign w:val="center"/>
          </w:tcPr>
          <w:p>
            <w:pPr>
              <w:snapToGrid w:val="0"/>
              <w:spacing w:line="288" w:lineRule="auto"/>
              <w:jc w:val="center"/>
              <w:rPr>
                <w:rFonts w:ascii="宋体" w:hAnsi="宋体" w:cs="宋体"/>
                <w:color w:val="auto"/>
                <w:szCs w:val="21"/>
                <w:highlight w:val="none"/>
              </w:rPr>
            </w:pPr>
          </w:p>
        </w:tc>
        <w:tc>
          <w:tcPr>
            <w:tcW w:w="1087" w:type="dxa"/>
            <w:vAlign w:val="center"/>
          </w:tcPr>
          <w:p>
            <w:pPr>
              <w:snapToGrid w:val="0"/>
              <w:spacing w:line="288" w:lineRule="auto"/>
              <w:jc w:val="center"/>
              <w:rPr>
                <w:rFonts w:ascii="宋体" w:hAnsi="宋体" w:cs="宋体"/>
                <w:color w:val="auto"/>
                <w:szCs w:val="21"/>
                <w:highlight w:val="none"/>
              </w:rPr>
            </w:pPr>
          </w:p>
        </w:tc>
        <w:tc>
          <w:tcPr>
            <w:tcW w:w="1055" w:type="dxa"/>
            <w:vAlign w:val="center"/>
          </w:tcPr>
          <w:p>
            <w:pPr>
              <w:snapToGrid w:val="0"/>
              <w:spacing w:line="288" w:lineRule="auto"/>
              <w:jc w:val="center"/>
              <w:rPr>
                <w:rFonts w:ascii="宋体" w:hAnsi="宋体" w:cs="宋体"/>
                <w:color w:val="auto"/>
                <w:szCs w:val="21"/>
                <w:highlight w:val="none"/>
              </w:rPr>
            </w:pPr>
          </w:p>
        </w:tc>
        <w:tc>
          <w:tcPr>
            <w:tcW w:w="1450" w:type="dxa"/>
            <w:vAlign w:val="center"/>
          </w:tcPr>
          <w:p>
            <w:pPr>
              <w:snapToGrid w:val="0"/>
              <w:spacing w:line="288"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628" w:type="dxa"/>
            <w:gridSpan w:val="8"/>
            <w:vAlign w:val="center"/>
          </w:tcPr>
          <w:p>
            <w:pPr>
              <w:snapToGrid w:val="0"/>
              <w:spacing w:line="288" w:lineRule="auto"/>
              <w:rPr>
                <w:rFonts w:ascii="宋体" w:hAnsi="宋体" w:cs="宋体"/>
                <w:color w:val="auto"/>
                <w:szCs w:val="21"/>
                <w:highlight w:val="none"/>
              </w:rPr>
            </w:pPr>
            <w:r>
              <w:rPr>
                <w:rFonts w:hint="eastAsia" w:ascii="宋体" w:hAnsi="宋体" w:cs="宋体"/>
                <w:b/>
                <w:color w:val="auto"/>
                <w:szCs w:val="21"/>
                <w:highlight w:val="none"/>
              </w:rPr>
              <w:t>投标报价（小写）：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628" w:type="dxa"/>
            <w:gridSpan w:val="8"/>
            <w:vAlign w:val="center"/>
          </w:tcPr>
          <w:p>
            <w:pPr>
              <w:snapToGrid w:val="0"/>
              <w:spacing w:line="288" w:lineRule="auto"/>
              <w:rPr>
                <w:rFonts w:ascii="宋体" w:hAnsi="宋体" w:cs="宋体"/>
                <w:color w:val="auto"/>
                <w:szCs w:val="21"/>
                <w:highlight w:val="none"/>
              </w:rPr>
            </w:pPr>
            <w:r>
              <w:rPr>
                <w:rFonts w:hint="eastAsia" w:ascii="宋体" w:hAnsi="宋体" w:cs="宋体"/>
                <w:b/>
                <w:color w:val="auto"/>
                <w:szCs w:val="21"/>
                <w:highlight w:val="none"/>
              </w:rPr>
              <w:t>投标报价（大写）：</w:t>
            </w:r>
          </w:p>
        </w:tc>
      </w:tr>
    </w:tbl>
    <w:p>
      <w:pPr>
        <w:snapToGrid w:val="0"/>
        <w:spacing w:line="288" w:lineRule="auto"/>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注：</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1、投标人需按本表格式填写</w:t>
      </w:r>
      <w:r>
        <w:rPr>
          <w:rFonts w:hint="eastAsia" w:ascii="宋体" w:hAnsi="宋体" w:cs="宋体"/>
          <w:b/>
          <w:color w:val="auto"/>
          <w:kern w:val="0"/>
          <w:szCs w:val="21"/>
          <w:highlight w:val="none"/>
          <w:lang w:val="zh-CN"/>
        </w:rPr>
        <w:t>，</w:t>
      </w:r>
      <w:r>
        <w:rPr>
          <w:rFonts w:hint="eastAsia" w:ascii="宋体" w:hAnsi="宋体" w:cs="宋体"/>
          <w:b/>
          <w:color w:val="auto"/>
          <w:kern w:val="0"/>
          <w:szCs w:val="21"/>
          <w:highlight w:val="none"/>
        </w:rPr>
        <w:t>否则视为</w:t>
      </w:r>
      <w:r>
        <w:rPr>
          <w:rFonts w:hint="eastAsia" w:ascii="宋体" w:hAnsi="宋体" w:cs="宋体"/>
          <w:b/>
          <w:color w:val="auto"/>
          <w:szCs w:val="21"/>
          <w:highlight w:val="none"/>
        </w:rPr>
        <w:t>投标文件含有采购人不能接受的附加条件，投标无效</w:t>
      </w: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lang w:val="zh-CN"/>
        </w:rPr>
        <w:t>2、有关本项目实施所涉及的一切费用均计入报价。</w:t>
      </w:r>
      <w:r>
        <w:rPr>
          <w:rFonts w:hint="eastAsia" w:ascii="宋体" w:hAnsi="宋体" w:cs="宋体"/>
          <w:b/>
          <w:color w:val="auto"/>
          <w:kern w:val="0"/>
          <w:szCs w:val="21"/>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Cs w:val="21"/>
          <w:highlight w:val="none"/>
          <w:lang w:val="zh-CN"/>
        </w:rPr>
        <w:t>，</w:t>
      </w:r>
      <w:r>
        <w:rPr>
          <w:rFonts w:hint="eastAsia" w:ascii="宋体" w:hAnsi="宋体" w:cs="宋体"/>
          <w:b/>
          <w:color w:val="auto"/>
          <w:kern w:val="0"/>
          <w:szCs w:val="21"/>
          <w:highlight w:val="none"/>
          <w:lang w:val="zh-CN"/>
        </w:rPr>
        <w:t>不得出现“0元”“免费赠送”等形式的无偿报价，</w:t>
      </w:r>
      <w:r>
        <w:rPr>
          <w:rFonts w:hint="eastAsia" w:ascii="宋体" w:hAnsi="宋体" w:cs="宋体"/>
          <w:b/>
          <w:color w:val="auto"/>
          <w:kern w:val="0"/>
          <w:szCs w:val="21"/>
          <w:highlight w:val="none"/>
        </w:rPr>
        <w:t>否则视为</w:t>
      </w:r>
      <w:r>
        <w:rPr>
          <w:rFonts w:hint="eastAsia" w:ascii="宋体" w:hAnsi="宋体" w:cs="宋体"/>
          <w:b/>
          <w:color w:val="auto"/>
          <w:szCs w:val="21"/>
          <w:highlight w:val="none"/>
        </w:rPr>
        <w:t>投标文件含有采购人不能接受的附加条件，投标无效</w:t>
      </w:r>
      <w:r>
        <w:rPr>
          <w:rFonts w:hint="eastAsia" w:ascii="宋体" w:hAnsi="宋体" w:cs="宋体"/>
          <w:b/>
          <w:color w:val="auto"/>
          <w:kern w:val="0"/>
          <w:szCs w:val="21"/>
          <w:highlight w:val="none"/>
          <w:lang w:val="zh-CN"/>
        </w:rPr>
        <w:t>；采购内容未包含在《开标一览表（报价表）》名称栏中，投标人不能作出合理解释的，</w:t>
      </w:r>
      <w:r>
        <w:rPr>
          <w:rFonts w:hint="eastAsia" w:ascii="宋体" w:hAnsi="宋体" w:cs="宋体"/>
          <w:b/>
          <w:color w:val="auto"/>
          <w:kern w:val="0"/>
          <w:szCs w:val="21"/>
          <w:highlight w:val="none"/>
        </w:rPr>
        <w:t>视为</w:t>
      </w:r>
      <w:r>
        <w:rPr>
          <w:rFonts w:hint="eastAsia" w:ascii="宋体" w:hAnsi="宋体" w:cs="宋体"/>
          <w:b/>
          <w:color w:val="auto"/>
          <w:szCs w:val="21"/>
          <w:highlight w:val="none"/>
        </w:rPr>
        <w:t>投标文件含有采购人不能接受的附加条件的，投标无效。</w:t>
      </w:r>
    </w:p>
    <w:p>
      <w:pPr>
        <w:snapToGrid w:val="0"/>
        <w:spacing w:line="288" w:lineRule="auto"/>
        <w:ind w:firstLine="424" w:firstLineChars="202"/>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3、特别提示：采购代理机构将对项目名称和项目编号，中标供应商名称、地址和中标金额，主要中标标的名称、品牌（如果有）、规格型号、数量、单价等予以公示。</w:t>
      </w:r>
    </w:p>
    <w:p>
      <w:pPr>
        <w:snapToGrid w:val="0"/>
        <w:spacing w:line="288" w:lineRule="auto"/>
        <w:ind w:firstLine="424" w:firstLineChars="202"/>
        <w:jc w:val="left"/>
        <w:rPr>
          <w:rFonts w:ascii="宋体" w:hAnsi="宋体" w:cs="宋体"/>
          <w:color w:val="auto"/>
          <w:szCs w:val="21"/>
          <w:highlight w:val="none"/>
        </w:rPr>
      </w:pPr>
      <w:r>
        <w:rPr>
          <w:rFonts w:ascii="宋体" w:hAnsi="宋体" w:cs="宋体"/>
          <w:color w:val="auto"/>
          <w:kern w:val="0"/>
          <w:szCs w:val="21"/>
          <w:highlight w:val="none"/>
          <w:lang w:val="zh-CN"/>
        </w:rPr>
        <w:t>4</w:t>
      </w:r>
      <w:r>
        <w:rPr>
          <w:rFonts w:hint="eastAsia" w:ascii="宋体" w:hAnsi="宋体" w:cs="宋体"/>
          <w:color w:val="auto"/>
          <w:kern w:val="0"/>
          <w:szCs w:val="21"/>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3"/>
        <w:keepNext w:val="0"/>
        <w:pageBreakBefore w:val="0"/>
        <w:tabs>
          <w:tab w:val="clear" w:pos="720"/>
        </w:tabs>
        <w:snapToGrid w:val="0"/>
        <w:spacing w:line="288" w:lineRule="auto"/>
        <w:outlineLvl w:val="9"/>
        <w:rPr>
          <w:rFonts w:ascii="宋体" w:hAnsi="宋体" w:cs="宋体"/>
          <w:color w:val="auto"/>
          <w:szCs w:val="21"/>
          <w:highlight w:val="none"/>
        </w:rPr>
      </w:pPr>
      <w:r>
        <w:rPr>
          <w:color w:val="auto"/>
          <w:highlight w:val="none"/>
        </w:rPr>
        <w:br w:type="page"/>
      </w:r>
      <w:bookmarkStart w:id="556" w:name="_Toc465665161"/>
    </w:p>
    <w:p>
      <w:pPr>
        <w:pStyle w:val="4"/>
        <w:keepNext w:val="0"/>
        <w:keepLines w:val="0"/>
        <w:snapToGrid w:val="0"/>
        <w:spacing w:before="0" w:after="0" w:line="288" w:lineRule="auto"/>
        <w:ind w:left="0" w:firstLine="0"/>
        <w:jc w:val="center"/>
        <w:rPr>
          <w:rFonts w:ascii="宋体" w:hAnsi="宋体" w:cs="宋体"/>
          <w:color w:val="auto"/>
          <w:sz w:val="21"/>
          <w:szCs w:val="21"/>
          <w:highlight w:val="none"/>
        </w:rPr>
      </w:pPr>
      <w:r>
        <w:rPr>
          <w:rFonts w:hint="eastAsia" w:ascii="宋体" w:hAnsi="宋体" w:cs="宋体"/>
          <w:color w:val="auto"/>
          <w:sz w:val="21"/>
          <w:szCs w:val="21"/>
          <w:highlight w:val="none"/>
        </w:rPr>
        <w:t>附件</w:t>
      </w:r>
      <w:bookmarkEnd w:id="556"/>
    </w:p>
    <w:p>
      <w:pPr>
        <w:snapToGrid w:val="0"/>
        <w:spacing w:line="288" w:lineRule="auto"/>
        <w:outlineLvl w:val="1"/>
        <w:rPr>
          <w:rFonts w:ascii="宋体" w:hAnsi="宋体" w:cs="宋体"/>
          <w:b/>
          <w:color w:val="auto"/>
          <w:spacing w:val="6"/>
          <w:szCs w:val="21"/>
          <w:highlight w:val="none"/>
        </w:rPr>
      </w:pPr>
      <w:r>
        <w:rPr>
          <w:rFonts w:hint="eastAsia" w:ascii="宋体" w:hAnsi="宋体" w:cs="宋体"/>
          <w:b/>
          <w:color w:val="auto"/>
          <w:spacing w:val="6"/>
          <w:szCs w:val="21"/>
          <w:highlight w:val="none"/>
        </w:rPr>
        <w:t>附件1：</w:t>
      </w:r>
      <w:bookmarkStart w:id="557" w:name="OLE_LINK14"/>
      <w:bookmarkStart w:id="558" w:name="OLE_LINK13"/>
      <w:r>
        <w:rPr>
          <w:rFonts w:hint="eastAsia" w:ascii="宋体" w:hAnsi="宋体" w:cs="宋体"/>
          <w:b/>
          <w:color w:val="auto"/>
          <w:spacing w:val="6"/>
          <w:szCs w:val="21"/>
          <w:highlight w:val="none"/>
        </w:rPr>
        <w:t>残疾人福利性单位声明函</w:t>
      </w:r>
    </w:p>
    <w:bookmarkEnd w:id="557"/>
    <w:bookmarkEnd w:id="558"/>
    <w:p>
      <w:pPr>
        <w:snapToGrid w:val="0"/>
        <w:spacing w:line="288" w:lineRule="auto"/>
        <w:rPr>
          <w:rFonts w:ascii="宋体" w:hAnsi="宋体" w:cs="宋体"/>
          <w:b/>
          <w:color w:val="auto"/>
          <w:spacing w:val="6"/>
          <w:szCs w:val="21"/>
          <w:highlight w:val="none"/>
        </w:rPr>
      </w:pP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Cs w:val="21"/>
          <w:highlight w:val="none"/>
          <w:u w:val="single"/>
        </w:rPr>
        <w:t>杭州市拱墅区教育发展服务中心</w:t>
      </w:r>
      <w:r>
        <w:rPr>
          <w:rFonts w:hint="eastAsia" w:ascii="宋体" w:hAnsi="宋体" w:cs="宋体"/>
          <w:color w:val="auto"/>
          <w:szCs w:val="21"/>
          <w:highlight w:val="none"/>
        </w:rPr>
        <w:t>_单位的</w:t>
      </w:r>
      <w:r>
        <w:rPr>
          <w:rFonts w:hint="eastAsia" w:ascii="宋体" w:hAnsi="宋体"/>
          <w:color w:val="auto"/>
          <w:szCs w:val="21"/>
          <w:highlight w:val="none"/>
          <w:u w:val="single"/>
        </w:rPr>
        <w:t>2024年杭州市拱墅区教育系统部分学校厨房设备采购项目</w:t>
      </w:r>
      <w:r>
        <w:rPr>
          <w:rFonts w:hint="eastAsia" w:ascii="宋体" w:hAnsi="宋体" w:cs="宋体"/>
          <w:color w:val="auto"/>
          <w:szCs w:val="21"/>
          <w:highlight w:val="none"/>
        </w:rPr>
        <w:t>项目采购活动提供本单位制造的货物（由本单位承担工程/提供服务），或者提供其他残疾人福利性单位制造的货物（不包括使用非残疾人福利性单位注册商标的货物）。</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pPr>
        <w:snapToGrid w:val="0"/>
        <w:spacing w:line="288" w:lineRule="auto"/>
        <w:ind w:firstLine="424" w:firstLineChars="202"/>
        <w:rPr>
          <w:rFonts w:ascii="宋体" w:hAnsi="宋体" w:cs="宋体"/>
          <w:color w:val="auto"/>
          <w:szCs w:val="21"/>
          <w:highlight w:val="none"/>
        </w:rPr>
      </w:pPr>
    </w:p>
    <w:p>
      <w:pPr>
        <w:snapToGrid w:val="0"/>
        <w:spacing w:line="288" w:lineRule="auto"/>
        <w:ind w:firstLine="424" w:firstLineChars="202"/>
        <w:rPr>
          <w:rFonts w:ascii="宋体" w:hAnsi="宋体" w:cs="宋体"/>
          <w:color w:val="auto"/>
          <w:szCs w:val="21"/>
          <w:highlight w:val="none"/>
        </w:rPr>
      </w:pPr>
    </w:p>
    <w:p>
      <w:pPr>
        <w:tabs>
          <w:tab w:val="left" w:pos="4860"/>
        </w:tabs>
        <w:snapToGrid w:val="0"/>
        <w:spacing w:line="288" w:lineRule="auto"/>
        <w:ind w:right="1560" w:firstLine="424" w:firstLineChars="202"/>
        <w:rPr>
          <w:rFonts w:ascii="宋体" w:hAnsi="宋体" w:cs="宋体"/>
          <w:color w:val="auto"/>
          <w:szCs w:val="21"/>
          <w:highlight w:val="none"/>
        </w:rPr>
      </w:pPr>
      <w:r>
        <w:rPr>
          <w:rFonts w:hint="eastAsia" w:ascii="宋体" w:hAnsi="宋体" w:cs="宋体"/>
          <w:color w:val="auto"/>
          <w:kern w:val="0"/>
          <w:szCs w:val="21"/>
          <w:highlight w:val="none"/>
          <w:lang w:val="zh-CN"/>
        </w:rPr>
        <w:t>投标人名称（电子签名）</w:t>
      </w:r>
      <w:r>
        <w:rPr>
          <w:rFonts w:hint="eastAsia" w:ascii="宋体" w:hAnsi="宋体" w:cs="宋体"/>
          <w:color w:val="auto"/>
          <w:szCs w:val="21"/>
          <w:highlight w:val="none"/>
        </w:rPr>
        <w:t>：</w:t>
      </w:r>
    </w:p>
    <w:p>
      <w:pPr>
        <w:tabs>
          <w:tab w:val="left" w:pos="4860"/>
        </w:tabs>
        <w:snapToGrid w:val="0"/>
        <w:spacing w:line="288" w:lineRule="auto"/>
        <w:ind w:right="1560" w:firstLine="424" w:firstLineChars="202"/>
        <w:rPr>
          <w:rFonts w:ascii="宋体" w:hAnsi="宋体" w:cs="宋体"/>
          <w:color w:val="auto"/>
          <w:szCs w:val="21"/>
          <w:highlight w:val="none"/>
        </w:rPr>
      </w:pPr>
      <w:r>
        <w:rPr>
          <w:rFonts w:hint="eastAsia" w:ascii="宋体" w:hAnsi="宋体" w:cs="宋体"/>
          <w:color w:val="auto"/>
          <w:szCs w:val="21"/>
          <w:highlight w:val="none"/>
        </w:rPr>
        <w:t>日  期：</w:t>
      </w:r>
    </w:p>
    <w:p>
      <w:pPr>
        <w:widowControl/>
        <w:adjustRightInd/>
        <w:jc w:val="left"/>
        <w:rPr>
          <w:rFonts w:ascii="宋体" w:hAnsi="宋体" w:cs="宋体"/>
          <w:b/>
          <w:color w:val="auto"/>
          <w:spacing w:val="6"/>
          <w:szCs w:val="21"/>
          <w:highlight w:val="none"/>
        </w:rPr>
      </w:pPr>
      <w:r>
        <w:rPr>
          <w:rFonts w:ascii="宋体" w:hAnsi="宋体" w:cs="宋体"/>
          <w:b/>
          <w:color w:val="auto"/>
          <w:spacing w:val="6"/>
          <w:szCs w:val="21"/>
          <w:highlight w:val="none"/>
        </w:rPr>
        <w:br w:type="page"/>
      </w:r>
    </w:p>
    <w:p>
      <w:pPr>
        <w:snapToGrid w:val="0"/>
        <w:spacing w:line="288" w:lineRule="auto"/>
        <w:jc w:val="left"/>
        <w:outlineLvl w:val="1"/>
        <w:rPr>
          <w:rFonts w:ascii="宋体" w:hAnsi="宋体" w:cs="宋体"/>
          <w:b/>
          <w:color w:val="auto"/>
          <w:spacing w:val="6"/>
          <w:szCs w:val="21"/>
          <w:highlight w:val="none"/>
        </w:rPr>
      </w:pPr>
      <w:r>
        <w:rPr>
          <w:rFonts w:hint="eastAsia" w:ascii="宋体" w:hAnsi="宋体" w:cs="宋体"/>
          <w:b/>
          <w:color w:val="auto"/>
          <w:spacing w:val="6"/>
          <w:szCs w:val="21"/>
          <w:highlight w:val="none"/>
        </w:rPr>
        <w:t>附件2：质疑函范本及制作说明</w:t>
      </w:r>
    </w:p>
    <w:p>
      <w:pPr>
        <w:snapToGrid w:val="0"/>
        <w:spacing w:line="288" w:lineRule="auto"/>
        <w:jc w:val="center"/>
        <w:rPr>
          <w:rFonts w:ascii="宋体" w:hAnsi="宋体" w:cs="宋体"/>
          <w:b/>
          <w:color w:val="auto"/>
          <w:spacing w:val="6"/>
          <w:szCs w:val="21"/>
          <w:highlight w:val="none"/>
        </w:rPr>
      </w:pPr>
      <w:r>
        <w:rPr>
          <w:rFonts w:hint="eastAsia" w:ascii="宋体" w:hAnsi="宋体" w:cs="宋体"/>
          <w:b/>
          <w:color w:val="auto"/>
          <w:spacing w:val="6"/>
          <w:szCs w:val="21"/>
          <w:highlight w:val="none"/>
        </w:rPr>
        <w:t>质疑函范本</w:t>
      </w:r>
    </w:p>
    <w:p>
      <w:pPr>
        <w:snapToGrid w:val="0"/>
        <w:spacing w:before="240" w:beforeLines="100" w:line="288" w:lineRule="auto"/>
        <w:ind w:firstLine="424" w:firstLineChars="202"/>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质疑事项2</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w:t>
      </w:r>
    </w:p>
    <w:p>
      <w:pPr>
        <w:snapToGrid w:val="0"/>
        <w:spacing w:line="288" w:lineRule="auto"/>
        <w:ind w:firstLine="424" w:firstLineChars="202"/>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日期：    </w:t>
      </w:r>
    </w:p>
    <w:p>
      <w:pPr>
        <w:snapToGrid w:val="0"/>
        <w:spacing w:line="288" w:lineRule="auto"/>
        <w:rPr>
          <w:rFonts w:ascii="宋体" w:hAnsi="宋体" w:cs="宋体"/>
          <w:b/>
          <w:color w:val="auto"/>
          <w:szCs w:val="21"/>
          <w:highlight w:val="none"/>
        </w:rPr>
      </w:pPr>
    </w:p>
    <w:p>
      <w:pPr>
        <w:snapToGrid w:val="0"/>
        <w:spacing w:line="288" w:lineRule="auto"/>
        <w:rPr>
          <w:rFonts w:ascii="宋体" w:hAnsi="宋体" w:cs="宋体"/>
          <w:b/>
          <w:color w:val="auto"/>
          <w:szCs w:val="21"/>
          <w:highlight w:val="none"/>
        </w:rPr>
      </w:pPr>
    </w:p>
    <w:p>
      <w:pPr>
        <w:snapToGrid w:val="0"/>
        <w:spacing w:line="288" w:lineRule="auto"/>
        <w:rPr>
          <w:rFonts w:ascii="宋体" w:hAnsi="宋体" w:cs="宋体"/>
          <w:b/>
          <w:color w:val="auto"/>
          <w:szCs w:val="21"/>
          <w:highlight w:val="none"/>
        </w:rPr>
      </w:pPr>
      <w:r>
        <w:rPr>
          <w:rFonts w:hint="eastAsia" w:ascii="宋体" w:hAnsi="宋体" w:cs="宋体"/>
          <w:b/>
          <w:color w:val="auto"/>
          <w:szCs w:val="21"/>
          <w:highlight w:val="none"/>
        </w:rPr>
        <w:t>质疑函制作说明：</w:t>
      </w:r>
    </w:p>
    <w:p>
      <w:pPr>
        <w:snapToGrid w:val="0"/>
        <w:spacing w:line="288"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snapToGrid w:val="0"/>
        <w:spacing w:line="288"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w:t>
      </w:r>
      <w:r>
        <w:rPr>
          <w:rFonts w:hint="eastAsia" w:ascii="宋体" w:hAnsi="宋体" w:cs="宋体"/>
          <w:color w:val="auto"/>
          <w:kern w:val="0"/>
          <w:szCs w:val="21"/>
          <w:highlight w:val="none"/>
        </w:rPr>
        <w:t>供应商签署的授权委托书。授权委托书应载明代理人的姓名或者名称、代理事项、具体权限、期限和相关事项。</w:t>
      </w:r>
    </w:p>
    <w:p>
      <w:pPr>
        <w:snapToGrid w:val="0"/>
        <w:spacing w:line="288"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snapToGrid w:val="0"/>
        <w:spacing w:line="288"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snapToGrid w:val="0"/>
        <w:spacing w:line="288"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snapToGrid w:val="0"/>
        <w:spacing w:line="288"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widowControl/>
        <w:adjustRightInd/>
        <w:jc w:val="left"/>
        <w:rPr>
          <w:rFonts w:ascii="宋体" w:hAnsi="宋体" w:cs="宋体"/>
          <w:color w:val="auto"/>
          <w:szCs w:val="21"/>
          <w:highlight w:val="none"/>
        </w:rPr>
      </w:pPr>
      <w:r>
        <w:rPr>
          <w:rFonts w:ascii="宋体" w:hAnsi="宋体" w:cs="宋体"/>
          <w:color w:val="auto"/>
          <w:szCs w:val="21"/>
          <w:highlight w:val="none"/>
        </w:rPr>
        <w:br w:type="page"/>
      </w:r>
    </w:p>
    <w:p>
      <w:pPr>
        <w:snapToGrid w:val="0"/>
        <w:spacing w:line="288" w:lineRule="auto"/>
        <w:jc w:val="left"/>
        <w:outlineLvl w:val="1"/>
        <w:rPr>
          <w:rFonts w:ascii="宋体" w:hAnsi="宋体" w:cs="宋体"/>
          <w:b/>
          <w:color w:val="auto"/>
          <w:spacing w:val="6"/>
          <w:szCs w:val="21"/>
          <w:highlight w:val="none"/>
        </w:rPr>
      </w:pPr>
      <w:r>
        <w:rPr>
          <w:rFonts w:hint="eastAsia" w:ascii="宋体" w:hAnsi="宋体" w:cs="宋体"/>
          <w:b/>
          <w:color w:val="auto"/>
          <w:spacing w:val="6"/>
          <w:szCs w:val="21"/>
          <w:highlight w:val="none"/>
        </w:rPr>
        <w:t>附件3：投诉书范本及制作说明</w:t>
      </w:r>
    </w:p>
    <w:p>
      <w:pPr>
        <w:snapToGrid w:val="0"/>
        <w:spacing w:line="288" w:lineRule="auto"/>
        <w:jc w:val="center"/>
        <w:rPr>
          <w:rFonts w:ascii="宋体" w:hAnsi="宋体" w:cs="宋体"/>
          <w:b/>
          <w:color w:val="auto"/>
          <w:szCs w:val="21"/>
          <w:highlight w:val="none"/>
        </w:rPr>
      </w:pPr>
    </w:p>
    <w:p>
      <w:pPr>
        <w:snapToGrid w:val="0"/>
        <w:spacing w:line="288" w:lineRule="auto"/>
        <w:jc w:val="center"/>
        <w:rPr>
          <w:rFonts w:ascii="宋体" w:hAnsi="宋体" w:cs="宋体"/>
          <w:b/>
          <w:color w:val="auto"/>
          <w:spacing w:val="6"/>
          <w:szCs w:val="21"/>
          <w:highlight w:val="none"/>
        </w:rPr>
      </w:pPr>
      <w:r>
        <w:rPr>
          <w:rFonts w:hint="eastAsia" w:ascii="宋体" w:hAnsi="宋体" w:cs="宋体"/>
          <w:b/>
          <w:color w:val="auto"/>
          <w:spacing w:val="6"/>
          <w:szCs w:val="21"/>
          <w:highlight w:val="none"/>
        </w:rPr>
        <w:t>投诉书范本</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一、投诉相关主体基本情况</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投诉人：</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地     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u w:val="single"/>
        </w:rPr>
        <w:t xml:space="preserve">   </w:t>
      </w:r>
    </w:p>
    <w:p>
      <w:pPr>
        <w:tabs>
          <w:tab w:val="left" w:pos="6510"/>
        </w:tabs>
        <w:snapToGrid w:val="0"/>
        <w:spacing w:line="288"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法定代表人/主要负责人：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tabs>
          <w:tab w:val="left" w:pos="6510"/>
        </w:tabs>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地     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被投诉人1：</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地     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被投诉人2</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相关供应商：</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地     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二、投诉项目基本情况</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采购项目名称：</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采购项目编号：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代理机构名称：</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采购文件公告:</w:t>
      </w:r>
      <w:r>
        <w:rPr>
          <w:rFonts w:hint="eastAsia" w:ascii="宋体" w:hAnsi="宋体" w:cs="宋体"/>
          <w:color w:val="auto"/>
          <w:szCs w:val="21"/>
          <w:highlight w:val="none"/>
          <w:u w:val="dotted"/>
        </w:rPr>
        <w:t xml:space="preserve">是/否 </w:t>
      </w:r>
      <w:r>
        <w:rPr>
          <w:rFonts w:hint="eastAsia" w:ascii="宋体" w:hAnsi="宋体" w:cs="宋体"/>
          <w:color w:val="auto"/>
          <w:szCs w:val="21"/>
          <w:highlight w:val="none"/>
        </w:rPr>
        <w:t>公告期限：</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采购结果公告:</w:t>
      </w:r>
      <w:r>
        <w:rPr>
          <w:rFonts w:hint="eastAsia" w:ascii="宋体" w:hAnsi="宋体" w:cs="宋体"/>
          <w:color w:val="auto"/>
          <w:szCs w:val="21"/>
          <w:highlight w:val="none"/>
          <w:u w:val="dotted"/>
        </w:rPr>
        <w:t xml:space="preserve">是/否 </w:t>
      </w:r>
      <w:r>
        <w:rPr>
          <w:rFonts w:hint="eastAsia" w:ascii="宋体" w:hAnsi="宋体" w:cs="宋体"/>
          <w:color w:val="auto"/>
          <w:szCs w:val="21"/>
          <w:highlight w:val="none"/>
        </w:rPr>
        <w:t>公告期限：</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三、质疑基本情况</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投诉人于</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日,向</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提出质疑，质疑事项为：</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u w:val="dotted"/>
        </w:rPr>
        <w:t>采购人/代理机构</w:t>
      </w:r>
      <w:r>
        <w:rPr>
          <w:rFonts w:hint="eastAsia" w:ascii="宋体" w:hAnsi="宋体" w:cs="宋体"/>
          <w:color w:val="auto"/>
          <w:szCs w:val="21"/>
          <w:highlight w:val="none"/>
        </w:rPr>
        <w:t>于</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日,就质疑事项作出了答复/没有在法定期限内作出答复。</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四、投诉事项具体内容</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投诉事项 1：</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投诉事项2</w:t>
      </w:r>
    </w:p>
    <w:p>
      <w:pPr>
        <w:snapToGrid w:val="0"/>
        <w:spacing w:line="288" w:lineRule="auto"/>
        <w:ind w:firstLine="424" w:firstLineChars="202"/>
        <w:rPr>
          <w:rFonts w:ascii="宋体" w:hAnsi="宋体" w:cs="宋体"/>
          <w:color w:val="auto"/>
          <w:szCs w:val="21"/>
          <w:highlight w:val="none"/>
          <w:u w:val="dotted"/>
        </w:rPr>
      </w:pPr>
      <w:r>
        <w:rPr>
          <w:rFonts w:hint="eastAsia" w:ascii="宋体" w:hAnsi="宋体" w:cs="宋体"/>
          <w:color w:val="auto"/>
          <w:szCs w:val="21"/>
          <w:highlight w:val="none"/>
        </w:rPr>
        <w:t>……</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五、与投诉事项相关的投诉请求</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snapToGrid w:val="0"/>
        <w:spacing w:line="288" w:lineRule="auto"/>
        <w:ind w:firstLine="424" w:firstLineChars="202"/>
        <w:rPr>
          <w:rFonts w:ascii="宋体" w:hAnsi="宋体" w:cs="宋体"/>
          <w:color w:val="auto"/>
          <w:szCs w:val="21"/>
          <w:highlight w:val="none"/>
        </w:rPr>
      </w:pP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日期：    </w:t>
      </w:r>
    </w:p>
    <w:p>
      <w:pPr>
        <w:snapToGrid w:val="0"/>
        <w:spacing w:line="288" w:lineRule="auto"/>
        <w:rPr>
          <w:rFonts w:ascii="宋体" w:hAnsi="宋体" w:cs="宋体"/>
          <w:b/>
          <w:color w:val="auto"/>
          <w:szCs w:val="21"/>
          <w:highlight w:val="none"/>
        </w:rPr>
      </w:pPr>
    </w:p>
    <w:p>
      <w:pPr>
        <w:snapToGrid w:val="0"/>
        <w:spacing w:line="288" w:lineRule="auto"/>
        <w:rPr>
          <w:rFonts w:ascii="宋体" w:hAnsi="宋体" w:cs="宋体"/>
          <w:b/>
          <w:color w:val="auto"/>
          <w:szCs w:val="21"/>
          <w:highlight w:val="none"/>
        </w:rPr>
      </w:pPr>
    </w:p>
    <w:p>
      <w:pPr>
        <w:snapToGrid w:val="0"/>
        <w:spacing w:line="288" w:lineRule="auto"/>
        <w:rPr>
          <w:rFonts w:ascii="宋体" w:hAnsi="宋体" w:cs="宋体"/>
          <w:b/>
          <w:color w:val="auto"/>
          <w:szCs w:val="21"/>
          <w:highlight w:val="none"/>
        </w:rPr>
      </w:pPr>
      <w:r>
        <w:rPr>
          <w:rFonts w:hint="eastAsia" w:ascii="宋体" w:hAnsi="宋体" w:cs="宋体"/>
          <w:b/>
          <w:color w:val="auto"/>
          <w:szCs w:val="21"/>
          <w:highlight w:val="none"/>
        </w:rPr>
        <w:t>投诉书制作说明：</w:t>
      </w:r>
    </w:p>
    <w:p>
      <w:pPr>
        <w:snapToGrid w:val="0"/>
        <w:spacing w:line="288" w:lineRule="auto"/>
        <w:rPr>
          <w:rFonts w:ascii="宋体" w:hAnsi="宋体" w:cs="宋体"/>
          <w:color w:val="auto"/>
          <w:kern w:val="0"/>
          <w:szCs w:val="21"/>
          <w:highlight w:val="none"/>
        </w:rPr>
      </w:pPr>
      <w:r>
        <w:rPr>
          <w:rFonts w:hint="eastAsia" w:ascii="宋体" w:hAnsi="宋体" w:cs="宋体"/>
          <w:color w:val="auto"/>
          <w:szCs w:val="21"/>
          <w:highlight w:val="none"/>
        </w:rPr>
        <w:t>1.投诉人提起投诉时，应当提交投诉书和必要的证明材料，并按照被投诉人和与投诉事项有关的供应商数量提供投诉书副本。</w:t>
      </w:r>
    </w:p>
    <w:p>
      <w:pPr>
        <w:snapToGrid w:val="0"/>
        <w:spacing w:line="288" w:lineRule="auto"/>
        <w:jc w:val="left"/>
        <w:rPr>
          <w:rFonts w:ascii="宋体" w:hAnsi="宋体" w:cs="宋体"/>
          <w:color w:val="auto"/>
          <w:kern w:val="0"/>
          <w:szCs w:val="21"/>
          <w:highlight w:val="none"/>
        </w:rPr>
      </w:pPr>
      <w:r>
        <w:rPr>
          <w:rFonts w:hint="eastAsia" w:ascii="宋体" w:hAnsi="宋体" w:cs="宋体"/>
          <w:color w:val="auto"/>
          <w:szCs w:val="21"/>
          <w:highlight w:val="none"/>
        </w:rPr>
        <w:t>2.投诉人若委托代理人进行投诉的，投诉书应按照要求列明“授权代表”的有关内容，并在附件中提交由</w:t>
      </w:r>
      <w:r>
        <w:rPr>
          <w:rFonts w:hint="eastAsia" w:ascii="宋体" w:hAnsi="宋体" w:cs="宋体"/>
          <w:color w:val="auto"/>
          <w:kern w:val="0"/>
          <w:szCs w:val="21"/>
          <w:highlight w:val="none"/>
        </w:rPr>
        <w:t>投诉人签署的授权委托书。授权委托书应当载明代理人的姓名或者名称、代理事项、具体权限、期限和相关事项。</w:t>
      </w:r>
    </w:p>
    <w:p>
      <w:pPr>
        <w:snapToGrid w:val="0"/>
        <w:spacing w:line="288" w:lineRule="auto"/>
        <w:jc w:val="left"/>
        <w:rPr>
          <w:rFonts w:ascii="宋体" w:hAnsi="宋体" w:cs="宋体"/>
          <w:color w:val="auto"/>
          <w:szCs w:val="21"/>
          <w:highlight w:val="none"/>
        </w:rPr>
      </w:pPr>
      <w:r>
        <w:rPr>
          <w:rFonts w:hint="eastAsia" w:ascii="宋体" w:hAnsi="宋体" w:cs="宋体"/>
          <w:color w:val="auto"/>
          <w:szCs w:val="21"/>
          <w:highlight w:val="none"/>
        </w:rPr>
        <w:t>3.投诉人若对项目的某一分包进行投诉，投诉书应列明具体分包号。</w:t>
      </w:r>
    </w:p>
    <w:p>
      <w:pPr>
        <w:snapToGrid w:val="0"/>
        <w:spacing w:line="288" w:lineRule="auto"/>
        <w:jc w:val="left"/>
        <w:rPr>
          <w:rFonts w:ascii="宋体" w:hAnsi="宋体" w:cs="宋体"/>
          <w:color w:val="auto"/>
          <w:szCs w:val="21"/>
          <w:highlight w:val="none"/>
        </w:rPr>
      </w:pPr>
      <w:r>
        <w:rPr>
          <w:rFonts w:hint="eastAsia" w:ascii="宋体" w:hAnsi="宋体" w:cs="宋体"/>
          <w:color w:val="auto"/>
          <w:szCs w:val="21"/>
          <w:highlight w:val="none"/>
        </w:rPr>
        <w:t>4.投诉书应简要列明质疑事项，质疑函、质疑答复等作为附件材料提供。</w:t>
      </w:r>
    </w:p>
    <w:p>
      <w:pPr>
        <w:snapToGrid w:val="0"/>
        <w:spacing w:line="288" w:lineRule="auto"/>
        <w:jc w:val="left"/>
        <w:rPr>
          <w:rFonts w:ascii="宋体" w:hAnsi="宋体" w:cs="宋体"/>
          <w:color w:val="auto"/>
          <w:szCs w:val="21"/>
          <w:highlight w:val="none"/>
        </w:rPr>
      </w:pPr>
      <w:r>
        <w:rPr>
          <w:rFonts w:hint="eastAsia" w:ascii="宋体" w:hAnsi="宋体" w:cs="宋体"/>
          <w:color w:val="auto"/>
          <w:szCs w:val="21"/>
          <w:highlight w:val="none"/>
        </w:rPr>
        <w:t>5.投诉书的投诉事项应具体、明确，并有必要的事实依据和法律依据。</w:t>
      </w:r>
    </w:p>
    <w:p>
      <w:pPr>
        <w:snapToGrid w:val="0"/>
        <w:spacing w:line="288" w:lineRule="auto"/>
        <w:jc w:val="left"/>
        <w:rPr>
          <w:rFonts w:ascii="宋体" w:hAnsi="宋体" w:cs="宋体"/>
          <w:color w:val="auto"/>
          <w:szCs w:val="21"/>
          <w:highlight w:val="none"/>
        </w:rPr>
      </w:pPr>
      <w:r>
        <w:rPr>
          <w:rFonts w:hint="eastAsia" w:ascii="宋体" w:hAnsi="宋体" w:cs="宋体"/>
          <w:color w:val="auto"/>
          <w:szCs w:val="21"/>
          <w:highlight w:val="none"/>
        </w:rPr>
        <w:t>6.投诉书的投诉请求应与投诉事项相关。</w:t>
      </w:r>
    </w:p>
    <w:p>
      <w:pPr>
        <w:snapToGrid w:val="0"/>
        <w:spacing w:line="288" w:lineRule="auto"/>
        <w:jc w:val="left"/>
        <w:rPr>
          <w:rFonts w:ascii="宋体" w:hAnsi="宋体" w:cs="宋体"/>
          <w:color w:val="auto"/>
          <w:kern w:val="0"/>
          <w:szCs w:val="21"/>
          <w:highlight w:val="none"/>
        </w:rPr>
      </w:pPr>
      <w:r>
        <w:rPr>
          <w:rFonts w:hint="eastAsia" w:ascii="宋体" w:hAnsi="宋体" w:cs="宋体"/>
          <w:color w:val="auto"/>
          <w:szCs w:val="21"/>
          <w:highlight w:val="none"/>
        </w:rPr>
        <w:t>7.投诉人为自然人的，投诉书应当由本人签字；投诉人为法人或者其他组织的，投诉书应当由法定代表人、主要负责人，或者其授权代表签字或者盖章，并加盖公章。</w:t>
      </w:r>
    </w:p>
    <w:p>
      <w:pPr>
        <w:snapToGrid w:val="0"/>
        <w:spacing w:line="288" w:lineRule="auto"/>
        <w:rPr>
          <w:rFonts w:ascii="宋体" w:hAnsi="宋体" w:cs="宋体"/>
          <w:b/>
          <w:color w:val="auto"/>
          <w:szCs w:val="21"/>
          <w:highlight w:val="none"/>
        </w:rPr>
      </w:pPr>
    </w:p>
    <w:p>
      <w:pPr>
        <w:autoSpaceDE w:val="0"/>
        <w:autoSpaceDN w:val="0"/>
        <w:snapToGrid w:val="0"/>
        <w:spacing w:line="288" w:lineRule="auto"/>
        <w:jc w:val="center"/>
        <w:rPr>
          <w:rFonts w:ascii="宋体" w:hAnsi="宋体" w:cs="宋体"/>
          <w:b/>
          <w:color w:val="auto"/>
          <w:spacing w:val="6"/>
          <w:szCs w:val="21"/>
          <w:highlight w:val="none"/>
        </w:rPr>
      </w:pPr>
    </w:p>
    <w:p>
      <w:pPr>
        <w:autoSpaceDE w:val="0"/>
        <w:autoSpaceDN w:val="0"/>
        <w:snapToGrid w:val="0"/>
        <w:spacing w:line="288" w:lineRule="auto"/>
        <w:jc w:val="center"/>
        <w:rPr>
          <w:rFonts w:ascii="宋体" w:hAnsi="宋体" w:cs="宋体"/>
          <w:b/>
          <w:color w:val="auto"/>
          <w:spacing w:val="6"/>
          <w:szCs w:val="21"/>
          <w:highlight w:val="none"/>
        </w:rPr>
      </w:pPr>
    </w:p>
    <w:p>
      <w:pPr>
        <w:widowControl/>
        <w:adjustRightInd/>
        <w:jc w:val="left"/>
        <w:rPr>
          <w:rFonts w:ascii="宋体" w:hAnsi="宋体" w:cs="宋体"/>
          <w:b/>
          <w:color w:val="auto"/>
          <w:spacing w:val="6"/>
          <w:szCs w:val="21"/>
          <w:highlight w:val="none"/>
        </w:rPr>
      </w:pPr>
      <w:r>
        <w:rPr>
          <w:rFonts w:ascii="宋体" w:hAnsi="宋体" w:cs="宋体"/>
          <w:b/>
          <w:color w:val="auto"/>
          <w:spacing w:val="6"/>
          <w:szCs w:val="21"/>
          <w:highlight w:val="none"/>
        </w:rPr>
        <w:br w:type="page"/>
      </w:r>
    </w:p>
    <w:p>
      <w:pPr>
        <w:autoSpaceDE w:val="0"/>
        <w:autoSpaceDN w:val="0"/>
        <w:snapToGrid w:val="0"/>
        <w:spacing w:line="288" w:lineRule="auto"/>
        <w:jc w:val="center"/>
        <w:outlineLvl w:val="1"/>
        <w:rPr>
          <w:rFonts w:ascii="宋体" w:hAnsi="宋体" w:cs="宋体"/>
          <w:b/>
          <w:bCs/>
          <w:color w:val="auto"/>
          <w:szCs w:val="21"/>
          <w:highlight w:val="none"/>
        </w:rPr>
      </w:pPr>
      <w:r>
        <w:rPr>
          <w:rFonts w:hint="eastAsia" w:ascii="宋体" w:hAnsi="宋体" w:cs="宋体"/>
          <w:b/>
          <w:color w:val="auto"/>
          <w:spacing w:val="6"/>
          <w:szCs w:val="21"/>
          <w:highlight w:val="none"/>
        </w:rPr>
        <w:t>附件4：</w:t>
      </w:r>
      <w:r>
        <w:rPr>
          <w:rFonts w:hint="eastAsia" w:ascii="宋体" w:hAnsi="宋体" w:cs="宋体"/>
          <w:b/>
          <w:bCs/>
          <w:color w:val="auto"/>
          <w:szCs w:val="21"/>
          <w:highlight w:val="none"/>
        </w:rPr>
        <w:t>业务专用章使用说明函</w:t>
      </w:r>
    </w:p>
    <w:p>
      <w:pPr>
        <w:snapToGrid w:val="0"/>
        <w:spacing w:line="288" w:lineRule="auto"/>
        <w:rPr>
          <w:rFonts w:ascii="宋体" w:hAnsi="宋体" w:cs="宋体"/>
          <w:color w:val="auto"/>
          <w:szCs w:val="21"/>
          <w:highlight w:val="none"/>
          <w:u w:val="single"/>
        </w:rPr>
      </w:pPr>
    </w:p>
    <w:p>
      <w:pPr>
        <w:snapToGrid w:val="0"/>
        <w:spacing w:line="288" w:lineRule="auto"/>
        <w:rPr>
          <w:rFonts w:ascii="宋体" w:hAnsi="宋体" w:cs="宋体"/>
          <w:color w:val="auto"/>
          <w:szCs w:val="21"/>
          <w:highlight w:val="none"/>
        </w:rPr>
      </w:pPr>
      <w:r>
        <w:rPr>
          <w:rFonts w:hint="eastAsia" w:ascii="宋体" w:hAnsi="宋体" w:cs="宋体"/>
          <w:color w:val="auto"/>
          <w:szCs w:val="21"/>
          <w:highlight w:val="none"/>
          <w:u w:val="single"/>
        </w:rPr>
        <w:t>杭州市拱墅区教育发展服务中心、浙江求是招标代理有限公司：</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kern w:val="0"/>
          <w:szCs w:val="21"/>
          <w:highlight w:val="none"/>
          <w:lang w:val="zh-CN"/>
        </w:rPr>
        <w:t>我方</w:t>
      </w:r>
      <w:r>
        <w:rPr>
          <w:rFonts w:hint="eastAsia" w:ascii="宋体" w:hAnsi="宋体" w:cs="宋体"/>
          <w:color w:val="auto"/>
          <w:kern w:val="0"/>
          <w:szCs w:val="21"/>
          <w:highlight w:val="none"/>
          <w:u w:val="single"/>
          <w:lang w:val="zh-CN"/>
        </w:rPr>
        <w:t xml:space="preserve">                         </w:t>
      </w:r>
      <w:r>
        <w:rPr>
          <w:rFonts w:hint="eastAsia" w:ascii="宋体" w:hAnsi="宋体" w:cs="宋体"/>
          <w:color w:val="auto"/>
          <w:szCs w:val="21"/>
          <w:highlight w:val="none"/>
        </w:rPr>
        <w:t>(投标人全称)是中华人民共和国依法登记注册的合法企业，</w:t>
      </w:r>
      <w:r>
        <w:rPr>
          <w:rFonts w:hint="eastAsia" w:ascii="宋体" w:hAnsi="宋体" w:cs="宋体"/>
          <w:bCs/>
          <w:color w:val="auto"/>
          <w:szCs w:val="21"/>
          <w:highlight w:val="none"/>
        </w:rPr>
        <w:t>在参加</w:t>
      </w:r>
      <w:r>
        <w:rPr>
          <w:rFonts w:hint="eastAsia" w:ascii="宋体" w:hAnsi="宋体" w:cs="宋体"/>
          <w:color w:val="auto"/>
          <w:szCs w:val="21"/>
          <w:highlight w:val="none"/>
        </w:rPr>
        <w:t>你方组织的</w:t>
      </w:r>
      <w:r>
        <w:rPr>
          <w:rFonts w:hint="eastAsia" w:ascii="宋体" w:hAnsi="宋体"/>
          <w:color w:val="auto"/>
          <w:szCs w:val="21"/>
          <w:highlight w:val="none"/>
        </w:rPr>
        <w:t>2024年杭州市拱墅区教育系统部分学校厨房设备采购项目</w:t>
      </w:r>
      <w:r>
        <w:rPr>
          <w:rFonts w:hint="eastAsia" w:ascii="宋体" w:hAnsi="宋体" w:cs="宋体"/>
          <w:color w:val="auto"/>
          <w:szCs w:val="21"/>
          <w:highlight w:val="none"/>
        </w:rPr>
        <w:t>【招标编号：QSZB-Z(H)-B24115(GK)】</w:t>
      </w:r>
      <w:r>
        <w:rPr>
          <w:rFonts w:hint="eastAsia" w:ascii="宋体" w:hAnsi="宋体" w:cs="宋体"/>
          <w:bCs/>
          <w:color w:val="auto"/>
          <w:szCs w:val="21"/>
          <w:highlight w:val="none"/>
        </w:rPr>
        <w:t>投标活动中作如下说明：</w:t>
      </w:r>
      <w:r>
        <w:rPr>
          <w:rFonts w:hint="eastAsia" w:ascii="宋体" w:hAnsi="宋体" w:cs="宋体"/>
          <w:color w:val="auto"/>
          <w:szCs w:val="21"/>
          <w:highlight w:val="none"/>
        </w:rPr>
        <w:t xml:space="preserve">我方所使用的“XX专用章”与法定名称章具有同等的法律效力，对使用“XX专用章”的行为予以完全承认，并愿意承担相应责任。   </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特此说明。</w:t>
      </w:r>
    </w:p>
    <w:p>
      <w:pPr>
        <w:snapToGrid w:val="0"/>
        <w:spacing w:line="288" w:lineRule="auto"/>
        <w:ind w:firstLine="424" w:firstLineChars="202"/>
        <w:rPr>
          <w:rFonts w:ascii="宋体" w:hAnsi="宋体" w:cs="宋体"/>
          <w:color w:val="auto"/>
          <w:szCs w:val="21"/>
          <w:highlight w:val="none"/>
        </w:rPr>
      </w:pPr>
    </w:p>
    <w:p>
      <w:pPr>
        <w:snapToGrid w:val="0"/>
        <w:spacing w:line="288" w:lineRule="auto"/>
        <w:ind w:right="480" w:firstLine="424" w:firstLineChars="202"/>
        <w:rPr>
          <w:rFonts w:ascii="宋体" w:hAnsi="宋体" w:cs="宋体"/>
          <w:color w:val="auto"/>
          <w:szCs w:val="21"/>
          <w:highlight w:val="none"/>
        </w:rPr>
      </w:pPr>
      <w:r>
        <w:rPr>
          <w:rFonts w:hint="eastAsia" w:ascii="宋体" w:hAnsi="宋体" w:cs="宋体"/>
          <w:color w:val="auto"/>
          <w:szCs w:val="21"/>
          <w:highlight w:val="none"/>
        </w:rPr>
        <w:t>投标单位（法定名称章）：</w:t>
      </w:r>
    </w:p>
    <w:p>
      <w:pPr>
        <w:snapToGrid w:val="0"/>
        <w:spacing w:line="288" w:lineRule="auto"/>
        <w:ind w:right="1440" w:firstLine="424" w:firstLineChars="202"/>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line="288" w:lineRule="auto"/>
        <w:rPr>
          <w:rFonts w:ascii="宋体" w:hAnsi="宋体" w:cs="宋体"/>
          <w:b/>
          <w:bCs/>
          <w:color w:val="auto"/>
          <w:szCs w:val="21"/>
          <w:highlight w:val="none"/>
        </w:rPr>
      </w:pPr>
    </w:p>
    <w:p>
      <w:pPr>
        <w:snapToGrid w:val="0"/>
        <w:spacing w:line="288" w:lineRule="auto"/>
        <w:rPr>
          <w:rFonts w:ascii="宋体" w:hAnsi="宋体" w:cs="宋体"/>
          <w:color w:val="auto"/>
          <w:szCs w:val="21"/>
          <w:highlight w:val="none"/>
        </w:rPr>
      </w:pPr>
      <w:r>
        <w:rPr>
          <w:rFonts w:hint="eastAsia" w:ascii="宋体" w:hAnsi="宋体" w:cs="宋体"/>
          <w:b/>
          <w:bCs/>
          <w:color w:val="auto"/>
          <w:szCs w:val="21"/>
          <w:highlight w:val="none"/>
        </w:rPr>
        <w:t>附：</w:t>
      </w:r>
    </w:p>
    <w:p>
      <w:pPr>
        <w:snapToGrid w:val="0"/>
        <w:spacing w:line="288" w:lineRule="auto"/>
        <w:rPr>
          <w:rFonts w:ascii="宋体" w:hAnsi="宋体" w:cs="宋体"/>
          <w:bCs/>
          <w:color w:val="auto"/>
          <w:szCs w:val="21"/>
          <w:highlight w:val="none"/>
        </w:rPr>
      </w:pPr>
      <w:r>
        <w:rPr>
          <w:rFonts w:hint="eastAsia" w:ascii="宋体" w:hAnsi="宋体" w:cs="宋体"/>
          <w:color w:val="auto"/>
          <w:szCs w:val="21"/>
          <w:highlight w:val="none"/>
        </w:rPr>
        <w:t>投标单位法定名称章（印模）                投标单位“XX专用章”（印模）</w:t>
      </w:r>
    </w:p>
    <w:tbl>
      <w:tblPr>
        <w:tblStyle w:val="63"/>
        <w:tblW w:w="90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4"/>
        <w:gridCol w:w="4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2" w:hRule="atLeast"/>
        </w:trPr>
        <w:tc>
          <w:tcPr>
            <w:tcW w:w="4514" w:type="dxa"/>
            <w:vAlign w:val="center"/>
          </w:tcPr>
          <w:p>
            <w:pPr>
              <w:autoSpaceDE w:val="0"/>
              <w:autoSpaceDN w:val="0"/>
              <w:snapToGrid w:val="0"/>
              <w:spacing w:line="288" w:lineRule="auto"/>
              <w:jc w:val="center"/>
              <w:rPr>
                <w:rFonts w:ascii="宋体" w:hAnsi="宋体" w:cs="宋体"/>
                <w:b/>
                <w:color w:val="auto"/>
                <w:spacing w:val="6"/>
                <w:szCs w:val="21"/>
                <w:highlight w:val="none"/>
              </w:rPr>
            </w:pPr>
          </w:p>
        </w:tc>
        <w:tc>
          <w:tcPr>
            <w:tcW w:w="4514" w:type="dxa"/>
            <w:vAlign w:val="center"/>
          </w:tcPr>
          <w:p>
            <w:pPr>
              <w:autoSpaceDE w:val="0"/>
              <w:autoSpaceDN w:val="0"/>
              <w:snapToGrid w:val="0"/>
              <w:spacing w:line="288" w:lineRule="auto"/>
              <w:jc w:val="center"/>
              <w:rPr>
                <w:rFonts w:ascii="宋体" w:hAnsi="宋体" w:cs="宋体"/>
                <w:b/>
                <w:color w:val="auto"/>
                <w:spacing w:val="6"/>
                <w:szCs w:val="21"/>
                <w:highlight w:val="none"/>
              </w:rPr>
            </w:pPr>
          </w:p>
        </w:tc>
      </w:tr>
    </w:tbl>
    <w:p>
      <w:pPr>
        <w:widowControl/>
        <w:adjustRightInd/>
        <w:jc w:val="left"/>
        <w:rPr>
          <w:rFonts w:ascii="宋体" w:hAnsi="宋体" w:cs="宋体"/>
          <w:b/>
          <w:color w:val="auto"/>
          <w:kern w:val="0"/>
          <w:szCs w:val="21"/>
          <w:highlight w:val="none"/>
        </w:rPr>
      </w:pPr>
      <w:r>
        <w:rPr>
          <w:rFonts w:ascii="宋体" w:hAnsi="宋体" w:cs="宋体"/>
          <w:b/>
          <w:color w:val="auto"/>
          <w:kern w:val="0"/>
          <w:szCs w:val="21"/>
          <w:highlight w:val="none"/>
        </w:rPr>
        <w:br w:type="page"/>
      </w:r>
    </w:p>
    <w:p>
      <w:pPr>
        <w:snapToGrid w:val="0"/>
        <w:spacing w:line="288" w:lineRule="auto"/>
        <w:jc w:val="center"/>
        <w:outlineLvl w:val="1"/>
        <w:rPr>
          <w:rFonts w:ascii="宋体" w:hAnsi="宋体" w:cs="宋体"/>
          <w:b/>
          <w:color w:val="auto"/>
          <w:kern w:val="0"/>
          <w:szCs w:val="21"/>
          <w:highlight w:val="none"/>
        </w:rPr>
      </w:pPr>
      <w:r>
        <w:rPr>
          <w:rFonts w:hint="eastAsia" w:ascii="宋体" w:hAnsi="宋体" w:cs="宋体"/>
          <w:b/>
          <w:color w:val="auto"/>
          <w:kern w:val="0"/>
          <w:szCs w:val="21"/>
          <w:highlight w:val="none"/>
        </w:rPr>
        <w:t>附件</w:t>
      </w:r>
      <w:r>
        <w:rPr>
          <w:rFonts w:ascii="宋体" w:hAnsi="宋体" w:cs="宋体"/>
          <w:b/>
          <w:color w:val="auto"/>
          <w:kern w:val="0"/>
          <w:szCs w:val="21"/>
          <w:highlight w:val="none"/>
        </w:rPr>
        <w:t>5</w:t>
      </w:r>
      <w:r>
        <w:rPr>
          <w:rFonts w:hint="eastAsia" w:ascii="宋体" w:hAnsi="宋体" w:cs="宋体"/>
          <w:b/>
          <w:color w:val="auto"/>
          <w:kern w:val="0"/>
          <w:szCs w:val="21"/>
          <w:highlight w:val="none"/>
        </w:rPr>
        <w:t>：联合协议</w:t>
      </w:r>
    </w:p>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（以联合体形式投标的，提供联合协议；本项目不接受联合体投标或者投标人不以联合体形式投标的，则不需要提供）</w:t>
      </w:r>
    </w:p>
    <w:p>
      <w:pPr>
        <w:snapToGrid w:val="0"/>
        <w:spacing w:line="288" w:lineRule="auto"/>
        <w:ind w:firstLine="424" w:firstLineChars="202"/>
        <w:rPr>
          <w:rFonts w:ascii="宋体" w:hAnsi="宋体" w:cs="宋体"/>
          <w:color w:val="auto"/>
          <w:kern w:val="0"/>
          <w:szCs w:val="21"/>
          <w:highlight w:val="none"/>
          <w:u w:val="single"/>
        </w:rPr>
      </w:pP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u w:val="single"/>
        </w:rPr>
        <w:t>（联合体所有成员名称）</w:t>
      </w:r>
      <w:r>
        <w:rPr>
          <w:rFonts w:hint="eastAsia" w:ascii="宋体" w:hAnsi="宋体" w:cs="宋体"/>
          <w:color w:val="auto"/>
          <w:kern w:val="0"/>
          <w:szCs w:val="21"/>
          <w:highlight w:val="none"/>
        </w:rPr>
        <w:t>自愿</w:t>
      </w:r>
      <w:r>
        <w:rPr>
          <w:rFonts w:hint="eastAsia" w:ascii="宋体" w:hAnsi="宋体" w:cs="宋体"/>
          <w:color w:val="auto"/>
          <w:kern w:val="0"/>
          <w:szCs w:val="21"/>
          <w:highlight w:val="none"/>
          <w:lang w:val="zh-CN"/>
        </w:rPr>
        <w:t>组成一个联合体，以一个投标人的身份</w:t>
      </w:r>
      <w:r>
        <w:rPr>
          <w:rFonts w:hint="eastAsia" w:ascii="宋体" w:hAnsi="宋体" w:cs="宋体"/>
          <w:color w:val="auto"/>
          <w:kern w:val="0"/>
          <w:szCs w:val="21"/>
          <w:highlight w:val="none"/>
        </w:rPr>
        <w:t>参加</w:t>
      </w:r>
      <w:r>
        <w:rPr>
          <w:rFonts w:hint="eastAsia" w:ascii="宋体" w:hAnsi="宋体"/>
          <w:color w:val="auto"/>
          <w:szCs w:val="21"/>
          <w:highlight w:val="none"/>
        </w:rPr>
        <w:t>2024年杭州市拱墅区教育系统部分学校厨房设备采购项目</w:t>
      </w:r>
      <w:r>
        <w:rPr>
          <w:rFonts w:hint="eastAsia" w:ascii="宋体" w:hAnsi="宋体" w:cs="宋体"/>
          <w:color w:val="auto"/>
          <w:szCs w:val="21"/>
          <w:highlight w:val="none"/>
        </w:rPr>
        <w:t>【招标编号：QSZB-Z(H)-B24115(GK)】</w:t>
      </w:r>
      <w:r>
        <w:rPr>
          <w:rFonts w:hint="eastAsia" w:ascii="宋体" w:hAnsi="宋体" w:cs="宋体"/>
          <w:color w:val="auto"/>
          <w:kern w:val="0"/>
          <w:szCs w:val="21"/>
          <w:highlight w:val="none"/>
          <w:lang w:val="zh-CN"/>
        </w:rPr>
        <w:t>投标。</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一、各方一致决定，</w:t>
      </w:r>
      <w:r>
        <w:rPr>
          <w:rFonts w:hint="eastAsia" w:ascii="宋体" w:hAnsi="宋体" w:cs="宋体"/>
          <w:color w:val="auto"/>
          <w:kern w:val="0"/>
          <w:szCs w:val="21"/>
          <w:highlight w:val="none"/>
          <w:u w:val="single"/>
        </w:rPr>
        <w:t>（某联合体成员名称）</w:t>
      </w:r>
      <w:r>
        <w:rPr>
          <w:rFonts w:hint="eastAsia" w:ascii="宋体" w:hAnsi="宋体" w:cs="宋体"/>
          <w:color w:val="auto"/>
          <w:kern w:val="0"/>
          <w:szCs w:val="21"/>
          <w:highlight w:val="none"/>
        </w:rPr>
        <w:t>为联合体</w:t>
      </w:r>
      <w:r>
        <w:rPr>
          <w:rFonts w:hint="eastAsia" w:ascii="宋体" w:hAnsi="宋体" w:cs="宋体"/>
          <w:color w:val="auto"/>
          <w:kern w:val="0"/>
          <w:szCs w:val="21"/>
          <w:highlight w:val="none"/>
          <w:lang w:val="zh-CN"/>
        </w:rPr>
        <w:t>牵头人</w:t>
      </w:r>
      <w:r>
        <w:rPr>
          <w:rFonts w:hint="eastAsia" w:ascii="宋体" w:hAnsi="宋体" w:cs="宋体"/>
          <w:color w:val="auto"/>
          <w:szCs w:val="21"/>
          <w:highlight w:val="none"/>
        </w:rPr>
        <w:t>，代表所有联合体成员负责投标和合同实施阶段的主办、协调工作</w:t>
      </w: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二、</w:t>
      </w:r>
      <w:r>
        <w:rPr>
          <w:rFonts w:hint="eastAsia" w:ascii="宋体" w:hAnsi="宋体" w:cs="宋体"/>
          <w:color w:val="auto"/>
          <w:szCs w:val="21"/>
          <w:highlight w:val="none"/>
        </w:rPr>
        <w:t>所有联合体成员各方签署授权书，授权书载明的</w:t>
      </w:r>
      <w:r>
        <w:rPr>
          <w:rFonts w:hint="eastAsia" w:ascii="宋体" w:hAnsi="宋体" w:cs="宋体"/>
          <w:color w:val="auto"/>
          <w:kern w:val="0"/>
          <w:szCs w:val="21"/>
          <w:highlight w:val="none"/>
          <w:lang w:val="zh-CN"/>
        </w:rPr>
        <w:t>授权代表根据招标文件规定及投标内容而对采购人、采购代理机构所作的任何合法承诺，包括书面澄清及相应等均对联合投标各方产生约束力。</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三、本次联合投标中，分工如下：</w:t>
      </w:r>
    </w:p>
    <w:p>
      <w:pPr>
        <w:snapToGrid w:val="0"/>
        <w:spacing w:line="288" w:lineRule="auto"/>
        <w:ind w:firstLine="424" w:firstLineChars="202"/>
        <w:rPr>
          <w:rFonts w:ascii="宋体" w:hAnsi="宋体" w:cs="宋体"/>
          <w:color w:val="auto"/>
          <w:kern w:val="0"/>
          <w:szCs w:val="21"/>
          <w:highlight w:val="none"/>
          <w:lang w:val="zh-CN"/>
        </w:rPr>
      </w:pPr>
      <w:bookmarkStart w:id="559" w:name="_Hlk101134295"/>
      <w:r>
        <w:rPr>
          <w:rFonts w:hint="eastAsia" w:ascii="宋体" w:hAnsi="宋体" w:cs="宋体"/>
          <w:color w:val="auto"/>
          <w:kern w:val="0"/>
          <w:szCs w:val="21"/>
          <w:highlight w:val="none"/>
          <w:u w:val="single"/>
        </w:rPr>
        <w:t>（联合体成员1）</w:t>
      </w:r>
      <w:r>
        <w:rPr>
          <w:rFonts w:hint="eastAsia" w:ascii="宋体" w:hAnsi="宋体" w:cs="宋体"/>
          <w:color w:val="auto"/>
          <w:kern w:val="0"/>
          <w:szCs w:val="21"/>
          <w:highlight w:val="none"/>
          <w:lang w:val="zh-CN"/>
        </w:rPr>
        <w:t>承担的工作和义务为：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u w:val="single"/>
        </w:rPr>
        <w:t>（联合体成员</w:t>
      </w:r>
      <w:r>
        <w:rPr>
          <w:rFonts w:ascii="宋体" w:hAnsi="宋体" w:cs="宋体"/>
          <w:color w:val="auto"/>
          <w:kern w:val="0"/>
          <w:szCs w:val="21"/>
          <w:highlight w:val="none"/>
          <w:u w:val="single"/>
        </w:rPr>
        <w:t>2</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lang w:val="zh-CN"/>
        </w:rPr>
        <w:t>承担的工作和义务为：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w:t>
      </w:r>
    </w:p>
    <w:bookmarkEnd w:id="559"/>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四、联合体成员中小企业合同份额。</w:t>
      </w:r>
    </w:p>
    <w:p>
      <w:pPr>
        <w:snapToGrid w:val="0"/>
        <w:spacing w:line="288" w:lineRule="auto"/>
        <w:ind w:firstLine="424" w:firstLineChars="202"/>
        <w:rPr>
          <w:rFonts w:ascii="宋体" w:hAnsi="宋体" w:cs="宋体"/>
          <w:b/>
          <w:color w:val="auto"/>
          <w:kern w:val="0"/>
          <w:szCs w:val="21"/>
          <w:highlight w:val="none"/>
          <w:lang w:val="zh-CN"/>
        </w:rPr>
      </w:pPr>
      <w:r>
        <w:rPr>
          <w:rFonts w:hint="eastAsia" w:ascii="宋体" w:hAnsi="宋体" w:cs="宋体"/>
          <w:color w:val="auto"/>
          <w:kern w:val="0"/>
          <w:szCs w:val="21"/>
          <w:highlight w:val="none"/>
          <w:lang w:val="zh-CN"/>
        </w:rPr>
        <w:t>1、</w:t>
      </w:r>
      <w:r>
        <w:rPr>
          <w:rFonts w:hint="eastAsia" w:ascii="宋体" w:hAnsi="宋体" w:cs="宋体"/>
          <w:color w:val="auto"/>
          <w:kern w:val="0"/>
          <w:szCs w:val="21"/>
          <w:highlight w:val="none"/>
          <w:u w:val="single"/>
        </w:rPr>
        <w:t>（联合体成员</w:t>
      </w:r>
      <w:r>
        <w:rPr>
          <w:rFonts w:ascii="宋体" w:hAnsi="宋体" w:cs="宋体"/>
          <w:color w:val="auto"/>
          <w:kern w:val="0"/>
          <w:szCs w:val="21"/>
          <w:highlight w:val="none"/>
          <w:u w:val="single"/>
        </w:rPr>
        <w:t>X,</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提供的全部货物由小微企业制造，其合同份额占到合同总金额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%以上；</w:t>
      </w:r>
      <w:r>
        <w:rPr>
          <w:rFonts w:hint="eastAsia" w:ascii="宋体" w:hAnsi="宋体" w:cs="宋体"/>
          <w:color w:val="auto"/>
          <w:kern w:val="0"/>
          <w:szCs w:val="21"/>
          <w:highlight w:val="none"/>
          <w:lang w:val="zh-CN"/>
        </w:rPr>
        <w:t>……。</w:t>
      </w:r>
      <w:r>
        <w:rPr>
          <w:rFonts w:hint="eastAsia" w:ascii="宋体" w:hAnsi="宋体" w:cs="宋体"/>
          <w:b/>
          <w:color w:val="auto"/>
          <w:kern w:val="0"/>
          <w:szCs w:val="21"/>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Cs w:val="21"/>
          <w:highlight w:val="none"/>
        </w:rPr>
        <w:t>拟享受以上价格扣除政策的，填写有关内容。</w:t>
      </w:r>
      <w:r>
        <w:rPr>
          <w:rFonts w:hint="eastAsia" w:ascii="宋体" w:hAnsi="宋体" w:cs="宋体"/>
          <w:b/>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szCs w:val="21"/>
          <w:highlight w:val="none"/>
        </w:rPr>
        <w:t>2、中小企业合同金额达到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%，其中小微企业合同金额达到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kern w:val="0"/>
          <w:szCs w:val="21"/>
          <w:highlight w:val="none"/>
          <w:lang w:val="zh-CN"/>
        </w:rPr>
        <w:t>。</w:t>
      </w:r>
      <w:r>
        <w:rPr>
          <w:rFonts w:hint="eastAsia" w:ascii="宋体" w:hAnsi="宋体" w:cs="宋体"/>
          <w:b/>
          <w:bCs/>
          <w:color w:val="auto"/>
          <w:kern w:val="0"/>
          <w:szCs w:val="21"/>
          <w:highlight w:val="none"/>
          <w:lang w:val="zh-CN"/>
        </w:rPr>
        <w:t>（</w:t>
      </w:r>
      <w:r>
        <w:rPr>
          <w:rFonts w:hint="eastAsia" w:ascii="宋体" w:hAnsi="宋体" w:cs="宋体"/>
          <w:b/>
          <w:bCs/>
          <w:color w:val="auto"/>
          <w:szCs w:val="21"/>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五、如果中标，</w:t>
      </w:r>
      <w:r>
        <w:rPr>
          <w:rFonts w:hint="eastAsia" w:ascii="宋体" w:hAnsi="宋体" w:cs="宋体"/>
          <w:color w:val="auto"/>
          <w:szCs w:val="21"/>
          <w:highlight w:val="none"/>
        </w:rPr>
        <w:t>联合体各成员方共同与采购人签订合同，并就采购合同约定的事项对采购人承担连带责任。</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六、有关本次联合投标的其他事宜：</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1、联合体各方不再单独参加或者与其他供应商另外组成联合体参加同一合同项下的政府采购活动。</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2、联合体中有同类资质的各方按照联合体分工承担相同工作的，按照资质等级较低的供应商确定资质等级。</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3、本协议提交采购人、采购代理机构后，联合体各方不得以任何形式对上述内容进行修改或撤销。</w:t>
      </w:r>
    </w:p>
    <w:p>
      <w:pPr>
        <w:snapToGrid w:val="0"/>
        <w:spacing w:line="288" w:lineRule="auto"/>
        <w:ind w:firstLine="424" w:firstLineChars="202"/>
        <w:rPr>
          <w:rFonts w:ascii="宋体" w:hAnsi="宋体" w:cs="宋体"/>
          <w:color w:val="auto"/>
          <w:kern w:val="0"/>
          <w:szCs w:val="21"/>
          <w:highlight w:val="none"/>
          <w:lang w:val="zh-CN"/>
        </w:rPr>
      </w:pP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联合体成员名称(电子签名/公章)：</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联合体成员名称(电子签名/公章)：</w:t>
      </w:r>
    </w:p>
    <w:p>
      <w:pPr>
        <w:snapToGrid w:val="0"/>
        <w:spacing w:line="288" w:lineRule="auto"/>
        <w:ind w:right="960"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w:t>
      </w:r>
    </w:p>
    <w:p>
      <w:pPr>
        <w:snapToGrid w:val="0"/>
        <w:spacing w:line="288" w:lineRule="auto"/>
        <w:ind w:right="840"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日期：  年  月   日</w:t>
      </w:r>
    </w:p>
    <w:p>
      <w:pPr>
        <w:snapToGrid w:val="0"/>
        <w:spacing w:line="288" w:lineRule="auto"/>
        <w:ind w:right="420" w:firstLine="424" w:firstLineChars="202"/>
        <w:rPr>
          <w:rFonts w:ascii="宋体" w:hAnsi="宋体" w:cs="宋体"/>
          <w:color w:val="auto"/>
          <w:szCs w:val="21"/>
          <w:highlight w:val="none"/>
        </w:rPr>
      </w:pPr>
    </w:p>
    <w:p>
      <w:pPr>
        <w:snapToGrid w:val="0"/>
        <w:spacing w:line="288" w:lineRule="auto"/>
        <w:ind w:right="420" w:firstLine="424" w:firstLineChars="202"/>
        <w:rPr>
          <w:rFonts w:ascii="宋体" w:hAnsi="宋体" w:cs="宋体"/>
          <w:color w:val="auto"/>
          <w:szCs w:val="21"/>
          <w:highlight w:val="none"/>
        </w:rPr>
      </w:pPr>
      <w:r>
        <w:rPr>
          <w:rFonts w:hint="eastAsia" w:ascii="宋体" w:hAnsi="宋体" w:cs="宋体"/>
          <w:color w:val="auto"/>
          <w:szCs w:val="21"/>
          <w:highlight w:val="none"/>
        </w:rPr>
        <w:t>注：按本格式和要求提供。</w:t>
      </w:r>
    </w:p>
    <w:p>
      <w:pPr>
        <w:widowControl/>
        <w:adjustRightInd/>
        <w:jc w:val="left"/>
        <w:rPr>
          <w:rFonts w:ascii="宋体" w:hAnsi="宋体" w:cs="宋体"/>
          <w:b/>
          <w:color w:val="auto"/>
          <w:spacing w:val="6"/>
          <w:szCs w:val="21"/>
          <w:highlight w:val="none"/>
        </w:rPr>
      </w:pPr>
      <w:r>
        <w:rPr>
          <w:rFonts w:ascii="宋体" w:hAnsi="宋体" w:cs="宋体"/>
          <w:b/>
          <w:color w:val="auto"/>
          <w:spacing w:val="6"/>
          <w:szCs w:val="21"/>
          <w:highlight w:val="none"/>
        </w:rPr>
        <w:br w:type="page"/>
      </w:r>
    </w:p>
    <w:p>
      <w:pPr>
        <w:snapToGrid w:val="0"/>
        <w:spacing w:line="288" w:lineRule="auto"/>
        <w:jc w:val="center"/>
        <w:outlineLvl w:val="1"/>
        <w:rPr>
          <w:rFonts w:ascii="宋体" w:hAnsi="宋体" w:cs="宋体"/>
          <w:b/>
          <w:color w:val="auto"/>
          <w:kern w:val="0"/>
          <w:szCs w:val="21"/>
          <w:highlight w:val="none"/>
        </w:rPr>
      </w:pPr>
      <w:r>
        <w:rPr>
          <w:rFonts w:hint="eastAsia" w:ascii="宋体" w:hAnsi="宋体" w:cs="宋体"/>
          <w:b/>
          <w:color w:val="auto"/>
          <w:kern w:val="0"/>
          <w:szCs w:val="21"/>
          <w:highlight w:val="none"/>
        </w:rPr>
        <w:t>附件</w:t>
      </w:r>
      <w:r>
        <w:rPr>
          <w:rFonts w:ascii="宋体" w:hAnsi="宋体" w:cs="宋体"/>
          <w:b/>
          <w:color w:val="auto"/>
          <w:kern w:val="0"/>
          <w:szCs w:val="21"/>
          <w:highlight w:val="none"/>
        </w:rPr>
        <w:t>6</w:t>
      </w:r>
      <w:r>
        <w:rPr>
          <w:rFonts w:hint="eastAsia" w:ascii="宋体" w:hAnsi="宋体" w:cs="宋体"/>
          <w:b/>
          <w:color w:val="auto"/>
          <w:kern w:val="0"/>
          <w:szCs w:val="21"/>
          <w:highlight w:val="none"/>
        </w:rPr>
        <w:t>：分包意向协议</w:t>
      </w:r>
    </w:p>
    <w:p>
      <w:pPr>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color w:val="auto"/>
          <w:szCs w:val="21"/>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Cs w:val="21"/>
          <w:highlight w:val="none"/>
        </w:rPr>
        <w:t>）</w:t>
      </w:r>
    </w:p>
    <w:p>
      <w:pPr>
        <w:snapToGrid w:val="0"/>
        <w:spacing w:line="288" w:lineRule="auto"/>
        <w:rPr>
          <w:rFonts w:ascii="宋体" w:hAnsi="宋体" w:cs="宋体"/>
          <w:color w:val="auto"/>
          <w:kern w:val="0"/>
          <w:szCs w:val="21"/>
          <w:highlight w:val="none"/>
          <w:u w:val="single"/>
        </w:rPr>
      </w:pP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u w:val="single"/>
        </w:rPr>
        <w:t>（投标人名称）</w:t>
      </w:r>
      <w:r>
        <w:rPr>
          <w:rFonts w:hint="eastAsia" w:ascii="宋体" w:hAnsi="宋体" w:cs="宋体"/>
          <w:color w:val="auto"/>
          <w:kern w:val="0"/>
          <w:szCs w:val="21"/>
          <w:highlight w:val="none"/>
          <w:lang w:val="zh-CN"/>
        </w:rPr>
        <w:t>若成为</w:t>
      </w:r>
      <w:r>
        <w:rPr>
          <w:rFonts w:hint="eastAsia" w:ascii="宋体" w:hAnsi="宋体"/>
          <w:color w:val="auto"/>
          <w:szCs w:val="21"/>
          <w:highlight w:val="none"/>
        </w:rPr>
        <w:t>2024年杭州市拱墅区教育系统部分学校厨房设备采购项目</w:t>
      </w:r>
      <w:r>
        <w:rPr>
          <w:rFonts w:hint="eastAsia" w:ascii="宋体" w:hAnsi="宋体" w:cs="宋体"/>
          <w:color w:val="auto"/>
          <w:szCs w:val="21"/>
          <w:highlight w:val="none"/>
        </w:rPr>
        <w:t>【招标编号：QSZB-Z(H)-B24115(GK)】</w:t>
      </w:r>
      <w:r>
        <w:rPr>
          <w:rFonts w:hint="eastAsia" w:ascii="宋体" w:hAnsi="宋体" w:cs="宋体"/>
          <w:color w:val="auto"/>
          <w:kern w:val="0"/>
          <w:szCs w:val="21"/>
          <w:highlight w:val="none"/>
          <w:lang w:val="zh-CN"/>
        </w:rPr>
        <w:t>的中标供应商，将依法采取分包方式履行合同。</w:t>
      </w:r>
      <w:r>
        <w:rPr>
          <w:rFonts w:hint="eastAsia" w:ascii="宋体" w:hAnsi="宋体" w:cs="宋体"/>
          <w:color w:val="auto"/>
          <w:kern w:val="0"/>
          <w:szCs w:val="21"/>
          <w:highlight w:val="none"/>
          <w:u w:val="single"/>
        </w:rPr>
        <w:t>（投标人名称）</w:t>
      </w:r>
      <w:r>
        <w:rPr>
          <w:rFonts w:hint="eastAsia" w:ascii="宋体" w:hAnsi="宋体" w:cs="宋体"/>
          <w:color w:val="auto"/>
          <w:kern w:val="0"/>
          <w:szCs w:val="21"/>
          <w:highlight w:val="none"/>
        </w:rPr>
        <w:t>与</w:t>
      </w:r>
      <w:r>
        <w:rPr>
          <w:rFonts w:hint="eastAsia" w:ascii="宋体" w:hAnsi="宋体" w:cs="宋体"/>
          <w:color w:val="auto"/>
          <w:kern w:val="0"/>
          <w:szCs w:val="21"/>
          <w:highlight w:val="none"/>
          <w:u w:val="single"/>
        </w:rPr>
        <w:t>（所有分包供应商名称）</w:t>
      </w:r>
      <w:r>
        <w:rPr>
          <w:rFonts w:hint="eastAsia" w:ascii="宋体" w:hAnsi="宋体" w:cs="宋体"/>
          <w:color w:val="auto"/>
          <w:kern w:val="0"/>
          <w:szCs w:val="21"/>
          <w:highlight w:val="none"/>
        </w:rPr>
        <w:t>达成分包意向协议</w:t>
      </w: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一、分包标的及数量</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u w:val="single"/>
        </w:rPr>
        <w:t>（投标人名称）</w:t>
      </w:r>
      <w:r>
        <w:rPr>
          <w:rFonts w:hint="eastAsia" w:ascii="宋体" w:hAnsi="宋体" w:cs="宋体"/>
          <w:color w:val="auto"/>
          <w:kern w:val="0"/>
          <w:szCs w:val="21"/>
          <w:highlight w:val="none"/>
          <w:lang w:val="zh-CN"/>
        </w:rPr>
        <w:t>将</w:t>
      </w:r>
      <w:r>
        <w:rPr>
          <w:rFonts w:hint="eastAsia" w:ascii="宋体" w:hAnsi="宋体" w:cs="宋体"/>
          <w:color w:val="auto"/>
          <w:szCs w:val="21"/>
          <w:highlight w:val="none"/>
          <w:u w:val="single"/>
        </w:rPr>
        <w:t xml:space="preserve"> </w:t>
      </w:r>
      <w:r>
        <w:rPr>
          <w:rFonts w:ascii="宋体" w:hAnsi="宋体" w:cs="宋体"/>
          <w:color w:val="auto"/>
          <w:kern w:val="0"/>
          <w:szCs w:val="21"/>
          <w:highlight w:val="none"/>
          <w:u w:val="single"/>
        </w:rPr>
        <w:t xml:space="preserve">  XX工作内容   </w:t>
      </w:r>
      <w:r>
        <w:rPr>
          <w:rFonts w:hint="eastAsia" w:ascii="宋体" w:hAnsi="宋体" w:cs="宋体"/>
          <w:color w:val="auto"/>
          <w:szCs w:val="21"/>
          <w:highlight w:val="none"/>
        </w:rPr>
        <w:t>分包给</w:t>
      </w:r>
      <w:r>
        <w:rPr>
          <w:rFonts w:hint="eastAsia" w:ascii="宋体" w:hAnsi="宋体" w:cs="宋体"/>
          <w:color w:val="auto"/>
          <w:kern w:val="0"/>
          <w:szCs w:val="21"/>
          <w:highlight w:val="none"/>
          <w:u w:val="single"/>
        </w:rPr>
        <w:t>（分包供应商1名称）</w:t>
      </w:r>
      <w:r>
        <w:rPr>
          <w:rFonts w:hint="eastAsia" w:ascii="宋体" w:hAnsi="宋体" w:cs="宋体"/>
          <w:color w:val="auto"/>
          <w:kern w:val="0"/>
          <w:szCs w:val="21"/>
          <w:highlight w:val="none"/>
          <w:lang w:val="zh-CN"/>
        </w:rPr>
        <w:t>，</w:t>
      </w:r>
      <w:r>
        <w:rPr>
          <w:rFonts w:hint="eastAsia" w:ascii="宋体" w:hAnsi="宋体" w:cs="宋体"/>
          <w:color w:val="auto"/>
          <w:kern w:val="0"/>
          <w:szCs w:val="21"/>
          <w:highlight w:val="none"/>
          <w:u w:val="single"/>
        </w:rPr>
        <w:t>（分包供应商1名称），</w:t>
      </w:r>
      <w:r>
        <w:rPr>
          <w:rFonts w:hint="eastAsia" w:ascii="宋体" w:hAnsi="宋体" w:cs="宋体"/>
          <w:color w:val="auto"/>
          <w:kern w:val="0"/>
          <w:szCs w:val="21"/>
          <w:highlight w:val="none"/>
          <w:lang w:val="zh-CN"/>
        </w:rPr>
        <w:t>具备承</w:t>
      </w:r>
      <w:r>
        <w:rPr>
          <w:rFonts w:hint="eastAsia" w:ascii="宋体" w:hAnsi="宋体" w:cs="宋体"/>
          <w:color w:val="auto"/>
          <w:kern w:val="0"/>
          <w:szCs w:val="21"/>
          <w:highlight w:val="none"/>
        </w:rPr>
        <w:t>担</w:t>
      </w:r>
      <w:r>
        <w:rPr>
          <w:rFonts w:hint="eastAsia" w:ascii="宋体" w:hAnsi="宋体" w:cs="宋体"/>
          <w:color w:val="auto"/>
          <w:kern w:val="0"/>
          <w:szCs w:val="21"/>
          <w:highlight w:val="none"/>
          <w:u w:val="single"/>
          <w:lang w:val="zh-CN"/>
        </w:rPr>
        <w:t>XX工作内容</w:t>
      </w:r>
      <w:r>
        <w:rPr>
          <w:rFonts w:hint="eastAsia" w:ascii="宋体" w:hAnsi="宋体" w:cs="宋体"/>
          <w:color w:val="auto"/>
          <w:kern w:val="0"/>
          <w:szCs w:val="21"/>
          <w:highlight w:val="none"/>
          <w:lang w:val="zh-CN"/>
        </w:rPr>
        <w:t>相应资质条件且不得再次分包；</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二、分包供应商中小企业合同份额</w:t>
      </w:r>
    </w:p>
    <w:p>
      <w:pPr>
        <w:snapToGrid w:val="0"/>
        <w:spacing w:line="288" w:lineRule="auto"/>
        <w:ind w:firstLine="424" w:firstLineChars="202"/>
        <w:rPr>
          <w:rFonts w:ascii="宋体" w:hAnsi="宋体" w:cs="宋体"/>
          <w:b/>
          <w:color w:val="auto"/>
          <w:kern w:val="0"/>
          <w:szCs w:val="21"/>
          <w:highlight w:val="none"/>
          <w:lang w:val="zh-CN"/>
        </w:rPr>
      </w:pPr>
      <w:r>
        <w:rPr>
          <w:rFonts w:ascii="宋体" w:hAnsi="宋体" w:cs="宋体"/>
          <w:color w:val="auto"/>
          <w:kern w:val="0"/>
          <w:szCs w:val="21"/>
          <w:highlight w:val="none"/>
        </w:rPr>
        <w:t>1、</w:t>
      </w:r>
      <w:r>
        <w:rPr>
          <w:rFonts w:hint="eastAsia" w:ascii="宋体" w:hAnsi="宋体" w:cs="宋体"/>
          <w:color w:val="auto"/>
          <w:kern w:val="0"/>
          <w:szCs w:val="21"/>
          <w:highlight w:val="none"/>
          <w:u w:val="single"/>
        </w:rPr>
        <w:t>（分包供应商X</w:t>
      </w:r>
      <w:r>
        <w:rPr>
          <w:rFonts w:ascii="宋体" w:hAnsi="宋体" w:cs="宋体"/>
          <w:color w:val="auto"/>
          <w:kern w:val="0"/>
          <w:szCs w:val="21"/>
          <w:highlight w:val="none"/>
          <w:u w:val="single"/>
        </w:rPr>
        <w:t>,</w:t>
      </w:r>
      <w:r>
        <w:rPr>
          <w:rFonts w:hint="eastAsia" w:ascii="宋体" w:hAnsi="宋体" w:cs="宋体"/>
          <w:color w:val="auto"/>
          <w:kern w:val="0"/>
          <w:szCs w:val="21"/>
          <w:highlight w:val="none"/>
          <w:u w:val="single"/>
        </w:rPr>
        <w:t>……）提供的货物全部由小微企业制造，</w:t>
      </w:r>
      <w:r>
        <w:rPr>
          <w:rFonts w:hint="eastAsia" w:ascii="宋体" w:hAnsi="宋体" w:cs="宋体"/>
          <w:color w:val="auto"/>
          <w:kern w:val="0"/>
          <w:szCs w:val="21"/>
          <w:highlight w:val="none"/>
        </w:rPr>
        <w:t>其合同份额占到合同总金额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%以上</w:t>
      </w:r>
      <w:r>
        <w:rPr>
          <w:rFonts w:hint="eastAsia" w:ascii="宋体" w:hAnsi="宋体" w:cs="宋体"/>
          <w:color w:val="auto"/>
          <w:szCs w:val="21"/>
          <w:highlight w:val="none"/>
        </w:rPr>
        <w:t>。</w:t>
      </w:r>
      <w:r>
        <w:rPr>
          <w:rFonts w:hint="eastAsia" w:ascii="宋体" w:hAnsi="宋体" w:cs="宋体"/>
          <w:b/>
          <w:color w:val="auto"/>
          <w:kern w:val="0"/>
          <w:szCs w:val="21"/>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Cs w:val="21"/>
          <w:highlight w:val="none"/>
        </w:rPr>
        <w:t>拟享受以上价格扣除政策的，填写有关内容。</w:t>
      </w:r>
      <w:r>
        <w:rPr>
          <w:rFonts w:hint="eastAsia" w:ascii="宋体" w:hAnsi="宋体" w:cs="宋体"/>
          <w:b/>
          <w:color w:val="auto"/>
          <w:kern w:val="0"/>
          <w:szCs w:val="21"/>
          <w:highlight w:val="none"/>
          <w:lang w:val="zh-CN"/>
        </w:rPr>
        <w:t>）</w:t>
      </w:r>
    </w:p>
    <w:p>
      <w:pPr>
        <w:snapToGrid w:val="0"/>
        <w:spacing w:line="288" w:lineRule="auto"/>
        <w:ind w:firstLine="424" w:firstLineChars="202"/>
        <w:rPr>
          <w:rFonts w:ascii="宋体" w:hAnsi="宋体" w:cs="宋体"/>
          <w:b/>
          <w:bCs/>
          <w:color w:val="auto"/>
          <w:kern w:val="0"/>
          <w:szCs w:val="21"/>
          <w:highlight w:val="none"/>
          <w:lang w:val="zh-CN"/>
        </w:rPr>
      </w:pPr>
      <w:r>
        <w:rPr>
          <w:rFonts w:hint="eastAsia" w:ascii="宋体" w:hAnsi="宋体" w:cs="宋体"/>
          <w:color w:val="auto"/>
          <w:szCs w:val="21"/>
          <w:highlight w:val="none"/>
        </w:rPr>
        <w:t>2、</w:t>
      </w:r>
      <w:bookmarkStart w:id="560" w:name="_Hlk101133173"/>
      <w:r>
        <w:rPr>
          <w:rFonts w:hint="eastAsia" w:ascii="宋体" w:hAnsi="宋体" w:cs="宋体"/>
          <w:color w:val="auto"/>
          <w:szCs w:val="21"/>
          <w:highlight w:val="none"/>
        </w:rPr>
        <w:t>中小企业合同金额达到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%，其中小微企业合同金额达到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kern w:val="0"/>
          <w:szCs w:val="21"/>
          <w:highlight w:val="none"/>
          <w:lang w:val="zh-CN"/>
        </w:rPr>
        <w:t>。</w:t>
      </w:r>
      <w:r>
        <w:rPr>
          <w:rFonts w:hint="eastAsia" w:ascii="宋体" w:hAnsi="宋体" w:cs="宋体"/>
          <w:b/>
          <w:bCs/>
          <w:color w:val="auto"/>
          <w:kern w:val="0"/>
          <w:szCs w:val="21"/>
          <w:highlight w:val="none"/>
          <w:lang w:val="zh-CN"/>
        </w:rPr>
        <w:t>（</w:t>
      </w:r>
      <w:r>
        <w:rPr>
          <w:rFonts w:hint="eastAsia" w:ascii="宋体" w:hAnsi="宋体" w:cs="宋体"/>
          <w:b/>
          <w:bCs/>
          <w:color w:val="auto"/>
          <w:szCs w:val="21"/>
          <w:highlight w:val="none"/>
        </w:rPr>
        <w:t>要求合同分包形式参加的项目或采购包，供应商按招标文件第一部分招标公告申请人的资格要求中规定的</w:t>
      </w:r>
      <w:r>
        <w:rPr>
          <w:rFonts w:hint="eastAsia" w:ascii="宋体" w:hAnsi="宋体" w:cs="宋体"/>
          <w:b/>
          <w:color w:val="auto"/>
          <w:kern w:val="0"/>
          <w:szCs w:val="21"/>
          <w:highlight w:val="none"/>
          <w:lang w:val="zh-CN"/>
        </w:rPr>
        <w:t>分包意向协议</w:t>
      </w:r>
      <w:r>
        <w:rPr>
          <w:rFonts w:hint="eastAsia" w:ascii="宋体" w:hAnsi="宋体" w:cs="宋体"/>
          <w:b/>
          <w:bCs/>
          <w:color w:val="auto"/>
          <w:szCs w:val="21"/>
          <w:highlight w:val="none"/>
        </w:rPr>
        <w:t>中中小企业、小微企业合同金额应当达到的比例要求填写。</w:t>
      </w:r>
      <w:r>
        <w:rPr>
          <w:rFonts w:hint="eastAsia" w:ascii="宋体" w:hAnsi="宋体" w:cs="宋体"/>
          <w:b/>
          <w:bCs/>
          <w:color w:val="auto"/>
          <w:kern w:val="0"/>
          <w:szCs w:val="21"/>
          <w:highlight w:val="none"/>
          <w:lang w:val="zh-CN"/>
        </w:rPr>
        <w:t>）</w:t>
      </w:r>
      <w:bookmarkEnd w:id="560"/>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三、分包工作履行期限、地点、方式</w:t>
      </w:r>
    </w:p>
    <w:p>
      <w:pPr>
        <w:snapToGrid w:val="0"/>
        <w:spacing w:line="288"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四、质量</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五、价款或者报酬</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六、违约责任</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七、争议解决的办法</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szCs w:val="21"/>
          <w:highlight w:val="none"/>
          <w:u w:val="single"/>
        </w:rPr>
        <w:t xml:space="preserve">                                                                                  </w:t>
      </w:r>
    </w:p>
    <w:p>
      <w:pPr>
        <w:snapToGrid w:val="0"/>
        <w:spacing w:line="288" w:lineRule="auto"/>
        <w:ind w:firstLine="424" w:firstLineChars="202"/>
        <w:rPr>
          <w:rFonts w:ascii="宋体" w:hAnsi="宋体" w:cs="宋体"/>
          <w:color w:val="auto"/>
          <w:kern w:val="0"/>
          <w:szCs w:val="21"/>
          <w:highlight w:val="none"/>
          <w:lang w:val="zh-CN"/>
        </w:rPr>
      </w:pP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投标人名称(电子签名)：</w:t>
      </w:r>
    </w:p>
    <w:p>
      <w:pPr>
        <w:snapToGrid w:val="0"/>
        <w:spacing w:line="288" w:lineRule="auto"/>
        <w:ind w:right="840"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分包供应商名称(电子签名/公章)：</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kern w:val="0"/>
          <w:szCs w:val="21"/>
          <w:highlight w:val="none"/>
          <w:lang w:val="zh-CN"/>
        </w:rPr>
        <w:t>……</w:t>
      </w:r>
    </w:p>
    <w:p>
      <w:pPr>
        <w:snapToGrid w:val="0"/>
        <w:spacing w:line="288" w:lineRule="auto"/>
        <w:ind w:firstLine="424" w:firstLineChars="202"/>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日期：  年  月   日</w:t>
      </w:r>
    </w:p>
    <w:p>
      <w:pPr>
        <w:snapToGrid w:val="0"/>
        <w:spacing w:line="288" w:lineRule="auto"/>
        <w:ind w:right="420" w:firstLine="424" w:firstLineChars="202"/>
        <w:rPr>
          <w:rFonts w:ascii="宋体" w:hAnsi="宋体" w:cs="宋体"/>
          <w:color w:val="auto"/>
          <w:szCs w:val="21"/>
          <w:highlight w:val="none"/>
        </w:rPr>
      </w:pPr>
    </w:p>
    <w:p>
      <w:pPr>
        <w:snapToGrid w:val="0"/>
        <w:spacing w:line="288" w:lineRule="auto"/>
        <w:ind w:right="420" w:firstLine="424" w:firstLineChars="202"/>
        <w:rPr>
          <w:rFonts w:ascii="宋体" w:hAnsi="宋体" w:cs="宋体"/>
          <w:color w:val="auto"/>
          <w:szCs w:val="21"/>
          <w:highlight w:val="none"/>
        </w:rPr>
      </w:pPr>
      <w:r>
        <w:rPr>
          <w:rFonts w:hint="eastAsia" w:ascii="宋体" w:hAnsi="宋体" w:cs="宋体"/>
          <w:color w:val="auto"/>
          <w:szCs w:val="21"/>
          <w:highlight w:val="none"/>
        </w:rPr>
        <w:t>注：按本格式和要求提供。</w:t>
      </w:r>
    </w:p>
    <w:p>
      <w:pPr>
        <w:snapToGrid w:val="0"/>
        <w:spacing w:line="288" w:lineRule="auto"/>
        <w:jc w:val="left"/>
        <w:rPr>
          <w:rFonts w:ascii="宋体" w:hAnsi="宋体" w:cs="宋体"/>
          <w:b/>
          <w:color w:val="auto"/>
          <w:kern w:val="0"/>
          <w:szCs w:val="21"/>
          <w:highlight w:val="none"/>
        </w:rPr>
      </w:pPr>
      <w:r>
        <w:rPr>
          <w:rFonts w:ascii="宋体" w:hAnsi="宋体" w:cs="宋体"/>
          <w:b/>
          <w:color w:val="auto"/>
          <w:kern w:val="0"/>
          <w:szCs w:val="21"/>
          <w:highlight w:val="none"/>
        </w:rPr>
        <w:br w:type="page"/>
      </w:r>
    </w:p>
    <w:p>
      <w:pPr>
        <w:snapToGrid w:val="0"/>
        <w:spacing w:line="288" w:lineRule="auto"/>
        <w:outlineLvl w:val="1"/>
        <w:rPr>
          <w:rFonts w:ascii="宋体" w:hAnsi="宋体" w:cs="宋体"/>
          <w:b/>
          <w:color w:val="auto"/>
          <w:kern w:val="0"/>
          <w:szCs w:val="21"/>
          <w:highlight w:val="none"/>
        </w:rPr>
      </w:pPr>
      <w:r>
        <w:rPr>
          <w:rFonts w:hint="eastAsia" w:ascii="宋体" w:hAnsi="宋体" w:cs="宋体"/>
          <w:b/>
          <w:color w:val="auto"/>
          <w:kern w:val="0"/>
          <w:szCs w:val="21"/>
          <w:highlight w:val="none"/>
        </w:rPr>
        <w:t>附件</w:t>
      </w:r>
      <w:r>
        <w:rPr>
          <w:rFonts w:ascii="宋体" w:hAnsi="宋体" w:cs="宋体"/>
          <w:b/>
          <w:color w:val="auto"/>
          <w:kern w:val="0"/>
          <w:szCs w:val="21"/>
          <w:highlight w:val="none"/>
        </w:rPr>
        <w:t>7</w:t>
      </w:r>
      <w:r>
        <w:rPr>
          <w:rFonts w:hint="eastAsia" w:ascii="宋体" w:hAnsi="宋体" w:cs="宋体"/>
          <w:b/>
          <w:color w:val="auto"/>
          <w:kern w:val="0"/>
          <w:szCs w:val="21"/>
          <w:highlight w:val="none"/>
        </w:rPr>
        <w:t>：中小企业声明函</w:t>
      </w:r>
    </w:p>
    <w:p>
      <w:pPr>
        <w:snapToGrid w:val="0"/>
        <w:spacing w:line="288" w:lineRule="auto"/>
        <w:jc w:val="center"/>
        <w:rPr>
          <w:rFonts w:ascii="宋体" w:hAnsi="宋体" w:cs="宋体"/>
          <w:color w:val="auto"/>
          <w:szCs w:val="21"/>
          <w:highlight w:val="none"/>
          <w:u w:val="single"/>
        </w:rPr>
      </w:pPr>
    </w:p>
    <w:p>
      <w:pPr>
        <w:snapToGrid w:val="0"/>
        <w:spacing w:line="288" w:lineRule="auto"/>
        <w:jc w:val="center"/>
        <w:rPr>
          <w:rFonts w:ascii="宋体" w:hAnsi="宋体" w:cs="宋体"/>
          <w:b/>
          <w:color w:val="auto"/>
          <w:szCs w:val="21"/>
          <w:highlight w:val="none"/>
        </w:rPr>
      </w:pPr>
      <w:r>
        <w:rPr>
          <w:rFonts w:hint="eastAsia" w:ascii="宋体" w:hAnsi="宋体" w:cs="宋体"/>
          <w:b/>
          <w:color w:val="auto"/>
          <w:szCs w:val="21"/>
          <w:highlight w:val="none"/>
        </w:rPr>
        <w:t>中小企业声明函（货物）</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 xml:space="preserve">本公司（联合体）郑重声明，根据《政府采购促进中小企业发展管理办法》（财库﹝2020﹞46 号）的规定，本公司（联合体）参加 </w:t>
      </w:r>
      <w:r>
        <w:rPr>
          <w:rFonts w:hint="eastAsia" w:ascii="宋体" w:hAnsi="宋体" w:cs="宋体"/>
          <w:color w:val="auto"/>
          <w:szCs w:val="21"/>
          <w:highlight w:val="none"/>
          <w:u w:val="single"/>
        </w:rPr>
        <w:t xml:space="preserve">杭州市拱墅区教育发展服务中心 </w:t>
      </w:r>
      <w:r>
        <w:rPr>
          <w:rFonts w:hint="eastAsia" w:ascii="宋体" w:hAnsi="宋体" w:cs="宋体"/>
          <w:color w:val="auto"/>
          <w:szCs w:val="21"/>
          <w:highlight w:val="none"/>
        </w:rPr>
        <w:t xml:space="preserve">的 </w:t>
      </w:r>
      <w:r>
        <w:rPr>
          <w:rFonts w:hint="eastAsia" w:ascii="宋体" w:hAnsi="宋体"/>
          <w:color w:val="auto"/>
          <w:szCs w:val="21"/>
          <w:highlight w:val="none"/>
          <w:u w:val="single"/>
        </w:rPr>
        <w:t>2024年杭州市拱墅区教育系统部分学校厨房设备采购项目</w:t>
      </w:r>
      <w:r>
        <w:rPr>
          <w:rFonts w:hint="eastAsia" w:ascii="宋体" w:hAnsi="宋体" w:cs="宋体"/>
          <w:color w:val="auto"/>
          <w:szCs w:val="21"/>
          <w:highlight w:val="none"/>
        </w:rPr>
        <w:t xml:space="preserve"> 采购活动，提供的货物全部由符合政策要求的中小企业制造。相关企业（含联合体中的中小企业、签订分包意向协议的中小企业）的具体情况如下：</w:t>
      </w:r>
    </w:p>
    <w:p>
      <w:pPr>
        <w:adjustRightInd/>
        <w:ind w:firstLine="420" w:firstLineChars="200"/>
        <w:rPr>
          <w:rFonts w:ascii="Calibri" w:hAnsi="Calibri"/>
          <w:color w:val="auto"/>
          <w:highlight w:val="none"/>
        </w:rPr>
      </w:pPr>
      <w:r>
        <w:rPr>
          <w:rFonts w:hint="eastAsia" w:ascii="Calibri" w:hAnsi="Calibri"/>
          <w:color w:val="auto"/>
          <w:highlight w:val="none"/>
        </w:rPr>
        <w:t>1.不锈钢防火阀，属于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2.大米架1，属于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3.电开水器（连底座），属于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4.风机、净化器槽钢支架，属于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5.紫外线消毒灯，属于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6.不锈钢风管2，属于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7.单冷水龙头2，属于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8.弹簧减震器1，属于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9.风机变频启动箱1，属于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10.风机变频启动箱2，属于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11.风机变频启动箱3，属于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12.风机软连接，属于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13.风幕机1，属于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14.感应龙头1，属于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15.工作台加档1，属于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16.工作台加档2，属于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17.红外感应干手机，属于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18.冷热混水龙头，属于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19.平板推车，属于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20.双门电蒸饭柜1，属于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21.双星盆台1，属于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22.洗手长槽，属于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23.燃气双眼大锅灶1，属于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24.燃气一大一小灶，属于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25.上翻门万能组合消毒柜，属于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26.电热双门蒸饭车，属于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27.多功能切菜机1，属于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28.三格保温台，属于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29.工作台，属于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30.调料台1，属于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31.留样冰箱1，属于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32.长龙式全自动洗碗机，属于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33.粘捕式灭蝇灯，属于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34.粘板刀具消毒柜，属于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35.员工茶水吊柜，属于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36.洗碗机浸泡池（无背），属于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37.洗手星盆1，属于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38.拖把池（连挂架），属于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39.四门全冷冻冰箱（风冷），属于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40.四层货架1，属于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41四层板架，属于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42.水池拼板，属于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43.双星盆台2，属于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44.剖鱼星盆台，属于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45.解冻星盆台，属于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46.双门热风循环消毒柜1，属于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47.双眼燃气大锅灶1，属于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48.一广一汤燃气炒灶，属于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49.双门燃气蒸饭柜1，属于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50.三门更衣柜1，属于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51.软连接1，属于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52.调料台2，属于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53.调料台3，属于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54.集气罩1，属于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55.集气罩2，属于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56.活动双层洁碟台，属于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57.红外感应水龙头，属于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58.工作台加档3，属于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59.高低组合柜，属于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60.多功能切菜机2，属于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61.单星盆台1，属于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62.单向移门打荷台，属于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63.单冷水龙头1，属于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64.单孔孔残食台，属于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65.大六格快餐盘，属于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66.厨房灭火装置（双瓶组），属于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67.洗碗机厢式排气罩，属于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68.油烟网罩，属于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69.不锈钢风管1，属于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70.轴流风机1，属于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71.厢式离心风机(排蒸汽)，属于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72.风机槽钢支架，属于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73.风机变频器，属于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74.风幕机2，属于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75.灭蝇灯，属于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76.挡鼠板1，属于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77.挡鼠板2，属于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78.挡鼠板3，属于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79.封闭式残菜回收柜，属于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80.吹地机，属于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81.三门更衣柜2，属于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82.拖把水池（连挂架），属于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83.开门存放柜，属于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84.四门不锈钢纱网柜，属于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8</w:t>
      </w:r>
      <w:r>
        <w:rPr>
          <w:rFonts w:hint="eastAsia" w:ascii="Calibri" w:hAnsi="Calibri"/>
          <w:color w:val="auto"/>
          <w:highlight w:val="none"/>
          <w:lang w:val="en-US" w:eastAsia="zh-CN"/>
        </w:rPr>
        <w:t>5</w:t>
      </w:r>
      <w:r>
        <w:rPr>
          <w:rFonts w:hint="eastAsia" w:ascii="Calibri" w:hAnsi="Calibri"/>
          <w:color w:val="auto"/>
          <w:highlight w:val="none"/>
        </w:rPr>
        <w:t>.四门双温风冷冰箱，属于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8</w:t>
      </w:r>
      <w:r>
        <w:rPr>
          <w:rFonts w:hint="eastAsia" w:ascii="Calibri" w:hAnsi="Calibri"/>
          <w:color w:val="auto"/>
          <w:highlight w:val="none"/>
          <w:lang w:val="en-US" w:eastAsia="zh-CN"/>
        </w:rPr>
        <w:t>6</w:t>
      </w:r>
      <w:r>
        <w:rPr>
          <w:rFonts w:hint="eastAsia" w:ascii="Calibri" w:hAnsi="Calibri"/>
          <w:color w:val="auto"/>
          <w:highlight w:val="none"/>
        </w:rPr>
        <w:t>.双星盆台3，属于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8</w:t>
      </w:r>
      <w:r>
        <w:rPr>
          <w:rFonts w:hint="eastAsia" w:ascii="Calibri" w:hAnsi="Calibri"/>
          <w:color w:val="auto"/>
          <w:highlight w:val="none"/>
          <w:lang w:val="en-US" w:eastAsia="zh-CN"/>
        </w:rPr>
        <w:t>7</w:t>
      </w:r>
      <w:r>
        <w:rPr>
          <w:rFonts w:hint="eastAsia" w:ascii="Calibri" w:hAnsi="Calibri"/>
          <w:color w:val="auto"/>
          <w:highlight w:val="none"/>
        </w:rPr>
        <w:t>.单星盆台2，属于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lang w:val="en-US" w:eastAsia="zh-CN"/>
        </w:rPr>
        <w:t>88</w:t>
      </w:r>
      <w:r>
        <w:rPr>
          <w:rFonts w:hint="eastAsia" w:ascii="Calibri" w:hAnsi="Calibri"/>
          <w:color w:val="auto"/>
          <w:highlight w:val="none"/>
        </w:rPr>
        <w:t>.单水池连平台，属于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lang w:val="en-US" w:eastAsia="zh-CN"/>
        </w:rPr>
        <w:t>89</w:t>
      </w:r>
      <w:r>
        <w:rPr>
          <w:rFonts w:hint="eastAsia" w:ascii="Calibri" w:hAnsi="Calibri"/>
          <w:color w:val="auto"/>
          <w:highlight w:val="none"/>
        </w:rPr>
        <w:t>.码墙架，属于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9</w:t>
      </w:r>
      <w:r>
        <w:rPr>
          <w:rFonts w:hint="eastAsia" w:ascii="Calibri" w:hAnsi="Calibri"/>
          <w:color w:val="auto"/>
          <w:highlight w:val="none"/>
          <w:lang w:val="en-US" w:eastAsia="zh-CN"/>
        </w:rPr>
        <w:t>0</w:t>
      </w:r>
      <w:r>
        <w:rPr>
          <w:rFonts w:hint="eastAsia" w:ascii="Calibri" w:hAnsi="Calibri"/>
          <w:color w:val="auto"/>
          <w:highlight w:val="none"/>
        </w:rPr>
        <w:t>.工作台下一层1，属于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9</w:t>
      </w:r>
      <w:r>
        <w:rPr>
          <w:rFonts w:hint="eastAsia" w:ascii="Calibri" w:hAnsi="Calibri"/>
          <w:color w:val="auto"/>
          <w:highlight w:val="none"/>
          <w:lang w:val="en-US" w:eastAsia="zh-CN"/>
        </w:rPr>
        <w:t>1</w:t>
      </w:r>
      <w:r>
        <w:rPr>
          <w:rFonts w:hint="eastAsia" w:ascii="Calibri" w:hAnsi="Calibri"/>
          <w:color w:val="auto"/>
          <w:highlight w:val="none"/>
        </w:rPr>
        <w:t>.四层货架2，属于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9</w:t>
      </w:r>
      <w:r>
        <w:rPr>
          <w:rFonts w:hint="eastAsia" w:ascii="Calibri" w:hAnsi="Calibri"/>
          <w:color w:val="auto"/>
          <w:highlight w:val="none"/>
          <w:lang w:val="en-US" w:eastAsia="zh-CN"/>
        </w:rPr>
        <w:t>2</w:t>
      </w:r>
      <w:r>
        <w:rPr>
          <w:rFonts w:hint="eastAsia" w:ascii="Calibri" w:hAnsi="Calibri"/>
          <w:color w:val="auto"/>
          <w:highlight w:val="none"/>
        </w:rPr>
        <w:t>.菜墩刀具消毒柜，属于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9</w:t>
      </w:r>
      <w:r>
        <w:rPr>
          <w:rFonts w:hint="eastAsia" w:ascii="Calibri" w:hAnsi="Calibri"/>
          <w:color w:val="auto"/>
          <w:highlight w:val="none"/>
          <w:lang w:val="en-US" w:eastAsia="zh-CN"/>
        </w:rPr>
        <w:t>3</w:t>
      </w:r>
      <w:r>
        <w:rPr>
          <w:rFonts w:hint="eastAsia" w:ascii="Calibri" w:hAnsi="Calibri"/>
          <w:color w:val="auto"/>
          <w:highlight w:val="none"/>
        </w:rPr>
        <w:t>.单星盆台3，属于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9</w:t>
      </w:r>
      <w:r>
        <w:rPr>
          <w:rFonts w:hint="eastAsia" w:ascii="Calibri" w:hAnsi="Calibri"/>
          <w:color w:val="auto"/>
          <w:highlight w:val="none"/>
          <w:lang w:val="en-US" w:eastAsia="zh-CN"/>
        </w:rPr>
        <w:t>4</w:t>
      </w:r>
      <w:r>
        <w:rPr>
          <w:rFonts w:hint="eastAsia" w:ascii="Calibri" w:hAnsi="Calibri"/>
          <w:color w:val="auto"/>
          <w:highlight w:val="none"/>
        </w:rPr>
        <w:t>.工作台加档4，属于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9</w:t>
      </w:r>
      <w:r>
        <w:rPr>
          <w:rFonts w:hint="eastAsia" w:ascii="Calibri" w:hAnsi="Calibri"/>
          <w:color w:val="auto"/>
          <w:highlight w:val="none"/>
          <w:lang w:val="en-US" w:eastAsia="zh-CN"/>
        </w:rPr>
        <w:t>5</w:t>
      </w:r>
      <w:r>
        <w:rPr>
          <w:rFonts w:hint="eastAsia" w:ascii="Calibri" w:hAnsi="Calibri"/>
          <w:color w:val="auto"/>
          <w:highlight w:val="none"/>
        </w:rPr>
        <w:t>.双眼燃气大锅灶2，属于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9</w:t>
      </w:r>
      <w:r>
        <w:rPr>
          <w:rFonts w:hint="eastAsia" w:ascii="Calibri" w:hAnsi="Calibri"/>
          <w:color w:val="auto"/>
          <w:highlight w:val="none"/>
          <w:lang w:val="en-US" w:eastAsia="zh-CN"/>
        </w:rPr>
        <w:t>6</w:t>
      </w:r>
      <w:r>
        <w:rPr>
          <w:rFonts w:hint="eastAsia" w:ascii="Calibri" w:hAnsi="Calibri"/>
          <w:color w:val="auto"/>
          <w:highlight w:val="none"/>
        </w:rPr>
        <w:t>.单眼一汤燃气广锅灶，属于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9</w:t>
      </w:r>
      <w:r>
        <w:rPr>
          <w:rFonts w:hint="eastAsia" w:ascii="Calibri" w:hAnsi="Calibri"/>
          <w:color w:val="auto"/>
          <w:highlight w:val="none"/>
          <w:lang w:val="en-US" w:eastAsia="zh-CN"/>
        </w:rPr>
        <w:t>7</w:t>
      </w:r>
      <w:r>
        <w:rPr>
          <w:rFonts w:hint="eastAsia" w:ascii="Calibri" w:hAnsi="Calibri"/>
          <w:color w:val="auto"/>
          <w:highlight w:val="none"/>
        </w:rPr>
        <w:t>.调料台4，属于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lang w:val="en-US" w:eastAsia="zh-CN"/>
        </w:rPr>
        <w:t>98</w:t>
      </w:r>
      <w:r>
        <w:rPr>
          <w:rFonts w:hint="eastAsia" w:ascii="Calibri" w:hAnsi="Calibri"/>
          <w:color w:val="auto"/>
          <w:highlight w:val="none"/>
        </w:rPr>
        <w:t>.调料台5，属于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lang w:val="en-US" w:eastAsia="zh-CN"/>
        </w:rPr>
        <w:t>99</w:t>
      </w:r>
      <w:r>
        <w:rPr>
          <w:rFonts w:hint="eastAsia" w:ascii="Calibri" w:hAnsi="Calibri"/>
          <w:color w:val="auto"/>
          <w:highlight w:val="none"/>
        </w:rPr>
        <w:t>.双门燃气蒸饭柜2，属于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10</w:t>
      </w:r>
      <w:r>
        <w:rPr>
          <w:rFonts w:hint="eastAsia" w:ascii="Calibri" w:hAnsi="Calibri"/>
          <w:color w:val="auto"/>
          <w:highlight w:val="none"/>
          <w:lang w:val="en-US" w:eastAsia="zh-CN"/>
        </w:rPr>
        <w:t>0</w:t>
      </w:r>
      <w:r>
        <w:rPr>
          <w:rFonts w:hint="eastAsia" w:ascii="Calibri" w:hAnsi="Calibri"/>
          <w:color w:val="auto"/>
          <w:highlight w:val="none"/>
        </w:rPr>
        <w:t>.油网烟罩，属于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10</w:t>
      </w:r>
      <w:r>
        <w:rPr>
          <w:rFonts w:hint="eastAsia" w:ascii="Calibri" w:hAnsi="Calibri"/>
          <w:color w:val="auto"/>
          <w:highlight w:val="none"/>
          <w:lang w:val="en-US" w:eastAsia="zh-CN"/>
        </w:rPr>
        <w:t>1</w:t>
      </w:r>
      <w:r>
        <w:rPr>
          <w:rFonts w:hint="eastAsia" w:ascii="Calibri" w:hAnsi="Calibri"/>
          <w:color w:val="auto"/>
          <w:highlight w:val="none"/>
        </w:rPr>
        <w:t>.双向移门打荷柜，属于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10</w:t>
      </w:r>
      <w:r>
        <w:rPr>
          <w:rFonts w:hint="eastAsia" w:ascii="Calibri" w:hAnsi="Calibri"/>
          <w:color w:val="auto"/>
          <w:highlight w:val="none"/>
          <w:lang w:val="en-US" w:eastAsia="zh-CN"/>
        </w:rPr>
        <w:t>2</w:t>
      </w:r>
      <w:r>
        <w:rPr>
          <w:rFonts w:hint="eastAsia" w:ascii="Calibri" w:hAnsi="Calibri"/>
          <w:color w:val="auto"/>
          <w:highlight w:val="none"/>
        </w:rPr>
        <w:t>.淘米水池（无背），属于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10</w:t>
      </w:r>
      <w:r>
        <w:rPr>
          <w:rFonts w:hint="eastAsia" w:ascii="Calibri" w:hAnsi="Calibri"/>
          <w:color w:val="auto"/>
          <w:highlight w:val="none"/>
          <w:lang w:val="en-US" w:eastAsia="zh-CN"/>
        </w:rPr>
        <w:t>3</w:t>
      </w:r>
      <w:r>
        <w:rPr>
          <w:rFonts w:hint="eastAsia" w:ascii="Calibri" w:hAnsi="Calibri"/>
          <w:color w:val="auto"/>
          <w:highlight w:val="none"/>
        </w:rPr>
        <w:t>.工作台下一层2，属于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10</w:t>
      </w:r>
      <w:r>
        <w:rPr>
          <w:rFonts w:hint="eastAsia" w:ascii="Calibri" w:hAnsi="Calibri"/>
          <w:color w:val="auto"/>
          <w:highlight w:val="none"/>
          <w:lang w:val="en-US" w:eastAsia="zh-CN"/>
        </w:rPr>
        <w:t>4</w:t>
      </w:r>
      <w:r>
        <w:rPr>
          <w:rFonts w:hint="eastAsia" w:ascii="Calibri" w:hAnsi="Calibri"/>
          <w:color w:val="auto"/>
          <w:highlight w:val="none"/>
        </w:rPr>
        <w:t>.工作台下一层3，属于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10</w:t>
      </w:r>
      <w:r>
        <w:rPr>
          <w:rFonts w:hint="eastAsia" w:ascii="Calibri" w:hAnsi="Calibri"/>
          <w:color w:val="auto"/>
          <w:highlight w:val="none"/>
          <w:lang w:val="en-US" w:eastAsia="zh-CN"/>
        </w:rPr>
        <w:t>5</w:t>
      </w:r>
      <w:r>
        <w:rPr>
          <w:rFonts w:hint="eastAsia" w:ascii="Calibri" w:hAnsi="Calibri"/>
          <w:color w:val="auto"/>
          <w:highlight w:val="none"/>
        </w:rPr>
        <w:t>.四斗保温台，属于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10</w:t>
      </w:r>
      <w:r>
        <w:rPr>
          <w:rFonts w:hint="eastAsia" w:ascii="Calibri" w:hAnsi="Calibri"/>
          <w:color w:val="auto"/>
          <w:highlight w:val="none"/>
          <w:lang w:val="en-US" w:eastAsia="zh-CN"/>
        </w:rPr>
        <w:t>6</w:t>
      </w:r>
      <w:r>
        <w:rPr>
          <w:rFonts w:hint="eastAsia" w:ascii="Calibri" w:hAnsi="Calibri"/>
          <w:color w:val="auto"/>
          <w:highlight w:val="none"/>
        </w:rPr>
        <w:t>.工作台下一层4，属于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10</w:t>
      </w:r>
      <w:r>
        <w:rPr>
          <w:rFonts w:hint="eastAsia" w:ascii="Calibri" w:hAnsi="Calibri"/>
          <w:color w:val="auto"/>
          <w:highlight w:val="none"/>
          <w:lang w:val="en-US" w:eastAsia="zh-CN"/>
        </w:rPr>
        <w:t>7</w:t>
      </w:r>
      <w:r>
        <w:rPr>
          <w:rFonts w:hint="eastAsia" w:ascii="Calibri" w:hAnsi="Calibri"/>
          <w:color w:val="auto"/>
          <w:highlight w:val="none"/>
        </w:rPr>
        <w:t>.单星盆台4，属于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08</w:t>
      </w:r>
      <w:r>
        <w:rPr>
          <w:rFonts w:hint="eastAsia" w:ascii="Calibri" w:hAnsi="Calibri"/>
          <w:color w:val="auto"/>
          <w:highlight w:val="none"/>
        </w:rPr>
        <w:t>.双门热风循环消毒柜2，属于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09</w:t>
      </w:r>
      <w:r>
        <w:rPr>
          <w:rFonts w:hint="eastAsia" w:ascii="Calibri" w:hAnsi="Calibri"/>
          <w:color w:val="auto"/>
          <w:highlight w:val="none"/>
        </w:rPr>
        <w:t>.三翻门碗柜，属于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11</w:t>
      </w:r>
      <w:r>
        <w:rPr>
          <w:rFonts w:hint="eastAsia" w:ascii="Calibri" w:hAnsi="Calibri"/>
          <w:color w:val="auto"/>
          <w:highlight w:val="none"/>
          <w:lang w:val="en-US" w:eastAsia="zh-CN"/>
        </w:rPr>
        <w:t>0</w:t>
      </w:r>
      <w:r>
        <w:rPr>
          <w:rFonts w:hint="eastAsia" w:ascii="Calibri" w:hAnsi="Calibri"/>
          <w:color w:val="auto"/>
          <w:highlight w:val="none"/>
        </w:rPr>
        <w:t>.挂墙洗手星连平台，属于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11</w:t>
      </w:r>
      <w:r>
        <w:rPr>
          <w:rFonts w:hint="eastAsia" w:ascii="Calibri" w:hAnsi="Calibri"/>
          <w:color w:val="auto"/>
          <w:highlight w:val="none"/>
          <w:lang w:val="en-US" w:eastAsia="zh-CN"/>
        </w:rPr>
        <w:t>1</w:t>
      </w:r>
      <w:r>
        <w:rPr>
          <w:rFonts w:hint="eastAsia" w:ascii="Calibri" w:hAnsi="Calibri"/>
          <w:color w:val="auto"/>
          <w:highlight w:val="none"/>
        </w:rPr>
        <w:t>.留样冰箱2，属于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11</w:t>
      </w:r>
      <w:r>
        <w:rPr>
          <w:rFonts w:hint="eastAsia" w:ascii="Calibri" w:hAnsi="Calibri"/>
          <w:color w:val="auto"/>
          <w:highlight w:val="none"/>
          <w:lang w:val="en-US" w:eastAsia="zh-CN"/>
        </w:rPr>
        <w:t>2</w:t>
      </w:r>
      <w:r>
        <w:rPr>
          <w:rFonts w:hint="eastAsia" w:ascii="Calibri" w:hAnsi="Calibri"/>
          <w:color w:val="auto"/>
          <w:highlight w:val="none"/>
        </w:rPr>
        <w:t>.单星盆台5，属于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11</w:t>
      </w:r>
      <w:r>
        <w:rPr>
          <w:rFonts w:hint="eastAsia" w:ascii="Calibri" w:hAnsi="Calibri"/>
          <w:color w:val="auto"/>
          <w:highlight w:val="none"/>
          <w:lang w:val="en-US" w:eastAsia="zh-CN"/>
        </w:rPr>
        <w:t>3</w:t>
      </w:r>
      <w:r>
        <w:rPr>
          <w:rFonts w:hint="eastAsia" w:ascii="Calibri" w:hAnsi="Calibri"/>
          <w:color w:val="auto"/>
          <w:highlight w:val="none"/>
        </w:rPr>
        <w:t>.单向移门操作台1，属于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11</w:t>
      </w:r>
      <w:r>
        <w:rPr>
          <w:rFonts w:hint="eastAsia" w:ascii="Calibri" w:hAnsi="Calibri"/>
          <w:color w:val="auto"/>
          <w:highlight w:val="none"/>
          <w:lang w:val="en-US" w:eastAsia="zh-CN"/>
        </w:rPr>
        <w:t>4</w:t>
      </w:r>
      <w:r>
        <w:rPr>
          <w:rFonts w:hint="eastAsia" w:ascii="Calibri" w:hAnsi="Calibri"/>
          <w:color w:val="auto"/>
          <w:highlight w:val="none"/>
        </w:rPr>
        <w:t>.班级送餐车，属于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11</w:t>
      </w:r>
      <w:r>
        <w:rPr>
          <w:rFonts w:hint="eastAsia" w:ascii="Calibri" w:hAnsi="Calibri"/>
          <w:color w:val="auto"/>
          <w:highlight w:val="none"/>
          <w:lang w:val="en-US" w:eastAsia="zh-CN"/>
        </w:rPr>
        <w:t>5</w:t>
      </w:r>
      <w:r>
        <w:rPr>
          <w:rFonts w:hint="eastAsia" w:ascii="Calibri" w:hAnsi="Calibri"/>
          <w:color w:val="auto"/>
          <w:highlight w:val="none"/>
        </w:rPr>
        <w:t>.不锈钢绞肉机，属于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11</w:t>
      </w:r>
      <w:r>
        <w:rPr>
          <w:rFonts w:hint="eastAsia" w:ascii="Calibri" w:hAnsi="Calibri"/>
          <w:color w:val="auto"/>
          <w:highlight w:val="none"/>
          <w:lang w:val="en-US" w:eastAsia="zh-CN"/>
        </w:rPr>
        <w:t>6</w:t>
      </w:r>
      <w:r>
        <w:rPr>
          <w:rFonts w:hint="eastAsia" w:ascii="Calibri" w:hAnsi="Calibri"/>
          <w:color w:val="auto"/>
          <w:highlight w:val="none"/>
        </w:rPr>
        <w:t>.三层餐车，属于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11</w:t>
      </w:r>
      <w:r>
        <w:rPr>
          <w:rFonts w:hint="eastAsia" w:ascii="Calibri" w:hAnsi="Calibri"/>
          <w:color w:val="auto"/>
          <w:highlight w:val="none"/>
          <w:lang w:val="en-US" w:eastAsia="zh-CN"/>
        </w:rPr>
        <w:t>7</w:t>
      </w:r>
      <w:r>
        <w:rPr>
          <w:rFonts w:hint="eastAsia" w:ascii="Calibri" w:hAnsi="Calibri"/>
          <w:color w:val="auto"/>
          <w:highlight w:val="none"/>
        </w:rPr>
        <w:t>.不锈钢变径管1，属于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18</w:t>
      </w:r>
      <w:r>
        <w:rPr>
          <w:rFonts w:hint="eastAsia" w:ascii="Calibri" w:hAnsi="Calibri"/>
          <w:color w:val="auto"/>
          <w:highlight w:val="none"/>
        </w:rPr>
        <w:t>.离心风机（内置消音装置），属于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19</w:t>
      </w:r>
      <w:r>
        <w:rPr>
          <w:rFonts w:hint="eastAsia" w:ascii="Calibri" w:hAnsi="Calibri"/>
          <w:color w:val="auto"/>
          <w:highlight w:val="none"/>
        </w:rPr>
        <w:t>.不锈钢油烟净化器，属于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12</w:t>
      </w:r>
      <w:r>
        <w:rPr>
          <w:rFonts w:hint="eastAsia" w:ascii="Calibri" w:hAnsi="Calibri"/>
          <w:color w:val="auto"/>
          <w:highlight w:val="none"/>
          <w:lang w:val="en-US" w:eastAsia="zh-CN"/>
        </w:rPr>
        <w:t>0</w:t>
      </w:r>
      <w:r>
        <w:rPr>
          <w:rFonts w:hint="eastAsia" w:ascii="Calibri" w:hAnsi="Calibri"/>
          <w:color w:val="auto"/>
          <w:highlight w:val="none"/>
        </w:rPr>
        <w:t>.不锈钢消音器2，属于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12</w:t>
      </w:r>
      <w:r>
        <w:rPr>
          <w:rFonts w:hint="eastAsia" w:ascii="Calibri" w:hAnsi="Calibri"/>
          <w:color w:val="auto"/>
          <w:highlight w:val="none"/>
          <w:lang w:val="en-US" w:eastAsia="zh-CN"/>
        </w:rPr>
        <w:t>1</w:t>
      </w:r>
      <w:r>
        <w:rPr>
          <w:rFonts w:hint="eastAsia" w:ascii="Calibri" w:hAnsi="Calibri"/>
          <w:color w:val="auto"/>
          <w:highlight w:val="none"/>
        </w:rPr>
        <w:t>.电动机传动部降噪箱，属于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12</w:t>
      </w:r>
      <w:r>
        <w:rPr>
          <w:rFonts w:hint="eastAsia" w:ascii="Calibri" w:hAnsi="Calibri"/>
          <w:color w:val="auto"/>
          <w:highlight w:val="none"/>
          <w:lang w:val="en-US" w:eastAsia="zh-CN"/>
        </w:rPr>
        <w:t>2</w:t>
      </w:r>
      <w:r>
        <w:rPr>
          <w:rFonts w:hint="eastAsia" w:ascii="Calibri" w:hAnsi="Calibri"/>
          <w:color w:val="auto"/>
          <w:highlight w:val="none"/>
        </w:rPr>
        <w:t>.软连接2，属于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12</w:t>
      </w:r>
      <w:r>
        <w:rPr>
          <w:rFonts w:hint="eastAsia" w:ascii="Calibri" w:hAnsi="Calibri"/>
          <w:color w:val="auto"/>
          <w:highlight w:val="none"/>
          <w:lang w:val="en-US" w:eastAsia="zh-CN"/>
        </w:rPr>
        <w:t>3</w:t>
      </w:r>
      <w:r>
        <w:rPr>
          <w:rFonts w:hint="eastAsia" w:ascii="Calibri" w:hAnsi="Calibri"/>
          <w:color w:val="auto"/>
          <w:highlight w:val="none"/>
        </w:rPr>
        <w:t>.四层货架3，属于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12</w:t>
      </w:r>
      <w:r>
        <w:rPr>
          <w:rFonts w:hint="eastAsia" w:ascii="Calibri" w:hAnsi="Calibri"/>
          <w:color w:val="auto"/>
          <w:highlight w:val="none"/>
          <w:lang w:val="en-US" w:eastAsia="zh-CN"/>
        </w:rPr>
        <w:t>4</w:t>
      </w:r>
      <w:r>
        <w:rPr>
          <w:rFonts w:hint="eastAsia" w:ascii="Calibri" w:hAnsi="Calibri"/>
          <w:color w:val="auto"/>
          <w:highlight w:val="none"/>
        </w:rPr>
        <w:t>.风幕机3，属于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12</w:t>
      </w:r>
      <w:r>
        <w:rPr>
          <w:rFonts w:hint="eastAsia" w:ascii="Calibri" w:hAnsi="Calibri"/>
          <w:color w:val="auto"/>
          <w:highlight w:val="none"/>
          <w:lang w:val="en-US" w:eastAsia="zh-CN"/>
        </w:rPr>
        <w:t>5</w:t>
      </w:r>
      <w:r>
        <w:rPr>
          <w:rFonts w:hint="eastAsia" w:ascii="Calibri" w:hAnsi="Calibri"/>
          <w:color w:val="auto"/>
          <w:highlight w:val="none"/>
        </w:rPr>
        <w:t>.不锈钢台上式绞肉机，属于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12</w:t>
      </w:r>
      <w:r>
        <w:rPr>
          <w:rFonts w:hint="eastAsia" w:ascii="Calibri" w:hAnsi="Calibri"/>
          <w:color w:val="auto"/>
          <w:highlight w:val="none"/>
          <w:lang w:val="en-US" w:eastAsia="zh-CN"/>
        </w:rPr>
        <w:t>6</w:t>
      </w:r>
      <w:r>
        <w:rPr>
          <w:rFonts w:hint="eastAsia" w:ascii="Calibri" w:hAnsi="Calibri"/>
          <w:color w:val="auto"/>
          <w:highlight w:val="none"/>
        </w:rPr>
        <w:t>.双星盆台4，属于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12</w:t>
      </w:r>
      <w:r>
        <w:rPr>
          <w:rFonts w:hint="eastAsia" w:ascii="Calibri" w:hAnsi="Calibri"/>
          <w:color w:val="auto"/>
          <w:highlight w:val="none"/>
          <w:lang w:val="en-US" w:eastAsia="zh-CN"/>
        </w:rPr>
        <w:t>7</w:t>
      </w:r>
      <w:r>
        <w:rPr>
          <w:rFonts w:hint="eastAsia" w:ascii="Calibri" w:hAnsi="Calibri"/>
          <w:color w:val="auto"/>
          <w:highlight w:val="none"/>
        </w:rPr>
        <w:t>.单水池1，属于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28</w:t>
      </w:r>
      <w:r>
        <w:rPr>
          <w:rFonts w:hint="eastAsia" w:ascii="Calibri" w:hAnsi="Calibri"/>
          <w:color w:val="auto"/>
          <w:highlight w:val="none"/>
        </w:rPr>
        <w:t>.刀具砧板组合消毒柜，属于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29</w:t>
      </w:r>
      <w:r>
        <w:rPr>
          <w:rFonts w:hint="eastAsia" w:ascii="Calibri" w:hAnsi="Calibri"/>
          <w:color w:val="auto"/>
          <w:highlight w:val="none"/>
        </w:rPr>
        <w:t>.四层货架4，属于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13</w:t>
      </w:r>
      <w:r>
        <w:rPr>
          <w:rFonts w:hint="eastAsia" w:ascii="Calibri" w:hAnsi="Calibri"/>
          <w:color w:val="auto"/>
          <w:highlight w:val="none"/>
          <w:lang w:val="en-US" w:eastAsia="zh-CN"/>
        </w:rPr>
        <w:t>0</w:t>
      </w:r>
      <w:r>
        <w:rPr>
          <w:rFonts w:hint="eastAsia" w:ascii="Calibri" w:hAnsi="Calibri"/>
          <w:color w:val="auto"/>
          <w:highlight w:val="none"/>
        </w:rPr>
        <w:t>.调料台6，属于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13</w:t>
      </w:r>
      <w:r>
        <w:rPr>
          <w:rFonts w:hint="eastAsia" w:ascii="Calibri" w:hAnsi="Calibri"/>
          <w:color w:val="auto"/>
          <w:highlight w:val="none"/>
          <w:lang w:val="en-US" w:eastAsia="zh-CN"/>
        </w:rPr>
        <w:t>1</w:t>
      </w:r>
      <w:r>
        <w:rPr>
          <w:rFonts w:hint="eastAsia" w:ascii="Calibri" w:hAnsi="Calibri"/>
          <w:color w:val="auto"/>
          <w:highlight w:val="none"/>
        </w:rPr>
        <w:t>.单眼燃气大锅灶，属于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13</w:t>
      </w:r>
      <w:r>
        <w:rPr>
          <w:rFonts w:hint="eastAsia" w:ascii="Calibri" w:hAnsi="Calibri"/>
          <w:color w:val="auto"/>
          <w:highlight w:val="none"/>
          <w:lang w:val="en-US" w:eastAsia="zh-CN"/>
        </w:rPr>
        <w:t>2</w:t>
      </w:r>
      <w:r>
        <w:rPr>
          <w:rFonts w:hint="eastAsia" w:ascii="Calibri" w:hAnsi="Calibri"/>
          <w:color w:val="auto"/>
          <w:highlight w:val="none"/>
        </w:rPr>
        <w:t>.挂墙洗手星盆，属于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13</w:t>
      </w:r>
      <w:r>
        <w:rPr>
          <w:rFonts w:hint="eastAsia" w:ascii="Calibri" w:hAnsi="Calibri"/>
          <w:color w:val="auto"/>
          <w:highlight w:val="none"/>
          <w:lang w:val="en-US" w:eastAsia="zh-CN"/>
        </w:rPr>
        <w:t>3</w:t>
      </w:r>
      <w:r>
        <w:rPr>
          <w:rFonts w:hint="eastAsia" w:ascii="Calibri" w:hAnsi="Calibri"/>
          <w:color w:val="auto"/>
          <w:highlight w:val="none"/>
        </w:rPr>
        <w:t>.双层板工作台，属于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13</w:t>
      </w:r>
      <w:r>
        <w:rPr>
          <w:rFonts w:hint="eastAsia" w:ascii="Calibri" w:hAnsi="Calibri"/>
          <w:color w:val="auto"/>
          <w:highlight w:val="none"/>
          <w:lang w:val="en-US" w:eastAsia="zh-CN"/>
        </w:rPr>
        <w:t>4</w:t>
      </w:r>
      <w:r>
        <w:rPr>
          <w:rFonts w:hint="eastAsia" w:ascii="Calibri" w:hAnsi="Calibri"/>
          <w:color w:val="auto"/>
          <w:highlight w:val="none"/>
        </w:rPr>
        <w:t>.单水池2，属于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13</w:t>
      </w:r>
      <w:r>
        <w:rPr>
          <w:rFonts w:hint="eastAsia" w:ascii="Calibri" w:hAnsi="Calibri"/>
          <w:color w:val="auto"/>
          <w:highlight w:val="none"/>
          <w:lang w:val="en-US" w:eastAsia="zh-CN"/>
        </w:rPr>
        <w:t>5</w:t>
      </w:r>
      <w:r>
        <w:rPr>
          <w:rFonts w:hint="eastAsia" w:ascii="Calibri" w:hAnsi="Calibri"/>
          <w:color w:val="auto"/>
          <w:highlight w:val="none"/>
        </w:rPr>
        <w:t>.拖把沥干水池，属于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13</w:t>
      </w:r>
      <w:r>
        <w:rPr>
          <w:rFonts w:hint="eastAsia" w:ascii="Calibri" w:hAnsi="Calibri"/>
          <w:color w:val="auto"/>
          <w:highlight w:val="none"/>
          <w:lang w:val="en-US" w:eastAsia="zh-CN"/>
        </w:rPr>
        <w:t>6</w:t>
      </w:r>
      <w:r>
        <w:rPr>
          <w:rFonts w:hint="eastAsia" w:ascii="Calibri" w:hAnsi="Calibri"/>
          <w:color w:val="auto"/>
          <w:highlight w:val="none"/>
        </w:rPr>
        <w:t>.暖饭暖汤台柜，属于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13</w:t>
      </w:r>
      <w:r>
        <w:rPr>
          <w:rFonts w:hint="eastAsia" w:ascii="Calibri" w:hAnsi="Calibri"/>
          <w:color w:val="auto"/>
          <w:highlight w:val="none"/>
          <w:lang w:val="en-US" w:eastAsia="zh-CN"/>
        </w:rPr>
        <w:t>7</w:t>
      </w:r>
      <w:r>
        <w:rPr>
          <w:rFonts w:hint="eastAsia" w:ascii="Calibri" w:hAnsi="Calibri"/>
          <w:color w:val="auto"/>
          <w:highlight w:val="none"/>
        </w:rPr>
        <w:t>.单向移门操作台2，属于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38</w:t>
      </w:r>
      <w:r>
        <w:rPr>
          <w:rFonts w:hint="eastAsia" w:ascii="Calibri" w:hAnsi="Calibri"/>
          <w:color w:val="auto"/>
          <w:highlight w:val="none"/>
        </w:rPr>
        <w:t>.残食工作台，属于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39</w:t>
      </w:r>
      <w:r>
        <w:rPr>
          <w:rFonts w:hint="eastAsia" w:ascii="Calibri" w:hAnsi="Calibri"/>
          <w:color w:val="auto"/>
          <w:highlight w:val="none"/>
        </w:rPr>
        <w:t>.双门热风循环消毒柜3，属于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14</w:t>
      </w:r>
      <w:r>
        <w:rPr>
          <w:rFonts w:hint="eastAsia" w:ascii="Calibri" w:hAnsi="Calibri"/>
          <w:color w:val="auto"/>
          <w:highlight w:val="none"/>
          <w:lang w:val="en-US" w:eastAsia="zh-CN"/>
        </w:rPr>
        <w:t>0</w:t>
      </w:r>
      <w:r>
        <w:rPr>
          <w:rFonts w:hint="eastAsia" w:ascii="Calibri" w:hAnsi="Calibri"/>
          <w:color w:val="auto"/>
          <w:highlight w:val="none"/>
        </w:rPr>
        <w:t>.三层点心架，属于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14</w:t>
      </w:r>
      <w:r>
        <w:rPr>
          <w:rFonts w:hint="eastAsia" w:ascii="Calibri" w:hAnsi="Calibri"/>
          <w:color w:val="auto"/>
          <w:highlight w:val="none"/>
          <w:lang w:val="en-US" w:eastAsia="zh-CN"/>
        </w:rPr>
        <w:t>1</w:t>
      </w:r>
      <w:r>
        <w:rPr>
          <w:rFonts w:hint="eastAsia" w:ascii="Calibri" w:hAnsi="Calibri"/>
          <w:color w:val="auto"/>
          <w:highlight w:val="none"/>
        </w:rPr>
        <w:t>.洗手星盆2，属于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14</w:t>
      </w:r>
      <w:r>
        <w:rPr>
          <w:rFonts w:hint="eastAsia" w:ascii="Calibri" w:hAnsi="Calibri"/>
          <w:color w:val="auto"/>
          <w:highlight w:val="none"/>
          <w:lang w:val="en-US" w:eastAsia="zh-CN"/>
        </w:rPr>
        <w:t>2</w:t>
      </w:r>
      <w:r>
        <w:rPr>
          <w:rFonts w:hint="eastAsia" w:ascii="Calibri" w:hAnsi="Calibri"/>
          <w:color w:val="auto"/>
          <w:highlight w:val="none"/>
        </w:rPr>
        <w:t>.旧集气罩拆改及安装，属于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14</w:t>
      </w:r>
      <w:r>
        <w:rPr>
          <w:rFonts w:hint="eastAsia" w:ascii="Calibri" w:hAnsi="Calibri"/>
          <w:color w:val="auto"/>
          <w:highlight w:val="none"/>
          <w:lang w:val="en-US" w:eastAsia="zh-CN"/>
        </w:rPr>
        <w:t>3</w:t>
      </w:r>
      <w:r>
        <w:rPr>
          <w:rFonts w:hint="eastAsia" w:ascii="Calibri" w:hAnsi="Calibri"/>
          <w:color w:val="auto"/>
          <w:highlight w:val="none"/>
        </w:rPr>
        <w:t>.旧水池上下水、开孔不锈钢水斗安装，属于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14</w:t>
      </w:r>
      <w:r>
        <w:rPr>
          <w:rFonts w:hint="eastAsia" w:ascii="Calibri" w:hAnsi="Calibri"/>
          <w:color w:val="auto"/>
          <w:highlight w:val="none"/>
          <w:lang w:val="en-US" w:eastAsia="zh-CN"/>
        </w:rPr>
        <w:t>4</w:t>
      </w:r>
      <w:r>
        <w:rPr>
          <w:rFonts w:hint="eastAsia" w:ascii="Calibri" w:hAnsi="Calibri"/>
          <w:color w:val="auto"/>
          <w:highlight w:val="none"/>
        </w:rPr>
        <w:t>.调料台7，属于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14</w:t>
      </w:r>
      <w:r>
        <w:rPr>
          <w:rFonts w:hint="eastAsia" w:ascii="Calibri" w:hAnsi="Calibri"/>
          <w:color w:val="auto"/>
          <w:highlight w:val="none"/>
          <w:lang w:val="en-US" w:eastAsia="zh-CN"/>
        </w:rPr>
        <w:t>5</w:t>
      </w:r>
      <w:r>
        <w:rPr>
          <w:rFonts w:hint="eastAsia" w:ascii="Calibri" w:hAnsi="Calibri"/>
          <w:color w:val="auto"/>
          <w:highlight w:val="none"/>
        </w:rPr>
        <w:t>.双眼燃气大锅灶3，属于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14</w:t>
      </w:r>
      <w:r>
        <w:rPr>
          <w:rFonts w:hint="eastAsia" w:ascii="Calibri" w:hAnsi="Calibri"/>
          <w:color w:val="auto"/>
          <w:highlight w:val="none"/>
          <w:lang w:val="en-US" w:eastAsia="zh-CN"/>
        </w:rPr>
        <w:t>6</w:t>
      </w:r>
      <w:r>
        <w:rPr>
          <w:rFonts w:hint="eastAsia" w:ascii="Calibri" w:hAnsi="Calibri"/>
          <w:color w:val="auto"/>
          <w:highlight w:val="none"/>
        </w:rPr>
        <w:t>.双门电蒸饭柜2，属于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14</w:t>
      </w:r>
      <w:r>
        <w:rPr>
          <w:rFonts w:hint="eastAsia" w:ascii="Calibri" w:hAnsi="Calibri"/>
          <w:color w:val="auto"/>
          <w:highlight w:val="none"/>
          <w:lang w:val="en-US" w:eastAsia="zh-CN"/>
        </w:rPr>
        <w:t>7</w:t>
      </w:r>
      <w:r>
        <w:rPr>
          <w:rFonts w:hint="eastAsia" w:ascii="Calibri" w:hAnsi="Calibri"/>
          <w:color w:val="auto"/>
          <w:highlight w:val="none"/>
        </w:rPr>
        <w:t>.四门风冷全冷冻冰箱，属于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48</w:t>
      </w:r>
      <w:r>
        <w:rPr>
          <w:rFonts w:hint="eastAsia" w:ascii="Calibri" w:hAnsi="Calibri"/>
          <w:color w:val="auto"/>
          <w:highlight w:val="none"/>
        </w:rPr>
        <w:t>.不锈钢静电式油烟净化器1，属于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49</w:t>
      </w:r>
      <w:r>
        <w:rPr>
          <w:rFonts w:hint="eastAsia" w:ascii="Calibri" w:hAnsi="Calibri"/>
          <w:color w:val="auto"/>
          <w:highlight w:val="none"/>
        </w:rPr>
        <w:t>.不锈钢变径管2，属于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15</w:t>
      </w:r>
      <w:r>
        <w:rPr>
          <w:rFonts w:hint="eastAsia" w:ascii="Calibri" w:hAnsi="Calibri"/>
          <w:color w:val="auto"/>
          <w:highlight w:val="none"/>
          <w:lang w:val="en-US" w:eastAsia="zh-CN"/>
        </w:rPr>
        <w:t>0</w:t>
      </w:r>
      <w:r>
        <w:rPr>
          <w:rFonts w:hint="eastAsia" w:ascii="Calibri" w:hAnsi="Calibri"/>
          <w:color w:val="auto"/>
          <w:highlight w:val="none"/>
        </w:rPr>
        <w:t>.双层工作台，属于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15</w:t>
      </w:r>
      <w:r>
        <w:rPr>
          <w:rFonts w:hint="eastAsia" w:ascii="Calibri" w:hAnsi="Calibri"/>
          <w:color w:val="auto"/>
          <w:highlight w:val="none"/>
          <w:lang w:val="en-US" w:eastAsia="zh-CN"/>
        </w:rPr>
        <w:t>1</w:t>
      </w:r>
      <w:r>
        <w:rPr>
          <w:rFonts w:hint="eastAsia" w:ascii="Calibri" w:hAnsi="Calibri"/>
          <w:color w:val="auto"/>
          <w:highlight w:val="none"/>
        </w:rPr>
        <w:t>.单眼大锅灶（燃气），属于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15</w:t>
      </w:r>
      <w:r>
        <w:rPr>
          <w:rFonts w:hint="eastAsia" w:ascii="Calibri" w:hAnsi="Calibri"/>
          <w:color w:val="auto"/>
          <w:highlight w:val="none"/>
          <w:lang w:val="en-US" w:eastAsia="zh-CN"/>
        </w:rPr>
        <w:t>2</w:t>
      </w:r>
      <w:r>
        <w:rPr>
          <w:rFonts w:hint="eastAsia" w:ascii="Calibri" w:hAnsi="Calibri"/>
          <w:color w:val="auto"/>
          <w:highlight w:val="none"/>
        </w:rPr>
        <w:t>.单门燃气蒸饭箱，属于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15</w:t>
      </w:r>
      <w:r>
        <w:rPr>
          <w:rFonts w:hint="eastAsia" w:ascii="Calibri" w:hAnsi="Calibri"/>
          <w:color w:val="auto"/>
          <w:highlight w:val="none"/>
          <w:lang w:val="en-US" w:eastAsia="zh-CN"/>
        </w:rPr>
        <w:t>3</w:t>
      </w:r>
      <w:r>
        <w:rPr>
          <w:rFonts w:hint="eastAsia" w:ascii="Calibri" w:hAnsi="Calibri"/>
          <w:color w:val="auto"/>
          <w:highlight w:val="none"/>
        </w:rPr>
        <w:t>.四层格栅货架，属于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15</w:t>
      </w:r>
      <w:r>
        <w:rPr>
          <w:rFonts w:hint="eastAsia" w:ascii="Calibri" w:hAnsi="Calibri"/>
          <w:color w:val="auto"/>
          <w:highlight w:val="none"/>
          <w:lang w:val="en-US" w:eastAsia="zh-CN"/>
        </w:rPr>
        <w:t>4</w:t>
      </w:r>
      <w:r>
        <w:rPr>
          <w:rFonts w:hint="eastAsia" w:ascii="Calibri" w:hAnsi="Calibri"/>
          <w:color w:val="auto"/>
          <w:highlight w:val="none"/>
        </w:rPr>
        <w:t>.留样冰箱3，属于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15</w:t>
      </w:r>
      <w:r>
        <w:rPr>
          <w:rFonts w:hint="eastAsia" w:ascii="Calibri" w:hAnsi="Calibri"/>
          <w:color w:val="auto"/>
          <w:highlight w:val="none"/>
          <w:lang w:val="en-US" w:eastAsia="zh-CN"/>
        </w:rPr>
        <w:t>5</w:t>
      </w:r>
      <w:r>
        <w:rPr>
          <w:rFonts w:hint="eastAsia" w:ascii="Calibri" w:hAnsi="Calibri"/>
          <w:color w:val="auto"/>
          <w:highlight w:val="none"/>
        </w:rPr>
        <w:t>.双门热风循环消毒柜4，属于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15</w:t>
      </w:r>
      <w:r>
        <w:rPr>
          <w:rFonts w:hint="eastAsia" w:ascii="Calibri" w:hAnsi="Calibri"/>
          <w:color w:val="auto"/>
          <w:highlight w:val="none"/>
          <w:lang w:val="en-US" w:eastAsia="zh-CN"/>
        </w:rPr>
        <w:t>6</w:t>
      </w:r>
      <w:r>
        <w:rPr>
          <w:rFonts w:hint="eastAsia" w:ascii="Calibri" w:hAnsi="Calibri"/>
          <w:color w:val="auto"/>
          <w:highlight w:val="none"/>
        </w:rPr>
        <w:t>.轴流风机2，属于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15</w:t>
      </w:r>
      <w:r>
        <w:rPr>
          <w:rFonts w:hint="eastAsia" w:ascii="Calibri" w:hAnsi="Calibri"/>
          <w:color w:val="auto"/>
          <w:highlight w:val="none"/>
          <w:lang w:val="en-US" w:eastAsia="zh-CN"/>
        </w:rPr>
        <w:t>7</w:t>
      </w:r>
      <w:r>
        <w:rPr>
          <w:rFonts w:hint="eastAsia" w:ascii="Calibri" w:hAnsi="Calibri"/>
          <w:color w:val="auto"/>
          <w:highlight w:val="none"/>
        </w:rPr>
        <w:t>.油烟净化器，属于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58</w:t>
      </w:r>
      <w:r>
        <w:rPr>
          <w:rFonts w:hint="eastAsia" w:ascii="Calibri" w:hAnsi="Calibri"/>
          <w:color w:val="auto"/>
          <w:highlight w:val="none"/>
        </w:rPr>
        <w:t>.排烟风管，属于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59</w:t>
      </w:r>
      <w:r>
        <w:rPr>
          <w:rFonts w:hint="eastAsia" w:ascii="Calibri" w:hAnsi="Calibri"/>
          <w:color w:val="auto"/>
          <w:highlight w:val="none"/>
        </w:rPr>
        <w:t>.箱式离心风机（内置消音装置）1，属于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16</w:t>
      </w:r>
      <w:r>
        <w:rPr>
          <w:rFonts w:hint="eastAsia" w:ascii="Calibri" w:hAnsi="Calibri"/>
          <w:color w:val="auto"/>
          <w:highlight w:val="none"/>
          <w:lang w:val="en-US" w:eastAsia="zh-CN"/>
        </w:rPr>
        <w:t>0</w:t>
      </w:r>
      <w:r>
        <w:rPr>
          <w:rFonts w:hint="eastAsia" w:ascii="Calibri" w:hAnsi="Calibri"/>
          <w:color w:val="auto"/>
          <w:highlight w:val="none"/>
        </w:rPr>
        <w:t>.不锈钢静电式油烟净化器2，属于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16</w:t>
      </w:r>
      <w:r>
        <w:rPr>
          <w:rFonts w:hint="eastAsia" w:ascii="Calibri" w:hAnsi="Calibri"/>
          <w:color w:val="auto"/>
          <w:highlight w:val="none"/>
          <w:lang w:val="en-US" w:eastAsia="zh-CN"/>
        </w:rPr>
        <w:t>1</w:t>
      </w:r>
      <w:r>
        <w:rPr>
          <w:rFonts w:hint="eastAsia" w:ascii="Calibri" w:hAnsi="Calibri"/>
          <w:color w:val="auto"/>
          <w:highlight w:val="none"/>
        </w:rPr>
        <w:t>.不锈钢消音器1，属于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16</w:t>
      </w:r>
      <w:r>
        <w:rPr>
          <w:rFonts w:hint="eastAsia" w:ascii="Calibri" w:hAnsi="Calibri"/>
          <w:color w:val="auto"/>
          <w:highlight w:val="none"/>
          <w:lang w:val="en-US" w:eastAsia="zh-CN"/>
        </w:rPr>
        <w:t>2</w:t>
      </w:r>
      <w:r>
        <w:rPr>
          <w:rFonts w:hint="eastAsia" w:ascii="Calibri" w:hAnsi="Calibri"/>
          <w:color w:val="auto"/>
          <w:highlight w:val="none"/>
        </w:rPr>
        <w:t>.弹簧减震器2，属于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16</w:t>
      </w:r>
      <w:r>
        <w:rPr>
          <w:rFonts w:hint="eastAsia" w:ascii="Calibri" w:hAnsi="Calibri"/>
          <w:color w:val="auto"/>
          <w:highlight w:val="none"/>
          <w:lang w:val="en-US" w:eastAsia="zh-CN"/>
        </w:rPr>
        <w:t>3</w:t>
      </w:r>
      <w:r>
        <w:rPr>
          <w:rFonts w:hint="eastAsia" w:ascii="Calibri" w:hAnsi="Calibri"/>
          <w:color w:val="auto"/>
          <w:highlight w:val="none"/>
        </w:rPr>
        <w:t>.箱式离心风机（内置消音装置）2，属于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16</w:t>
      </w:r>
      <w:r>
        <w:rPr>
          <w:rFonts w:hint="eastAsia" w:ascii="Calibri" w:hAnsi="Calibri"/>
          <w:color w:val="auto"/>
          <w:highlight w:val="none"/>
          <w:lang w:val="en-US" w:eastAsia="zh-CN"/>
        </w:rPr>
        <w:t>4</w:t>
      </w:r>
      <w:r>
        <w:rPr>
          <w:rFonts w:hint="eastAsia" w:ascii="Calibri" w:hAnsi="Calibri"/>
          <w:color w:val="auto"/>
          <w:highlight w:val="none"/>
        </w:rPr>
        <w:t>.不锈钢静电式油烟净化器3，属于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16</w:t>
      </w:r>
      <w:r>
        <w:rPr>
          <w:rFonts w:hint="eastAsia" w:ascii="Calibri" w:hAnsi="Calibri"/>
          <w:color w:val="auto"/>
          <w:highlight w:val="none"/>
          <w:lang w:val="en-US" w:eastAsia="zh-CN"/>
        </w:rPr>
        <w:t>5</w:t>
      </w:r>
      <w:r>
        <w:rPr>
          <w:rFonts w:hint="eastAsia" w:ascii="Calibri" w:hAnsi="Calibri"/>
          <w:color w:val="auto"/>
          <w:highlight w:val="none"/>
        </w:rPr>
        <w:t>.双门热风循环消毒柜5，属于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16</w:t>
      </w:r>
      <w:r>
        <w:rPr>
          <w:rFonts w:hint="eastAsia" w:ascii="Calibri" w:hAnsi="Calibri"/>
          <w:color w:val="auto"/>
          <w:highlight w:val="none"/>
          <w:lang w:val="en-US" w:eastAsia="zh-CN"/>
        </w:rPr>
        <w:t>6</w:t>
      </w:r>
      <w:r>
        <w:rPr>
          <w:rFonts w:hint="eastAsia" w:ascii="Calibri" w:hAnsi="Calibri"/>
          <w:color w:val="auto"/>
          <w:highlight w:val="none"/>
        </w:rPr>
        <w:t>.</w:t>
      </w:r>
      <w:r>
        <w:rPr>
          <w:rFonts w:hint="eastAsia" w:ascii="Calibri" w:hAnsi="Calibri"/>
          <w:color w:val="auto"/>
          <w:highlight w:val="none"/>
          <w:lang w:eastAsia="zh-CN"/>
        </w:rPr>
        <w:t>小工作台</w:t>
      </w:r>
      <w:r>
        <w:rPr>
          <w:rFonts w:hint="eastAsia" w:ascii="Calibri" w:hAnsi="Calibri"/>
          <w:color w:val="auto"/>
          <w:highlight w:val="none"/>
        </w:rPr>
        <w:t>，属于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16</w:t>
      </w:r>
      <w:r>
        <w:rPr>
          <w:rFonts w:hint="eastAsia" w:ascii="Calibri" w:hAnsi="Calibri"/>
          <w:color w:val="auto"/>
          <w:highlight w:val="none"/>
          <w:lang w:val="en-US" w:eastAsia="zh-CN"/>
        </w:rPr>
        <w:t>7</w:t>
      </w:r>
      <w:r>
        <w:rPr>
          <w:rFonts w:hint="eastAsia" w:ascii="Calibri" w:hAnsi="Calibri"/>
          <w:color w:val="auto"/>
          <w:highlight w:val="none"/>
        </w:rPr>
        <w:t>.四门双温冰箱（直冷），属于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68</w:t>
      </w:r>
      <w:r>
        <w:rPr>
          <w:rFonts w:hint="eastAsia" w:ascii="Calibri" w:hAnsi="Calibri"/>
          <w:color w:val="auto"/>
          <w:highlight w:val="none"/>
        </w:rPr>
        <w:t>.更衣柜，属于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69</w:t>
      </w:r>
      <w:r>
        <w:rPr>
          <w:rFonts w:hint="eastAsia" w:ascii="Calibri" w:hAnsi="Calibri"/>
          <w:color w:val="auto"/>
          <w:highlight w:val="none"/>
        </w:rPr>
        <w:t>.大米架2，属于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17</w:t>
      </w:r>
      <w:r>
        <w:rPr>
          <w:rFonts w:hint="eastAsia" w:ascii="Calibri" w:hAnsi="Calibri"/>
          <w:color w:val="auto"/>
          <w:highlight w:val="none"/>
          <w:lang w:val="en-US" w:eastAsia="zh-CN"/>
        </w:rPr>
        <w:t>0</w:t>
      </w:r>
      <w:r>
        <w:rPr>
          <w:rFonts w:hint="eastAsia" w:ascii="Calibri" w:hAnsi="Calibri"/>
          <w:color w:val="auto"/>
          <w:highlight w:val="none"/>
        </w:rPr>
        <w:t>.四层平板架，属于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17</w:t>
      </w:r>
      <w:r>
        <w:rPr>
          <w:rFonts w:hint="eastAsia" w:ascii="Calibri" w:hAnsi="Calibri"/>
          <w:color w:val="auto"/>
          <w:highlight w:val="none"/>
          <w:lang w:val="en-US" w:eastAsia="zh-CN"/>
        </w:rPr>
        <w:t>1</w:t>
      </w:r>
      <w:r>
        <w:rPr>
          <w:rFonts w:hint="eastAsia" w:ascii="Calibri" w:hAnsi="Calibri"/>
          <w:color w:val="auto"/>
          <w:highlight w:val="none"/>
        </w:rPr>
        <w:t>.挡鼠板4，属于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17</w:t>
      </w:r>
      <w:r>
        <w:rPr>
          <w:rFonts w:hint="eastAsia" w:ascii="Calibri" w:hAnsi="Calibri"/>
          <w:color w:val="auto"/>
          <w:highlight w:val="none"/>
          <w:lang w:val="en-US" w:eastAsia="zh-CN"/>
        </w:rPr>
        <w:t>2</w:t>
      </w:r>
      <w:r>
        <w:rPr>
          <w:rFonts w:hint="eastAsia" w:ascii="Calibri" w:hAnsi="Calibri"/>
          <w:color w:val="auto"/>
          <w:highlight w:val="none"/>
        </w:rPr>
        <w:t>.四门双机双温冰箱，属于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17</w:t>
      </w:r>
      <w:r>
        <w:rPr>
          <w:rFonts w:hint="eastAsia" w:ascii="Calibri" w:hAnsi="Calibri"/>
          <w:color w:val="auto"/>
          <w:highlight w:val="none"/>
          <w:lang w:val="en-US" w:eastAsia="zh-CN"/>
        </w:rPr>
        <w:t>3</w:t>
      </w:r>
      <w:r>
        <w:rPr>
          <w:rFonts w:hint="eastAsia" w:ascii="Calibri" w:hAnsi="Calibri"/>
          <w:color w:val="auto"/>
          <w:highlight w:val="none"/>
        </w:rPr>
        <w:t>.残菜回收台1，属于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17</w:t>
      </w:r>
      <w:r>
        <w:rPr>
          <w:rFonts w:hint="eastAsia" w:ascii="Calibri" w:hAnsi="Calibri"/>
          <w:color w:val="auto"/>
          <w:highlight w:val="none"/>
          <w:lang w:val="en-US" w:eastAsia="zh-CN"/>
        </w:rPr>
        <w:t>4</w:t>
      </w:r>
      <w:r>
        <w:rPr>
          <w:rFonts w:hint="eastAsia" w:ascii="Calibri" w:hAnsi="Calibri"/>
          <w:color w:val="auto"/>
          <w:highlight w:val="none"/>
        </w:rPr>
        <w:t>.单星大水池1，属于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17</w:t>
      </w:r>
      <w:r>
        <w:rPr>
          <w:rFonts w:hint="eastAsia" w:ascii="Calibri" w:hAnsi="Calibri"/>
          <w:color w:val="auto"/>
          <w:highlight w:val="none"/>
          <w:lang w:val="en-US" w:eastAsia="zh-CN"/>
        </w:rPr>
        <w:t>5</w:t>
      </w:r>
      <w:r>
        <w:rPr>
          <w:rFonts w:hint="eastAsia" w:ascii="Calibri" w:hAnsi="Calibri"/>
          <w:color w:val="auto"/>
          <w:highlight w:val="none"/>
        </w:rPr>
        <w:t>.冷热水双温龙头，属于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17</w:t>
      </w:r>
      <w:r>
        <w:rPr>
          <w:rFonts w:hint="eastAsia" w:ascii="Calibri" w:hAnsi="Calibri"/>
          <w:color w:val="auto"/>
          <w:highlight w:val="none"/>
          <w:lang w:val="en-US" w:eastAsia="zh-CN"/>
        </w:rPr>
        <w:t>6</w:t>
      </w:r>
      <w:r>
        <w:rPr>
          <w:rFonts w:hint="eastAsia" w:ascii="Calibri" w:hAnsi="Calibri"/>
          <w:color w:val="auto"/>
          <w:highlight w:val="none"/>
        </w:rPr>
        <w:t>.</w:t>
      </w:r>
      <w:r>
        <w:rPr>
          <w:rFonts w:hint="eastAsia" w:ascii="Calibri" w:hAnsi="Calibri"/>
          <w:color w:val="auto"/>
          <w:highlight w:val="none"/>
          <w:lang w:eastAsia="zh-CN"/>
        </w:rPr>
        <w:t>工作台</w:t>
      </w:r>
      <w:r>
        <w:rPr>
          <w:rFonts w:hint="eastAsia" w:ascii="Calibri" w:hAnsi="Calibri"/>
          <w:color w:val="auto"/>
          <w:highlight w:val="none"/>
        </w:rPr>
        <w:t>，属于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77</w:t>
      </w:r>
      <w:r>
        <w:rPr>
          <w:rFonts w:hint="eastAsia" w:ascii="Calibri" w:hAnsi="Calibri"/>
          <w:color w:val="auto"/>
          <w:highlight w:val="none"/>
        </w:rPr>
        <w:t>.双星水池1，属于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78</w:t>
      </w:r>
      <w:r>
        <w:rPr>
          <w:rFonts w:hint="eastAsia" w:ascii="Calibri" w:hAnsi="Calibri"/>
          <w:color w:val="auto"/>
          <w:highlight w:val="none"/>
        </w:rPr>
        <w:t>.单星剖鱼台，属于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79</w:t>
      </w:r>
      <w:r>
        <w:rPr>
          <w:rFonts w:hint="eastAsia" w:ascii="Calibri" w:hAnsi="Calibri"/>
          <w:color w:val="auto"/>
          <w:highlight w:val="none"/>
        </w:rPr>
        <w:t>.挂墙双层架1，属于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18</w:t>
      </w:r>
      <w:r>
        <w:rPr>
          <w:rFonts w:hint="eastAsia" w:ascii="Calibri" w:hAnsi="Calibri"/>
          <w:color w:val="auto"/>
          <w:highlight w:val="none"/>
          <w:lang w:val="en-US" w:eastAsia="zh-CN"/>
        </w:rPr>
        <w:t>0</w:t>
      </w:r>
      <w:r>
        <w:rPr>
          <w:rFonts w:hint="eastAsia" w:ascii="Calibri" w:hAnsi="Calibri"/>
          <w:color w:val="auto"/>
          <w:highlight w:val="none"/>
        </w:rPr>
        <w:t>.挂墙式开水器，属于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18</w:t>
      </w:r>
      <w:r>
        <w:rPr>
          <w:rFonts w:hint="eastAsia" w:ascii="Calibri" w:hAnsi="Calibri"/>
          <w:color w:val="auto"/>
          <w:highlight w:val="none"/>
          <w:lang w:val="en-US" w:eastAsia="zh-CN"/>
        </w:rPr>
        <w:t>1</w:t>
      </w:r>
      <w:r>
        <w:rPr>
          <w:rFonts w:hint="eastAsia" w:ascii="Calibri" w:hAnsi="Calibri"/>
          <w:color w:val="auto"/>
          <w:highlight w:val="none"/>
        </w:rPr>
        <w:t>.双层工作台1，属于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18</w:t>
      </w:r>
      <w:r>
        <w:rPr>
          <w:rFonts w:hint="eastAsia" w:ascii="Calibri" w:hAnsi="Calibri"/>
          <w:color w:val="auto"/>
          <w:highlight w:val="none"/>
          <w:lang w:val="en-US" w:eastAsia="zh-CN"/>
        </w:rPr>
        <w:t>2</w:t>
      </w:r>
      <w:r>
        <w:rPr>
          <w:rFonts w:hint="eastAsia" w:ascii="Calibri" w:hAnsi="Calibri"/>
          <w:color w:val="auto"/>
          <w:highlight w:val="none"/>
        </w:rPr>
        <w:t>.挂墙刀具消毒柜，属于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18</w:t>
      </w:r>
      <w:r>
        <w:rPr>
          <w:rFonts w:hint="eastAsia" w:ascii="Calibri" w:hAnsi="Calibri"/>
          <w:color w:val="auto"/>
          <w:highlight w:val="none"/>
          <w:lang w:val="en-US" w:eastAsia="zh-CN"/>
        </w:rPr>
        <w:t>3</w:t>
      </w:r>
      <w:r>
        <w:rPr>
          <w:rFonts w:hint="eastAsia" w:ascii="Calibri" w:hAnsi="Calibri"/>
          <w:color w:val="auto"/>
          <w:highlight w:val="none"/>
        </w:rPr>
        <w:t>.调料平台，属于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18</w:t>
      </w:r>
      <w:r>
        <w:rPr>
          <w:rFonts w:hint="eastAsia" w:ascii="Calibri" w:hAnsi="Calibri"/>
          <w:color w:val="auto"/>
          <w:highlight w:val="none"/>
          <w:lang w:val="en-US" w:eastAsia="zh-CN"/>
        </w:rPr>
        <w:t>4</w:t>
      </w:r>
      <w:r>
        <w:rPr>
          <w:rFonts w:hint="eastAsia" w:ascii="Calibri" w:hAnsi="Calibri"/>
          <w:color w:val="auto"/>
          <w:highlight w:val="none"/>
        </w:rPr>
        <w:t>.燃气双眼大锅灶2，属于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18</w:t>
      </w:r>
      <w:r>
        <w:rPr>
          <w:rFonts w:hint="eastAsia" w:ascii="Calibri" w:hAnsi="Calibri"/>
          <w:color w:val="auto"/>
          <w:highlight w:val="none"/>
          <w:lang w:val="en-US" w:eastAsia="zh-CN"/>
        </w:rPr>
        <w:t>5</w:t>
      </w:r>
      <w:r>
        <w:rPr>
          <w:rFonts w:hint="eastAsia" w:ascii="Calibri" w:hAnsi="Calibri"/>
          <w:color w:val="auto"/>
          <w:highlight w:val="none"/>
        </w:rPr>
        <w:t>.中餐燃气炒菜灶，属于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86</w:t>
      </w:r>
      <w:r>
        <w:rPr>
          <w:rFonts w:hint="eastAsia" w:ascii="Calibri" w:hAnsi="Calibri"/>
          <w:color w:val="auto"/>
          <w:highlight w:val="none"/>
        </w:rPr>
        <w:t>.双门双控智能电蒸饭箱，属于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87</w:t>
      </w:r>
      <w:r>
        <w:rPr>
          <w:rFonts w:hint="eastAsia" w:ascii="Calibri" w:hAnsi="Calibri"/>
          <w:color w:val="auto"/>
          <w:highlight w:val="none"/>
        </w:rPr>
        <w:t>.单星大水池2，属于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88</w:t>
      </w:r>
      <w:r>
        <w:rPr>
          <w:rFonts w:hint="eastAsia" w:ascii="Calibri" w:hAnsi="Calibri"/>
          <w:color w:val="auto"/>
          <w:highlight w:val="none"/>
        </w:rPr>
        <w:t>.商用平冷冰箱(冷藏型），属于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w:t>
      </w:r>
      <w:r>
        <w:rPr>
          <w:rFonts w:hint="eastAsia" w:ascii="Calibri" w:hAnsi="Calibri"/>
          <w:color w:val="auto"/>
          <w:highlight w:val="none"/>
          <w:lang w:val="en-US" w:eastAsia="zh-CN"/>
        </w:rPr>
        <w:t>89</w:t>
      </w:r>
      <w:r>
        <w:rPr>
          <w:rFonts w:hint="eastAsia" w:ascii="Calibri" w:hAnsi="Calibri"/>
          <w:color w:val="auto"/>
          <w:highlight w:val="none"/>
        </w:rPr>
        <w:t>.移门调理台，属于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19</w:t>
      </w:r>
      <w:r>
        <w:rPr>
          <w:rFonts w:hint="eastAsia" w:ascii="Calibri" w:hAnsi="Calibri"/>
          <w:color w:val="auto"/>
          <w:highlight w:val="none"/>
          <w:lang w:val="en-US" w:eastAsia="zh-CN"/>
        </w:rPr>
        <w:t>0</w:t>
      </w:r>
      <w:r>
        <w:rPr>
          <w:rFonts w:hint="eastAsia" w:ascii="Calibri" w:hAnsi="Calibri"/>
          <w:color w:val="auto"/>
          <w:highlight w:val="none"/>
        </w:rPr>
        <w:t>.双层工作台2，属于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19</w:t>
      </w:r>
      <w:r>
        <w:rPr>
          <w:rFonts w:hint="eastAsia" w:ascii="Calibri" w:hAnsi="Calibri"/>
          <w:color w:val="auto"/>
          <w:highlight w:val="none"/>
          <w:lang w:val="en-US" w:eastAsia="zh-CN"/>
        </w:rPr>
        <w:t>1</w:t>
      </w:r>
      <w:r>
        <w:rPr>
          <w:rFonts w:hint="eastAsia" w:ascii="Calibri" w:hAnsi="Calibri"/>
          <w:color w:val="auto"/>
          <w:highlight w:val="none"/>
        </w:rPr>
        <w:t>.单星洗手水池，属于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19</w:t>
      </w:r>
      <w:r>
        <w:rPr>
          <w:rFonts w:hint="eastAsia" w:ascii="Calibri" w:hAnsi="Calibri"/>
          <w:color w:val="auto"/>
          <w:highlight w:val="none"/>
          <w:lang w:val="en-US" w:eastAsia="zh-CN"/>
        </w:rPr>
        <w:t>2</w:t>
      </w:r>
      <w:r>
        <w:rPr>
          <w:rFonts w:hint="eastAsia" w:ascii="Calibri" w:hAnsi="Calibri"/>
          <w:color w:val="auto"/>
          <w:highlight w:val="none"/>
        </w:rPr>
        <w:t>.干手机，属于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19</w:t>
      </w:r>
      <w:r>
        <w:rPr>
          <w:rFonts w:hint="eastAsia" w:ascii="Calibri" w:hAnsi="Calibri"/>
          <w:color w:val="auto"/>
          <w:highlight w:val="none"/>
          <w:lang w:val="en-US" w:eastAsia="zh-CN"/>
        </w:rPr>
        <w:t>3</w:t>
      </w:r>
      <w:r>
        <w:rPr>
          <w:rFonts w:hint="eastAsia" w:ascii="Calibri" w:hAnsi="Calibri"/>
          <w:color w:val="auto"/>
          <w:highlight w:val="none"/>
        </w:rPr>
        <w:t>.挂衣架，属于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19</w:t>
      </w:r>
      <w:r>
        <w:rPr>
          <w:rFonts w:hint="eastAsia" w:ascii="Calibri" w:hAnsi="Calibri"/>
          <w:color w:val="auto"/>
          <w:highlight w:val="none"/>
          <w:lang w:val="en-US" w:eastAsia="zh-CN"/>
        </w:rPr>
        <w:t>4</w:t>
      </w:r>
      <w:r>
        <w:rPr>
          <w:rFonts w:hint="eastAsia" w:ascii="Calibri" w:hAnsi="Calibri"/>
          <w:color w:val="auto"/>
          <w:highlight w:val="none"/>
        </w:rPr>
        <w:t>.杀菌灯，属于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19</w:t>
      </w:r>
      <w:r>
        <w:rPr>
          <w:rFonts w:hint="eastAsia" w:ascii="Calibri" w:hAnsi="Calibri"/>
          <w:color w:val="auto"/>
          <w:highlight w:val="none"/>
          <w:lang w:val="en-US" w:eastAsia="zh-CN"/>
        </w:rPr>
        <w:t>5</w:t>
      </w:r>
      <w:r>
        <w:rPr>
          <w:rFonts w:hint="eastAsia" w:ascii="Calibri" w:hAnsi="Calibri"/>
          <w:color w:val="auto"/>
          <w:highlight w:val="none"/>
        </w:rPr>
        <w:t>.双层工作台3，属于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lang w:val="en-US" w:eastAsia="zh-CN"/>
        </w:rPr>
        <w:t>196</w:t>
      </w:r>
      <w:r>
        <w:rPr>
          <w:rFonts w:hint="eastAsia" w:ascii="Calibri" w:hAnsi="Calibri"/>
          <w:color w:val="auto"/>
          <w:highlight w:val="none"/>
        </w:rPr>
        <w:t>.双层工作台4，属于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lang w:val="en-US" w:eastAsia="zh-CN"/>
        </w:rPr>
        <w:t>197</w:t>
      </w:r>
      <w:r>
        <w:rPr>
          <w:rFonts w:hint="eastAsia" w:ascii="Calibri" w:hAnsi="Calibri"/>
          <w:color w:val="auto"/>
          <w:highlight w:val="none"/>
        </w:rPr>
        <w:t>.单星水池，属于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lang w:val="en-US" w:eastAsia="zh-CN"/>
        </w:rPr>
        <w:t>198</w:t>
      </w:r>
      <w:r>
        <w:rPr>
          <w:rFonts w:hint="eastAsia" w:ascii="Calibri" w:hAnsi="Calibri"/>
          <w:color w:val="auto"/>
          <w:highlight w:val="none"/>
        </w:rPr>
        <w:t>.留样冰箱4，属于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lang w:val="en-US" w:eastAsia="zh-CN"/>
        </w:rPr>
        <w:t>199</w:t>
      </w:r>
      <w:r>
        <w:rPr>
          <w:rFonts w:hint="eastAsia" w:ascii="Calibri" w:hAnsi="Calibri"/>
          <w:color w:val="auto"/>
          <w:highlight w:val="none"/>
        </w:rPr>
        <w:t>.双星水池2，属于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20</w:t>
      </w:r>
      <w:r>
        <w:rPr>
          <w:rFonts w:hint="eastAsia" w:ascii="Calibri" w:hAnsi="Calibri"/>
          <w:color w:val="auto"/>
          <w:highlight w:val="none"/>
          <w:lang w:val="en-US" w:eastAsia="zh-CN"/>
        </w:rPr>
        <w:t>0</w:t>
      </w:r>
      <w:r>
        <w:rPr>
          <w:rFonts w:hint="eastAsia" w:ascii="Calibri" w:hAnsi="Calibri"/>
          <w:color w:val="auto"/>
          <w:highlight w:val="none"/>
        </w:rPr>
        <w:t>.残菜回收台2，属于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20</w:t>
      </w:r>
      <w:r>
        <w:rPr>
          <w:rFonts w:hint="eastAsia" w:ascii="Calibri" w:hAnsi="Calibri"/>
          <w:color w:val="auto"/>
          <w:highlight w:val="none"/>
          <w:lang w:val="en-US" w:eastAsia="zh-CN"/>
        </w:rPr>
        <w:t>1</w:t>
      </w:r>
      <w:r>
        <w:rPr>
          <w:rFonts w:hint="eastAsia" w:ascii="Calibri" w:hAnsi="Calibri"/>
          <w:color w:val="auto"/>
          <w:highlight w:val="none"/>
        </w:rPr>
        <w:t>.开水器（连底座），属于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20</w:t>
      </w:r>
      <w:r>
        <w:rPr>
          <w:rFonts w:hint="eastAsia" w:ascii="Calibri" w:hAnsi="Calibri"/>
          <w:color w:val="auto"/>
          <w:highlight w:val="none"/>
          <w:lang w:val="en-US" w:eastAsia="zh-CN"/>
        </w:rPr>
        <w:t>2</w:t>
      </w:r>
      <w:r>
        <w:rPr>
          <w:rFonts w:hint="eastAsia" w:ascii="Calibri" w:hAnsi="Calibri"/>
          <w:color w:val="auto"/>
          <w:highlight w:val="none"/>
        </w:rPr>
        <w:t>.挂墙双层架2，属于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20</w:t>
      </w:r>
      <w:r>
        <w:rPr>
          <w:rFonts w:hint="eastAsia" w:ascii="Calibri" w:hAnsi="Calibri"/>
          <w:color w:val="auto"/>
          <w:highlight w:val="none"/>
          <w:lang w:val="en-US" w:eastAsia="zh-CN"/>
        </w:rPr>
        <w:t>3</w:t>
      </w:r>
      <w:r>
        <w:rPr>
          <w:rFonts w:hint="eastAsia" w:ascii="Calibri" w:hAnsi="Calibri"/>
          <w:color w:val="auto"/>
          <w:highlight w:val="none"/>
        </w:rPr>
        <w:t>.双层工作台5，属于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20</w:t>
      </w:r>
      <w:r>
        <w:rPr>
          <w:rFonts w:hint="eastAsia" w:ascii="Calibri" w:hAnsi="Calibri"/>
          <w:color w:val="auto"/>
          <w:highlight w:val="none"/>
          <w:lang w:val="en-US" w:eastAsia="zh-CN"/>
        </w:rPr>
        <w:t>4</w:t>
      </w:r>
      <w:r>
        <w:rPr>
          <w:rFonts w:hint="eastAsia" w:ascii="Calibri" w:hAnsi="Calibri"/>
          <w:color w:val="auto"/>
          <w:highlight w:val="none"/>
        </w:rPr>
        <w:t>.双门热风循环消毒柜6，属于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20</w:t>
      </w:r>
      <w:r>
        <w:rPr>
          <w:rFonts w:hint="eastAsia" w:ascii="Calibri" w:hAnsi="Calibri"/>
          <w:color w:val="auto"/>
          <w:highlight w:val="none"/>
          <w:lang w:val="en-US" w:eastAsia="zh-CN"/>
        </w:rPr>
        <w:t>5</w:t>
      </w:r>
      <w:r>
        <w:rPr>
          <w:rFonts w:hint="eastAsia" w:ascii="Calibri" w:hAnsi="Calibri"/>
          <w:color w:val="auto"/>
          <w:highlight w:val="none"/>
        </w:rPr>
        <w:t>.三角阀，属于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w:t>
      </w:r>
      <w:r>
        <w:rPr>
          <w:rFonts w:hint="eastAsia" w:ascii="Calibri" w:hAnsi="Calibri"/>
          <w:color w:val="auto"/>
          <w:highlight w:val="none"/>
          <w:lang w:val="en-US" w:eastAsia="zh-CN"/>
        </w:rPr>
        <w:t>06</w:t>
      </w:r>
      <w:r>
        <w:rPr>
          <w:rFonts w:hint="eastAsia" w:ascii="Calibri" w:hAnsi="Calibri"/>
          <w:color w:val="auto"/>
          <w:highlight w:val="none"/>
        </w:rPr>
        <w:t>.进水软管，属于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w:t>
      </w:r>
      <w:r>
        <w:rPr>
          <w:rFonts w:hint="eastAsia" w:ascii="Calibri" w:hAnsi="Calibri"/>
          <w:color w:val="auto"/>
          <w:highlight w:val="none"/>
          <w:lang w:val="en-US" w:eastAsia="zh-CN"/>
        </w:rPr>
        <w:t>07</w:t>
      </w:r>
      <w:r>
        <w:rPr>
          <w:rFonts w:hint="eastAsia" w:ascii="Calibri" w:hAnsi="Calibri"/>
          <w:color w:val="auto"/>
          <w:highlight w:val="none"/>
        </w:rPr>
        <w:t>.诱捕式灭蝇灯，属于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w:t>
      </w:r>
      <w:r>
        <w:rPr>
          <w:rFonts w:hint="eastAsia" w:ascii="Calibri" w:hAnsi="Calibri"/>
          <w:color w:val="auto"/>
          <w:highlight w:val="none"/>
          <w:lang w:val="en-US" w:eastAsia="zh-CN"/>
        </w:rPr>
        <w:t>08</w:t>
      </w:r>
      <w:r>
        <w:rPr>
          <w:rFonts w:hint="eastAsia" w:ascii="Calibri" w:hAnsi="Calibri"/>
          <w:color w:val="auto"/>
          <w:highlight w:val="none"/>
        </w:rPr>
        <w:t>.风幕机4，属于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w:t>
      </w:r>
      <w:r>
        <w:rPr>
          <w:rFonts w:hint="eastAsia" w:ascii="Calibri" w:hAnsi="Calibri"/>
          <w:color w:val="auto"/>
          <w:highlight w:val="none"/>
          <w:lang w:val="en-US" w:eastAsia="zh-CN"/>
        </w:rPr>
        <w:t>09</w:t>
      </w:r>
      <w:r>
        <w:rPr>
          <w:rFonts w:hint="eastAsia" w:ascii="Calibri" w:hAnsi="Calibri"/>
          <w:color w:val="auto"/>
          <w:highlight w:val="none"/>
        </w:rPr>
        <w:t>.油烟一体机，属于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21</w:t>
      </w:r>
      <w:r>
        <w:rPr>
          <w:rFonts w:hint="eastAsia" w:ascii="Calibri" w:hAnsi="Calibri"/>
          <w:color w:val="auto"/>
          <w:highlight w:val="none"/>
          <w:lang w:val="en-US" w:eastAsia="zh-CN"/>
        </w:rPr>
        <w:t>0</w:t>
      </w:r>
      <w:r>
        <w:rPr>
          <w:rFonts w:hint="eastAsia" w:ascii="Calibri" w:hAnsi="Calibri"/>
          <w:color w:val="auto"/>
          <w:highlight w:val="none"/>
        </w:rPr>
        <w:t>.不锈钢排油烟罩连罩上封板，属于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21</w:t>
      </w:r>
      <w:r>
        <w:rPr>
          <w:rFonts w:hint="eastAsia" w:ascii="Calibri" w:hAnsi="Calibri"/>
          <w:color w:val="auto"/>
          <w:highlight w:val="none"/>
          <w:lang w:val="en-US" w:eastAsia="zh-CN"/>
        </w:rPr>
        <w:t>1</w:t>
      </w:r>
      <w:r>
        <w:rPr>
          <w:rFonts w:hint="eastAsia" w:ascii="Calibri" w:hAnsi="Calibri"/>
          <w:color w:val="auto"/>
          <w:highlight w:val="none"/>
        </w:rPr>
        <w:t>.轴流风机3，属于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21</w:t>
      </w:r>
      <w:r>
        <w:rPr>
          <w:rFonts w:hint="eastAsia" w:ascii="Calibri" w:hAnsi="Calibri"/>
          <w:color w:val="auto"/>
          <w:highlight w:val="none"/>
          <w:lang w:val="en-US" w:eastAsia="zh-CN"/>
        </w:rPr>
        <w:t>2</w:t>
      </w:r>
      <w:r>
        <w:rPr>
          <w:rFonts w:hint="eastAsia" w:ascii="Calibri" w:hAnsi="Calibri"/>
          <w:color w:val="auto"/>
          <w:highlight w:val="none"/>
        </w:rPr>
        <w:t>.不锈钢排烟风管，属于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Calibri" w:hAnsi="Calibri"/>
          <w:color w:val="auto"/>
          <w:highlight w:val="none"/>
        </w:rPr>
      </w:pPr>
      <w:r>
        <w:rPr>
          <w:rFonts w:hint="eastAsia" w:ascii="Calibri" w:hAnsi="Calibri"/>
          <w:color w:val="auto"/>
          <w:highlight w:val="none"/>
        </w:rPr>
        <w:t>21</w:t>
      </w:r>
      <w:r>
        <w:rPr>
          <w:rFonts w:hint="eastAsia" w:ascii="Calibri" w:hAnsi="Calibri"/>
          <w:color w:val="auto"/>
          <w:highlight w:val="none"/>
          <w:lang w:val="en-US" w:eastAsia="zh-CN"/>
        </w:rPr>
        <w:t>3</w:t>
      </w:r>
      <w:r>
        <w:rPr>
          <w:rFonts w:hint="eastAsia" w:ascii="Calibri" w:hAnsi="Calibri"/>
          <w:color w:val="auto"/>
          <w:highlight w:val="none"/>
        </w:rPr>
        <w:t>.铝合金风口，属于</w:t>
      </w:r>
      <w:r>
        <w:rPr>
          <w:rFonts w:hint="eastAsia" w:ascii="Calibri" w:hAnsi="Calibri"/>
          <w:color w:val="auto"/>
          <w:highlight w:val="none"/>
          <w:u w:val="single"/>
        </w:rPr>
        <w:t>工业</w:t>
      </w:r>
      <w:r>
        <w:rPr>
          <w:rFonts w:hint="eastAsia" w:ascii="Calibri" w:hAnsi="Calibri"/>
          <w:color w:val="auto"/>
          <w:highlight w:val="none"/>
        </w:rPr>
        <w:t>行业；制造商为</w:t>
      </w:r>
      <w:r>
        <w:rPr>
          <w:rFonts w:hint="eastAsia" w:ascii="Calibri" w:hAnsi="Calibri"/>
          <w:color w:val="auto"/>
          <w:highlight w:val="none"/>
          <w:u w:val="single"/>
        </w:rPr>
        <w:t>（企业名称）</w:t>
      </w:r>
      <w:r>
        <w:rPr>
          <w:rFonts w:hint="eastAsia" w:ascii="Calibri" w:hAnsi="Calibri"/>
          <w:color w:val="auto"/>
          <w:highlight w:val="none"/>
        </w:rPr>
        <w:t>，从业人员</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adjustRightInd/>
        <w:ind w:firstLine="420" w:firstLineChars="200"/>
        <w:rPr>
          <w:rFonts w:ascii="宋体" w:hAnsi="宋体" w:cs="宋体"/>
          <w:color w:val="auto"/>
          <w:szCs w:val="21"/>
          <w:highlight w:val="none"/>
        </w:rPr>
      </w:pPr>
      <w:r>
        <w:rPr>
          <w:rFonts w:hint="eastAsia" w:ascii="Calibri" w:hAnsi="Calibri"/>
          <w:color w:val="auto"/>
          <w:highlight w:val="none"/>
        </w:rPr>
        <w:t>21</w:t>
      </w:r>
      <w:r>
        <w:rPr>
          <w:rFonts w:hint="eastAsia" w:ascii="Calibri" w:hAnsi="Calibri"/>
          <w:color w:val="auto"/>
          <w:highlight w:val="none"/>
          <w:lang w:val="en-US" w:eastAsia="zh-CN"/>
        </w:rPr>
        <w:t>4</w:t>
      </w:r>
      <w:r>
        <w:rPr>
          <w:rFonts w:hint="eastAsia" w:ascii="Calibri" w:hAnsi="Calibri"/>
          <w:color w:val="auto"/>
          <w:highlight w:val="none"/>
        </w:rPr>
        <w:t>.灭火系统，属于</w:t>
      </w:r>
      <w:r>
        <w:rPr>
          <w:rFonts w:hint="eastAsia" w:ascii="Calibri" w:hAnsi="Calibri"/>
          <w:color w:val="auto"/>
          <w:highlight w:val="none"/>
          <w:u w:val="single"/>
        </w:rPr>
        <w:t>工业</w:t>
      </w:r>
      <w:r>
        <w:rPr>
          <w:rFonts w:hint="eastAsia" w:ascii="Calibri" w:hAnsi="Calibri"/>
          <w:color w:val="auto"/>
          <w:highlight w:val="none"/>
        </w:rPr>
        <w:t xml:space="preserve">行业；制造商为（企业名称），从业人员 </w:t>
      </w:r>
      <w:r>
        <w:rPr>
          <w:rFonts w:hint="eastAsia" w:ascii="Calibri" w:hAnsi="Calibri"/>
          <w:color w:val="auto"/>
          <w:highlight w:val="none"/>
        </w:rPr>
        <w:tab/>
      </w:r>
      <w:r>
        <w:rPr>
          <w:rFonts w:hint="eastAsia" w:ascii="Calibri" w:hAnsi="Calibri"/>
          <w:color w:val="auto"/>
          <w:highlight w:val="none"/>
        </w:rPr>
        <w:t>人，营业收入为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万元，资产总额为</w:t>
      </w:r>
      <w:r>
        <w:rPr>
          <w:rFonts w:hint="eastAsia" w:ascii="Calibri" w:hAnsi="Calibri"/>
          <w:color w:val="auto"/>
          <w:highlight w:val="none"/>
          <w:u w:val="single"/>
        </w:rPr>
        <w:t xml:space="preserve"> </w:t>
      </w:r>
      <w:r>
        <w:rPr>
          <w:rFonts w:hint="eastAsia" w:ascii="Calibri" w:hAnsi="Calibri"/>
          <w:color w:val="auto"/>
          <w:highlight w:val="none"/>
          <w:u w:val="single"/>
        </w:rPr>
        <w:tab/>
      </w:r>
      <w:r>
        <w:rPr>
          <w:rFonts w:hint="eastAsia" w:ascii="Calibri" w:hAnsi="Calibri"/>
          <w:color w:val="auto"/>
          <w:highlight w:val="none"/>
        </w:rPr>
        <w:t>万元，属于</w:t>
      </w:r>
      <w:r>
        <w:rPr>
          <w:rFonts w:hint="eastAsia" w:ascii="Calibri" w:hAnsi="Calibri"/>
          <w:color w:val="auto"/>
          <w:highlight w:val="none"/>
          <w:u w:val="single"/>
        </w:rPr>
        <w:t>（中型企业、小型企业、微型企业）</w:t>
      </w:r>
      <w:r>
        <w:rPr>
          <w:rFonts w:hint="eastAsia" w:ascii="Calibri" w:hAnsi="Calibri"/>
          <w:color w:val="auto"/>
          <w:highlight w:val="none"/>
        </w:rPr>
        <w:t>。</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pPr>
        <w:snapToGrid w:val="0"/>
        <w:spacing w:line="288"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pPr>
        <w:snapToGrid w:val="0"/>
        <w:spacing w:line="288" w:lineRule="auto"/>
        <w:ind w:firstLine="424" w:firstLineChars="202"/>
        <w:rPr>
          <w:rFonts w:ascii="宋体" w:hAnsi="宋体" w:cs="宋体"/>
          <w:color w:val="auto"/>
          <w:kern w:val="0"/>
          <w:szCs w:val="21"/>
          <w:highlight w:val="none"/>
          <w:lang w:val="zh-CN"/>
        </w:rPr>
      </w:pPr>
    </w:p>
    <w:p>
      <w:pPr>
        <w:snapToGrid w:val="0"/>
        <w:spacing w:line="288" w:lineRule="auto"/>
        <w:ind w:firstLine="426" w:firstLineChars="202"/>
        <w:rPr>
          <w:rFonts w:ascii="宋体" w:hAnsi="宋体" w:cs="宋体"/>
          <w:b/>
          <w:bCs/>
          <w:color w:val="auto"/>
          <w:kern w:val="0"/>
          <w:szCs w:val="21"/>
          <w:highlight w:val="none"/>
        </w:rPr>
      </w:pPr>
      <w:r>
        <w:rPr>
          <w:rFonts w:hint="eastAsia" w:ascii="宋体" w:hAnsi="宋体" w:cs="宋体"/>
          <w:b/>
          <w:bCs/>
          <w:color w:val="auto"/>
          <w:kern w:val="0"/>
          <w:szCs w:val="21"/>
          <w:highlight w:val="none"/>
          <w:lang w:val="zh-CN"/>
        </w:rPr>
        <w:t>投标人名称(电子签名)：</w:t>
      </w:r>
    </w:p>
    <w:p>
      <w:pPr>
        <w:snapToGrid w:val="0"/>
        <w:spacing w:line="288" w:lineRule="auto"/>
        <w:ind w:firstLine="426" w:firstLineChars="202"/>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日期</w:t>
      </w:r>
      <w:r>
        <w:rPr>
          <w:rFonts w:hint="eastAsia" w:ascii="宋体" w:hAnsi="宋体" w:cs="宋体"/>
          <w:b/>
          <w:bCs/>
          <w:color w:val="auto"/>
          <w:kern w:val="0"/>
          <w:szCs w:val="21"/>
          <w:highlight w:val="none"/>
        </w:rPr>
        <w:t xml:space="preserve">：  年  </w:t>
      </w:r>
      <w:r>
        <w:rPr>
          <w:rFonts w:hint="eastAsia" w:ascii="宋体" w:hAnsi="宋体" w:cs="宋体"/>
          <w:b/>
          <w:bCs/>
          <w:color w:val="auto"/>
          <w:kern w:val="0"/>
          <w:szCs w:val="21"/>
          <w:highlight w:val="none"/>
          <w:lang w:val="zh-CN"/>
        </w:rPr>
        <w:t>月</w:t>
      </w:r>
      <w:r>
        <w:rPr>
          <w:rFonts w:hint="eastAsia" w:ascii="宋体" w:hAnsi="宋体" w:cs="宋体"/>
          <w:b/>
          <w:bCs/>
          <w:color w:val="auto"/>
          <w:kern w:val="0"/>
          <w:szCs w:val="21"/>
          <w:highlight w:val="none"/>
        </w:rPr>
        <w:t xml:space="preserve">   </w:t>
      </w:r>
      <w:r>
        <w:rPr>
          <w:rFonts w:hint="eastAsia" w:ascii="宋体" w:hAnsi="宋体" w:cs="宋体"/>
          <w:b/>
          <w:bCs/>
          <w:color w:val="auto"/>
          <w:kern w:val="0"/>
          <w:szCs w:val="21"/>
          <w:highlight w:val="none"/>
          <w:lang w:val="zh-CN"/>
        </w:rPr>
        <w:t>日</w:t>
      </w:r>
    </w:p>
    <w:p>
      <w:pPr>
        <w:snapToGrid w:val="0"/>
        <w:spacing w:line="288" w:lineRule="auto"/>
        <w:ind w:firstLine="424" w:firstLineChars="202"/>
        <w:jc w:val="left"/>
        <w:rPr>
          <w:rFonts w:ascii="宋体" w:hAnsi="宋体" w:cs="宋体"/>
          <w:color w:val="auto"/>
          <w:szCs w:val="21"/>
          <w:highlight w:val="none"/>
        </w:rPr>
      </w:pPr>
    </w:p>
    <w:p>
      <w:pPr>
        <w:snapToGrid w:val="0"/>
        <w:spacing w:line="288"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从业人员、营业收入、资产总额填报上一年度数据，无上一年度数据的新成立企业可不填报。</w:t>
      </w:r>
    </w:p>
    <w:p>
      <w:pPr>
        <w:snapToGrid w:val="0"/>
        <w:spacing w:line="288" w:lineRule="auto"/>
        <w:ind w:right="420" w:firstLine="424" w:firstLineChars="202"/>
        <w:rPr>
          <w:rFonts w:ascii="宋体" w:hAnsi="宋体" w:cs="宋体"/>
          <w:color w:val="auto"/>
          <w:szCs w:val="21"/>
          <w:highlight w:val="none"/>
        </w:rPr>
      </w:pPr>
    </w:p>
    <w:p>
      <w:pPr>
        <w:snapToGrid w:val="0"/>
        <w:spacing w:line="288" w:lineRule="auto"/>
        <w:ind w:right="420" w:firstLine="424" w:firstLineChars="202"/>
        <w:rPr>
          <w:rFonts w:ascii="宋体" w:hAnsi="宋体" w:cs="宋体"/>
          <w:color w:val="auto"/>
          <w:szCs w:val="21"/>
          <w:highlight w:val="none"/>
        </w:rPr>
      </w:pPr>
      <w:r>
        <w:rPr>
          <w:rFonts w:hint="eastAsia" w:ascii="宋体" w:hAnsi="宋体" w:cs="宋体"/>
          <w:color w:val="auto"/>
          <w:szCs w:val="21"/>
          <w:highlight w:val="none"/>
        </w:rPr>
        <w:t>注：</w:t>
      </w:r>
    </w:p>
    <w:p>
      <w:pPr>
        <w:snapToGrid w:val="0"/>
        <w:spacing w:line="288" w:lineRule="auto"/>
        <w:ind w:right="420" w:firstLine="424" w:firstLineChars="202"/>
        <w:rPr>
          <w:rFonts w:ascii="宋体" w:hAnsi="宋体" w:cs="宋体"/>
          <w:color w:val="auto"/>
          <w:szCs w:val="21"/>
          <w:highlight w:val="none"/>
        </w:rPr>
      </w:pPr>
      <w:r>
        <w:rPr>
          <w:rFonts w:hint="eastAsia" w:ascii="宋体" w:hAnsi="宋体" w:cs="宋体"/>
          <w:color w:val="auto"/>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napToGrid w:val="0"/>
        <w:spacing w:line="288" w:lineRule="auto"/>
        <w:ind w:right="420" w:firstLine="424" w:firstLineChars="202"/>
        <w:rPr>
          <w:rFonts w:ascii="宋体" w:hAnsi="宋体" w:cs="宋体"/>
          <w:color w:val="auto"/>
          <w:szCs w:val="21"/>
          <w:highlight w:val="none"/>
        </w:rPr>
      </w:pPr>
      <w:r>
        <w:rPr>
          <w:rFonts w:hint="eastAsia" w:ascii="宋体" w:hAnsi="宋体" w:cs="宋体"/>
          <w:color w:val="auto"/>
          <w:szCs w:val="21"/>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line="288" w:lineRule="auto"/>
        <w:ind w:right="420" w:firstLine="424" w:firstLineChars="202"/>
        <w:rPr>
          <w:rFonts w:ascii="宋体" w:hAnsi="宋体" w:cs="宋体"/>
          <w:color w:val="auto"/>
          <w:szCs w:val="21"/>
          <w:highlight w:val="none"/>
        </w:rPr>
      </w:pPr>
      <w:r>
        <w:rPr>
          <w:rFonts w:hint="eastAsia" w:ascii="宋体" w:hAnsi="宋体" w:cs="宋体"/>
          <w:color w:val="auto"/>
          <w:szCs w:val="21"/>
          <w:highlight w:val="none"/>
        </w:rPr>
        <w:t>▲3、《中小企业声明函》填写不全（从业人员、营业收入、资产总额在中小企业划型标准规定中不涉及的除外），或未按照《中小企业声明函》要求填写的，视为未提供《中小企业声明函》，不享受中小企业扶持政策。</w:t>
      </w:r>
    </w:p>
    <w:sectPr>
      <w:headerReference r:id="rId5" w:type="first"/>
      <w:footerReference r:id="rId8" w:type="first"/>
      <w:headerReference r:id="rId4" w:type="default"/>
      <w:footerReference r:id="rId6" w:type="default"/>
      <w:footerReference r:id="rId7" w:type="even"/>
      <w:pgSz w:w="11906" w:h="16838"/>
      <w:pgMar w:top="1247" w:right="1247" w:bottom="1247" w:left="1247" w:header="709" w:footer="726"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auto"/>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42"/>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rPr>
                              <w:rFonts w:hint="eastAsia"/>
                            </w:rPr>
                            <w:fldChar w:fldCharType="begin"/>
                          </w:r>
                          <w:r>
                            <w:rPr>
                              <w:rFonts w:hint="eastAsia"/>
                            </w:rPr>
                            <w:instrText xml:space="preserve"> PAGE  \* MERGEFORMAT </w:instrText>
                          </w:r>
                          <w:r>
                            <w:rPr>
                              <w:rFonts w:hint="eastAsia"/>
                            </w:rPr>
                            <w:fldChar w:fldCharType="separate"/>
                          </w:r>
                          <w:r>
                            <w:rPr>
                              <w:rFonts w:hint="eastAsia"/>
                            </w:rP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42"/>
                    </w:pPr>
                    <w:r>
                      <w:rPr>
                        <w:rFonts w:hint="eastAsia"/>
                      </w:rPr>
                      <w:fldChar w:fldCharType="begin"/>
                    </w:r>
                    <w:r>
                      <w:rPr>
                        <w:rFonts w:hint="eastAsia"/>
                      </w:rPr>
                      <w:instrText xml:space="preserve"> PAGE  \* MERGEFORMAT </w:instrText>
                    </w:r>
                    <w:r>
                      <w:rPr>
                        <w:rFonts w:hint="eastAsia"/>
                      </w:rPr>
                      <w:fldChar w:fldCharType="separate"/>
                    </w:r>
                    <w:r>
                      <w:rPr>
                        <w:rFonts w:hint="eastAsia"/>
                      </w:rPr>
                      <w:t>39</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rPr>
                              <w:rFonts w:hint="eastAsia"/>
                            </w:rPr>
                            <w:fldChar w:fldCharType="begin"/>
                          </w:r>
                          <w:r>
                            <w:rPr>
                              <w:rFonts w:hint="eastAsia"/>
                            </w:rPr>
                            <w:instrText xml:space="preserve"> PAGE  \* MERGEFORMAT </w:instrText>
                          </w:r>
                          <w:r>
                            <w:rPr>
                              <w:rFonts w:hint="eastAsia"/>
                            </w:rPr>
                            <w:fldChar w:fldCharType="separate"/>
                          </w:r>
                          <w:r>
                            <w:rPr>
                              <w:rFonts w:hint="eastAsia"/>
                            </w:rPr>
                            <w:t>38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42"/>
                    </w:pPr>
                    <w:r>
                      <w:rPr>
                        <w:rFonts w:hint="eastAsia"/>
                      </w:rPr>
                      <w:fldChar w:fldCharType="begin"/>
                    </w:r>
                    <w:r>
                      <w:rPr>
                        <w:rFonts w:hint="eastAsia"/>
                      </w:rPr>
                      <w:instrText xml:space="preserve"> PAGE  \* MERGEFORMAT </w:instrText>
                    </w:r>
                    <w:r>
                      <w:rPr>
                        <w:rFonts w:hint="eastAsia"/>
                      </w:rPr>
                      <w:fldChar w:fldCharType="separate"/>
                    </w:r>
                    <w:r>
                      <w:rPr>
                        <w:rFonts w:hint="eastAsia"/>
                      </w:rPr>
                      <w:t>38</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t>杭州市政府采购公开招标文件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xMmVmOGY0ZWIxNjVjYzc3ODM1OTQwOTExZWY1YmQifQ=="/>
  </w:docVars>
  <w:rsids>
    <w:rsidRoot w:val="00172A27"/>
    <w:rsid w:val="00000451"/>
    <w:rsid w:val="0000108B"/>
    <w:rsid w:val="0000133D"/>
    <w:rsid w:val="00001509"/>
    <w:rsid w:val="000032B2"/>
    <w:rsid w:val="0000363B"/>
    <w:rsid w:val="00004009"/>
    <w:rsid w:val="000058BD"/>
    <w:rsid w:val="00006109"/>
    <w:rsid w:val="00006150"/>
    <w:rsid w:val="000063E8"/>
    <w:rsid w:val="00006725"/>
    <w:rsid w:val="0000675E"/>
    <w:rsid w:val="0000724C"/>
    <w:rsid w:val="00007CAA"/>
    <w:rsid w:val="00010FE9"/>
    <w:rsid w:val="0001122F"/>
    <w:rsid w:val="00011A4B"/>
    <w:rsid w:val="0001217D"/>
    <w:rsid w:val="00012251"/>
    <w:rsid w:val="0001337C"/>
    <w:rsid w:val="000138C4"/>
    <w:rsid w:val="00013C1F"/>
    <w:rsid w:val="00013F31"/>
    <w:rsid w:val="000140D8"/>
    <w:rsid w:val="00014530"/>
    <w:rsid w:val="00014BBC"/>
    <w:rsid w:val="000150EE"/>
    <w:rsid w:val="0001640D"/>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704"/>
    <w:rsid w:val="00030A97"/>
    <w:rsid w:val="00030CB3"/>
    <w:rsid w:val="0003206A"/>
    <w:rsid w:val="000326A7"/>
    <w:rsid w:val="00032EA0"/>
    <w:rsid w:val="000331B0"/>
    <w:rsid w:val="0003353E"/>
    <w:rsid w:val="000336D4"/>
    <w:rsid w:val="00034FA7"/>
    <w:rsid w:val="0003533D"/>
    <w:rsid w:val="000357E4"/>
    <w:rsid w:val="00035ACA"/>
    <w:rsid w:val="00035E0D"/>
    <w:rsid w:val="00036C29"/>
    <w:rsid w:val="00037B93"/>
    <w:rsid w:val="00040447"/>
    <w:rsid w:val="00040494"/>
    <w:rsid w:val="00040ADB"/>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3166"/>
    <w:rsid w:val="0005417A"/>
    <w:rsid w:val="00054D39"/>
    <w:rsid w:val="0005501B"/>
    <w:rsid w:val="000550F5"/>
    <w:rsid w:val="000552C7"/>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3AAB"/>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155"/>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5D7D"/>
    <w:rsid w:val="000960BA"/>
    <w:rsid w:val="0009662A"/>
    <w:rsid w:val="0009690D"/>
    <w:rsid w:val="00096DFF"/>
    <w:rsid w:val="000A0729"/>
    <w:rsid w:val="000A0E69"/>
    <w:rsid w:val="000A1A52"/>
    <w:rsid w:val="000A1F98"/>
    <w:rsid w:val="000A219F"/>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B75BC"/>
    <w:rsid w:val="000C0A43"/>
    <w:rsid w:val="000C0CB1"/>
    <w:rsid w:val="000C1411"/>
    <w:rsid w:val="000C17FB"/>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1B"/>
    <w:rsid w:val="000D2CAC"/>
    <w:rsid w:val="000D34C8"/>
    <w:rsid w:val="000D34FD"/>
    <w:rsid w:val="000D3BE5"/>
    <w:rsid w:val="000D3C37"/>
    <w:rsid w:val="000D453A"/>
    <w:rsid w:val="000D4AFA"/>
    <w:rsid w:val="000D5EA6"/>
    <w:rsid w:val="000D5F00"/>
    <w:rsid w:val="000D5FDE"/>
    <w:rsid w:val="000D6C9F"/>
    <w:rsid w:val="000D6E3B"/>
    <w:rsid w:val="000D6F30"/>
    <w:rsid w:val="000D74E4"/>
    <w:rsid w:val="000D7C9D"/>
    <w:rsid w:val="000D7CE0"/>
    <w:rsid w:val="000E2785"/>
    <w:rsid w:val="000E27BB"/>
    <w:rsid w:val="000E3153"/>
    <w:rsid w:val="000E3484"/>
    <w:rsid w:val="000E386F"/>
    <w:rsid w:val="000E4051"/>
    <w:rsid w:val="000E406B"/>
    <w:rsid w:val="000E4139"/>
    <w:rsid w:val="000E4765"/>
    <w:rsid w:val="000E5B7E"/>
    <w:rsid w:val="000E5FF9"/>
    <w:rsid w:val="000E6AE1"/>
    <w:rsid w:val="000E7142"/>
    <w:rsid w:val="000E7632"/>
    <w:rsid w:val="000E7737"/>
    <w:rsid w:val="000E7739"/>
    <w:rsid w:val="000E77EE"/>
    <w:rsid w:val="000F1604"/>
    <w:rsid w:val="000F2361"/>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231A"/>
    <w:rsid w:val="00103251"/>
    <w:rsid w:val="00103509"/>
    <w:rsid w:val="0010393D"/>
    <w:rsid w:val="00103EBD"/>
    <w:rsid w:val="00104699"/>
    <w:rsid w:val="00104E5B"/>
    <w:rsid w:val="00104EEC"/>
    <w:rsid w:val="001050DC"/>
    <w:rsid w:val="00105482"/>
    <w:rsid w:val="001056A5"/>
    <w:rsid w:val="00105BA9"/>
    <w:rsid w:val="00105FE1"/>
    <w:rsid w:val="00106119"/>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47AF"/>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6F5B"/>
    <w:rsid w:val="00167055"/>
    <w:rsid w:val="00167478"/>
    <w:rsid w:val="00167594"/>
    <w:rsid w:val="001702BE"/>
    <w:rsid w:val="001704B3"/>
    <w:rsid w:val="0017059C"/>
    <w:rsid w:val="0017105C"/>
    <w:rsid w:val="001715AF"/>
    <w:rsid w:val="00171622"/>
    <w:rsid w:val="001716BB"/>
    <w:rsid w:val="00171785"/>
    <w:rsid w:val="00171AB5"/>
    <w:rsid w:val="00171F18"/>
    <w:rsid w:val="0017204F"/>
    <w:rsid w:val="001721CF"/>
    <w:rsid w:val="001728FD"/>
    <w:rsid w:val="00172A27"/>
    <w:rsid w:val="00172F02"/>
    <w:rsid w:val="00172F2D"/>
    <w:rsid w:val="00173631"/>
    <w:rsid w:val="0017372D"/>
    <w:rsid w:val="00173826"/>
    <w:rsid w:val="00173C58"/>
    <w:rsid w:val="00173E59"/>
    <w:rsid w:val="001741DC"/>
    <w:rsid w:val="00174B3E"/>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093"/>
    <w:rsid w:val="001A473A"/>
    <w:rsid w:val="001A4977"/>
    <w:rsid w:val="001A4ED9"/>
    <w:rsid w:val="001A5785"/>
    <w:rsid w:val="001A5FD7"/>
    <w:rsid w:val="001A66A6"/>
    <w:rsid w:val="001A6BAF"/>
    <w:rsid w:val="001A6BBB"/>
    <w:rsid w:val="001A79A2"/>
    <w:rsid w:val="001A7FA5"/>
    <w:rsid w:val="001B06A6"/>
    <w:rsid w:val="001B13BF"/>
    <w:rsid w:val="001B13F1"/>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73C"/>
    <w:rsid w:val="001D29A4"/>
    <w:rsid w:val="001D2B73"/>
    <w:rsid w:val="001D2C21"/>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B5C"/>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9B7"/>
    <w:rsid w:val="00221AF7"/>
    <w:rsid w:val="00222494"/>
    <w:rsid w:val="00222775"/>
    <w:rsid w:val="00222A31"/>
    <w:rsid w:val="00222CF6"/>
    <w:rsid w:val="00224037"/>
    <w:rsid w:val="002241E5"/>
    <w:rsid w:val="002244E4"/>
    <w:rsid w:val="00224D2A"/>
    <w:rsid w:val="00224D8D"/>
    <w:rsid w:val="0022555A"/>
    <w:rsid w:val="00227214"/>
    <w:rsid w:val="00227DDC"/>
    <w:rsid w:val="0023079F"/>
    <w:rsid w:val="00231135"/>
    <w:rsid w:val="00231B0B"/>
    <w:rsid w:val="00231D18"/>
    <w:rsid w:val="00232555"/>
    <w:rsid w:val="00233538"/>
    <w:rsid w:val="0023383E"/>
    <w:rsid w:val="00234248"/>
    <w:rsid w:val="0023449F"/>
    <w:rsid w:val="002344F5"/>
    <w:rsid w:val="0023454D"/>
    <w:rsid w:val="00234679"/>
    <w:rsid w:val="002358A1"/>
    <w:rsid w:val="002359FC"/>
    <w:rsid w:val="002361C8"/>
    <w:rsid w:val="00236690"/>
    <w:rsid w:val="0023669D"/>
    <w:rsid w:val="00236D99"/>
    <w:rsid w:val="00237EAE"/>
    <w:rsid w:val="00237FA2"/>
    <w:rsid w:val="002402EF"/>
    <w:rsid w:val="002403D5"/>
    <w:rsid w:val="00240C1F"/>
    <w:rsid w:val="00240F55"/>
    <w:rsid w:val="00240F67"/>
    <w:rsid w:val="00241144"/>
    <w:rsid w:val="00242510"/>
    <w:rsid w:val="00242F79"/>
    <w:rsid w:val="0024415B"/>
    <w:rsid w:val="00245565"/>
    <w:rsid w:val="002458C1"/>
    <w:rsid w:val="00245E62"/>
    <w:rsid w:val="002460D0"/>
    <w:rsid w:val="00246331"/>
    <w:rsid w:val="00246357"/>
    <w:rsid w:val="00247422"/>
    <w:rsid w:val="0024762D"/>
    <w:rsid w:val="00247BA2"/>
    <w:rsid w:val="00250870"/>
    <w:rsid w:val="0025100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6F7E"/>
    <w:rsid w:val="00257246"/>
    <w:rsid w:val="00257438"/>
    <w:rsid w:val="00257D76"/>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0A9"/>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1C95"/>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2C"/>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27"/>
    <w:rsid w:val="002A02D6"/>
    <w:rsid w:val="002A05BD"/>
    <w:rsid w:val="002A07C4"/>
    <w:rsid w:val="002A0921"/>
    <w:rsid w:val="002A0CB3"/>
    <w:rsid w:val="002A1887"/>
    <w:rsid w:val="002A2001"/>
    <w:rsid w:val="002A28BA"/>
    <w:rsid w:val="002A4060"/>
    <w:rsid w:val="002A4868"/>
    <w:rsid w:val="002A4A05"/>
    <w:rsid w:val="002A4EB3"/>
    <w:rsid w:val="002A50DF"/>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254"/>
    <w:rsid w:val="002D0C27"/>
    <w:rsid w:val="002D0E88"/>
    <w:rsid w:val="002D0EA7"/>
    <w:rsid w:val="002D0F31"/>
    <w:rsid w:val="002D10A9"/>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2CF0"/>
    <w:rsid w:val="002E37C5"/>
    <w:rsid w:val="002E3956"/>
    <w:rsid w:val="002E3C08"/>
    <w:rsid w:val="002E3CF2"/>
    <w:rsid w:val="002E3D60"/>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4FEF"/>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08F"/>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A90"/>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3555"/>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1E9A"/>
    <w:rsid w:val="0035455F"/>
    <w:rsid w:val="00355639"/>
    <w:rsid w:val="00355D75"/>
    <w:rsid w:val="00355D8F"/>
    <w:rsid w:val="00356511"/>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5C0C"/>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6E1F"/>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B8D"/>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398"/>
    <w:rsid w:val="00400CB4"/>
    <w:rsid w:val="00401386"/>
    <w:rsid w:val="004013E6"/>
    <w:rsid w:val="00401E31"/>
    <w:rsid w:val="00402BBA"/>
    <w:rsid w:val="004035D0"/>
    <w:rsid w:val="0040361D"/>
    <w:rsid w:val="00403795"/>
    <w:rsid w:val="004041FB"/>
    <w:rsid w:val="0040443E"/>
    <w:rsid w:val="00404E69"/>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65B"/>
    <w:rsid w:val="0045679C"/>
    <w:rsid w:val="004570EF"/>
    <w:rsid w:val="00457517"/>
    <w:rsid w:val="00457CF7"/>
    <w:rsid w:val="00457D37"/>
    <w:rsid w:val="00457D7B"/>
    <w:rsid w:val="0046028A"/>
    <w:rsid w:val="004604A8"/>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5F51"/>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258A"/>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39B4"/>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6FD"/>
    <w:rsid w:val="004A2A23"/>
    <w:rsid w:val="004A2EF8"/>
    <w:rsid w:val="004A3A21"/>
    <w:rsid w:val="004A407A"/>
    <w:rsid w:val="004A4246"/>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755"/>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58E1"/>
    <w:rsid w:val="004D6BF2"/>
    <w:rsid w:val="004D6F29"/>
    <w:rsid w:val="004D7BF5"/>
    <w:rsid w:val="004D7F9C"/>
    <w:rsid w:val="004E03F4"/>
    <w:rsid w:val="004E068F"/>
    <w:rsid w:val="004E0860"/>
    <w:rsid w:val="004E09CF"/>
    <w:rsid w:val="004E0B0A"/>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55B5"/>
    <w:rsid w:val="004E648F"/>
    <w:rsid w:val="004E6746"/>
    <w:rsid w:val="004E6CAC"/>
    <w:rsid w:val="004E6F69"/>
    <w:rsid w:val="004E75C1"/>
    <w:rsid w:val="004E777F"/>
    <w:rsid w:val="004F07F2"/>
    <w:rsid w:val="004F07F9"/>
    <w:rsid w:val="004F0A50"/>
    <w:rsid w:val="004F0D1F"/>
    <w:rsid w:val="004F0E82"/>
    <w:rsid w:val="004F114E"/>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6E9D"/>
    <w:rsid w:val="00527317"/>
    <w:rsid w:val="00527ED6"/>
    <w:rsid w:val="0053024F"/>
    <w:rsid w:val="005309A5"/>
    <w:rsid w:val="00531064"/>
    <w:rsid w:val="005312CB"/>
    <w:rsid w:val="005313B2"/>
    <w:rsid w:val="00531893"/>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1931"/>
    <w:rsid w:val="005524ED"/>
    <w:rsid w:val="00553F0C"/>
    <w:rsid w:val="00553F91"/>
    <w:rsid w:val="00554007"/>
    <w:rsid w:val="00554C03"/>
    <w:rsid w:val="00554C58"/>
    <w:rsid w:val="00554D5D"/>
    <w:rsid w:val="005550F9"/>
    <w:rsid w:val="00556338"/>
    <w:rsid w:val="00556441"/>
    <w:rsid w:val="00556A09"/>
    <w:rsid w:val="00557031"/>
    <w:rsid w:val="00557F87"/>
    <w:rsid w:val="005609D4"/>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046"/>
    <w:rsid w:val="0057200B"/>
    <w:rsid w:val="00572297"/>
    <w:rsid w:val="005727F3"/>
    <w:rsid w:val="005733BD"/>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7C2"/>
    <w:rsid w:val="005919F0"/>
    <w:rsid w:val="00591BA6"/>
    <w:rsid w:val="00592825"/>
    <w:rsid w:val="00594437"/>
    <w:rsid w:val="00594B70"/>
    <w:rsid w:val="00596CFA"/>
    <w:rsid w:val="00596EC6"/>
    <w:rsid w:val="005975CE"/>
    <w:rsid w:val="005A0088"/>
    <w:rsid w:val="005A04F6"/>
    <w:rsid w:val="005A1090"/>
    <w:rsid w:val="005A14F0"/>
    <w:rsid w:val="005A1861"/>
    <w:rsid w:val="005A1A31"/>
    <w:rsid w:val="005A361D"/>
    <w:rsid w:val="005A36C2"/>
    <w:rsid w:val="005A3719"/>
    <w:rsid w:val="005A3DD7"/>
    <w:rsid w:val="005A40FA"/>
    <w:rsid w:val="005A4C20"/>
    <w:rsid w:val="005A4F48"/>
    <w:rsid w:val="005A54F1"/>
    <w:rsid w:val="005A57B8"/>
    <w:rsid w:val="005A5DDE"/>
    <w:rsid w:val="005A615F"/>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5B3"/>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098"/>
    <w:rsid w:val="005C3344"/>
    <w:rsid w:val="005C4153"/>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EEA"/>
    <w:rsid w:val="005F4F00"/>
    <w:rsid w:val="005F5506"/>
    <w:rsid w:val="005F5A0D"/>
    <w:rsid w:val="005F60DF"/>
    <w:rsid w:val="005F615B"/>
    <w:rsid w:val="005F61DF"/>
    <w:rsid w:val="005F61E1"/>
    <w:rsid w:val="005F6767"/>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07D9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792"/>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6B9"/>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CF0"/>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57B7E"/>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7E3"/>
    <w:rsid w:val="00672906"/>
    <w:rsid w:val="00672B2F"/>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2D93"/>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423"/>
    <w:rsid w:val="006D7A7B"/>
    <w:rsid w:val="006D7A8E"/>
    <w:rsid w:val="006D7C59"/>
    <w:rsid w:val="006E00E3"/>
    <w:rsid w:val="006E045C"/>
    <w:rsid w:val="006E0569"/>
    <w:rsid w:val="006E065E"/>
    <w:rsid w:val="006E0849"/>
    <w:rsid w:val="006E11D6"/>
    <w:rsid w:val="006E169B"/>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3A5"/>
    <w:rsid w:val="006F4576"/>
    <w:rsid w:val="006F553A"/>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8D9"/>
    <w:rsid w:val="007119DC"/>
    <w:rsid w:val="00711CC7"/>
    <w:rsid w:val="0071230A"/>
    <w:rsid w:val="0071294A"/>
    <w:rsid w:val="00712BDD"/>
    <w:rsid w:val="00712E1E"/>
    <w:rsid w:val="00712F37"/>
    <w:rsid w:val="00713A6B"/>
    <w:rsid w:val="00713CB5"/>
    <w:rsid w:val="0071487F"/>
    <w:rsid w:val="0071499C"/>
    <w:rsid w:val="00714F9D"/>
    <w:rsid w:val="00715366"/>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8FE"/>
    <w:rsid w:val="00722A86"/>
    <w:rsid w:val="00722BC6"/>
    <w:rsid w:val="00722C69"/>
    <w:rsid w:val="0072311F"/>
    <w:rsid w:val="0072388C"/>
    <w:rsid w:val="0072454E"/>
    <w:rsid w:val="007249D1"/>
    <w:rsid w:val="00724FE4"/>
    <w:rsid w:val="007251EC"/>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264"/>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4F8B"/>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67C"/>
    <w:rsid w:val="00771CAC"/>
    <w:rsid w:val="00772036"/>
    <w:rsid w:val="00773098"/>
    <w:rsid w:val="007739A3"/>
    <w:rsid w:val="00773BD9"/>
    <w:rsid w:val="00773CB0"/>
    <w:rsid w:val="00773D71"/>
    <w:rsid w:val="00773F4F"/>
    <w:rsid w:val="00775526"/>
    <w:rsid w:val="00775651"/>
    <w:rsid w:val="00775F3F"/>
    <w:rsid w:val="0077710B"/>
    <w:rsid w:val="0077765A"/>
    <w:rsid w:val="007778AE"/>
    <w:rsid w:val="00780032"/>
    <w:rsid w:val="007800D1"/>
    <w:rsid w:val="00780636"/>
    <w:rsid w:val="00780E86"/>
    <w:rsid w:val="0078108C"/>
    <w:rsid w:val="00781727"/>
    <w:rsid w:val="007823E8"/>
    <w:rsid w:val="00782CF3"/>
    <w:rsid w:val="00783959"/>
    <w:rsid w:val="00783BA5"/>
    <w:rsid w:val="007844A9"/>
    <w:rsid w:val="00784C6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342D"/>
    <w:rsid w:val="00794158"/>
    <w:rsid w:val="00794509"/>
    <w:rsid w:val="00794E46"/>
    <w:rsid w:val="007950D9"/>
    <w:rsid w:val="007952DE"/>
    <w:rsid w:val="00795479"/>
    <w:rsid w:val="00796292"/>
    <w:rsid w:val="007965D9"/>
    <w:rsid w:val="0079688A"/>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B74F2"/>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4F9C"/>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4F9"/>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0C04"/>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D57"/>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4D1"/>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0C5"/>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442"/>
    <w:rsid w:val="00895963"/>
    <w:rsid w:val="00896DD2"/>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2C15"/>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4B0F"/>
    <w:rsid w:val="008C5371"/>
    <w:rsid w:val="008C623D"/>
    <w:rsid w:val="008C65F4"/>
    <w:rsid w:val="008C6683"/>
    <w:rsid w:val="008C6E0C"/>
    <w:rsid w:val="008C7273"/>
    <w:rsid w:val="008C78F8"/>
    <w:rsid w:val="008C7B73"/>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C73"/>
    <w:rsid w:val="008D3D02"/>
    <w:rsid w:val="008D3D5A"/>
    <w:rsid w:val="008D4226"/>
    <w:rsid w:val="008D4785"/>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2B3F"/>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391"/>
    <w:rsid w:val="00902A26"/>
    <w:rsid w:val="00902A57"/>
    <w:rsid w:val="00902B29"/>
    <w:rsid w:val="00903B7D"/>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149"/>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28D6"/>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B47"/>
    <w:rsid w:val="00931C19"/>
    <w:rsid w:val="00931C63"/>
    <w:rsid w:val="00931D10"/>
    <w:rsid w:val="0093218A"/>
    <w:rsid w:val="0093386D"/>
    <w:rsid w:val="00933BCA"/>
    <w:rsid w:val="00934C8E"/>
    <w:rsid w:val="00935194"/>
    <w:rsid w:val="00936B13"/>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3EF0"/>
    <w:rsid w:val="009B4368"/>
    <w:rsid w:val="009B4D4C"/>
    <w:rsid w:val="009B66F5"/>
    <w:rsid w:val="009B7505"/>
    <w:rsid w:val="009B7774"/>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334"/>
    <w:rsid w:val="009C657D"/>
    <w:rsid w:val="009C724B"/>
    <w:rsid w:val="009C7266"/>
    <w:rsid w:val="009C748A"/>
    <w:rsid w:val="009C78ED"/>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4D0C"/>
    <w:rsid w:val="00A4665D"/>
    <w:rsid w:val="00A46859"/>
    <w:rsid w:val="00A46D39"/>
    <w:rsid w:val="00A47019"/>
    <w:rsid w:val="00A472B8"/>
    <w:rsid w:val="00A47AEF"/>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56D1A"/>
    <w:rsid w:val="00A57C16"/>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02"/>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2CE6"/>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1F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3B7A"/>
    <w:rsid w:val="00AC4094"/>
    <w:rsid w:val="00AC42B6"/>
    <w:rsid w:val="00AC4AB7"/>
    <w:rsid w:val="00AC51E0"/>
    <w:rsid w:val="00AC55E0"/>
    <w:rsid w:val="00AC6D24"/>
    <w:rsid w:val="00AC6E18"/>
    <w:rsid w:val="00AC7B94"/>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BCC"/>
    <w:rsid w:val="00AE3CF0"/>
    <w:rsid w:val="00AE4546"/>
    <w:rsid w:val="00AE6575"/>
    <w:rsid w:val="00AE71EE"/>
    <w:rsid w:val="00AE7368"/>
    <w:rsid w:val="00AE7ADA"/>
    <w:rsid w:val="00AF03CF"/>
    <w:rsid w:val="00AF0A0A"/>
    <w:rsid w:val="00AF14FC"/>
    <w:rsid w:val="00AF1ED2"/>
    <w:rsid w:val="00AF1F4E"/>
    <w:rsid w:val="00AF2302"/>
    <w:rsid w:val="00AF262A"/>
    <w:rsid w:val="00AF3011"/>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8C9"/>
    <w:rsid w:val="00B00D91"/>
    <w:rsid w:val="00B00E84"/>
    <w:rsid w:val="00B01DD9"/>
    <w:rsid w:val="00B01F0E"/>
    <w:rsid w:val="00B038F1"/>
    <w:rsid w:val="00B03A2D"/>
    <w:rsid w:val="00B03C1B"/>
    <w:rsid w:val="00B04678"/>
    <w:rsid w:val="00B047C9"/>
    <w:rsid w:val="00B04A04"/>
    <w:rsid w:val="00B04B78"/>
    <w:rsid w:val="00B04C37"/>
    <w:rsid w:val="00B04EC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A5F"/>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006"/>
    <w:rsid w:val="00B4590E"/>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53"/>
    <w:rsid w:val="00B863B3"/>
    <w:rsid w:val="00B869D3"/>
    <w:rsid w:val="00B86A0A"/>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A7"/>
    <w:rsid w:val="00B954D0"/>
    <w:rsid w:val="00B95EBE"/>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065"/>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4F4"/>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448"/>
    <w:rsid w:val="00BE377A"/>
    <w:rsid w:val="00BE37AE"/>
    <w:rsid w:val="00BE3B14"/>
    <w:rsid w:val="00BE3C65"/>
    <w:rsid w:val="00BE4222"/>
    <w:rsid w:val="00BE472D"/>
    <w:rsid w:val="00BE4B01"/>
    <w:rsid w:val="00BE4C03"/>
    <w:rsid w:val="00BE6605"/>
    <w:rsid w:val="00BE7190"/>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5CF8"/>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44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51F"/>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889"/>
    <w:rsid w:val="00C53CE9"/>
    <w:rsid w:val="00C543F7"/>
    <w:rsid w:val="00C5531B"/>
    <w:rsid w:val="00C55375"/>
    <w:rsid w:val="00C5570F"/>
    <w:rsid w:val="00C56C98"/>
    <w:rsid w:val="00C56DE1"/>
    <w:rsid w:val="00C56DEE"/>
    <w:rsid w:val="00C57120"/>
    <w:rsid w:val="00C571D5"/>
    <w:rsid w:val="00C575D4"/>
    <w:rsid w:val="00C61223"/>
    <w:rsid w:val="00C61246"/>
    <w:rsid w:val="00C618A8"/>
    <w:rsid w:val="00C61A78"/>
    <w:rsid w:val="00C61ECB"/>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30B"/>
    <w:rsid w:val="00C74609"/>
    <w:rsid w:val="00C749AB"/>
    <w:rsid w:val="00C75A8F"/>
    <w:rsid w:val="00C76129"/>
    <w:rsid w:val="00C76C0C"/>
    <w:rsid w:val="00C76FFC"/>
    <w:rsid w:val="00C774E0"/>
    <w:rsid w:val="00C776BA"/>
    <w:rsid w:val="00C7791E"/>
    <w:rsid w:val="00C81716"/>
    <w:rsid w:val="00C8297D"/>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199"/>
    <w:rsid w:val="00C95853"/>
    <w:rsid w:val="00C95C2F"/>
    <w:rsid w:val="00C95F87"/>
    <w:rsid w:val="00C96035"/>
    <w:rsid w:val="00C968EF"/>
    <w:rsid w:val="00C972CE"/>
    <w:rsid w:val="00C97E90"/>
    <w:rsid w:val="00CA0492"/>
    <w:rsid w:val="00CA05B0"/>
    <w:rsid w:val="00CA0632"/>
    <w:rsid w:val="00CA0A04"/>
    <w:rsid w:val="00CA1AC2"/>
    <w:rsid w:val="00CA2528"/>
    <w:rsid w:val="00CA254A"/>
    <w:rsid w:val="00CA33D8"/>
    <w:rsid w:val="00CA3CAB"/>
    <w:rsid w:val="00CA3FC0"/>
    <w:rsid w:val="00CA5685"/>
    <w:rsid w:val="00CA6A2E"/>
    <w:rsid w:val="00CA6B56"/>
    <w:rsid w:val="00CA7D3E"/>
    <w:rsid w:val="00CB0317"/>
    <w:rsid w:val="00CB0662"/>
    <w:rsid w:val="00CB0A82"/>
    <w:rsid w:val="00CB0C71"/>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6FC2"/>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5A3C"/>
    <w:rsid w:val="00CD64E1"/>
    <w:rsid w:val="00CD66BA"/>
    <w:rsid w:val="00CD68D5"/>
    <w:rsid w:val="00CD699D"/>
    <w:rsid w:val="00CD6BA3"/>
    <w:rsid w:val="00CD70DB"/>
    <w:rsid w:val="00CD7544"/>
    <w:rsid w:val="00CD78D4"/>
    <w:rsid w:val="00CE0697"/>
    <w:rsid w:val="00CE14CB"/>
    <w:rsid w:val="00CE2E2E"/>
    <w:rsid w:val="00CE3A51"/>
    <w:rsid w:val="00CE3E44"/>
    <w:rsid w:val="00CE41F9"/>
    <w:rsid w:val="00CE59F6"/>
    <w:rsid w:val="00CE66CD"/>
    <w:rsid w:val="00CE6BA9"/>
    <w:rsid w:val="00CE71C3"/>
    <w:rsid w:val="00CE727A"/>
    <w:rsid w:val="00CF029C"/>
    <w:rsid w:val="00CF0AF0"/>
    <w:rsid w:val="00CF157E"/>
    <w:rsid w:val="00CF1631"/>
    <w:rsid w:val="00CF1834"/>
    <w:rsid w:val="00CF1AAA"/>
    <w:rsid w:val="00CF1EC2"/>
    <w:rsid w:val="00CF24AF"/>
    <w:rsid w:val="00CF2ACF"/>
    <w:rsid w:val="00CF345B"/>
    <w:rsid w:val="00CF475F"/>
    <w:rsid w:val="00CF5008"/>
    <w:rsid w:val="00CF5069"/>
    <w:rsid w:val="00CF5E34"/>
    <w:rsid w:val="00CF65CC"/>
    <w:rsid w:val="00CF6707"/>
    <w:rsid w:val="00CF7101"/>
    <w:rsid w:val="00CF7327"/>
    <w:rsid w:val="00CF7385"/>
    <w:rsid w:val="00CF7539"/>
    <w:rsid w:val="00CF75C6"/>
    <w:rsid w:val="00CF7B77"/>
    <w:rsid w:val="00CF7DF5"/>
    <w:rsid w:val="00D001D2"/>
    <w:rsid w:val="00D0294C"/>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07FF5"/>
    <w:rsid w:val="00D10327"/>
    <w:rsid w:val="00D103C9"/>
    <w:rsid w:val="00D1079C"/>
    <w:rsid w:val="00D10BE1"/>
    <w:rsid w:val="00D11FE3"/>
    <w:rsid w:val="00D12393"/>
    <w:rsid w:val="00D12945"/>
    <w:rsid w:val="00D12CC0"/>
    <w:rsid w:val="00D12DA1"/>
    <w:rsid w:val="00D12DD4"/>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427"/>
    <w:rsid w:val="00D3497A"/>
    <w:rsid w:val="00D35F2F"/>
    <w:rsid w:val="00D35FC6"/>
    <w:rsid w:val="00D36BB8"/>
    <w:rsid w:val="00D377D4"/>
    <w:rsid w:val="00D401A1"/>
    <w:rsid w:val="00D40217"/>
    <w:rsid w:val="00D40385"/>
    <w:rsid w:val="00D403BD"/>
    <w:rsid w:val="00D404CE"/>
    <w:rsid w:val="00D40E8F"/>
    <w:rsid w:val="00D412BF"/>
    <w:rsid w:val="00D417C6"/>
    <w:rsid w:val="00D417D0"/>
    <w:rsid w:val="00D42B0C"/>
    <w:rsid w:val="00D42D6E"/>
    <w:rsid w:val="00D43DEF"/>
    <w:rsid w:val="00D44259"/>
    <w:rsid w:val="00D45C61"/>
    <w:rsid w:val="00D45DDC"/>
    <w:rsid w:val="00D47816"/>
    <w:rsid w:val="00D5064C"/>
    <w:rsid w:val="00D50C94"/>
    <w:rsid w:val="00D510C8"/>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3A7"/>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5D0"/>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80"/>
    <w:rsid w:val="00D774F4"/>
    <w:rsid w:val="00D77687"/>
    <w:rsid w:val="00D77AF6"/>
    <w:rsid w:val="00D804C5"/>
    <w:rsid w:val="00D815E6"/>
    <w:rsid w:val="00D81A28"/>
    <w:rsid w:val="00D81BDE"/>
    <w:rsid w:val="00D8201D"/>
    <w:rsid w:val="00D824FA"/>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89"/>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2F2"/>
    <w:rsid w:val="00D95F88"/>
    <w:rsid w:val="00D96698"/>
    <w:rsid w:val="00D96876"/>
    <w:rsid w:val="00D96940"/>
    <w:rsid w:val="00D96B12"/>
    <w:rsid w:val="00D96F59"/>
    <w:rsid w:val="00DA0175"/>
    <w:rsid w:val="00DA07BA"/>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DE2"/>
    <w:rsid w:val="00DB4F12"/>
    <w:rsid w:val="00DB4F21"/>
    <w:rsid w:val="00DB4F42"/>
    <w:rsid w:val="00DB540C"/>
    <w:rsid w:val="00DB6F96"/>
    <w:rsid w:val="00DB71B9"/>
    <w:rsid w:val="00DB7662"/>
    <w:rsid w:val="00DB7E46"/>
    <w:rsid w:val="00DC1395"/>
    <w:rsid w:val="00DC32FC"/>
    <w:rsid w:val="00DC3974"/>
    <w:rsid w:val="00DC3D89"/>
    <w:rsid w:val="00DC4567"/>
    <w:rsid w:val="00DC4D6C"/>
    <w:rsid w:val="00DC4F47"/>
    <w:rsid w:val="00DC4FF9"/>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0E3D"/>
    <w:rsid w:val="00DD1205"/>
    <w:rsid w:val="00DD1633"/>
    <w:rsid w:val="00DD17A0"/>
    <w:rsid w:val="00DD1B97"/>
    <w:rsid w:val="00DD2831"/>
    <w:rsid w:val="00DD2A6D"/>
    <w:rsid w:val="00DD2E17"/>
    <w:rsid w:val="00DD42DE"/>
    <w:rsid w:val="00DD4309"/>
    <w:rsid w:val="00DD4344"/>
    <w:rsid w:val="00DD4357"/>
    <w:rsid w:val="00DD4561"/>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5FD9"/>
    <w:rsid w:val="00DE6157"/>
    <w:rsid w:val="00DE6E4D"/>
    <w:rsid w:val="00DE7498"/>
    <w:rsid w:val="00DE75EF"/>
    <w:rsid w:val="00DE7611"/>
    <w:rsid w:val="00DE7D19"/>
    <w:rsid w:val="00DF05A0"/>
    <w:rsid w:val="00DF1162"/>
    <w:rsid w:val="00DF14CF"/>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926"/>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6FB"/>
    <w:rsid w:val="00E31761"/>
    <w:rsid w:val="00E31812"/>
    <w:rsid w:val="00E31889"/>
    <w:rsid w:val="00E31CE7"/>
    <w:rsid w:val="00E32742"/>
    <w:rsid w:val="00E333D5"/>
    <w:rsid w:val="00E3394F"/>
    <w:rsid w:val="00E33A0B"/>
    <w:rsid w:val="00E34A2F"/>
    <w:rsid w:val="00E35A45"/>
    <w:rsid w:val="00E35F7F"/>
    <w:rsid w:val="00E36392"/>
    <w:rsid w:val="00E36B32"/>
    <w:rsid w:val="00E379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CEA"/>
    <w:rsid w:val="00E47DB1"/>
    <w:rsid w:val="00E5090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854"/>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0F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5CCB"/>
    <w:rsid w:val="00EB6257"/>
    <w:rsid w:val="00EB68E6"/>
    <w:rsid w:val="00EB6AE9"/>
    <w:rsid w:val="00EB6B2D"/>
    <w:rsid w:val="00EB71C9"/>
    <w:rsid w:val="00EB763E"/>
    <w:rsid w:val="00EB7B67"/>
    <w:rsid w:val="00EC07F1"/>
    <w:rsid w:val="00EC1E8A"/>
    <w:rsid w:val="00EC328C"/>
    <w:rsid w:val="00EC32F5"/>
    <w:rsid w:val="00EC373F"/>
    <w:rsid w:val="00EC3852"/>
    <w:rsid w:val="00EC4528"/>
    <w:rsid w:val="00EC5241"/>
    <w:rsid w:val="00EC5817"/>
    <w:rsid w:val="00EC594C"/>
    <w:rsid w:val="00EC5C7B"/>
    <w:rsid w:val="00EC65B0"/>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4FBA"/>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3EA8"/>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EF78D3"/>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4FD7"/>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6FC4"/>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3FD8"/>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40A"/>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3FF5"/>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299"/>
    <w:rsid w:val="00F85329"/>
    <w:rsid w:val="00F85683"/>
    <w:rsid w:val="00F85841"/>
    <w:rsid w:val="00F86079"/>
    <w:rsid w:val="00F8610A"/>
    <w:rsid w:val="00F86DC9"/>
    <w:rsid w:val="00F87282"/>
    <w:rsid w:val="00F878CD"/>
    <w:rsid w:val="00F87905"/>
    <w:rsid w:val="00F87A66"/>
    <w:rsid w:val="00F90C1F"/>
    <w:rsid w:val="00F912D9"/>
    <w:rsid w:val="00F91A44"/>
    <w:rsid w:val="00F91BFA"/>
    <w:rsid w:val="00F91DF5"/>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59C"/>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7DC"/>
    <w:rsid w:val="00FD29CE"/>
    <w:rsid w:val="00FD3AE2"/>
    <w:rsid w:val="00FD3E41"/>
    <w:rsid w:val="00FD3EFA"/>
    <w:rsid w:val="00FD512B"/>
    <w:rsid w:val="00FD54A8"/>
    <w:rsid w:val="00FD5AE4"/>
    <w:rsid w:val="00FD5F25"/>
    <w:rsid w:val="00FD60BE"/>
    <w:rsid w:val="00FD6894"/>
    <w:rsid w:val="00FD6AF0"/>
    <w:rsid w:val="00FD704D"/>
    <w:rsid w:val="00FD74EF"/>
    <w:rsid w:val="00FD79B8"/>
    <w:rsid w:val="00FD79F6"/>
    <w:rsid w:val="00FD7BA7"/>
    <w:rsid w:val="00FE033F"/>
    <w:rsid w:val="00FE07A8"/>
    <w:rsid w:val="00FE0AD1"/>
    <w:rsid w:val="00FE0CC0"/>
    <w:rsid w:val="00FE0E6F"/>
    <w:rsid w:val="00FE1852"/>
    <w:rsid w:val="00FE1963"/>
    <w:rsid w:val="00FE1981"/>
    <w:rsid w:val="00FE1BF1"/>
    <w:rsid w:val="00FE33DB"/>
    <w:rsid w:val="00FE33F5"/>
    <w:rsid w:val="00FE342E"/>
    <w:rsid w:val="00FE352A"/>
    <w:rsid w:val="00FE37DD"/>
    <w:rsid w:val="00FE3C31"/>
    <w:rsid w:val="00FE4015"/>
    <w:rsid w:val="00FE41EF"/>
    <w:rsid w:val="00FE44F5"/>
    <w:rsid w:val="00FE4783"/>
    <w:rsid w:val="00FE480D"/>
    <w:rsid w:val="00FE4ACC"/>
    <w:rsid w:val="00FE4F80"/>
    <w:rsid w:val="00FE570E"/>
    <w:rsid w:val="00FE6870"/>
    <w:rsid w:val="00FE713E"/>
    <w:rsid w:val="00FE724D"/>
    <w:rsid w:val="00FE7877"/>
    <w:rsid w:val="00FE7DD1"/>
    <w:rsid w:val="00FF0914"/>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06816"/>
    <w:rsid w:val="01D55165"/>
    <w:rsid w:val="01DF6BF8"/>
    <w:rsid w:val="01EC2C57"/>
    <w:rsid w:val="020A366C"/>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057A7E"/>
    <w:rsid w:val="07245D42"/>
    <w:rsid w:val="07264C62"/>
    <w:rsid w:val="073C0480"/>
    <w:rsid w:val="0779354C"/>
    <w:rsid w:val="08061376"/>
    <w:rsid w:val="08452D77"/>
    <w:rsid w:val="086401F8"/>
    <w:rsid w:val="086E5C41"/>
    <w:rsid w:val="08751CAA"/>
    <w:rsid w:val="087E4C40"/>
    <w:rsid w:val="08A871D0"/>
    <w:rsid w:val="08BD18D4"/>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FA0739"/>
    <w:rsid w:val="0A1C0718"/>
    <w:rsid w:val="0A3E7710"/>
    <w:rsid w:val="0A5B7E63"/>
    <w:rsid w:val="0AA374A5"/>
    <w:rsid w:val="0AAB7649"/>
    <w:rsid w:val="0ABC5606"/>
    <w:rsid w:val="0B30404E"/>
    <w:rsid w:val="0B4C6C14"/>
    <w:rsid w:val="0B547599"/>
    <w:rsid w:val="0B631A88"/>
    <w:rsid w:val="0B683D45"/>
    <w:rsid w:val="0B7F3F11"/>
    <w:rsid w:val="0B884417"/>
    <w:rsid w:val="0BC661EB"/>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D415E7"/>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305976"/>
    <w:rsid w:val="118963A1"/>
    <w:rsid w:val="11C6522A"/>
    <w:rsid w:val="11E104CC"/>
    <w:rsid w:val="11E20309"/>
    <w:rsid w:val="12255233"/>
    <w:rsid w:val="12530213"/>
    <w:rsid w:val="127723A9"/>
    <w:rsid w:val="12862074"/>
    <w:rsid w:val="12883966"/>
    <w:rsid w:val="129B257B"/>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70062C"/>
    <w:rsid w:val="18817102"/>
    <w:rsid w:val="18830A15"/>
    <w:rsid w:val="18852B28"/>
    <w:rsid w:val="188B5321"/>
    <w:rsid w:val="19932372"/>
    <w:rsid w:val="19A20DD5"/>
    <w:rsid w:val="19AE03F1"/>
    <w:rsid w:val="1A071A03"/>
    <w:rsid w:val="1A1F16AE"/>
    <w:rsid w:val="1A3B5C77"/>
    <w:rsid w:val="1A5D3FE8"/>
    <w:rsid w:val="1A984BAD"/>
    <w:rsid w:val="1AB8220E"/>
    <w:rsid w:val="1AE4166C"/>
    <w:rsid w:val="1AF06CFB"/>
    <w:rsid w:val="1AF11B8D"/>
    <w:rsid w:val="1B11359C"/>
    <w:rsid w:val="1B1A6EB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C16335"/>
    <w:rsid w:val="1DF51A98"/>
    <w:rsid w:val="1E051CD9"/>
    <w:rsid w:val="1E3D060F"/>
    <w:rsid w:val="1E3F7D2E"/>
    <w:rsid w:val="1E4134E4"/>
    <w:rsid w:val="1E5062B3"/>
    <w:rsid w:val="1E523514"/>
    <w:rsid w:val="1E714A66"/>
    <w:rsid w:val="1E802593"/>
    <w:rsid w:val="1E8B6156"/>
    <w:rsid w:val="1EA703CC"/>
    <w:rsid w:val="1EB7330C"/>
    <w:rsid w:val="1F0A0FF3"/>
    <w:rsid w:val="1F5771FF"/>
    <w:rsid w:val="1F9C76CE"/>
    <w:rsid w:val="1FD52574"/>
    <w:rsid w:val="1FE868A9"/>
    <w:rsid w:val="20034907"/>
    <w:rsid w:val="20173E4B"/>
    <w:rsid w:val="204E48BC"/>
    <w:rsid w:val="208921B3"/>
    <w:rsid w:val="20973DEB"/>
    <w:rsid w:val="20B26522"/>
    <w:rsid w:val="20B44310"/>
    <w:rsid w:val="211116EB"/>
    <w:rsid w:val="21234D54"/>
    <w:rsid w:val="21260DA7"/>
    <w:rsid w:val="216133FC"/>
    <w:rsid w:val="21AC7689"/>
    <w:rsid w:val="21D56769"/>
    <w:rsid w:val="21E52EF3"/>
    <w:rsid w:val="21FB5D7B"/>
    <w:rsid w:val="22015E94"/>
    <w:rsid w:val="220B1C3D"/>
    <w:rsid w:val="221D1D20"/>
    <w:rsid w:val="22334A87"/>
    <w:rsid w:val="22BE6801"/>
    <w:rsid w:val="232C125D"/>
    <w:rsid w:val="233500BF"/>
    <w:rsid w:val="23377FF7"/>
    <w:rsid w:val="236B425F"/>
    <w:rsid w:val="23836192"/>
    <w:rsid w:val="23901F29"/>
    <w:rsid w:val="239C0061"/>
    <w:rsid w:val="23B908A4"/>
    <w:rsid w:val="23E95BEF"/>
    <w:rsid w:val="23FD0064"/>
    <w:rsid w:val="245375B0"/>
    <w:rsid w:val="2462198F"/>
    <w:rsid w:val="24642C0A"/>
    <w:rsid w:val="24B22173"/>
    <w:rsid w:val="24B95AD9"/>
    <w:rsid w:val="24BE24DA"/>
    <w:rsid w:val="24CF5825"/>
    <w:rsid w:val="24D663E6"/>
    <w:rsid w:val="24D77F2B"/>
    <w:rsid w:val="258B00E2"/>
    <w:rsid w:val="25A917A6"/>
    <w:rsid w:val="25BE27CC"/>
    <w:rsid w:val="25F74A5C"/>
    <w:rsid w:val="2601355D"/>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96AC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821BB1"/>
    <w:rsid w:val="2CE82D6F"/>
    <w:rsid w:val="2D343236"/>
    <w:rsid w:val="2D575011"/>
    <w:rsid w:val="2D885EFF"/>
    <w:rsid w:val="2DD15014"/>
    <w:rsid w:val="2DE05DD0"/>
    <w:rsid w:val="2DF72DE4"/>
    <w:rsid w:val="2E0220AF"/>
    <w:rsid w:val="2E4713DA"/>
    <w:rsid w:val="2E4B082A"/>
    <w:rsid w:val="2E5D4E86"/>
    <w:rsid w:val="2E5D790B"/>
    <w:rsid w:val="2E9A3C18"/>
    <w:rsid w:val="2EBB0FEE"/>
    <w:rsid w:val="2EC63002"/>
    <w:rsid w:val="2F0A6B38"/>
    <w:rsid w:val="2F5B2861"/>
    <w:rsid w:val="2F946CCB"/>
    <w:rsid w:val="2FD25781"/>
    <w:rsid w:val="2FDC745C"/>
    <w:rsid w:val="2FFD7934"/>
    <w:rsid w:val="30733ACD"/>
    <w:rsid w:val="307634F9"/>
    <w:rsid w:val="308C3862"/>
    <w:rsid w:val="309379D8"/>
    <w:rsid w:val="30A270F7"/>
    <w:rsid w:val="30DF1478"/>
    <w:rsid w:val="30EC586F"/>
    <w:rsid w:val="312373C4"/>
    <w:rsid w:val="319C6071"/>
    <w:rsid w:val="31AC537E"/>
    <w:rsid w:val="31E3679B"/>
    <w:rsid w:val="31E732FD"/>
    <w:rsid w:val="32281565"/>
    <w:rsid w:val="32517576"/>
    <w:rsid w:val="327E6C2A"/>
    <w:rsid w:val="329F47DE"/>
    <w:rsid w:val="32BE5C2C"/>
    <w:rsid w:val="32FB6478"/>
    <w:rsid w:val="33263B3F"/>
    <w:rsid w:val="336963EB"/>
    <w:rsid w:val="33816EEB"/>
    <w:rsid w:val="33EB55CD"/>
    <w:rsid w:val="33EC4C02"/>
    <w:rsid w:val="34054C48"/>
    <w:rsid w:val="340D2360"/>
    <w:rsid w:val="3410665D"/>
    <w:rsid w:val="34211214"/>
    <w:rsid w:val="342E63AB"/>
    <w:rsid w:val="3493374D"/>
    <w:rsid w:val="34950E68"/>
    <w:rsid w:val="34986E94"/>
    <w:rsid w:val="34AF62C9"/>
    <w:rsid w:val="34CB4388"/>
    <w:rsid w:val="34FA6E12"/>
    <w:rsid w:val="354D7158"/>
    <w:rsid w:val="358D5588"/>
    <w:rsid w:val="363A3B40"/>
    <w:rsid w:val="365302AE"/>
    <w:rsid w:val="36607A0A"/>
    <w:rsid w:val="366E227C"/>
    <w:rsid w:val="366F2E0D"/>
    <w:rsid w:val="36794E63"/>
    <w:rsid w:val="367B6A5C"/>
    <w:rsid w:val="36A74ADA"/>
    <w:rsid w:val="36AD60D5"/>
    <w:rsid w:val="36B224F9"/>
    <w:rsid w:val="36EC0CC9"/>
    <w:rsid w:val="373F410B"/>
    <w:rsid w:val="37DF5B14"/>
    <w:rsid w:val="37EE7094"/>
    <w:rsid w:val="38296C89"/>
    <w:rsid w:val="383002EB"/>
    <w:rsid w:val="38586797"/>
    <w:rsid w:val="385D15DF"/>
    <w:rsid w:val="38BC0149"/>
    <w:rsid w:val="38D87D1C"/>
    <w:rsid w:val="39636459"/>
    <w:rsid w:val="396B7F6C"/>
    <w:rsid w:val="39B417A9"/>
    <w:rsid w:val="39FC5695"/>
    <w:rsid w:val="3A006D8E"/>
    <w:rsid w:val="3A0C48CF"/>
    <w:rsid w:val="3A2F4A75"/>
    <w:rsid w:val="3A3651E5"/>
    <w:rsid w:val="3A744481"/>
    <w:rsid w:val="3A8C7BEF"/>
    <w:rsid w:val="3A906246"/>
    <w:rsid w:val="3AD25640"/>
    <w:rsid w:val="3B2349B7"/>
    <w:rsid w:val="3B616CFF"/>
    <w:rsid w:val="3B6259F6"/>
    <w:rsid w:val="3B8217CB"/>
    <w:rsid w:val="3B976654"/>
    <w:rsid w:val="3BC01EFC"/>
    <w:rsid w:val="3BCA786A"/>
    <w:rsid w:val="3BD31E2F"/>
    <w:rsid w:val="3BF15831"/>
    <w:rsid w:val="3C105946"/>
    <w:rsid w:val="3C471448"/>
    <w:rsid w:val="3C5F759A"/>
    <w:rsid w:val="3C6C525A"/>
    <w:rsid w:val="3C827B13"/>
    <w:rsid w:val="3CCE23CB"/>
    <w:rsid w:val="3CD17D17"/>
    <w:rsid w:val="3D3C7F39"/>
    <w:rsid w:val="3D440F09"/>
    <w:rsid w:val="3D4504A0"/>
    <w:rsid w:val="3D8734BB"/>
    <w:rsid w:val="3D9A11D4"/>
    <w:rsid w:val="3DA16D89"/>
    <w:rsid w:val="3DA364BE"/>
    <w:rsid w:val="3DE041CB"/>
    <w:rsid w:val="3DFF147F"/>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5A6036"/>
    <w:rsid w:val="406E1CAE"/>
    <w:rsid w:val="40902A13"/>
    <w:rsid w:val="40A0133A"/>
    <w:rsid w:val="40C31A53"/>
    <w:rsid w:val="40FF545D"/>
    <w:rsid w:val="410067C8"/>
    <w:rsid w:val="418F0D2A"/>
    <w:rsid w:val="41D01505"/>
    <w:rsid w:val="41EC33A3"/>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8C05DF"/>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F11761"/>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074E64"/>
    <w:rsid w:val="4B236AAE"/>
    <w:rsid w:val="4B707271"/>
    <w:rsid w:val="4B9739F7"/>
    <w:rsid w:val="4BEE2503"/>
    <w:rsid w:val="4C245A30"/>
    <w:rsid w:val="4CB6685F"/>
    <w:rsid w:val="4CC367FE"/>
    <w:rsid w:val="4CCC2A6B"/>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2B176D"/>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9E0CC3"/>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1146E"/>
    <w:rsid w:val="55A8376B"/>
    <w:rsid w:val="55DC29B6"/>
    <w:rsid w:val="55DD4241"/>
    <w:rsid w:val="56491E39"/>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0B05DF"/>
    <w:rsid w:val="585212FA"/>
    <w:rsid w:val="585554B8"/>
    <w:rsid w:val="58917D2F"/>
    <w:rsid w:val="5894085C"/>
    <w:rsid w:val="58AE4F0C"/>
    <w:rsid w:val="58B85899"/>
    <w:rsid w:val="58E363A9"/>
    <w:rsid w:val="59166304"/>
    <w:rsid w:val="595E1678"/>
    <w:rsid w:val="596D5BD4"/>
    <w:rsid w:val="597E3DD8"/>
    <w:rsid w:val="59C42D8F"/>
    <w:rsid w:val="59F80043"/>
    <w:rsid w:val="5A09252F"/>
    <w:rsid w:val="5A0B2778"/>
    <w:rsid w:val="5A2A7C7B"/>
    <w:rsid w:val="5A3E2560"/>
    <w:rsid w:val="5A5D3B6E"/>
    <w:rsid w:val="5A637A76"/>
    <w:rsid w:val="5A6D33BA"/>
    <w:rsid w:val="5A792B1F"/>
    <w:rsid w:val="5A874767"/>
    <w:rsid w:val="5A956AC0"/>
    <w:rsid w:val="5AA85BE2"/>
    <w:rsid w:val="5AAD6F28"/>
    <w:rsid w:val="5AD63A24"/>
    <w:rsid w:val="5AF44C28"/>
    <w:rsid w:val="5B2E1A1D"/>
    <w:rsid w:val="5B841E5B"/>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CD42BF"/>
    <w:rsid w:val="62EF2FAE"/>
    <w:rsid w:val="62F40B65"/>
    <w:rsid w:val="62FC2CFE"/>
    <w:rsid w:val="63024505"/>
    <w:rsid w:val="635600A5"/>
    <w:rsid w:val="635B1DB5"/>
    <w:rsid w:val="63711FED"/>
    <w:rsid w:val="63880DDC"/>
    <w:rsid w:val="638D750D"/>
    <w:rsid w:val="63AC6CC0"/>
    <w:rsid w:val="63CB4633"/>
    <w:rsid w:val="64055776"/>
    <w:rsid w:val="64240056"/>
    <w:rsid w:val="643E143A"/>
    <w:rsid w:val="64491666"/>
    <w:rsid w:val="648B6EEF"/>
    <w:rsid w:val="64C158BF"/>
    <w:rsid w:val="64CE2EAA"/>
    <w:rsid w:val="653C3090"/>
    <w:rsid w:val="65854376"/>
    <w:rsid w:val="658767BE"/>
    <w:rsid w:val="65892531"/>
    <w:rsid w:val="65936405"/>
    <w:rsid w:val="66195831"/>
    <w:rsid w:val="662E75B1"/>
    <w:rsid w:val="66342C2E"/>
    <w:rsid w:val="663E784C"/>
    <w:rsid w:val="6654697B"/>
    <w:rsid w:val="668B6A45"/>
    <w:rsid w:val="66CF63DE"/>
    <w:rsid w:val="66DB43D9"/>
    <w:rsid w:val="672F3F24"/>
    <w:rsid w:val="673E055F"/>
    <w:rsid w:val="67551CE3"/>
    <w:rsid w:val="67A22552"/>
    <w:rsid w:val="67B22DCC"/>
    <w:rsid w:val="67BE71AA"/>
    <w:rsid w:val="67D90273"/>
    <w:rsid w:val="67DE5875"/>
    <w:rsid w:val="67E55852"/>
    <w:rsid w:val="67EB1AB4"/>
    <w:rsid w:val="67FA1285"/>
    <w:rsid w:val="68492FDA"/>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105FEE"/>
    <w:rsid w:val="6A2406C8"/>
    <w:rsid w:val="6A451556"/>
    <w:rsid w:val="6A517A39"/>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536EA9"/>
    <w:rsid w:val="6E8335BD"/>
    <w:rsid w:val="6E8E12EF"/>
    <w:rsid w:val="6E972936"/>
    <w:rsid w:val="6ED446C5"/>
    <w:rsid w:val="6F2A7D94"/>
    <w:rsid w:val="6F8331F1"/>
    <w:rsid w:val="6FAE1A09"/>
    <w:rsid w:val="6FD75BF8"/>
    <w:rsid w:val="707723D0"/>
    <w:rsid w:val="70F5661B"/>
    <w:rsid w:val="71360107"/>
    <w:rsid w:val="713B688E"/>
    <w:rsid w:val="713F088F"/>
    <w:rsid w:val="71D43752"/>
    <w:rsid w:val="71F1796A"/>
    <w:rsid w:val="72154626"/>
    <w:rsid w:val="72262B5D"/>
    <w:rsid w:val="72283FF7"/>
    <w:rsid w:val="722E7212"/>
    <w:rsid w:val="723A0474"/>
    <w:rsid w:val="725923E4"/>
    <w:rsid w:val="72864BF7"/>
    <w:rsid w:val="729023FC"/>
    <w:rsid w:val="73123998"/>
    <w:rsid w:val="73C0646E"/>
    <w:rsid w:val="742222F5"/>
    <w:rsid w:val="74476126"/>
    <w:rsid w:val="74706664"/>
    <w:rsid w:val="747F3682"/>
    <w:rsid w:val="749C4185"/>
    <w:rsid w:val="74E72593"/>
    <w:rsid w:val="75067759"/>
    <w:rsid w:val="752E6DCD"/>
    <w:rsid w:val="754B2ED0"/>
    <w:rsid w:val="7551380D"/>
    <w:rsid w:val="75600BE5"/>
    <w:rsid w:val="7564475C"/>
    <w:rsid w:val="7583797F"/>
    <w:rsid w:val="75D20F1D"/>
    <w:rsid w:val="75DA2C18"/>
    <w:rsid w:val="75F54412"/>
    <w:rsid w:val="761D08E0"/>
    <w:rsid w:val="76522B87"/>
    <w:rsid w:val="765D347C"/>
    <w:rsid w:val="76826699"/>
    <w:rsid w:val="76A92E05"/>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92729"/>
    <w:rsid w:val="7ABA4368"/>
    <w:rsid w:val="7AD05746"/>
    <w:rsid w:val="7B02341F"/>
    <w:rsid w:val="7B257FFD"/>
    <w:rsid w:val="7B343476"/>
    <w:rsid w:val="7B3D7FA4"/>
    <w:rsid w:val="7B443D87"/>
    <w:rsid w:val="7B5A2978"/>
    <w:rsid w:val="7B5A7E4C"/>
    <w:rsid w:val="7B5F04F6"/>
    <w:rsid w:val="7B667AF9"/>
    <w:rsid w:val="7B7468F8"/>
    <w:rsid w:val="7BBA0312"/>
    <w:rsid w:val="7BEE0103"/>
    <w:rsid w:val="7C0A0FE4"/>
    <w:rsid w:val="7C254906"/>
    <w:rsid w:val="7C590818"/>
    <w:rsid w:val="7C7C10F6"/>
    <w:rsid w:val="7C853BEA"/>
    <w:rsid w:val="7C881368"/>
    <w:rsid w:val="7CE27788"/>
    <w:rsid w:val="7D0C32F1"/>
    <w:rsid w:val="7D0F408D"/>
    <w:rsid w:val="7D3A07A7"/>
    <w:rsid w:val="7D4220D5"/>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431"/>
    <w:qFormat/>
    <w:uiPriority w:val="99"/>
    <w:pPr>
      <w:autoSpaceDE w:val="0"/>
      <w:autoSpaceDN w:val="0"/>
      <w:spacing w:line="360" w:lineRule="auto"/>
    </w:pPr>
    <w:rPr>
      <w:rFonts w:ascii="宋体" w:hAnsi="Arial" w:cs="Arial"/>
      <w:snapToGrid w:val="0"/>
      <w:sz w:val="24"/>
      <w:szCs w:val="21"/>
      <w:lang w:val="zh-CN"/>
    </w:rPr>
  </w:style>
  <w:style w:type="paragraph" w:styleId="3">
    <w:name w:val="Body Text First Indent"/>
    <w:basedOn w:val="2"/>
    <w:link w:val="322"/>
    <w:qFormat/>
    <w:uiPriority w:val="0"/>
    <w:pPr>
      <w:ind w:firstLine="420"/>
    </w:pPr>
    <w:rPr>
      <w:rFonts w:hAnsi="Calibri" w:cs="Times New Roman"/>
      <w:snapToGrid/>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4"/>
    <w:qFormat/>
    <w:uiPriority w:val="0"/>
    <w:pPr>
      <w:shd w:val="clear" w:color="auto" w:fill="000080"/>
    </w:pPr>
  </w:style>
  <w:style w:type="paragraph" w:styleId="21">
    <w:name w:val="annotation text"/>
    <w:basedOn w:val="1"/>
    <w:link w:val="345"/>
    <w:qFormat/>
    <w:uiPriority w:val="99"/>
    <w:pPr>
      <w:jc w:val="left"/>
    </w:pPr>
  </w:style>
  <w:style w:type="paragraph" w:styleId="22">
    <w:name w:val="Salutation"/>
    <w:basedOn w:val="1"/>
    <w:next w:val="1"/>
    <w:link w:val="299"/>
    <w:qFormat/>
    <w:uiPriority w:val="0"/>
    <w:rPr>
      <w:rFonts w:ascii="仿宋_GB2312" w:eastAsia="仿宋_GB2312"/>
      <w:sz w:val="28"/>
      <w:szCs w:val="20"/>
    </w:rPr>
  </w:style>
  <w:style w:type="paragraph" w:styleId="23">
    <w:name w:val="Body Text 3"/>
    <w:basedOn w:val="1"/>
    <w:link w:val="331"/>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Indent"/>
    <w:basedOn w:val="1"/>
    <w:next w:val="26"/>
    <w:link w:val="266"/>
    <w:qFormat/>
    <w:uiPriority w:val="0"/>
    <w:pPr>
      <w:spacing w:line="480" w:lineRule="exact"/>
      <w:ind w:firstLine="480" w:firstLineChars="200"/>
    </w:pPr>
    <w:rPr>
      <w:rFonts w:ascii="宋体" w:hAnsi="宋体"/>
      <w:sz w:val="24"/>
    </w:rPr>
  </w:style>
  <w:style w:type="paragraph" w:styleId="26">
    <w:name w:val="Body Text First Indent 2"/>
    <w:basedOn w:val="25"/>
    <w:link w:val="124"/>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5"/>
    <w:link w:val="128"/>
    <w:qFormat/>
    <w:uiPriority w:val="99"/>
    <w:rPr>
      <w:rFonts w:ascii="宋体" w:hAnsi="Courier New" w:cs="Arial"/>
      <w:snapToGrid w:val="0"/>
      <w:szCs w:val="21"/>
    </w:rPr>
  </w:style>
  <w:style w:type="paragraph" w:styleId="35">
    <w:name w:val="toc 2"/>
    <w:basedOn w:val="1"/>
    <w:next w:val="1"/>
    <w:qFormat/>
    <w:uiPriority w:val="0"/>
    <w:pPr>
      <w:ind w:left="420" w:leftChars="200"/>
    </w:p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3"/>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90"/>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7"/>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9"/>
    <w:basedOn w:val="1"/>
    <w:next w:val="1"/>
    <w:qFormat/>
    <w:uiPriority w:val="0"/>
    <w:pPr>
      <w:ind w:left="3360" w:leftChars="1600"/>
    </w:pPr>
  </w:style>
  <w:style w:type="paragraph" w:styleId="57">
    <w:name w:val="Body Text 2"/>
    <w:basedOn w:val="1"/>
    <w:link w:val="303"/>
    <w:qFormat/>
    <w:uiPriority w:val="0"/>
    <w:pPr>
      <w:spacing w:after="120" w:line="480" w:lineRule="auto"/>
    </w:pPr>
  </w:style>
  <w:style w:type="paragraph" w:styleId="58">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9"/>
    <w:qFormat/>
    <w:uiPriority w:val="0"/>
    <w:rPr>
      <w:b/>
      <w:bCs/>
    </w:rPr>
  </w:style>
  <w:style w:type="table" w:styleId="63">
    <w:name w:val="Table Grid"/>
    <w:basedOn w:val="62"/>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cBorders>
        <w:top w:val="single" w:color="auto" w:sz="4" w:space="0"/>
        <w:left w:val="single" w:color="auto" w:sz="4" w:space="0"/>
        <w:bottom w:val="single" w:color="auto" w:sz="4" w:space="0"/>
        <w:right w:val="single" w:color="auto" w:sz="4" w:space="0"/>
      </w:tcBorders>
    </w:tc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0">
    <w:name w:val="标题 2 Char"/>
    <w:qFormat/>
    <w:uiPriority w:val="0"/>
    <w:rPr>
      <w:rFonts w:ascii="Arial" w:hAnsi="Arial" w:eastAsia="黑体"/>
      <w:b/>
      <w:kern w:val="2"/>
      <w:sz w:val="32"/>
      <w:lang w:val="en-US" w:eastAsia="zh-CN"/>
    </w:rPr>
  </w:style>
  <w:style w:type="paragraph" w:customStyle="1" w:styleId="81">
    <w:name w:val="列出段落1"/>
    <w:basedOn w:val="1"/>
    <w:next w:val="82"/>
    <w:qFormat/>
    <w:uiPriority w:val="0"/>
    <w:pPr>
      <w:adjustRightInd/>
      <w:spacing w:line="360" w:lineRule="auto"/>
      <w:ind w:firstLine="420" w:firstLineChars="200"/>
    </w:pPr>
    <w:rPr>
      <w:rFonts w:ascii="Calibri" w:hAnsi="Calibri"/>
      <w:sz w:val="24"/>
      <w:szCs w:val="22"/>
    </w:rPr>
  </w:style>
  <w:style w:type="paragraph" w:customStyle="1" w:styleId="82">
    <w:name w:val="正文蓝卓1"/>
    <w:basedOn w:val="1"/>
    <w:qFormat/>
    <w:uiPriority w:val="0"/>
    <w:pPr>
      <w:spacing w:line="360" w:lineRule="auto"/>
      <w:ind w:firstLine="436" w:firstLineChars="200"/>
    </w:pPr>
    <w:rPr>
      <w:rFonts w:hint="eastAsia" w:ascii="微软雅黑" w:hAnsi="微软雅黑" w:eastAsia="微软雅黑" w:cs="微软雅黑"/>
    </w:rPr>
  </w:style>
  <w:style w:type="paragraph" w:customStyle="1" w:styleId="83">
    <w:name w:val="表格文字"/>
    <w:basedOn w:val="1"/>
    <w:next w:val="17"/>
    <w:qFormat/>
    <w:uiPriority w:val="0"/>
    <w:pPr>
      <w:adjustRightInd/>
      <w:ind w:firstLine="200" w:firstLineChars="200"/>
    </w:pPr>
    <w:rPr>
      <w:rFonts w:ascii="Arial" w:hAnsi="Arial"/>
      <w:spacing w:val="-5"/>
      <w:kern w:val="0"/>
      <w:sz w:val="24"/>
      <w:szCs w:val="20"/>
    </w:rPr>
  </w:style>
  <w:style w:type="character" w:customStyle="1" w:styleId="84">
    <w:name w:val="页脚 Char"/>
    <w:qFormat/>
    <w:uiPriority w:val="0"/>
    <w:rPr>
      <w:rFonts w:eastAsia="仿宋_GB2312"/>
      <w:kern w:val="2"/>
      <w:sz w:val="18"/>
      <w:lang w:val="en-US" w:eastAsia="zh-CN"/>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locked/>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semiHidden/>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字符"/>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
    <w:qFormat/>
    <w:locked/>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文本首行缩进 2 字符"/>
    <w:link w:val="26"/>
    <w:qFormat/>
    <w:uiPriority w:val="0"/>
    <w:rPr>
      <w:rFonts w:ascii="宋体" w:hAnsi="宋体"/>
      <w:kern w:val="2"/>
      <w:sz w:val="21"/>
      <w:szCs w:val="24"/>
    </w:rPr>
  </w:style>
  <w:style w:type="character" w:customStyle="1" w:styleId="125">
    <w:name w:val="font1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69"/>
    <w:qFormat/>
    <w:uiPriority w:val="0"/>
    <w:rPr>
      <w:rFonts w:ascii="Arial" w:hAnsi="Arial" w:eastAsia="黑体" w:cs="Arial"/>
      <w:snapToGrid w:val="0"/>
      <w:kern w:val="0"/>
      <w:szCs w:val="21"/>
    </w:rPr>
  </w:style>
  <w:style w:type="character" w:customStyle="1" w:styleId="128">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字符"/>
    <w:link w:val="49"/>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semiHidden/>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locked/>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字符"/>
    <w:link w:val="9"/>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locked/>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locked/>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5"/>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8"/>
    <w:qFormat/>
    <w:uiPriority w:val="0"/>
    <w:rPr>
      <w:rFonts w:ascii="宋体"/>
      <w:kern w:val="2"/>
      <w:sz w:val="24"/>
      <w:szCs w:val="21"/>
      <w:lang w:val="zh-CN"/>
    </w:rPr>
  </w:style>
  <w:style w:type="character" w:customStyle="1" w:styleId="184">
    <w:name w:val="标题 9 字符"/>
    <w:link w:val="12"/>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字符1"/>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locked/>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17"/>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99"/>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20"/>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1"/>
    <w:qFormat/>
    <w:uiPriority w:val="0"/>
    <w:rPr>
      <w:rFonts w:ascii="仿宋_GB2312" w:hAnsi="仿宋" w:eastAsia="仿宋_GB2312" w:cs="仿宋_GB2312"/>
      <w:sz w:val="32"/>
      <w:szCs w:val="30"/>
      <w:lang w:val="zh-CN"/>
    </w:rPr>
  </w:style>
  <w:style w:type="character" w:customStyle="1" w:styleId="220">
    <w:name w:val="HTML 地址 字符"/>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99"/>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4"/>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8"/>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2"/>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8"/>
    <w:qFormat/>
    <w:uiPriority w:val="0"/>
    <w:rPr>
      <w:rFonts w:ascii="黑体" w:hAnsi="Courier New" w:eastAsia="黑体"/>
    </w:rPr>
  </w:style>
  <w:style w:type="character" w:customStyle="1" w:styleId="303">
    <w:name w:val="正文文本 2 字符1"/>
    <w:link w:val="57"/>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7"/>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10"/>
    <w:qFormat/>
    <w:uiPriority w:val="0"/>
    <w:rPr>
      <w:b/>
      <w:bCs/>
      <w:kern w:val="2"/>
      <w:sz w:val="24"/>
      <w:szCs w:val="24"/>
    </w:rPr>
  </w:style>
  <w:style w:type="character" w:customStyle="1" w:styleId="309">
    <w:name w:val="正文文本缩进 2 字符"/>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3"/>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7"/>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3"/>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1"/>
    <w:qFormat/>
    <w:uiPriority w:val="0"/>
    <w:rPr>
      <w:kern w:val="2"/>
      <w:sz w:val="21"/>
      <w:szCs w:val="24"/>
    </w:rPr>
  </w:style>
  <w:style w:type="character" w:customStyle="1" w:styleId="346">
    <w:name w:val="签名 字符"/>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5"/>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42"/>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99"/>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7"/>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
    <w:qFormat/>
    <w:uiPriority w:val="99"/>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1"/>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5"/>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6"/>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6"/>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6"/>
    <w:next w:val="236"/>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6"/>
    <w:next w:val="236"/>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9"/>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40"/>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5"/>
    <w:next w:val="640"/>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4"/>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4"/>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40"/>
    <w:qFormat/>
    <w:uiPriority w:val="0"/>
    <w:rPr>
      <w:kern w:val="2"/>
      <w:sz w:val="21"/>
      <w:szCs w:val="24"/>
      <w:lang w:val="zh-CN"/>
    </w:rPr>
  </w:style>
  <w:style w:type="character" w:customStyle="1" w:styleId="931">
    <w:name w:val="无间隔 字符"/>
    <w:link w:val="484"/>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未处理的提及2"/>
    <w:basedOn w:val="69"/>
    <w:semiHidden/>
    <w:unhideWhenUsed/>
    <w:qFormat/>
    <w:uiPriority w:val="99"/>
    <w:rPr>
      <w:color w:val="605E5C"/>
      <w:shd w:val="clear" w:color="auto" w:fill="E1DFDD"/>
    </w:rPr>
  </w:style>
  <w:style w:type="paragraph" w:customStyle="1" w:styleId="96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65">
    <w:name w:val="修订5"/>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未处理的提及3"/>
    <w:basedOn w:val="69"/>
    <w:semiHidden/>
    <w:unhideWhenUsed/>
    <w:qFormat/>
    <w:uiPriority w:val="99"/>
    <w:rPr>
      <w:color w:val="605E5C"/>
      <w:shd w:val="clear" w:color="auto" w:fill="E1DFDD"/>
    </w:rPr>
  </w:style>
  <w:style w:type="character" w:customStyle="1" w:styleId="967">
    <w:name w:val="10"/>
    <w:basedOn w:val="69"/>
    <w:qFormat/>
    <w:uiPriority w:val="0"/>
    <w:rPr>
      <w:rFonts w:hint="default" w:ascii="Times New Roman" w:hAnsi="Times New Roman" w:cs="Times New Roman"/>
    </w:rPr>
  </w:style>
  <w:style w:type="character" w:customStyle="1" w:styleId="968">
    <w:name w:val="17"/>
    <w:basedOn w:val="69"/>
    <w:qFormat/>
    <w:uiPriority w:val="0"/>
    <w:rPr>
      <w:rFonts w:hint="eastAsia" w:ascii="仿宋" w:hAnsi="仿宋" w:eastAsia="仿宋" w:cs="仿宋"/>
      <w:color w:val="000000"/>
      <w:sz w:val="22"/>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png"/><Relationship Id="rId97" Type="http://schemas.openxmlformats.org/officeDocument/2006/relationships/image" Target="media/image88.jpeg"/><Relationship Id="rId96" Type="http://schemas.openxmlformats.org/officeDocument/2006/relationships/image" Target="media/image87.jpeg"/><Relationship Id="rId95" Type="http://schemas.openxmlformats.org/officeDocument/2006/relationships/image" Target="media/image86.jpeg"/><Relationship Id="rId94" Type="http://schemas.openxmlformats.org/officeDocument/2006/relationships/image" Target="media/image85.jpeg"/><Relationship Id="rId93" Type="http://schemas.openxmlformats.org/officeDocument/2006/relationships/image" Target="media/image84.jpeg"/><Relationship Id="rId92" Type="http://schemas.openxmlformats.org/officeDocument/2006/relationships/image" Target="media/image83.png"/><Relationship Id="rId91" Type="http://schemas.openxmlformats.org/officeDocument/2006/relationships/image" Target="media/image82.jpeg"/><Relationship Id="rId90" Type="http://schemas.openxmlformats.org/officeDocument/2006/relationships/image" Target="media/image81.jpeg"/><Relationship Id="rId9" Type="http://schemas.openxmlformats.org/officeDocument/2006/relationships/theme" Target="theme/theme1.xml"/><Relationship Id="rId89" Type="http://schemas.openxmlformats.org/officeDocument/2006/relationships/image" Target="media/image80.jpeg"/><Relationship Id="rId88" Type="http://schemas.openxmlformats.org/officeDocument/2006/relationships/image" Target="media/image79.pn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pn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png"/><Relationship Id="rId81" Type="http://schemas.openxmlformats.org/officeDocument/2006/relationships/image" Target="media/image72.jpeg"/><Relationship Id="rId80" Type="http://schemas.openxmlformats.org/officeDocument/2006/relationships/image" Target="media/image71.png"/><Relationship Id="rId8" Type="http://schemas.openxmlformats.org/officeDocument/2006/relationships/footer" Target="footer4.xml"/><Relationship Id="rId79" Type="http://schemas.openxmlformats.org/officeDocument/2006/relationships/image" Target="media/image70.jpeg"/><Relationship Id="rId78" Type="http://schemas.openxmlformats.org/officeDocument/2006/relationships/image" Target="media/image69.png"/><Relationship Id="rId77" Type="http://schemas.openxmlformats.org/officeDocument/2006/relationships/image" Target="media/image68.jpeg"/><Relationship Id="rId76" Type="http://schemas.openxmlformats.org/officeDocument/2006/relationships/image" Target="media/image67.jpeg"/><Relationship Id="rId75" Type="http://schemas.openxmlformats.org/officeDocument/2006/relationships/image" Target="media/image66.jpeg"/><Relationship Id="rId74" Type="http://schemas.openxmlformats.org/officeDocument/2006/relationships/image" Target="media/image65.png"/><Relationship Id="rId73" Type="http://schemas.openxmlformats.org/officeDocument/2006/relationships/image" Target="media/image64.jpeg"/><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footer" Target="footer3.xml"/><Relationship Id="rId69" Type="http://schemas.openxmlformats.org/officeDocument/2006/relationships/image" Target="media/image60.png"/><Relationship Id="rId68" Type="http://schemas.openxmlformats.org/officeDocument/2006/relationships/image" Target="media/image59.jpe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jpe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2.xml"/><Relationship Id="rId59" Type="http://schemas.openxmlformats.org/officeDocument/2006/relationships/image" Target="media/image50.jpe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jpe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emf"/><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jpe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6" Type="http://schemas.openxmlformats.org/officeDocument/2006/relationships/fontTable" Target="fontTable.xml"/><Relationship Id="rId185" Type="http://schemas.openxmlformats.org/officeDocument/2006/relationships/customXml" Target="../customXml/item1.xml"/><Relationship Id="rId184" Type="http://schemas.openxmlformats.org/officeDocument/2006/relationships/image" Target="media/image173.jpeg"/><Relationship Id="rId183" Type="http://schemas.openxmlformats.org/officeDocument/2006/relationships/image" Target="media/image172.png"/><Relationship Id="rId182" Type="http://schemas.openxmlformats.org/officeDocument/2006/relationships/image" Target="media/image171.jpeg"/><Relationship Id="rId181" Type="http://schemas.openxmlformats.org/officeDocument/2006/relationships/image" Target="media/image170.png"/><Relationship Id="rId180" Type="http://schemas.openxmlformats.org/officeDocument/2006/relationships/image" Target="media/image169.jpeg"/><Relationship Id="rId18" Type="http://schemas.openxmlformats.org/officeDocument/2006/relationships/image" Target="media/image9.jpeg"/><Relationship Id="rId179" Type="http://schemas.openxmlformats.org/officeDocument/2006/relationships/image" Target="media/image168.png"/><Relationship Id="rId178" Type="http://schemas.openxmlformats.org/officeDocument/2006/relationships/image" Target="media/image167.png"/><Relationship Id="rId177" Type="http://schemas.openxmlformats.org/officeDocument/2006/relationships/image" Target="media/image166.jpeg"/><Relationship Id="rId176" Type="http://schemas.openxmlformats.org/officeDocument/2006/relationships/image" Target="media/image165.png"/><Relationship Id="rId175" Type="http://schemas.openxmlformats.org/officeDocument/2006/relationships/image" Target="media/image164.jpeg"/><Relationship Id="rId174" Type="http://schemas.openxmlformats.org/officeDocument/2006/relationships/image" Target="media/image163.png"/><Relationship Id="rId173" Type="http://schemas.openxmlformats.org/officeDocument/2006/relationships/image" Target="media/image162.png"/><Relationship Id="rId172" Type="http://schemas.openxmlformats.org/officeDocument/2006/relationships/image" Target="media/image161.jpeg"/><Relationship Id="rId171" Type="http://schemas.openxmlformats.org/officeDocument/2006/relationships/image" Target="media/image160.jpeg"/><Relationship Id="rId170" Type="http://schemas.openxmlformats.org/officeDocument/2006/relationships/image" Target="media/image159.jpeg"/><Relationship Id="rId17" Type="http://schemas.openxmlformats.org/officeDocument/2006/relationships/image" Target="media/image8.png"/><Relationship Id="rId169" Type="http://schemas.openxmlformats.org/officeDocument/2006/relationships/image" Target="media/image158.jpeg"/><Relationship Id="rId168" Type="http://schemas.openxmlformats.org/officeDocument/2006/relationships/image" Target="media/image157.jpeg"/><Relationship Id="rId167" Type="http://schemas.openxmlformats.org/officeDocument/2006/relationships/image" Target="media/image156.jpeg"/><Relationship Id="rId166" Type="http://schemas.openxmlformats.org/officeDocument/2006/relationships/image" Target="media/image155.png"/><Relationship Id="rId165" Type="http://schemas.openxmlformats.org/officeDocument/2006/relationships/image" Target="media/image154.jpeg"/><Relationship Id="rId164" Type="http://schemas.openxmlformats.org/officeDocument/2006/relationships/image" Target="media/image153.jpeg"/><Relationship Id="rId163" Type="http://schemas.openxmlformats.org/officeDocument/2006/relationships/image" Target="media/image152.jpeg"/><Relationship Id="rId162" Type="http://schemas.openxmlformats.org/officeDocument/2006/relationships/image" Target="media/image151.jpeg"/><Relationship Id="rId161" Type="http://schemas.openxmlformats.org/officeDocument/2006/relationships/image" Target="media/image150.jpeg"/><Relationship Id="rId160" Type="http://schemas.openxmlformats.org/officeDocument/2006/relationships/image" Target="media/image149.jpeg"/><Relationship Id="rId16" Type="http://schemas.openxmlformats.org/officeDocument/2006/relationships/image" Target="media/image7.png"/><Relationship Id="rId159" Type="http://schemas.openxmlformats.org/officeDocument/2006/relationships/image" Target="media/image148.png"/><Relationship Id="rId158" Type="http://schemas.openxmlformats.org/officeDocument/2006/relationships/image" Target="media/image147.jpeg"/><Relationship Id="rId157" Type="http://schemas.openxmlformats.org/officeDocument/2006/relationships/image" Target="media/image146.jpeg"/><Relationship Id="rId156" Type="http://schemas.openxmlformats.org/officeDocument/2006/relationships/image" Target="media/image145.jpeg"/><Relationship Id="rId155" Type="http://schemas.openxmlformats.org/officeDocument/2006/relationships/image" Target="media/image144.jpeg"/><Relationship Id="rId154" Type="http://schemas.openxmlformats.org/officeDocument/2006/relationships/image" Target="media/image143.png"/><Relationship Id="rId153" Type="http://schemas.openxmlformats.org/officeDocument/2006/relationships/image" Target="media/image142.jpeg"/><Relationship Id="rId152" Type="http://schemas.openxmlformats.org/officeDocument/2006/relationships/image" Target="media/image141.jpeg"/><Relationship Id="rId151" Type="http://schemas.openxmlformats.org/officeDocument/2006/relationships/image" Target="media/image140.jpeg"/><Relationship Id="rId150" Type="http://schemas.openxmlformats.org/officeDocument/2006/relationships/image" Target="media/image139.jpeg"/><Relationship Id="rId15" Type="http://schemas.openxmlformats.org/officeDocument/2006/relationships/image" Target="media/image6.png"/><Relationship Id="rId149" Type="http://schemas.openxmlformats.org/officeDocument/2006/relationships/image" Target="media/image138.png"/><Relationship Id="rId148" Type="http://schemas.openxmlformats.org/officeDocument/2006/relationships/image" Target="media/image137.jpeg"/><Relationship Id="rId147" Type="http://schemas.openxmlformats.org/officeDocument/2006/relationships/image" Target="media/image136.png"/><Relationship Id="rId146" Type="http://schemas.openxmlformats.org/officeDocument/2006/relationships/image" Target="media/image135.jpeg"/><Relationship Id="rId145" Type="http://schemas.openxmlformats.org/officeDocument/2006/relationships/image" Target="media/image134.jpeg"/><Relationship Id="rId144" Type="http://schemas.openxmlformats.org/officeDocument/2006/relationships/image" Target="media/image133.jpeg"/><Relationship Id="rId143" Type="http://schemas.openxmlformats.org/officeDocument/2006/relationships/image" Target="file:///C:\Users\ADMINI~1\AppData\Local\Temp\ksohtml\clip_image5276.png" TargetMode="External"/><Relationship Id="rId142" Type="http://schemas.openxmlformats.org/officeDocument/2006/relationships/image" Target="media/image132.png"/><Relationship Id="rId141" Type="http://schemas.openxmlformats.org/officeDocument/2006/relationships/image" Target="media/image131.jpeg"/><Relationship Id="rId140" Type="http://schemas.openxmlformats.org/officeDocument/2006/relationships/image" Target="media/image130.png"/><Relationship Id="rId14" Type="http://schemas.openxmlformats.org/officeDocument/2006/relationships/image" Target="media/image5.png"/><Relationship Id="rId139" Type="http://schemas.openxmlformats.org/officeDocument/2006/relationships/image" Target="media/image129.jpeg"/><Relationship Id="rId138" Type="http://schemas.openxmlformats.org/officeDocument/2006/relationships/image" Target="media/image128.jpeg"/><Relationship Id="rId137" Type="http://schemas.openxmlformats.org/officeDocument/2006/relationships/image" Target="media/image127.png"/><Relationship Id="rId136" Type="http://schemas.openxmlformats.org/officeDocument/2006/relationships/image" Target="media/image126.jpeg"/><Relationship Id="rId135" Type="http://schemas.openxmlformats.org/officeDocument/2006/relationships/image" Target="media/image125.png"/><Relationship Id="rId134" Type="http://schemas.openxmlformats.org/officeDocument/2006/relationships/image" Target="media/image124.jpeg"/><Relationship Id="rId133" Type="http://schemas.openxmlformats.org/officeDocument/2006/relationships/image" Target="media/image123.jpeg"/><Relationship Id="rId132" Type="http://schemas.openxmlformats.org/officeDocument/2006/relationships/image" Target="media/image122.png"/><Relationship Id="rId131" Type="http://schemas.openxmlformats.org/officeDocument/2006/relationships/image" Target="media/image121.emf"/><Relationship Id="rId130" Type="http://schemas.openxmlformats.org/officeDocument/2006/relationships/image" Target="media/image120.jpeg"/><Relationship Id="rId13" Type="http://schemas.openxmlformats.org/officeDocument/2006/relationships/image" Target="media/image4.png"/><Relationship Id="rId129" Type="http://schemas.openxmlformats.org/officeDocument/2006/relationships/image" Target="media/image119.jpeg"/><Relationship Id="rId128" Type="http://schemas.openxmlformats.org/officeDocument/2006/relationships/image" Target="media/image118.png"/><Relationship Id="rId127" Type="http://schemas.openxmlformats.org/officeDocument/2006/relationships/image" Target="media/image117.jpeg"/><Relationship Id="rId126" Type="http://schemas.openxmlformats.org/officeDocument/2006/relationships/image" Target="media/image116.png"/><Relationship Id="rId125" Type="http://schemas.openxmlformats.org/officeDocument/2006/relationships/image" Target="../../../../Users/ADMINI~1/AppData/Local/Temp/ksohtml/clip_image5280.png" TargetMode="External"/><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jpeg"/><Relationship Id="rId121" Type="http://schemas.openxmlformats.org/officeDocument/2006/relationships/image" Target="media/image112.jpeg"/><Relationship Id="rId120" Type="http://schemas.openxmlformats.org/officeDocument/2006/relationships/image" Target="media/image111.png"/><Relationship Id="rId12" Type="http://schemas.openxmlformats.org/officeDocument/2006/relationships/image" Target="media/image3.jpeg"/><Relationship Id="rId119" Type="http://schemas.openxmlformats.org/officeDocument/2006/relationships/image" Target="media/image110.jpeg"/><Relationship Id="rId118" Type="http://schemas.openxmlformats.org/officeDocument/2006/relationships/image" Target="media/image109.jpeg"/><Relationship Id="rId117" Type="http://schemas.openxmlformats.org/officeDocument/2006/relationships/image" Target="media/image108.jpeg"/><Relationship Id="rId116" Type="http://schemas.openxmlformats.org/officeDocument/2006/relationships/image" Target="media/image107.jpeg"/><Relationship Id="rId115" Type="http://schemas.openxmlformats.org/officeDocument/2006/relationships/image" Target="media/image106.jpe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jpeg"/><Relationship Id="rId11" Type="http://schemas.openxmlformats.org/officeDocument/2006/relationships/image" Target="media/image2.png"/><Relationship Id="rId109" Type="http://schemas.openxmlformats.org/officeDocument/2006/relationships/image" Target="media/image100.jpeg"/><Relationship Id="rId108" Type="http://schemas.openxmlformats.org/officeDocument/2006/relationships/image" Target="media/image99.jpeg"/><Relationship Id="rId107" Type="http://schemas.openxmlformats.org/officeDocument/2006/relationships/image" Target="media/image98.jpeg"/><Relationship Id="rId106" Type="http://schemas.openxmlformats.org/officeDocument/2006/relationships/image" Target="media/image97.png"/><Relationship Id="rId105" Type="http://schemas.openxmlformats.org/officeDocument/2006/relationships/image" Target="media/image96.jpe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jpeg"/><Relationship Id="rId101" Type="http://schemas.openxmlformats.org/officeDocument/2006/relationships/image" Target="media/image92.png"/><Relationship Id="rId100" Type="http://schemas.openxmlformats.org/officeDocument/2006/relationships/image" Target="media/image91.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113</Pages>
  <Words>14193</Words>
  <Characters>80906</Characters>
  <Lines>674</Lines>
  <Paragraphs>189</Paragraphs>
  <TotalTime>4</TotalTime>
  <ScaleCrop>false</ScaleCrop>
  <LinksUpToDate>false</LinksUpToDate>
  <CharactersWithSpaces>94910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2023-05-22T06:29:00Z</dcterms:created>
  <dc:creator>玥</dc:creator>
  <cp:lastModifiedBy>浙江求是招标代理有限公司</cp:lastModifiedBy>
  <cp:lastPrinted>2021-12-27T11:06:00Z</cp:lastPrinted>
  <dcterms:modified xsi:type="dcterms:W3CDTF">2024-04-30T13:26:30Z</dcterms:modified>
  <dc:title>杭州市市民卡扩大发卡工程</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523322629AB24BDF81CA744F09AF5263</vt:lpwstr>
  </property>
</Properties>
</file>