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color w:val="auto"/>
          <w:spacing w:val="-6"/>
          <w:sz w:val="84"/>
          <w:szCs w:val="84"/>
          <w:highlight w:val="none"/>
        </w:rPr>
      </w:pPr>
    </w:p>
    <w:p>
      <w:pPr>
        <w:adjustRightInd w:val="0"/>
        <w:snapToGrid w:val="0"/>
        <w:jc w:val="center"/>
        <w:rPr>
          <w:rFonts w:ascii="仿宋" w:hAnsi="仿宋" w:eastAsia="仿宋" w:cs="仿宋"/>
          <w:b/>
          <w:color w:val="auto"/>
          <w:spacing w:val="-6"/>
          <w:sz w:val="84"/>
          <w:szCs w:val="84"/>
          <w:highlight w:val="none"/>
        </w:rPr>
      </w:pPr>
    </w:p>
    <w:p>
      <w:pPr>
        <w:adjustRightInd w:val="0"/>
        <w:snapToGrid w:val="0"/>
        <w:spacing w:line="288" w:lineRule="auto"/>
        <w:jc w:val="center"/>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浙江省市场监督管理局</w:t>
      </w:r>
    </w:p>
    <w:p>
      <w:pPr>
        <w:adjustRightInd w:val="0"/>
        <w:snapToGrid w:val="0"/>
        <w:spacing w:line="288"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2024年食品安全抽检监测项目（国抽）</w:t>
      </w:r>
    </w:p>
    <w:p>
      <w:pPr>
        <w:adjustRightInd w:val="0"/>
        <w:snapToGrid w:val="0"/>
        <w:spacing w:line="336" w:lineRule="auto"/>
        <w:jc w:val="center"/>
        <w:rPr>
          <w:rFonts w:ascii="仿宋" w:hAnsi="仿宋" w:eastAsia="仿宋" w:cs="仿宋"/>
          <w:b/>
          <w:color w:val="auto"/>
          <w:spacing w:val="-6"/>
          <w:sz w:val="72"/>
          <w:szCs w:val="72"/>
          <w:highlight w:val="none"/>
        </w:rPr>
      </w:pPr>
    </w:p>
    <w:p>
      <w:pPr>
        <w:adjustRightInd w:val="0"/>
        <w:snapToGrid w:val="0"/>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pPr>
        <w:widowControl/>
        <w:adjustRightInd w:val="0"/>
        <w:snapToGrid w:val="0"/>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pPr>
        <w:adjustRightInd w:val="0"/>
        <w:snapToGrid w:val="0"/>
        <w:spacing w:line="336" w:lineRule="auto"/>
        <w:jc w:val="center"/>
        <w:rPr>
          <w:rFonts w:ascii="仿宋" w:hAnsi="仿宋" w:eastAsia="仿宋" w:cs="仿宋"/>
          <w:b/>
          <w:color w:val="auto"/>
          <w:spacing w:val="-6"/>
          <w:sz w:val="72"/>
          <w:szCs w:val="72"/>
          <w:highlight w:val="none"/>
        </w:rPr>
      </w:pPr>
    </w:p>
    <w:p>
      <w:pPr>
        <w:adjustRightInd w:val="0"/>
        <w:snapToGrid w:val="0"/>
        <w:spacing w:line="336" w:lineRule="auto"/>
        <w:jc w:val="center"/>
        <w:rPr>
          <w:rFonts w:ascii="仿宋" w:hAnsi="仿宋" w:eastAsia="仿宋" w:cs="仿宋"/>
          <w:b/>
          <w:color w:val="auto"/>
          <w:spacing w:val="-6"/>
          <w:sz w:val="72"/>
          <w:szCs w:val="72"/>
          <w:highlight w:val="none"/>
        </w:rPr>
      </w:pPr>
    </w:p>
    <w:p>
      <w:pPr>
        <w:adjustRightInd w:val="0"/>
        <w:snapToGrid w:val="0"/>
        <w:spacing w:line="360" w:lineRule="auto"/>
        <w:ind w:firstLine="1345" w:firstLineChars="500"/>
        <w:rPr>
          <w:rFonts w:hint="eastAsia" w:ascii="仿宋" w:hAnsi="仿宋" w:eastAsia="仿宋" w:cs="仿宋"/>
          <w:b/>
          <w:color w:val="auto"/>
          <w:spacing w:val="-6"/>
          <w:sz w:val="28"/>
          <w:szCs w:val="28"/>
          <w:highlight w:val="none"/>
          <w:lang w:eastAsia="zh-CN"/>
        </w:rPr>
      </w:pPr>
      <w:r>
        <w:rPr>
          <w:rFonts w:hint="eastAsia" w:ascii="仿宋" w:hAnsi="仿宋" w:eastAsia="仿宋" w:cs="仿宋"/>
          <w:b/>
          <w:color w:val="auto"/>
          <w:spacing w:val="-6"/>
          <w:sz w:val="28"/>
          <w:szCs w:val="28"/>
          <w:highlight w:val="none"/>
        </w:rPr>
        <w:t>项目名称：</w:t>
      </w:r>
      <w:r>
        <w:rPr>
          <w:rFonts w:hint="eastAsia" w:ascii="仿宋" w:hAnsi="仿宋" w:eastAsia="仿宋" w:cs="仿宋"/>
          <w:b/>
          <w:color w:val="auto"/>
          <w:spacing w:val="-6"/>
          <w:sz w:val="28"/>
          <w:szCs w:val="28"/>
          <w:highlight w:val="none"/>
          <w:lang w:eastAsia="zh-CN"/>
        </w:rPr>
        <w:t>2024年食品安全抽检监测项目（国抽）</w:t>
      </w:r>
    </w:p>
    <w:p>
      <w:pPr>
        <w:adjustRightInd w:val="0"/>
        <w:snapToGrid w:val="0"/>
        <w:spacing w:line="360" w:lineRule="auto"/>
        <w:ind w:firstLine="1345" w:firstLineChars="500"/>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项目编号：QSZB-Z(F)-H24006(GK)</w:t>
      </w:r>
    </w:p>
    <w:p>
      <w:pPr>
        <w:adjustRightInd w:val="0"/>
        <w:snapToGrid w:val="0"/>
        <w:spacing w:line="360" w:lineRule="auto"/>
        <w:ind w:firstLine="1345" w:firstLineChars="500"/>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 购 人：浙江省市场监督管理局</w:t>
      </w:r>
    </w:p>
    <w:p>
      <w:pPr>
        <w:adjustRightInd w:val="0"/>
        <w:snapToGrid w:val="0"/>
        <w:spacing w:line="360" w:lineRule="auto"/>
        <w:ind w:firstLine="1345" w:firstLineChars="500"/>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采购代理机构：浙江求是招标代理有限公司</w:t>
      </w:r>
    </w:p>
    <w:p>
      <w:pPr>
        <w:adjustRightInd w:val="0"/>
        <w:snapToGrid w:val="0"/>
        <w:spacing w:line="360" w:lineRule="auto"/>
        <w:ind w:firstLine="1345" w:firstLineChars="500"/>
        <w:rPr>
          <w:rFonts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采购计划文号：临[2023]108336号</w:t>
      </w:r>
    </w:p>
    <w:p>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283" w:footer="850" w:gutter="0"/>
          <w:pgNumType w:start="1"/>
          <w:cols w:space="0" w:num="1"/>
          <w:docGrid w:linePitch="381" w:charSpace="0"/>
        </w:sectPr>
      </w:pPr>
    </w:p>
    <w:p>
      <w:pPr>
        <w:adjustRightInd w:val="0"/>
        <w:snapToGrid w:val="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评标方法及评标标准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pPr>
        <w:adjustRightInd w:val="0"/>
        <w:snapToGrid w:val="0"/>
        <w:spacing w:line="288"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3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790"/>
            <w:bookmarkStart w:id="1" w:name="_Toc35393621"/>
            <w:bookmarkStart w:id="2" w:name="_Toc28359002"/>
            <w:bookmarkStart w:id="3" w:name="_Toc28359079"/>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2024年食品安全抽检监测项目（国抽）</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2024年02月29日</w:t>
            </w:r>
            <w:r>
              <w:rPr>
                <w:rFonts w:hint="eastAsia" w:ascii="仿宋" w:hAnsi="仿宋" w:eastAsia="仿宋" w:cs="仿宋"/>
                <w:b/>
                <w:color w:val="auto"/>
                <w:szCs w:val="21"/>
                <w:highlight w:val="none"/>
              </w:rPr>
              <w:t>上午09:30:00（北京时间）前递交（上传）投标文件。</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项目编号：QSZB-Z(F)-H24006(GK)</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项目名称：2024年食品安全抽检监测项目（国抽）</w:t>
      </w:r>
    </w:p>
    <w:bookmarkEnd w:id="4"/>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预算金额（元）：8230000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最高限价（元）：/</w:t>
      </w:r>
    </w:p>
    <w:p>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采购需求：</w:t>
      </w:r>
      <w:bookmarkStart w:id="5" w:name="_Toc35393622"/>
      <w:bookmarkStart w:id="6" w:name="_Toc28359080"/>
      <w:bookmarkStart w:id="7" w:name="_Toc35393791"/>
      <w:bookmarkStart w:id="8" w:name="_Toc28359003"/>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标项一</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标项名称：蔬菜制品、食用油、油脂及其制品、可可及焙烤咖啡产品、食糖和保健食品任务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预算金额（元）：900000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简要规格描述或项目基本概况介绍、用途：抽检批次559次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标项名称：调味品、罐头、水果制品、专项抽检任务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预算金额（元）：740000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简要规格描述或项目基本概况介绍、用途：抽检批次424次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标项名称：肉制品、水产制品、速冻食品任务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预算金额（元）：900000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简要规格描述或项目基本概况介绍、用途：抽检批次444次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标项四</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标项名称：方便食品、炒货食品及坚果制品、食品添加剂任务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预算金额（元）：750000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简要规格描述或项目基本概况介绍、用途：抽检批次367次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标项五</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标项名称：糕点任务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预算金额（元）：1430000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简要规格描述或项目基本概况介绍、用途：抽检批次374次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标项六</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标项名称：茶叶及相关制品任务（一）</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预算金额（元）：1360000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简要规格描述或项目基本概况介绍、用途：抽检批次410次</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备注：杭州、宁波、温州3个地区的抽检任务</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标项七</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标项名称：茶叶及相关制品任务（二）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预算金额（元）：1360000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简要规格描述或项目基本概况介绍、用途：抽检批次410次</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备注：除杭州、宁波、温州3个地区外的抽检任务</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标项八</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标项名称：酒类任务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数量：1</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预算金额（元）：790000</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简要规格描述或项目基本概况介绍、用途：抽检批次472次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合同履约期限：详见第二章  采购需求</w:t>
      </w:r>
    </w:p>
    <w:p>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本项目（是）接受联合体投标。</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2.落实政府采购政策需满足的资格要求：无</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3.本项目的特定资格要求：具有国家认证认可监督管理委员会或市场监督管理部门颁发的有效期内的检验检测机构资质认定证书（CMA）</w:t>
      </w:r>
    </w:p>
    <w:p>
      <w:pPr>
        <w:adjustRightInd w:val="0"/>
        <w:snapToGrid w:val="0"/>
        <w:spacing w:line="288" w:lineRule="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仿宋" w:hAnsi="仿宋" w:eastAsia="仿宋" w:cs="仿宋"/>
          <w:color w:val="auto"/>
          <w:szCs w:val="21"/>
          <w:highlight w:val="none"/>
        </w:rPr>
      </w:pPr>
      <w:bookmarkStart w:id="13" w:name="_Toc28359082"/>
      <w:bookmarkStart w:id="14" w:name="_Toc28359005"/>
      <w:bookmarkStart w:id="15" w:name="_Toc35393624"/>
      <w:bookmarkStart w:id="16" w:name="_Toc35393793"/>
      <w:r>
        <w:rPr>
          <w:rFonts w:hint="eastAsia" w:ascii="仿宋" w:hAnsi="仿宋" w:eastAsia="仿宋" w:cs="仿宋"/>
          <w:color w:val="auto"/>
          <w:szCs w:val="21"/>
          <w:highlight w:val="none"/>
        </w:rPr>
        <w:t>时间：2024年02月0</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日至2024年02月2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日，上午00:00至12:00</w:t>
      </w:r>
      <w:r>
        <w:rPr>
          <w:rFonts w:hint="eastAsia" w:ascii="仿宋" w:hAnsi="仿宋" w:eastAsia="仿宋" w:cs="仿宋"/>
          <w:bCs/>
          <w:color w:val="auto"/>
          <w:szCs w:val="21"/>
          <w:highlight w:val="none"/>
        </w:rPr>
        <w:t>，下午12:00至23:59（北京时间，线上获取法定节假日均可，线下获取文件法定节假日除外）</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r>
        <w:rPr>
          <w:rFonts w:hint="eastAsia" w:ascii="仿宋" w:hAnsi="仿宋" w:eastAsia="仿宋" w:cs="仿宋"/>
          <w:b/>
          <w:color w:val="auto"/>
          <w:szCs w:val="21"/>
          <w:highlight w:val="none"/>
        </w:rPr>
        <w:t>提交投标文件截止时间、开标时间和地点</w:t>
      </w:r>
      <w:bookmarkEnd w:id="15"/>
      <w:bookmarkEnd w:id="16"/>
    </w:p>
    <w:p>
      <w:pPr>
        <w:adjustRightInd w:val="0"/>
        <w:snapToGrid w:val="0"/>
        <w:spacing w:line="288" w:lineRule="auto"/>
        <w:ind w:firstLine="420" w:firstLineChars="200"/>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2024年02月29日</w:t>
      </w:r>
      <w:r>
        <w:rPr>
          <w:rFonts w:hint="eastAsia" w:ascii="仿宋" w:hAnsi="仿宋" w:eastAsia="仿宋" w:cs="仿宋"/>
          <w:bCs/>
          <w:color w:val="auto"/>
          <w:szCs w:val="21"/>
          <w:highlight w:val="none"/>
        </w:rPr>
        <w:t>上午09:30:00（北京时间）</w:t>
      </w:r>
    </w:p>
    <w:p>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2024年02月29日</w:t>
      </w:r>
      <w:r>
        <w:rPr>
          <w:rFonts w:hint="eastAsia" w:ascii="仿宋" w:hAnsi="仿宋" w:eastAsia="仿宋" w:cs="仿宋"/>
          <w:bCs/>
          <w:color w:val="auto"/>
          <w:szCs w:val="21"/>
          <w:highlight w:val="none"/>
        </w:rPr>
        <w:t>上午09:30:00（北京时间）</w:t>
      </w:r>
    </w:p>
    <w:p>
      <w:pPr>
        <w:adjustRightInd w:val="0"/>
        <w:snapToGrid w:val="0"/>
        <w:spacing w:line="288" w:lineRule="auto"/>
        <w:ind w:firstLine="420" w:firstLineChars="20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rPr>
        <w:t>政府采购云平台（https://www.zcygov.cn）</w:t>
      </w:r>
      <w:bookmarkStart w:id="18" w:name="_Hlk81212131"/>
      <w:r>
        <w:rPr>
          <w:rFonts w:hint="eastAsia" w:ascii="仿宋" w:hAnsi="仿宋" w:eastAsia="仿宋" w:cs="仿宋"/>
          <w:color w:val="auto"/>
          <w:szCs w:val="21"/>
          <w:highlight w:val="none"/>
        </w:rPr>
        <w:t>/</w:t>
      </w:r>
      <w:bookmarkEnd w:id="18"/>
      <w:r>
        <w:rPr>
          <w:rFonts w:hint="eastAsia" w:ascii="仿宋" w:hAnsi="仿宋" w:eastAsia="仿宋" w:cs="仿宋"/>
          <w:color w:val="auto"/>
          <w:szCs w:val="21"/>
          <w:highlight w:val="none"/>
        </w:rPr>
        <w:t>杭州市西湖区玉古路173号中田大厦21楼求是招标会议室</w:t>
      </w:r>
      <w:r>
        <w:rPr>
          <w:rFonts w:hint="eastAsia" w:ascii="仿宋" w:hAnsi="仿宋" w:eastAsia="仿宋" w:cs="仿宋"/>
          <w:color w:val="auto"/>
          <w:szCs w:val="21"/>
          <w:highlight w:val="none"/>
          <w:lang w:val="en-US" w:eastAsia="zh-CN"/>
        </w:rPr>
        <w:t>1</w:t>
      </w:r>
    </w:p>
    <w:bookmarkEnd w:id="17"/>
    <w:p>
      <w:pPr>
        <w:adjustRightInd w:val="0"/>
        <w:snapToGrid w:val="0"/>
        <w:spacing w:line="288" w:lineRule="auto"/>
        <w:rPr>
          <w:rFonts w:ascii="仿宋" w:hAnsi="仿宋" w:eastAsia="仿宋" w:cs="仿宋"/>
          <w:b/>
          <w:color w:val="auto"/>
          <w:szCs w:val="21"/>
          <w:highlight w:val="none"/>
        </w:rPr>
      </w:pPr>
      <w:bookmarkStart w:id="19" w:name="_Toc28359084"/>
      <w:bookmarkStart w:id="20" w:name="_Toc28359007"/>
      <w:bookmarkStart w:id="21" w:name="_Toc35393625"/>
      <w:bookmarkStart w:id="22" w:name="_Toc35393794"/>
      <w:r>
        <w:rPr>
          <w:rFonts w:hint="eastAsia" w:ascii="仿宋" w:hAnsi="仿宋" w:eastAsia="仿宋" w:cs="仿宋"/>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adjustRightInd w:val="0"/>
        <w:snapToGrid w:val="0"/>
        <w:spacing w:line="288" w:lineRule="auto"/>
        <w:rPr>
          <w:rFonts w:ascii="仿宋" w:hAnsi="仿宋" w:eastAsia="仿宋" w:cs="仿宋"/>
          <w:b/>
          <w:color w:val="auto"/>
          <w:szCs w:val="21"/>
          <w:highlight w:val="none"/>
        </w:rPr>
      </w:pPr>
      <w:bookmarkStart w:id="23" w:name="_Toc35393795"/>
      <w:bookmarkStart w:id="24" w:name="_Toc35393626"/>
      <w:r>
        <w:rPr>
          <w:rFonts w:hint="eastAsia" w:ascii="仿宋" w:hAnsi="仿宋" w:eastAsia="仿宋" w:cs="仿宋"/>
          <w:b/>
          <w:color w:val="auto"/>
          <w:szCs w:val="21"/>
          <w:highlight w:val="none"/>
        </w:rPr>
        <w:t>六、其他补充事宜</w:t>
      </w:r>
      <w:bookmarkEnd w:id="23"/>
      <w:bookmarkEnd w:id="24"/>
    </w:p>
    <w:p>
      <w:pPr>
        <w:adjustRightInd w:val="0"/>
        <w:snapToGrid w:val="0"/>
        <w:spacing w:line="288" w:lineRule="auto"/>
        <w:ind w:firstLine="420" w:firstLineChars="200"/>
        <w:rPr>
          <w:rFonts w:ascii="仿宋" w:hAnsi="仿宋" w:eastAsia="仿宋" w:cs="仿宋"/>
          <w:color w:val="auto"/>
          <w:szCs w:val="21"/>
          <w:highlight w:val="none"/>
        </w:rPr>
      </w:pPr>
      <w:bookmarkStart w:id="25" w:name="_Hlk92271231"/>
      <w:r>
        <w:rPr>
          <w:rFonts w:hint="eastAsia" w:ascii="仿宋" w:hAnsi="仿宋" w:eastAsia="仿宋" w:cs="仿宋"/>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6" w:name="_Hlk92271331"/>
      <w:r>
        <w:rPr>
          <w:rFonts w:hint="eastAsia" w:ascii="仿宋" w:hAnsi="仿宋" w:eastAsia="仿宋" w:cs="仿宋"/>
          <w:color w:val="auto"/>
          <w:szCs w:val="21"/>
          <w:highlight w:val="none"/>
        </w:rPr>
        <w:t>（1）需要落实的政府采购政策：包括促进中小企业发展等，具体详见招标文件第三章“9.采购项目需要落实的政府采购政策”；▲</w:t>
      </w:r>
      <w:bookmarkStart w:id="27"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仿宋" w:hAnsi="仿宋" w:eastAsia="仿宋" w:cs="仿宋"/>
          <w:b/>
          <w:color w:val="auto"/>
          <w:szCs w:val="21"/>
          <w:highlight w:val="none"/>
        </w:rPr>
      </w:pPr>
      <w:bookmarkStart w:id="28" w:name="_Toc28359008"/>
      <w:bookmarkStart w:id="29" w:name="_Toc28359085"/>
      <w:bookmarkStart w:id="30" w:name="_Toc35393796"/>
      <w:bookmarkStart w:id="31" w:name="_Toc35393627"/>
      <w:r>
        <w:rPr>
          <w:rFonts w:hint="eastAsia" w:ascii="仿宋" w:hAnsi="仿宋" w:eastAsia="仿宋" w:cs="仿宋"/>
          <w:b/>
          <w:color w:val="auto"/>
          <w:szCs w:val="21"/>
          <w:highlight w:val="none"/>
        </w:rPr>
        <w:t>七、对本次招标提出询问、质疑、投诉请按以下方式联系</w:t>
      </w:r>
      <w:bookmarkEnd w:id="28"/>
      <w:bookmarkEnd w:id="29"/>
      <w:bookmarkEnd w:id="30"/>
      <w:bookmarkEnd w:id="31"/>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名称：浙江省市场监督管理局</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地址：杭州市莫干山路77号金汇大厦</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color w:val="auto"/>
          <w:szCs w:val="21"/>
          <w:highlight w:val="none"/>
        </w:rPr>
      </w:pPr>
      <w:r>
        <w:rPr>
          <w:rFonts w:ascii="仿宋" w:hAnsi="仿宋" w:eastAsia="仿宋" w:cs="仿宋"/>
          <w:color w:val="auto"/>
          <w:szCs w:val="21"/>
          <w:highlight w:val="none"/>
        </w:rPr>
        <w:t>项目联系人（询问）：张允革</w:t>
      </w:r>
    </w:p>
    <w:p>
      <w:pPr>
        <w:adjustRightInd w:val="0"/>
        <w:snapToGrid w:val="0"/>
        <w:spacing w:line="288" w:lineRule="auto"/>
        <w:ind w:firstLine="630" w:firstLineChars="300"/>
        <w:rPr>
          <w:rFonts w:ascii="仿宋" w:hAnsi="仿宋" w:eastAsia="仿宋" w:cs="仿宋"/>
          <w:color w:val="auto"/>
          <w:szCs w:val="21"/>
          <w:highlight w:val="none"/>
        </w:rPr>
      </w:pPr>
      <w:r>
        <w:rPr>
          <w:rFonts w:ascii="仿宋" w:hAnsi="仿宋" w:eastAsia="仿宋" w:cs="仿宋"/>
          <w:color w:val="auto"/>
          <w:szCs w:val="21"/>
          <w:highlight w:val="none"/>
        </w:rPr>
        <w:t xml:space="preserve">项目联系方式（询问）：0571-89761523 </w:t>
      </w:r>
    </w:p>
    <w:p>
      <w:pPr>
        <w:adjustRightInd w:val="0"/>
        <w:snapToGrid w:val="0"/>
        <w:spacing w:line="288" w:lineRule="auto"/>
        <w:ind w:firstLine="630" w:firstLineChars="300"/>
        <w:rPr>
          <w:rFonts w:ascii="仿宋" w:hAnsi="仿宋" w:eastAsia="仿宋" w:cs="仿宋"/>
          <w:color w:val="auto"/>
          <w:szCs w:val="21"/>
          <w:highlight w:val="none"/>
        </w:rPr>
      </w:pPr>
      <w:r>
        <w:rPr>
          <w:rFonts w:ascii="仿宋" w:hAnsi="仿宋" w:eastAsia="仿宋" w:cs="仿宋"/>
          <w:color w:val="auto"/>
          <w:szCs w:val="21"/>
          <w:highlight w:val="none"/>
        </w:rPr>
        <w:t>质疑联系人：</w:t>
      </w:r>
      <w:r>
        <w:rPr>
          <w:rFonts w:hint="eastAsia" w:ascii="仿宋" w:hAnsi="仿宋" w:eastAsia="仿宋" w:cs="仿宋"/>
          <w:color w:val="auto"/>
          <w:szCs w:val="21"/>
          <w:highlight w:val="none"/>
        </w:rPr>
        <w:t>金贤</w:t>
      </w:r>
    </w:p>
    <w:p>
      <w:pPr>
        <w:adjustRightInd w:val="0"/>
        <w:snapToGrid w:val="0"/>
        <w:spacing w:line="288" w:lineRule="auto"/>
        <w:ind w:firstLine="630" w:firstLineChars="300"/>
        <w:rPr>
          <w:rFonts w:ascii="仿宋" w:hAnsi="仿宋" w:eastAsia="仿宋" w:cs="仿宋"/>
          <w:color w:val="auto"/>
          <w:szCs w:val="21"/>
          <w:highlight w:val="none"/>
        </w:rPr>
      </w:pPr>
      <w:r>
        <w:rPr>
          <w:rFonts w:ascii="仿宋" w:hAnsi="仿宋" w:eastAsia="仿宋" w:cs="仿宋"/>
          <w:color w:val="auto"/>
          <w:szCs w:val="21"/>
          <w:highlight w:val="none"/>
        </w:rPr>
        <w:t>质疑联系方式：</w:t>
      </w:r>
      <w:r>
        <w:rPr>
          <w:rFonts w:hint="eastAsia" w:ascii="仿宋" w:hAnsi="仿宋" w:eastAsia="仿宋" w:cs="仿宋"/>
          <w:color w:val="auto"/>
          <w:szCs w:val="21"/>
          <w:highlight w:val="none"/>
        </w:rPr>
        <w:t>0571-89761520</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项目联系人（询问）：杨立凯、元俊仁</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质疑联系人：刘璐</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3.同级政府采购监督管理部门</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地址：杭州市上城区四季青街道新业路市民之家G03办公室</w:t>
      </w:r>
      <w:r>
        <w:rPr>
          <w:rFonts w:ascii="仿宋" w:hAnsi="仿宋" w:eastAsia="仿宋" w:cs="仿宋"/>
          <w:color w:val="auto"/>
          <w:szCs w:val="21"/>
          <w:highlight w:val="none"/>
        </w:rPr>
        <w:t>（快递仅限ems或顺丰）</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监督投诉电话：0571-85252453</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adjustRightInd w:val="0"/>
        <w:snapToGrid w:val="0"/>
        <w:spacing w:line="288" w:lineRule="auto"/>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CA问题联系电话（人工）：汇信CA400-888-4636；天谷CA400-087-8198。</w:t>
      </w:r>
    </w:p>
    <w:p>
      <w:pPr>
        <w:adjustRightInd w:val="0"/>
        <w:snapToGrid w:val="0"/>
        <w:spacing w:line="288" w:lineRule="auto"/>
        <w:jc w:val="center"/>
        <w:outlineLvl w:val="0"/>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71"/>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bookmarkStart w:id="32" w:name="_Hlk45005599"/>
            <w:r>
              <w:rPr>
                <w:rFonts w:hint="eastAsia" w:ascii="仿宋" w:hAnsi="仿宋" w:eastAsia="仿宋" w:cs="仿宋"/>
                <w:b/>
                <w:bCs/>
                <w:color w:val="auto"/>
                <w:szCs w:val="21"/>
                <w:highlight w:val="none"/>
              </w:rPr>
              <w:t>序号</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77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政府采购支持创新发展</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提供材料详见招标文件第六章“报价文件”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本项目属性为服务，采购标的对应的中小企业划分标准所属行业为</w:t>
            </w:r>
            <w:r>
              <w:rPr>
                <w:rFonts w:hint="eastAsia" w:ascii="仿宋" w:hAnsi="仿宋" w:eastAsia="仿宋" w:cs="仿宋"/>
                <w:b/>
                <w:bCs/>
                <w:color w:val="auto"/>
                <w:szCs w:val="21"/>
                <w:highlight w:val="none"/>
              </w:rPr>
              <w:t>其他未列明行业，中小企业划型标准：从业人员300人以下的为中小微型企业。其中，从业人员100人及以上的为中型企业；从业人员10人及以上的为小型企业；从业人员10人以下的为微型企业。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773"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视同小微企业，提供材料详见招标文件第六章“报价文件”。</w:t>
            </w:r>
          </w:p>
        </w:tc>
      </w:tr>
      <w:bookmarkEnd w:id="32"/>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6"/>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1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1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auto"/>
                <w:sz w:val="18"/>
                <w:szCs w:val="18"/>
                <w:highlight w:val="none"/>
              </w:rPr>
            </w:pPr>
            <w:r>
              <w:rPr>
                <w:rFonts w:hint="eastAsia" w:ascii="仿宋" w:hAnsi="仿宋" w:eastAsia="仿宋" w:cs="仿宋"/>
                <w:color w:val="auto"/>
                <w:szCs w:val="21"/>
                <w:highlight w:val="none"/>
              </w:rPr>
              <w:t>分三期支付：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1.第一次支付（首付款）：合同签订后7个工作日内，采购人按合同标的预测算金额的70%向中标人支付服务费用；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2.第二次支付：任务检验完成至20%时，采购人按合同标的预测算金额的15%向中标人支付服务费用；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第三次支付（决算款）：抽检任务全部结束后，乙方向甲方提供《抽检任务总结分析报告》（食品类别）、《浙江省市场监管局食品抽检经费结算表》、《抽检样品清单》、财务票据等相关资料，由采购人对中标人的合同履行、抽检结果和抽检质量考核验收后，最终按实结算项目尾款。</w:t>
            </w:r>
          </w:p>
          <w:p>
            <w:pPr>
              <w:rPr>
                <w:rFonts w:ascii="仿宋" w:hAnsi="仿宋" w:eastAsia="仿宋" w:cs="仿宋"/>
                <w:color w:val="auto"/>
                <w:highlight w:val="none"/>
              </w:rPr>
            </w:pPr>
            <w:r>
              <w:rPr>
                <w:rFonts w:hint="eastAsia" w:ascii="仿宋" w:hAnsi="仿宋" w:eastAsia="仿宋" w:cs="仿宋"/>
                <w:color w:val="auto"/>
                <w:szCs w:val="21"/>
                <w:highlight w:val="none"/>
              </w:rPr>
              <w:t>备注：在签订合同时，中标人明确表示无需首付款或者主动要求降低首付款比例的，可降低首付款比例。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无</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w:t>
      </w:r>
    </w:p>
    <w:p>
      <w:pPr>
        <w:spacing w:line="288"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有强制性标准的执行国家强制性标准，无的统一执行最新相关标准、规范；</w:t>
      </w:r>
    </w:p>
    <w:p>
      <w:pPr>
        <w:pStyle w:val="42"/>
        <w:spacing w:line="288" w:lineRule="auto"/>
        <w:ind w:firstLine="422" w:firstLineChars="20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2.需实现的功能或者目标及满足的服务要求：</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项目背景、目标：根据年度食品安全抽检监测计划安排，2024年食品抽检工作以落实“四个最严”为根本遵循，始终坚持问题导向，牢固树立底线思维，发挥食品抽检发现问题的“千里眼”、日常监管的“发动机”、治理转型的“牵引器”作用，有效防控系统性、区域性和行业性食品安全风险隐患，最大限度地发挥抽检监测效益，守护人民群众“舌尖上的安全”。浙江省市场监督管理局组织开展2024年省本级食品安全抽检监测任务采购。</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服务要求</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人需严格遵守《中华人民共和国食品安全法》、《食品安全抽样检验管理办法》、《食品安全监督抽检和风险监测工作规范》、《国家食品安全监督抽检实施细则（2023年版）》以及浙江省市场监督管理局关于食品安全抽检监测的各项规定；</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投标人食品检验从业人员岗位职责、分工明确。投标人应设置有独立的技术管理人员、业务管理人员、检验人员以及抽样人员等食品检验从业人员，可分别承担抽样、检测、数据汇总、结果报送、分析评估等工作，能按照时限要求汇总上报检测相关信息，食品检验从业人员总体数量与承检任务要求相匹配；</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投标人中标后对样品代表性以及检验结果负责，如发现不合格样品或问题样品，需按国家和我局规定的程序及时限报告。对抽检监测信息保密，未经允许或授权，不得以任何方式将抽检监测内容告知被采样单位和其他第三方；</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▲（4）投标人应承诺中标后按委托方要求配置移动终端，安装电子认证软件，通过移动终端抽样并出具电子认证版检验报告；</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▲（5）投标人应承诺建立从采样、检验、储运、留样、数据报送、结果分析等全流程的质量管理体系，明确岗位职责，建立程序性文件、相关记录表及作业指导书，保证抽检监测工作质量和效率；</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6）投标人承诺严格按照《中华人民共和国食品安全法》、《食品安全抽样检验管理办法》等有关规定购买样品，不得向被抽样方收取检验费和其他任何费用；不得在开展抽样工作前事先通知被监督抽检单位和接受相关单位馈赠；不得利用承担监督抽检监测任务行为开展有偿活动，牟取不正当利益； </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（7）投标人具有现场抽样时全程摄像记录抽样过程的能力，配备摄像记录仪，样品运输时应配备连续温度记录全程监控样品保存温度；</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（8）投标人近三年无食品检验数据严重质量问题并造成社会不良后果。投标人中标后需接受采购人组织的关于实验室质量体系检查与考核工作。发现存在严重问题的，采购人有权终止委托合同，并上报财政；</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投标人承担冷冻等食品对时限有特殊要求食品抽检任务或如遇食品安全突发事件时，从浙江省内任一设区市主城区高速公路交通到实验室样品进入实验室的时间不超过4小时，以确保食品检验结果的科学性和有效性；</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（10）其余以合同范本约定为准。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项目服务与管理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（1）本项目投标人中标后应按照本项目招标需求所要求的服务范围、内容及目标要求提供服务；</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投标人应具备浙江省或有关行业管理部门规定的在浙江省内实施本项目服务所需的资质（包括国家和本省各类专业工种持证上岗要求）、资格和一切手续（如有的话），由此引起的所有有关事宜及费用由投标人自行负责；</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（3）服务管理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2）项目负责人应为中标人在职人员，具有类似本项目的服务管理经验，项目组人员的数量应足够满足本项目服务需要，具有良好的职业道德和严谨的工作作风；</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3）中标人在组织项目服务实施期间，应按采购人实际服务需求落实所对应提供的服务工作，中标人在项目服务实施期间应做好相关管理记录，保证满足采购人服务需求；</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4）经采购人确认的项目负责人和项目组人员及数量，未经采购人书面批准不得随意调换或撤离，若自行更换或撤离，按照合同违约处理；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5）各投标人在投标文件中要结合本项目的特点和采购人上述的具体要求制定相应的服务管理措施，同时应适当考虑购买自己员工和第三方责任保险。</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 服务完成时间：中标人应在2024年12月10日前完成全部任务的抽样检验工作，2024年12月25日前汇总全年抽检数据，并向采购人提交项目年度食品安全质量分析报告；</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 服务标准与验收</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（1）投标人提供的服务应符合国家、地方及相关政府管理部门和行业与本项目有关的各项服务标准、规范、规章要求，并满足采购人实际需求，标准、规范等不一致的，以要求高的为准。</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（2）本项目检测质量复核将由采购人组织进行或委托第三方进行。</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（3）承检机构不能按照抽检监测委托合同、抽检监测计划要求完成项目的，或者在抽检监测工作中存在严重问题的，或者发生重大食品检验事故等，暂停直至终止中标人的抽检监测任务。</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 相关费用和报价承诺</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相关费用主要包括买样费、抽样费和样品检验费等。</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买样费：在不高于平均最高限价的范围内，按实结算。各类别食品买样费平均最高限价详见表1。</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抽样费：按抽样环节定额结算。其中，流通环节，抽样费200元/批次（网络平台抽样，100元/批次）；生产环节，抽样费400元/批次；餐饮环节，抽样费400元/批次（网络平台抽样，100元/批次）；需冷冻车(冷链)运输样品的，抽样费600元/批次（仅限样品需-18℃及以下保存的速冻类食品）。</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样品检验费：投标人参照《国家食品安全监督抽检实施细则（2023年版）》中各食品大类、细类和检测项目，在采购人提供的最高限价范围（详见表2）填报统一折扣率。合同验收时，在中标人中标价格的基础上，对使用同一检验方法检测的多个检测项目，按以下方式统一折扣：第1个项目折扣系数为1；第2-3个项目折扣系数为0.8；第4-5个项目折扣系数为0.6；第6个及以上项目折扣系数为0.4。</w:t>
      </w:r>
    </w:p>
    <w:p>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根据食品安全抽检工作需要，如涉及《国家食品安全监督抽检实施细则（2024年版）》未列入的产品、检测项目和检测方法时，参照类似项目，另行协商议价。</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表1 买样费平均批次最高限价表</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4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263" w:type="dxa"/>
            <w:vAlign w:val="center"/>
          </w:tcPr>
          <w:p>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序号</w:t>
            </w:r>
          </w:p>
        </w:tc>
        <w:tc>
          <w:tcPr>
            <w:tcW w:w="6442" w:type="dxa"/>
            <w:vAlign w:val="center"/>
          </w:tcPr>
          <w:p>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食品细类(四级)</w:t>
            </w:r>
          </w:p>
        </w:tc>
        <w:tc>
          <w:tcPr>
            <w:tcW w:w="1923" w:type="dxa"/>
            <w:vAlign w:val="center"/>
          </w:tcPr>
          <w:p>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买样费</w:t>
            </w:r>
          </w:p>
          <w:p>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代用茶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以发酵酒为酒基的配制酒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以蒸馏酒及食用酒精为酒基的配制酒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全脂乳粉、脱脂乳粉、部分脱脂乳粉、调制乳粉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其他半固体调味料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其他发酵酒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其他固体调味料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其他液体调味料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其他炒货食品及坚果制品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其他盐渍水产品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其他蒸馏酒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其他蔬菜制品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其他蛋制品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其他谷物碾磨加工品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其他谷物粉类制成品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其他食用植物油(半精炼、全精炼)</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其他饮料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其他饮用水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其他香辛料调味品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再制蛋</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冰淇淋、雪糕、雪泥、冰棍、食用冰、甜味冰、其他类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冰蛋类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冷冻薯类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包子、馒头等熟制品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发酵面制品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可可制品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含油型膨化食品和非含油型膨化食品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味精</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固体饮料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坚果与籽类的泥(酱)、包括花生酱等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复配膨松剂</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复配食品添加剂(其他)</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复配食品添加剂(用于小麦粉)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大豆组织蛋白(挤压膨化豆制品)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天然矿泉水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奶片、奶条等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婴幼儿谷物辅助食品、婴幼儿高蛋白谷物辅助食品、婴幼儿生制类谷物辅助食品、婴幼儿饼干或其他婴幼儿谷物辅助食品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小麦粉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山梨酸钾</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巧克力、巧克力制品、代可可脂(以干物质计)巧克力及代可可脂(以干物质计)巧克力制品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巴氏杀菌乳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干制薯类(除马铃薯片外)</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干制薯类(马铃薯片)</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干制食用菌</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干蛋类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干酪(奶酪)、再制干酪</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开心果、杏仁、松仁、瓜子</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挂面、普通挂面、手工面</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料酒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方便粥、方便盒饭、冷面及其他熟制方便食品等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明胶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月饼</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木糖醇</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果、蔬汁饮料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果酒(李子酒、杨梅酒、樱桃酒等)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果酱</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柠檬酸钠</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橄榄油、油橄榄果渣油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水产动物类罐头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水产深加工品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水果干制品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水生动物油脂及制品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水饺、元宵、馄饨等生制品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油炸面、非油炸面</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泥(糊)状罐装食品、颗粒状罐装食品、汁类罐装食品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淀粉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淀粉糖</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淡炼乳、加糖炼乳和调制炼乳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火锅底料、麻辣烫底料及蘸料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灭菌乳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焙炒咖啡</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熏烧烤肉制品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熏煮香肠火腿制品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熟制动物性水产制品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熟啤酒、生啤酒、鲜啤酒、特种啤酒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熟肉干制品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玉米油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玉米等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玉米粉、玉米片、玉米渣</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生湿面制品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生食动物性水产品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畜禽肉类罐头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白砂糖、绵白糖、赤砂糖、冰糖、方糖、冰片糖等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白酒、白酒(液态)、白酒(原酒)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盐渍藻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盐渍鱼</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碳酸饮料(汽水)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稀奶油、奶油和无水奶油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米粉制品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粉丝粉条等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粽子</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糖果</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绿茶、红茶、乌龙茶、黄茶、白茶、黑茶、花茶、袋泡茶、紧压茶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脱盐乳清粉、非脱盐乳清粉、浓缩乳清蛋白粉、分离乳清蛋白粉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腌渍食用菌</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腌腊肉制品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腐乳、豆豉、纳豆等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腐竹、油皮</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自然干制品、热风干燥蔬菜、冷冻干燥蔬菜、蔬菜脆片、蔬菜粉及制品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芝麻油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花生油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茶饮料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葡萄酒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薯泥(酱)类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薯粉类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藻类干制品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蚝油、虾油、鱼露</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蛋白饮料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蛋黄酱、沙拉酱</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蜂产品制品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蜂王浆(含蜂王浆冻干品)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蜂花粉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蜂蜜</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蜜饯类、凉果类、果脯类、话化类、果糕类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调制乳</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调理肉制品(非速冻)</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谷物加工品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豆干、豆腐、豆皮等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辅食营养素补充食品、辅食营养素补充片、辅食营养素撒剂</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辣椒、花椒、辣椒粉、花椒粉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辣椒酱</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速冻水产制品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速冻水果制品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速冻蔬菜制品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速冻调理肉制品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速溶茶类、其它含茶制品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酱卤肉制品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酱腌菜</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酿造酱油、配制酱油(酿造和配制按2:1)</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酿造食醋、配制食醋</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预制动物性水产干制品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预制鱼糜制品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食品用香精</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食用动物油脂</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食用油脂制品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食用菌罐头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食用血制品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饮用纯净水</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饼干</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香辛料调味油</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香辛料酱(芥末酱、青芥酱等)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鸡粉、鸡精调味料</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黄豆酱、甜面酱等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黄酒</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黑砖茶、花砖茶、茯砖茶、康砖茶、金尖茶、青砖茶、米砖茶等</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其他淀粉制品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孕妇及乳母营养补充食品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保健食品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油炸面制品（自制）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发酵面制品（自制）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果蔬汁等饮料（自制）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其他饮料（自制）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餐饮食品（外卖配送）</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食盐</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生食动物性水产品（餐饮）</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花生及其制品（餐饮）</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糕点(餐饮环节)</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复用餐饮具</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酱卤肉、肉灌肠、其他熟肉（自制）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3" w:type="dxa"/>
            <w:vAlign w:val="center"/>
          </w:tcPr>
          <w:p>
            <w:pPr>
              <w:pStyle w:val="108"/>
              <w:widowControl/>
              <w:numPr>
                <w:ilvl w:val="0"/>
                <w:numId w:val="2"/>
              </w:numPr>
              <w:jc w:val="center"/>
              <w:rPr>
                <w:rFonts w:ascii="仿宋" w:hAnsi="仿宋" w:eastAsia="仿宋" w:cs="仿宋"/>
                <w:color w:val="auto"/>
                <w:kern w:val="0"/>
                <w:sz w:val="21"/>
                <w:szCs w:val="21"/>
                <w:highlight w:val="none"/>
              </w:rPr>
            </w:pPr>
          </w:p>
        </w:tc>
        <w:tc>
          <w:tcPr>
            <w:tcW w:w="6442"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火锅调味料（底料、蘸料）（自制）</w:t>
            </w:r>
          </w:p>
        </w:tc>
        <w:tc>
          <w:tcPr>
            <w:tcW w:w="1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r>
    </w:tbl>
    <w:p>
      <w:pPr>
        <w:rPr>
          <w:rFonts w:ascii="仿宋" w:hAnsi="仿宋" w:eastAsia="仿宋" w:cs="仿宋"/>
          <w:color w:val="auto"/>
          <w:szCs w:val="21"/>
          <w:highlight w:val="none"/>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表2  浙江省市场监督管理局食品安全检验项目指导价格表（2019）</w:t>
      </w:r>
    </w:p>
    <w:tbl>
      <w:tblPr>
        <w:tblStyle w:val="37"/>
        <w:tblW w:w="9628" w:type="dxa"/>
        <w:tblInd w:w="0" w:type="dxa"/>
        <w:tblLayout w:type="fixed"/>
        <w:tblCellMar>
          <w:top w:w="0" w:type="dxa"/>
          <w:left w:w="108" w:type="dxa"/>
          <w:bottom w:w="0" w:type="dxa"/>
          <w:right w:w="108" w:type="dxa"/>
        </w:tblCellMar>
      </w:tblPr>
      <w:tblGrid>
        <w:gridCol w:w="796"/>
        <w:gridCol w:w="3798"/>
        <w:gridCol w:w="1148"/>
        <w:gridCol w:w="2708"/>
        <w:gridCol w:w="1178"/>
      </w:tblGrid>
      <w:tr>
        <w:tblPrEx>
          <w:tblLayout w:type="fixed"/>
          <w:tblCellMar>
            <w:top w:w="0" w:type="dxa"/>
            <w:left w:w="108" w:type="dxa"/>
            <w:bottom w:w="0" w:type="dxa"/>
            <w:right w:w="108" w:type="dxa"/>
          </w:tblCellMar>
        </w:tblPrEx>
        <w:trPr>
          <w:trHeight w:val="397" w:hRule="atLeast"/>
          <w:tblHead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79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检验项目</w:t>
            </w:r>
          </w:p>
        </w:tc>
        <w:tc>
          <w:tcPr>
            <w:tcW w:w="114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检测费</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2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检测依据</w:t>
            </w:r>
          </w:p>
        </w:tc>
        <w:tc>
          <w:tcPr>
            <w:tcW w:w="117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项目属性</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10-羟基-2-癸烯酸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GB9697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2,4-滴</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GB/T5009.175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3-氯-1,2-丙二醇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GB5009.191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6-苄基腺嘌呤（6-BA）</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GB/T23381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N，N-双去甲基西布曲明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N-单去甲基西布曲明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N-二甲基亚硝胺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α-亚麻酸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α-亚麻酸供能比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β-苯乙醇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GB/T13662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β-胡萝卜素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阿普唑仑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阿斯巴甜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阿替洛尔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阿维菌素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GB23200.20、GB23200.19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艾氏剂</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艾司唑仑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安赛蜜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氨苄青霉素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氨基酸态氮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GB18186、GB5009.235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氨基他达拉非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氨甲环酸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氨氯地平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铵盐（以占氨基酸态氮的百分比计）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奥沙西泮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巴比妥</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百菌清</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NY/T761、GB/T5009.105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阪崎肠杆菌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GB4789.40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饱和酸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倍硫磷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苯巴比妥</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苯并[a]芘</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苯丁锡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参照SN0592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苯醚甲环唑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苯霜灵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苯酰菌胺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苯线磷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GB/T5009.145、GB23200.8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苯唑西林</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GB29682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吡虫啉</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苄青霉素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丙草胺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GB23200.24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丙二醛</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丙森锌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参照SN/T0711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丙酸睾酮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SN/T3235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丙酸及其钠盐、钙盐（以丙酸计）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丙溴磷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参照GB23200.8、NY/T761、SN/T2234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不溶性膳食纤维</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不溶于水杂质</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QB/T2343.2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草甘膦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GB/T23750、SN/T1923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茶多酚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GB/T21733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产气荚膜梭菌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呈味核苷酸二钠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SB/T10371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赤藓红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虫螨腈</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NY/T1379、GB23200.8、SN/T1986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虫酰肼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除虫脲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GB/T5009.147、NY/T1720、GB23200.13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雌二醇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农业部958号公告-10-2007、GB/T21981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醋氯芬酸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哒螨灵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GB/T23204、SN/T2432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达氟沙星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大肠埃希氏菌O157:H7</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大肠菌群</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GB/T4789.3、GB4789.3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代森锰锌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参照SN/T0711、参照SN/T1541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单核细胞增生李斯特氏菌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GB4789.30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胆碱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蛋白质</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稻瘟灵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GB/T5009.155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滴滴涕</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狄氏剂</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敌百虫</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敌草快</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参照GB/T5009.221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敌敌畏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敌菌灵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NY/T1722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敌瘟磷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GB/T20770、SN/T2324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地虫硫磷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地美硝唑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GB/T21318、SN/T1928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地塞米松</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GB/T22978、农业部1031号公告-2-2008、GB/T21981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地西泮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蒂巴因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DB31/2010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碘</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淀粉</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GB9697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靛蓝</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GB/T21916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丁基羟基茴香醚（BHA）</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丁硫克百威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丁醚脲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啶虫脒</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GB/T23584、GB/T20769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啶酰菌胺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动物源性成分鉴定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SN/T2978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源性成分及转基因</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豆蔻酸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毒杀芬</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YC/T180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毒死蜱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GB23200.8、NY/T761、SN/T2158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对羟基苯甲酸丙酯及其钠盐（以对羟基苯甲酸计）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GB5009.31、SN/T3545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对羟基苯甲酸酯类及其钠盐（对羟基苯甲酸甲酯钠,对羟基苯甲酸乙酯及其钠盐）（以对羟基苯甲酸计）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GB5009.31、SN/T3545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多菌灵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GB/T20769、NY/T1453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多氯联苯（以PCB28、PCB52、PCB101、PCB118、PCB138、PCB153和PCB180总和计）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GB5009.190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多西环素（强力霉素）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噁喹酸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GB/T23198、农业部1077号公告-1-2008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噁霜灵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噁唑菌酮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恩诺沙星（以恩诺沙星与环丙沙星之和计）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二丁基羟基甲苯（BHT）</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二甲戊灵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GB23200.8、NY/T1379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二十二碳二烯酸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二十二碳六烯酸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二十二碳六烯酸与二十碳四烯酸的比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二十二碳六烯酸与总脂肪酸比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二十四碳一烯酸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二十四烷酸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二十碳四烯酸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二十碳四烯酸与总脂肪酸比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二十碳五烯酸与二十二碳六烯酸的比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二十碳烯酸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二氧化硫</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二氧化钛</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ICP-MS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二氧化碳气容量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GB/T10792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伐地那非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反式脂肪酸（C18:1T）</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反式脂肪酸（C18:2T+C18:3T）</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反式脂肪酸与总脂肪酸比值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GB5009.168、GB5413.36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反式脂肪酸最高含量与总脂肪酸比值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GB5009.168、GB5413.36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泛酸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防腐剂混合使用时各自用量占其最大使用量的比例之和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非洛地平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非糖固形物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GB/T13662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非脂乳固体</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GB5413.39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芬氟拉明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酚酞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粪链球菌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呋喃它酮代谢物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呋喃妥因代谢物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呋喃西林代谢物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呋喃唑酮代谢物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呋塞米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氟胺氰菊酯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农业部781号公告-9-2006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氟苯尼考</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GB/T22338、GB/T20756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氟苯脲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NY/T1453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氟吡甲禾灵和高效氟吡甲禾灵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氟虫腈</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SN/T1982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氟硅唑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GB23200.8、GB/T20769、GB23200.53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氟化物（以F-计）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离子色谱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氟甲喹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氟菌唑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氟铃脲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NY/T1720、GB/T20769、SN/T2152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氟罗沙星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氟氯氰菊酯和高效氟氯氰菊酯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GB/T23204、SN/T1117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氟氰戊菊酯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氟酰脲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参照GB23200.34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福美双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参照SN/T0711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腐霉利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复原乳酸度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GB5009.239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副溶血性弧菌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富马酸二甲酯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NY/T1723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钙</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GB5009.92、GB5009.268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钙磷比值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干浸出物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GB/T15038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干物质含量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格列本脲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格列吡嗪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格列波脲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格列喹酮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格列美脲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格列齐特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镉（以Cd计）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铬（以Cr计）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GB5009.123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功效/标志性成分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企业标准</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GB/T5750.6、GB5009.17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谷氨酸钠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SB/T10371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固形物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GB/T10345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癸酸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果糖和葡萄糖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过氧化苯甲酰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GB/T22325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过氧化物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GB6783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过氧化值（以脂肪计）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还原糖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GB317、GB1445、QB/T2343.2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毫莫西地那非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耗氧量（以O2计）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禾草敌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河豚毒素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GB5009.206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核苷酸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GB5413.40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红地那非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红霉素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花生二烯酸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花生一烯酸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滑石粉</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黄曲霉毒素B1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黄曲霉毒素M1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黄曲霉毒素M1或黄曲霉毒素B1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磺胺类（总量）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农业部1025号公告-23-2008、GB/T21316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灰分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挥发性酚（以苯酚计）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挥发性盐基氮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浑浊度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肌醇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GB5009.270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极性组分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薄层色谱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己酸乙酯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GB/T10345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己烯雌酚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GB/T21981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己唑醇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甲氨基阿维菌素苯甲酸盐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甲胺磷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GB/T5009.103、NY/T761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甲拌磷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甲苯氟磺胺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甲苯磺丁脲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甲砜霉素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GB/T22338、GB/T20756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甲基毒死蜱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甲基对硫磷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甲基睾丸酮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SN/T3235、GB/T21981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甲基汞（以Hg计）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LC-AFS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甲基立枯磷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甲基硫环磷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甲基硫菌灵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NY/T1680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甲基异柳磷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甲萘威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GB/T5009.145、NY/T761、GB/T20769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GB/T23376、SN/T1117、GB/T23204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甲醛</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SN/T1547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甲醛次硫酸氢钠（以甲醛计）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GB/T21126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甲霜灵和精甲霜灵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甲硝唑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GB/T21318、SN/T1928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钾</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GB5009.268、GB5009.91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碱性橙21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GB/T23496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碱性橙22</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GB/T23496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碱性橙Ⅱ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GB/T23496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碱性嫩黄</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DB33/T703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胶囊壳中的铬</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《中国药典》2015年版</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酵母</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结晶紫</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GB/T19857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芥酸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芥酸与总脂肪酸比值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界限指标-碘化物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界限指标-锂</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界限指标-偏硅酸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界限指标-溶解性总固体</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界限指标-锶</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界限指标-硒</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界限指标-游离二氧化碳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金刚烷胺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食药监食监三便函[2014]73号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金黄色葡萄球菌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精噁唑禾草灵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警示语标注（限玻璃瓶装啤酒检测）</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检查是否标注“切勿撞击，防止爆瓶”</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久效磷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酒精度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菌落总数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咖啡因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GB5009.139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卡托普利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可待因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DB31/2010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可可脂（以干物质计）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GB5009.6、GB/T20705、GB/T20706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可溶性固形物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企业标准</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克百威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克菌丹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GB23200.8、SN0654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克伦特罗</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GB/T22286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孔雀石绿</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GB/T19857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喹螨醚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GB/T23204、GB23200.13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喹乙醇代谢物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农业部1077号公告-5-2008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莱克多巴胺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GB/T22286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劳拉西泮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乐果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GB/T5009.145、NY/T761、GB/T20769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利血平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联苯肼酯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联苯菊酯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SN/T1969、GB/T23204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亮蓝</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GB5009.35、SN/T1743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邻苯二甲酸二（2-乙基）己酯（DEHP）</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GB5009.271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邻苯二甲酸二丁酯（DBP）</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GB5009.271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邻苯基苯酚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邻氯青霉素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林丹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GB/T5009.19、GB/T5009.162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林可霉素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磷胺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硫代艾地那非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GB/T5009.19、GB/T23204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硫环磷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六六六</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罗丹明B</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SN/T2430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罗通定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洛伐他汀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食药监办许[2010]114号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洛伐他汀羟酸钠盐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洛硝哒唑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GB/T21318、SN/T1928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铝的残留量（干样品,以Al计）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参照GB5009.268、GB5009.182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ICP-MS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铝的残留量（以即食海蜇中Al计）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GB5009.268、GB5009.182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ICP-MS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GB5009.44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氯苯胺灵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氯苯那敏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氯吡脲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参照GB/T20770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氯丙嗪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氯氮卓</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氯氟氰菊酯和高效氯氟氰菊酯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SN/T1117、GB/T23204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GB/T23204、SN/T1117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GB/T22338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氯美扎酮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氯氰菊酯和高效氯氰菊酯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GB/T23204、SN/T1117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氯硝西泮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氯唑磷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麻黄碱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马拉硫磷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马来酸罗格列酮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马来酸咪达唑仑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吗啡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DB31/2010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麦芽糖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螨</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GB13104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没食子酸丙酯（PG）</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霉菌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霉菌和酵母</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美伐他汀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咪鲜胺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NY/T1456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醚菊酯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参照SN/T2151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米酵菌酸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GB5009.189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嘧菌环胺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嘧菌酯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NY/T1453、SN/T1976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嘧霉胺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灭多威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NY/T761、GB23200.13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灭菌丹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GB/T20769、SN/T2320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灭线磷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灭幼脲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木焦油酸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木糖醇含量（以干基计）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GB1886.234、GB13509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那红地那非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那可丁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DB31/2010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那莫西地那非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纳他霉素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GB/T21915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GB5009.91、GB5009.268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内吸磷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能量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尼卡巴嗪残留标志物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GB29690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尼莫地平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尼群地平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尼索地平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脲酶试验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GB/T5009.183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镍（以Ni计）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柠檬黄</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柠檬酸钠含量（以干物质计）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GB1886.25、GB6782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凝冻强度（6.67%）</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GB6783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牛磺酸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牛源性成分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SN/T2557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源性成分及转基因</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纽甜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诺氟沙星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哌唑嗪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培氟沙星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硼酸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GB5009.275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硼酸盐（以B计）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七氯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铅（以Pb计）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GB5009.75、GB5009.12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羟基毫莫西地那非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羟基甲硝唑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GB/T21318、SN/T1928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羟甲基甲硝咪唑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GB/T21318、SN/T1928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羟脯氨酸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食药监食监三便函[2014]73号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嗪氨灵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参照SN0695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青藤碱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氢氯噻嗪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氢氰酸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氰化物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氰霜唑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参照GB23200.14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氰戊菊酯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氰戊菊酯和S-氰戊菊酯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庆大霉素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GB/T21323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去羟基洛伐他汀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炔螨特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NY/T1652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群勃龙</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GB/T21981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日落黄</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GB5009.35、SN/T1743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溶剂残留量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溶血性链球菌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肉豆蔻酸占总脂肪的比值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乳固体</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GB13102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乳酸菌数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乳糖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乳糖占碳水化合物总量比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瑞格列奈</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噻虫嗪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GB/T20770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噻节因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噻菌灵</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NY/T1680、GB/T20769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噻螨酮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GB23200.8、GB/T20769、GB/T23376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噻嗪酮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三甲胺氮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三聚氰胺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GB/T22388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三氯甲烷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GB/T5750.8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三氯杀螨醇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GB/T23204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三氯蔗糖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GB22255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三唑醇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三唑磷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三唑仑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三唑酮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色度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色值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GB317、GB1445、QB/T2343.2、QB/T4093、GB15108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杀虫环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GB/T5009.113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杀虫脒</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杀螟丹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杀螟硫磷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GB/T14553、GB/T5009.20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杀扑磷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GB/T14553、GB23200.8、NY/T761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杀线威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NY/T1453、SN/T0134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沙丁胺醇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GB/T22286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沙拉沙星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沙门氏菌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山梨酸及其钾盐（以山梨酸计）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山梨酸钾（以干基计）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GB1886.39、GB13736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山嵛酸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商业无菌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GB4789.26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砷（以As计）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GB5009.76、GB25591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砷盐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ICP-MS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生物苄呋菊酯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GB/T20770、SN/T2151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生物素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GB5009.259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十七碳一烯酸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十七烷酸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十四碳以下脂肪酸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嗜渗酵母计数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GB14963(附录A)</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双氟沙星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双甲脒</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农业部781号公告-8-2006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双乙酰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GB/T4928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霜霉威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水胺硫磷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GB/T5009.20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司可巴比妥</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司帕沙星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四环素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四氯化碳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GB/T5750.8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四氯硝基苯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四螨嗪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苏丹红Ⅰ</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GB/T19681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苏丹红Ⅱ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GB/T19681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苏丹红Ⅲ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GB/T19681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苏丹红Ⅳ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GB/T19681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酸度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GB5009.239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酸价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酸性橙Ⅱ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SN/T3536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酸性红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SN/T1743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酸值（KOH）</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他达拉非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碳水化合物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GB25596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糖精钠（以糖精计）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绦虫裂头蚴</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GB10136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特丁基对苯二酚（TBHQ）</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特丁硫磷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特征性含量指标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产品明示指定检验方法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涕灭威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替米考星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甜蜜素（以环己基氨基磺酸计）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GB5009.97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GB5009.90、GB5009.268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铜绿假单胞菌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透光率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GB1886.25、GB6782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土霉素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褪黑素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GB/T23377、GB5009.121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脱氧雪腐镰刀菌烯醇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维生素A</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维生素B1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维生素B12</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维生素B2</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维生素B6</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GB5009.154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维生素C</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GB5413.18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维生素D</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维生素E</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GB5009.82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维生素K1</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GB5009.158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伪伐地那非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文拉法辛</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乌洛托品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SN/T2226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无机砷（以As计）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LC-AFS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五氯酚酸钠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GB29708、GB23200.92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五氯硝基苯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GB/T5009.136、GB/T5009.19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戊菌唑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戊唑醇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西马特罗</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GB/T22286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吸虫囊蚴</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GB10136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硒</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烯草酮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烯酰吗啉</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锡（以Sn计）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苋菜红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线虫幼虫</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GB10136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相同色泽着色剂混合使用时各自用量占其最大使用量的比例之和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硝苯地平</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硝酸盐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离子色谱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硝西泮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辛伐他汀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食药监办许[2010]114号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辛硫磷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GB/T5009.102、GB/T20769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GB5009.14、GB5009.268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溴螨酯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溴氰菊酯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GB/T5009.110、GB23200.9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溴酸钾</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GB/T20188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离子色谱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溴酸盐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离子色谱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亚胺硫磷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参照GB23200.8、GB/T20770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亚硫酸盐（以SO2计）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GB5009.34</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亚麻酸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亚硝酸盐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离子色谱</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亚油酸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亚油酸供能比</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亚油酸与α-亚麻酸比值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胭脂红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烟酸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食药监办许[2010]114号</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盐酸苯乙双胍</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盐酸吡格列酮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盐酸丁二胍</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盐酸二甲双胍</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盐酸二氧丙嗪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盐酸可乐定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羊源性成分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SN/T2051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源性成分及转基因</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氧氟沙星</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GB/T21312、GB/T20366、农业部1077号公告-1-2008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氧乐果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NY/T1379、NY/T761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叶黄素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GB5009.248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叶酸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GB5413.16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依维菌素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参照GB/T22968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乙二胺四乙酸二钠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SN/T3855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乙霉威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乙酸乙酯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GB/T10345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乙烯菌核利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乙烯利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GB23200.16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乙酰磺胺酸钾（安赛蜜）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GB/T5009.140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乙酰甲胺磷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参照SN/T1950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异丙威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异菌脲</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NY/T761、NY/T1277、GB23200.8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异戊巴比妥</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抑霉唑</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GB23200.8、GB/T20769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阴离子合成洗涤剂</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GB8538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罂粟碱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DB31/2010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荧光增白物质</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NY/T1257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蝇毒磷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硬脂酸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油酸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游离矿酸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GB5009.233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游离棉酚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GB/T5009.37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诱惑红</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SN/T1743</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余氯（游离氯）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GB/T5750.11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玉米赤霉醇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玉米赤霉烯酮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GB5009.209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原麦汁浓度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GB/T4928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月桂酸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月桂酸占总脂肪的比值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杂质度</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GB5413.30</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增效醚</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扎来普隆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展青霉素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GB5009.185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赭曲霉毒素A</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蔗糖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GB5413.5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蔗糖转化酶活性</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GB/T4928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脂肪</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GB5009.6</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志贺氏菌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GB4789.5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微生物</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治螟磷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NY/T761、GB23200.8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终产品脂肪中月桂酸和肉豆蔻酸（十四烷酸）总量占总脂肪酸的比值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终产品中月桂酸和肉豆蔻酸（十四烷酸）总量占总脂肪酸的比值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重金属（以Pb计）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GB1886.245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常规理化</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559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棕榈酸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棕榈一烯酸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棕榈油酸</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GB5009.168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总汞（以Hg计）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GB5009.17</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原子荧光</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GB5009.268、GB5009.91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原子吸收</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总砷（以As计）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GB5009.11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ICP-MS</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总酸（以乙酸计）</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GB/T5009.41</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GB/T13662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GB/T10345</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滴定</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组胺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GBT5009.208</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液相</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569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左旋肉碱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GB29989</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分光光度</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佐匹克隆</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液质</w:t>
            </w: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甲基嘧啶磷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丁草胺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氟酰胺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羰基价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界限指标</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吡蚜酮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致病性微生物</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其他餐饮食品</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579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T-2毒素</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脂肪酸组成</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黄曲霉毒素（B1、B2、G1、G2）总量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氨基甲酸乙酯</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甜菊糖苷</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阿力甜</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豪莫西地那非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羟基豪莫西地那非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总蒽醌</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软胶囊壳中的铬</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589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苯丙醇胺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去甲伪麻黄碱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伪麻黄碱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甲基麻黄碱</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安非他明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甲基安非他明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分特拉明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氯卡色林</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安非他酮</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普伐他汀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氟西汀</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吲达帕胺</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苄基西布曲明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豪莫西布曲明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603</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比沙可啶</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604</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氯代西布曲明</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605</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苯扎贝特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606</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布美他尼</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607</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利莫那班</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608</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非诺贝特</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609</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奥利司他</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610</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去甲基他达拉非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611</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硫代西地那非</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612</w:t>
            </w:r>
          </w:p>
        </w:tc>
        <w:tc>
          <w:tcPr>
            <w:tcW w:w="379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铝含量</w:t>
            </w:r>
          </w:p>
        </w:tc>
        <w:tc>
          <w:tcPr>
            <w:tcW w:w="114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棕榈烯酸/总脂肪酸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亚麻酸/总脂肪酸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山嵛酸/总脂肪酸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油酸/总脂肪酸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亚油酸/总脂肪酸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(花生酸+山嵛酸)/总脂肪酸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茚虫威</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丙二醇</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洛美沙星</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4-氯苯氧乙酸钠（以4-氯苯氧乙酸计）</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吡唑醚菌酯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丙环唑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丙炔氟草胺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啶氧菌酯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多杀霉素</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629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二嗪磷</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粉唑醇</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呋虫胺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伏杀硫磷</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氟虫脲</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氟啶脲</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氟环唑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氟磺胺草醚</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金刚乙胺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腈苯唑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639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腈菌唑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抗蚜威</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利巴韦林</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联苯三唑醇</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硫线磷</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螺螨酯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氯苯嘧啶醇</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氯嘧磺隆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咪鲜胺和咪鲜胺锰盐</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109</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醚菌酯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灭蝇胺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噻虫胺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噻虫啉</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三环唑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霜霉威和霜霉威盐酸盐</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158</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特布他林</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肟菌酯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烯唑醇</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乙螨唑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莠灭净</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659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唑虫酰胺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唑螨酯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辣椒素总量（天然辣椒素、二氢辣椒素、合成辣椒素）</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多环芳烃（苯并[a]芘、苯并[a]蒽、苯并[b]荧蒽、䓛）</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乙基麦芽酚</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刚果红</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磺胺二甲嘧啶</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硫氰酸钠(以硫氰酸根计)</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蜡样芽胞杆菌</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高氯酸盐</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氯酸盐</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核桃源性成分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杏仁源性成分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花生源性成分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大豆源性成分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丙烯酰胺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唑虫酰胺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莠去津</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丙环唑</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总酸</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679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唑螨酯</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氟苯尼考胺</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高果糖淀粉糖浆</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碳-4植物糖含量</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番泻苷A</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番泻苷B</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685</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大黄素</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686</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大黄酚</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687</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氯噻嗪</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688</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伏马毒素B1，B2之和</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689</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壬基酚</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690</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双酚A</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691</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氯化钠</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692</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氯化钾</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693</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亚铁氰化钾(以亚铁氰根计)</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80</w:t>
            </w:r>
          </w:p>
        </w:tc>
        <w:tc>
          <w:tcPr>
            <w:tcW w:w="270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nil"/>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694</w:t>
            </w:r>
          </w:p>
        </w:tc>
        <w:tc>
          <w:tcPr>
            <w:tcW w:w="379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崩解时限</w:t>
            </w:r>
          </w:p>
        </w:tc>
        <w:tc>
          <w:tcPr>
            <w:tcW w:w="1148"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w:t>
            </w:r>
          </w:p>
        </w:tc>
        <w:tc>
          <w:tcPr>
            <w:tcW w:w="2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法定检测实验方法</w:t>
            </w:r>
          </w:p>
        </w:tc>
        <w:tc>
          <w:tcPr>
            <w:tcW w:w="117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auto"/>
                <w:szCs w:val="21"/>
                <w:highlight w:val="none"/>
              </w:rPr>
            </w:pPr>
          </w:p>
        </w:tc>
      </w:tr>
    </w:tbl>
    <w:p>
      <w:pPr>
        <w:rPr>
          <w:rFonts w:ascii="仿宋" w:hAnsi="仿宋" w:eastAsia="仿宋" w:cs="仿宋"/>
          <w:color w:val="auto"/>
          <w:szCs w:val="21"/>
          <w:highlight w:val="none"/>
        </w:rPr>
      </w:pPr>
    </w:p>
    <w:p>
      <w:pPr>
        <w:rPr>
          <w:rFonts w:ascii="仿宋" w:hAnsi="仿宋" w:eastAsia="仿宋" w:cs="仿宋"/>
          <w:color w:val="auto"/>
          <w:szCs w:val="21"/>
          <w:highlight w:val="none"/>
        </w:rPr>
        <w:sectPr>
          <w:footerReference r:id="rId5" w:type="default"/>
          <w:pgSz w:w="11906" w:h="16838"/>
          <w:pgMar w:top="1440" w:right="1247" w:bottom="1440" w:left="1247" w:header="283" w:footer="850" w:gutter="0"/>
          <w:pgNumType w:start="1"/>
          <w:cols w:space="0" w:num="1"/>
          <w:docGrid w:linePitch="381" w:charSpace="0"/>
        </w:sectPr>
      </w:pPr>
    </w:p>
    <w:p>
      <w:pPr>
        <w:pStyle w:val="15"/>
        <w:spacing w:line="288" w:lineRule="auto"/>
        <w:ind w:firstLine="0"/>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2.7 采购需求一览表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标项一</w:t>
      </w:r>
    </w:p>
    <w:tbl>
      <w:tblPr>
        <w:tblStyle w:val="37"/>
        <w:tblW w:w="139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60"/>
        <w:gridCol w:w="2220"/>
        <w:gridCol w:w="3760"/>
        <w:gridCol w:w="42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蔬菜制品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蔬菜制品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酱腌菜</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酱腌菜</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蔬菜干制品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蔬菜干制品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食用菌制品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干制食用菌</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腌渍食用菌</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其他蔬菜制品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其他蔬菜制品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食用油、油脂及其制品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食用植物油</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（含煎炸用油）</w:t>
            </w: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食用植物油</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（半精炼、全精炼）</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花生油</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玉米油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芝麻油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橄榄油、油橄榄果渣油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菜籽油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大豆油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食用植物调和油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其他食用植物油（半精炼、全精炼）</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煎炸过程用油（餐饮环节）</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煎炸过程用油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食用动物油脂</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食用动物油脂</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食用动物油脂</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食用油脂制品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食用油脂制品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食用油脂制品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可可及焙烤咖啡产品</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焙炒咖啡</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焙炒咖啡</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焙炒咖啡</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可可制品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可可制品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可可制品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食糖</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食糖</w:t>
            </w: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食糖</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白砂糖</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绵白糖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赤砂糖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红糖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冰糖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冰片糖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其他糖</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保健食品</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保健食品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保健食品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保健食品</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104</w:t>
            </w: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标项2：</w:t>
      </w:r>
    </w:p>
    <w:tbl>
      <w:tblPr>
        <w:tblStyle w:val="37"/>
        <w:tblW w:w="139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60"/>
        <w:gridCol w:w="2220"/>
        <w:gridCol w:w="3594"/>
        <w:gridCol w:w="439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调味品</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酱油</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酱油</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酱油</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食醋</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食醋</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食醋</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酱类</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酿造酱</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黄豆酱、甜面酱等</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调味料酒</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调味料酒</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料酒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香辛料类</w:t>
            </w: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香辛料类</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香辛料调味油</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辣椒、花椒、辣椒粉、花椒粉</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其他香辛料调味品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调味料</w:t>
            </w: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固体复合调味料</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鸡粉、鸡精调味料</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其他固体调味料</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半固体复合调味料</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蛋黄酱、沙拉酱</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坚果及籽类的泥（酱）</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辣椒酱</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火锅底料、麻辣烫底料</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其他半固体调味料</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液体复合调味料</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蚝油、虾油、鱼露</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其他液体调味料</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味精</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味精</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味精</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食盐</w:t>
            </w: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食用盐</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普通食用盐</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低钠食用盐</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风味食用盐</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特殊工艺食用盐</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食品生产加工用盐</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食品生产加工用盐</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罐头</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罐头</w:t>
            </w: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畜禽水产罐头</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畜禽肉类罐头</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水产动物类罐头</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果蔬罐头</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水果类罐头</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蔬菜类罐头</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vMerge w:val="continue"/>
            <w:vAlign w:val="center"/>
          </w:tcPr>
          <w:p>
            <w:pPr>
              <w:widowControl/>
              <w:jc w:val="left"/>
              <w:rPr>
                <w:rFonts w:ascii="仿宋" w:hAnsi="仿宋" w:eastAsia="仿宋" w:cs="仿宋"/>
                <w:color w:val="auto"/>
                <w:kern w:val="0"/>
                <w:szCs w:val="21"/>
                <w:highlight w:val="none"/>
              </w:rPr>
            </w:pP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食用菌罐头</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其他罐头</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其他罐头</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水果制品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水果制品</w:t>
            </w: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蜜饯</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蜜饯类、凉果类、果脯类、话化类、果糕类</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水果干制品</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水果干制品（含干枸杞）</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5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果酱</w:t>
            </w:r>
          </w:p>
        </w:tc>
        <w:tc>
          <w:tcPr>
            <w:tcW w:w="4394"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果酱</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专项抽检</w:t>
            </w:r>
          </w:p>
        </w:tc>
        <w:tc>
          <w:tcPr>
            <w:tcW w:w="10208" w:type="dxa"/>
            <w:gridSpan w:val="3"/>
            <w:shd w:val="clear" w:color="auto" w:fill="auto"/>
            <w:vAlign w:val="center"/>
          </w:tcPr>
          <w:p>
            <w:pPr>
              <w:widowControl/>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按每批次1700元测算，具体任务根据另行通知。</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标项3：</w:t>
      </w:r>
    </w:p>
    <w:tbl>
      <w:tblPr>
        <w:tblStyle w:val="37"/>
        <w:tblW w:w="139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60"/>
        <w:gridCol w:w="2220"/>
        <w:gridCol w:w="3760"/>
        <w:gridCol w:w="42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肉制品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预制肉制品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调理肉制品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调理肉制品（非速冻）</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腌腊肉制品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腌腊肉制品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熟肉制品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发酵肉制品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酱卤肉制品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酱卤肉制品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熟肉干制品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熟肉干制品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熏烧烤肉制品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熏烧烤肉制品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熏煮香肠火腿制品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熏煮香肠火腿制品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水产制品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水产制品</w:t>
            </w: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干制水产品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藻类干制品</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预制动物性水产干制品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盐渍水产品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盐渍鱼</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盐渍藻</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其他盐渍水产品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鱼糜制品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预制鱼糜制品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熟制动物性水产制品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熟制动物性水产制品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生食水产品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生食动物性水产品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其他水产制品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其他水产制品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速冻食品</w:t>
            </w: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速冻面米食品</w:t>
            </w: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速冻面米食品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速冻面米生制品</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速冻面米熟制品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速冻调制食品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速冻调理肉制品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速冻调理肉制品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速冻调制水产制品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速冻调制水产制品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速冻其他食品</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速冻谷物食品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速冻谷物食品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速冻蔬菜制品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速冻蔬菜制品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速冻水果制品</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速冻水果制品</w:t>
            </w:r>
          </w:p>
        </w:tc>
        <w:tc>
          <w:tcPr>
            <w:tcW w:w="1276" w:type="dxa"/>
            <w:vMerge w:val="continue"/>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标项4：</w:t>
      </w:r>
    </w:p>
    <w:tbl>
      <w:tblPr>
        <w:tblStyle w:val="37"/>
        <w:tblW w:w="13904" w:type="dxa"/>
        <w:tblInd w:w="96" w:type="dxa"/>
        <w:tblLayout w:type="fixed"/>
        <w:tblCellMar>
          <w:top w:w="0" w:type="dxa"/>
          <w:left w:w="108" w:type="dxa"/>
          <w:bottom w:w="0" w:type="dxa"/>
          <w:right w:w="108" w:type="dxa"/>
        </w:tblCellMar>
      </w:tblPr>
      <w:tblGrid>
        <w:gridCol w:w="960"/>
        <w:gridCol w:w="1460"/>
        <w:gridCol w:w="2220"/>
        <w:gridCol w:w="3760"/>
        <w:gridCol w:w="4370"/>
        <w:gridCol w:w="1134"/>
      </w:tblGrid>
      <w:tr>
        <w:tblPrEx>
          <w:tblLayout w:type="fixed"/>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方便食品</w:t>
            </w:r>
          </w:p>
        </w:tc>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方便食品</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方便面</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油炸面、非油炸面、方便米粉（米 线）、方便粉丝</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r>
      <w:tr>
        <w:tblPrEx>
          <w:tblLayout w:type="fixed"/>
          <w:tblCellMar>
            <w:top w:w="0" w:type="dxa"/>
            <w:left w:w="108" w:type="dxa"/>
            <w:bottom w:w="0" w:type="dxa"/>
            <w:right w:w="108" w:type="dxa"/>
          </w:tblCellMar>
        </w:tblPrEx>
        <w:trPr>
          <w:trHeight w:val="397"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调味面制品</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调味面制品</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其他方便食品</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方便粥、方便盒饭、冷面及其他熟制方便食品等</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炒货食品及坚果制品</w:t>
            </w:r>
          </w:p>
        </w:tc>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炒货食品及坚果制品</w:t>
            </w:r>
          </w:p>
        </w:tc>
        <w:tc>
          <w:tcPr>
            <w:tcW w:w="3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炒货食品及坚果制品（烘炒类、油炸类、其他类）</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开心果、杏仁、扁桃仁、松仁、瓜子</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326</w:t>
            </w:r>
          </w:p>
        </w:tc>
      </w:tr>
      <w:tr>
        <w:tblPrEx>
          <w:tblLayout w:type="fixed"/>
          <w:tblCellMar>
            <w:top w:w="0" w:type="dxa"/>
            <w:left w:w="108" w:type="dxa"/>
            <w:bottom w:w="0" w:type="dxa"/>
            <w:right w:w="108" w:type="dxa"/>
          </w:tblCellMar>
        </w:tblPrEx>
        <w:trPr>
          <w:trHeight w:val="397"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其他炒货食品及坚果制品</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食品添加剂</w:t>
            </w:r>
          </w:p>
        </w:tc>
        <w:tc>
          <w:tcPr>
            <w:tcW w:w="2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食品添加剂</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复配食品添加剂</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复配食品添加剂</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食品用香精</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食品用香精</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其他单一食品添加剂</w:t>
            </w: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明胶</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苯甲酸钠</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山梨酸钾</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糖精钠</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43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环己基氨基磺酸钠（又名甜蜜素）</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注：检验项目按国抽系统下发的细则为准。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标项5：</w:t>
      </w:r>
    </w:p>
    <w:tbl>
      <w:tblPr>
        <w:tblStyle w:val="37"/>
        <w:tblW w:w="13904" w:type="dxa"/>
        <w:tblInd w:w="96" w:type="dxa"/>
        <w:tblLayout w:type="fixed"/>
        <w:tblCellMar>
          <w:top w:w="0" w:type="dxa"/>
          <w:left w:w="108" w:type="dxa"/>
          <w:bottom w:w="0" w:type="dxa"/>
          <w:right w:w="108" w:type="dxa"/>
        </w:tblCellMar>
      </w:tblPr>
      <w:tblGrid>
        <w:gridCol w:w="960"/>
        <w:gridCol w:w="1460"/>
        <w:gridCol w:w="2220"/>
        <w:gridCol w:w="3760"/>
        <w:gridCol w:w="4228"/>
        <w:gridCol w:w="1276"/>
      </w:tblGrid>
      <w:tr>
        <w:tblPrEx>
          <w:tblLayout w:type="fixed"/>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w:t>
            </w:r>
          </w:p>
        </w:tc>
        <w:tc>
          <w:tcPr>
            <w:tcW w:w="2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糕点</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374</w:t>
            </w:r>
          </w:p>
        </w:tc>
      </w:tr>
      <w:tr>
        <w:tblPrEx>
          <w:tblLayout w:type="fixed"/>
          <w:tblCellMar>
            <w:top w:w="0" w:type="dxa"/>
            <w:left w:w="108" w:type="dxa"/>
            <w:bottom w:w="0" w:type="dxa"/>
            <w:right w:w="108" w:type="dxa"/>
          </w:tblCellMar>
        </w:tblPrEx>
        <w:trPr>
          <w:trHeight w:val="397"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月饼</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月饼</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397"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粽子</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粽子</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粽子</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标项6：</w:t>
      </w:r>
    </w:p>
    <w:tbl>
      <w:tblPr>
        <w:tblStyle w:val="37"/>
        <w:tblW w:w="13904" w:type="dxa"/>
        <w:tblInd w:w="96" w:type="dxa"/>
        <w:tblLayout w:type="fixed"/>
        <w:tblCellMar>
          <w:top w:w="0" w:type="dxa"/>
          <w:left w:w="108" w:type="dxa"/>
          <w:bottom w:w="0" w:type="dxa"/>
          <w:right w:w="108" w:type="dxa"/>
        </w:tblCellMar>
      </w:tblPr>
      <w:tblGrid>
        <w:gridCol w:w="960"/>
        <w:gridCol w:w="1460"/>
        <w:gridCol w:w="2220"/>
        <w:gridCol w:w="3760"/>
        <w:gridCol w:w="4228"/>
        <w:gridCol w:w="1276"/>
      </w:tblGrid>
      <w:tr>
        <w:tblPrEx>
          <w:tblLayout w:type="fixed"/>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茶叶及相关制品</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绿茶、红茶、乌龙茶、黄茶、白茶、黑茶、花茶、袋泡茶、紧压茶</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410</w:t>
            </w:r>
          </w:p>
        </w:tc>
      </w:tr>
      <w:tr>
        <w:tblPrEx>
          <w:tblLayout w:type="fixed"/>
          <w:tblCellMar>
            <w:top w:w="0" w:type="dxa"/>
            <w:left w:w="108" w:type="dxa"/>
            <w:bottom w:w="0" w:type="dxa"/>
            <w:right w:w="108" w:type="dxa"/>
          </w:tblCellMar>
        </w:tblPrEx>
        <w:trPr>
          <w:trHeight w:val="768"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含茶制品和代用茶</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含茶制品</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速溶茶类、其它含茶制品</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768"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代用茶</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代用茶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注：检验项目按国抽系统下发的2024年细则为准。杭州、宁波、温州3个地区的抽检任务。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标项7：</w:t>
      </w:r>
    </w:p>
    <w:tbl>
      <w:tblPr>
        <w:tblStyle w:val="37"/>
        <w:tblW w:w="13904" w:type="dxa"/>
        <w:tblInd w:w="96" w:type="dxa"/>
        <w:tblLayout w:type="fixed"/>
        <w:tblCellMar>
          <w:top w:w="0" w:type="dxa"/>
          <w:left w:w="108" w:type="dxa"/>
          <w:bottom w:w="0" w:type="dxa"/>
          <w:right w:w="108" w:type="dxa"/>
        </w:tblCellMar>
      </w:tblPr>
      <w:tblGrid>
        <w:gridCol w:w="960"/>
        <w:gridCol w:w="1460"/>
        <w:gridCol w:w="2220"/>
        <w:gridCol w:w="3760"/>
        <w:gridCol w:w="4228"/>
        <w:gridCol w:w="1276"/>
      </w:tblGrid>
      <w:tr>
        <w:tblPrEx>
          <w:tblLayout w:type="fixed"/>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Layout w:type="fixed"/>
          <w:tblCellMar>
            <w:top w:w="0" w:type="dxa"/>
            <w:left w:w="108" w:type="dxa"/>
            <w:bottom w:w="0" w:type="dxa"/>
            <w:right w:w="108" w:type="dxa"/>
          </w:tblCellMar>
        </w:tblPrEx>
        <w:trPr>
          <w:trHeight w:val="397" w:hRule="atLeast"/>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茶叶及相关制品</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茶叶</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绿茶、红茶、乌龙茶、黄茶、白茶、黑茶、花茶、袋泡茶、紧压茶</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410</w:t>
            </w:r>
          </w:p>
        </w:tc>
      </w:tr>
      <w:tr>
        <w:tblPrEx>
          <w:tblLayout w:type="fixed"/>
          <w:tblCellMar>
            <w:top w:w="0" w:type="dxa"/>
            <w:left w:w="108" w:type="dxa"/>
            <w:bottom w:w="0" w:type="dxa"/>
            <w:right w:w="108" w:type="dxa"/>
          </w:tblCellMar>
        </w:tblPrEx>
        <w:trPr>
          <w:trHeight w:val="768"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含茶制品和代用茶</w:t>
            </w: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含茶制品</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速溶茶类、其它含茶制品</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768"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Cs w:val="21"/>
                <w:highlight w:val="none"/>
              </w:rPr>
            </w:pPr>
          </w:p>
        </w:tc>
        <w:tc>
          <w:tcPr>
            <w:tcW w:w="3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代用茶</w:t>
            </w:r>
          </w:p>
        </w:tc>
        <w:tc>
          <w:tcPr>
            <w:tcW w:w="4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代用茶</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注：检验项目按国抽系统下发的2024年细则为准。除杭州、宁波、温州3个地区的抽检任务。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标项8：</w:t>
      </w:r>
    </w:p>
    <w:tbl>
      <w:tblPr>
        <w:tblStyle w:val="37"/>
        <w:tblW w:w="139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60"/>
        <w:gridCol w:w="2220"/>
        <w:gridCol w:w="3760"/>
        <w:gridCol w:w="42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4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食品大类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（一级）</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食品亚类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（二级）</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食品品种</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（三级）</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食品细类</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（四级）</w:t>
            </w:r>
          </w:p>
        </w:tc>
        <w:tc>
          <w:tcPr>
            <w:tcW w:w="1276"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　</w:t>
            </w:r>
          </w:p>
        </w:tc>
        <w:tc>
          <w:tcPr>
            <w:tcW w:w="14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酒类</w:t>
            </w:r>
          </w:p>
        </w:tc>
        <w:tc>
          <w:tcPr>
            <w:tcW w:w="222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蒸馏酒</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白酒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白酒、白酒(液态)、白酒(原酒)</w:t>
            </w:r>
          </w:p>
        </w:tc>
        <w:tc>
          <w:tcPr>
            <w:tcW w:w="1276"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发酵酒</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黄酒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啤酒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啤酒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葡萄酒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葡萄酒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果酒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其他酒</w:t>
            </w: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其他发酵酒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其他发酵酒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restart"/>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配制酒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以蒸馏酒及食用酒精为酒基的配制酒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vMerge w:val="continue"/>
            <w:vAlign w:val="center"/>
          </w:tcPr>
          <w:p>
            <w:pPr>
              <w:widowControl/>
              <w:jc w:val="left"/>
              <w:rPr>
                <w:rFonts w:ascii="仿宋" w:hAnsi="仿宋" w:eastAsia="仿宋" w:cs="仿宋"/>
                <w:color w:val="auto"/>
                <w:kern w:val="0"/>
                <w:szCs w:val="21"/>
                <w:highlight w:val="none"/>
              </w:rPr>
            </w:pP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以发酵酒为酒基的配制酒</w:t>
            </w:r>
          </w:p>
        </w:tc>
        <w:tc>
          <w:tcPr>
            <w:tcW w:w="1276" w:type="dxa"/>
            <w:vMerge w:val="continue"/>
            <w:vAlign w:val="center"/>
          </w:tcPr>
          <w:p>
            <w:pPr>
              <w:widowControl/>
              <w:jc w:val="left"/>
              <w:rPr>
                <w:rFonts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0" w:type="dxa"/>
            <w:vMerge w:val="continue"/>
            <w:vAlign w:val="center"/>
          </w:tcPr>
          <w:p>
            <w:pPr>
              <w:widowControl/>
              <w:jc w:val="left"/>
              <w:rPr>
                <w:rFonts w:ascii="仿宋" w:hAnsi="仿宋" w:eastAsia="仿宋" w:cs="仿宋"/>
                <w:color w:val="auto"/>
                <w:kern w:val="0"/>
                <w:szCs w:val="21"/>
                <w:highlight w:val="none"/>
              </w:rPr>
            </w:pPr>
          </w:p>
        </w:tc>
        <w:tc>
          <w:tcPr>
            <w:tcW w:w="1460" w:type="dxa"/>
            <w:vMerge w:val="continue"/>
            <w:vAlign w:val="center"/>
          </w:tcPr>
          <w:p>
            <w:pPr>
              <w:widowControl/>
              <w:jc w:val="left"/>
              <w:rPr>
                <w:rFonts w:ascii="仿宋" w:hAnsi="仿宋" w:eastAsia="仿宋" w:cs="仿宋"/>
                <w:color w:val="auto"/>
                <w:kern w:val="0"/>
                <w:szCs w:val="21"/>
                <w:highlight w:val="none"/>
              </w:rPr>
            </w:pPr>
          </w:p>
        </w:tc>
        <w:tc>
          <w:tcPr>
            <w:tcW w:w="2220" w:type="dxa"/>
            <w:vMerge w:val="continue"/>
            <w:vAlign w:val="center"/>
          </w:tcPr>
          <w:p>
            <w:pPr>
              <w:widowControl/>
              <w:jc w:val="left"/>
              <w:rPr>
                <w:rFonts w:ascii="仿宋" w:hAnsi="仿宋" w:eastAsia="仿宋" w:cs="仿宋"/>
                <w:color w:val="auto"/>
                <w:kern w:val="0"/>
                <w:szCs w:val="21"/>
                <w:highlight w:val="none"/>
              </w:rPr>
            </w:pPr>
          </w:p>
        </w:tc>
        <w:tc>
          <w:tcPr>
            <w:tcW w:w="3760"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其他蒸馏酒</w:t>
            </w:r>
          </w:p>
        </w:tc>
        <w:tc>
          <w:tcPr>
            <w:tcW w:w="4228"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其他蒸馏酒</w:t>
            </w:r>
          </w:p>
        </w:tc>
        <w:tc>
          <w:tcPr>
            <w:tcW w:w="1276" w:type="dxa"/>
            <w:vMerge w:val="continue"/>
            <w:vAlign w:val="center"/>
          </w:tcPr>
          <w:p>
            <w:pPr>
              <w:widowControl/>
              <w:jc w:val="left"/>
              <w:rPr>
                <w:rFonts w:ascii="仿宋" w:hAnsi="仿宋" w:eastAsia="仿宋" w:cs="仿宋"/>
                <w:color w:val="auto"/>
                <w:kern w:val="0"/>
                <w:szCs w:val="21"/>
                <w:highlight w:val="none"/>
              </w:rPr>
            </w:pPr>
          </w:p>
        </w:tc>
      </w:tr>
    </w:tbl>
    <w:p>
      <w:pPr>
        <w:rPr>
          <w:rFonts w:ascii="仿宋" w:hAnsi="仿宋" w:eastAsia="仿宋" w:cs="仿宋"/>
          <w:b/>
          <w:color w:val="auto"/>
          <w:sz w:val="32"/>
          <w:szCs w:val="32"/>
          <w:highlight w:val="none"/>
        </w:rPr>
      </w:pPr>
      <w:r>
        <w:rPr>
          <w:rFonts w:hint="eastAsia" w:ascii="仿宋" w:hAnsi="仿宋" w:eastAsia="仿宋" w:cs="仿宋"/>
          <w:color w:val="auto"/>
          <w:szCs w:val="21"/>
          <w:highlight w:val="none"/>
        </w:rPr>
        <w:t>注：检验项目按国抽系统下发的2024年细则为准。</w:t>
      </w:r>
    </w:p>
    <w:p>
      <w:pPr>
        <w:pStyle w:val="39"/>
        <w:rPr>
          <w:color w:val="auto"/>
          <w:highlight w:val="none"/>
        </w:rPr>
      </w:pPr>
    </w:p>
    <w:p>
      <w:pPr>
        <w:pStyle w:val="14"/>
        <w:rPr>
          <w:color w:val="auto"/>
          <w:highlight w:val="none"/>
        </w:rPr>
      </w:pPr>
      <w:r>
        <w:rPr>
          <w:rFonts w:hint="eastAsia" w:ascii="仿宋" w:hAnsi="仿宋" w:eastAsia="仿宋" w:cs="仿宋_GB2312"/>
          <w:b/>
          <w:bCs/>
          <w:color w:val="auto"/>
          <w:spacing w:val="-20"/>
          <w:kern w:val="0"/>
          <w:sz w:val="21"/>
          <w:szCs w:val="21"/>
          <w:highlight w:val="none"/>
        </w:rPr>
        <w:t>备注：由于抽检种类、区域不同，同一中标人无法保障服务进度及质量，故要求同一投标人在不同标项不能兼中，各标项推荐中标候选人或确定中标人的顺序和规则详见“第三章  投标人须知 六、评  标 （六）排序与推荐”。</w:t>
      </w:r>
    </w:p>
    <w:p>
      <w:pPr>
        <w:pStyle w:val="39"/>
        <w:rPr>
          <w:color w:val="auto"/>
          <w:highlight w:val="none"/>
        </w:rPr>
      </w:pPr>
      <w:r>
        <w:rPr>
          <w:rFonts w:hint="eastAsia"/>
          <w:color w:val="auto"/>
          <w:highlight w:val="none"/>
        </w:rPr>
        <w:t xml:space="preserve"> </w:t>
      </w:r>
    </w:p>
    <w:p>
      <w:pPr>
        <w:pStyle w:val="14"/>
        <w:rPr>
          <w:color w:val="auto"/>
          <w:highlight w:val="none"/>
        </w:rPr>
        <w:sectPr>
          <w:pgSz w:w="16838" w:h="11906" w:orient="landscape"/>
          <w:pgMar w:top="1247" w:right="1440" w:bottom="1247" w:left="1440" w:header="283" w:footer="850" w:gutter="0"/>
          <w:cols w:space="0" w:num="1"/>
          <w:docGrid w:linePitch="381" w:charSpace="0"/>
        </w:sectPr>
      </w:pP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37"/>
        <w:tblW w:w="9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494"/>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433"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一、1</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433" w:type="dxa"/>
            <w:vAlign w:val="center"/>
          </w:tcPr>
          <w:p>
            <w:pP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本招标文件适用于浙江省市场监督管理局</w:t>
            </w:r>
            <w:r>
              <w:rPr>
                <w:rFonts w:hint="eastAsia" w:ascii="仿宋" w:hAnsi="仿宋" w:eastAsia="仿宋" w:cs="仿宋"/>
                <w:color w:val="auto"/>
                <w:sz w:val="18"/>
                <w:szCs w:val="18"/>
                <w:highlight w:val="none"/>
                <w:lang w:eastAsia="zh-CN"/>
              </w:rPr>
              <w:t>2024年食品安全抽检监测项目（国抽）</w:t>
            </w:r>
            <w:r>
              <w:rPr>
                <w:rFonts w:hint="eastAsia" w:ascii="仿宋" w:hAnsi="仿宋" w:eastAsia="仿宋" w:cs="仿宋"/>
                <w:color w:val="auto"/>
                <w:sz w:val="18"/>
                <w:szCs w:val="18"/>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一、3</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7433" w:type="dxa"/>
            <w:vAlign w:val="center"/>
          </w:tcPr>
          <w:p>
            <w:pP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一、4</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7433" w:type="dxa"/>
            <w:vAlign w:val="center"/>
          </w:tcPr>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4.1 不论投标结果如何，投标人均应自行承担所有与投标有关的全部费用；</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4.2 中标人在中标通知书发出之日起七个工作日内向采购代理机构交纳代理服务费；</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 xml:space="preserve">4.4 </w:t>
            </w:r>
            <w:r>
              <w:rPr>
                <w:rFonts w:hint="eastAsia" w:ascii="仿宋" w:hAnsi="仿宋" w:eastAsia="仿宋" w:cs="仿宋"/>
                <w:color w:val="auto"/>
                <w:spacing w:val="-6"/>
                <w:sz w:val="18"/>
                <w:szCs w:val="18"/>
                <w:highlight w:val="none"/>
              </w:rPr>
              <w:t>收费标准（差额累进）：</w:t>
            </w:r>
          </w:p>
          <w:tbl>
            <w:tblPr>
              <w:tblStyle w:val="37"/>
              <w:tblW w:w="64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63"/>
              <w:gridCol w:w="42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63" w:type="dxa"/>
                  <w:tcMar>
                    <w:top w:w="0" w:type="dxa"/>
                    <w:left w:w="108" w:type="dxa"/>
                    <w:bottom w:w="0" w:type="dxa"/>
                    <w:right w:w="108" w:type="dxa"/>
                  </w:tcMar>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4291" w:type="dxa"/>
                  <w:tcMar>
                    <w:top w:w="0" w:type="dxa"/>
                    <w:left w:w="108" w:type="dxa"/>
                    <w:bottom w:w="0" w:type="dxa"/>
                    <w:right w:w="108" w:type="dxa"/>
                  </w:tcMar>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63" w:type="dxa"/>
                  <w:tcMar>
                    <w:top w:w="0" w:type="dxa"/>
                    <w:left w:w="108" w:type="dxa"/>
                    <w:bottom w:w="0" w:type="dxa"/>
                    <w:right w:w="108" w:type="dxa"/>
                  </w:tcMar>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4291" w:type="dxa"/>
                  <w:tcMar>
                    <w:top w:w="0" w:type="dxa"/>
                    <w:left w:w="108" w:type="dxa"/>
                    <w:bottom w:w="0" w:type="dxa"/>
                    <w:right w:w="108" w:type="dxa"/>
                  </w:tcMar>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0.9（不足壹仟伍佰元按壹仟伍佰元收取）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63" w:type="dxa"/>
                  <w:tcMar>
                    <w:top w:w="0" w:type="dxa"/>
                    <w:left w:w="108" w:type="dxa"/>
                    <w:bottom w:w="0" w:type="dxa"/>
                    <w:right w:w="108" w:type="dxa"/>
                  </w:tcMar>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100-500</w:t>
                  </w:r>
                </w:p>
              </w:tc>
              <w:tc>
                <w:tcPr>
                  <w:tcW w:w="4291" w:type="dxa"/>
                  <w:tcMar>
                    <w:top w:w="0" w:type="dxa"/>
                    <w:left w:w="108" w:type="dxa"/>
                    <w:bottom w:w="0" w:type="dxa"/>
                    <w:right w:w="108" w:type="dxa"/>
                  </w:tcMar>
                  <w:vAlign w:val="center"/>
                </w:tcPr>
                <w:p>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0.48</w:t>
                  </w:r>
                </w:p>
              </w:tc>
            </w:tr>
          </w:tbl>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4.5 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一、5</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7433" w:type="dxa"/>
            <w:vAlign w:val="center"/>
          </w:tcPr>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▲5.1 投标人代表是法定代表人（单位负责人、自然人本人）的提供本人身份证明；</w:t>
            </w:r>
          </w:p>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▲5.2 投标人代表不是法定代表人（单位负责人、自然人本人）的提供授权委托书（格式详见招标文件第六章）和授权代表社保缴纳[2023年1月（含）至今任意一月]证明；</w:t>
            </w:r>
          </w:p>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▲5.3 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一、6</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7433" w:type="dxa"/>
            <w:vAlign w:val="center"/>
          </w:tcPr>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6.1 本项目接受联合体投标；</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▲6.2 联合体投标要求</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一、7</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433" w:type="dxa"/>
            <w:vAlign w:val="center"/>
          </w:tcPr>
          <w:p>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7.1 本项目不允许转包；</w:t>
            </w:r>
          </w:p>
          <w:p>
            <w:pP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433" w:type="dxa"/>
            <w:vAlign w:val="center"/>
          </w:tcPr>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 xml:space="preserve">3）本项目的特定资格要求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五、（三）</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w:t>
            </w:r>
          </w:p>
        </w:tc>
        <w:tc>
          <w:tcPr>
            <w:tcW w:w="7433" w:type="dxa"/>
            <w:vAlign w:val="center"/>
          </w:tcPr>
          <w:p>
            <w:pPr>
              <w:pStyle w:val="105"/>
              <w:adjustRightInd w:val="0"/>
              <w:snapToGrid w:val="0"/>
              <w:spacing w:before="0" w:line="240" w:lineRule="auto"/>
              <w:ind w:firstLine="0" w:firstLineChars="0"/>
              <w:jc w:val="left"/>
              <w:rPr>
                <w:rFonts w:ascii="仿宋" w:hAnsi="仿宋" w:eastAsia="仿宋" w:cs="仿宋"/>
                <w:bCs/>
                <w:color w:val="auto"/>
                <w:kern w:val="0"/>
                <w:sz w:val="18"/>
                <w:szCs w:val="18"/>
                <w:highlight w:val="none"/>
              </w:rPr>
            </w:pPr>
            <w:r>
              <w:rPr>
                <w:rFonts w:hint="eastAsia" w:ascii="仿宋" w:hAnsi="仿宋" w:eastAsia="仿宋" w:cs="仿宋"/>
                <w:bCs/>
                <w:color w:val="auto"/>
                <w:kern w:val="0"/>
                <w:sz w:val="18"/>
                <w:szCs w:val="18"/>
                <w:highlight w:val="none"/>
              </w:rPr>
              <w:t>查询渠道及截止时间：采购代理机构将通过“信用中国”、中国政府采购网查询投标人提交投标文件截止时间当天的信用记录；</w:t>
            </w:r>
          </w:p>
          <w:p>
            <w:pPr>
              <w:pStyle w:val="105"/>
              <w:adjustRightInd w:val="0"/>
              <w:snapToGrid w:val="0"/>
              <w:spacing w:before="0" w:line="240" w:lineRule="auto"/>
              <w:ind w:firstLine="0" w:firstLineChars="0"/>
              <w:rPr>
                <w:rFonts w:ascii="仿宋" w:hAnsi="仿宋" w:eastAsia="仿宋" w:cs="仿宋"/>
                <w:bCs/>
                <w:color w:val="auto"/>
                <w:kern w:val="0"/>
                <w:sz w:val="18"/>
                <w:szCs w:val="18"/>
                <w:highlight w:val="none"/>
              </w:rPr>
            </w:pPr>
            <w:r>
              <w:rPr>
                <w:rFonts w:hint="eastAsia" w:ascii="仿宋" w:hAnsi="仿宋" w:eastAsia="仿宋" w:cs="仿宋"/>
                <w:bCs/>
                <w:color w:val="auto"/>
                <w:kern w:val="0"/>
                <w:sz w:val="18"/>
                <w:szCs w:val="18"/>
                <w:highlight w:val="none"/>
              </w:rPr>
              <w:t>查询记录和证据留存的具体方式：现场查询的投标人的信用记录、查询结果经确认后将与采购文件一起存档；</w:t>
            </w:r>
          </w:p>
          <w:p>
            <w:pPr>
              <w:pStyle w:val="105"/>
              <w:adjustRightInd w:val="0"/>
              <w:snapToGrid w:val="0"/>
              <w:spacing w:before="0" w:line="240" w:lineRule="auto"/>
              <w:ind w:firstLine="0" w:firstLineChars="0"/>
              <w:rPr>
                <w:rFonts w:ascii="仿宋" w:hAnsi="仿宋" w:eastAsia="仿宋" w:cs="仿宋"/>
                <w:color w:val="auto"/>
                <w:sz w:val="18"/>
                <w:szCs w:val="18"/>
                <w:highlight w:val="none"/>
              </w:rPr>
            </w:pPr>
            <w:r>
              <w:rPr>
                <w:rFonts w:hint="eastAsia" w:ascii="仿宋" w:hAnsi="仿宋" w:eastAsia="仿宋" w:cs="仿宋"/>
                <w:bCs/>
                <w:color w:val="auto"/>
                <w:kern w:val="0"/>
                <w:sz w:val="18"/>
                <w:szCs w:val="18"/>
                <w:highlight w:val="none"/>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三、2.4</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7433" w:type="dxa"/>
            <w:vAlign w:val="center"/>
          </w:tcPr>
          <w:p>
            <w:pPr>
              <w:adjustRightInd w:val="0"/>
              <w:snapToGrid w:val="0"/>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杭州市西湖区玉古路173号中田大厦21楼H室，浙江求是招标代理有限公司招标八部收，电话：0571-87679349，寄出后将快递单号、项目名称、标项名称、公司名称、联系方式等相关信息发至zb08@qszb.net以便查收）。</w:t>
            </w:r>
          </w:p>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三、5</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7433" w:type="dxa"/>
            <w:vAlign w:val="center"/>
          </w:tcPr>
          <w:p>
            <w:pPr>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5.1 报价应按招标文件要求的格式编制、填写报价内容（可自行增行），未按招标文件要求编制、填写的投标文件可能被拒绝；</w:t>
            </w:r>
          </w:p>
          <w:p>
            <w:pPr>
              <w:pStyle w:val="17"/>
              <w:adjustRightInd w:val="0"/>
              <w:snapToGrid w:val="0"/>
              <w:spacing w:beforeLines="0" w:afterLines="0" w:line="24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5.2 投标报价是履行合同的最终价格，包括但不限于完成本项目所需的人工、样品、材料、设备、技术、交通、税费、政策性文件规定及合同包含的所有风险、责任等各项应有费用等一切费用。除合同约定的价款外，采购人不再需向中标人支付其他任何费用</w:t>
            </w:r>
            <w:r>
              <w:rPr>
                <w:rFonts w:hint="eastAsia" w:ascii="仿宋" w:hAnsi="仿宋" w:eastAsia="仿宋" w:cs="仿宋"/>
                <w:bCs/>
                <w:color w:val="auto"/>
                <w:sz w:val="18"/>
                <w:szCs w:val="18"/>
                <w:highlight w:val="none"/>
              </w:rPr>
              <w:t>，不得出现“0元”“免费赠送”等形式的无偿报价，否则视为投标文件含有采购人不能接受的附加条件；</w:t>
            </w:r>
          </w:p>
          <w:p>
            <w:pPr>
              <w:pStyle w:val="17"/>
              <w:adjustRightInd w:val="0"/>
              <w:snapToGrid w:val="0"/>
              <w:spacing w:beforeLines="0" w:afterLines="0" w:line="240" w:lineRule="auto"/>
              <w:jc w:val="left"/>
              <w:rPr>
                <w:rFonts w:ascii="仿宋" w:hAnsi="仿宋" w:eastAsia="仿宋" w:cs="仿宋"/>
                <w:b/>
                <w:color w:val="auto"/>
                <w:sz w:val="18"/>
                <w:szCs w:val="18"/>
                <w:highlight w:val="none"/>
              </w:rPr>
            </w:pPr>
            <w:r>
              <w:rPr>
                <w:rFonts w:hint="eastAsia" w:ascii="仿宋" w:hAnsi="仿宋" w:eastAsia="仿宋" w:cs="仿宋"/>
                <w:color w:val="auto"/>
                <w:sz w:val="18"/>
                <w:szCs w:val="18"/>
                <w:highlight w:val="none"/>
              </w:rPr>
              <w:t>▲5.3 采购人将以合同形式有偿取得服务，不接受投标人给予的赠品、回扣或者与采购无关的其他商品、服务。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三、6</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7433" w:type="dxa"/>
            <w:vAlign w:val="center"/>
          </w:tcPr>
          <w:p>
            <w:pPr>
              <w:adjustRightInd w:val="0"/>
              <w:snapToGrid w:val="0"/>
              <w:jc w:val="left"/>
              <w:rPr>
                <w:rFonts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评标方法及评标标准</w:t>
            </w:r>
          </w:p>
        </w:tc>
        <w:tc>
          <w:tcPr>
            <w:tcW w:w="7433" w:type="dxa"/>
            <w:vAlign w:val="center"/>
          </w:tcPr>
          <w:p>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七、1.3</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7433" w:type="dxa"/>
            <w:vAlign w:val="center"/>
          </w:tcPr>
          <w:p>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七、2.1</w:t>
            </w:r>
          </w:p>
        </w:tc>
        <w:tc>
          <w:tcPr>
            <w:tcW w:w="1494" w:type="dxa"/>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433" w:type="dxa"/>
            <w:vAlign w:val="center"/>
          </w:tcPr>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3"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3"/>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本招标文件适用于浙江省市场监督管理局</w:t>
      </w:r>
      <w:r>
        <w:rPr>
          <w:rFonts w:hint="eastAsia" w:ascii="仿宋" w:hAnsi="仿宋" w:eastAsia="仿宋" w:cs="仿宋"/>
          <w:color w:val="auto"/>
          <w:spacing w:val="-6"/>
          <w:szCs w:val="21"/>
          <w:highlight w:val="none"/>
          <w:lang w:eastAsia="zh-CN"/>
        </w:rPr>
        <w:t>2024年食品安全抽检监测项目（国抽）</w:t>
      </w:r>
      <w:r>
        <w:rPr>
          <w:rFonts w:hint="eastAsia" w:ascii="仿宋" w:hAnsi="仿宋" w:eastAsia="仿宋" w:cs="仿宋"/>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“采购人”系指浙江省市场监督管理局；</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2.3 “投标人”系指响应招标、参加投标竞争的法人、其他组织或者自然人；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2.4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2.5 “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4"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文件中提供《业务专用章使用说明函》（附件1）]，</w:t>
      </w:r>
      <w:r>
        <w:rPr>
          <w:rFonts w:hint="eastAsia" w:ascii="仿宋" w:hAnsi="仿宋" w:eastAsia="仿宋" w:cs="仿宋"/>
          <w:b/>
          <w:bCs/>
          <w:color w:val="auto"/>
          <w:spacing w:val="-6"/>
          <w:szCs w:val="21"/>
          <w:highlight w:val="none"/>
        </w:rPr>
        <w:t>招标文件对投标文件签署、盖章的要求适用于电子签名；</w:t>
      </w:r>
    </w:p>
    <w:bookmarkEnd w:id="34"/>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2.6 “▲”系指实质性要求条款，投标人应当做出实质性响应。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3.招标方式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4.投标费用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4.1 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4.2 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4.3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4.4 </w:t>
      </w:r>
      <w:r>
        <w:rPr>
          <w:rFonts w:hint="eastAsia" w:ascii="仿宋" w:hAnsi="仿宋" w:eastAsia="仿宋" w:cs="仿宋"/>
          <w:color w:val="auto"/>
          <w:spacing w:val="-6"/>
          <w:szCs w:val="21"/>
          <w:highlight w:val="none"/>
        </w:rPr>
        <w:t>收费标准（差额累进）：</w:t>
      </w:r>
    </w:p>
    <w:tbl>
      <w:tblPr>
        <w:tblStyle w:val="37"/>
        <w:tblW w:w="64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16"/>
        <w:gridCol w:w="4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16" w:type="dxa"/>
            <w:tcMar>
              <w:top w:w="0" w:type="dxa"/>
              <w:left w:w="108" w:type="dxa"/>
              <w:bottom w:w="0" w:type="dxa"/>
              <w:right w:w="108"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4338" w:type="dxa"/>
            <w:tcMar>
              <w:top w:w="0" w:type="dxa"/>
              <w:left w:w="108" w:type="dxa"/>
              <w:bottom w:w="0" w:type="dxa"/>
              <w:right w:w="108"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16"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4338"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0.9（不足壹仟伍佰元按壹仟伍佰元收取）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116"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4338"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0.48</w:t>
            </w:r>
          </w:p>
        </w:tc>
      </w:tr>
    </w:tbl>
    <w:p>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4.5 投标保证金：无</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5.投标委托</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 投标人代表是法定代表人（单位负责人、自然人本人）的提供本人身份证明；</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 投标人代表不是法定代表人（单位负责人、自然人本人）的提供授权委托书（格式详见招标文件第六章）和授权代表社保缴纳[2023年1月（含）至今任意一月]证明；</w:t>
      </w:r>
    </w:p>
    <w:p>
      <w:pPr>
        <w:adjustRightInd w:val="0"/>
        <w:snapToGrid w:val="0"/>
        <w:spacing w:line="288" w:lineRule="auto"/>
        <w:ind w:firstLine="420" w:firstLineChars="200"/>
        <w:rPr>
          <w:rFonts w:ascii="仿宋" w:hAnsi="仿宋" w:eastAsia="仿宋" w:cs="仿宋"/>
          <w:color w:val="auto"/>
          <w:spacing w:val="-6"/>
          <w:szCs w:val="21"/>
          <w:highlight w:val="none"/>
        </w:rPr>
      </w:pPr>
      <w:r>
        <w:rPr>
          <w:rFonts w:hint="eastAsia" w:ascii="仿宋" w:hAnsi="仿宋" w:eastAsia="仿宋" w:cs="仿宋"/>
          <w:color w:val="auto"/>
          <w:szCs w:val="21"/>
          <w:highlight w:val="none"/>
        </w:rPr>
        <w:t>▲5.3 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6.联合体投标</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 本项目接受联合体投标；</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 联合体投标要求</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7.转包与分包</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7.1 本项目不允许转包；</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8.质疑和投诉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5" w:name="_Hlk92273406"/>
      <w:r>
        <w:rPr>
          <w:rFonts w:hint="eastAsia" w:ascii="仿宋" w:hAnsi="仿宋" w:eastAsia="仿宋" w:cs="仿宋"/>
          <w:color w:val="auto"/>
          <w:spacing w:val="-6"/>
          <w:szCs w:val="21"/>
          <w:highlight w:val="none"/>
        </w:rPr>
        <w:t>8.1 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5"/>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8.2 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8.3 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8.4 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color w:val="auto"/>
          <w:szCs w:val="21"/>
          <w:highlight w:val="none"/>
        </w:rPr>
      </w:pPr>
      <w:bookmarkStart w:id="36" w:name="_Hlk92273111"/>
      <w:bookmarkStart w:id="37" w:name="_Hlk94018492"/>
      <w:r>
        <w:rPr>
          <w:rFonts w:hint="eastAsia" w:ascii="仿宋" w:hAnsi="仿宋" w:eastAsia="仿宋" w:cs="仿宋"/>
          <w:b/>
          <w:color w:val="auto"/>
          <w:spacing w:val="-6"/>
          <w:kern w:val="0"/>
          <w:szCs w:val="21"/>
          <w:highlight w:val="none"/>
        </w:rPr>
        <w:t>9.采购项目需要落实的政府采购政策</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9.1 支持中小企业发展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在政府采购活动中，投标人提供的服务符合下列情形的，享受中小企业扶持政策：服务由中小企业承接，即提供服务的人员为中小企业依照《中华人民共和国劳动合同法》订立劳动合同的从业人员。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9.2 政府采购支持监狱企业发展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9.3 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bookmarkEnd w:id="36"/>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7"/>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1.招标文件的构成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3）投标人须知</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4）评标方法及评标标准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6）投标文件格式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7）本项目招标文件的澄清、答复、修改、补充的内容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2.招标文件的澄清与修改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adjustRightInd w:val="0"/>
        <w:snapToGrid w:val="0"/>
        <w:spacing w:line="288" w:lineRule="auto"/>
        <w:jc w:val="center"/>
        <w:outlineLvl w:val="1"/>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r>
        <w:rPr>
          <w:rFonts w:hint="eastAsia" w:ascii="仿宋" w:hAnsi="仿宋" w:eastAsia="仿宋" w:cs="仿宋"/>
          <w:b/>
          <w:color w:val="auto"/>
          <w:spacing w:val="-6"/>
          <w:sz w:val="24"/>
          <w:szCs w:val="24"/>
          <w:highlight w:val="none"/>
        </w:rPr>
        <w:t>三、投标文件编制要求</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1.投标文件的组成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8" w:name="_Hlk94018532"/>
      <w:r>
        <w:rPr>
          <w:rFonts w:hint="eastAsia" w:ascii="仿宋" w:hAnsi="仿宋" w:eastAsia="仿宋" w:cs="仿宋"/>
          <w:color w:val="auto"/>
          <w:spacing w:val="-6"/>
          <w:szCs w:val="21"/>
          <w:highlight w:val="none"/>
        </w:rPr>
        <w:t>1.1 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1.2 投标文件组成：详见“第六章  投标文件格式”目录。</w:t>
      </w:r>
    </w:p>
    <w:bookmarkEnd w:id="38"/>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2.投标文件的签署和份数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2.1 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投标文件须由投标人在规定位置</w:t>
      </w:r>
      <w:bookmarkStart w:id="39" w:name="_Hlk96329183"/>
      <w:r>
        <w:rPr>
          <w:rFonts w:hint="eastAsia" w:ascii="仿宋" w:hAnsi="仿宋" w:eastAsia="仿宋" w:cs="仿宋"/>
          <w:color w:val="auto"/>
          <w:spacing w:val="-6"/>
          <w:szCs w:val="21"/>
          <w:highlight w:val="none"/>
        </w:rPr>
        <w:t>加盖公章</w:t>
      </w:r>
      <w:bookmarkEnd w:id="39"/>
      <w:r>
        <w:rPr>
          <w:rFonts w:hint="eastAsia" w:ascii="仿宋" w:hAnsi="仿宋" w:eastAsia="仿宋" w:cs="仿宋"/>
          <w:color w:val="auto"/>
          <w:spacing w:val="-6"/>
          <w:szCs w:val="21"/>
          <w:highlight w:val="none"/>
        </w:rPr>
        <w:t>，投标人应写全称；</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2.3 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2.4 投标文件份数：</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杭州市西湖区玉古路173号中田大厦21楼H室，浙江求是招标代理有限公司招标八部收，电话：0571-87679349，寄出后将快递单号、项目名称、标项名称、公司名称、联系方式等相关信息发至zb08@qszb.net以便查收）。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3.投标文件的上传、递交、修改和撤回</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3.1 投标文件的上传、递交：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a.投标人在政府采购云平台完成电子加密投标文件的上传后，可以EMS或顺丰邮寄形式在提交投标文件截止时间前递交以介质（U盘）存储的数据电文形式的备份投标文件；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b.备份投标文件应当密封包装并在包装上标注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▲c.通过政府采购云平台成功上传的电子加密投标文件已按时解密的，备份投标文件自动失效。</w:t>
      </w:r>
      <w:bookmarkStart w:id="40" w:name="_Hlk94018616"/>
      <w:r>
        <w:rPr>
          <w:rFonts w:hint="eastAsia" w:ascii="仿宋" w:hAnsi="仿宋" w:eastAsia="仿宋" w:cs="仿宋"/>
          <w:color w:val="auto"/>
          <w:spacing w:val="-6"/>
          <w:szCs w:val="21"/>
          <w:highlight w:val="none"/>
        </w:rPr>
        <w:t>提交投标文件截止时间前仅递交备份投标文件而未将电子加密投标文件成功上传至政府采购云平台的，投标无效。</w:t>
      </w:r>
    </w:p>
    <w:bookmarkEnd w:id="40"/>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3.2 投标人因未在线参加开标而导致电子加密投标文件无法按时解密等一切后果由投标人自行承担。</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4.投标文件的语言及计量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5.投标报价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41" w:name="_Hlk94018664"/>
      <w:r>
        <w:rPr>
          <w:rFonts w:hint="eastAsia" w:ascii="仿宋" w:hAnsi="仿宋" w:eastAsia="仿宋" w:cs="仿宋"/>
          <w:color w:val="auto"/>
          <w:spacing w:val="-6"/>
          <w:szCs w:val="21"/>
          <w:highlight w:val="none"/>
        </w:rPr>
        <w:t>5.1 报价应按招标文件要求的格式编制、填写报价内容（可自行增行），未按招标文件要求编制、填写的投标文件可能被拒绝；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5.2 投标报价是履行合同的最终价格，包括但不限于完成本项目所需的人工、样品、材料、设备、技术、交通、税费、政策性文件规定及合同包含的所有风险、责任等各项应有费用等一切费用。除合同约定的价款外，采购人不再需向中标人支付其他任何费用，不得出现“0元”“免费赠送”等形式的无偿报价，否则视为投标文件含有采购人不能接受的附加条件；</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▲5.3 采购人将以合同形式有偿取得服务，不接受投标人给予的赠品、回扣或者与采购无关的其他商品、服务。</w:t>
      </w:r>
    </w:p>
    <w:bookmarkEnd w:id="41"/>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6.投标有效期</w:t>
      </w:r>
    </w:p>
    <w:p>
      <w:pPr>
        <w:pStyle w:val="17"/>
        <w:adjustRightInd w:val="0"/>
        <w:snapToGrid w:val="0"/>
        <w:spacing w:beforeLines="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pPr>
        <w:widowControl/>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（1）资格证明材料不全的或者不符合招标文件要求的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（2）投标人不具备招标文件中规定的资格要求的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2.在符合性审查、商务和技术评审时，如发现下列情形之一的，投标文件将被视为无效：</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（2）与招标文件中标“▲”的项目发生实质性偏离的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（3）未提供或未按要求提供投标函、授权委托书的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（5）服务响应负偏离≥6项的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（6）明显不符合招标文件要求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（7）投标服务方案不明确（存在一个或一个以上备选/替代投标方案）的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（8）投标文件含有采购人不能接受的附加条件的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（9）法律、法规和招标文件规定的其他无效情形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（1）报价文件未按要求签署、盖章的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（2）未按照招标文件标明的币种报价的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（4）报价超过招标文件中规定的预算金额或者最高限价、或投标折扣高于100%的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（5）报价具有选择性的</w:t>
      </w:r>
    </w:p>
    <w:p>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2"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42"/>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pPr>
        <w:adjustRightInd w:val="0"/>
        <w:snapToGrid w:val="0"/>
        <w:spacing w:line="288" w:lineRule="auto"/>
        <w:jc w:val="center"/>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 w:val="24"/>
          <w:szCs w:val="24"/>
          <w:highlight w:val="none"/>
        </w:rPr>
        <w:t>五、开  标</w:t>
      </w:r>
    </w:p>
    <w:p>
      <w:pPr>
        <w:pStyle w:val="106"/>
        <w:snapToGrid w:val="0"/>
        <w:spacing w:before="0" w:line="288" w:lineRule="auto"/>
        <w:ind w:left="0" w:firstLine="424" w:firstLineChars="201"/>
        <w:rPr>
          <w:rFonts w:ascii="仿宋" w:hAnsi="仿宋" w:eastAsia="仿宋" w:cs="仿宋"/>
          <w:color w:val="auto"/>
          <w:szCs w:val="21"/>
          <w:highlight w:val="none"/>
        </w:rPr>
      </w:pPr>
      <w:bookmarkStart w:id="43" w:name="_Hlk94018775"/>
      <w:r>
        <w:rPr>
          <w:rFonts w:hint="eastAsia" w:ascii="仿宋" w:hAnsi="仿宋" w:eastAsia="仿宋" w:cs="仿宋"/>
          <w:b/>
          <w:color w:val="auto"/>
          <w:szCs w:val="21"/>
          <w:highlight w:val="none"/>
        </w:rPr>
        <w:t>（一）开标</w:t>
      </w:r>
    </w:p>
    <w:p>
      <w:pPr>
        <w:pStyle w:val="106"/>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pPr>
        <w:pStyle w:val="106"/>
        <w:snapToGrid w:val="0"/>
        <w:spacing w:before="0" w:line="288" w:lineRule="auto"/>
        <w:ind w:left="0" w:firstLine="422" w:firstLineChars="201"/>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pPr>
        <w:pStyle w:val="105"/>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pPr>
        <w:pStyle w:val="105"/>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pPr>
        <w:pStyle w:val="105"/>
        <w:adjustRightInd w:val="0"/>
        <w:snapToGrid w:val="0"/>
        <w:spacing w:before="0" w:line="288" w:lineRule="auto"/>
        <w:ind w:firstLine="424" w:firstLineChars="201"/>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（三）信用信息</w:t>
      </w:r>
    </w:p>
    <w:p>
      <w:pPr>
        <w:pStyle w:val="105"/>
        <w:adjustRightInd w:val="0"/>
        <w:snapToGrid w:val="0"/>
        <w:spacing w:before="0" w:line="288" w:lineRule="auto"/>
        <w:ind w:firstLine="424" w:firstLineChars="201"/>
        <w:jc w:val="left"/>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查询渠道及截止时间：采购代理机构将通过“信用中国”、中国政府采购网查询投标人提交投标文件截止时间当天的信用记录；</w:t>
      </w:r>
    </w:p>
    <w:p>
      <w:pPr>
        <w:pStyle w:val="105"/>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查询记录和证据留存的具体方式：现场查询的投标人的信用记录、查询结果经确认后将与采购文件一起存档；</w:t>
      </w:r>
    </w:p>
    <w:p>
      <w:pPr>
        <w:pStyle w:val="105"/>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使用规则：经查询列入失信被执行人名单、重大税收违法案件当事人名单、政府采购严重违法失信行为记录名单的投标人将被拒绝参与政府采购活动。</w:t>
      </w:r>
    </w:p>
    <w:p>
      <w:pPr>
        <w:adjustRightInd w:val="0"/>
        <w:snapToGrid w:val="0"/>
        <w:spacing w:line="288" w:lineRule="auto"/>
        <w:ind w:firstLine="398" w:firstLineChars="200"/>
        <w:rPr>
          <w:rFonts w:ascii="仿宋" w:hAnsi="仿宋" w:eastAsia="仿宋" w:cs="仿宋"/>
          <w:b/>
          <w:bCs/>
          <w:color w:val="auto"/>
          <w:spacing w:val="-6"/>
          <w:szCs w:val="21"/>
          <w:highlight w:val="none"/>
        </w:rPr>
      </w:pPr>
    </w:p>
    <w:p>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3"/>
    <w:p>
      <w:pPr>
        <w:adjustRightInd w:val="0"/>
        <w:snapToGrid w:val="0"/>
        <w:spacing w:line="288" w:lineRule="auto"/>
        <w:jc w:val="center"/>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 w:val="24"/>
          <w:szCs w:val="24"/>
          <w:highlight w:val="none"/>
        </w:rPr>
        <w:t>六、评  标</w:t>
      </w:r>
    </w:p>
    <w:p>
      <w:pPr>
        <w:adjustRightInd w:val="0"/>
        <w:snapToGrid w:val="0"/>
        <w:spacing w:line="288" w:lineRule="auto"/>
        <w:ind w:firstLine="420" w:firstLineChars="200"/>
        <w:rPr>
          <w:rFonts w:ascii="仿宋" w:hAnsi="仿宋" w:eastAsia="仿宋" w:cs="仿宋"/>
          <w:color w:val="auto"/>
          <w:kern w:val="0"/>
          <w:szCs w:val="21"/>
          <w:highlight w:val="none"/>
        </w:rPr>
      </w:pPr>
      <w:bookmarkStart w:id="44"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4"/>
    <w:p>
      <w:pPr>
        <w:adjustRightInd w:val="0"/>
        <w:snapToGrid w:val="0"/>
        <w:spacing w:line="288" w:lineRule="auto"/>
        <w:ind w:firstLine="426" w:firstLineChars="202"/>
        <w:rPr>
          <w:rFonts w:ascii="仿宋" w:hAnsi="仿宋" w:eastAsia="仿宋" w:cs="仿宋"/>
          <w:b/>
          <w:color w:val="auto"/>
          <w:kern w:val="0"/>
          <w:szCs w:val="21"/>
          <w:highlight w:val="none"/>
        </w:rPr>
      </w:pPr>
      <w:bookmarkStart w:id="45" w:name="_Hlk94019000"/>
      <w:r>
        <w:rPr>
          <w:rFonts w:hint="eastAsia" w:ascii="仿宋" w:hAnsi="仿宋" w:eastAsia="仿宋" w:cs="仿宋"/>
          <w:b/>
          <w:color w:val="auto"/>
          <w:kern w:val="0"/>
          <w:szCs w:val="21"/>
          <w:highlight w:val="none"/>
        </w:rPr>
        <w:t>（一）符合性审查</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6" w:name="_Hlk96329302"/>
      <w:r>
        <w:rPr>
          <w:rFonts w:hint="eastAsia" w:ascii="仿宋" w:hAnsi="仿宋" w:eastAsia="仿宋" w:cs="仿宋"/>
          <w:color w:val="auto"/>
          <w:kern w:val="0"/>
          <w:sz w:val="21"/>
          <w:szCs w:val="21"/>
          <w:highlight w:val="none"/>
        </w:rPr>
        <w:t>加盖公章，或者由法定代表人或其授权的代表签名</w:t>
      </w:r>
      <w:bookmarkEnd w:id="46"/>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5"/>
        <w:adjustRightInd w:val="0"/>
        <w:snapToGrid w:val="0"/>
        <w:spacing w:before="0" w:line="288" w:lineRule="auto"/>
        <w:ind w:firstLine="426" w:firstLineChars="202"/>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pPr>
        <w:pStyle w:val="105"/>
        <w:adjustRightInd w:val="0"/>
        <w:snapToGrid w:val="0"/>
        <w:spacing w:before="0" w:line="288" w:lineRule="auto"/>
        <w:ind w:firstLine="424" w:firstLineChars="202"/>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评标办法：本项目评标办法是综合评分法，具体评标内容及评分标准等详见“第四章：评标方法及评标标准”。</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出现并列第一名时由采购人确认中标人或采购人授权评标委员会（按技术得分由高到低排序，技术得分相同的抽签）确认中标人。</w:t>
      </w:r>
    </w:p>
    <w:p>
      <w:pPr>
        <w:adjustRightInd w:val="0"/>
        <w:snapToGrid w:val="0"/>
        <w:spacing w:line="288" w:lineRule="auto"/>
        <w:ind w:firstLine="402" w:firstLineChars="202"/>
        <w:rPr>
          <w:rFonts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采用兼投兼评不兼中的方式，投标人可参加所有标项的投标、评标，但最多只能成为一个标项的中标人。即1个投标人同时为2个及以上标项排名第一的中标候选人时根据标项顺序确定其中标的标项（在剩余标项中上述投标人不作为中标候选人），剩余标项的中标人由对应标项排名第二的中标候选人递补，依此类推直至所有标项中标人产生为止。</w:t>
      </w:r>
    </w:p>
    <w:p>
      <w:pPr>
        <w:adjustRightInd w:val="0"/>
        <w:snapToGrid w:val="0"/>
        <w:spacing w:line="288" w:lineRule="auto"/>
        <w:ind w:firstLine="426" w:firstLineChars="202"/>
        <w:rPr>
          <w:rFonts w:ascii="仿宋" w:hAnsi="仿宋" w:eastAsia="仿宋" w:cs="仿宋"/>
          <w:b/>
          <w:color w:val="auto"/>
          <w:spacing w:val="-6"/>
          <w:szCs w:val="21"/>
          <w:highlight w:val="none"/>
        </w:rPr>
      </w:pPr>
      <w:r>
        <w:rPr>
          <w:rFonts w:hint="eastAsia" w:ascii="仿宋" w:hAnsi="仿宋" w:eastAsia="仿宋" w:cs="仿宋"/>
          <w:b/>
          <w:color w:val="auto"/>
          <w:kern w:val="0"/>
          <w:szCs w:val="21"/>
          <w:highlight w:val="none"/>
        </w:rPr>
        <w:t>说明：如N个（N≥2）标项排名第一的</w:t>
      </w:r>
      <w:r>
        <w:rPr>
          <w:rFonts w:hint="eastAsia" w:ascii="仿宋" w:hAnsi="仿宋" w:eastAsia="仿宋" w:cs="仿宋"/>
          <w:b/>
          <w:color w:val="auto"/>
          <w:spacing w:val="-6"/>
          <w:szCs w:val="21"/>
          <w:highlight w:val="none"/>
        </w:rPr>
        <w:t>中标候选人为同一家，则排序在后的标项有效投标人须≥N+2家（例：N=2则标项二有效投标人须≥4家、N=3则标项三有效投标人须≥5家），有效投标人不足则该标项废标。</w:t>
      </w:r>
    </w:p>
    <w:p>
      <w:pPr>
        <w:adjustRightInd w:val="0"/>
        <w:snapToGrid w:val="0"/>
        <w:spacing w:line="288" w:lineRule="auto"/>
        <w:ind w:firstLine="426" w:firstLineChars="202"/>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pPr>
        <w:adjustRightInd w:val="0"/>
        <w:snapToGrid w:val="0"/>
        <w:spacing w:line="288" w:lineRule="auto"/>
        <w:ind w:firstLine="424" w:firstLineChars="202"/>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5"/>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pPr>
        <w:adjustRightInd w:val="0"/>
        <w:snapToGrid w:val="0"/>
        <w:spacing w:line="288"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1.中标</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1.1 采购代理机构自评标结束之日起2个工作日内将评标报告送交采购人。采购人收到评标报告之日起5个工作日内在评标报告推荐的中标候选人中按顺序确定中标人，也可以书面授权评标委员会直接确定中标人；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1.2 采购代理机构自中标人确定之日起2个工作日内，公告中标结果，并发出中标通知书；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1.3 </w:t>
      </w:r>
      <w:r>
        <w:rPr>
          <w:rFonts w:hint="eastAsia" w:ascii="仿宋" w:hAnsi="仿宋" w:eastAsia="仿宋" w:cs="仿宋"/>
          <w:color w:val="auto"/>
          <w:szCs w:val="21"/>
          <w:highlight w:val="none"/>
        </w:rPr>
        <w:t>评标结果公示媒体：浙江政府采购网。</w:t>
      </w:r>
    </w:p>
    <w:p>
      <w:pPr>
        <w:adjustRightInd w:val="0"/>
        <w:snapToGrid w:val="0"/>
        <w:spacing w:line="288"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评标方法及评标标准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color w:val="auto"/>
          <w:spacing w:val="-6"/>
          <w:szCs w:val="21"/>
          <w:highlight w:val="none"/>
        </w:rPr>
      </w:pPr>
      <w:bookmarkStart w:id="49" w:name="_GoBack"/>
      <w:bookmarkEnd w:id="49"/>
      <w:r>
        <w:rPr>
          <w:rFonts w:hint="eastAsia" w:ascii="仿宋" w:hAnsi="仿宋" w:eastAsia="仿宋" w:cs="仿宋"/>
          <w:b/>
          <w:color w:val="auto"/>
          <w:spacing w:val="-6"/>
          <w:szCs w:val="21"/>
          <w:highlight w:val="none"/>
        </w:rPr>
        <w:t>二、评标标准</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55"/>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55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10</w:t>
            </w:r>
          </w:p>
        </w:tc>
        <w:tc>
          <w:tcPr>
            <w:tcW w:w="75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投标人自2022年1月1日以来（以任务书下发或合同签订时间为准）与食品安全抽检监测服务业绩（最高1分）：0.2分/份（以提供的任务委托书或合同扫描件为准）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服务能力</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[客观分]实验室服务能力</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1.投标人实验室通过CNAS认可：2分（以提供的相关证明材料为准）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2.投标人实验室自2021年1月1日以来参与国际相关机构组织的食品检测项目实验室比对情况获得的满意结果（最高2分）：1分/份</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3.投标人实验室自2021年1月1日以来参与国内相关机构组织的食品检测项目实验室比对情况获得的满意结果（最高2分）：0.5分/份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12</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投标人食品检验能力满足《国家食品安全监督抽检实施细则（2023版）》中食品类别、细类所涉及的全部检测项目及相对应检验方法得12分：每缺1项，扣0.2分，扣完12分为止。</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注：①提供CMA（CMAF）资质附表复印件，并标注页码；②按招标文件要求，对照《国家食品安全监督抽检实施细则（2023版）》编制CMA（CMAF）资质覆盖率（缺项统计表），每个单项需指明在CMA（CMAF）资质附表中的页码，便于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投标人食品复检能力：2分（以提供的相关证明材料为准）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b/>
                <w:bCs/>
                <w:color w:val="auto"/>
                <w:sz w:val="18"/>
                <w:szCs w:val="18"/>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服务响应</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18</w:t>
            </w:r>
          </w:p>
        </w:tc>
        <w:tc>
          <w:tcPr>
            <w:tcW w:w="7552" w:type="dxa"/>
            <w:vAlign w:val="center"/>
          </w:tcPr>
          <w:p>
            <w:pPr>
              <w:rPr>
                <w:rFonts w:ascii="仿宋" w:hAnsi="仿宋" w:eastAsia="仿宋" w:cs="仿宋"/>
                <w:b/>
                <w:bCs/>
                <w:color w:val="auto"/>
                <w:sz w:val="18"/>
                <w:szCs w:val="18"/>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满足或明显优于招标文件明确的全部服务条款要求得18分，低于服务要求（负偏离）扣3分/项（18分起扣），负偏离≥6项投标无效。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检测场地</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食品检测场地实验室面积：≥5000㎡3分、[3000,5000）㎡2分、[1000,3000）㎡1分、＜1000㎡0分</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注：提供房产证或长期房屋租赁合同等证明文件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承诺取得样品后进入投标人实验室的时间不超过4小时：2分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样品仓库</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1.独立的样品仓库并具有有温、湿度控制和电子信息记录：1分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2.具备冷藏及冷冻食品保存专用冷库情况：同具备自建冷藏及冷冻食品保存专用冷库2分、仅具备自建冷藏或冷冻食品保存专用冷库1分、无自建冷藏或冷冻食品保存专用冷库的0分</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注：以提供照片等证明材料为评分依据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数字化阳光实验室服务能力（以提供的清单、照片、数字化建设等相关证明材料）：专业、全面、针对采购需求及实际特点、有利于采购标的实现及合同履约（评分范围：3,2,1,0）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设备配置</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检测设备</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检测设备在计量检定（校准）有效期内、设备信息完整并能覆盖所承担项目需要及满足大批量样品检测需要：2分（以提供的设备清单、照片、购置合同或购置发票、校准报告、检定证书等相关证明材料为准）</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实验室检验情况记录仪器配备适用性、先进性：最高3分（以提供的设备清单、照片、购置合同或购置发票等相关证明材料为准）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查证抽样车辆、取证设备投入情况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食品采样车辆（最高2分）：0.2分/辆（以提供车辆照片、车辆行驶证、租赁合同（购置合同）或购置发票等相关证明材料为准）</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冷藏（冻）运输车（最高1分）：0.5分/辆（以提供车辆照片、车辆行驶证、租赁合同（购置合同）或购置发票等相关证明材料为准）</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现场采集摄像信息记录执法仪的（最高1分）：0.1分/台（以提供的设备照片及租赁合同（购置合同）或购置发票等相关证明材料为评分依据）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服务方案</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项目背景及目标理解分析：全面充分、针对采购需求及实际特点（评分范围：2,1,0）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整体工作阶段及进度控制方案：合理、针对采购需求及实际特点、有利于采购标的实现及合同履约（评分范围：2,1,0）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关键时间节点把握：准确、针对采购需求及实际特点、有利于采购标的实现及合同履约（评分范围：2,1,0）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抽样服务方案：专业、全面、针对采购需求及实际特点、有利于采购标的实现及合同履约（评分范围：2,1,0）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制样服务方案：专业、全面、针对采购需求及实际特点、有利于采购标的实现及合同履约（评分范围：2,1,0）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检验服务方案：专业、全面、针对采购需求及实际特点、有利于采购标的实现及合同履约（评分范围：2,1,0）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审核服务方案：专业、全面、针对采购需求及实际特点、有利于采购标的实现及合同履约（评分范围：2,1,0）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批准服务方案：专业、全面、针对采购需求及实际特点、有利于采购标的实现及合同履约（评分范围：2,1,0）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3</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质量控制措施（包括实验室内部检测全过程、项目覆盖率、样品覆盖率控制）：专业、全面、针对采购需求及实际特点、有利于采购标的实现及合同履约（评分范围：3,2,1,0）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应急预案（包含食品安全事件、自然灾害、运输车辆遭遇堵车或车祸等）：专业、全面、针对采购需求及实际特点、有利于采购标的实现及合同履约（评分范围：3,2,1,0）抽样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restart"/>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服务团队</w:t>
            </w: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项目负责人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1.检验工作经历（以提供的工作年限证明或说明或相关合同等证明材料为准）：＜3年0分、[3,5)年0.5分、≥5年1分</w:t>
            </w:r>
          </w:p>
          <w:p>
            <w:pPr>
              <w:rPr>
                <w:rFonts w:ascii="宋体" w:hAnsi="宋体" w:cs="宋体"/>
                <w:color w:val="auto"/>
                <w:sz w:val="18"/>
                <w:szCs w:val="18"/>
                <w:highlight w:val="none"/>
              </w:rPr>
            </w:pPr>
            <w:r>
              <w:rPr>
                <w:rFonts w:hint="eastAsia" w:ascii="仿宋" w:hAnsi="仿宋" w:eastAsia="仿宋" w:cs="仿宋"/>
                <w:color w:val="auto"/>
                <w:szCs w:val="21"/>
                <w:highlight w:val="none"/>
              </w:rPr>
              <w:t>2.项目实施食品相关专业技术职称（以提供的职称证书扫描件为准）：副高级0.5分、正高级1分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主要技术人员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1.检验工作经历≥5年（最高1分）（以提供的工作年限证明或说明或相关合同等证明材料为准）：0.2分/人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2.项目实施食品相关专业技术副高及以上职称（最高1分）（以提供的职称证书扫描件为准）：0.2分/人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1.5</w:t>
            </w:r>
          </w:p>
        </w:tc>
        <w:tc>
          <w:tcPr>
            <w:tcW w:w="7552" w:type="dxa"/>
            <w:vAlign w:val="center"/>
          </w:tcPr>
          <w:p>
            <w:pPr>
              <w:rPr>
                <w:rFonts w:ascii="宋体" w:hAnsi="宋体" w:cs="宋体"/>
                <w:color w:val="auto"/>
                <w:sz w:val="18"/>
                <w:szCs w:val="18"/>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客观</w:t>
            </w:r>
            <w:r>
              <w:rPr>
                <w:rFonts w:hint="eastAsia" w:ascii="仿宋" w:hAnsi="仿宋" w:eastAsia="仿宋" w:cs="仿宋"/>
                <w:b/>
                <w:bCs/>
                <w:color w:val="auto"/>
                <w:szCs w:val="21"/>
                <w:highlight w:val="none"/>
              </w:rPr>
              <w:t>分]</w:t>
            </w:r>
            <w:r>
              <w:rPr>
                <w:rFonts w:hint="eastAsia" w:ascii="仿宋" w:hAnsi="仿宋" w:eastAsia="仿宋" w:cs="仿宋"/>
                <w:color w:val="auto"/>
                <w:szCs w:val="21"/>
                <w:highlight w:val="none"/>
              </w:rPr>
              <w:t>一线检测人员检验工作经验≥3年（最高1.5分）（以提供的工作年限证明或说明或相关合同等证明材料为准）：0.1分/人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1.5</w:t>
            </w:r>
          </w:p>
        </w:tc>
        <w:tc>
          <w:tcPr>
            <w:tcW w:w="7552"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客观</w:t>
            </w:r>
            <w:r>
              <w:rPr>
                <w:rFonts w:hint="eastAsia" w:ascii="仿宋" w:hAnsi="仿宋" w:eastAsia="仿宋" w:cs="仿宋"/>
                <w:b/>
                <w:bCs/>
                <w:color w:val="auto"/>
                <w:szCs w:val="21"/>
                <w:highlight w:val="none"/>
              </w:rPr>
              <w:t>分]</w:t>
            </w:r>
            <w:r>
              <w:rPr>
                <w:rFonts w:hint="eastAsia" w:ascii="仿宋" w:hAnsi="仿宋" w:eastAsia="仿宋" w:cs="仿宋"/>
                <w:color w:val="auto"/>
                <w:szCs w:val="21"/>
                <w:highlight w:val="none"/>
              </w:rPr>
              <w:t>专职抽样人员抽样工作经验≥1年（最高1.5分）（以提供的工作年限证明或说明或相关合同等证明材料为准）：0.1分/人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21" w:type="dxa"/>
            <w:vMerge w:val="continue"/>
            <w:vAlign w:val="center"/>
          </w:tcPr>
          <w:p>
            <w:pPr>
              <w:jc w:val="center"/>
              <w:rPr>
                <w:rFonts w:ascii="仿宋" w:hAnsi="仿宋" w:eastAsia="仿宋" w:cs="仿宋"/>
                <w:b/>
                <w:bCs/>
                <w:color w:val="auto"/>
                <w:szCs w:val="21"/>
                <w:highlight w:val="none"/>
              </w:rPr>
            </w:pPr>
          </w:p>
        </w:tc>
        <w:tc>
          <w:tcPr>
            <w:tcW w:w="65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552" w:type="dxa"/>
            <w:vAlign w:val="center"/>
          </w:tcPr>
          <w:p>
            <w:pPr>
              <w:rPr>
                <w:rFonts w:ascii="宋体" w:hAnsi="宋体" w:cs="宋体"/>
                <w:color w:val="auto"/>
                <w:sz w:val="18"/>
                <w:szCs w:val="18"/>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服务团队人员职责与分工：明确、针对采购需求及实际特点、有利于采购标的实现及合同履约（评分范围：2,1,0）</w:t>
            </w:r>
          </w:p>
        </w:tc>
      </w:tr>
    </w:tbl>
    <w:p>
      <w:pPr>
        <w:adjustRightInd w:val="0"/>
        <w:snapToGrid w:val="0"/>
        <w:spacing w:line="288" w:lineRule="auto"/>
        <w:jc w:val="left"/>
        <w:rPr>
          <w:rFonts w:ascii="仿宋" w:hAnsi="仿宋" w:eastAsia="仿宋" w:cs="仿宋"/>
          <w:b/>
          <w:color w:val="auto"/>
          <w:sz w:val="18"/>
          <w:szCs w:val="18"/>
          <w:highlight w:val="none"/>
        </w:rPr>
      </w:pPr>
    </w:p>
    <w:p>
      <w:pPr>
        <w:adjustRightInd w:val="0"/>
        <w:snapToGrid w:val="0"/>
        <w:spacing w:line="288" w:lineRule="auto"/>
        <w:jc w:val="left"/>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pPr>
        <w:adjustRightInd w:val="0"/>
        <w:snapToGrid w:val="0"/>
        <w:spacing w:line="288" w:lineRule="auto"/>
        <w:jc w:val="left"/>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根据《政府采购促进中小企业发展管理办法》（财库[2020]46号）、《关于进一步加大政府采购支持中小企业力度的通知》（财库[2022]19号）的规定，对符合规定的小微企业报价给予10%的扣除后计算价格得分（联合协议或者分包意向协议约定小微企业的合同份额占到合同总金额30%以上的给予4%的扣除）;</w:t>
      </w:r>
    </w:p>
    <w:p>
      <w:pPr>
        <w:adjustRightInd w:val="0"/>
        <w:snapToGrid w:val="0"/>
        <w:spacing w:line="288" w:lineRule="auto"/>
        <w:rPr>
          <w:rFonts w:ascii="仿宋" w:hAnsi="仿宋" w:eastAsia="仿宋" w:cs="仿宋"/>
          <w:b/>
          <w:bCs/>
          <w:color w:val="auto"/>
          <w:spacing w:val="-6"/>
          <w:sz w:val="18"/>
          <w:szCs w:val="18"/>
          <w:highlight w:val="none"/>
        </w:rPr>
      </w:pPr>
      <w:bookmarkStart w:id="47" w:name="_Hlk81817373"/>
      <w:r>
        <w:rPr>
          <w:rFonts w:hint="eastAsia" w:ascii="仿宋" w:hAnsi="仿宋" w:eastAsia="仿宋" w:cs="仿宋"/>
          <w:b/>
          <w:bCs/>
          <w:color w:val="auto"/>
          <w:spacing w:val="-6"/>
          <w:sz w:val="18"/>
          <w:szCs w:val="18"/>
          <w:highlight w:val="none"/>
        </w:rPr>
        <w:t>2.根据《关于政府采购支持监狱企业发展有关问题的通知》（财库[2014]68号）的规定，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47"/>
    <w:p>
      <w:pPr>
        <w:adjustRightInd w:val="0"/>
        <w:snapToGrid w:val="0"/>
        <w:spacing w:line="288" w:lineRule="auto"/>
        <w:rPr>
          <w:rFonts w:ascii="仿宋" w:hAnsi="仿宋" w:eastAsia="仿宋" w:cs="仿宋"/>
          <w:b/>
          <w:color w:val="auto"/>
          <w:spacing w:val="-6"/>
          <w:szCs w:val="21"/>
          <w:highlight w:val="none"/>
        </w:rPr>
      </w:pPr>
      <w:r>
        <w:rPr>
          <w:rFonts w:hint="eastAsia" w:ascii="仿宋" w:hAnsi="仿宋" w:eastAsia="仿宋" w:cs="仿宋"/>
          <w:b/>
          <w:bCs/>
          <w:color w:val="auto"/>
          <w:spacing w:val="-6"/>
          <w:sz w:val="18"/>
          <w:szCs w:val="18"/>
          <w:highlight w:val="none"/>
        </w:rPr>
        <w:t>3.根据《关于促进残疾人就业政府采购政策的通知》（财库[2017]141号）的规定，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p>
    <w:p>
      <w:pPr>
        <w:adjustRightInd w:val="0"/>
        <w:snapToGrid w:val="0"/>
        <w:spacing w:line="288"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jc w:val="center"/>
        <w:outlineLvl w:val="0"/>
        <w:rPr>
          <w:rFonts w:ascii="仿宋" w:hAnsi="仿宋" w:eastAsia="仿宋" w:cs="仿宋"/>
          <w:color w:val="auto"/>
          <w:kern w:val="0"/>
          <w:sz w:val="24"/>
          <w:szCs w:val="24"/>
          <w:highlight w:val="none"/>
        </w:rPr>
      </w:pPr>
      <w:r>
        <w:rPr>
          <w:rFonts w:hint="eastAsia" w:ascii="仿宋" w:hAnsi="仿宋" w:eastAsia="仿宋" w:cs="仿宋"/>
          <w:b/>
          <w:color w:val="auto"/>
          <w:sz w:val="32"/>
          <w:szCs w:val="32"/>
          <w:highlight w:val="none"/>
        </w:rPr>
        <w:t>第五章  拟签订的合同文本</w:t>
      </w:r>
    </w:p>
    <w:p>
      <w:pPr>
        <w:spacing w:line="288" w:lineRule="auto"/>
        <w:jc w:val="center"/>
        <w:outlineLvl w:val="1"/>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浙江省市场监督管理局采购合同</w:t>
      </w:r>
    </w:p>
    <w:p>
      <w:pP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（本合同为合同样稿，最终稿由双方协商后确定，合同实质性内容不得更改；签订合同时删除此行）</w:t>
      </w:r>
    </w:p>
    <w:p>
      <w:pPr>
        <w:snapToGrid w:val="0"/>
        <w:spacing w:before="120" w:after="120" w:line="288" w:lineRule="auto"/>
        <w:ind w:right="602" w:firstLine="6938" w:firstLineChars="3304"/>
        <w:rPr>
          <w:rFonts w:ascii="仿宋" w:hAnsi="仿宋" w:eastAsia="仿宋" w:cs="仿宋"/>
          <w:color w:val="auto"/>
          <w:kern w:val="44"/>
          <w:szCs w:val="21"/>
          <w:highlight w:val="none"/>
        </w:rPr>
      </w:pPr>
      <w:r>
        <w:rPr>
          <w:rFonts w:hint="eastAsia" w:ascii="仿宋" w:hAnsi="仿宋" w:eastAsia="仿宋" w:cs="仿宋"/>
          <w:color w:val="auto"/>
          <w:kern w:val="44"/>
          <w:szCs w:val="21"/>
          <w:highlight w:val="none"/>
        </w:rPr>
        <w:t>确认书编号：</w:t>
      </w:r>
    </w:p>
    <w:p>
      <w:pPr>
        <w:spacing w:line="288" w:lineRule="auto"/>
        <w:ind w:firstLine="5460" w:firstLineChars="2600"/>
        <w:jc w:val="center"/>
        <w:rPr>
          <w:rFonts w:ascii="仿宋" w:hAnsi="仿宋" w:eastAsia="仿宋" w:cs="仿宋"/>
          <w:color w:val="auto"/>
          <w:kern w:val="44"/>
          <w:szCs w:val="21"/>
          <w:highlight w:val="none"/>
        </w:rPr>
      </w:pPr>
      <w:r>
        <w:rPr>
          <w:rFonts w:hint="eastAsia" w:ascii="仿宋" w:hAnsi="仿宋" w:eastAsia="仿宋" w:cs="仿宋"/>
          <w:color w:val="auto"/>
          <w:kern w:val="44"/>
          <w:szCs w:val="21"/>
          <w:highlight w:val="none"/>
        </w:rPr>
        <w:t>合同编号：</w:t>
      </w:r>
    </w:p>
    <w:p>
      <w:pPr>
        <w:spacing w:line="288" w:lineRule="auto"/>
        <w:rPr>
          <w:rFonts w:ascii="仿宋" w:hAnsi="仿宋" w:eastAsia="仿宋" w:cs="仿宋"/>
          <w:color w:val="auto"/>
          <w:szCs w:val="21"/>
          <w:highlight w:val="none"/>
        </w:rPr>
      </w:pP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甲方（采购人）：</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地址：</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 xml:space="preserve">项目联系人：     </w:t>
      </w: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联系电话：</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乙方（供应商）</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地址：</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法定代表人</w:t>
      </w: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联系电话</w:t>
      </w:r>
      <w:r>
        <w:rPr>
          <w:rFonts w:hint="eastAsia" w:ascii="仿宋" w:hAnsi="仿宋" w:eastAsia="仿宋" w:cs="仿宋"/>
          <w:bCs/>
          <w:color w:val="auto"/>
          <w:szCs w:val="21"/>
          <w:highlight w:val="none"/>
        </w:rPr>
        <w:t xml:space="preserve">： </w:t>
      </w:r>
    </w:p>
    <w:p>
      <w:pPr>
        <w:spacing w:line="288"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w:t>项目负责人</w:t>
      </w: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联系电话</w:t>
      </w:r>
      <w:r>
        <w:rPr>
          <w:rFonts w:hint="eastAsia" w:ascii="仿宋" w:hAnsi="仿宋" w:eastAsia="仿宋" w:cs="仿宋"/>
          <w:bCs/>
          <w:color w:val="auto"/>
          <w:szCs w:val="21"/>
          <w:highlight w:val="none"/>
        </w:rPr>
        <w:t xml:space="preserve">： </w:t>
      </w:r>
    </w:p>
    <w:p>
      <w:pPr>
        <w:spacing w:line="288" w:lineRule="auto"/>
        <w:ind w:firstLine="420" w:firstLineChars="200"/>
        <w:rPr>
          <w:rFonts w:ascii="仿宋" w:hAnsi="仿宋" w:eastAsia="仿宋" w:cs="仿宋"/>
          <w:bCs/>
          <w:color w:val="auto"/>
          <w:szCs w:val="21"/>
          <w:highlight w:val="none"/>
        </w:rPr>
      </w:pPr>
    </w:p>
    <w:p>
      <w:pPr>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依照《中华人民共和国政府采购法》、《中华人民共和国民法典》等有关法律法规的规定，浙江省市场监督管理局委托浙江求是招标代理有限公司就其关于项目编号为：</w:t>
      </w:r>
      <w:r>
        <w:rPr>
          <w:rFonts w:hint="eastAsia" w:ascii="仿宋" w:hAnsi="仿宋" w:eastAsia="仿宋" w:cs="仿宋"/>
          <w:color w:val="auto"/>
          <w:kern w:val="44"/>
          <w:szCs w:val="21"/>
          <w:highlight w:val="none"/>
          <w:u w:val="single"/>
        </w:rPr>
        <w:t xml:space="preserve">         </w:t>
      </w:r>
      <w:r>
        <w:rPr>
          <w:rFonts w:hint="eastAsia" w:ascii="仿宋" w:hAnsi="仿宋" w:eastAsia="仿宋" w:cs="仿宋"/>
          <w:color w:val="auto"/>
          <w:szCs w:val="21"/>
          <w:highlight w:val="none"/>
        </w:rPr>
        <w:t>的2024年省本级食品安全专项抽检服务项目进行招标采购，确定乙方为</w:t>
      </w:r>
      <w:r>
        <w:rPr>
          <w:rFonts w:hint="eastAsia" w:ascii="仿宋" w:hAnsi="仿宋" w:eastAsia="仿宋" w:cs="仿宋"/>
          <w:color w:val="auto"/>
          <w:szCs w:val="21"/>
          <w:highlight w:val="none"/>
          <w:u w:val="single"/>
        </w:rPr>
        <w:t xml:space="preserve">                   </w:t>
      </w:r>
      <w:r>
        <w:rPr>
          <w:rFonts w:hint="eastAsia" w:ascii="仿宋" w:hAnsi="仿宋" w:eastAsia="仿宋" w:cs="仿宋"/>
          <w:bCs/>
          <w:color w:val="auto"/>
          <w:szCs w:val="21"/>
          <w:highlight w:val="none"/>
        </w:rPr>
        <w:t>食品安全抽样检验</w:t>
      </w:r>
      <w:r>
        <w:rPr>
          <w:rFonts w:hint="eastAsia" w:ascii="仿宋" w:hAnsi="仿宋" w:eastAsia="仿宋" w:cs="仿宋"/>
          <w:color w:val="auto"/>
          <w:szCs w:val="21"/>
          <w:highlight w:val="none"/>
        </w:rPr>
        <w:t>的服务单位，经双方协商，达成以下条款。</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一、服务内容及合同价格</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1.1 甲方委托乙方承担食品安全抽检监测服务。任务包括</w:t>
      </w:r>
      <w:r>
        <w:rPr>
          <w:rFonts w:hint="eastAsia" w:ascii="仿宋" w:hAnsi="仿宋" w:eastAsia="仿宋" w:cs="仿宋"/>
          <w:color w:val="auto"/>
          <w:szCs w:val="21"/>
          <w:highlight w:val="none"/>
          <w:u w:val="single"/>
        </w:rPr>
        <w:t xml:space="preserve">            </w:t>
      </w:r>
      <w:r>
        <w:rPr>
          <w:rFonts w:hint="eastAsia" w:ascii="仿宋" w:hAnsi="仿宋" w:eastAsia="仿宋" w:cs="仿宋"/>
          <w:bCs/>
          <w:color w:val="auto"/>
          <w:szCs w:val="21"/>
          <w:highlight w:val="none"/>
        </w:rPr>
        <w:t>等食品抽检监测服务，具体任务详见食品类别、任务批次、检测项目表（附件一），最终以甲方在国家食品安全抽样检验信息系统中下达的任务为准。</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1.2 甲方应如实向乙方介绍本合同所涉项目的情况、检测要求及工作内容，并提供抽检工作平台系统服务。</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1.3 乙方承担合同所委托的抽检监测任务的样品抽取、样品购买、质量检验、数据汇总和质量分析报告编写工作。</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1.4 乙方应根据甲方招标文件要求，编制任务的实验室检测过程质量控制计划和工作实施计划方案，并按文件要求开展抽验工作，依法出具检验报告。</w:t>
      </w:r>
    </w:p>
    <w:p>
      <w:pPr>
        <w:spacing w:line="288" w:lineRule="auto"/>
        <w:ind w:firstLine="420" w:firstLineChars="200"/>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1.5 投标折扣：</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p>
    <w:p>
      <w:pPr>
        <w:spacing w:line="288" w:lineRule="auto"/>
        <w:ind w:firstLine="420" w:firstLineChars="200"/>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本合同金额为</w:t>
      </w:r>
      <w:r>
        <w:rPr>
          <w:rFonts w:hint="eastAsia" w:ascii="仿宋" w:hAnsi="仿宋" w:eastAsia="仿宋" w:cs="仿宋"/>
          <w:b/>
          <w:bCs/>
          <w:color w:val="auto"/>
          <w:szCs w:val="21"/>
          <w:highlight w:val="none"/>
        </w:rPr>
        <w:t>预测金额</w:t>
      </w:r>
      <w:r>
        <w:rPr>
          <w:rFonts w:hint="eastAsia" w:ascii="仿宋" w:hAnsi="仿宋" w:eastAsia="仿宋" w:cs="仿宋"/>
          <w:bCs/>
          <w:color w:val="auto"/>
          <w:szCs w:val="21"/>
          <w:highlight w:val="none"/>
        </w:rPr>
        <w:t xml:space="preserve">，计人民币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元。</w:t>
      </w:r>
      <w:r>
        <w:rPr>
          <w:rFonts w:hint="eastAsia" w:ascii="仿宋" w:hAnsi="仿宋" w:eastAsia="仿宋" w:cs="仿宋"/>
          <w:bCs/>
          <w:color w:val="auto"/>
          <w:szCs w:val="21"/>
          <w:highlight w:val="none"/>
          <w:lang w:val="en-US" w:eastAsia="zh-CN"/>
        </w:rPr>
        <w:t xml:space="preserve"> </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二、服务费用及支付</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2.1 服务费用</w:t>
      </w:r>
    </w:p>
    <w:p>
      <w:pPr>
        <w:snapToGrid w:val="0"/>
        <w:spacing w:line="288" w:lineRule="auto"/>
        <w:ind w:firstLine="411" w:firstLineChars="196"/>
        <w:rPr>
          <w:rFonts w:ascii="仿宋" w:hAnsi="仿宋" w:eastAsia="仿宋" w:cs="仿宋"/>
          <w:bCs/>
          <w:color w:val="auto"/>
          <w:szCs w:val="21"/>
          <w:highlight w:val="none"/>
        </w:rPr>
      </w:pPr>
      <w:r>
        <w:rPr>
          <w:rFonts w:hint="eastAsia" w:ascii="仿宋" w:hAnsi="仿宋" w:eastAsia="仿宋" w:cs="仿宋"/>
          <w:bCs/>
          <w:color w:val="auto"/>
          <w:szCs w:val="21"/>
          <w:highlight w:val="none"/>
        </w:rPr>
        <w:t>2.1.1 抽检服务费用由买样费、抽样费和检验费三部分组成。</w:t>
      </w:r>
      <w:r>
        <w:rPr>
          <w:rFonts w:hint="eastAsia" w:ascii="仿宋" w:hAnsi="仿宋" w:eastAsia="仿宋" w:cs="仿宋"/>
          <w:b/>
          <w:bCs/>
          <w:color w:val="auto"/>
          <w:szCs w:val="21"/>
          <w:highlight w:val="none"/>
        </w:rPr>
        <w:t>买样费：</w:t>
      </w:r>
      <w:r>
        <w:rPr>
          <w:rFonts w:hint="eastAsia" w:ascii="仿宋" w:hAnsi="仿宋" w:eastAsia="仿宋" w:cs="仿宋"/>
          <w:bCs/>
          <w:color w:val="auto"/>
          <w:szCs w:val="21"/>
          <w:highlight w:val="none"/>
        </w:rPr>
        <w:t>在甲方确定的</w:t>
      </w:r>
      <w:r>
        <w:rPr>
          <w:rFonts w:hint="eastAsia" w:ascii="仿宋" w:hAnsi="仿宋" w:eastAsia="仿宋" w:cs="仿宋"/>
          <w:b/>
          <w:bCs/>
          <w:color w:val="auto"/>
          <w:szCs w:val="21"/>
          <w:highlight w:val="none"/>
        </w:rPr>
        <w:t>不高于平均最高限价</w:t>
      </w:r>
      <w:r>
        <w:rPr>
          <w:rFonts w:hint="eastAsia" w:ascii="仿宋" w:hAnsi="仿宋" w:eastAsia="仿宋" w:cs="仿宋"/>
          <w:bCs/>
          <w:color w:val="auto"/>
          <w:szCs w:val="21"/>
          <w:highlight w:val="none"/>
        </w:rPr>
        <w:t>范围内，按实凭据结算。</w:t>
      </w:r>
      <w:r>
        <w:rPr>
          <w:rFonts w:hint="eastAsia" w:ascii="仿宋" w:hAnsi="仿宋" w:eastAsia="仿宋" w:cs="仿宋"/>
          <w:b/>
          <w:bCs/>
          <w:color w:val="auto"/>
          <w:szCs w:val="21"/>
          <w:highlight w:val="none"/>
        </w:rPr>
        <w:t>抽样费：</w:t>
      </w:r>
      <w:r>
        <w:rPr>
          <w:rFonts w:hint="eastAsia" w:ascii="仿宋" w:hAnsi="仿宋" w:eastAsia="仿宋" w:cs="仿宋"/>
          <w:bCs/>
          <w:color w:val="auto"/>
          <w:szCs w:val="21"/>
          <w:highlight w:val="none"/>
        </w:rPr>
        <w:t>按定额方式结算，流通环节抽样费200元/批次（网络平台抽样费用100元/批次）；生产环节抽样费400元/批次；餐饮环节抽样费400元/批次（网络平台抽样费用100元/批次）；需冷冻车(冷链)运输的样品抽样费600元/批次</w:t>
      </w:r>
      <w:r>
        <w:rPr>
          <w:rFonts w:hint="eastAsia" w:ascii="仿宋" w:hAnsi="仿宋" w:eastAsia="仿宋" w:cs="仿宋"/>
          <w:b/>
          <w:bCs/>
          <w:color w:val="auto"/>
          <w:szCs w:val="21"/>
          <w:highlight w:val="none"/>
        </w:rPr>
        <w:t>（</w:t>
      </w:r>
      <w:r>
        <w:rPr>
          <w:rFonts w:hint="eastAsia" w:ascii="仿宋" w:hAnsi="仿宋" w:eastAsia="仿宋" w:cs="仿宋"/>
          <w:b/>
          <w:color w:val="auto"/>
          <w:szCs w:val="21"/>
          <w:highlight w:val="none"/>
        </w:rPr>
        <w:t>仅限</w:t>
      </w:r>
      <w:r>
        <w:rPr>
          <w:rFonts w:hint="eastAsia" w:ascii="仿宋" w:hAnsi="仿宋" w:eastAsia="仿宋" w:cs="仿宋"/>
          <w:b/>
          <w:bCs/>
          <w:color w:val="auto"/>
          <w:szCs w:val="21"/>
          <w:highlight w:val="none"/>
        </w:rPr>
        <w:t>样品需-18℃及以下保存的速冻类食品）</w:t>
      </w:r>
      <w:r>
        <w:rPr>
          <w:rFonts w:hint="eastAsia" w:ascii="仿宋" w:hAnsi="仿宋" w:eastAsia="仿宋" w:cs="仿宋"/>
          <w:bCs/>
          <w:color w:val="auto"/>
          <w:szCs w:val="21"/>
          <w:highlight w:val="none"/>
        </w:rPr>
        <w:t>。</w:t>
      </w:r>
      <w:r>
        <w:rPr>
          <w:rFonts w:hint="eastAsia" w:ascii="仿宋" w:hAnsi="仿宋" w:eastAsia="仿宋" w:cs="仿宋"/>
          <w:b/>
          <w:bCs/>
          <w:color w:val="auto"/>
          <w:szCs w:val="21"/>
          <w:highlight w:val="none"/>
        </w:rPr>
        <w:t>检验费：</w:t>
      </w:r>
      <w:r>
        <w:rPr>
          <w:rFonts w:hint="eastAsia" w:ascii="仿宋" w:hAnsi="仿宋" w:eastAsia="仿宋" w:cs="仿宋"/>
          <w:bCs/>
          <w:color w:val="auto"/>
          <w:szCs w:val="21"/>
          <w:highlight w:val="none"/>
        </w:rPr>
        <w:t>根据合同委托任务中各食品大类、细类和检测项目，以公开招标承检机构报价及任务分配磋商时承检机构对涉及超出《食品安全检验项目指导价格表（2019）》的检验项目报价进行计算。在此基础上，对同一批次样品使用同一检验方法检测多个检测项目的，按以下方式统一折扣：</w:t>
      </w:r>
      <w:r>
        <w:rPr>
          <w:rFonts w:hint="eastAsia" w:ascii="仿宋" w:hAnsi="仿宋" w:eastAsia="仿宋" w:cs="仿宋"/>
          <w:b/>
          <w:bCs/>
          <w:color w:val="auto"/>
          <w:szCs w:val="21"/>
          <w:highlight w:val="none"/>
        </w:rPr>
        <w:t>第1个项目折扣系数为1；第2-3个项目折扣系数为0.8；第4-5个项目折扣系数为0.6；第6个及以上项目折扣系数为0.4。</w:t>
      </w:r>
    </w:p>
    <w:p>
      <w:pPr>
        <w:snapToGrid w:val="0"/>
        <w:spacing w:line="288" w:lineRule="auto"/>
        <w:ind w:firstLine="411" w:firstLineChars="196"/>
        <w:rPr>
          <w:rFonts w:ascii="仿宋" w:hAnsi="仿宋" w:eastAsia="仿宋" w:cs="仿宋"/>
          <w:bCs/>
          <w:color w:val="auto"/>
          <w:szCs w:val="21"/>
          <w:highlight w:val="none"/>
        </w:rPr>
      </w:pPr>
      <w:r>
        <w:rPr>
          <w:rFonts w:hint="eastAsia" w:ascii="仿宋" w:hAnsi="仿宋" w:eastAsia="仿宋" w:cs="仿宋"/>
          <w:bCs/>
          <w:color w:val="auto"/>
          <w:szCs w:val="21"/>
          <w:highlight w:val="none"/>
        </w:rPr>
        <w:t>2.1.2 本合同金额组成和数额详见《合同初始金额测算表》（附件二），合同任务完成后决算时，抽样费、购样费和检验费一并按实结算。</w:t>
      </w:r>
    </w:p>
    <w:p>
      <w:pPr>
        <w:snapToGrid w:val="0"/>
        <w:spacing w:line="288" w:lineRule="auto"/>
        <w:ind w:firstLine="411" w:firstLineChars="196"/>
        <w:rPr>
          <w:rFonts w:ascii="仿宋" w:hAnsi="仿宋" w:eastAsia="仿宋" w:cs="仿宋"/>
          <w:bCs/>
          <w:color w:val="auto"/>
          <w:szCs w:val="21"/>
          <w:highlight w:val="none"/>
        </w:rPr>
      </w:pPr>
      <w:r>
        <w:rPr>
          <w:rFonts w:hint="eastAsia" w:ascii="仿宋" w:hAnsi="仿宋" w:eastAsia="仿宋" w:cs="仿宋"/>
          <w:bCs/>
          <w:color w:val="auto"/>
          <w:szCs w:val="21"/>
          <w:highlight w:val="none"/>
        </w:rPr>
        <w:t>2.2 支付约定：</w:t>
      </w:r>
    </w:p>
    <w:p>
      <w:pPr>
        <w:snapToGrid w:val="0"/>
        <w:spacing w:line="288" w:lineRule="auto"/>
        <w:ind w:firstLine="413" w:firstLineChars="196"/>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（一）第一次支付（首付款）：</w:t>
      </w:r>
      <w:r>
        <w:rPr>
          <w:rFonts w:hint="eastAsia" w:ascii="仿宋" w:hAnsi="仿宋" w:eastAsia="仿宋" w:cs="仿宋"/>
          <w:bCs/>
          <w:color w:val="auto"/>
          <w:szCs w:val="21"/>
          <w:highlight w:val="none"/>
        </w:rPr>
        <w:t xml:space="preserve">合同签订后7个工作日内，甲方按合同标的预测算金额的 </w:t>
      </w:r>
      <w:r>
        <w:rPr>
          <w:rFonts w:hint="eastAsia" w:ascii="仿宋" w:hAnsi="仿宋" w:eastAsia="仿宋" w:cs="仿宋"/>
          <w:bCs/>
          <w:color w:val="auto"/>
          <w:szCs w:val="21"/>
          <w:highlight w:val="none"/>
          <w:u w:val="single"/>
        </w:rPr>
        <w:t xml:space="preserve">70% </w:t>
      </w:r>
      <w:r>
        <w:rPr>
          <w:rFonts w:hint="eastAsia" w:ascii="仿宋" w:hAnsi="仿宋" w:eastAsia="仿宋" w:cs="仿宋"/>
          <w:bCs/>
          <w:color w:val="auto"/>
          <w:szCs w:val="21"/>
          <w:highlight w:val="none"/>
        </w:rPr>
        <w:t>向乙方支付服务费用；</w:t>
      </w:r>
    </w:p>
    <w:p>
      <w:pPr>
        <w:snapToGrid w:val="0"/>
        <w:spacing w:line="288" w:lineRule="auto"/>
        <w:ind w:firstLine="413" w:firstLineChars="196"/>
        <w:rPr>
          <w:rFonts w:ascii="仿宋" w:hAnsi="仿宋" w:eastAsia="仿宋" w:cs="仿宋"/>
          <w:bCs/>
          <w:color w:val="auto"/>
          <w:szCs w:val="21"/>
          <w:highlight w:val="none"/>
        </w:rPr>
      </w:pPr>
      <w:r>
        <w:rPr>
          <w:rFonts w:hint="eastAsia" w:ascii="仿宋" w:hAnsi="仿宋" w:eastAsia="仿宋" w:cs="仿宋"/>
          <w:b/>
          <w:bCs/>
          <w:color w:val="auto"/>
          <w:szCs w:val="21"/>
          <w:highlight w:val="none"/>
        </w:rPr>
        <w:t>（二）第二次支付：</w:t>
      </w:r>
      <w:r>
        <w:rPr>
          <w:rFonts w:hint="eastAsia" w:ascii="仿宋" w:hAnsi="仿宋" w:eastAsia="仿宋" w:cs="仿宋"/>
          <w:bCs/>
          <w:color w:val="auto"/>
          <w:szCs w:val="21"/>
          <w:highlight w:val="none"/>
        </w:rPr>
        <w:t>任务检验完成至20%时，甲方按合同标的预测算金额的</w:t>
      </w:r>
      <w:r>
        <w:rPr>
          <w:rFonts w:hint="eastAsia" w:ascii="仿宋" w:hAnsi="仿宋" w:eastAsia="仿宋" w:cs="仿宋"/>
          <w:bCs/>
          <w:color w:val="auto"/>
          <w:szCs w:val="21"/>
          <w:highlight w:val="none"/>
          <w:u w:val="single"/>
        </w:rPr>
        <w:t>15%</w:t>
      </w:r>
      <w:r>
        <w:rPr>
          <w:rFonts w:hint="eastAsia" w:ascii="仿宋" w:hAnsi="仿宋" w:eastAsia="仿宋" w:cs="仿宋"/>
          <w:bCs/>
          <w:color w:val="auto"/>
          <w:szCs w:val="21"/>
          <w:highlight w:val="none"/>
        </w:rPr>
        <w:t>向乙方支付服务费用；</w:t>
      </w:r>
    </w:p>
    <w:p>
      <w:pPr>
        <w:snapToGrid w:val="0"/>
        <w:spacing w:line="288" w:lineRule="auto"/>
        <w:ind w:firstLine="413" w:firstLineChars="196"/>
        <w:rPr>
          <w:rFonts w:ascii="仿宋" w:hAnsi="仿宋" w:eastAsia="仿宋" w:cs="仿宋"/>
          <w:bCs/>
          <w:color w:val="auto"/>
          <w:szCs w:val="21"/>
          <w:highlight w:val="none"/>
        </w:rPr>
      </w:pPr>
      <w:r>
        <w:rPr>
          <w:rFonts w:hint="eastAsia" w:ascii="仿宋" w:hAnsi="仿宋" w:eastAsia="仿宋" w:cs="仿宋"/>
          <w:b/>
          <w:bCs/>
          <w:color w:val="auto"/>
          <w:szCs w:val="21"/>
          <w:highlight w:val="none"/>
        </w:rPr>
        <w:t>（三）第三次支付（决算款）</w:t>
      </w:r>
      <w:r>
        <w:rPr>
          <w:rFonts w:hint="eastAsia" w:ascii="仿宋" w:hAnsi="仿宋" w:eastAsia="仿宋" w:cs="仿宋"/>
          <w:bCs/>
          <w:color w:val="auto"/>
          <w:szCs w:val="21"/>
          <w:highlight w:val="none"/>
        </w:rPr>
        <w:t>：抽检任务全部结束后，乙方向甲方提供《抽检任务总结分析报告》（食品类别）、《浙江省市场监管局食品抽检经费结算表》、《抽检样品清单》、财务票据等相关资料，由甲方对乙方的合同履行、抽检结果和抽检质量考核验收后，最终按实结算项目尾款。</w:t>
      </w:r>
    </w:p>
    <w:p>
      <w:pPr>
        <w:snapToGrid w:val="0"/>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2.3 乙方使用和管理抽检经费的过程中，接受甲方及国家、省财政、审计、纪检等部门的监督和检查，并配合甲方开展抽检监测经费绩效评价工作。</w:t>
      </w:r>
    </w:p>
    <w:p>
      <w:pPr>
        <w:snapToGrid w:val="0"/>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2.4 乙方经考核考评综合分数高于</w:t>
      </w:r>
      <w:r>
        <w:rPr>
          <w:rFonts w:hint="eastAsia" w:ascii="仿宋" w:hAnsi="仿宋" w:eastAsia="仿宋" w:cs="仿宋"/>
          <w:bCs/>
          <w:color w:val="auto"/>
          <w:szCs w:val="21"/>
          <w:highlight w:val="none"/>
          <w:u w:val="single"/>
        </w:rPr>
        <w:t>95分以上（含）</w:t>
      </w:r>
      <w:r>
        <w:rPr>
          <w:rFonts w:hint="eastAsia" w:ascii="仿宋" w:hAnsi="仿宋" w:eastAsia="仿宋" w:cs="仿宋"/>
          <w:bCs/>
          <w:color w:val="auto"/>
          <w:szCs w:val="21"/>
          <w:highlight w:val="none"/>
        </w:rPr>
        <w:t>的，按合同结算金额全额拨付经费；考评分数</w:t>
      </w:r>
      <w:r>
        <w:rPr>
          <w:rFonts w:hint="eastAsia" w:ascii="仿宋" w:hAnsi="仿宋" w:eastAsia="仿宋" w:cs="仿宋"/>
          <w:bCs/>
          <w:color w:val="auto"/>
          <w:szCs w:val="21"/>
          <w:highlight w:val="none"/>
          <w:u w:val="single"/>
        </w:rPr>
        <w:t>低于95分的</w:t>
      </w:r>
      <w:r>
        <w:rPr>
          <w:rFonts w:hint="eastAsia" w:ascii="仿宋" w:hAnsi="仿宋" w:eastAsia="仿宋" w:cs="仿宋"/>
          <w:bCs/>
          <w:color w:val="auto"/>
          <w:szCs w:val="21"/>
          <w:highlight w:val="none"/>
        </w:rPr>
        <w:t>，每低1分按合同结算金额扣减1%；低于</w:t>
      </w:r>
      <w:r>
        <w:rPr>
          <w:rFonts w:hint="eastAsia" w:ascii="仿宋" w:hAnsi="仿宋" w:eastAsia="仿宋" w:cs="仿宋"/>
          <w:bCs/>
          <w:color w:val="auto"/>
          <w:szCs w:val="21"/>
          <w:highlight w:val="none"/>
          <w:u w:val="single"/>
        </w:rPr>
        <w:t>55分（含）</w:t>
      </w:r>
      <w:r>
        <w:rPr>
          <w:rFonts w:hint="eastAsia" w:ascii="仿宋" w:hAnsi="仿宋" w:eastAsia="仿宋" w:cs="仿宋"/>
          <w:bCs/>
          <w:color w:val="auto"/>
          <w:szCs w:val="21"/>
          <w:highlight w:val="none"/>
        </w:rPr>
        <w:t>的，甲方有权要求乙方根据考核结果返还已预付的抽检费用。</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三、服务要求</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3.1基本要求</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3.1.1乙方实验室场地、检验仪器设备和检验人员能力须满足当年度《国家食品安全监督抽检实施细则》指定的承检项目和检测方法要求。</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3.1.2根据浙江省市场监督管理局食品“抽”“检”分离改革工作要求，省本级食品安全抽检任务实行“抽的不检、检的不抽”，乙方只承担合同标段的检验任务，该合同标项抽样任务由其他机构承担。具体抽样任务对应关系由甲方确定，另行通知，乙方承诺服从甲方安排，原则上中标机构抽样任务量与检验任务量总体保持一致。</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3.1.3乙方在进行食品抽样检验时，应严格按照国家市场监管总局制定的《食品安全抽样检验管理办法》《食品检验工作规范》《食品安全监督抽检和风险监测工作规范》和《国家食品安全监督抽检实施细则》等规定及甲方约定的食品类别、检验项目、抽检批次和抽检时间要求等开展抽检监测工作。</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3.2样品抽取</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3.2.1按照规定购买检验样品（包含备份样品），不得向被抽检企业收取检验费和其他任何费用。不得借抽样之机，有与被抽样单位签订服务协议等影响抽检公正性的行为。</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3.2.2乙方样品专业采集人员、采样工具和车辆数量须满足承检食品采样工作要求。</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3.2.3乙方在</w:t>
      </w:r>
      <w:r>
        <w:rPr>
          <w:rFonts w:hint="eastAsia" w:ascii="仿宋" w:hAnsi="仿宋" w:eastAsia="仿宋" w:cs="仿宋"/>
          <w:b/>
          <w:bCs/>
          <w:color w:val="auto"/>
          <w:szCs w:val="21"/>
          <w:highlight w:val="none"/>
        </w:rPr>
        <w:t>抽样和样品交接</w:t>
      </w:r>
      <w:r>
        <w:rPr>
          <w:rFonts w:hint="eastAsia" w:ascii="仿宋" w:hAnsi="仿宋" w:eastAsia="仿宋" w:cs="仿宋"/>
          <w:bCs/>
          <w:color w:val="auto"/>
          <w:szCs w:val="21"/>
          <w:highlight w:val="none"/>
        </w:rPr>
        <w:t>过程中应配备和使用影像装备记录</w:t>
      </w:r>
      <w:r>
        <w:rPr>
          <w:rFonts w:hint="eastAsia" w:ascii="仿宋" w:hAnsi="仿宋" w:eastAsia="仿宋" w:cs="仿宋"/>
          <w:b/>
          <w:bCs/>
          <w:color w:val="auto"/>
          <w:szCs w:val="21"/>
          <w:highlight w:val="none"/>
        </w:rPr>
        <w:t>抽样和样品交接</w:t>
      </w:r>
      <w:r>
        <w:rPr>
          <w:rFonts w:hint="eastAsia" w:ascii="仿宋" w:hAnsi="仿宋" w:eastAsia="仿宋" w:cs="仿宋"/>
          <w:bCs/>
          <w:color w:val="auto"/>
          <w:szCs w:val="21"/>
          <w:highlight w:val="none"/>
        </w:rPr>
        <w:t>过程中的主要信息，抽样影像信息按规定保存，其中，检验结论为合格的，保存期限自检验报告出具后不少于</w:t>
      </w:r>
      <w:r>
        <w:rPr>
          <w:rFonts w:hint="eastAsia" w:ascii="仿宋" w:hAnsi="仿宋" w:eastAsia="仿宋" w:cs="仿宋"/>
          <w:bCs/>
          <w:color w:val="auto"/>
          <w:szCs w:val="21"/>
          <w:highlight w:val="none"/>
          <w:u w:val="single"/>
        </w:rPr>
        <w:t>6</w:t>
      </w:r>
      <w:r>
        <w:rPr>
          <w:rFonts w:hint="eastAsia" w:ascii="仿宋" w:hAnsi="仿宋" w:eastAsia="仿宋" w:cs="仿宋"/>
          <w:bCs/>
          <w:color w:val="auto"/>
          <w:szCs w:val="21"/>
          <w:highlight w:val="none"/>
        </w:rPr>
        <w:t>个月：检验结论为不合格的，保存期限自检验报告出具后不少于</w:t>
      </w:r>
      <w:r>
        <w:rPr>
          <w:rFonts w:hint="eastAsia" w:ascii="仿宋" w:hAnsi="仿宋" w:eastAsia="仿宋" w:cs="仿宋"/>
          <w:bCs/>
          <w:color w:val="auto"/>
          <w:szCs w:val="21"/>
          <w:highlight w:val="none"/>
          <w:u w:val="single"/>
        </w:rPr>
        <w:t>24</w:t>
      </w:r>
      <w:r>
        <w:rPr>
          <w:rFonts w:hint="eastAsia" w:ascii="仿宋" w:hAnsi="仿宋" w:eastAsia="仿宋" w:cs="仿宋"/>
          <w:bCs/>
          <w:color w:val="auto"/>
          <w:szCs w:val="21"/>
          <w:highlight w:val="none"/>
        </w:rPr>
        <w:t>个月。</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3.2.4样品运输及交接过程应符合规范程序要求，涉及无菌采样和低温、冷链运输的应具备满足要求的设备，有微生物、酸价及过氧化值等检验项目的样品，长途运输和极寒、高温特殊天气可能影响样品检验质量的，抽样及运输过程应采取相应控制措施并保存温度连续记录，相关记录数据备份可查。</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3.2.5承检机构抽取样品时明确告知被抽样人，告知过程应视频或文字记录确认，留取相关证据。</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3.2.6乙方在任务实施中应执行抽样人员与检验人员相分离的工作要求，抽样人员不得参与检验，检验人员不得参加抽样。</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3.2.7乙方有明确的“双随机”抽样工作机制和实施方案，抽样人员和被抽检企业（或被抽样地区）应以“双随机”方式确定，“双随机”抽取记录登记造册，有据可查。</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3.3样品交接及管理</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3.3.1样品由负责抽样的承检机构将抽取的样品送至承担检验任务的承检机构。样品送至承检机构时，负责收样的承检单位应认真检查样品状况，询问运输过程是否符合规范等信息，并完成交接样品，记录至收样室具体时间日期。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3.3.1.1样品交接时限。抽样单位应于抽样完成5个工作日内将抽取的样品及抽样文书移交承检机构。对性质不稳定或短保质期或临保的样品应尽快完成交接。短保质期产品（保质期7天以内）应于完成抽样任务的当日或次日，将样品送达承检机构。</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3.3.1.2现场样品交接</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现场交接样品信息核查，抽样机构接样人员和承检机构抽样人员共同核查：主要包括：1.样品的封条是否符合封样要求，包括外观完好、防拆措施、封条信息等；2.样品类别、样品数量、生产日期、规格等是否一致；3.样品的储运条件是否符合标签要求，对于有特殊储运条件要求的，如冷藏冷冻样品，还应交接样品储运温度记录；4.样品的保存期限是否临近或已过保存期；5.相关资料（如企业标准等）是否齐全。核对好后，做好样品交接登记，包括样品抽样单编号及批次数等信息，接收样品。</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3.3.1.3非现场样品交接。对于采取寄送等方式非当面交接样品时，除了核查样品信息外，承检机构还应对接样过程全程视频记录。</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3.3.1.4核对抽样单及国抽系统中信息。1.接样人员按样品实物核对抽样单及封条上明示的信息是否填写一致、准确，包括样品名称、批次、数量等全部信息；2.重点关注抽样单中五个字段：生产日期，抽样日期，样品名称，被抽样单位营业执照号及生产许可证编号；3.核实国抽系统中的信息是否正确，包括任务类型等，核实系统中上传的照片、文书是否规范正确；4.如有出入，则应做好记录并及时告知抽样人员，退回样品或者抽样人员前往被抽样单位双方确认修改信息。信息修改应符合相关要求。</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3.3.2 报验受理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3.3.2.1报验时限要求。承检机构原则上应当在接收样品后48小时内完成报检受理。对于保质期短或者应急抽检的样品，应于24小时内完成报检受理。</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3.3.2.2确认检验要求。核实任务报送分类，明确检验要求，主要以任务合同、实施细则、专项方案等为依据，结合样品实际情况，确定检验项目、检验依据、判定依据、允许限等，并下达检验要求。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3.3.2.3核对样品信息。1.根据样品信息核对产品四级分类是否与任务下达是的分类一致、是否正确、是否在抽检计划内；2.根据样品照片，对样品信息进行核对；3.核对中发现的差错应如实登记，并反馈相关环节更正。</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3.3.2.4核对报验信息。完成报验后，报检人员对报检信息进行交叉核对，确保报检信息的准确性。核对中发现的差错应如实登记，定期通报总结。</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3.3.2.5打印流转标签。保存信息，分别打印唯一性的检样、备样标签纸，交样品管理员进行加贴送样。</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3.3.3责任认定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3.3.3.1样品抽样。抽样单位应严格按照规范要求开展样品抽样工作，确保抽样结束至样品送达实验室期间的贮存、运输符合相关规定和包装标识的要求，记录、采集并有效保存抽样、贮存及运输环节的相关佐证材料，抽样环节如被质疑，由抽样单位负责举证并对该环节的规范性负责。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3.3.3.2样品移交。样品移交超过规定时限，样品保存期限不支持检验工作开展，抽样差错导致样品废除等情形由抽样单位负责并落实重新抽样安排。</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3.3.3.3样品受理及备样保存。承检机构样品受理人员应仔细核对样品实物、抽样单及国抽系统相关信息，受理环节未能及时发现信息差错而导致报告无法出具或超时限出具由承检机构负责。受理样品应及时按要求妥善保存，采集并保存相关记录，因贮存不当影响检验结论变化、备样遗失或包装封条受损不能满足复检要求等由承检机构负责。</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3.3.4涉及不合格食品样品复检时，乙方按国家市场监管总局有关复检管理相关要求做好样品交接。</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3.3.5抽检任务中产生的抽样样品处置，遵照《浙江省市场监督管理局抽检样品市场购买及处置管理办法（试行）》执行。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3.3.6抽检样品需销毁处理的，填写《浙江省市场监督管理买样样品处置审批表》，经甲方同意后做销毁处理，并填写《浙江省市场监督管理买样样品销毁记录表》，销毁处理费用由乙方承担。相关材料留档可查。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3.3.7抽检样品经甲方确认需捐赠或留用处理的，根据甲方要求，乙方提供相应配合工作。</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3.4样品检验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3.4.1乙方应依照《国家食品安全监督抽检实施细则（2024年版）》规定的检验方法和评判标准开展检验，未经甲方书面同意，不得擅自改变。应急情况下，经甲方书面同意后，可采用经科学验证并经国家食品抽检监测牵头单位认可的指定方法。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3.4.2乙方应确保质控措施落实到位，严格按照合同任务所制定的专项抽检质量控制计划方案执行，质控信息记录应真实、完整。</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3.4.3微生物检验不合格项目，应拍照留档，照片包括检样分梯度培养皿生长计数情况，空白对照平皿样或对比平皿生长情况，以及相关计数及计算方法等。</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3.4.4承检机构对出具报告的真实性和准确性负责。</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3.5实验室管理</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3.5.1为确保食品抽检检验数据质量可靠和检验能力的持续稳定，乙方应参加食品承检机构应参加的能力验证活动。</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3.5.2乙方应组织对承担检验部门每月做1次及以上质控样考核（全年至少有1批次不合格质控样），并记录质控样全过程检验数据情况，与相关机构进行比对。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3.5.3乙方根据甲方食品安全抽检监测质量管理要求，严格执行盲样检验制度，不得篡改原始检验数据，确保检验结果的真实可靠。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3.5.4乙方应设立样品抽取、样品接样、检样制作、实验室检验及报告签发等不同部门（岗位）。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3.5.5乙方实行“背靠背”盲样检测，并建立与之适应的工作机制。样品进入实验室后，各环节要仅仅保留必要的样品信息，检测人员不得获取除检测项目、检测方法及与满足检验需求相关的必要信息以外的任何样品信息。</w:t>
      </w:r>
    </w:p>
    <w:p>
      <w:pPr>
        <w:spacing w:line="288"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3.6信息报送</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3.6.1乙方应根据《食品安全抽样检验管理办法》《食品安全监督抽检和风险监测工作规范》，向甲方报送抽检不合格信息及抽检结果信息电子版汇总表，同时将抽检结果信息录入指定的食品抽检信息管理系统。</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3.6.2乙方指定专人负责抽检结果汇总、系统录入和信息报送等工作，配合甲方做好周、季度、年度抽检结果公告的数据统计。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3.6.3涉及重点地产食品抽检的，乙方须提供阶段性专项抽检分析报告。 </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3.6.4涉及节令性食品类别抽检的，乙方须在节前2周向甲方提供专项抽检分析报告。 </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3.6.5乙方应在</w:t>
      </w:r>
      <w:r>
        <w:rPr>
          <w:rFonts w:hint="eastAsia" w:ascii="仿宋" w:hAnsi="仿宋" w:eastAsia="仿宋" w:cs="仿宋"/>
          <w:b/>
          <w:bCs/>
          <w:color w:val="auto"/>
          <w:szCs w:val="21"/>
          <w:highlight w:val="none"/>
          <w:u w:val="single"/>
        </w:rPr>
        <w:t>2024年12月10日前</w:t>
      </w:r>
      <w:r>
        <w:rPr>
          <w:rFonts w:hint="eastAsia" w:ascii="仿宋" w:hAnsi="仿宋" w:eastAsia="仿宋" w:cs="仿宋"/>
          <w:color w:val="auto"/>
          <w:szCs w:val="21"/>
          <w:highlight w:val="none"/>
        </w:rPr>
        <w:t>完成全部任务的抽样检验工作</w:t>
      </w:r>
      <w:r>
        <w:rPr>
          <w:rFonts w:hint="eastAsia" w:ascii="仿宋" w:hAnsi="仿宋" w:eastAsia="仿宋" w:cs="仿宋"/>
          <w:bCs/>
          <w:color w:val="auto"/>
          <w:szCs w:val="21"/>
          <w:highlight w:val="none"/>
        </w:rPr>
        <w:t>，</w:t>
      </w:r>
      <w:r>
        <w:rPr>
          <w:rFonts w:hint="eastAsia" w:ascii="仿宋" w:hAnsi="仿宋" w:eastAsia="仿宋" w:cs="仿宋"/>
          <w:b/>
          <w:bCs/>
          <w:color w:val="auto"/>
          <w:szCs w:val="21"/>
          <w:highlight w:val="none"/>
          <w:u w:val="single"/>
        </w:rPr>
        <w:t>2024年12月25日前</w:t>
      </w:r>
      <w:r>
        <w:rPr>
          <w:rFonts w:hint="eastAsia" w:ascii="仿宋" w:hAnsi="仿宋" w:eastAsia="仿宋" w:cs="仿宋"/>
          <w:color w:val="auto"/>
          <w:szCs w:val="21"/>
          <w:highlight w:val="none"/>
        </w:rPr>
        <w:t>汇总全年抽检数据，并向甲方提交项目年度食品安全质量分析报告。</w:t>
      </w:r>
    </w:p>
    <w:p>
      <w:pPr>
        <w:spacing w:line="288" w:lineRule="auto"/>
        <w:ind w:left="525" w:leftChars="25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3.7 验收考核责任认定</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3.7.1食品抽检监测不合格率（问题发现率）和地产食品覆盖率考核指标，由抽样单位负责； </w:t>
      </w:r>
    </w:p>
    <w:p>
      <w:pPr>
        <w:spacing w:line="288" w:lineRule="auto"/>
        <w:ind w:firstLine="562" w:firstLineChars="268"/>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3.7.2 承担检验任务的机构负责检验数据的准确性。抽样单位对检验机构的数据质量有质疑，可以按2%的比例调取合格样品进行复核。 </w:t>
      </w:r>
    </w:p>
    <w:p>
      <w:pPr>
        <w:spacing w:line="288" w:lineRule="auto"/>
        <w:ind w:left="525" w:leftChars="25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3.8保密条款 </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乙方对甲方抽检数据等相关信息承有保密义务，未经甲方允许，不得擅自对外泄露信息，也不得擅自将检验结果告知被抽检单位、标称生产企业或其他第三方，一经确认，立即终止合同。涉及违法违规行为的，移交相关管理机构或部门处理。</w:t>
      </w:r>
    </w:p>
    <w:p>
      <w:pPr>
        <w:spacing w:line="288" w:lineRule="auto"/>
        <w:ind w:left="525" w:leftChars="25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3.9其他要求</w:t>
      </w:r>
    </w:p>
    <w:p>
      <w:pPr>
        <w:spacing w:line="288" w:lineRule="auto"/>
        <w:ind w:firstLine="495" w:firstLineChars="236"/>
        <w:jc w:val="left"/>
        <w:rPr>
          <w:rFonts w:ascii="仿宋" w:hAnsi="仿宋" w:eastAsia="仿宋" w:cs="仿宋"/>
          <w:color w:val="auto"/>
          <w:szCs w:val="21"/>
          <w:highlight w:val="none"/>
        </w:rPr>
      </w:pPr>
      <w:r>
        <w:rPr>
          <w:rFonts w:hint="eastAsia" w:ascii="仿宋" w:hAnsi="仿宋" w:eastAsia="仿宋" w:cs="仿宋"/>
          <w:color w:val="auto"/>
          <w:szCs w:val="21"/>
          <w:highlight w:val="none"/>
        </w:rPr>
        <w:t>3.9.1任务期内，乙方须承担和组织召开</w:t>
      </w:r>
      <w:r>
        <w:rPr>
          <w:rFonts w:hint="eastAsia" w:ascii="仿宋" w:hAnsi="仿宋" w:eastAsia="仿宋" w:cs="仿宋"/>
          <w:b/>
          <w:bCs/>
          <w:color w:val="auto"/>
          <w:szCs w:val="21"/>
          <w:highlight w:val="none"/>
          <w:u w:val="single"/>
        </w:rPr>
        <w:t>壹</w:t>
      </w:r>
      <w:r>
        <w:rPr>
          <w:rFonts w:hint="eastAsia" w:ascii="仿宋" w:hAnsi="仿宋" w:eastAsia="仿宋" w:cs="仿宋"/>
          <w:color w:val="auto"/>
          <w:szCs w:val="21"/>
          <w:highlight w:val="none"/>
        </w:rPr>
        <w:t>次承检机构食品安全风险研判或技术研讨会议，为甲方提供食品安全监管技术支持。</w:t>
      </w:r>
    </w:p>
    <w:p>
      <w:pPr>
        <w:spacing w:line="288" w:lineRule="auto"/>
        <w:ind w:firstLine="495" w:firstLineChars="236"/>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3.9.2乙方应根据甲方因工作需要所明确的食品大类抽检监测牵头单位，负责相应食品品种的统计分析、标准解释和技术支持等工作。 </w:t>
      </w:r>
    </w:p>
    <w:p>
      <w:pPr>
        <w:spacing w:line="288" w:lineRule="auto"/>
        <w:ind w:firstLine="495" w:firstLineChars="236"/>
        <w:jc w:val="left"/>
        <w:rPr>
          <w:rFonts w:ascii="仿宋" w:hAnsi="仿宋" w:eastAsia="仿宋" w:cs="仿宋"/>
          <w:color w:val="auto"/>
          <w:szCs w:val="21"/>
          <w:highlight w:val="none"/>
        </w:rPr>
      </w:pPr>
      <w:r>
        <w:rPr>
          <w:rFonts w:hint="eastAsia" w:ascii="仿宋" w:hAnsi="仿宋" w:eastAsia="仿宋" w:cs="仿宋"/>
          <w:color w:val="auto"/>
          <w:szCs w:val="21"/>
          <w:highlight w:val="none"/>
        </w:rPr>
        <w:t>3.9.3合同执行过程中，未经甲方书面同意，乙方不得擅自将本合同项下应履行的义务转让或委托第三方完成。乙方因客观原因确需调整委托任务的，须向甲方提交任务变更申请并附经费调整说明，经甲方书面同意后方可实施，调整内容以补充协议进行约定。</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四、合同期限</w:t>
      </w:r>
    </w:p>
    <w:p>
      <w:pPr>
        <w:spacing w:line="288" w:lineRule="auto"/>
        <w:ind w:left="525" w:leftChars="250"/>
        <w:jc w:val="left"/>
        <w:rPr>
          <w:rFonts w:ascii="仿宋" w:hAnsi="仿宋" w:eastAsia="仿宋" w:cs="仿宋"/>
          <w:color w:val="auto"/>
          <w:szCs w:val="21"/>
          <w:highlight w:val="none"/>
        </w:rPr>
      </w:pPr>
      <w:r>
        <w:rPr>
          <w:rFonts w:hint="eastAsia" w:ascii="仿宋" w:hAnsi="仿宋" w:eastAsia="仿宋" w:cs="仿宋"/>
          <w:color w:val="auto"/>
          <w:szCs w:val="21"/>
          <w:highlight w:val="none"/>
        </w:rPr>
        <w:t>4.1本合同期限为</w:t>
      </w:r>
      <w:r>
        <w:rPr>
          <w:rFonts w:hint="eastAsia" w:ascii="仿宋" w:hAnsi="仿宋" w:eastAsia="仿宋" w:cs="仿宋"/>
          <w:color w:val="auto"/>
          <w:szCs w:val="21"/>
          <w:highlight w:val="none"/>
          <w:u w:val="single"/>
        </w:rPr>
        <w:t xml:space="preserve"> 2024年 1月    日至2024年12月30日</w:t>
      </w:r>
      <w:r>
        <w:rPr>
          <w:rFonts w:hint="eastAsia" w:ascii="仿宋" w:hAnsi="仿宋" w:eastAsia="仿宋" w:cs="仿宋"/>
          <w:color w:val="auto"/>
          <w:szCs w:val="21"/>
          <w:highlight w:val="none"/>
        </w:rPr>
        <w:t>。</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4.2如有特殊情况需调整的，由甲乙双方协商确定，以补充协议方式确认。</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五、考核验收</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5.1检验服务完全完成后，乙方应及时向甲方发出书面履约完成通知书。</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5.2甲方将在收到乙方发出的履约完成通知书后10日内，组织人员对乙方合同履约情况进行考核验收。</w:t>
      </w:r>
    </w:p>
    <w:p>
      <w:pPr>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5.3乙方应接受甲方依据浙江省市场监督局关于《省本级食品安全抽检任务承检机构考核管理办法（试行）》所规定的监督检查考核。</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六、违约责任</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6.1除因特殊情况甲乙双方另行协商确定完成日期外，乙方未在规定期限内完成服务事项的，每迟延一日按照合同总价的千分之五支付违约金。迟延超过15日的，甲方有权解除本合同，乙方按照未完成的服务事项比例退还甲方预付的抽检费用，并按照合同总价的</w:t>
      </w:r>
      <w:r>
        <w:rPr>
          <w:rFonts w:hint="eastAsia" w:ascii="仿宋" w:hAnsi="仿宋" w:eastAsia="仿宋" w:cs="仿宋"/>
          <w:b/>
          <w:bCs/>
          <w:color w:val="auto"/>
          <w:szCs w:val="21"/>
          <w:highlight w:val="none"/>
          <w:u w:val="single"/>
        </w:rPr>
        <w:t>10%</w:t>
      </w:r>
      <w:r>
        <w:rPr>
          <w:rFonts w:hint="eastAsia" w:ascii="仿宋" w:hAnsi="仿宋" w:eastAsia="仿宋" w:cs="仿宋"/>
          <w:color w:val="auto"/>
          <w:szCs w:val="21"/>
          <w:highlight w:val="none"/>
        </w:rPr>
        <w:t>向甲方支付违约金。造成损失的，乙方承担赔偿责任。</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6.2乙方违反保密义务的，甲方有权解除本合同，乙方按照未完成服务事项的比例退还甲方预付的抽检费用，并按照合同总价的</w:t>
      </w:r>
      <w:r>
        <w:rPr>
          <w:rFonts w:hint="eastAsia" w:ascii="仿宋" w:hAnsi="仿宋" w:eastAsia="仿宋" w:cs="仿宋"/>
          <w:b/>
          <w:bCs/>
          <w:color w:val="auto"/>
          <w:szCs w:val="21"/>
          <w:highlight w:val="none"/>
          <w:u w:val="single"/>
        </w:rPr>
        <w:t>10%</w:t>
      </w:r>
      <w:r>
        <w:rPr>
          <w:rFonts w:hint="eastAsia" w:ascii="仿宋" w:hAnsi="仿宋" w:eastAsia="仿宋" w:cs="仿宋"/>
          <w:color w:val="auto"/>
          <w:szCs w:val="21"/>
          <w:highlight w:val="none"/>
        </w:rPr>
        <w:t>向甲方支付违约金。造成损失的，乙方承担赔偿责任。</w:t>
      </w:r>
    </w:p>
    <w:p>
      <w:pPr>
        <w:spacing w:line="288" w:lineRule="auto"/>
        <w:ind w:firstLine="457" w:firstLineChars="218"/>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6.3乙方擅自将本合同项下义务转让或委托第三方完成的，甲方有权解除本合同，乙方按照未完成服务事项的比例退还甲方预付的抽检费用，并按照合同总价的</w:t>
      </w:r>
      <w:r>
        <w:rPr>
          <w:rFonts w:hint="eastAsia" w:ascii="仿宋" w:hAnsi="仿宋" w:eastAsia="仿宋" w:cs="仿宋"/>
          <w:b/>
          <w:bCs/>
          <w:color w:val="auto"/>
          <w:szCs w:val="21"/>
          <w:highlight w:val="none"/>
          <w:u w:val="single"/>
        </w:rPr>
        <w:t>10%</w:t>
      </w:r>
      <w:r>
        <w:rPr>
          <w:rFonts w:hint="eastAsia" w:ascii="仿宋" w:hAnsi="仿宋" w:eastAsia="仿宋" w:cs="仿宋"/>
          <w:color w:val="auto"/>
          <w:szCs w:val="21"/>
          <w:highlight w:val="none"/>
        </w:rPr>
        <w:t>向甲方支付违约金。造成损失的，乙方承担赔偿责任。</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color w:val="auto"/>
          <w:szCs w:val="21"/>
          <w:highlight w:val="none"/>
        </w:rPr>
        <w:t xml:space="preserve"> 6.4除本合同6.1条约定外，乙方因非甲方原因没有或不能按完成合同约定的抽检任务，根据未完成工作的比例退还已经收取的款项；如甲方尚未支付的，甲方不再支付。同时，乙方按照合同总价的</w:t>
      </w:r>
      <w:r>
        <w:rPr>
          <w:rFonts w:hint="eastAsia" w:ascii="仿宋" w:hAnsi="仿宋" w:eastAsia="仿宋" w:cs="仿宋"/>
          <w:b/>
          <w:bCs/>
          <w:color w:val="auto"/>
          <w:szCs w:val="21"/>
          <w:highlight w:val="none"/>
          <w:u w:val="single"/>
        </w:rPr>
        <w:t>10%</w:t>
      </w:r>
      <w:r>
        <w:rPr>
          <w:rFonts w:hint="eastAsia" w:ascii="仿宋" w:hAnsi="仿宋" w:eastAsia="仿宋" w:cs="仿宋"/>
          <w:color w:val="auto"/>
          <w:szCs w:val="21"/>
          <w:highlight w:val="none"/>
        </w:rPr>
        <w:t>另行向甲方支付违约金。造成损失的，乙方承担赔偿责任。</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七、税费</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7.1本合同执行中相关的一切税费均由乙方负担。</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八、不可抗力处理</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8.1在合同有效期内，任何一方因不可抗力事件导致不能履行合同，则合同履行期可延长，其延长期与不可抗力影响期相同。</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8.2不可抗力事件发生后，应立即通知对方，并寄送有关权威机构出具的证明。</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8.3不可抗力事件延续120日以上的，双方应通过友好协商，确定是否继续履行合同。</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九、诉讼</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9.1双方在执行合同中所发生的一切争议，应通过协商解决。如协商不成，可向甲方所在地人民法院起诉。</w:t>
      </w:r>
    </w:p>
    <w:p>
      <w:pPr>
        <w:spacing w:line="288" w:lineRule="auto"/>
        <w:ind w:firstLine="420" w:firstLineChars="200"/>
        <w:jc w:val="left"/>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十、合同生效及其它</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10.1合同经甲、乙双方签名并加盖单位公章后生效。</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10.2采购合同、招标文件、投标文件是本合同的补充，与本合同具有同等法律效力。</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10.3本合同未尽事宜，遵照《中华人民共和国民法典》有关条文执行。</w:t>
      </w:r>
    </w:p>
    <w:p>
      <w:pPr>
        <w:spacing w:line="288" w:lineRule="auto"/>
        <w:ind w:firstLine="420" w:firstLineChars="2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10.4本合同一式六份，具有同等法律效力，甲方五份，乙方一份。</w:t>
      </w:r>
    </w:p>
    <w:p>
      <w:pPr>
        <w:spacing w:line="288" w:lineRule="auto"/>
        <w:jc w:val="left"/>
        <w:rPr>
          <w:rFonts w:ascii="仿宋" w:hAnsi="仿宋" w:eastAsia="仿宋" w:cs="仿宋"/>
          <w:bCs/>
          <w:color w:val="auto"/>
          <w:szCs w:val="21"/>
          <w:highlight w:val="none"/>
        </w:rPr>
      </w:pP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附件：1、食品类别、任务批次、检测项目</w:t>
      </w:r>
    </w:p>
    <w:p>
      <w:pPr>
        <w:spacing w:line="288" w:lineRule="auto"/>
        <w:ind w:firstLine="630" w:firstLineChars="30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2、合同金额测算表</w:t>
      </w:r>
    </w:p>
    <w:p>
      <w:pPr>
        <w:spacing w:line="288" w:lineRule="auto"/>
        <w:jc w:val="left"/>
        <w:rPr>
          <w:rFonts w:ascii="仿宋" w:hAnsi="仿宋" w:eastAsia="仿宋" w:cs="仿宋"/>
          <w:bCs/>
          <w:color w:val="auto"/>
          <w:szCs w:val="21"/>
          <w:highlight w:val="none"/>
        </w:rPr>
      </w:pP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甲方（盖章）：浙江省市场监督管理局 </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地址：浙江省杭州市莫干山路77号金汇大厦北门</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法定（授权）代表人（签字）：</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签名日期：     年    月    日 </w:t>
      </w:r>
    </w:p>
    <w:p>
      <w:pPr>
        <w:spacing w:line="288" w:lineRule="auto"/>
        <w:jc w:val="left"/>
        <w:rPr>
          <w:rFonts w:ascii="仿宋" w:hAnsi="仿宋" w:eastAsia="仿宋" w:cs="仿宋"/>
          <w:bCs/>
          <w:color w:val="auto"/>
          <w:szCs w:val="21"/>
          <w:highlight w:val="none"/>
        </w:rPr>
      </w:pP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乙方（盖章）： </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地址： </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开户行： </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开户帐号：  </w:t>
      </w:r>
    </w:p>
    <w:p>
      <w:pPr>
        <w:spacing w:line="288" w:lineRule="auto"/>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法定（授权）代表人（签字）：</w:t>
      </w:r>
    </w:p>
    <w:p>
      <w:pPr>
        <w:spacing w:line="288"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签名日期：       年     月    日</w:t>
      </w:r>
    </w:p>
    <w:p>
      <w:pPr>
        <w:snapToGrid w:val="0"/>
        <w:spacing w:line="288" w:lineRule="auto"/>
        <w:ind w:left="4962" w:leftChars="1939" w:hanging="890" w:hangingChars="500"/>
        <w:jc w:val="center"/>
        <w:rPr>
          <w:rFonts w:ascii="仿宋" w:hAnsi="仿宋" w:eastAsia="仿宋" w:cs="仿宋"/>
          <w:color w:val="auto"/>
          <w:szCs w:val="21"/>
          <w:highlight w:val="none"/>
        </w:rPr>
      </w:pPr>
      <w:r>
        <w:rPr>
          <w:rFonts w:hint="eastAsia" w:ascii="仿宋" w:hAnsi="仿宋" w:eastAsia="仿宋" w:cs="仿宋"/>
          <w:color w:val="auto"/>
          <w:spacing w:val="-16"/>
          <w:szCs w:val="21"/>
          <w:highlight w:val="none"/>
        </w:rPr>
        <w:t xml:space="preserve">                     </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合同附件：</w:t>
      </w:r>
    </w:p>
    <w:p>
      <w:pPr>
        <w:snapToGrid w:val="0"/>
        <w:spacing w:line="288" w:lineRule="auto"/>
        <w:ind w:firstLine="422" w:firstLineChars="20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廉洁协议书</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甲方：</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乙方：</w:t>
      </w:r>
    </w:p>
    <w:p>
      <w:pPr>
        <w:adjustRightInd w:val="0"/>
        <w:snapToGrid w:val="0"/>
        <w:spacing w:line="288"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2024年食品安全抽检监测项目（国抽）</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为了保持廉政自律的工作作风，防止各种不正当行为的发生，根据国家和省市有关廉政建设的各项规定，结合项目的特点，订立本协议如下：</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一、甲乙双方应当自觉遵守关于廉政建设的各项规定。</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二、甲方及其工作人员不得以任何形式向乙方索要和收受回扣等好处费。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三、甲方工作人员应当保持与乙方的正常业务交往，不得接受乙方的现金、有价证券和贵重物品，不得在乙方报销任何应由个人支付的费用。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四、甲方工作人员不得参加可能对公正执行公务有影响的宴请和娱乐活动。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五、甲方工作人员不得要求接受乙方为其住房装修、婚丧嫁娶、家属和子女的工作安排以及出国等提供方便。</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六、甲方工作人员不得向乙方介绍家属或者亲友从事与甲方项目有关的经济活动。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七、乙方应当通过正常途径开展业务工作，不得为获取某些不正当利益而向甲方工作人员赠送礼金、有价证券和贵重物品等。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八、乙方不得为谋取私利擅自与甲方工作人员进行私下商谈或者达成默契。</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九、乙方不得以洽谈业务、签订经济合同为借口，邀请甲方工作人员外出旅游和进入高档娱乐性场所。</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十、乙方不得为甲方和个人购置或者提供通讯工具、家电、高档办公用品等物品。</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甲方发现乙方有违反本协议或者采用不正当的手段行贿甲方工作人员，甲方根据具体情节和造成的后果追究乙方合同总价金额1%~5%的违约金，由此给甲方造成的损失均由乙方承担，乙方用不正当手段获取的非法所得由甲方单位予以追缴。</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十三、严格执行中纪委下发的中纪发[2007]7号《中共中央纪委关于严格禁止利用职务上的便利谋取不正当利益的若干规定》。</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十四、本廉政协议作为合同的附件，与合同具有同等法律效力，经协议双方签署后立即生效。</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十五、本协议一式两份，甲、乙双方各执一份。</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甲方（公章）：                                     乙方（公章）：</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或委托代理人：                                     或委托代理人：</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1680" w:firstLineChars="8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pPr>
        <w:adjustRightInd w:val="0"/>
        <w:snapToGrid w:val="0"/>
        <w:spacing w:line="288" w:lineRule="auto"/>
        <w:ind w:firstLine="2100" w:firstLineChars="1000"/>
        <w:rPr>
          <w:rFonts w:ascii="仿宋" w:hAnsi="仿宋" w:eastAsia="仿宋" w:cs="仿宋"/>
          <w:color w:val="auto"/>
          <w:szCs w:val="21"/>
          <w:highlight w:val="none"/>
          <w:lang w:val="zh-CN"/>
        </w:rPr>
        <w:sectPr>
          <w:pgSz w:w="11906" w:h="16838"/>
          <w:pgMar w:top="1440" w:right="1247" w:bottom="1440" w:left="1247" w:header="283" w:footer="850" w:gutter="0"/>
          <w:cols w:space="0" w:num="1"/>
          <w:docGrid w:linePitch="381" w:charSpace="0"/>
        </w:sectPr>
      </w:pPr>
    </w:p>
    <w:p>
      <w:pPr>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附件1</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食品类别、任务批次、检测项目表</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XXXX监督抽检任务（食用农产品、指定性专项抽检）此表直接套招标文件中的表格</w:t>
      </w:r>
    </w:p>
    <w:tbl>
      <w:tblPr>
        <w:tblStyle w:val="37"/>
        <w:tblW w:w="14163" w:type="dxa"/>
        <w:tblInd w:w="0" w:type="dxa"/>
        <w:tblLayout w:type="fixed"/>
        <w:tblCellMar>
          <w:top w:w="0" w:type="dxa"/>
          <w:left w:w="108" w:type="dxa"/>
          <w:bottom w:w="0" w:type="dxa"/>
          <w:right w:w="108" w:type="dxa"/>
        </w:tblCellMar>
      </w:tblPr>
      <w:tblGrid>
        <w:gridCol w:w="2023"/>
        <w:gridCol w:w="2023"/>
        <w:gridCol w:w="2023"/>
        <w:gridCol w:w="2022"/>
        <w:gridCol w:w="2025"/>
        <w:gridCol w:w="2025"/>
        <w:gridCol w:w="2022"/>
      </w:tblGrid>
      <w:tr>
        <w:tblPrEx>
          <w:tblLayout w:type="fixed"/>
          <w:tblCellMar>
            <w:top w:w="0" w:type="dxa"/>
            <w:left w:w="108" w:type="dxa"/>
            <w:bottom w:w="0" w:type="dxa"/>
            <w:right w:w="108" w:type="dxa"/>
          </w:tblCellMar>
        </w:tblPrEx>
        <w:trPr>
          <w:trHeight w:val="520" w:hRule="atLeast"/>
        </w:trPr>
        <w:tc>
          <w:tcPr>
            <w:tcW w:w="20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序号</w:t>
            </w: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食品大类</w:t>
            </w: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食品亚类</w:t>
            </w:r>
          </w:p>
        </w:tc>
        <w:tc>
          <w:tcPr>
            <w:tcW w:w="202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食品品种</w:t>
            </w:r>
          </w:p>
        </w:tc>
        <w:tc>
          <w:tcPr>
            <w:tcW w:w="202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食品细类</w:t>
            </w:r>
          </w:p>
        </w:tc>
        <w:tc>
          <w:tcPr>
            <w:tcW w:w="2025" w:type="dxa"/>
            <w:tcBorders>
              <w:top w:val="single" w:color="000000" w:sz="8" w:space="0"/>
              <w:left w:val="single" w:color="000000" w:sz="8" w:space="0"/>
              <w:bottom w:val="nil"/>
              <w:right w:val="nil"/>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检验项目</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批次数</w:t>
            </w:r>
          </w:p>
        </w:tc>
      </w:tr>
      <w:tr>
        <w:tblPrEx>
          <w:tblLayout w:type="fixed"/>
          <w:tblCellMar>
            <w:top w:w="0" w:type="dxa"/>
            <w:left w:w="108" w:type="dxa"/>
            <w:bottom w:w="0" w:type="dxa"/>
            <w:right w:w="108" w:type="dxa"/>
          </w:tblCellMar>
        </w:tblPrEx>
        <w:trPr>
          <w:trHeight w:val="520" w:hRule="atLeast"/>
        </w:trPr>
        <w:tc>
          <w:tcPr>
            <w:tcW w:w="20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5" w:type="dxa"/>
            <w:tcBorders>
              <w:top w:val="single" w:color="000000" w:sz="8" w:space="0"/>
              <w:left w:val="single" w:color="000000" w:sz="8" w:space="0"/>
              <w:bottom w:val="nil"/>
              <w:right w:val="nil"/>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520" w:hRule="atLeast"/>
        </w:trPr>
        <w:tc>
          <w:tcPr>
            <w:tcW w:w="202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2"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5" w:type="dxa"/>
            <w:tcBorders>
              <w:top w:val="single" w:color="000000" w:sz="8" w:space="0"/>
              <w:left w:val="single" w:color="000000" w:sz="8" w:space="0"/>
              <w:bottom w:val="nil"/>
              <w:right w:val="nil"/>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r>
      <w:tr>
        <w:tblPrEx>
          <w:tblLayout w:type="fixed"/>
          <w:tblCellMar>
            <w:top w:w="0" w:type="dxa"/>
            <w:left w:w="108" w:type="dxa"/>
            <w:bottom w:w="0" w:type="dxa"/>
            <w:right w:w="108" w:type="dxa"/>
          </w:tblCellMar>
        </w:tblPrEx>
        <w:trPr>
          <w:trHeight w:val="6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10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Cs w:val="21"/>
                <w:highlight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Cs w:val="21"/>
                <w:highlight w:val="none"/>
              </w:rPr>
            </w:pPr>
          </w:p>
        </w:tc>
      </w:tr>
    </w:tbl>
    <w:p>
      <w:pPr>
        <w:rPr>
          <w:rFonts w:ascii="仿宋" w:hAnsi="仿宋" w:eastAsia="仿宋" w:cs="仿宋"/>
          <w:color w:val="auto"/>
          <w:szCs w:val="21"/>
          <w:highlight w:val="none"/>
        </w:rPr>
      </w:pPr>
      <w:r>
        <w:rPr>
          <w:rFonts w:hint="eastAsia" w:ascii="仿宋" w:hAnsi="仿宋" w:eastAsia="仿宋" w:cs="仿宋"/>
          <w:color w:val="auto"/>
          <w:szCs w:val="21"/>
          <w:highlight w:val="none"/>
        </w:rPr>
        <w:t>检验项目及食品细类以国抽系统下达为准。</w:t>
      </w:r>
    </w:p>
    <w:p>
      <w:pPr>
        <w:spacing w:line="360" w:lineRule="auto"/>
        <w:jc w:val="left"/>
        <w:rPr>
          <w:rFonts w:ascii="仿宋" w:hAnsi="仿宋" w:eastAsia="仿宋" w:cs="仿宋"/>
          <w:color w:val="auto"/>
          <w:kern w:val="0"/>
          <w:szCs w:val="21"/>
          <w:highlight w:val="none"/>
        </w:rPr>
      </w:pPr>
    </w:p>
    <w:p>
      <w:pPr>
        <w:spacing w:line="360" w:lineRule="auto"/>
        <w:jc w:val="left"/>
        <w:rPr>
          <w:rFonts w:ascii="仿宋" w:hAnsi="仿宋" w:eastAsia="仿宋" w:cs="仿宋"/>
          <w:color w:val="auto"/>
          <w:kern w:val="0"/>
          <w:szCs w:val="21"/>
          <w:highlight w:val="none"/>
        </w:rPr>
      </w:pPr>
    </w:p>
    <w:p>
      <w:pPr>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pPr>
        <w:spacing w:line="360" w:lineRule="auto"/>
        <w:jc w:val="left"/>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附件2</w:t>
      </w:r>
    </w:p>
    <w:p>
      <w:pPr>
        <w:spacing w:line="360"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合同金额测算表</w:t>
      </w:r>
    </w:p>
    <w:p>
      <w:pPr>
        <w:spacing w:line="360" w:lineRule="auto"/>
        <w:ind w:right="480"/>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（单位：元）</w:t>
      </w:r>
    </w:p>
    <w:tbl>
      <w:tblPr>
        <w:tblStyle w:val="37"/>
        <w:tblW w:w="142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1276"/>
        <w:gridCol w:w="1255"/>
        <w:gridCol w:w="1504"/>
        <w:gridCol w:w="1258"/>
        <w:gridCol w:w="1630"/>
        <w:gridCol w:w="1417"/>
        <w:gridCol w:w="1841"/>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jc w:val="center"/>
        </w:trPr>
        <w:tc>
          <w:tcPr>
            <w:tcW w:w="2151"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计划名称（标项号）</w:t>
            </w:r>
          </w:p>
        </w:tc>
        <w:tc>
          <w:tcPr>
            <w:tcW w:w="1276"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总批次</w:t>
            </w:r>
          </w:p>
        </w:tc>
        <w:tc>
          <w:tcPr>
            <w:tcW w:w="1255"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抽样费</w:t>
            </w:r>
          </w:p>
        </w:tc>
        <w:tc>
          <w:tcPr>
            <w:tcW w:w="1504"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购样费最高限额</w:t>
            </w:r>
          </w:p>
        </w:tc>
        <w:tc>
          <w:tcPr>
            <w:tcW w:w="1258"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检验费指导价</w:t>
            </w:r>
          </w:p>
        </w:tc>
        <w:tc>
          <w:tcPr>
            <w:tcW w:w="1630"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检验费机构报价</w:t>
            </w:r>
          </w:p>
        </w:tc>
        <w:tc>
          <w:tcPr>
            <w:tcW w:w="1417"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指导价总额</w:t>
            </w:r>
          </w:p>
        </w:tc>
        <w:tc>
          <w:tcPr>
            <w:tcW w:w="1841" w:type="dxa"/>
            <w:tcMar>
              <w:top w:w="15" w:type="dxa"/>
              <w:left w:w="15" w:type="dxa"/>
              <w:right w:w="15"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机构报价总额</w:t>
            </w:r>
          </w:p>
        </w:tc>
        <w:tc>
          <w:tcPr>
            <w:tcW w:w="193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首付金额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jc w:val="center"/>
        </w:trPr>
        <w:tc>
          <w:tcPr>
            <w:tcW w:w="2151" w:type="dxa"/>
            <w:tcMar>
              <w:top w:w="15" w:type="dxa"/>
              <w:left w:w="15" w:type="dxa"/>
              <w:right w:w="15" w:type="dxa"/>
            </w:tcMar>
            <w:vAlign w:val="center"/>
          </w:tcPr>
          <w:p>
            <w:pPr>
              <w:widowControl/>
              <w:jc w:val="center"/>
              <w:rPr>
                <w:rFonts w:ascii="仿宋" w:hAnsi="仿宋" w:eastAsia="仿宋" w:cs="仿宋"/>
                <w:color w:val="auto"/>
                <w:szCs w:val="21"/>
                <w:highlight w:val="none"/>
              </w:rPr>
            </w:pPr>
          </w:p>
        </w:tc>
        <w:tc>
          <w:tcPr>
            <w:tcW w:w="1276" w:type="dxa"/>
            <w:tcMar>
              <w:top w:w="15" w:type="dxa"/>
              <w:left w:w="15" w:type="dxa"/>
              <w:right w:w="15" w:type="dxa"/>
            </w:tcMar>
            <w:vAlign w:val="center"/>
          </w:tcPr>
          <w:p>
            <w:pPr>
              <w:widowControl/>
              <w:jc w:val="center"/>
              <w:rPr>
                <w:rFonts w:ascii="仿宋" w:hAnsi="仿宋" w:eastAsia="仿宋" w:cs="仿宋"/>
                <w:color w:val="auto"/>
                <w:szCs w:val="21"/>
                <w:highlight w:val="none"/>
              </w:rPr>
            </w:pPr>
          </w:p>
        </w:tc>
        <w:tc>
          <w:tcPr>
            <w:tcW w:w="1255" w:type="dxa"/>
            <w:tcMar>
              <w:top w:w="15" w:type="dxa"/>
              <w:left w:w="15" w:type="dxa"/>
              <w:right w:w="15" w:type="dxa"/>
            </w:tcMar>
            <w:vAlign w:val="center"/>
          </w:tcPr>
          <w:p>
            <w:pPr>
              <w:jc w:val="center"/>
              <w:rPr>
                <w:rFonts w:ascii="仿宋" w:hAnsi="仿宋" w:eastAsia="仿宋" w:cs="仿宋"/>
                <w:color w:val="auto"/>
                <w:szCs w:val="21"/>
                <w:highlight w:val="none"/>
              </w:rPr>
            </w:pPr>
          </w:p>
        </w:tc>
        <w:tc>
          <w:tcPr>
            <w:tcW w:w="1504" w:type="dxa"/>
            <w:tcMar>
              <w:top w:w="15" w:type="dxa"/>
              <w:left w:w="15" w:type="dxa"/>
              <w:right w:w="15" w:type="dxa"/>
            </w:tcMar>
            <w:vAlign w:val="center"/>
          </w:tcPr>
          <w:p>
            <w:pPr>
              <w:jc w:val="center"/>
              <w:rPr>
                <w:rFonts w:ascii="仿宋" w:hAnsi="仿宋" w:eastAsia="仿宋" w:cs="仿宋"/>
                <w:color w:val="auto"/>
                <w:szCs w:val="21"/>
                <w:highlight w:val="none"/>
              </w:rPr>
            </w:pPr>
          </w:p>
        </w:tc>
        <w:tc>
          <w:tcPr>
            <w:tcW w:w="1258" w:type="dxa"/>
            <w:tcMar>
              <w:top w:w="15" w:type="dxa"/>
              <w:left w:w="15" w:type="dxa"/>
              <w:right w:w="15" w:type="dxa"/>
            </w:tcMar>
            <w:vAlign w:val="center"/>
          </w:tcPr>
          <w:p>
            <w:pPr>
              <w:jc w:val="center"/>
              <w:rPr>
                <w:rFonts w:ascii="仿宋" w:hAnsi="仿宋" w:eastAsia="仿宋" w:cs="仿宋"/>
                <w:color w:val="auto"/>
                <w:szCs w:val="21"/>
                <w:highlight w:val="none"/>
              </w:rPr>
            </w:pPr>
          </w:p>
        </w:tc>
        <w:tc>
          <w:tcPr>
            <w:tcW w:w="1630" w:type="dxa"/>
            <w:tcMar>
              <w:top w:w="15" w:type="dxa"/>
              <w:left w:w="15" w:type="dxa"/>
              <w:right w:w="15" w:type="dxa"/>
            </w:tcMar>
            <w:vAlign w:val="center"/>
          </w:tcPr>
          <w:p>
            <w:pPr>
              <w:widowControl/>
              <w:jc w:val="center"/>
              <w:rPr>
                <w:rFonts w:ascii="仿宋" w:hAnsi="仿宋" w:eastAsia="仿宋" w:cs="仿宋"/>
                <w:color w:val="auto"/>
                <w:szCs w:val="21"/>
                <w:highlight w:val="none"/>
              </w:rPr>
            </w:pPr>
          </w:p>
        </w:tc>
        <w:tc>
          <w:tcPr>
            <w:tcW w:w="1417" w:type="dxa"/>
            <w:tcMar>
              <w:top w:w="15" w:type="dxa"/>
              <w:left w:w="15" w:type="dxa"/>
              <w:right w:w="15" w:type="dxa"/>
            </w:tcMar>
            <w:vAlign w:val="center"/>
          </w:tcPr>
          <w:p>
            <w:pPr>
              <w:jc w:val="center"/>
              <w:rPr>
                <w:rFonts w:ascii="仿宋" w:hAnsi="仿宋" w:eastAsia="仿宋" w:cs="仿宋"/>
                <w:color w:val="auto"/>
                <w:szCs w:val="21"/>
                <w:highlight w:val="none"/>
              </w:rPr>
            </w:pPr>
          </w:p>
        </w:tc>
        <w:tc>
          <w:tcPr>
            <w:tcW w:w="1841" w:type="dxa"/>
            <w:tcMar>
              <w:top w:w="15" w:type="dxa"/>
              <w:left w:w="15" w:type="dxa"/>
              <w:right w:w="15" w:type="dxa"/>
            </w:tcMar>
            <w:vAlign w:val="center"/>
          </w:tcPr>
          <w:p>
            <w:pPr>
              <w:jc w:val="center"/>
              <w:rPr>
                <w:rFonts w:ascii="仿宋" w:hAnsi="仿宋" w:eastAsia="仿宋" w:cs="仿宋"/>
                <w:color w:val="auto"/>
                <w:szCs w:val="21"/>
                <w:highlight w:val="none"/>
              </w:rPr>
            </w:pPr>
          </w:p>
        </w:tc>
        <w:tc>
          <w:tcPr>
            <w:tcW w:w="1939" w:type="dxa"/>
            <w:vAlign w:val="center"/>
          </w:tcPr>
          <w:p>
            <w:pPr>
              <w:jc w:val="center"/>
              <w:rPr>
                <w:rFonts w:ascii="仿宋" w:hAnsi="仿宋" w:eastAsia="仿宋" w:cs="仿宋"/>
                <w:color w:val="auto"/>
                <w:szCs w:val="21"/>
                <w:highlight w:val="none"/>
              </w:rPr>
            </w:pPr>
          </w:p>
        </w:tc>
      </w:tr>
    </w:tbl>
    <w:p>
      <w:pP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备注：1、指导价总额=抽样费+购样费最高限额+检验费指导价；</w:t>
      </w:r>
    </w:p>
    <w:p>
      <w:pPr>
        <w:ind w:firstLine="630" w:firstLineChars="3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2、机构报价总额=抽样费+购样费最高限额+检验费机构报价；</w:t>
      </w:r>
    </w:p>
    <w:p>
      <w:pPr>
        <w:ind w:firstLine="630" w:firstLineChars="3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3、首付金额=机构报价总额</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70%。</w:t>
      </w:r>
    </w:p>
    <w:p>
      <w:pPr>
        <w:snapToGrid w:val="0"/>
        <w:spacing w:line="360" w:lineRule="auto"/>
        <w:rPr>
          <w:rFonts w:ascii="仿宋" w:hAnsi="仿宋" w:eastAsia="仿宋" w:cs="仿宋"/>
          <w:bCs/>
          <w:color w:val="auto"/>
          <w:szCs w:val="21"/>
          <w:highlight w:val="none"/>
        </w:rPr>
      </w:pPr>
    </w:p>
    <w:p>
      <w:pPr>
        <w:adjustRightInd w:val="0"/>
        <w:snapToGrid w:val="0"/>
        <w:spacing w:line="288" w:lineRule="auto"/>
        <w:ind w:firstLine="2100" w:firstLineChars="1000"/>
        <w:rPr>
          <w:rFonts w:ascii="仿宋" w:hAnsi="仿宋" w:eastAsia="仿宋" w:cs="仿宋"/>
          <w:color w:val="auto"/>
          <w:szCs w:val="21"/>
          <w:highlight w:val="none"/>
          <w:lang w:val="zh-CN"/>
        </w:rPr>
      </w:pPr>
    </w:p>
    <w:p>
      <w:pPr>
        <w:adjustRightInd w:val="0"/>
        <w:snapToGrid w:val="0"/>
        <w:spacing w:line="288" w:lineRule="auto"/>
        <w:ind w:firstLine="2100" w:firstLineChars="1000"/>
        <w:rPr>
          <w:rFonts w:ascii="仿宋" w:hAnsi="仿宋" w:eastAsia="仿宋" w:cs="仿宋"/>
          <w:color w:val="auto"/>
          <w:szCs w:val="21"/>
          <w:highlight w:val="none"/>
          <w:lang w:val="zh-CN"/>
        </w:rPr>
        <w:sectPr>
          <w:pgSz w:w="16838" w:h="11906" w:orient="landscape"/>
          <w:pgMar w:top="1247" w:right="1440" w:bottom="1247" w:left="1440" w:header="283" w:footer="850" w:gutter="0"/>
          <w:cols w:space="0" w:num="1"/>
          <w:docGrid w:linePitch="381" w:charSpace="0"/>
        </w:sectPr>
      </w:pPr>
    </w:p>
    <w:p>
      <w:pPr>
        <w:adjustRightInd w:val="0"/>
        <w:snapToGrid w:val="0"/>
        <w:spacing w:line="288" w:lineRule="auto"/>
        <w:jc w:val="center"/>
        <w:outlineLvl w:val="0"/>
        <w:rPr>
          <w:rFonts w:ascii="仿宋" w:hAnsi="仿宋" w:eastAsia="仿宋" w:cs="仿宋"/>
          <w:color w:val="auto"/>
          <w:sz w:val="28"/>
          <w:szCs w:val="24"/>
          <w:highlight w:val="none"/>
        </w:rPr>
      </w:pPr>
      <w:r>
        <w:rPr>
          <w:rFonts w:hint="eastAsia" w:ascii="仿宋" w:hAnsi="仿宋" w:eastAsia="仿宋" w:cs="仿宋"/>
          <w:b/>
          <w:color w:val="auto"/>
          <w:sz w:val="32"/>
          <w:szCs w:val="32"/>
          <w:highlight w:val="none"/>
        </w:rPr>
        <w:t>第六章  投标文件格式</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pPr>
        <w:adjustRightInd w:val="0"/>
        <w:snapToGrid w:val="0"/>
        <w:spacing w:line="360" w:lineRule="auto"/>
        <w:rPr>
          <w:rFonts w:ascii="仿宋" w:hAnsi="仿宋" w:eastAsia="仿宋" w:cs="仿宋"/>
          <w:b/>
          <w:bCs/>
          <w:color w:val="auto"/>
          <w:spacing w:val="-6"/>
          <w:sz w:val="24"/>
          <w:szCs w:val="24"/>
          <w:highlight w:val="none"/>
        </w:rPr>
      </w:pP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1）有效的法人或者其他组织的营业执照等证明文件/自然人的身份证明</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2）符合参加政府采购活动应当具备的一般条件的承诺函</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 xml:space="preserve">3）本项目的特定资格要求 </w:t>
      </w:r>
    </w:p>
    <w:p>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1）投标函</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2）法定代表人（单位负责人、自然人本人）身份证明/授权委托书</w:t>
      </w:r>
    </w:p>
    <w:p>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2023年1月（含）至今任意一月</w:t>
      </w:r>
      <w:r>
        <w:rPr>
          <w:rFonts w:hint="eastAsia" w:ascii="仿宋" w:hAnsi="仿宋" w:eastAsia="仿宋" w:cs="仿宋"/>
          <w:color w:val="auto"/>
          <w:spacing w:val="-6"/>
          <w:szCs w:val="21"/>
          <w:highlight w:val="none"/>
        </w:rPr>
        <w:t>投标授权代表社保缴纳证明</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3）采购需求偏离表</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4）投标人类似合同实施情况一览表</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 xml:space="preserve">5）服务能力相关证明 </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检测场地</w:t>
      </w:r>
    </w:p>
    <w:p>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设备配置</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）服务方案</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）服务团队人员一览表</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1）开标一览表</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2）中小企业声明函（若属于中小企业）</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3）属于监狱企业的证明文件（若属于监狱企业）</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4）残疾人福利性单位声明函（若属于残疾人福利性单位）</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5）联合协议（若联合体投标）</w:t>
      </w:r>
    </w:p>
    <w:p>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6）分包意向协议（若中标后以分包方式履行合同）</w:t>
      </w:r>
    </w:p>
    <w:p>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2.如供应商是事业单位，提供有效的“事业单位法人证书”；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3.如供应商是非企业专业服务机构，提供执业许可证等证明文件；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4.如供应商是个体工商户，提供有效的“个体工商户营业执照”；</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5.如供应商是自然人，提供有效的自然人身份证明。</w:t>
      </w: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（联合体投标的，联合体各方均需提供）</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致：浙江省市场监督管理局、浙江求是招标代理有限公司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2024年食品安全抽检监测项目（国抽）</w:t>
      </w:r>
      <w:r>
        <w:rPr>
          <w:rFonts w:hint="eastAsia" w:ascii="仿宋" w:hAnsi="仿宋" w:eastAsia="仿宋" w:cs="仿宋"/>
          <w:color w:val="auto"/>
          <w:spacing w:val="-6"/>
          <w:szCs w:val="21"/>
          <w:highlight w:val="none"/>
        </w:rPr>
        <w:t>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360" w:lineRule="auto"/>
        <w:rPr>
          <w:color w:val="auto"/>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本项目的特定资格要求证明材料</w:t>
      </w:r>
    </w:p>
    <w:p>
      <w:pPr>
        <w:adjustRightInd w:val="0"/>
        <w:snapToGrid w:val="0"/>
        <w:spacing w:line="360" w:lineRule="auto"/>
        <w:jc w:val="center"/>
        <w:rPr>
          <w:rFonts w:ascii="仿宋" w:hAnsi="仿宋" w:eastAsia="仿宋" w:cs="仿宋"/>
          <w:b/>
          <w:bCs/>
          <w:color w:val="auto"/>
          <w:spacing w:val="-6"/>
          <w:szCs w:val="21"/>
          <w:highlight w:val="none"/>
        </w:rPr>
      </w:pPr>
      <w:r>
        <w:rPr>
          <w:rFonts w:hint="eastAsia" w:ascii="仿宋" w:hAnsi="仿宋" w:eastAsia="仿宋" w:cs="仿宋"/>
          <w:b/>
          <w:bCs/>
          <w:color w:val="auto"/>
          <w:sz w:val="18"/>
          <w:szCs w:val="18"/>
          <w:highlight w:val="none"/>
        </w:rPr>
        <w:t>（联合体投标的，联合体各方均需提供）</w:t>
      </w:r>
    </w:p>
    <w:p>
      <w:pPr>
        <w:spacing w:line="360" w:lineRule="auto"/>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国家认证认可监督管理委员会或市场监督管理部门颁发的有效期内的检验检测机构资质认定证书（CMA）</w:t>
      </w:r>
    </w:p>
    <w:p>
      <w:pPr>
        <w:spacing w:line="360" w:lineRule="auto"/>
        <w:jc w:val="center"/>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（扫描件）</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致：浙江省市场监督管理局、浙江求是招标代理有限公司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bCs/>
          <w:color w:val="auto"/>
          <w:spacing w:val="-6"/>
          <w:szCs w:val="21"/>
          <w:highlight w:val="none"/>
          <w:lang w:eastAsia="zh-CN"/>
        </w:rPr>
        <w:t>2024年食品安全抽检监测项目（国抽）</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：QSZB-Z(F)-H24006(GK)]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3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p>
    <w:p>
      <w:pPr>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pPr>
        <w:adjustRightInd w:val="0"/>
        <w:snapToGrid w:val="0"/>
        <w:spacing w:line="360" w:lineRule="auto"/>
        <w:jc w:val="center"/>
        <w:rPr>
          <w:rFonts w:ascii="仿宋" w:hAnsi="仿宋" w:eastAsia="仿宋" w:cs="仿宋"/>
          <w:b/>
          <w:bCs/>
          <w:color w:val="auto"/>
          <w:spacing w:val="-6"/>
          <w:sz w:val="18"/>
          <w:szCs w:val="18"/>
          <w:highlight w:val="none"/>
        </w:rPr>
      </w:pP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p>
    <w:p>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致：浙江省市场监督管理局、浙江求是招标代理有限公司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bCs/>
          <w:color w:val="auto"/>
          <w:spacing w:val="-6"/>
          <w:szCs w:val="21"/>
          <w:highlight w:val="none"/>
          <w:lang w:eastAsia="zh-CN"/>
        </w:rPr>
        <w:t>2024年食品安全抽检监测项目（国抽）</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：QSZB-Z(F)-H24006(GK)]的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ascii="仿宋" w:hAnsi="仿宋" w:eastAsia="仿宋" w:cs="仿宋"/>
          <w:b/>
          <w:bCs/>
          <w:color w:val="auto"/>
          <w:sz w:val="24"/>
          <w:szCs w:val="24"/>
          <w:highlight w:val="none"/>
        </w:rPr>
      </w:pPr>
    </w:p>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说明：投标人是联合体的则联合体各成员均应在“授权委托书”上盖章（电子签名/公章）</w:t>
      </w:r>
    </w:p>
    <w:p>
      <w:pPr>
        <w:rPr>
          <w:rFonts w:ascii="仿宋" w:hAnsi="仿宋" w:eastAsia="仿宋" w:cs="仿宋"/>
          <w:b/>
          <w:bCs/>
          <w:color w:val="auto"/>
          <w:sz w:val="24"/>
          <w:szCs w:val="24"/>
          <w:highlight w:val="none"/>
        </w:rPr>
      </w:pPr>
    </w:p>
    <w:p>
      <w:pPr>
        <w:adjustRightInd w:val="0"/>
        <w:snapToGrid w:val="0"/>
        <w:spacing w:line="360" w:lineRule="auto"/>
        <w:jc w:val="center"/>
        <w:outlineLvl w:val="3"/>
        <w:rPr>
          <w:rFonts w:ascii="仿宋" w:hAnsi="仿宋" w:eastAsia="仿宋" w:cs="仿宋"/>
          <w:bCs/>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bCs/>
          <w:color w:val="auto"/>
          <w:sz w:val="24"/>
          <w:szCs w:val="24"/>
          <w:highlight w:val="none"/>
        </w:rPr>
        <w:t>2023年1月（含）至今任意一月投标授权代表社保缴纳证明</w:t>
      </w:r>
    </w:p>
    <w:p>
      <w:pPr>
        <w:adjustRightInd w:val="0"/>
        <w:snapToGrid w:val="0"/>
        <w:spacing w:line="360" w:lineRule="auto"/>
        <w:jc w:val="center"/>
        <w:rPr>
          <w:rFonts w:ascii="仿宋" w:hAnsi="仿宋" w:eastAsia="仿宋" w:cs="仿宋"/>
          <w:b/>
          <w:color w:val="auto"/>
          <w:spacing w:val="-6"/>
          <w:szCs w:val="21"/>
          <w:highlight w:val="none"/>
        </w:rPr>
      </w:pPr>
    </w:p>
    <w:p>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说明：投标人委派不在本单位缴纳社保的人员作为授权代表的，在投标文件中说明具体原因、授权代表缴纳社保单位并附列该授权代表缴纳社保清单。</w:t>
      </w:r>
    </w:p>
    <w:p>
      <w:pPr>
        <w:adjustRightInd w:val="0"/>
        <w:snapToGrid w:val="0"/>
        <w:spacing w:line="360" w:lineRule="auto"/>
        <w:jc w:val="center"/>
        <w:rPr>
          <w:rFonts w:ascii="仿宋" w:hAnsi="仿宋" w:eastAsia="仿宋" w:cs="仿宋"/>
          <w:b/>
          <w:color w:val="auto"/>
          <w:spacing w:val="-6"/>
          <w:szCs w:val="21"/>
          <w:highlight w:val="none"/>
        </w:rPr>
      </w:pPr>
    </w:p>
    <w:p>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人：浙江省市场监督管理局</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2024年食品安全抽检监测项目（国抽）</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项目编号：QSZB-Z(F)-H24006(GK)</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 xml:space="preserve">标    项： </w:t>
      </w:r>
    </w:p>
    <w:tbl>
      <w:tblPr>
        <w:tblStyle w:val="3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4"/>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ascii="仿宋" w:hAnsi="仿宋" w:eastAsia="仿宋" w:cs="仿宋"/>
          <w:b/>
          <w:bCs/>
          <w:color w:val="auto"/>
          <w:sz w:val="24"/>
          <w:szCs w:val="24"/>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投标人类似合同实施情况一览表</w:t>
      </w:r>
    </w:p>
    <w:tbl>
      <w:tblPr>
        <w:tblStyle w:val="3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合同总价金额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2"/>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1.投标人须提供上述业绩任务委托书或合同扫描件；</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pStyle w:val="14"/>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服务能力相关证明材料</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根据评分细则提供和编写（格式自拟），包括但不仅限于</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1.实验室服务能力</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2.食品检验能力</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 xml:space="preserve">3.食品复检能力  </w:t>
      </w:r>
    </w:p>
    <w:p>
      <w:pPr>
        <w:widowControl/>
        <w:adjustRightInd w:val="0"/>
        <w:snapToGrid w:val="0"/>
        <w:spacing w:line="360" w:lineRule="auto"/>
        <w:jc w:val="left"/>
        <w:rPr>
          <w:rFonts w:ascii="仿宋" w:hAnsi="仿宋" w:eastAsia="仿宋" w:cs="仿宋"/>
          <w:b/>
          <w:color w:val="auto"/>
          <w:spacing w:val="-6"/>
          <w:sz w:val="18"/>
          <w:szCs w:val="18"/>
          <w:highlight w:val="none"/>
        </w:rPr>
      </w:pP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检测场地</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根据评分细则提供和编写（格式自拟），包括但不仅限于</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1.食品检测场地实验室面积（房产证或长期房屋租赁合同等证明文件）</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2.承诺取得样品后进入投标人实验室的时间不超过4小时</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3.样品仓库（相关证明材料）</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 xml:space="preserve">4.数字化阳光实验室服务能力（以提供的清单、照片、数字化建设等相关证明材料） </w:t>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pacing w:val="-6"/>
          <w:szCs w:val="21"/>
          <w:highlight w:val="none"/>
        </w:rPr>
        <w:br w:type="page"/>
      </w:r>
      <w:r>
        <w:rPr>
          <w:rFonts w:hint="eastAsia" w:ascii="仿宋" w:hAnsi="仿宋" w:eastAsia="仿宋" w:cs="仿宋"/>
          <w:b/>
          <w:bCs/>
          <w:color w:val="auto"/>
          <w:sz w:val="24"/>
          <w:szCs w:val="24"/>
          <w:highlight w:val="none"/>
        </w:rPr>
        <w:t>设备配置</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根据评分细则提供和编写（格式自拟），包括但不仅限于</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1.检测设备（提供的设备清单、照片、购置合同或购置发票等相关证明材料）</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2.查证抽样车辆、取证设备投入情况（相关证明材料）</w:t>
      </w:r>
    </w:p>
    <w:p>
      <w:pPr>
        <w:adjustRightInd w:val="0"/>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根据评分细则提供和编写（格式自拟），包括但不仅限于：</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1.项目背景及目标理解分析</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2.整体工作阶段及进度控制方案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3.关键时间节点</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4.抽样服务方案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5.制样服务方案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6.检验服务方案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7.审核服务方案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8.批准服务方案</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9.质量控制措施（包括实验室内部检测全过程、项目覆盖率、样品覆盖率控制）</w:t>
      </w:r>
    </w:p>
    <w:p>
      <w:pPr>
        <w:widowControl/>
        <w:adjustRightInd w:val="0"/>
        <w:snapToGrid w:val="0"/>
        <w:spacing w:line="360" w:lineRule="auto"/>
        <w:jc w:val="left"/>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 xml:space="preserve">10.应急预案（包含食品安全事件、自然灾害、运输车辆遭遇堵车或车祸等 </w:t>
      </w:r>
    </w:p>
    <w:p>
      <w:pPr>
        <w:widowControl/>
        <w:adjustRightInd w:val="0"/>
        <w:snapToGrid w:val="0"/>
        <w:spacing w:line="360" w:lineRule="auto"/>
        <w:jc w:val="left"/>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br w:type="page"/>
      </w:r>
    </w:p>
    <w:p>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rPr>
        <w:t>服务团队人员一览表</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pPr>
              <w:jc w:val="center"/>
              <w:rPr>
                <w:rFonts w:ascii="仿宋" w:hAnsi="仿宋" w:eastAsia="仿宋" w:cs="仿宋"/>
                <w:color w:val="auto"/>
                <w:szCs w:val="21"/>
                <w:highlight w:val="none"/>
              </w:rPr>
            </w:pPr>
          </w:p>
        </w:tc>
        <w:tc>
          <w:tcPr>
            <w:tcW w:w="1991" w:type="dxa"/>
            <w:vAlign w:val="center"/>
          </w:tcPr>
          <w:p>
            <w:pPr>
              <w:jc w:val="center"/>
              <w:rPr>
                <w:rFonts w:ascii="仿宋" w:hAnsi="仿宋" w:eastAsia="仿宋" w:cs="仿宋"/>
                <w:color w:val="auto"/>
                <w:szCs w:val="21"/>
                <w:highlight w:val="none"/>
              </w:rPr>
            </w:pPr>
          </w:p>
        </w:tc>
        <w:tc>
          <w:tcPr>
            <w:tcW w:w="872" w:type="dxa"/>
            <w:vAlign w:val="center"/>
          </w:tcPr>
          <w:p>
            <w:pPr>
              <w:jc w:val="center"/>
              <w:rPr>
                <w:rFonts w:ascii="仿宋" w:hAnsi="仿宋" w:eastAsia="仿宋" w:cs="仿宋"/>
                <w:color w:val="auto"/>
                <w:szCs w:val="21"/>
                <w:highlight w:val="none"/>
              </w:rPr>
            </w:pPr>
          </w:p>
        </w:tc>
        <w:tc>
          <w:tcPr>
            <w:tcW w:w="873" w:type="dxa"/>
            <w:vAlign w:val="center"/>
          </w:tcPr>
          <w:p>
            <w:pPr>
              <w:jc w:val="center"/>
              <w:rPr>
                <w:rFonts w:ascii="仿宋" w:hAnsi="仿宋" w:eastAsia="仿宋" w:cs="仿宋"/>
                <w:color w:val="auto"/>
                <w:szCs w:val="21"/>
                <w:highlight w:val="none"/>
              </w:rPr>
            </w:pPr>
          </w:p>
        </w:tc>
        <w:tc>
          <w:tcPr>
            <w:tcW w:w="1186" w:type="dxa"/>
            <w:vAlign w:val="center"/>
          </w:tcPr>
          <w:p>
            <w:pPr>
              <w:jc w:val="center"/>
              <w:rPr>
                <w:rFonts w:ascii="仿宋" w:hAnsi="仿宋" w:eastAsia="仿宋" w:cs="仿宋"/>
                <w:color w:val="auto"/>
                <w:szCs w:val="21"/>
                <w:highlight w:val="none"/>
              </w:rPr>
            </w:pPr>
          </w:p>
        </w:tc>
        <w:tc>
          <w:tcPr>
            <w:tcW w:w="819" w:type="dxa"/>
            <w:vAlign w:val="center"/>
          </w:tcPr>
          <w:p>
            <w:pPr>
              <w:jc w:val="center"/>
              <w:rPr>
                <w:rFonts w:ascii="仿宋" w:hAnsi="仿宋" w:eastAsia="仿宋" w:cs="仿宋"/>
                <w:color w:val="auto"/>
                <w:szCs w:val="21"/>
                <w:highlight w:val="none"/>
              </w:rPr>
            </w:pPr>
          </w:p>
        </w:tc>
        <w:tc>
          <w:tcPr>
            <w:tcW w:w="2160" w:type="dxa"/>
            <w:vAlign w:val="center"/>
          </w:tcPr>
          <w:p>
            <w:pPr>
              <w:jc w:val="center"/>
              <w:rPr>
                <w:rFonts w:ascii="仿宋" w:hAnsi="仿宋" w:eastAsia="仿宋" w:cs="仿宋"/>
                <w:color w:val="auto"/>
                <w:szCs w:val="21"/>
                <w:highlight w:val="none"/>
              </w:rPr>
            </w:pPr>
          </w:p>
        </w:tc>
      </w:tr>
    </w:tbl>
    <w:p>
      <w:pPr>
        <w:widowControl/>
        <w:adjustRightInd w:val="0"/>
        <w:snapToGrid w:val="0"/>
        <w:spacing w:line="288" w:lineRule="auto"/>
        <w:jc w:val="left"/>
        <w:rPr>
          <w:rFonts w:ascii="仿宋" w:hAnsi="仿宋" w:eastAsia="仿宋" w:cs="仿宋"/>
          <w:b/>
          <w:color w:val="auto"/>
          <w:spacing w:val="-6"/>
          <w:szCs w:val="21"/>
          <w:highlight w:val="none"/>
        </w:rPr>
      </w:pPr>
    </w:p>
    <w:p>
      <w:pPr>
        <w:spacing w:line="288" w:lineRule="auto"/>
        <w:rPr>
          <w:color w:val="auto"/>
          <w:highlight w:val="none"/>
        </w:rPr>
      </w:pPr>
      <w:r>
        <w:rPr>
          <w:rFonts w:hint="eastAsia" w:ascii="仿宋" w:hAnsi="仿宋" w:eastAsia="仿宋" w:cs="仿宋"/>
          <w:b/>
          <w:color w:val="auto"/>
          <w:spacing w:val="-6"/>
          <w:sz w:val="18"/>
          <w:szCs w:val="18"/>
          <w:highlight w:val="none"/>
        </w:rPr>
        <w:t>注：评分细则中相关证明材料随表格一并提供</w:t>
      </w:r>
    </w:p>
    <w:p>
      <w:pP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p>
    <w:p>
      <w:pPr>
        <w:spacing w:line="360" w:lineRule="auto"/>
        <w:jc w:val="center"/>
        <w:rPr>
          <w:rFonts w:ascii="仿宋" w:hAnsi="仿宋" w:eastAsia="仿宋" w:cs="仿宋"/>
          <w:b/>
          <w:color w:val="auto"/>
          <w:spacing w:val="-6"/>
          <w:sz w:val="2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人：浙江省市场监督管理局</w:t>
      </w:r>
    </w:p>
    <w:p>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2024年食品安全抽检监测项目（国抽）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 xml:space="preserve">标    项： </w:t>
      </w:r>
    </w:p>
    <w:tbl>
      <w:tblPr>
        <w:tblStyle w:val="37"/>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8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3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投标报价</w:t>
            </w:r>
          </w:p>
          <w:p>
            <w:pPr>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26" w:hRule="atLeast"/>
          <w:jc w:val="center"/>
        </w:trPr>
        <w:tc>
          <w:tcPr>
            <w:tcW w:w="131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1680" w:firstLineChars="800"/>
              <w:jc w:val="left"/>
              <w:textAlignment w:val="auto"/>
              <w:outlineLvl w:val="9"/>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大写：百分之</w:t>
            </w:r>
            <w:r>
              <w:rPr>
                <w:rFonts w:hint="eastAsia" w:ascii="仿宋" w:hAnsi="仿宋" w:eastAsia="仿宋" w:cs="仿宋"/>
                <w:bCs/>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800"/>
              <w:jc w:val="left"/>
              <w:textAlignment w:val="auto"/>
              <w:outlineLvl w:val="9"/>
              <w:rPr>
                <w:rFonts w:ascii="仿宋" w:hAnsi="仿宋" w:eastAsia="仿宋" w:cs="仿宋"/>
                <w:color w:val="auto"/>
                <w:szCs w:val="21"/>
                <w:highlight w:val="none"/>
              </w:rPr>
            </w:pPr>
            <w:r>
              <w:rPr>
                <w:rFonts w:hint="eastAsia" w:ascii="仿宋" w:hAnsi="仿宋" w:eastAsia="仿宋" w:cs="仿宋"/>
                <w:bCs/>
                <w:color w:val="auto"/>
                <w:szCs w:val="21"/>
                <w:highlight w:val="none"/>
              </w:rPr>
              <w:t>小写：</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w:t>
            </w:r>
          </w:p>
        </w:tc>
      </w:tr>
    </w:tbl>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lang w:val="en-US" w:eastAsia="zh-CN"/>
        </w:rPr>
        <w:t>备注</w:t>
      </w:r>
      <w:r>
        <w:rPr>
          <w:rFonts w:hint="eastAsia" w:ascii="仿宋" w:hAnsi="仿宋" w:eastAsia="仿宋" w:cs="仿宋"/>
          <w:b/>
          <w:bCs/>
          <w:color w:val="auto"/>
          <w:spacing w:val="-6"/>
          <w:sz w:val="18"/>
          <w:szCs w:val="18"/>
          <w:highlight w:val="none"/>
        </w:rPr>
        <w:t>：投标人进行折扣报价，</w:t>
      </w:r>
      <w:r>
        <w:rPr>
          <w:rFonts w:hint="eastAsia" w:ascii="仿宋" w:hAnsi="仿宋" w:eastAsia="仿宋" w:cs="仿宋"/>
          <w:b/>
          <w:bCs/>
          <w:color w:val="auto"/>
          <w:spacing w:val="-6"/>
          <w:sz w:val="18"/>
          <w:szCs w:val="18"/>
          <w:highlight w:val="none"/>
          <w:lang w:val="en-US" w:eastAsia="zh-CN"/>
        </w:rPr>
        <w:t>对</w:t>
      </w:r>
      <w:r>
        <w:rPr>
          <w:rFonts w:hint="eastAsia" w:ascii="仿宋" w:hAnsi="仿宋" w:eastAsia="仿宋" w:cs="仿宋"/>
          <w:b/>
          <w:bCs/>
          <w:color w:val="auto"/>
          <w:spacing w:val="-6"/>
          <w:sz w:val="18"/>
          <w:szCs w:val="18"/>
          <w:highlight w:val="none"/>
        </w:rPr>
        <w:t>买样费、抽样费和样品检验费等</w:t>
      </w:r>
      <w:r>
        <w:rPr>
          <w:rFonts w:hint="eastAsia" w:ascii="仿宋" w:hAnsi="仿宋" w:eastAsia="仿宋" w:cs="仿宋"/>
          <w:b/>
          <w:bCs/>
          <w:color w:val="auto"/>
          <w:spacing w:val="-6"/>
          <w:sz w:val="18"/>
          <w:szCs w:val="18"/>
          <w:highlight w:val="none"/>
          <w:lang w:val="en-US" w:eastAsia="zh-CN"/>
        </w:rPr>
        <w:t>进行统一折扣报价，</w:t>
      </w:r>
      <w:r>
        <w:rPr>
          <w:rFonts w:hint="eastAsia" w:ascii="仿宋" w:hAnsi="仿宋" w:eastAsia="仿宋" w:cs="仿宋"/>
          <w:b/>
          <w:bCs/>
          <w:color w:val="auto"/>
          <w:spacing w:val="-6"/>
          <w:sz w:val="18"/>
          <w:szCs w:val="18"/>
          <w:highlight w:val="none"/>
        </w:rPr>
        <w:t>如果折扣=90%，</w:t>
      </w:r>
      <w:r>
        <w:rPr>
          <w:rFonts w:hint="eastAsia" w:ascii="仿宋" w:hAnsi="仿宋" w:eastAsia="仿宋" w:cs="仿宋"/>
          <w:b/>
          <w:bCs/>
          <w:color w:val="auto"/>
          <w:spacing w:val="-6"/>
          <w:sz w:val="18"/>
          <w:szCs w:val="18"/>
          <w:highlight w:val="none"/>
          <w:lang w:val="en-US" w:eastAsia="zh-CN"/>
        </w:rPr>
        <w:t>如某</w:t>
      </w:r>
      <w:r>
        <w:rPr>
          <w:rFonts w:hint="eastAsia" w:ascii="仿宋" w:hAnsi="仿宋" w:eastAsia="仿宋" w:cs="仿宋"/>
          <w:b/>
          <w:bCs/>
          <w:color w:val="auto"/>
          <w:spacing w:val="-6"/>
          <w:sz w:val="18"/>
          <w:szCs w:val="18"/>
          <w:highlight w:val="none"/>
        </w:rPr>
        <w:t>样品检验费指导价为84元，则结算价=指导价×折扣=84元×90%=75.6元。</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本公司（联合体）郑重声明，根据《政府采购促进中小企业发展管理办法》（财库[2020]46号）的规定，本公司（联合体）参加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2024年食品安全抽检监测项目（国抽）</w:t>
      </w:r>
      <w:r>
        <w:rPr>
          <w:rFonts w:hint="eastAsia" w:ascii="仿宋" w:hAnsi="仿宋" w:eastAsia="仿宋" w:cs="仿宋"/>
          <w:color w:val="auto"/>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2024年食品安全抽检监测项目（国抽）</w:t>
      </w:r>
      <w:r>
        <w:rPr>
          <w:rFonts w:hint="eastAsia" w:ascii="仿宋" w:hAnsi="仿宋" w:eastAsia="仿宋" w:cs="仿宋"/>
          <w:color w:val="auto"/>
          <w:szCs w:val="21"/>
          <w:highlight w:val="none"/>
        </w:rPr>
        <w:t>，属于其他未列明行业；承接企业为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sdt>
        <w:sdtPr>
          <w:rPr>
            <w:rFonts w:hint="eastAsia" w:ascii="仿宋" w:hAnsi="仿宋" w:eastAsia="仿宋" w:cs="仿宋"/>
            <w:color w:val="auto"/>
            <w:kern w:val="0"/>
            <w:szCs w:val="21"/>
            <w:highlight w:val="none"/>
          </w:rPr>
          <w:id w:val="1928616923"/>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iCs/>
          <w:color w:val="auto"/>
          <w:szCs w:val="21"/>
          <w:highlight w:val="none"/>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4.非联合体投标、非中标后以分包方式履行合同的可删除“（）”中相应内容；</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6.本项目仅以《中小企业声明函》作为评判投标人是否属于中小企业的唯一依据。</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浙江省市场监督管理局</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2024年食品安全抽检监测项目（国抽）</w:t>
      </w:r>
      <w:r>
        <w:rPr>
          <w:rFonts w:hint="eastAsia" w:ascii="仿宋" w:hAnsi="仿宋" w:eastAsia="仿宋" w:cs="仿宋"/>
          <w:color w:val="auto"/>
          <w:spacing w:val="6"/>
          <w:szCs w:val="21"/>
          <w:highlight w:val="none"/>
        </w:rPr>
        <w:t>采购活动由本单位提供服务。</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5"/>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5"/>
        <w:shd w:val="clear" w:color="auto" w:fill="FFFFFF"/>
        <w:adjustRightInd w:val="0"/>
        <w:snapToGrid w:val="0"/>
        <w:spacing w:before="0" w:beforeAutospacing="0" w:after="0" w:afterAutospacing="0" w:line="360" w:lineRule="auto"/>
        <w:ind w:firstLine="361" w:firstLineChars="200"/>
        <w:rPr>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联合协议</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（若联合体投标）</w:t>
      </w:r>
    </w:p>
    <w:p>
      <w:pPr>
        <w:adjustRightInd w:val="0"/>
        <w:snapToGrid w:val="0"/>
        <w:spacing w:line="360" w:lineRule="auto"/>
        <w:jc w:val="center"/>
        <w:rPr>
          <w:rFonts w:ascii="仿宋" w:hAnsi="仿宋" w:eastAsia="仿宋" w:cs="仿宋"/>
          <w:b/>
          <w:color w:val="auto"/>
          <w:spacing w:val="-6"/>
          <w:sz w:val="18"/>
          <w:szCs w:val="18"/>
          <w:highlight w:val="none"/>
        </w:rPr>
      </w:pPr>
    </w:p>
    <w:p>
      <w:pPr>
        <w:adjustRightInd w:val="0"/>
        <w:snapToGrid w:val="0"/>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说明：格式见附件2</w:t>
      </w:r>
    </w:p>
    <w:p>
      <w:pPr>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分包意向协议</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（若中标后以分包方式履行合同）</w:t>
      </w:r>
    </w:p>
    <w:p>
      <w:pPr>
        <w:adjustRightInd w:val="0"/>
        <w:snapToGrid w:val="0"/>
        <w:spacing w:line="360" w:lineRule="auto"/>
        <w:jc w:val="center"/>
        <w:rPr>
          <w:rFonts w:ascii="仿宋" w:hAnsi="仿宋" w:eastAsia="仿宋" w:cs="仿宋"/>
          <w:b/>
          <w:color w:val="auto"/>
          <w:spacing w:val="-6"/>
          <w:sz w:val="18"/>
          <w:szCs w:val="18"/>
          <w:highlight w:val="none"/>
        </w:rPr>
      </w:pPr>
    </w:p>
    <w:p>
      <w:pP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说明：格式见附件3</w:t>
      </w:r>
    </w:p>
    <w:p>
      <w:pPr>
        <w:adjustRightInd w:val="0"/>
        <w:snapToGrid w:val="0"/>
        <w:spacing w:line="360" w:lineRule="auto"/>
        <w:ind w:firstLine="458" w:firstLineChars="200"/>
        <w:rPr>
          <w:rFonts w:ascii="仿宋" w:hAnsi="仿宋" w:eastAsia="仿宋" w:cs="仿宋"/>
          <w:b/>
          <w:bCs/>
          <w:color w:val="auto"/>
          <w:sz w:val="18"/>
          <w:szCs w:val="18"/>
          <w:highlight w:val="none"/>
        </w:rPr>
      </w:pPr>
      <w:r>
        <w:rPr>
          <w:rFonts w:hint="eastAsia" w:ascii="仿宋" w:hAnsi="仿宋" w:eastAsia="仿宋" w:cs="仿宋"/>
          <w:b/>
          <w:color w:val="auto"/>
          <w:spacing w:val="-6"/>
          <w:sz w:val="24"/>
          <w:highlight w:val="none"/>
        </w:rPr>
        <w:br w:type="page"/>
      </w:r>
    </w:p>
    <w:p>
      <w:pPr>
        <w:spacing w:line="360" w:lineRule="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adjustRightInd w:val="0"/>
        <w:snapToGrid w:val="0"/>
        <w:spacing w:line="360" w:lineRule="auto"/>
        <w:jc w:val="center"/>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浙江省市场监督管理局、浙江求是招标代理有限公司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2024年食品安全抽检监测项目（国抽）</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rPr>
        <w:t>QSZB-Z(F)-H24006(GK)]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ascii="仿宋" w:hAnsi="仿宋" w:eastAsia="仿宋" w:cs="仿宋"/>
          <w:color w:val="auto"/>
          <w:szCs w:val="21"/>
          <w:highlight w:val="none"/>
        </w:rPr>
      </w:pPr>
      <w:r>
        <w:rPr>
          <w:rFonts w:ascii="仿宋" w:hAnsi="仿宋" w:eastAsia="仿宋" w:cs="仿宋"/>
          <w:b/>
          <w:bCs/>
          <w:color w:val="auto"/>
          <w:szCs w:val="21"/>
          <w:highlight w:val="none"/>
        </w:rPr>
        <mc:AlternateContent>
          <mc:Choice Requires="wps">
            <w:drawing>
              <wp:inline distT="0" distB="0" distL="114300" distR="114300">
                <wp:extent cx="2647950" cy="2253615"/>
                <wp:effectExtent l="5080" t="4445" r="13970" b="1270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FVJTLUAAAABQEAAA8AAAAAAAAAAQAg&#10;AAAAIgAAAGRycy9kb3ducmV2LnhtbFBLAQIUABQAAAAIAIdO4kCovrCLEgIAADQEAAAOAAAAAAAA&#10;AAEAIAAAACMBAABkcnMvZTJvRG9jLnhtbFBLBQYAAAAABgAGAFkBAACn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ascii="仿宋" w:hAnsi="仿宋" w:eastAsia="仿宋" w:cs="仿宋"/>
          <w:b/>
          <w:bCs/>
          <w:color w:val="auto"/>
          <w:szCs w:val="21"/>
          <w:highlight w:val="none"/>
        </w:rPr>
        <mc:AlternateContent>
          <mc:Choice Requires="wps">
            <w:drawing>
              <wp:inline distT="0" distB="0" distL="114300" distR="114300">
                <wp:extent cx="2647950" cy="2253615"/>
                <wp:effectExtent l="5080" t="4445" r="13970" b="1270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FVJTLUAAAABQEAAA8AAAAAAAAAAQAg&#10;AAAAIgAAAGRycy9kb3ducmV2LnhtbFBLAQIUABQAAAAIAIdO4kBaodhlEgIAADQEAAAOAAAAAAAA&#10;AAEAIAAAACMBAABkcnMvZTJvRG9jLnhtbFBLBQYAAAAABgAGAFkBAACnBQAAAAA=&#10;">
                <v:fill on="t" focussize="0,0"/>
                <v:stroke color="#000000" miterlimit="2" joinstyle="miter"/>
                <v:imagedata o:title=""/>
                <o:lock v:ext="edit" aspectratio="f"/>
                <w10:wrap type="none"/>
                <w10:anchorlock/>
              </v:rect>
            </w:pict>
          </mc:Fallback>
        </mc:AlternateContent>
      </w:r>
    </w:p>
    <w:p>
      <w:pP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outlineLvl w:val="1"/>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pPr>
        <w:adjustRightInd w:val="0"/>
        <w:snapToGrid w:val="0"/>
        <w:spacing w:line="360" w:lineRule="auto"/>
        <w:jc w:val="center"/>
        <w:outlineLvl w:val="2"/>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pPr>
        <w:widowControl/>
        <w:snapToGrid w:val="0"/>
        <w:spacing w:line="360" w:lineRule="auto"/>
        <w:jc w:val="center"/>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（以联合体形式投标的提供联合协议,项目不接受联合体投标或投标人不以联合体形式投标的则不需要提供）</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2024年食品安全抽检监测项目（国抽）</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rPr>
        <w:t>QSZB-Z(F)-H24006(GK)</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投标。</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rPr>
        <w:t>响应</w:t>
      </w:r>
      <w:r>
        <w:rPr>
          <w:rFonts w:hint="eastAsia" w:ascii="仿宋" w:hAnsi="仿宋" w:eastAsia="仿宋" w:cs="仿宋"/>
          <w:color w:val="auto"/>
          <w:kern w:val="0"/>
          <w:szCs w:val="21"/>
          <w:highlight w:val="none"/>
          <w:lang w:val="zh-CN"/>
        </w:rPr>
        <w:t>等均对联合投标各方产生约束力。</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联合体各成员方共同或授权联合体牵头人与采购人签订合同，并就采购合同约定的事项对采购人承担连带责任。</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rPr>
        <w:t>;</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rPr>
        <w:t>;</w:t>
      </w:r>
    </w:p>
    <w:p>
      <w:pPr>
        <w:snapToGrid w:val="0"/>
        <w:spacing w:line="360" w:lineRule="auto"/>
        <w:ind w:firstLine="422" w:firstLineChars="201"/>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22" w:firstLineChars="201"/>
        <w:rPr>
          <w:rFonts w:ascii="仿宋" w:hAnsi="仿宋" w:eastAsia="仿宋" w:cs="仿宋"/>
          <w:color w:val="auto"/>
          <w:kern w:val="0"/>
          <w:szCs w:val="21"/>
          <w:highlight w:val="none"/>
          <w:lang w:val="zh-CN"/>
        </w:rPr>
      </w:pPr>
    </w:p>
    <w:p>
      <w:pPr>
        <w:snapToGrid w:val="0"/>
        <w:spacing w:line="360" w:lineRule="auto"/>
        <w:ind w:firstLine="422" w:firstLineChars="201"/>
        <w:rPr>
          <w:rFonts w:ascii="仿宋" w:hAnsi="仿宋" w:eastAsia="仿宋" w:cs="仿宋"/>
          <w:color w:val="auto"/>
          <w:kern w:val="0"/>
          <w:szCs w:val="21"/>
          <w:highlight w:val="none"/>
          <w:lang w:val="zh-CN"/>
        </w:rPr>
      </w:pPr>
    </w:p>
    <w:p>
      <w:pPr>
        <w:snapToGrid w:val="0"/>
        <w:spacing w:line="360" w:lineRule="auto"/>
        <w:ind w:firstLine="422" w:firstLineChars="201"/>
        <w:rPr>
          <w:rFonts w:ascii="仿宋" w:hAnsi="仿宋" w:eastAsia="仿宋" w:cs="仿宋"/>
          <w:color w:val="auto"/>
          <w:kern w:val="0"/>
          <w:szCs w:val="21"/>
          <w:highlight w:val="none"/>
          <w:lang w:val="zh-CN"/>
        </w:rPr>
      </w:pPr>
    </w:p>
    <w:p>
      <w:pPr>
        <w:snapToGrid w:val="0"/>
        <w:spacing w:line="360" w:lineRule="auto"/>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br w:type="page"/>
      </w:r>
    </w:p>
    <w:p>
      <w:pPr>
        <w:spacing w:line="360" w:lineRule="auto"/>
        <w:outlineLvl w:val="1"/>
        <w:rPr>
          <w:rFonts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adjustRightInd w:val="0"/>
        <w:snapToGrid w:val="0"/>
        <w:spacing w:line="360" w:lineRule="auto"/>
        <w:jc w:val="center"/>
        <w:outlineLvl w:val="2"/>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pPr>
        <w:widowControl/>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（中标后以分包方式履行合同的提供分包意向协议，采购人不同意分包或中标后不以分包方式履行合同的则不需要提供）</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2024年食品安全抽检监测项目（国抽）</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rPr>
        <w:t>QSZB-Z(F)-H24006(GK)</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pPr>
        <w:snapToGrid w:val="0"/>
        <w:spacing w:line="360" w:lineRule="auto"/>
        <w:ind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pPr>
        <w:snapToGrid w:val="0"/>
        <w:spacing w:line="360" w:lineRule="auto"/>
        <w:ind w:firstLine="420" w:firstLineChars="200"/>
        <w:rPr>
          <w:rFonts w:ascii="仿宋" w:hAnsi="仿宋" w:eastAsia="仿宋" w:cs="仿宋"/>
          <w:b/>
          <w:color w:val="auto"/>
          <w:kern w:val="0"/>
          <w:sz w:val="18"/>
          <w:szCs w:val="18"/>
          <w:highlight w:val="none"/>
          <w:lang w:val="zh-CN"/>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pPr>
        <w:snapToGrid w:val="0"/>
        <w:spacing w:line="360" w:lineRule="auto"/>
        <w:ind w:firstLine="420" w:firstLineChars="200"/>
        <w:rPr>
          <w:rFonts w:ascii="仿宋" w:hAnsi="仿宋" w:eastAsia="仿宋" w:cs="仿宋"/>
          <w:color w:val="auto"/>
          <w:kern w:val="0"/>
          <w:szCs w:val="21"/>
          <w:highlight w:val="none"/>
          <w:lang w:val="zh-CN"/>
        </w:rPr>
      </w:pPr>
    </w:p>
    <w:p>
      <w:pPr>
        <w:snapToGrid w:val="0"/>
        <w:spacing w:line="360" w:lineRule="auto"/>
        <w:ind w:firstLine="422" w:firstLineChars="200"/>
        <w:rPr>
          <w:rFonts w:ascii="仿宋" w:hAnsi="仿宋" w:eastAsia="仿宋" w:cs="仿宋"/>
          <w:b/>
          <w:bCs/>
          <w:color w:val="auto"/>
          <w:kern w:val="0"/>
          <w:szCs w:val="21"/>
          <w:highlight w:val="none"/>
          <w:lang w:val="zh-CN"/>
        </w:rPr>
      </w:pPr>
    </w:p>
    <w:p>
      <w:pPr>
        <w:snapToGrid w:val="0"/>
        <w:spacing w:line="360" w:lineRule="auto"/>
        <w:ind w:firstLine="422" w:firstLineChars="200"/>
        <w:rPr>
          <w:rFonts w:ascii="仿宋" w:hAnsi="仿宋" w:eastAsia="仿宋" w:cs="仿宋"/>
          <w:b/>
          <w:bCs/>
          <w:color w:val="auto"/>
          <w:kern w:val="0"/>
          <w:szCs w:val="21"/>
          <w:highlight w:val="none"/>
          <w:lang w:val="zh-CN"/>
        </w:rPr>
      </w:pPr>
    </w:p>
    <w:p>
      <w:pPr>
        <w:snapToGrid w:val="0"/>
        <w:spacing w:line="360" w:lineRule="auto"/>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pPr>
        <w:snapToGrid w:val="0"/>
        <w:spacing w:line="360" w:lineRule="auto"/>
        <w:rPr>
          <w:rFonts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w:t>
      </w:r>
    </w:p>
    <w:p>
      <w:pPr>
        <w:pStyle w:val="17"/>
        <w:spacing w:before="120" w:after="120"/>
        <w:rPr>
          <w:color w:val="auto"/>
          <w:highlight w:val="none"/>
        </w:rPr>
      </w:pPr>
      <w:r>
        <w:rPr>
          <w:rFonts w:hint="eastAsia" w:ascii="仿宋" w:hAnsi="仿宋" w:eastAsia="仿宋" w:cs="仿宋"/>
          <w:b/>
          <w:bCs/>
          <w:color w:val="auto"/>
          <w:spacing w:val="-6"/>
          <w:szCs w:val="21"/>
          <w:highlight w:val="none"/>
        </w:rPr>
        <w:t>日期：     年   月   日</w:t>
      </w:r>
    </w:p>
    <w:sectPr>
      <w:pgSz w:w="11906"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8A31CB"/>
    <w:multiLevelType w:val="multilevel"/>
    <w:tmpl w:val="1F8A31C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DVmZGVkMzM5NGIyYzAzYzM1YzM3YzU3NDM0OTEifQ=="/>
  </w:docVars>
  <w:rsids>
    <w:rsidRoot w:val="00756626"/>
    <w:rsid w:val="000009E4"/>
    <w:rsid w:val="0000114F"/>
    <w:rsid w:val="0000436F"/>
    <w:rsid w:val="00006469"/>
    <w:rsid w:val="00006CFD"/>
    <w:rsid w:val="000116E4"/>
    <w:rsid w:val="00013608"/>
    <w:rsid w:val="00013B07"/>
    <w:rsid w:val="00014530"/>
    <w:rsid w:val="00015995"/>
    <w:rsid w:val="00016D69"/>
    <w:rsid w:val="00033330"/>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4959"/>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6357"/>
    <w:rsid w:val="000D763B"/>
    <w:rsid w:val="000E0B46"/>
    <w:rsid w:val="000E12A8"/>
    <w:rsid w:val="000E2881"/>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1934"/>
    <w:rsid w:val="00172304"/>
    <w:rsid w:val="0018079E"/>
    <w:rsid w:val="00180C21"/>
    <w:rsid w:val="00182FEC"/>
    <w:rsid w:val="00183AD9"/>
    <w:rsid w:val="0018482D"/>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B4F02"/>
    <w:rsid w:val="002C3283"/>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974"/>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351CB"/>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0897"/>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67BCE"/>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6AE"/>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0F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2446"/>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5BEA"/>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294"/>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2AF"/>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733"/>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97B90"/>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435BE3"/>
    <w:rsid w:val="01F81427"/>
    <w:rsid w:val="022769DA"/>
    <w:rsid w:val="03AB050E"/>
    <w:rsid w:val="03DE24F3"/>
    <w:rsid w:val="03F93561"/>
    <w:rsid w:val="040015EA"/>
    <w:rsid w:val="04437F8B"/>
    <w:rsid w:val="05B73F73"/>
    <w:rsid w:val="05D34727"/>
    <w:rsid w:val="05D66602"/>
    <w:rsid w:val="05F220FE"/>
    <w:rsid w:val="06887ED4"/>
    <w:rsid w:val="06C72803"/>
    <w:rsid w:val="071B0BBD"/>
    <w:rsid w:val="08540DFE"/>
    <w:rsid w:val="08931933"/>
    <w:rsid w:val="09B61AD4"/>
    <w:rsid w:val="09E1534A"/>
    <w:rsid w:val="0A424076"/>
    <w:rsid w:val="0A6F7309"/>
    <w:rsid w:val="0A946225"/>
    <w:rsid w:val="0AC8371E"/>
    <w:rsid w:val="0B4A1776"/>
    <w:rsid w:val="0BC23029"/>
    <w:rsid w:val="0C054B0C"/>
    <w:rsid w:val="0C525A8C"/>
    <w:rsid w:val="0C786503"/>
    <w:rsid w:val="0D1A04C9"/>
    <w:rsid w:val="0E124CC8"/>
    <w:rsid w:val="0EC479BA"/>
    <w:rsid w:val="0ED20FE2"/>
    <w:rsid w:val="0F7A7AAE"/>
    <w:rsid w:val="0F9A3821"/>
    <w:rsid w:val="106960F7"/>
    <w:rsid w:val="10757130"/>
    <w:rsid w:val="10A770AA"/>
    <w:rsid w:val="11211E2E"/>
    <w:rsid w:val="11261B19"/>
    <w:rsid w:val="112B34AD"/>
    <w:rsid w:val="11B73160"/>
    <w:rsid w:val="11CE2526"/>
    <w:rsid w:val="11F72377"/>
    <w:rsid w:val="11FF5827"/>
    <w:rsid w:val="12425AC4"/>
    <w:rsid w:val="12E81F8B"/>
    <w:rsid w:val="12F66349"/>
    <w:rsid w:val="136A3F43"/>
    <w:rsid w:val="13BC2458"/>
    <w:rsid w:val="14746CD8"/>
    <w:rsid w:val="14834992"/>
    <w:rsid w:val="148740DE"/>
    <w:rsid w:val="14F358F9"/>
    <w:rsid w:val="15260D26"/>
    <w:rsid w:val="156D4DBD"/>
    <w:rsid w:val="16470931"/>
    <w:rsid w:val="166F0578"/>
    <w:rsid w:val="16734EE4"/>
    <w:rsid w:val="168970EF"/>
    <w:rsid w:val="17847A47"/>
    <w:rsid w:val="17B05A2D"/>
    <w:rsid w:val="17DA3DB6"/>
    <w:rsid w:val="18090C43"/>
    <w:rsid w:val="184E6F4D"/>
    <w:rsid w:val="18FB5F15"/>
    <w:rsid w:val="19195FB3"/>
    <w:rsid w:val="19477B5C"/>
    <w:rsid w:val="1A89790A"/>
    <w:rsid w:val="1A8D6A87"/>
    <w:rsid w:val="1B196C81"/>
    <w:rsid w:val="1B321622"/>
    <w:rsid w:val="1B8F6447"/>
    <w:rsid w:val="1BFF41D9"/>
    <w:rsid w:val="1C073C90"/>
    <w:rsid w:val="1CD91399"/>
    <w:rsid w:val="1DA46C6E"/>
    <w:rsid w:val="1DDC27B5"/>
    <w:rsid w:val="1E511B62"/>
    <w:rsid w:val="1EA9678E"/>
    <w:rsid w:val="1EE46A37"/>
    <w:rsid w:val="1EF317AD"/>
    <w:rsid w:val="1F146EA7"/>
    <w:rsid w:val="1F9C38D3"/>
    <w:rsid w:val="20744755"/>
    <w:rsid w:val="20767551"/>
    <w:rsid w:val="21DB64E2"/>
    <w:rsid w:val="221C4C30"/>
    <w:rsid w:val="225D25DC"/>
    <w:rsid w:val="22A70B6C"/>
    <w:rsid w:val="22CE5F75"/>
    <w:rsid w:val="22EA56DE"/>
    <w:rsid w:val="23252FB9"/>
    <w:rsid w:val="23394D4F"/>
    <w:rsid w:val="23821822"/>
    <w:rsid w:val="23C14303"/>
    <w:rsid w:val="23FF4622"/>
    <w:rsid w:val="25FD6BA1"/>
    <w:rsid w:val="265D1F35"/>
    <w:rsid w:val="27432BC1"/>
    <w:rsid w:val="27A24B99"/>
    <w:rsid w:val="27E5596E"/>
    <w:rsid w:val="27F0275A"/>
    <w:rsid w:val="28580092"/>
    <w:rsid w:val="28BC23D4"/>
    <w:rsid w:val="290578B9"/>
    <w:rsid w:val="29847A97"/>
    <w:rsid w:val="29863882"/>
    <w:rsid w:val="2AA10ED5"/>
    <w:rsid w:val="2AD02133"/>
    <w:rsid w:val="2ADA0518"/>
    <w:rsid w:val="2AED4989"/>
    <w:rsid w:val="2B6233A3"/>
    <w:rsid w:val="2C3A6FB6"/>
    <w:rsid w:val="2C422C35"/>
    <w:rsid w:val="2C921974"/>
    <w:rsid w:val="2C9B5DF1"/>
    <w:rsid w:val="2D8812F8"/>
    <w:rsid w:val="2DBA785B"/>
    <w:rsid w:val="2DBE14C9"/>
    <w:rsid w:val="2DFD2B59"/>
    <w:rsid w:val="2E160B95"/>
    <w:rsid w:val="2F265E74"/>
    <w:rsid w:val="2F6A64D8"/>
    <w:rsid w:val="2FA10B9C"/>
    <w:rsid w:val="30616EA9"/>
    <w:rsid w:val="308A37DD"/>
    <w:rsid w:val="312D56EE"/>
    <w:rsid w:val="31497EB2"/>
    <w:rsid w:val="31512F4A"/>
    <w:rsid w:val="316602B0"/>
    <w:rsid w:val="31A44D82"/>
    <w:rsid w:val="32B70A61"/>
    <w:rsid w:val="32BE120D"/>
    <w:rsid w:val="330C0EF9"/>
    <w:rsid w:val="33506DE6"/>
    <w:rsid w:val="33F52D98"/>
    <w:rsid w:val="340D1F9D"/>
    <w:rsid w:val="346A550D"/>
    <w:rsid w:val="351F03F9"/>
    <w:rsid w:val="359615AC"/>
    <w:rsid w:val="35A54CED"/>
    <w:rsid w:val="35DC4648"/>
    <w:rsid w:val="36301861"/>
    <w:rsid w:val="37534CA7"/>
    <w:rsid w:val="37B979C1"/>
    <w:rsid w:val="37BF6292"/>
    <w:rsid w:val="37D824F1"/>
    <w:rsid w:val="392A0F8C"/>
    <w:rsid w:val="3A5B7190"/>
    <w:rsid w:val="3AA92E8E"/>
    <w:rsid w:val="3B0C4DFA"/>
    <w:rsid w:val="3B972F43"/>
    <w:rsid w:val="3B9E39BA"/>
    <w:rsid w:val="3C0D04F9"/>
    <w:rsid w:val="3C4D26C6"/>
    <w:rsid w:val="3C67680A"/>
    <w:rsid w:val="3C9D3C6B"/>
    <w:rsid w:val="3CEE6201"/>
    <w:rsid w:val="3D044EFC"/>
    <w:rsid w:val="3D8F1DE6"/>
    <w:rsid w:val="3DE06919"/>
    <w:rsid w:val="3E062677"/>
    <w:rsid w:val="3E320FB5"/>
    <w:rsid w:val="3E3C3E33"/>
    <w:rsid w:val="3E6946AD"/>
    <w:rsid w:val="3EB60CB3"/>
    <w:rsid w:val="3EBE0D9B"/>
    <w:rsid w:val="3EC436F9"/>
    <w:rsid w:val="3EF547D8"/>
    <w:rsid w:val="3F740895"/>
    <w:rsid w:val="3F8E5C59"/>
    <w:rsid w:val="3FB93DC6"/>
    <w:rsid w:val="3FDF3B0C"/>
    <w:rsid w:val="40200C54"/>
    <w:rsid w:val="402A691C"/>
    <w:rsid w:val="405439E9"/>
    <w:rsid w:val="40595670"/>
    <w:rsid w:val="40D71C71"/>
    <w:rsid w:val="41653744"/>
    <w:rsid w:val="422E66F3"/>
    <w:rsid w:val="42395211"/>
    <w:rsid w:val="42493063"/>
    <w:rsid w:val="4275164D"/>
    <w:rsid w:val="429E60F2"/>
    <w:rsid w:val="430A3262"/>
    <w:rsid w:val="439A1960"/>
    <w:rsid w:val="44193FA6"/>
    <w:rsid w:val="44792C7D"/>
    <w:rsid w:val="4484575B"/>
    <w:rsid w:val="44AD7DF6"/>
    <w:rsid w:val="44AF0CED"/>
    <w:rsid w:val="45527A19"/>
    <w:rsid w:val="46101B39"/>
    <w:rsid w:val="46A824B9"/>
    <w:rsid w:val="46BB170B"/>
    <w:rsid w:val="46C10F01"/>
    <w:rsid w:val="47510906"/>
    <w:rsid w:val="486B3B49"/>
    <w:rsid w:val="48B0700B"/>
    <w:rsid w:val="49191E57"/>
    <w:rsid w:val="495D70F7"/>
    <w:rsid w:val="49AC3C4D"/>
    <w:rsid w:val="49BA19EC"/>
    <w:rsid w:val="49EE1052"/>
    <w:rsid w:val="4A2B3273"/>
    <w:rsid w:val="4A2F77C9"/>
    <w:rsid w:val="4A683F6B"/>
    <w:rsid w:val="4A9A0D84"/>
    <w:rsid w:val="4B7074E5"/>
    <w:rsid w:val="4B716301"/>
    <w:rsid w:val="4B7D5F80"/>
    <w:rsid w:val="4BE0524A"/>
    <w:rsid w:val="4BF40741"/>
    <w:rsid w:val="4C5E019B"/>
    <w:rsid w:val="4C8142F5"/>
    <w:rsid w:val="4CBC241D"/>
    <w:rsid w:val="4D3245E4"/>
    <w:rsid w:val="4DA36F47"/>
    <w:rsid w:val="4E882D46"/>
    <w:rsid w:val="4EA805E5"/>
    <w:rsid w:val="4EED57F8"/>
    <w:rsid w:val="4F64249F"/>
    <w:rsid w:val="4F6E1200"/>
    <w:rsid w:val="4FE61072"/>
    <w:rsid w:val="4FEE189E"/>
    <w:rsid w:val="50A6137A"/>
    <w:rsid w:val="50C2026A"/>
    <w:rsid w:val="5148519A"/>
    <w:rsid w:val="51AD64CD"/>
    <w:rsid w:val="51E80019"/>
    <w:rsid w:val="5206519A"/>
    <w:rsid w:val="52362285"/>
    <w:rsid w:val="526803A9"/>
    <w:rsid w:val="52C84F55"/>
    <w:rsid w:val="52CE2FF0"/>
    <w:rsid w:val="53081C3C"/>
    <w:rsid w:val="53121571"/>
    <w:rsid w:val="53375DAC"/>
    <w:rsid w:val="53583C84"/>
    <w:rsid w:val="53DA29B3"/>
    <w:rsid w:val="53F038EA"/>
    <w:rsid w:val="54493647"/>
    <w:rsid w:val="55117EE3"/>
    <w:rsid w:val="553B712A"/>
    <w:rsid w:val="554A63F3"/>
    <w:rsid w:val="560B70EF"/>
    <w:rsid w:val="56E2296C"/>
    <w:rsid w:val="581C5100"/>
    <w:rsid w:val="583D7408"/>
    <w:rsid w:val="58630866"/>
    <w:rsid w:val="5890516D"/>
    <w:rsid w:val="589F44BF"/>
    <w:rsid w:val="58B21EC8"/>
    <w:rsid w:val="59486621"/>
    <w:rsid w:val="59611666"/>
    <w:rsid w:val="59BA69E3"/>
    <w:rsid w:val="59DE1B8D"/>
    <w:rsid w:val="5A4C4AE8"/>
    <w:rsid w:val="5A5D328C"/>
    <w:rsid w:val="5A661DF4"/>
    <w:rsid w:val="5ACF0178"/>
    <w:rsid w:val="5B305B2F"/>
    <w:rsid w:val="5B60649E"/>
    <w:rsid w:val="5B763444"/>
    <w:rsid w:val="5BBA5AD7"/>
    <w:rsid w:val="5C3E17F9"/>
    <w:rsid w:val="5C537D21"/>
    <w:rsid w:val="5CA53C7D"/>
    <w:rsid w:val="5CA6357D"/>
    <w:rsid w:val="5CBF5BC3"/>
    <w:rsid w:val="5D222442"/>
    <w:rsid w:val="5D2576B4"/>
    <w:rsid w:val="5D3A6920"/>
    <w:rsid w:val="5D8135CC"/>
    <w:rsid w:val="5DA64C8A"/>
    <w:rsid w:val="5DFE6F90"/>
    <w:rsid w:val="5EE14995"/>
    <w:rsid w:val="5F573EFD"/>
    <w:rsid w:val="5F8241A9"/>
    <w:rsid w:val="600446EC"/>
    <w:rsid w:val="600D2EE6"/>
    <w:rsid w:val="60272AF8"/>
    <w:rsid w:val="616374BE"/>
    <w:rsid w:val="619E7B2E"/>
    <w:rsid w:val="61C2081A"/>
    <w:rsid w:val="61D61D48"/>
    <w:rsid w:val="621760F6"/>
    <w:rsid w:val="62246B60"/>
    <w:rsid w:val="638F6047"/>
    <w:rsid w:val="644F1ACD"/>
    <w:rsid w:val="64C035B4"/>
    <w:rsid w:val="64C26038"/>
    <w:rsid w:val="65652FD9"/>
    <w:rsid w:val="65837BA6"/>
    <w:rsid w:val="65BA2962"/>
    <w:rsid w:val="666509B6"/>
    <w:rsid w:val="67FF1998"/>
    <w:rsid w:val="680D1D99"/>
    <w:rsid w:val="68266BA6"/>
    <w:rsid w:val="6876068B"/>
    <w:rsid w:val="68C97848"/>
    <w:rsid w:val="690A7A37"/>
    <w:rsid w:val="692C69E7"/>
    <w:rsid w:val="69431270"/>
    <w:rsid w:val="695C717B"/>
    <w:rsid w:val="6A7F4F75"/>
    <w:rsid w:val="6ACA16F9"/>
    <w:rsid w:val="6B0861AD"/>
    <w:rsid w:val="6B16774A"/>
    <w:rsid w:val="6BCF123B"/>
    <w:rsid w:val="6BDB0A4A"/>
    <w:rsid w:val="6C263E9E"/>
    <w:rsid w:val="6C8C4244"/>
    <w:rsid w:val="6CA147BA"/>
    <w:rsid w:val="6D700D47"/>
    <w:rsid w:val="6DC3280B"/>
    <w:rsid w:val="6EAE3FAB"/>
    <w:rsid w:val="6EC32084"/>
    <w:rsid w:val="6ECE2681"/>
    <w:rsid w:val="70863A83"/>
    <w:rsid w:val="71265EA2"/>
    <w:rsid w:val="7183728A"/>
    <w:rsid w:val="71EF6A85"/>
    <w:rsid w:val="72340F9C"/>
    <w:rsid w:val="725A5749"/>
    <w:rsid w:val="725C1FE1"/>
    <w:rsid w:val="729965A8"/>
    <w:rsid w:val="72FF6E57"/>
    <w:rsid w:val="740D194A"/>
    <w:rsid w:val="75157BDA"/>
    <w:rsid w:val="752D7F6B"/>
    <w:rsid w:val="75BF6544"/>
    <w:rsid w:val="76203EF6"/>
    <w:rsid w:val="76210725"/>
    <w:rsid w:val="762444D3"/>
    <w:rsid w:val="7650253F"/>
    <w:rsid w:val="76D80CF0"/>
    <w:rsid w:val="76EB2B32"/>
    <w:rsid w:val="7715608F"/>
    <w:rsid w:val="771840D1"/>
    <w:rsid w:val="773C3C0C"/>
    <w:rsid w:val="774152C9"/>
    <w:rsid w:val="776F7613"/>
    <w:rsid w:val="77D82ACD"/>
    <w:rsid w:val="77E63FDA"/>
    <w:rsid w:val="792B0471"/>
    <w:rsid w:val="793070F8"/>
    <w:rsid w:val="79D825C1"/>
    <w:rsid w:val="7AB068CF"/>
    <w:rsid w:val="7B1C502C"/>
    <w:rsid w:val="7B5D131E"/>
    <w:rsid w:val="7BC44ABA"/>
    <w:rsid w:val="7D70490B"/>
    <w:rsid w:val="7D812606"/>
    <w:rsid w:val="7DB41B16"/>
    <w:rsid w:val="7DEB79E2"/>
    <w:rsid w:val="7DFC5027"/>
    <w:rsid w:val="7E002D54"/>
    <w:rsid w:val="7E6C7798"/>
    <w:rsid w:val="7E6D74E8"/>
    <w:rsid w:val="7F6A6A54"/>
    <w:rsid w:val="7FAB331E"/>
    <w:rsid w:val="7FF060AD"/>
    <w:rsid w:val="7FF15765"/>
    <w:rsid w:val="FFEF1C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9"/>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6"/>
    <w:unhideWhenUsed/>
    <w:qFormat/>
    <w:uiPriority w:val="99"/>
    <w:rPr>
      <w:b/>
      <w:bCs/>
      <w:sz w:val="28"/>
      <w:szCs w:val="24"/>
    </w:rPr>
  </w:style>
  <w:style w:type="paragraph" w:styleId="7">
    <w:name w:val="annotation text"/>
    <w:basedOn w:val="1"/>
    <w:link w:val="88"/>
    <w:unhideWhenUsed/>
    <w:qFormat/>
    <w:uiPriority w:val="99"/>
    <w:pPr>
      <w:jc w:val="left"/>
    </w:pPr>
  </w:style>
  <w:style w:type="paragraph" w:styleId="8">
    <w:name w:val="Body Text First Indent"/>
    <w:basedOn w:val="9"/>
    <w:semiHidden/>
    <w:unhideWhenUsed/>
    <w:qFormat/>
    <w:uiPriority w:val="99"/>
    <w:pPr>
      <w:ind w:firstLine="420" w:firstLineChars="100"/>
    </w:pPr>
  </w:style>
  <w:style w:type="paragraph" w:styleId="9">
    <w:name w:val="Body Text"/>
    <w:basedOn w:val="1"/>
    <w:next w:val="1"/>
    <w:link w:val="91"/>
    <w:unhideWhenUsed/>
    <w:qFormat/>
    <w:uiPriority w:val="99"/>
    <w:pPr>
      <w:spacing w:after="120"/>
    </w:pPr>
    <w:rPr>
      <w:rFonts w:ascii="Times New Roman" w:hAnsi="Times New Roman" w:eastAsia="宋体" w:cs="Times New Roman"/>
      <w:sz w:val="28"/>
      <w:szCs w:val="24"/>
    </w:rPr>
  </w:style>
  <w:style w:type="paragraph" w:styleId="10">
    <w:name w:val="List Number"/>
    <w:basedOn w:val="1"/>
    <w:qFormat/>
    <w:uiPriority w:val="0"/>
    <w:pPr>
      <w:widowControl/>
      <w:numPr>
        <w:ilvl w:val="0"/>
        <w:numId w:val="1"/>
      </w:numPr>
      <w:tabs>
        <w:tab w:val="left" w:pos="454"/>
        <w:tab w:val="clear" w:pos="720"/>
      </w:tabs>
      <w:spacing w:afterLines="50"/>
      <w:ind w:left="454" w:hanging="284"/>
      <w:jc w:val="left"/>
    </w:pPr>
    <w:rPr>
      <w:rFonts w:ascii="Times New Roman" w:hAnsi="Times New Roman" w:eastAsia="宋体" w:cs="Times New Roman"/>
      <w:kern w:val="0"/>
      <w:sz w:val="24"/>
      <w:szCs w:val="20"/>
    </w:rPr>
  </w:style>
  <w:style w:type="paragraph" w:styleId="11">
    <w:name w:val="Normal Indent"/>
    <w:basedOn w:val="1"/>
    <w:next w:val="1"/>
    <w:link w:val="56"/>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3"/>
    <w:unhideWhenUsed/>
    <w:qFormat/>
    <w:uiPriority w:val="99"/>
    <w:rPr>
      <w:rFonts w:ascii="宋体"/>
      <w:sz w:val="18"/>
      <w:szCs w:val="18"/>
    </w:rPr>
  </w:style>
  <w:style w:type="paragraph" w:styleId="14">
    <w:name w:val="Body Text Indent"/>
    <w:basedOn w:val="1"/>
    <w:next w:val="15"/>
    <w:link w:val="80"/>
    <w:qFormat/>
    <w:uiPriority w:val="0"/>
    <w:pPr>
      <w:spacing w:line="200" w:lineRule="atLeast"/>
      <w:ind w:firstLine="301"/>
    </w:pPr>
    <w:rPr>
      <w:rFonts w:ascii="宋体" w:hAnsi="Courier New"/>
      <w:spacing w:val="-4"/>
      <w:sz w:val="18"/>
    </w:rPr>
  </w:style>
  <w:style w:type="paragraph" w:styleId="15">
    <w:name w:val="Body Text First Indent 2"/>
    <w:basedOn w:val="14"/>
    <w:link w:val="96"/>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5"/>
    <w:qFormat/>
    <w:uiPriority w:val="99"/>
    <w:pPr>
      <w:spacing w:beforeLines="50" w:afterLines="50" w:line="400" w:lineRule="atLeast"/>
    </w:pPr>
    <w:rPr>
      <w:rFonts w:ascii="宋体" w:hAnsi="Courier New"/>
      <w:sz w:val="24"/>
      <w:szCs w:val="24"/>
    </w:rPr>
  </w:style>
  <w:style w:type="paragraph" w:styleId="18">
    <w:name w:val="Date"/>
    <w:basedOn w:val="1"/>
    <w:next w:val="1"/>
    <w:link w:val="94"/>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92"/>
    <w:qFormat/>
    <w:uiPriority w:val="0"/>
    <w:rPr>
      <w:rFonts w:ascii="Times New Roman" w:hAnsi="Times New Roman" w:eastAsia="宋体" w:cs="Times New Roman"/>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22"/>
      <w:lang w:val="en-US" w:eastAsia="zh-CN" w:bidi="ar-SA"/>
    </w:rPr>
  </w:style>
  <w:style w:type="paragraph" w:styleId="24">
    <w:name w:val="Body Text 2"/>
    <w:basedOn w:val="1"/>
    <w:link w:val="82"/>
    <w:qFormat/>
    <w:uiPriority w:val="0"/>
    <w:pPr>
      <w:widowControl/>
      <w:snapToGrid w:val="0"/>
      <w:spacing w:before="50"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正文缩进1"/>
    <w:basedOn w:val="1"/>
    <w:next w:val="1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41">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42">
    <w:name w:val="Default"/>
    <w:next w:val="4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页眉 Char"/>
    <w:basedOn w:val="26"/>
    <w:link w:val="21"/>
    <w:qFormat/>
    <w:uiPriority w:val="99"/>
    <w:rPr>
      <w:sz w:val="18"/>
      <w:szCs w:val="18"/>
    </w:rPr>
  </w:style>
  <w:style w:type="character" w:customStyle="1" w:styleId="46">
    <w:name w:val="页脚 Char"/>
    <w:basedOn w:val="26"/>
    <w:link w:val="20"/>
    <w:qFormat/>
    <w:uiPriority w:val="99"/>
    <w:rPr>
      <w:sz w:val="18"/>
      <w:szCs w:val="18"/>
    </w:rPr>
  </w:style>
  <w:style w:type="character" w:customStyle="1" w:styleId="47">
    <w:name w:val="标题 1 Char"/>
    <w:basedOn w:val="26"/>
    <w:link w:val="2"/>
    <w:qFormat/>
    <w:uiPriority w:val="9"/>
    <w:rPr>
      <w:rFonts w:ascii="Times New Roman" w:hAnsi="Times New Roman" w:eastAsia="宋体" w:cs="Times New Roman"/>
      <w:b/>
      <w:bCs/>
      <w:kern w:val="44"/>
      <w:sz w:val="44"/>
      <w:szCs w:val="44"/>
    </w:rPr>
  </w:style>
  <w:style w:type="character" w:customStyle="1" w:styleId="48">
    <w:name w:val="标题 2 Char"/>
    <w:basedOn w:val="26"/>
    <w:link w:val="3"/>
    <w:qFormat/>
    <w:uiPriority w:val="9"/>
    <w:rPr>
      <w:rFonts w:ascii="Cambria" w:hAnsi="Cambria" w:eastAsia="宋体" w:cs="Times New Roman"/>
      <w:b/>
      <w:bCs/>
      <w:sz w:val="32"/>
      <w:szCs w:val="32"/>
    </w:rPr>
  </w:style>
  <w:style w:type="character" w:customStyle="1" w:styleId="49">
    <w:name w:val="标题 3 Char"/>
    <w:basedOn w:val="26"/>
    <w:link w:val="4"/>
    <w:qFormat/>
    <w:uiPriority w:val="9"/>
    <w:rPr>
      <w:rFonts w:ascii="Times New Roman" w:hAnsi="Times New Roman" w:eastAsia="宋体" w:cs="Times New Roman"/>
      <w:b/>
      <w:bCs/>
      <w:sz w:val="32"/>
      <w:szCs w:val="32"/>
    </w:rPr>
  </w:style>
  <w:style w:type="character" w:customStyle="1" w:styleId="50">
    <w:name w:val="jbox-icon-none"/>
    <w:qFormat/>
    <w:uiPriority w:val="0"/>
    <w:rPr>
      <w:vanish/>
    </w:rPr>
  </w:style>
  <w:style w:type="character" w:customStyle="1" w:styleId="51">
    <w:name w:val="z-窗体底端 字符"/>
    <w:link w:val="52"/>
    <w:qFormat/>
    <w:uiPriority w:val="99"/>
    <w:rPr>
      <w:rFonts w:ascii="Arial" w:hAnsi="Arial"/>
      <w:vanish/>
      <w:sz w:val="16"/>
      <w:szCs w:val="16"/>
    </w:rPr>
  </w:style>
  <w:style w:type="paragraph" w:customStyle="1" w:styleId="52">
    <w:name w:val="z-窗体底端1"/>
    <w:basedOn w:val="1"/>
    <w:next w:val="1"/>
    <w:link w:val="51"/>
    <w:unhideWhenUsed/>
    <w:qFormat/>
    <w:uiPriority w:val="99"/>
    <w:pPr>
      <w:widowControl/>
      <w:pBdr>
        <w:top w:val="single" w:color="auto" w:sz="6" w:space="1"/>
      </w:pBdr>
      <w:jc w:val="center"/>
    </w:pPr>
    <w:rPr>
      <w:rFonts w:ascii="Arial" w:hAnsi="Arial"/>
      <w:vanish/>
      <w:sz w:val="16"/>
      <w:szCs w:val="16"/>
    </w:rPr>
  </w:style>
  <w:style w:type="character" w:customStyle="1" w:styleId="53">
    <w:name w:val="文档结构图 Char"/>
    <w:link w:val="13"/>
    <w:qFormat/>
    <w:uiPriority w:val="99"/>
    <w:rPr>
      <w:rFonts w:ascii="宋体"/>
      <w:sz w:val="18"/>
      <w:szCs w:val="18"/>
    </w:rPr>
  </w:style>
  <w:style w:type="character" w:customStyle="1" w:styleId="54">
    <w:name w:val="black601"/>
    <w:qFormat/>
    <w:uiPriority w:val="0"/>
    <w:rPr>
      <w:color w:val="666666"/>
    </w:rPr>
  </w:style>
  <w:style w:type="character" w:customStyle="1" w:styleId="55">
    <w:name w:val="hour_pm"/>
    <w:basedOn w:val="26"/>
    <w:qFormat/>
    <w:uiPriority w:val="0"/>
  </w:style>
  <w:style w:type="character" w:customStyle="1" w:styleId="56">
    <w:name w:val="正文缩进 Char"/>
    <w:link w:val="11"/>
    <w:qFormat/>
    <w:uiPriority w:val="0"/>
    <w:rPr>
      <w:rFonts w:eastAsia="宋体"/>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jbox-icon-info"/>
    <w:basedOn w:val="26"/>
    <w:qFormat/>
    <w:uiPriority w:val="0"/>
  </w:style>
  <w:style w:type="character" w:customStyle="1" w:styleId="59">
    <w:name w:val="hover9"/>
    <w:qFormat/>
    <w:uiPriority w:val="0"/>
    <w:rPr>
      <w:shd w:val="clear" w:color="auto" w:fill="EEEEEE"/>
    </w:rPr>
  </w:style>
  <w:style w:type="character" w:customStyle="1" w:styleId="60">
    <w:name w:val="maywed421"/>
    <w:qFormat/>
    <w:uiPriority w:val="0"/>
    <w:rPr>
      <w:color w:val="366FB6"/>
      <w:u w:val="none"/>
    </w:rPr>
  </w:style>
  <w:style w:type="character" w:customStyle="1" w:styleId="61">
    <w:name w:val="old"/>
    <w:qFormat/>
    <w:uiPriority w:val="0"/>
    <w:rPr>
      <w:color w:val="999999"/>
    </w:rPr>
  </w:style>
  <w:style w:type="character" w:customStyle="1" w:styleId="62">
    <w:name w:val="jbox-icon-warning"/>
    <w:basedOn w:val="26"/>
    <w:qFormat/>
    <w:uiPriority w:val="0"/>
  </w:style>
  <w:style w:type="character" w:customStyle="1" w:styleId="63">
    <w:name w:val="z-窗体顶端 字符"/>
    <w:link w:val="64"/>
    <w:qFormat/>
    <w:uiPriority w:val="99"/>
    <w:rPr>
      <w:rFonts w:ascii="Arial" w:hAnsi="Arial"/>
      <w:vanish/>
      <w:sz w:val="16"/>
      <w:szCs w:val="16"/>
    </w:rPr>
  </w:style>
  <w:style w:type="paragraph" w:customStyle="1" w:styleId="64">
    <w:name w:val="z-窗体顶端1"/>
    <w:basedOn w:val="1"/>
    <w:next w:val="1"/>
    <w:link w:val="63"/>
    <w:unhideWhenUsed/>
    <w:qFormat/>
    <w:uiPriority w:val="99"/>
    <w:pPr>
      <w:widowControl/>
      <w:pBdr>
        <w:bottom w:val="single" w:color="auto" w:sz="6" w:space="1"/>
      </w:pBdr>
      <w:jc w:val="center"/>
    </w:pPr>
    <w:rPr>
      <w:rFonts w:ascii="Arial" w:hAnsi="Arial"/>
      <w:vanish/>
      <w:sz w:val="16"/>
      <w:szCs w:val="16"/>
    </w:rPr>
  </w:style>
  <w:style w:type="character" w:customStyle="1" w:styleId="65">
    <w:name w:val="纯文本 Char2"/>
    <w:link w:val="17"/>
    <w:qFormat/>
    <w:uiPriority w:val="99"/>
    <w:rPr>
      <w:rFonts w:ascii="宋体" w:hAnsi="Courier New"/>
      <w:sz w:val="24"/>
      <w:szCs w:val="24"/>
    </w:rPr>
  </w:style>
  <w:style w:type="character" w:customStyle="1" w:styleId="66">
    <w:name w:val="批注主题 Char"/>
    <w:link w:val="6"/>
    <w:qFormat/>
    <w:uiPriority w:val="99"/>
    <w:rPr>
      <w:b/>
      <w:bCs/>
      <w:sz w:val="28"/>
      <w:szCs w:val="24"/>
    </w:rPr>
  </w:style>
  <w:style w:type="character" w:customStyle="1" w:styleId="67">
    <w:name w:val="jbox-icon-loading"/>
    <w:basedOn w:val="26"/>
    <w:qFormat/>
    <w:uiPriority w:val="0"/>
  </w:style>
  <w:style w:type="character" w:customStyle="1" w:styleId="68">
    <w:name w:val="正文文本缩进 字符"/>
    <w:qFormat/>
    <w:uiPriority w:val="0"/>
    <w:rPr>
      <w:rFonts w:ascii="宋体" w:hAnsi="Courier New"/>
      <w:spacing w:val="-4"/>
      <w:kern w:val="2"/>
      <w:sz w:val="18"/>
    </w:rPr>
  </w:style>
  <w:style w:type="character" w:customStyle="1" w:styleId="69">
    <w:name w:val="正文文本缩进 字符1"/>
    <w:qFormat/>
    <w:uiPriority w:val="0"/>
    <w:rPr>
      <w:rFonts w:ascii="宋体" w:hAnsi="Courier New"/>
      <w:spacing w:val="-4"/>
      <w:kern w:val="2"/>
      <w:sz w:val="18"/>
    </w:rPr>
  </w:style>
  <w:style w:type="character" w:customStyle="1" w:styleId="70">
    <w:name w:val="纯文本 字符"/>
    <w:qFormat/>
    <w:uiPriority w:val="99"/>
    <w:rPr>
      <w:rFonts w:ascii="宋体" w:hAnsi="Courier New"/>
      <w:kern w:val="2"/>
      <w:sz w:val="24"/>
      <w:szCs w:val="24"/>
    </w:rPr>
  </w:style>
  <w:style w:type="character" w:customStyle="1" w:styleId="71">
    <w:name w:val="jbox-icon-question"/>
    <w:basedOn w:val="26"/>
    <w:qFormat/>
    <w:uiPriority w:val="0"/>
  </w:style>
  <w:style w:type="character" w:customStyle="1" w:styleId="72">
    <w:name w:val="jbox-icon"/>
    <w:basedOn w:val="26"/>
    <w:qFormat/>
    <w:uiPriority w:val="0"/>
  </w:style>
  <w:style w:type="character" w:customStyle="1" w:styleId="73">
    <w:name w:val="纯文本 字符2"/>
    <w:qFormat/>
    <w:uiPriority w:val="99"/>
    <w:rPr>
      <w:rFonts w:ascii="宋体" w:hAnsi="Courier New"/>
      <w:kern w:val="2"/>
      <w:sz w:val="24"/>
      <w:szCs w:val="24"/>
    </w:rPr>
  </w:style>
  <w:style w:type="character" w:customStyle="1" w:styleId="74">
    <w:name w:val="hour_am"/>
    <w:basedOn w:val="26"/>
    <w:qFormat/>
    <w:uiPriority w:val="0"/>
  </w:style>
  <w:style w:type="character" w:customStyle="1" w:styleId="75">
    <w:name w:val="jbox-icon-success"/>
    <w:basedOn w:val="26"/>
    <w:qFormat/>
    <w:uiPriority w:val="0"/>
  </w:style>
  <w:style w:type="character" w:customStyle="1" w:styleId="76">
    <w:name w:val="批注文字 字符"/>
    <w:qFormat/>
    <w:uiPriority w:val="99"/>
    <w:rPr>
      <w:kern w:val="2"/>
      <w:sz w:val="28"/>
      <w:szCs w:val="24"/>
    </w:rPr>
  </w:style>
  <w:style w:type="character" w:customStyle="1" w:styleId="77">
    <w:name w:val="纯文本 Char1"/>
    <w:qFormat/>
    <w:uiPriority w:val="0"/>
    <w:rPr>
      <w:rFonts w:ascii="宋体" w:hAnsi="Courier New"/>
      <w:kern w:val="2"/>
      <w:sz w:val="21"/>
    </w:rPr>
  </w:style>
  <w:style w:type="character" w:customStyle="1" w:styleId="78">
    <w:name w:val="纯文本 Char"/>
    <w:qFormat/>
    <w:uiPriority w:val="99"/>
    <w:rPr>
      <w:rFonts w:ascii="宋体" w:hAnsi="Courier New"/>
      <w:kern w:val="2"/>
      <w:sz w:val="24"/>
      <w:szCs w:val="24"/>
    </w:rPr>
  </w:style>
  <w:style w:type="character" w:customStyle="1" w:styleId="79">
    <w:name w:val="sub_title s0"/>
    <w:basedOn w:val="26"/>
    <w:qFormat/>
    <w:uiPriority w:val="0"/>
  </w:style>
  <w:style w:type="character" w:customStyle="1" w:styleId="80">
    <w:name w:val="正文文本缩进 Char"/>
    <w:link w:val="14"/>
    <w:qFormat/>
    <w:uiPriority w:val="0"/>
    <w:rPr>
      <w:rFonts w:ascii="宋体" w:hAnsi="Courier New"/>
      <w:spacing w:val="-4"/>
      <w:sz w:val="18"/>
    </w:rPr>
  </w:style>
  <w:style w:type="character" w:customStyle="1" w:styleId="81">
    <w:name w:val="jbox-icon-error"/>
    <w:basedOn w:val="26"/>
    <w:qFormat/>
    <w:uiPriority w:val="0"/>
  </w:style>
  <w:style w:type="character" w:customStyle="1" w:styleId="82">
    <w:name w:val="正文文本 2 Char"/>
    <w:basedOn w:val="26"/>
    <w:link w:val="24"/>
    <w:qFormat/>
    <w:uiPriority w:val="0"/>
    <w:rPr>
      <w:rFonts w:ascii="宋体" w:hAnsi="宋体" w:eastAsia="宋体" w:cs="Times New Roman"/>
      <w:color w:val="000000"/>
      <w:sz w:val="24"/>
      <w:szCs w:val="24"/>
    </w:rPr>
  </w:style>
  <w:style w:type="paragraph" w:customStyle="1" w:styleId="8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6">
    <w:name w:val="z-窗体顶端 字符1"/>
    <w:basedOn w:val="26"/>
    <w:semiHidden/>
    <w:qFormat/>
    <w:uiPriority w:val="99"/>
    <w:rPr>
      <w:rFonts w:ascii="Arial" w:hAnsi="Arial" w:cs="Arial"/>
      <w:vanish/>
      <w:sz w:val="16"/>
      <w:szCs w:val="16"/>
    </w:rPr>
  </w:style>
  <w:style w:type="paragraph" w:customStyle="1" w:styleId="87">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88">
    <w:name w:val="批注文字 Char"/>
    <w:basedOn w:val="26"/>
    <w:link w:val="7"/>
    <w:semiHidden/>
    <w:qFormat/>
    <w:uiPriority w:val="99"/>
  </w:style>
  <w:style w:type="character" w:customStyle="1" w:styleId="89">
    <w:name w:val="批注主题 字符1"/>
    <w:basedOn w:val="88"/>
    <w:semiHidden/>
    <w:qFormat/>
    <w:uiPriority w:val="99"/>
    <w:rPr>
      <w:b/>
      <w:bCs/>
    </w:rPr>
  </w:style>
  <w:style w:type="character" w:customStyle="1" w:styleId="90">
    <w:name w:val="文档结构图 字符1"/>
    <w:basedOn w:val="26"/>
    <w:semiHidden/>
    <w:qFormat/>
    <w:uiPriority w:val="99"/>
    <w:rPr>
      <w:rFonts w:ascii="Microsoft YaHei UI" w:eastAsia="Microsoft YaHei UI"/>
      <w:sz w:val="18"/>
      <w:szCs w:val="18"/>
    </w:rPr>
  </w:style>
  <w:style w:type="character" w:customStyle="1" w:styleId="91">
    <w:name w:val="正文文本 Char"/>
    <w:basedOn w:val="26"/>
    <w:link w:val="9"/>
    <w:qFormat/>
    <w:uiPriority w:val="99"/>
    <w:rPr>
      <w:rFonts w:ascii="Times New Roman" w:hAnsi="Times New Roman" w:eastAsia="宋体" w:cs="Times New Roman"/>
      <w:sz w:val="28"/>
      <w:szCs w:val="24"/>
    </w:rPr>
  </w:style>
  <w:style w:type="character" w:customStyle="1" w:styleId="92">
    <w:name w:val="批注框文本 Char"/>
    <w:basedOn w:val="26"/>
    <w:link w:val="19"/>
    <w:qFormat/>
    <w:uiPriority w:val="0"/>
    <w:rPr>
      <w:rFonts w:ascii="Times New Roman" w:hAnsi="Times New Roman" w:eastAsia="宋体" w:cs="Times New Roman"/>
      <w:sz w:val="18"/>
      <w:szCs w:val="18"/>
    </w:rPr>
  </w:style>
  <w:style w:type="character" w:customStyle="1" w:styleId="93">
    <w:name w:val="正文文本缩进 字符3"/>
    <w:basedOn w:val="26"/>
    <w:semiHidden/>
    <w:qFormat/>
    <w:uiPriority w:val="99"/>
  </w:style>
  <w:style w:type="character" w:customStyle="1" w:styleId="94">
    <w:name w:val="日期 Char"/>
    <w:basedOn w:val="26"/>
    <w:link w:val="18"/>
    <w:qFormat/>
    <w:uiPriority w:val="0"/>
    <w:rPr>
      <w:rFonts w:ascii="Times New Roman" w:hAnsi="Times New Roman" w:eastAsia="楷体_GB2312" w:cs="Times New Roman"/>
      <w:sz w:val="32"/>
      <w:szCs w:val="20"/>
    </w:rPr>
  </w:style>
  <w:style w:type="character" w:customStyle="1" w:styleId="95">
    <w:name w:val="纯文本 字符3"/>
    <w:basedOn w:val="26"/>
    <w:semiHidden/>
    <w:qFormat/>
    <w:uiPriority w:val="99"/>
    <w:rPr>
      <w:rFonts w:hAnsi="Courier New" w:cs="Courier New" w:asciiTheme="minorEastAsia"/>
    </w:rPr>
  </w:style>
  <w:style w:type="character" w:customStyle="1" w:styleId="96">
    <w:name w:val="正文首行缩进 2 Char"/>
    <w:basedOn w:val="93"/>
    <w:link w:val="15"/>
    <w:qFormat/>
    <w:uiPriority w:val="99"/>
    <w:rPr>
      <w:rFonts w:ascii="宋体" w:hAnsi="Courier New"/>
      <w:spacing w:val="-4"/>
      <w:sz w:val="18"/>
    </w:rPr>
  </w:style>
  <w:style w:type="character" w:customStyle="1" w:styleId="97">
    <w:name w:val="z-窗体底端 字符1"/>
    <w:basedOn w:val="26"/>
    <w:semiHidden/>
    <w:qFormat/>
    <w:uiPriority w:val="99"/>
    <w:rPr>
      <w:rFonts w:ascii="Arial" w:hAnsi="Arial" w:cs="Arial"/>
      <w:vanish/>
      <w:sz w:val="16"/>
      <w:szCs w:val="16"/>
    </w:rPr>
  </w:style>
  <w:style w:type="paragraph" w:customStyle="1" w:styleId="98">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9">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10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2">
    <w:name w:val="Char Char Char Char1"/>
    <w:basedOn w:val="1"/>
    <w:qFormat/>
    <w:uiPriority w:val="0"/>
    <w:rPr>
      <w:rFonts w:ascii="Tahoma" w:hAnsi="Tahoma" w:eastAsia="宋体" w:cs="Times New Roman"/>
      <w:sz w:val="24"/>
      <w:szCs w:val="20"/>
    </w:rPr>
  </w:style>
  <w:style w:type="paragraph" w:customStyle="1" w:styleId="103">
    <w:name w:val="彩色列表 - 强调文字颜色 11"/>
    <w:basedOn w:val="1"/>
    <w:qFormat/>
    <w:uiPriority w:val="34"/>
    <w:pPr>
      <w:ind w:firstLine="420" w:firstLineChars="200"/>
    </w:pPr>
    <w:rPr>
      <w:rFonts w:ascii="Calibri" w:hAnsi="Calibri" w:eastAsia="宋体" w:cs="Times New Roman"/>
    </w:rPr>
  </w:style>
  <w:style w:type="paragraph" w:customStyle="1" w:styleId="104">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5">
    <w:name w:val="正文2"/>
    <w:basedOn w:val="1"/>
    <w:link w:val="114"/>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7">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8">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10">
    <w:name w:val="标题 10"/>
    <w:basedOn w:val="3"/>
    <w:qFormat/>
    <w:uiPriority w:val="0"/>
    <w:pPr>
      <w:jc w:val="center"/>
    </w:pPr>
    <w:rPr>
      <w:kern w:val="0"/>
    </w:rPr>
  </w:style>
  <w:style w:type="character" w:customStyle="1" w:styleId="111">
    <w:name w:val="未处理的提及1"/>
    <w:semiHidden/>
    <w:unhideWhenUsed/>
    <w:qFormat/>
    <w:uiPriority w:val="99"/>
    <w:rPr>
      <w:color w:val="605E5C"/>
      <w:shd w:val="clear" w:color="auto" w:fill="E1DFDD"/>
    </w:rPr>
  </w:style>
  <w:style w:type="character" w:customStyle="1" w:styleId="112">
    <w:name w:val="未处理的提及2"/>
    <w:basedOn w:val="26"/>
    <w:semiHidden/>
    <w:unhideWhenUsed/>
    <w:qFormat/>
    <w:uiPriority w:val="99"/>
    <w:rPr>
      <w:color w:val="605E5C"/>
      <w:shd w:val="clear" w:color="auto" w:fill="E1DFDD"/>
    </w:rPr>
  </w:style>
  <w:style w:type="character" w:customStyle="1" w:styleId="113">
    <w:name w:val="Unresolved Mention"/>
    <w:basedOn w:val="26"/>
    <w:semiHidden/>
    <w:unhideWhenUsed/>
    <w:qFormat/>
    <w:uiPriority w:val="99"/>
    <w:rPr>
      <w:color w:val="605E5C"/>
      <w:shd w:val="clear" w:color="auto" w:fill="E1DFDD"/>
    </w:rPr>
  </w:style>
  <w:style w:type="character" w:customStyle="1" w:styleId="114">
    <w:name w:val="正文2 Char Char"/>
    <w:link w:val="105"/>
    <w:qFormat/>
    <w:uiPriority w:val="0"/>
    <w:rPr>
      <w:kern w:val="2"/>
      <w:sz w:val="24"/>
    </w:rPr>
  </w:style>
  <w:style w:type="paragraph" w:customStyle="1" w:styleId="115">
    <w:name w:val="目录 72"/>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16">
    <w:name w:val="NormalCharacter"/>
    <w:qFormat/>
    <w:uiPriority w:val="0"/>
  </w:style>
  <w:style w:type="paragraph" w:customStyle="1" w:styleId="117">
    <w:name w:val="无间隔4"/>
    <w:qFormat/>
    <w:uiPriority w:val="0"/>
    <w:rPr>
      <w:rFonts w:ascii="Calibri" w:hAnsi="Calibri" w:eastAsia="宋体" w:cs="Times New Roman"/>
      <w:sz w:val="22"/>
      <w:szCs w:val="22"/>
      <w:lang w:val="en-US" w:eastAsia="en-US" w:bidi="ar-SA"/>
    </w:rPr>
  </w:style>
  <w:style w:type="paragraph" w:customStyle="1" w:styleId="118">
    <w:name w:val="[Normal]"/>
    <w:qFormat/>
    <w:uiPriority w:val="99"/>
    <w:rPr>
      <w:rFonts w:ascii="宋体" w:hAnsi="宋体" w:eastAsia="宋体" w:cs="Times New Roman"/>
      <w:sz w:val="24"/>
      <w:szCs w:val="22"/>
      <w:lang w:val="zh-CN" w:eastAsia="zh-CN" w:bidi="ar-SA"/>
    </w:rPr>
  </w:style>
  <w:style w:type="table" w:customStyle="1" w:styleId="119">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31790</Words>
  <Characters>34334</Characters>
  <Lines>1560</Lines>
  <Paragraphs>751</Paragraphs>
  <TotalTime>2</TotalTime>
  <ScaleCrop>false</ScaleCrop>
  <LinksUpToDate>false</LinksUpToDate>
  <CharactersWithSpaces>65373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2021-05-13T21:24:00Z</dcterms:created>
  <dc:creator>hj j</dc:creator>
  <cp:lastModifiedBy>Young</cp:lastModifiedBy>
  <cp:lastPrinted>2023-05-12T16:43:00Z</cp:lastPrinted>
  <dcterms:modified xsi:type="dcterms:W3CDTF">2024-02-06T05:38:53Z</dcterms:modified>
  <cp:revision>779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A3B9CB8D50C9418080B1A22EB2CB9A7F_13</vt:lpwstr>
  </property>
</Properties>
</file>